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BFB2A">
      <w:pPr>
        <w:jc w:val="center"/>
        <w:rPr>
          <w:rFonts w:hint="eastAsia" w:ascii="宋体" w:hAnsi="宋体" w:eastAsia="宋体" w:cs="宋体"/>
          <w:b/>
          <w:bCs/>
          <w:color w:val="auto"/>
          <w:sz w:val="52"/>
          <w:szCs w:val="52"/>
        </w:rPr>
      </w:pPr>
      <w:bookmarkStart w:id="0" w:name="_Toc7014_WPSOffice_Level1"/>
      <w:bookmarkStart w:id="1" w:name="_Toc10319"/>
      <w:r>
        <w:rPr>
          <w:rFonts w:hint="eastAsia" w:ascii="宋体" w:hAnsi="宋体" w:eastAsia="宋体" w:cs="宋体"/>
          <w:b/>
          <w:color w:val="auto"/>
          <w:sz w:val="52"/>
          <w:lang w:val="en-US" w:eastAsia="zh-CN"/>
        </w:rPr>
        <w:t xml:space="preserve">  </w:t>
      </w:r>
      <w:r>
        <w:rPr>
          <w:rFonts w:hint="eastAsia" w:ascii="宋体" w:hAnsi="宋体" w:eastAsia="宋体" w:cs="宋体"/>
          <w:b/>
          <w:color w:val="auto"/>
          <w:sz w:val="52"/>
        </w:rPr>
        <w:t>桂林市政府集中采购中心</w:t>
      </w:r>
    </w:p>
    <w:p w14:paraId="03476BE8">
      <w:pPr>
        <w:pStyle w:val="13"/>
        <w:rPr>
          <w:rFonts w:hint="eastAsia" w:ascii="宋体" w:hAnsi="宋体" w:eastAsia="宋体" w:cs="宋体"/>
          <w:b/>
          <w:bCs/>
          <w:color w:val="auto"/>
          <w:sz w:val="52"/>
          <w:szCs w:val="52"/>
        </w:rPr>
      </w:pPr>
    </w:p>
    <w:p w14:paraId="0E594C67">
      <w:pPr>
        <w:pStyle w:val="13"/>
        <w:rPr>
          <w:rFonts w:hint="eastAsia" w:ascii="宋体" w:hAnsi="宋体" w:eastAsia="宋体" w:cs="宋体"/>
          <w:b/>
          <w:bCs/>
          <w:color w:val="auto"/>
          <w:sz w:val="52"/>
          <w:szCs w:val="52"/>
        </w:rPr>
      </w:pPr>
    </w:p>
    <w:p w14:paraId="2A3FD7D8">
      <w:pPr>
        <w:pStyle w:val="13"/>
        <w:rPr>
          <w:rFonts w:hint="eastAsia" w:ascii="宋体" w:hAnsi="宋体" w:eastAsia="宋体" w:cs="宋体"/>
          <w:b/>
          <w:bCs/>
          <w:color w:val="auto"/>
          <w:sz w:val="52"/>
          <w:szCs w:val="52"/>
        </w:rPr>
      </w:pPr>
    </w:p>
    <w:p w14:paraId="0A378030">
      <w:pPr>
        <w:ind w:left="558" w:right="683"/>
        <w:jc w:val="center"/>
        <w:rPr>
          <w:rFonts w:hint="eastAsia" w:ascii="宋体" w:hAnsi="宋体" w:eastAsia="宋体" w:cs="宋体"/>
          <w:b/>
          <w:bCs/>
          <w:color w:val="auto"/>
          <w:sz w:val="52"/>
          <w:szCs w:val="52"/>
        </w:rPr>
      </w:pPr>
      <w:r>
        <w:rPr>
          <w:rFonts w:hint="eastAsia" w:ascii="宋体" w:hAnsi="宋体" w:eastAsia="宋体" w:cs="宋体"/>
          <w:b/>
          <w:color w:val="auto"/>
          <w:spacing w:val="93"/>
          <w:sz w:val="72"/>
          <w:szCs w:val="72"/>
        </w:rPr>
        <w:t>竞争性磋商文件</w:t>
      </w:r>
    </w:p>
    <w:p w14:paraId="743317A9">
      <w:pPr>
        <w:jc w:val="center"/>
        <w:rPr>
          <w:rFonts w:hint="eastAsia" w:ascii="宋体" w:hAnsi="宋体" w:eastAsia="宋体" w:cs="宋体"/>
          <w:b/>
          <w:bCs/>
          <w:color w:val="auto"/>
          <w:sz w:val="52"/>
          <w:szCs w:val="52"/>
        </w:rPr>
      </w:pPr>
    </w:p>
    <w:p w14:paraId="7302F212">
      <w:pPr>
        <w:jc w:val="center"/>
        <w:rPr>
          <w:rFonts w:hint="eastAsia" w:ascii="宋体" w:hAnsi="宋体" w:eastAsia="宋体" w:cs="宋体"/>
          <w:b/>
          <w:bCs/>
          <w:color w:val="auto"/>
          <w:sz w:val="52"/>
          <w:szCs w:val="52"/>
        </w:rPr>
      </w:pPr>
    </w:p>
    <w:p w14:paraId="19987CA6">
      <w:pPr>
        <w:jc w:val="center"/>
        <w:rPr>
          <w:rFonts w:hint="eastAsia" w:ascii="宋体" w:hAnsi="宋体" w:cs="宋体"/>
          <w:b/>
          <w:bCs/>
          <w:sz w:val="32"/>
          <w:szCs w:val="32"/>
          <w:lang w:eastAsia="zh-CN"/>
        </w:rPr>
      </w:pPr>
      <w:r>
        <w:rPr>
          <w:rFonts w:hint="eastAsia" w:ascii="宋体" w:hAnsi="宋体" w:eastAsia="宋体" w:cs="宋体"/>
          <w:b/>
          <w:bCs/>
          <w:sz w:val="32"/>
          <w:szCs w:val="32"/>
        </w:rPr>
        <w:t>项 目 名 称：</w:t>
      </w:r>
      <w:r>
        <w:rPr>
          <w:rFonts w:hint="eastAsia" w:ascii="宋体" w:hAnsi="宋体" w:cs="宋体"/>
          <w:b/>
          <w:bCs/>
          <w:sz w:val="32"/>
          <w:szCs w:val="32"/>
          <w:lang w:eastAsia="zh-CN"/>
        </w:rPr>
        <w:t>桂林市象山区教育局城域网服务采购</w:t>
      </w:r>
    </w:p>
    <w:p w14:paraId="540102E3">
      <w:pPr>
        <w:jc w:val="center"/>
        <w:rPr>
          <w:rFonts w:hint="eastAsia" w:ascii="宋体" w:hAnsi="宋体" w:cs="宋体"/>
          <w:b/>
          <w:bCs/>
          <w:sz w:val="32"/>
          <w:szCs w:val="32"/>
          <w:lang w:eastAsia="zh-CN"/>
        </w:rPr>
      </w:pPr>
    </w:p>
    <w:p w14:paraId="5FB2F5BD">
      <w:pPr>
        <w:jc w:val="center"/>
        <w:rPr>
          <w:rFonts w:hint="eastAsia" w:ascii="宋体" w:hAnsi="宋体" w:eastAsia="宋体" w:cs="宋体"/>
          <w:b/>
          <w:bCs/>
          <w:color w:val="auto"/>
          <w:sz w:val="32"/>
          <w:szCs w:val="32"/>
          <w:highlight w:val="none"/>
          <w:shd w:val="clear" w:color="auto" w:fill="auto"/>
          <w:lang w:eastAsia="zh-CN"/>
        </w:rPr>
      </w:pPr>
      <w:r>
        <w:rPr>
          <w:rFonts w:hint="eastAsia" w:ascii="宋体" w:hAnsi="宋体" w:eastAsia="宋体" w:cs="宋体"/>
          <w:b/>
          <w:bCs/>
          <w:sz w:val="32"/>
          <w:szCs w:val="32"/>
        </w:rPr>
        <w:t>项 目 编 号：</w:t>
      </w:r>
      <w:r>
        <w:rPr>
          <w:rFonts w:hint="eastAsia" w:ascii="宋体" w:hAnsi="宋体" w:cs="宋体"/>
          <w:b/>
          <w:bCs/>
          <w:color w:val="auto"/>
          <w:sz w:val="30"/>
          <w:szCs w:val="30"/>
          <w:highlight w:val="none"/>
          <w:shd w:val="clear" w:color="auto" w:fill="auto"/>
          <w:lang w:eastAsia="zh-CN"/>
        </w:rPr>
        <w:t>GLZC2025-C3-990025-GLSZ</w:t>
      </w:r>
    </w:p>
    <w:p w14:paraId="18062E12">
      <w:pPr>
        <w:jc w:val="both"/>
        <w:rPr>
          <w:rFonts w:hint="eastAsia" w:ascii="宋体" w:hAnsi="宋体" w:eastAsia="宋体" w:cs="宋体"/>
          <w:color w:val="auto"/>
          <w:sz w:val="32"/>
          <w:szCs w:val="32"/>
        </w:rPr>
      </w:pPr>
    </w:p>
    <w:p w14:paraId="384D66D9">
      <w:pPr>
        <w:jc w:val="both"/>
        <w:rPr>
          <w:rFonts w:hint="eastAsia" w:ascii="宋体" w:hAnsi="宋体" w:eastAsia="宋体" w:cs="宋体"/>
          <w:color w:val="auto"/>
          <w:sz w:val="32"/>
          <w:szCs w:val="32"/>
        </w:rPr>
      </w:pPr>
    </w:p>
    <w:p w14:paraId="11E7F00E">
      <w:pPr>
        <w:ind w:firstLine="2240" w:firstLineChars="7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采购代理机构：桂林市政府集中采购中心</w:t>
      </w:r>
    </w:p>
    <w:p w14:paraId="380C169B">
      <w:pPr>
        <w:pStyle w:val="10"/>
        <w:rPr>
          <w:rFonts w:hint="eastAsia" w:ascii="宋体" w:hAnsi="宋体" w:eastAsia="宋体" w:cs="宋体"/>
          <w:b/>
          <w:bCs/>
          <w:color w:val="auto"/>
        </w:rPr>
      </w:pPr>
    </w:p>
    <w:p w14:paraId="7888B643">
      <w:pPr>
        <w:ind w:firstLine="3840" w:firstLineChars="1200"/>
        <w:rPr>
          <w:rFonts w:hint="eastAsia" w:ascii="宋体" w:hAnsi="宋体" w:eastAsia="宋体" w:cs="宋体"/>
          <w:b/>
          <w:bCs/>
          <w:color w:val="auto"/>
          <w:sz w:val="32"/>
          <w:szCs w:val="32"/>
          <w:highlight w:val="none"/>
        </w:rPr>
      </w:pPr>
    </w:p>
    <w:p w14:paraId="3F557A7F">
      <w:pPr>
        <w:ind w:firstLine="3840" w:firstLineChars="1200"/>
        <w:rPr>
          <w:rFonts w:hint="eastAsia" w:ascii="宋体" w:hAnsi="宋体" w:eastAsia="宋体" w:cs="宋体"/>
          <w:b/>
          <w:bCs/>
          <w:color w:val="auto"/>
          <w:sz w:val="48"/>
          <w:szCs w:val="48"/>
          <w:highlight w:val="none"/>
          <w:lang w:val="en-US" w:eastAsia="zh-CN"/>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ascii="宋体" w:hAnsi="宋体" w:eastAsia="宋体" w:cs="宋体"/>
          <w:b/>
          <w:bCs/>
          <w:color w:val="auto"/>
          <w:sz w:val="32"/>
          <w:szCs w:val="32"/>
          <w:highlight w:val="none"/>
        </w:rPr>
        <w:t>202</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cs="宋体"/>
          <w:b/>
          <w:bCs/>
          <w:color w:val="auto"/>
          <w:spacing w:val="40"/>
          <w:w w:val="90"/>
          <w:sz w:val="32"/>
          <w:highlight w:val="none"/>
          <w:lang w:val="en-US" w:eastAsia="zh-CN"/>
        </w:rPr>
        <w:t>2</w:t>
      </w:r>
      <w:r>
        <w:rPr>
          <w:rFonts w:hint="eastAsia" w:ascii="宋体" w:hAnsi="宋体" w:eastAsia="宋体" w:cs="宋体"/>
          <w:b/>
          <w:bCs/>
          <w:color w:val="auto"/>
          <w:sz w:val="32"/>
          <w:szCs w:val="32"/>
          <w:highlight w:val="none"/>
          <w:lang w:val="en-US" w:eastAsia="zh-CN"/>
        </w:rPr>
        <w:t>月</w:t>
      </w:r>
      <w:r>
        <w:rPr>
          <w:rFonts w:hint="eastAsia" w:ascii="宋体" w:hAnsi="宋体" w:cs="宋体"/>
          <w:b/>
          <w:bCs/>
          <w:color w:val="auto"/>
          <w:spacing w:val="40"/>
          <w:w w:val="90"/>
          <w:sz w:val="32"/>
          <w:highlight w:val="none"/>
          <w:lang w:val="en-US" w:eastAsia="zh-CN"/>
        </w:rPr>
        <w:t>20</w:t>
      </w:r>
      <w:r>
        <w:rPr>
          <w:rFonts w:hint="eastAsia" w:ascii="宋体" w:hAnsi="宋体" w:eastAsia="宋体" w:cs="宋体"/>
          <w:b/>
          <w:bCs/>
          <w:color w:val="auto"/>
          <w:sz w:val="32"/>
          <w:szCs w:val="32"/>
          <w:highlight w:val="none"/>
          <w:lang w:val="en-US" w:eastAsia="zh-CN"/>
        </w:rPr>
        <w:t>日</w:t>
      </w:r>
    </w:p>
    <w:p w14:paraId="17127872">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CN"/>
        </w:rPr>
        <w:t>目</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zh-CN"/>
        </w:rPr>
        <w:t>录</w:t>
      </w:r>
    </w:p>
    <w:p w14:paraId="07D3C52C">
      <w:pPr>
        <w:pStyle w:val="15"/>
        <w:tabs>
          <w:tab w:val="right" w:leader="dot" w:pos="10194"/>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_Toc23261 </w:instrText>
      </w:r>
      <w:r>
        <w:rPr>
          <w:rFonts w:hint="eastAsia" w:ascii="宋体" w:hAnsi="宋体" w:eastAsia="宋体" w:cs="宋体"/>
        </w:rPr>
        <w:fldChar w:fldCharType="separate"/>
      </w:r>
      <w:r>
        <w:rPr>
          <w:rFonts w:hint="eastAsia" w:ascii="宋体" w:hAnsi="宋体" w:eastAsia="宋体" w:cs="宋体"/>
          <w:szCs w:val="32"/>
        </w:rPr>
        <w:t>第一章 竞争性磋商公告</w:t>
      </w:r>
      <w:r>
        <w:tab/>
      </w:r>
      <w:r>
        <w:fldChar w:fldCharType="begin"/>
      </w:r>
      <w:r>
        <w:instrText xml:space="preserve"> PAGEREF _Toc23261 \h </w:instrText>
      </w:r>
      <w:r>
        <w:fldChar w:fldCharType="separate"/>
      </w:r>
      <w:r>
        <w:t>- 1 -</w:t>
      </w:r>
      <w:r>
        <w:fldChar w:fldCharType="end"/>
      </w:r>
      <w:r>
        <w:rPr>
          <w:rFonts w:hint="eastAsia" w:ascii="宋体" w:hAnsi="宋体" w:eastAsia="宋体" w:cs="宋体"/>
          <w:color w:val="auto"/>
        </w:rPr>
        <w:fldChar w:fldCharType="end"/>
      </w:r>
    </w:p>
    <w:p w14:paraId="26247686">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_Toc16823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_Toc16823 \h </w:instrText>
      </w:r>
      <w:r>
        <w:fldChar w:fldCharType="separate"/>
      </w:r>
      <w:r>
        <w:t>- 4 -</w:t>
      </w:r>
      <w:r>
        <w:fldChar w:fldCharType="end"/>
      </w:r>
      <w:r>
        <w:rPr>
          <w:rFonts w:hint="eastAsia" w:ascii="宋体" w:hAnsi="宋体" w:eastAsia="宋体" w:cs="宋体"/>
          <w:bCs/>
          <w:color w:val="auto"/>
          <w:kern w:val="2"/>
          <w:szCs w:val="24"/>
          <w:lang w:val="zh-CN" w:eastAsia="zh-CN" w:bidi="ar-SA"/>
        </w:rPr>
        <w:fldChar w:fldCharType="end"/>
      </w:r>
    </w:p>
    <w:p w14:paraId="6ABD7252">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_Toc20157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4"/>
          <w:highlight w:val="none"/>
        </w:rPr>
        <w:t>供 应 商 须 知 前 附 表</w:t>
      </w:r>
      <w:r>
        <w:tab/>
      </w:r>
      <w:r>
        <w:fldChar w:fldCharType="begin"/>
      </w:r>
      <w:r>
        <w:instrText xml:space="preserve"> PAGEREF _Toc20157 \h </w:instrText>
      </w:r>
      <w:r>
        <w:fldChar w:fldCharType="separate"/>
      </w:r>
      <w:r>
        <w:t>- 4 -</w:t>
      </w:r>
      <w:r>
        <w:fldChar w:fldCharType="end"/>
      </w:r>
      <w:r>
        <w:rPr>
          <w:rFonts w:hint="eastAsia" w:ascii="宋体" w:hAnsi="宋体" w:eastAsia="宋体" w:cs="宋体"/>
          <w:bCs/>
          <w:color w:val="auto"/>
          <w:kern w:val="2"/>
          <w:szCs w:val="24"/>
          <w:lang w:val="zh-CN" w:eastAsia="zh-CN" w:bidi="ar-SA"/>
        </w:rPr>
        <w:fldChar w:fldCharType="end"/>
      </w:r>
    </w:p>
    <w:p w14:paraId="17EFEE39">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_Toc7708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21"/>
          <w:highlight w:val="none"/>
        </w:rPr>
        <w:t>竞争性</w:t>
      </w:r>
      <w:r>
        <w:rPr>
          <w:rFonts w:hint="eastAsia" w:ascii="宋体" w:hAnsi="宋体" w:eastAsia="宋体" w:cs="宋体"/>
          <w:bCs/>
          <w:szCs w:val="21"/>
          <w:highlight w:val="none"/>
          <w:lang w:eastAsia="zh-CN"/>
        </w:rPr>
        <w:t>磋商</w:t>
      </w:r>
      <w:r>
        <w:rPr>
          <w:rFonts w:hint="eastAsia" w:ascii="宋体" w:hAnsi="宋体" w:eastAsia="宋体" w:cs="宋体"/>
          <w:bCs/>
          <w:szCs w:val="21"/>
          <w:highlight w:val="none"/>
        </w:rPr>
        <w:t>响应文件的</w:t>
      </w:r>
      <w:r>
        <w:rPr>
          <w:rFonts w:hint="eastAsia" w:ascii="宋体" w:hAnsi="宋体" w:eastAsia="宋体" w:cs="宋体"/>
          <w:bCs/>
          <w:szCs w:val="21"/>
          <w:highlight w:val="none"/>
          <w:lang w:eastAsia="zh-CN"/>
        </w:rPr>
        <w:t>制作</w:t>
      </w:r>
      <w:r>
        <w:tab/>
      </w:r>
      <w:r>
        <w:fldChar w:fldCharType="begin"/>
      </w:r>
      <w:r>
        <w:instrText xml:space="preserve"> PAGEREF _Toc7708 \h </w:instrText>
      </w:r>
      <w:r>
        <w:fldChar w:fldCharType="separate"/>
      </w:r>
      <w:r>
        <w:t>- 5 -</w:t>
      </w:r>
      <w:r>
        <w:fldChar w:fldCharType="end"/>
      </w:r>
      <w:r>
        <w:rPr>
          <w:rFonts w:hint="eastAsia" w:ascii="宋体" w:hAnsi="宋体" w:eastAsia="宋体" w:cs="宋体"/>
          <w:bCs/>
          <w:color w:val="auto"/>
          <w:kern w:val="2"/>
          <w:szCs w:val="24"/>
          <w:lang w:val="zh-CN" w:eastAsia="zh-CN" w:bidi="ar-SA"/>
        </w:rPr>
        <w:fldChar w:fldCharType="end"/>
      </w:r>
    </w:p>
    <w:p w14:paraId="2B3E681D">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_Toc23323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_Toc23323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55DE8F1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_Toc14198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_Toc14198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23B2D6B5">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_Toc27215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_Toc27215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54B6660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_Toc13368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_Toc13368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0469B934">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_Toc16524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lang w:val="en-US" w:eastAsia="zh-CN"/>
        </w:rPr>
        <w:t>3.5</w:t>
      </w:r>
      <w:r>
        <w:rPr>
          <w:rFonts w:hint="eastAsia" w:ascii="宋体" w:hAnsi="宋体" w:cs="宋体"/>
          <w:bCs/>
          <w:szCs w:val="21"/>
          <w:lang w:eastAsia="zh-CN"/>
        </w:rPr>
        <w:t>本项目的特定资格要求：</w:t>
      </w:r>
      <w:r>
        <w:rPr>
          <w:rFonts w:hint="eastAsia" w:ascii="宋体" w:hAnsi="宋体" w:cs="宋体"/>
          <w:bCs/>
          <w:szCs w:val="21"/>
          <w:lang w:val="en-US" w:eastAsia="zh-CN"/>
        </w:rPr>
        <w:t>无</w:t>
      </w:r>
      <w:r>
        <w:rPr>
          <w:rFonts w:hint="eastAsia" w:ascii="宋体" w:hAnsi="宋体" w:cs="宋体"/>
          <w:bCs/>
          <w:szCs w:val="21"/>
          <w:lang w:eastAsia="zh-CN"/>
        </w:rPr>
        <w:t>。</w:t>
      </w:r>
      <w:r>
        <w:tab/>
      </w:r>
      <w:r>
        <w:fldChar w:fldCharType="begin"/>
      </w:r>
      <w:r>
        <w:instrText xml:space="preserve"> PAGEREF _Toc16524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58914CEE">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_Toc26898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4. 磋商费用</w:t>
      </w:r>
      <w:r>
        <w:tab/>
      </w:r>
      <w:r>
        <w:fldChar w:fldCharType="begin"/>
      </w:r>
      <w:r>
        <w:instrText xml:space="preserve"> PAGEREF _Toc26898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4D56D223">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_Toc9193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_Toc9193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2A17C6C5">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_Toc16220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6. 质疑和投诉</w:t>
      </w:r>
      <w:r>
        <w:tab/>
      </w:r>
      <w:r>
        <w:fldChar w:fldCharType="begin"/>
      </w:r>
      <w:r>
        <w:instrText xml:space="preserve"> PAGEREF _Toc16220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14:paraId="7671FEC4">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_Toc3472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7. 转包与分包</w:t>
      </w:r>
      <w:r>
        <w:tab/>
      </w:r>
      <w:r>
        <w:fldChar w:fldCharType="begin"/>
      </w:r>
      <w:r>
        <w:instrText xml:space="preserve"> PAGEREF _Toc3472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14:paraId="40A8C287">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_Toc29693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_Toc29693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14:paraId="3549D94A">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_Toc30089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_Toc30089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14:paraId="3D726B8E">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_Toc6810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_Toc6810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14:paraId="274F8C5D">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_Toc5564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_Toc5564 \h </w:instrText>
      </w:r>
      <w:r>
        <w:fldChar w:fldCharType="separate"/>
      </w:r>
      <w:r>
        <w:t>- 10 -</w:t>
      </w:r>
      <w:r>
        <w:fldChar w:fldCharType="end"/>
      </w:r>
      <w:r>
        <w:rPr>
          <w:rFonts w:hint="eastAsia" w:ascii="宋体" w:hAnsi="宋体" w:eastAsia="宋体" w:cs="宋体"/>
          <w:bCs/>
          <w:color w:val="auto"/>
          <w:kern w:val="2"/>
          <w:szCs w:val="24"/>
          <w:lang w:val="zh-CN" w:eastAsia="zh-CN" w:bidi="ar-SA"/>
        </w:rPr>
        <w:fldChar w:fldCharType="end"/>
      </w:r>
    </w:p>
    <w:p w14:paraId="6D7012BC">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_Toc28417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_Toc28417 \h </w:instrText>
      </w:r>
      <w:r>
        <w:fldChar w:fldCharType="separate"/>
      </w:r>
      <w:r>
        <w:t>- 10 -</w:t>
      </w:r>
      <w:r>
        <w:fldChar w:fldCharType="end"/>
      </w:r>
      <w:r>
        <w:rPr>
          <w:rFonts w:hint="eastAsia" w:ascii="宋体" w:hAnsi="宋体" w:eastAsia="宋体" w:cs="宋体"/>
          <w:bCs/>
          <w:color w:val="auto"/>
          <w:kern w:val="2"/>
          <w:szCs w:val="24"/>
          <w:lang w:val="zh-CN" w:eastAsia="zh-CN" w:bidi="ar-SA"/>
        </w:rPr>
        <w:fldChar w:fldCharType="end"/>
      </w:r>
    </w:p>
    <w:p w14:paraId="4E4130A1">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_Toc9759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_Toc9759 \h </w:instrText>
      </w:r>
      <w:r>
        <w:fldChar w:fldCharType="separate"/>
      </w:r>
      <w:r>
        <w:t>- 10 -</w:t>
      </w:r>
      <w:r>
        <w:fldChar w:fldCharType="end"/>
      </w:r>
      <w:r>
        <w:rPr>
          <w:rFonts w:hint="eastAsia" w:ascii="宋体" w:hAnsi="宋体" w:eastAsia="宋体" w:cs="宋体"/>
          <w:bCs/>
          <w:color w:val="auto"/>
          <w:kern w:val="2"/>
          <w:szCs w:val="24"/>
          <w:lang w:val="zh-CN" w:eastAsia="zh-CN" w:bidi="ar-SA"/>
        </w:rPr>
        <w:fldChar w:fldCharType="end"/>
      </w:r>
    </w:p>
    <w:p w14:paraId="17A67CAA">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_Toc3890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_Toc3890 \h </w:instrText>
      </w:r>
      <w:r>
        <w:fldChar w:fldCharType="separate"/>
      </w:r>
      <w:r>
        <w:t>- 12 -</w:t>
      </w:r>
      <w:r>
        <w:fldChar w:fldCharType="end"/>
      </w:r>
      <w:r>
        <w:rPr>
          <w:rFonts w:hint="eastAsia" w:ascii="宋体" w:hAnsi="宋体" w:eastAsia="宋体" w:cs="宋体"/>
          <w:bCs/>
          <w:color w:val="auto"/>
          <w:kern w:val="2"/>
          <w:szCs w:val="24"/>
          <w:lang w:val="zh-CN" w:eastAsia="zh-CN" w:bidi="ar-SA"/>
        </w:rPr>
        <w:fldChar w:fldCharType="end"/>
      </w:r>
    </w:p>
    <w:p w14:paraId="5B386EE1">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_Toc25381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_Toc25381 \h </w:instrText>
      </w:r>
      <w:r>
        <w:fldChar w:fldCharType="separate"/>
      </w:r>
      <w:r>
        <w:t>- 12 -</w:t>
      </w:r>
      <w:r>
        <w:fldChar w:fldCharType="end"/>
      </w:r>
      <w:r>
        <w:rPr>
          <w:rFonts w:hint="eastAsia" w:ascii="宋体" w:hAnsi="宋体" w:eastAsia="宋体" w:cs="宋体"/>
          <w:bCs/>
          <w:color w:val="auto"/>
          <w:kern w:val="2"/>
          <w:szCs w:val="24"/>
          <w:lang w:val="zh-CN" w:eastAsia="zh-CN" w:bidi="ar-SA"/>
        </w:rPr>
        <w:fldChar w:fldCharType="end"/>
      </w:r>
    </w:p>
    <w:p w14:paraId="2F19ED83">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_Toc19063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_Toc19063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14:paraId="4997DFCA">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_Toc30961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15. 保证金</w:t>
      </w:r>
      <w:r>
        <w:tab/>
      </w:r>
      <w:r>
        <w:fldChar w:fldCharType="begin"/>
      </w:r>
      <w:r>
        <w:instrText xml:space="preserve"> PAGEREF _Toc30961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14:paraId="2CDF7FE5">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_Toc22115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_Toc22115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14:paraId="3F3B4A2A">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_Toc219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_Toc219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14:paraId="7911A24F">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_Toc185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_Toc185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14:paraId="2A990B62">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_Toc27710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_Toc27710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14:paraId="2530A269">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_Toc28033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19.1 磋商小组组成：</w:t>
      </w:r>
      <w:r>
        <w:tab/>
      </w:r>
      <w:r>
        <w:fldChar w:fldCharType="begin"/>
      </w:r>
      <w:r>
        <w:instrText xml:space="preserve"> PAGEREF _Toc28033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14:paraId="11FC93C4">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_Toc20147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19.2 磋商时间、地点、人员：</w:t>
      </w:r>
      <w:r>
        <w:tab/>
      </w:r>
      <w:r>
        <w:fldChar w:fldCharType="begin"/>
      </w:r>
      <w:r>
        <w:instrText xml:space="preserve"> PAGEREF _Toc20147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14:paraId="6870FDC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_Toc10970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_Toc10970 \h </w:instrText>
      </w:r>
      <w:r>
        <w:fldChar w:fldCharType="separate"/>
      </w:r>
      <w:r>
        <w:t>- 15 -</w:t>
      </w:r>
      <w:r>
        <w:fldChar w:fldCharType="end"/>
      </w:r>
      <w:r>
        <w:rPr>
          <w:rFonts w:hint="eastAsia" w:ascii="宋体" w:hAnsi="宋体" w:eastAsia="宋体" w:cs="宋体"/>
          <w:bCs/>
          <w:color w:val="auto"/>
          <w:kern w:val="2"/>
          <w:szCs w:val="24"/>
          <w:lang w:val="zh-CN" w:eastAsia="zh-CN" w:bidi="ar-SA"/>
        </w:rPr>
        <w:fldChar w:fldCharType="end"/>
      </w:r>
    </w:p>
    <w:p w14:paraId="0DC4096C">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_Toc19233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_Toc19233 \h </w:instrText>
      </w:r>
      <w:r>
        <w:fldChar w:fldCharType="separate"/>
      </w:r>
      <w:r>
        <w:t>- 15 -</w:t>
      </w:r>
      <w:r>
        <w:fldChar w:fldCharType="end"/>
      </w:r>
      <w:r>
        <w:rPr>
          <w:rFonts w:hint="eastAsia" w:ascii="宋体" w:hAnsi="宋体" w:eastAsia="宋体" w:cs="宋体"/>
          <w:bCs/>
          <w:color w:val="auto"/>
          <w:kern w:val="2"/>
          <w:szCs w:val="24"/>
          <w:lang w:val="zh-CN" w:eastAsia="zh-CN" w:bidi="ar-SA"/>
        </w:rPr>
        <w:fldChar w:fldCharType="end"/>
      </w:r>
    </w:p>
    <w:p w14:paraId="1179D7E7">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_Toc28744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_Toc28744 \h </w:instrText>
      </w:r>
      <w:r>
        <w:fldChar w:fldCharType="separate"/>
      </w:r>
      <w:r>
        <w:t>- 18 -</w:t>
      </w:r>
      <w:r>
        <w:fldChar w:fldCharType="end"/>
      </w:r>
      <w:r>
        <w:rPr>
          <w:rFonts w:hint="eastAsia" w:ascii="宋体" w:hAnsi="宋体" w:eastAsia="宋体" w:cs="宋体"/>
          <w:bCs/>
          <w:color w:val="auto"/>
          <w:kern w:val="2"/>
          <w:szCs w:val="24"/>
          <w:lang w:val="zh-CN" w:eastAsia="zh-CN" w:bidi="ar-SA"/>
        </w:rPr>
        <w:fldChar w:fldCharType="end"/>
      </w:r>
    </w:p>
    <w:p w14:paraId="4E231F2E">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_Toc16970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_Toc16970 \h </w:instrText>
      </w:r>
      <w:r>
        <w:fldChar w:fldCharType="separate"/>
      </w:r>
      <w:r>
        <w:t>- 18 -</w:t>
      </w:r>
      <w:r>
        <w:fldChar w:fldCharType="end"/>
      </w:r>
      <w:r>
        <w:rPr>
          <w:rFonts w:hint="eastAsia" w:ascii="宋体" w:hAnsi="宋体" w:eastAsia="宋体" w:cs="宋体"/>
          <w:bCs/>
          <w:color w:val="auto"/>
          <w:kern w:val="2"/>
          <w:szCs w:val="24"/>
          <w:lang w:val="zh-CN" w:eastAsia="zh-CN" w:bidi="ar-SA"/>
        </w:rPr>
        <w:fldChar w:fldCharType="end"/>
      </w:r>
    </w:p>
    <w:p w14:paraId="73878EE1">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_Toc19860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_Toc19860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14:paraId="006D777F">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_Toc5817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_Toc5817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14:paraId="4866F606">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_Toc28016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_Toc28016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14:paraId="64C3749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_Toc14662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_Toc14662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14:paraId="3D6F41D2">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_Toc29313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五、签订合同</w:t>
      </w:r>
      <w:r>
        <w:tab/>
      </w:r>
      <w:r>
        <w:fldChar w:fldCharType="begin"/>
      </w:r>
      <w:r>
        <w:instrText xml:space="preserve"> PAGEREF _Toc29313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682D2F16">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_Toc2695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_Toc2695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3C88568D">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_Toc27009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_Toc27009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3F4E80F4">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_Toc16607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_Toc16607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7F1411E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_Toc24974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_Toc24974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052A0A5B">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_Toc16407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en-US" w:eastAsia="zh-CN"/>
        </w:rPr>
        <w:t>31.解释权</w:t>
      </w:r>
      <w:r>
        <w:tab/>
      </w:r>
      <w:r>
        <w:fldChar w:fldCharType="begin"/>
      </w:r>
      <w:r>
        <w:instrText xml:space="preserve"> PAGEREF _Toc16407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36A846F6">
      <w:pPr>
        <w:pStyle w:val="11"/>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_Toc1001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en-US" w:eastAsia="zh-CN"/>
        </w:rPr>
        <w:t>32.监督管理机构</w:t>
      </w:r>
      <w:r>
        <w:tab/>
      </w:r>
      <w:r>
        <w:fldChar w:fldCharType="begin"/>
      </w:r>
      <w:r>
        <w:instrText xml:space="preserve"> PAGEREF _Toc1001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14:paraId="767E0B5B">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_Toc30367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lang w:eastAsia="zh-CN"/>
        </w:rPr>
        <w:t>第四章</w:t>
      </w:r>
      <w:r>
        <w:rPr>
          <w:rFonts w:hint="eastAsia" w:ascii="宋体" w:hAnsi="宋体" w:eastAsia="宋体" w:cs="宋体"/>
          <w:szCs w:val="32"/>
          <w:lang w:val="en-US" w:eastAsia="zh-CN"/>
        </w:rPr>
        <w:t xml:space="preserve"> </w:t>
      </w:r>
      <w:r>
        <w:rPr>
          <w:rFonts w:hint="eastAsia" w:ascii="宋体" w:hAnsi="宋体" w:eastAsia="宋体" w:cs="宋体"/>
          <w:szCs w:val="32"/>
        </w:rPr>
        <w:t>评审办法</w:t>
      </w:r>
      <w:r>
        <w:tab/>
      </w:r>
      <w:r>
        <w:fldChar w:fldCharType="begin"/>
      </w:r>
      <w:r>
        <w:instrText xml:space="preserve"> PAGEREF _Toc30367 \h </w:instrText>
      </w:r>
      <w:r>
        <w:fldChar w:fldCharType="separate"/>
      </w:r>
      <w:r>
        <w:t>- 42 -</w:t>
      </w:r>
      <w:r>
        <w:fldChar w:fldCharType="end"/>
      </w:r>
      <w:r>
        <w:rPr>
          <w:rFonts w:hint="eastAsia" w:ascii="宋体" w:hAnsi="宋体" w:eastAsia="宋体" w:cs="宋体"/>
          <w:bCs/>
          <w:color w:val="auto"/>
          <w:kern w:val="2"/>
          <w:szCs w:val="24"/>
          <w:lang w:val="zh-CN" w:eastAsia="zh-CN" w:bidi="ar-SA"/>
        </w:rPr>
        <w:fldChar w:fldCharType="end"/>
      </w:r>
    </w:p>
    <w:p w14:paraId="0A1A2830">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_Toc3758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21"/>
        </w:rPr>
        <w:t>一、评审依据</w:t>
      </w:r>
      <w:r>
        <w:tab/>
      </w:r>
      <w:r>
        <w:fldChar w:fldCharType="begin"/>
      </w:r>
      <w:r>
        <w:instrText xml:space="preserve"> PAGEREF _Toc3758 \h </w:instrText>
      </w:r>
      <w:r>
        <w:fldChar w:fldCharType="separate"/>
      </w:r>
      <w:r>
        <w:t>- 42 -</w:t>
      </w:r>
      <w:r>
        <w:fldChar w:fldCharType="end"/>
      </w:r>
      <w:r>
        <w:rPr>
          <w:rFonts w:hint="eastAsia" w:ascii="宋体" w:hAnsi="宋体" w:eastAsia="宋体" w:cs="宋体"/>
          <w:bCs/>
          <w:color w:val="auto"/>
          <w:kern w:val="2"/>
          <w:szCs w:val="24"/>
          <w:lang w:val="zh-CN" w:eastAsia="zh-CN" w:bidi="ar-SA"/>
        </w:rPr>
        <w:fldChar w:fldCharType="end"/>
      </w:r>
    </w:p>
    <w:p w14:paraId="725E56B6">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_Toc13795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21"/>
        </w:rPr>
        <w:t>二、评审办法</w:t>
      </w:r>
      <w:r>
        <w:tab/>
      </w:r>
      <w:r>
        <w:fldChar w:fldCharType="begin"/>
      </w:r>
      <w:r>
        <w:instrText xml:space="preserve"> PAGEREF _Toc13795 \h </w:instrText>
      </w:r>
      <w:r>
        <w:fldChar w:fldCharType="separate"/>
      </w:r>
      <w:r>
        <w:t>- 42 -</w:t>
      </w:r>
      <w:r>
        <w:fldChar w:fldCharType="end"/>
      </w:r>
      <w:r>
        <w:rPr>
          <w:rFonts w:hint="eastAsia" w:ascii="宋体" w:hAnsi="宋体" w:eastAsia="宋体" w:cs="宋体"/>
          <w:bCs/>
          <w:color w:val="auto"/>
          <w:kern w:val="2"/>
          <w:szCs w:val="24"/>
          <w:lang w:val="zh-CN" w:eastAsia="zh-CN" w:bidi="ar-SA"/>
        </w:rPr>
        <w:fldChar w:fldCharType="end"/>
      </w:r>
    </w:p>
    <w:p w14:paraId="4F085841">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_Toc29260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21"/>
        </w:rPr>
        <w:t>三、成交候选人推荐原则</w:t>
      </w:r>
      <w:r>
        <w:tab/>
      </w:r>
      <w:r>
        <w:fldChar w:fldCharType="begin"/>
      </w:r>
      <w:r>
        <w:instrText xml:space="preserve"> PAGEREF _Toc29260 \h </w:instrText>
      </w:r>
      <w:r>
        <w:fldChar w:fldCharType="separate"/>
      </w:r>
      <w:r>
        <w:t>- 47 -</w:t>
      </w:r>
      <w:r>
        <w:fldChar w:fldCharType="end"/>
      </w:r>
      <w:r>
        <w:rPr>
          <w:rFonts w:hint="eastAsia" w:ascii="宋体" w:hAnsi="宋体" w:eastAsia="宋体" w:cs="宋体"/>
          <w:bCs/>
          <w:color w:val="auto"/>
          <w:kern w:val="2"/>
          <w:szCs w:val="24"/>
          <w:lang w:val="zh-CN" w:eastAsia="zh-CN" w:bidi="ar-SA"/>
        </w:rPr>
        <w:fldChar w:fldCharType="end"/>
      </w:r>
    </w:p>
    <w:p w14:paraId="50053C56">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_Toc26213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lang w:val="en-US" w:eastAsia="zh-CN"/>
        </w:rPr>
        <w:t>四</w:t>
      </w:r>
      <w:r>
        <w:rPr>
          <w:rFonts w:hint="eastAsia" w:ascii="宋体" w:hAnsi="宋体" w:cs="宋体"/>
          <w:szCs w:val="21"/>
        </w:rPr>
        <w:t>、特别说明</w:t>
      </w:r>
      <w:r>
        <w:tab/>
      </w:r>
      <w:r>
        <w:fldChar w:fldCharType="begin"/>
      </w:r>
      <w:r>
        <w:instrText xml:space="preserve"> PAGEREF _Toc26213 \h </w:instrText>
      </w:r>
      <w:r>
        <w:fldChar w:fldCharType="separate"/>
      </w:r>
      <w:r>
        <w:t>- 48 -</w:t>
      </w:r>
      <w:r>
        <w:fldChar w:fldCharType="end"/>
      </w:r>
      <w:r>
        <w:rPr>
          <w:rFonts w:hint="eastAsia" w:ascii="宋体" w:hAnsi="宋体" w:eastAsia="宋体" w:cs="宋体"/>
          <w:bCs/>
          <w:color w:val="auto"/>
          <w:kern w:val="2"/>
          <w:szCs w:val="24"/>
          <w:lang w:val="zh-CN" w:eastAsia="zh-CN" w:bidi="ar-SA"/>
        </w:rPr>
        <w:fldChar w:fldCharType="end"/>
      </w:r>
    </w:p>
    <w:p w14:paraId="05EAF486">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_Toc4043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kern w:val="0"/>
          <w:szCs w:val="30"/>
        </w:rPr>
        <w:t>统计上大中小微型企业划分标准</w:t>
      </w:r>
      <w:r>
        <w:tab/>
      </w:r>
      <w:r>
        <w:fldChar w:fldCharType="begin"/>
      </w:r>
      <w:r>
        <w:instrText xml:space="preserve"> PAGEREF _Toc4043 \h </w:instrText>
      </w:r>
      <w:r>
        <w:fldChar w:fldCharType="separate"/>
      </w:r>
      <w:r>
        <w:t>- 49 -</w:t>
      </w:r>
      <w:r>
        <w:fldChar w:fldCharType="end"/>
      </w:r>
      <w:r>
        <w:rPr>
          <w:rFonts w:hint="eastAsia" w:ascii="宋体" w:hAnsi="宋体" w:eastAsia="宋体" w:cs="宋体"/>
          <w:bCs/>
          <w:color w:val="auto"/>
          <w:kern w:val="2"/>
          <w:szCs w:val="24"/>
          <w:lang w:val="zh-CN" w:eastAsia="zh-CN" w:bidi="ar-SA"/>
        </w:rPr>
        <w:fldChar w:fldCharType="end"/>
      </w:r>
    </w:p>
    <w:p w14:paraId="4AFE3A3A">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_Toc15732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lang w:eastAsia="zh-CN"/>
        </w:rPr>
        <w:t>第五章</w:t>
      </w:r>
      <w:r>
        <w:rPr>
          <w:rFonts w:hint="eastAsia" w:ascii="宋体" w:hAnsi="宋体" w:eastAsia="宋体" w:cs="宋体"/>
          <w:szCs w:val="32"/>
          <w:lang w:val="en-US" w:eastAsia="zh-CN"/>
        </w:rPr>
        <w:t xml:space="preserve"> </w:t>
      </w:r>
      <w:r>
        <w:rPr>
          <w:rFonts w:hint="eastAsia" w:ascii="宋体" w:hAnsi="宋体" w:eastAsia="宋体" w:cs="宋体"/>
          <w:szCs w:val="32"/>
        </w:rPr>
        <w:t>采购合同（合同主要条款及格式）</w:t>
      </w:r>
      <w:r>
        <w:tab/>
      </w:r>
      <w:r>
        <w:fldChar w:fldCharType="begin"/>
      </w:r>
      <w:r>
        <w:instrText xml:space="preserve"> PAGEREF _Toc15732 \h </w:instrText>
      </w:r>
      <w:r>
        <w:fldChar w:fldCharType="separate"/>
      </w:r>
      <w:r>
        <w:t>- 51 -</w:t>
      </w:r>
      <w:r>
        <w:fldChar w:fldCharType="end"/>
      </w:r>
      <w:r>
        <w:rPr>
          <w:rFonts w:hint="eastAsia" w:ascii="宋体" w:hAnsi="宋体" w:eastAsia="宋体" w:cs="宋体"/>
          <w:bCs/>
          <w:color w:val="auto"/>
          <w:kern w:val="2"/>
          <w:szCs w:val="24"/>
          <w:lang w:val="zh-CN" w:eastAsia="zh-CN" w:bidi="ar-SA"/>
        </w:rPr>
        <w:fldChar w:fldCharType="end"/>
      </w:r>
    </w:p>
    <w:p w14:paraId="017BA93E">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_Toc17947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第一条  合同标的及合同金额</w:t>
      </w:r>
      <w:r>
        <w:tab/>
      </w:r>
      <w:r>
        <w:fldChar w:fldCharType="begin"/>
      </w:r>
      <w:r>
        <w:instrText xml:space="preserve"> PAGEREF _Toc17947 \h </w:instrText>
      </w:r>
      <w:r>
        <w:fldChar w:fldCharType="separate"/>
      </w:r>
      <w:r>
        <w:t>- 51 -</w:t>
      </w:r>
      <w:r>
        <w:fldChar w:fldCharType="end"/>
      </w:r>
      <w:r>
        <w:rPr>
          <w:rFonts w:hint="eastAsia" w:ascii="宋体" w:hAnsi="宋体" w:eastAsia="宋体" w:cs="宋体"/>
          <w:bCs/>
          <w:color w:val="auto"/>
          <w:kern w:val="2"/>
          <w:szCs w:val="24"/>
          <w:lang w:val="zh-CN" w:eastAsia="zh-CN" w:bidi="ar-SA"/>
        </w:rPr>
        <w:fldChar w:fldCharType="end"/>
      </w:r>
    </w:p>
    <w:p w14:paraId="2A8BC350">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_Toc2480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第二条  质量保证</w:t>
      </w:r>
      <w:r>
        <w:tab/>
      </w:r>
      <w:r>
        <w:fldChar w:fldCharType="begin"/>
      </w:r>
      <w:r>
        <w:instrText xml:space="preserve"> PAGEREF _Toc2480 \h </w:instrText>
      </w:r>
      <w:r>
        <w:fldChar w:fldCharType="separate"/>
      </w:r>
      <w:r>
        <w:t>- 51 -</w:t>
      </w:r>
      <w:r>
        <w:fldChar w:fldCharType="end"/>
      </w:r>
      <w:r>
        <w:rPr>
          <w:rFonts w:hint="eastAsia" w:ascii="宋体" w:hAnsi="宋体" w:eastAsia="宋体" w:cs="宋体"/>
          <w:bCs/>
          <w:color w:val="auto"/>
          <w:kern w:val="2"/>
          <w:szCs w:val="24"/>
          <w:lang w:val="zh-CN" w:eastAsia="zh-CN" w:bidi="ar-SA"/>
        </w:rPr>
        <w:fldChar w:fldCharType="end"/>
      </w:r>
    </w:p>
    <w:p w14:paraId="2EF9E60A">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_Toc12034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第三条  权利保证</w:t>
      </w:r>
      <w:r>
        <w:tab/>
      </w:r>
      <w:r>
        <w:fldChar w:fldCharType="begin"/>
      </w:r>
      <w:r>
        <w:instrText xml:space="preserve"> PAGEREF _Toc12034 \h </w:instrText>
      </w:r>
      <w:r>
        <w:fldChar w:fldCharType="separate"/>
      </w:r>
      <w:r>
        <w:t>- 51 -</w:t>
      </w:r>
      <w:r>
        <w:fldChar w:fldCharType="end"/>
      </w:r>
      <w:r>
        <w:rPr>
          <w:rFonts w:hint="eastAsia" w:ascii="宋体" w:hAnsi="宋体" w:eastAsia="宋体" w:cs="宋体"/>
          <w:bCs/>
          <w:color w:val="auto"/>
          <w:kern w:val="2"/>
          <w:szCs w:val="24"/>
          <w:lang w:val="zh-CN" w:eastAsia="zh-CN" w:bidi="ar-SA"/>
        </w:rPr>
        <w:fldChar w:fldCharType="end"/>
      </w:r>
    </w:p>
    <w:p w14:paraId="58472DFF">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_Toc5322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第四条  货物包装、运输</w:t>
      </w:r>
      <w:r>
        <w:tab/>
      </w:r>
      <w:r>
        <w:fldChar w:fldCharType="begin"/>
      </w:r>
      <w:r>
        <w:instrText xml:space="preserve"> PAGEREF _Toc5322 \h </w:instrText>
      </w:r>
      <w:r>
        <w:fldChar w:fldCharType="separate"/>
      </w:r>
      <w:r>
        <w:t>- 51 -</w:t>
      </w:r>
      <w:r>
        <w:fldChar w:fldCharType="end"/>
      </w:r>
      <w:r>
        <w:rPr>
          <w:rFonts w:hint="eastAsia" w:ascii="宋体" w:hAnsi="宋体" w:eastAsia="宋体" w:cs="宋体"/>
          <w:bCs/>
          <w:color w:val="auto"/>
          <w:kern w:val="2"/>
          <w:szCs w:val="24"/>
          <w:lang w:val="zh-CN" w:eastAsia="zh-CN" w:bidi="ar-SA"/>
        </w:rPr>
        <w:fldChar w:fldCharType="end"/>
      </w:r>
    </w:p>
    <w:p w14:paraId="512C59D2">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_Toc12392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第五条  交付</w:t>
      </w:r>
      <w:r>
        <w:tab/>
      </w:r>
      <w:r>
        <w:fldChar w:fldCharType="begin"/>
      </w:r>
      <w:r>
        <w:instrText xml:space="preserve"> PAGEREF _Toc12392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7C877E81">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_Toc19482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第六条  调试和验收</w:t>
      </w:r>
      <w:r>
        <w:tab/>
      </w:r>
      <w:r>
        <w:fldChar w:fldCharType="begin"/>
      </w:r>
      <w:r>
        <w:instrText xml:space="preserve"> PAGEREF _Toc19482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5D170322">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_Toc27919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第七条  安装和培训</w:t>
      </w:r>
      <w:r>
        <w:tab/>
      </w:r>
      <w:r>
        <w:fldChar w:fldCharType="begin"/>
      </w:r>
      <w:r>
        <w:instrText xml:space="preserve"> PAGEREF _Toc27919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5ADE8EDE">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_Toc12030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第八条  售后服务、保修期</w:t>
      </w:r>
      <w:r>
        <w:tab/>
      </w:r>
      <w:r>
        <w:fldChar w:fldCharType="begin"/>
      </w:r>
      <w:r>
        <w:instrText xml:space="preserve"> PAGEREF _Toc12030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700D9420">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_Toc14329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第九条  税费</w:t>
      </w:r>
      <w:r>
        <w:tab/>
      </w:r>
      <w:r>
        <w:fldChar w:fldCharType="begin"/>
      </w:r>
      <w:r>
        <w:instrText xml:space="preserve"> PAGEREF _Toc14329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7157AD89">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_Toc14627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第十条  付款方式</w:t>
      </w:r>
      <w:r>
        <w:tab/>
      </w:r>
      <w:r>
        <w:fldChar w:fldCharType="begin"/>
      </w:r>
      <w:r>
        <w:instrText xml:space="preserve"> PAGEREF _Toc14627 \h </w:instrText>
      </w:r>
      <w:r>
        <w:fldChar w:fldCharType="separate"/>
      </w:r>
      <w:r>
        <w:t>- 52 -</w:t>
      </w:r>
      <w:r>
        <w:fldChar w:fldCharType="end"/>
      </w:r>
      <w:r>
        <w:rPr>
          <w:rFonts w:hint="eastAsia" w:ascii="宋体" w:hAnsi="宋体" w:eastAsia="宋体" w:cs="宋体"/>
          <w:bCs/>
          <w:color w:val="auto"/>
          <w:kern w:val="2"/>
          <w:szCs w:val="24"/>
          <w:lang w:val="zh-CN" w:eastAsia="zh-CN" w:bidi="ar-SA"/>
        </w:rPr>
        <w:fldChar w:fldCharType="end"/>
      </w:r>
    </w:p>
    <w:p w14:paraId="34D6A0C8">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_Toc2054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第十一条  违约责任</w:t>
      </w:r>
      <w:r>
        <w:tab/>
      </w:r>
      <w:r>
        <w:fldChar w:fldCharType="begin"/>
      </w:r>
      <w:r>
        <w:instrText xml:space="preserve"> PAGEREF _Toc2054 \h </w:instrText>
      </w:r>
      <w:r>
        <w:fldChar w:fldCharType="separate"/>
      </w:r>
      <w:r>
        <w:t>- 53 -</w:t>
      </w:r>
      <w:r>
        <w:fldChar w:fldCharType="end"/>
      </w:r>
      <w:r>
        <w:rPr>
          <w:rFonts w:hint="eastAsia" w:ascii="宋体" w:hAnsi="宋体" w:eastAsia="宋体" w:cs="宋体"/>
          <w:bCs/>
          <w:color w:val="auto"/>
          <w:kern w:val="2"/>
          <w:szCs w:val="24"/>
          <w:lang w:val="zh-CN" w:eastAsia="zh-CN" w:bidi="ar-SA"/>
        </w:rPr>
        <w:fldChar w:fldCharType="end"/>
      </w:r>
    </w:p>
    <w:p w14:paraId="4DC84826">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_Toc28710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第十二条  不可抗力事件处理</w:t>
      </w:r>
      <w:r>
        <w:tab/>
      </w:r>
      <w:r>
        <w:fldChar w:fldCharType="begin"/>
      </w:r>
      <w:r>
        <w:instrText xml:space="preserve"> PAGEREF _Toc28710 \h </w:instrText>
      </w:r>
      <w:r>
        <w:fldChar w:fldCharType="separate"/>
      </w:r>
      <w:r>
        <w:t>- 53 -</w:t>
      </w:r>
      <w:r>
        <w:fldChar w:fldCharType="end"/>
      </w:r>
      <w:r>
        <w:rPr>
          <w:rFonts w:hint="eastAsia" w:ascii="宋体" w:hAnsi="宋体" w:eastAsia="宋体" w:cs="宋体"/>
          <w:bCs/>
          <w:color w:val="auto"/>
          <w:kern w:val="2"/>
          <w:szCs w:val="24"/>
          <w:lang w:val="zh-CN" w:eastAsia="zh-CN" w:bidi="ar-SA"/>
        </w:rPr>
        <w:fldChar w:fldCharType="end"/>
      </w:r>
    </w:p>
    <w:p w14:paraId="16A91BA8">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_Toc5531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第十三条  合同争议解决</w:t>
      </w:r>
      <w:r>
        <w:tab/>
      </w:r>
      <w:r>
        <w:fldChar w:fldCharType="begin"/>
      </w:r>
      <w:r>
        <w:instrText xml:space="preserve"> PAGEREF _Toc5531 \h </w:instrText>
      </w:r>
      <w:r>
        <w:fldChar w:fldCharType="separate"/>
      </w:r>
      <w:r>
        <w:t>- 53 -</w:t>
      </w:r>
      <w:r>
        <w:fldChar w:fldCharType="end"/>
      </w:r>
      <w:r>
        <w:rPr>
          <w:rFonts w:hint="eastAsia" w:ascii="宋体" w:hAnsi="宋体" w:eastAsia="宋体" w:cs="宋体"/>
          <w:bCs/>
          <w:color w:val="auto"/>
          <w:kern w:val="2"/>
          <w:szCs w:val="24"/>
          <w:lang w:val="zh-CN" w:eastAsia="zh-CN" w:bidi="ar-SA"/>
        </w:rPr>
        <w:fldChar w:fldCharType="end"/>
      </w:r>
    </w:p>
    <w:p w14:paraId="33350059">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_Toc14128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第十四条  合同生效及其它</w:t>
      </w:r>
      <w:r>
        <w:tab/>
      </w:r>
      <w:r>
        <w:fldChar w:fldCharType="begin"/>
      </w:r>
      <w:r>
        <w:instrText xml:space="preserve"> PAGEREF _Toc14128 \h </w:instrText>
      </w:r>
      <w:r>
        <w:fldChar w:fldCharType="separate"/>
      </w:r>
      <w:r>
        <w:t>- 53 -</w:t>
      </w:r>
      <w:r>
        <w:fldChar w:fldCharType="end"/>
      </w:r>
      <w:r>
        <w:rPr>
          <w:rFonts w:hint="eastAsia" w:ascii="宋体" w:hAnsi="宋体" w:eastAsia="宋体" w:cs="宋体"/>
          <w:bCs/>
          <w:color w:val="auto"/>
          <w:kern w:val="2"/>
          <w:szCs w:val="24"/>
          <w:lang w:val="zh-CN" w:eastAsia="zh-CN" w:bidi="ar-SA"/>
        </w:rPr>
        <w:fldChar w:fldCharType="end"/>
      </w:r>
    </w:p>
    <w:p w14:paraId="44D53E56">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_Toc23109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第十五条  合同的变更、终止与转让</w:t>
      </w:r>
      <w:r>
        <w:tab/>
      </w:r>
      <w:r>
        <w:fldChar w:fldCharType="begin"/>
      </w:r>
      <w:r>
        <w:instrText xml:space="preserve"> PAGEREF _Toc23109 \h </w:instrText>
      </w:r>
      <w:r>
        <w:fldChar w:fldCharType="separate"/>
      </w:r>
      <w:r>
        <w:t>- 53 -</w:t>
      </w:r>
      <w:r>
        <w:fldChar w:fldCharType="end"/>
      </w:r>
      <w:r>
        <w:rPr>
          <w:rFonts w:hint="eastAsia" w:ascii="宋体" w:hAnsi="宋体" w:eastAsia="宋体" w:cs="宋体"/>
          <w:bCs/>
          <w:color w:val="auto"/>
          <w:kern w:val="2"/>
          <w:szCs w:val="24"/>
          <w:lang w:val="zh-CN" w:eastAsia="zh-CN" w:bidi="ar-SA"/>
        </w:rPr>
        <w:fldChar w:fldCharType="end"/>
      </w:r>
    </w:p>
    <w:p w14:paraId="7ABE97C4">
      <w:pPr>
        <w:pStyle w:val="17"/>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_Toc24697 </w:instrText>
      </w:r>
      <w:r>
        <w:rPr>
          <w:rFonts w:hint="eastAsia" w:ascii="宋体" w:hAnsi="宋体" w:eastAsia="宋体" w:cs="宋体"/>
          <w:bCs/>
          <w:kern w:val="2"/>
          <w:szCs w:val="24"/>
          <w:lang w:val="zh-CN" w:eastAsia="zh-CN" w:bidi="ar-SA"/>
        </w:rPr>
        <w:fldChar w:fldCharType="separate"/>
      </w:r>
      <w:r>
        <w:rPr>
          <w:rFonts w:hint="eastAsia" w:ascii="宋体" w:hAnsi="宋体" w:cs="宋体"/>
          <w:szCs w:val="21"/>
        </w:rPr>
        <w:t>第十六条  签订本合同依据</w:t>
      </w:r>
      <w:r>
        <w:tab/>
      </w:r>
      <w:r>
        <w:fldChar w:fldCharType="begin"/>
      </w:r>
      <w:r>
        <w:instrText xml:space="preserve"> PAGEREF _Toc24697 \h </w:instrText>
      </w:r>
      <w:r>
        <w:fldChar w:fldCharType="separate"/>
      </w:r>
      <w:r>
        <w:t>- 54 -</w:t>
      </w:r>
      <w:r>
        <w:fldChar w:fldCharType="end"/>
      </w:r>
      <w:r>
        <w:rPr>
          <w:rFonts w:hint="eastAsia" w:ascii="宋体" w:hAnsi="宋体" w:eastAsia="宋体" w:cs="宋体"/>
          <w:bCs/>
          <w:color w:val="auto"/>
          <w:kern w:val="2"/>
          <w:szCs w:val="24"/>
          <w:lang w:val="zh-CN" w:eastAsia="zh-CN" w:bidi="ar-SA"/>
        </w:rPr>
        <w:fldChar w:fldCharType="end"/>
      </w:r>
    </w:p>
    <w:p w14:paraId="57A37096">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_Toc10936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kern w:val="44"/>
          <w:szCs w:val="32"/>
        </w:rPr>
        <w:t xml:space="preserve">第六章  </w:t>
      </w:r>
      <w:r>
        <w:rPr>
          <w:rFonts w:hint="eastAsia" w:ascii="宋体" w:hAnsi="宋体" w:eastAsia="宋体" w:cs="宋体"/>
          <w:bCs/>
          <w:szCs w:val="32"/>
          <w:highlight w:val="none"/>
        </w:rPr>
        <w:t>响应文件（格式）</w:t>
      </w:r>
      <w:r>
        <w:tab/>
      </w:r>
      <w:r>
        <w:fldChar w:fldCharType="begin"/>
      </w:r>
      <w:r>
        <w:instrText xml:space="preserve"> PAGEREF _Toc10936 \h </w:instrText>
      </w:r>
      <w:r>
        <w:fldChar w:fldCharType="separate"/>
      </w:r>
      <w:r>
        <w:t>- 55 -</w:t>
      </w:r>
      <w:r>
        <w:fldChar w:fldCharType="end"/>
      </w:r>
      <w:r>
        <w:rPr>
          <w:rFonts w:hint="eastAsia" w:ascii="宋体" w:hAnsi="宋体" w:eastAsia="宋体" w:cs="宋体"/>
          <w:bCs/>
          <w:color w:val="auto"/>
          <w:kern w:val="2"/>
          <w:szCs w:val="24"/>
          <w:lang w:val="zh-CN" w:eastAsia="zh-CN" w:bidi="ar-SA"/>
        </w:rPr>
        <w:fldChar w:fldCharType="end"/>
      </w:r>
    </w:p>
    <w:p w14:paraId="6BFAF006">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_Toc29652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32"/>
          <w:lang w:eastAsia="zh-CN"/>
        </w:rPr>
        <w:t>一、响应文件袋（盒、箱）标记</w:t>
      </w:r>
      <w:r>
        <w:tab/>
      </w:r>
      <w:r>
        <w:fldChar w:fldCharType="begin"/>
      </w:r>
      <w:r>
        <w:instrText xml:space="preserve"> PAGEREF _Toc29652 \h </w:instrText>
      </w:r>
      <w:r>
        <w:fldChar w:fldCharType="separate"/>
      </w:r>
      <w:r>
        <w:t>- 55 -</w:t>
      </w:r>
      <w:r>
        <w:fldChar w:fldCharType="end"/>
      </w:r>
      <w:r>
        <w:rPr>
          <w:rFonts w:hint="eastAsia" w:ascii="宋体" w:hAnsi="宋体" w:eastAsia="宋体" w:cs="宋体"/>
          <w:bCs/>
          <w:color w:val="auto"/>
          <w:kern w:val="2"/>
          <w:szCs w:val="24"/>
          <w:lang w:val="zh-CN" w:eastAsia="zh-CN" w:bidi="ar-SA"/>
        </w:rPr>
        <w:fldChar w:fldCharType="end"/>
      </w:r>
    </w:p>
    <w:p w14:paraId="4B78488D">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_Toc9638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szCs w:val="32"/>
        </w:rPr>
        <w:t>二、 响应文件组成</w:t>
      </w:r>
      <w:r>
        <w:tab/>
      </w:r>
      <w:r>
        <w:fldChar w:fldCharType="begin"/>
      </w:r>
      <w:r>
        <w:instrText xml:space="preserve"> PAGEREF _Toc9638 \h </w:instrText>
      </w:r>
      <w:r>
        <w:fldChar w:fldCharType="separate"/>
      </w:r>
      <w:r>
        <w:t>- 56 -</w:t>
      </w:r>
      <w:r>
        <w:fldChar w:fldCharType="end"/>
      </w:r>
      <w:r>
        <w:rPr>
          <w:rFonts w:hint="eastAsia" w:ascii="宋体" w:hAnsi="宋体" w:eastAsia="宋体" w:cs="宋体"/>
          <w:bCs/>
          <w:color w:val="auto"/>
          <w:kern w:val="2"/>
          <w:szCs w:val="24"/>
          <w:lang w:val="zh-CN" w:eastAsia="zh-CN" w:bidi="ar-SA"/>
        </w:rPr>
        <w:fldChar w:fldCharType="end"/>
      </w:r>
    </w:p>
    <w:p w14:paraId="0A61975A">
      <w:pPr>
        <w:jc w:val="center"/>
        <w:rPr>
          <w:rFonts w:hint="eastAsia" w:ascii="宋体" w:hAnsi="宋体" w:eastAsia="宋体" w:cs="宋体"/>
          <w:b/>
          <w:bCs/>
          <w:color w:val="auto"/>
          <w:sz w:val="32"/>
          <w:szCs w:val="32"/>
        </w:rPr>
      </w:pPr>
      <w:r>
        <w:rPr>
          <w:rFonts w:hint="eastAsia" w:ascii="宋体" w:hAnsi="宋体" w:eastAsia="宋体" w:cs="宋体"/>
          <w:bCs/>
          <w:color w:val="auto"/>
          <w:kern w:val="2"/>
          <w:szCs w:val="24"/>
          <w:lang w:val="zh-CN" w:eastAsia="zh-CN" w:bidi="ar-SA"/>
        </w:rPr>
        <w:fldChar w:fldCharType="end"/>
      </w:r>
    </w:p>
    <w:p w14:paraId="1C2B3EE4">
      <w:pPr>
        <w:rPr>
          <w:rFonts w:hint="eastAsia" w:ascii="宋体" w:hAnsi="宋体" w:eastAsia="宋体" w:cs="宋体"/>
          <w:b/>
          <w:bCs/>
          <w:color w:val="auto"/>
          <w:sz w:val="32"/>
          <w:szCs w:val="32"/>
        </w:rPr>
        <w:sectPr>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p>
    <w:p w14:paraId="008568C3">
      <w:pPr>
        <w:pStyle w:val="3"/>
        <w:numPr>
          <w:ilvl w:val="0"/>
          <w:numId w:val="0"/>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rPr>
      </w:pPr>
      <w:bookmarkStart w:id="2" w:name="_Toc23261"/>
      <w:bookmarkStart w:id="3" w:name="_Toc26809"/>
      <w:bookmarkStart w:id="4" w:name="_Toc30170"/>
      <w:bookmarkStart w:id="5" w:name="_Toc28359011"/>
      <w:bookmarkStart w:id="6" w:name="_Toc35393797"/>
      <w:r>
        <w:rPr>
          <w:rFonts w:hint="eastAsia" w:ascii="宋体" w:hAnsi="宋体" w:eastAsia="宋体" w:cs="宋体"/>
          <w:b/>
          <w:bCs/>
          <w:color w:val="auto"/>
          <w:kern w:val="44"/>
          <w:sz w:val="32"/>
          <w:szCs w:val="32"/>
          <w:lang w:val="en-US" w:eastAsia="zh-CN" w:bidi="ar-SA"/>
        </w:rPr>
        <w:t>第一章　</w:t>
      </w:r>
      <w:r>
        <w:rPr>
          <w:rFonts w:hint="eastAsia" w:ascii="宋体" w:hAnsi="宋体" w:eastAsia="宋体" w:cs="宋体"/>
          <w:color w:val="auto"/>
          <w:sz w:val="32"/>
          <w:szCs w:val="32"/>
        </w:rPr>
        <w:t>竞争性磋商公告</w:t>
      </w:r>
      <w:bookmarkEnd w:id="2"/>
      <w:bookmarkEnd w:id="3"/>
      <w:bookmarkEnd w:id="4"/>
      <w:bookmarkEnd w:id="5"/>
      <w:bookmarkEnd w:id="6"/>
    </w:p>
    <w:p w14:paraId="63DB9A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p>
    <w:tbl>
      <w:tblPr>
        <w:tblStyle w:val="2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6A1C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noWrap w:val="0"/>
            <w:vAlign w:val="top"/>
          </w:tcPr>
          <w:p w14:paraId="08E2D43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6B7390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桂林市政府集中采购中心受</w:t>
            </w:r>
            <w:r>
              <w:rPr>
                <w:rFonts w:hint="eastAsia" w:ascii="宋体" w:hAnsi="宋体" w:cs="宋体"/>
                <w:color w:val="000000"/>
                <w:sz w:val="24"/>
                <w:szCs w:val="24"/>
                <w:u w:val="single"/>
                <w:lang w:val="en-US" w:eastAsia="zh-CN"/>
              </w:rPr>
              <w:t>桂林市象山区教育局</w:t>
            </w:r>
            <w:r>
              <w:rPr>
                <w:rFonts w:hint="eastAsia" w:ascii="宋体" w:hAnsi="宋体" w:eastAsia="宋体" w:cs="宋体"/>
                <w:color w:val="000000"/>
                <w:sz w:val="24"/>
                <w:szCs w:val="24"/>
              </w:rPr>
              <w:t>委托，根据《中华人民共和国政府采购法》《中华人民共和国政府采购法实施条例》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政府采购竞争性磋商采购方式管理暂行办法》等规定，</w:t>
            </w:r>
            <w:r>
              <w:rPr>
                <w:rFonts w:hint="eastAsia" w:ascii="宋体" w:hAnsi="宋体" w:eastAsia="宋体" w:cs="宋体"/>
                <w:color w:val="000000"/>
                <w:sz w:val="24"/>
                <w:szCs w:val="24"/>
                <w:lang w:eastAsia="zh-CN"/>
              </w:rPr>
              <w:t>现</w:t>
            </w:r>
            <w:r>
              <w:rPr>
                <w:rFonts w:hint="eastAsia" w:ascii="宋体" w:hAnsi="宋体" w:eastAsia="宋体" w:cs="宋体"/>
                <w:color w:val="000000"/>
                <w:sz w:val="24"/>
                <w:szCs w:val="24"/>
              </w:rPr>
              <w:t>就</w:t>
            </w:r>
            <w:r>
              <w:rPr>
                <w:rFonts w:hint="eastAsia" w:ascii="宋体" w:hAnsi="宋体" w:cs="宋体"/>
                <w:color w:val="000000"/>
                <w:sz w:val="24"/>
                <w:szCs w:val="24"/>
                <w:u w:val="single"/>
                <w:lang w:val="en-US" w:eastAsia="zh-CN"/>
              </w:rPr>
              <w:t>桂林市象山区教育局城域网服务采购</w:t>
            </w:r>
            <w:r>
              <w:rPr>
                <w:rFonts w:hint="eastAsia" w:ascii="宋体" w:hAnsi="宋体" w:eastAsia="宋体" w:cs="宋体"/>
                <w:color w:val="000000"/>
                <w:sz w:val="24"/>
                <w:szCs w:val="24"/>
              </w:rPr>
              <w:t>项目进行竞争性磋商采购，</w:t>
            </w:r>
            <w:r>
              <w:rPr>
                <w:rFonts w:hint="eastAsia" w:ascii="宋体" w:hAnsi="宋体" w:eastAsia="宋体" w:cs="宋体"/>
                <w:color w:val="000000"/>
                <w:sz w:val="24"/>
              </w:rPr>
              <w:t>欢迎符合条件的供应商</w:t>
            </w:r>
            <w:r>
              <w:rPr>
                <w:rFonts w:hint="eastAsia" w:ascii="宋体" w:hAnsi="宋体" w:eastAsia="宋体" w:cs="宋体"/>
                <w:color w:val="000000"/>
                <w:sz w:val="24"/>
                <w:lang w:eastAsia="zh-CN"/>
              </w:rPr>
              <w:t>前来</w:t>
            </w:r>
            <w:r>
              <w:rPr>
                <w:rFonts w:hint="eastAsia" w:ascii="宋体" w:hAnsi="宋体" w:eastAsia="宋体" w:cs="宋体"/>
                <w:color w:val="000000"/>
                <w:sz w:val="24"/>
                <w:highlight w:val="none"/>
              </w:rPr>
              <w:t>参加磋商活动</w:t>
            </w:r>
            <w:r>
              <w:rPr>
                <w:rFonts w:hint="eastAsia" w:ascii="宋体" w:hAnsi="宋体" w:eastAsia="宋体" w:cs="宋体"/>
                <w:color w:val="000000"/>
                <w:sz w:val="24"/>
              </w:rPr>
              <w:t>，并</w:t>
            </w:r>
            <w:r>
              <w:rPr>
                <w:rFonts w:hint="eastAsia" w:ascii="宋体" w:hAnsi="宋体" w:eastAsia="宋体" w:cs="宋体"/>
                <w:color w:val="auto"/>
                <w:sz w:val="24"/>
                <w:highlight w:val="none"/>
              </w:rPr>
              <w:t>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日上午9时30分</w:t>
            </w:r>
            <w:r>
              <w:rPr>
                <w:rFonts w:hint="eastAsia" w:ascii="宋体" w:hAnsi="宋体" w:eastAsia="宋体" w:cs="宋体"/>
                <w:color w:val="auto"/>
                <w:sz w:val="24"/>
                <w:highlight w:val="none"/>
              </w:rPr>
              <w:t>前</w:t>
            </w:r>
            <w:r>
              <w:rPr>
                <w:rFonts w:hint="eastAsia" w:ascii="宋体" w:hAnsi="宋体" w:eastAsia="宋体" w:cs="宋体"/>
                <w:color w:val="000000"/>
                <w:sz w:val="24"/>
              </w:rPr>
              <w:t>递交</w:t>
            </w:r>
            <w:r>
              <w:rPr>
                <w:rFonts w:hint="eastAsia" w:ascii="宋体" w:hAnsi="宋体" w:eastAsia="宋体" w:cs="宋体"/>
                <w:color w:val="000000"/>
                <w:sz w:val="24"/>
                <w:highlight w:val="none"/>
              </w:rPr>
              <w:t>响应文件</w:t>
            </w:r>
            <w:r>
              <w:rPr>
                <w:rFonts w:hint="eastAsia" w:ascii="宋体" w:hAnsi="宋体" w:eastAsia="宋体" w:cs="宋体"/>
                <w:color w:val="000000"/>
                <w:sz w:val="24"/>
              </w:rPr>
              <w:t>。</w:t>
            </w:r>
            <w:r>
              <w:rPr>
                <w:rFonts w:hint="eastAsia" w:ascii="宋体" w:hAnsi="宋体" w:eastAsia="宋体" w:cs="宋体"/>
                <w:color w:val="000000"/>
                <w:sz w:val="24"/>
                <w:szCs w:val="24"/>
              </w:rPr>
              <w:t>现将本次竞争性磋商的有关事项公告如下：</w:t>
            </w:r>
          </w:p>
        </w:tc>
      </w:tr>
    </w:tbl>
    <w:p w14:paraId="6A0E32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bookmarkStart w:id="7" w:name="_Toc28359012"/>
      <w:bookmarkStart w:id="8" w:name="_Toc35393629"/>
      <w:bookmarkStart w:id="9" w:name="_Toc28359089"/>
      <w:bookmarkStart w:id="10" w:name="_Toc35393798"/>
      <w:r>
        <w:rPr>
          <w:rFonts w:hint="eastAsia" w:ascii="宋体" w:hAnsi="宋体" w:eastAsia="宋体" w:cs="宋体"/>
          <w:color w:val="000000"/>
          <w:sz w:val="24"/>
        </w:rPr>
        <w:t>一、项目基本情况</w:t>
      </w:r>
      <w:bookmarkEnd w:id="7"/>
      <w:bookmarkEnd w:id="8"/>
      <w:bookmarkEnd w:id="9"/>
      <w:bookmarkEnd w:id="10"/>
    </w:p>
    <w:p w14:paraId="3E6DAE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项目编号：</w:t>
      </w:r>
      <w:r>
        <w:rPr>
          <w:rFonts w:hint="eastAsia" w:ascii="宋体" w:hAnsi="宋体" w:cs="宋体"/>
          <w:color w:val="auto"/>
          <w:sz w:val="24"/>
          <w:highlight w:val="none"/>
          <w:lang w:eastAsia="zh-CN"/>
        </w:rPr>
        <w:t>GLZC2025-C3-990025-GLSZ</w:t>
      </w:r>
      <w:r>
        <w:rPr>
          <w:rFonts w:hint="eastAsia" w:ascii="宋体" w:hAnsi="宋体" w:cs="宋体"/>
          <w:color w:val="auto"/>
          <w:sz w:val="24"/>
          <w:highlight w:val="none"/>
        </w:rPr>
        <w:t xml:space="preserve"> </w:t>
      </w:r>
    </w:p>
    <w:p w14:paraId="41D19AF7">
      <w:pPr>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桂林市象山区教育局城域网服务采购</w:t>
      </w:r>
    </w:p>
    <w:p w14:paraId="2ABD4B3C">
      <w:pPr>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rPr>
        <w:t>采购方式：竞争性磋商</w:t>
      </w:r>
    </w:p>
    <w:p w14:paraId="6568E6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000000"/>
          <w:sz w:val="24"/>
          <w:lang w:val="en-US" w:eastAsia="zh-CN"/>
        </w:rPr>
        <w:t>预算金额：</w:t>
      </w:r>
      <w:r>
        <w:rPr>
          <w:rFonts w:hint="eastAsia" w:ascii="宋体" w:hAnsi="宋体" w:cs="宋体"/>
          <w:color w:val="auto"/>
          <w:sz w:val="24"/>
          <w:lang w:eastAsia="zh-CN"/>
        </w:rPr>
        <w:t>人民币壹佰零伍万零陆拾元整（¥</w:t>
      </w:r>
      <w:r>
        <w:rPr>
          <w:rFonts w:hint="eastAsia" w:ascii="宋体" w:hAnsi="宋体" w:cs="宋体"/>
          <w:color w:val="auto"/>
          <w:sz w:val="24"/>
          <w:lang w:val="en-US" w:eastAsia="zh-CN"/>
        </w:rPr>
        <w:t>1050060</w:t>
      </w:r>
      <w:r>
        <w:rPr>
          <w:rFonts w:hint="eastAsia" w:ascii="宋体" w:hAnsi="宋体" w:cs="宋体"/>
          <w:color w:val="auto"/>
          <w:sz w:val="24"/>
          <w:lang w:eastAsia="zh-CN"/>
        </w:rPr>
        <w:t>.00元）</w:t>
      </w:r>
    </w:p>
    <w:p w14:paraId="445999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b/>
          <w:bCs/>
          <w:color w:val="000000"/>
          <w:sz w:val="24"/>
        </w:rPr>
        <w:t>采购需求</w:t>
      </w:r>
      <w:r>
        <w:rPr>
          <w:rFonts w:hint="eastAsia" w:ascii="宋体" w:hAnsi="宋体" w:eastAsia="宋体" w:cs="宋体"/>
          <w:color w:val="000000"/>
          <w:sz w:val="24"/>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394"/>
        <w:gridCol w:w="725"/>
        <w:gridCol w:w="1363"/>
        <w:gridCol w:w="2876"/>
      </w:tblGrid>
      <w:tr w14:paraId="21F6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2ECBE4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项号</w:t>
            </w:r>
          </w:p>
        </w:tc>
        <w:tc>
          <w:tcPr>
            <w:tcW w:w="3394" w:type="dxa"/>
            <w:tcBorders>
              <w:top w:val="single" w:color="auto" w:sz="4" w:space="0"/>
              <w:left w:val="nil"/>
              <w:bottom w:val="single" w:color="auto" w:sz="4" w:space="0"/>
              <w:right w:val="single" w:color="auto" w:sz="4" w:space="0"/>
            </w:tcBorders>
            <w:noWrap w:val="0"/>
            <w:vAlign w:val="center"/>
          </w:tcPr>
          <w:p w14:paraId="58563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cs="宋体"/>
                <w:sz w:val="24"/>
                <w:lang w:eastAsia="zh-CN"/>
              </w:rPr>
              <w:t>项目</w:t>
            </w:r>
            <w:r>
              <w:rPr>
                <w:rFonts w:hint="eastAsia" w:ascii="宋体" w:hAnsi="宋体" w:cs="宋体"/>
                <w:sz w:val="24"/>
              </w:rPr>
              <w:t>名称</w:t>
            </w:r>
          </w:p>
        </w:tc>
        <w:tc>
          <w:tcPr>
            <w:tcW w:w="725" w:type="dxa"/>
            <w:tcBorders>
              <w:top w:val="single" w:color="auto" w:sz="4" w:space="0"/>
              <w:left w:val="nil"/>
              <w:bottom w:val="single" w:color="auto" w:sz="4" w:space="0"/>
              <w:right w:val="single" w:color="auto" w:sz="4" w:space="0"/>
            </w:tcBorders>
            <w:noWrap w:val="0"/>
            <w:vAlign w:val="center"/>
          </w:tcPr>
          <w:p w14:paraId="1BE762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数量</w:t>
            </w:r>
          </w:p>
        </w:tc>
        <w:tc>
          <w:tcPr>
            <w:tcW w:w="1363" w:type="dxa"/>
            <w:tcBorders>
              <w:top w:val="single" w:color="auto" w:sz="4" w:space="0"/>
              <w:left w:val="nil"/>
              <w:bottom w:val="single" w:color="auto" w:sz="4" w:space="0"/>
              <w:right w:val="single" w:color="auto" w:sz="4" w:space="0"/>
            </w:tcBorders>
            <w:noWrap w:val="0"/>
            <w:vAlign w:val="center"/>
          </w:tcPr>
          <w:p w14:paraId="22608470">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单位</w:t>
            </w:r>
          </w:p>
        </w:tc>
        <w:tc>
          <w:tcPr>
            <w:tcW w:w="2876" w:type="dxa"/>
            <w:tcBorders>
              <w:top w:val="single" w:color="auto" w:sz="4" w:space="0"/>
              <w:left w:val="nil"/>
              <w:bottom w:val="single" w:color="auto" w:sz="4" w:space="0"/>
              <w:right w:val="single" w:color="auto" w:sz="4" w:space="0"/>
            </w:tcBorders>
            <w:noWrap w:val="0"/>
            <w:vAlign w:val="center"/>
          </w:tcPr>
          <w:p w14:paraId="4E458F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项目要求及</w:t>
            </w:r>
            <w:r>
              <w:rPr>
                <w:rFonts w:hint="eastAsia" w:ascii="宋体" w:hAnsi="宋体" w:eastAsia="宋体" w:cs="宋体"/>
                <w:color w:val="000000"/>
                <w:sz w:val="24"/>
                <w:lang w:eastAsia="zh-CN"/>
              </w:rPr>
              <w:t>服务</w:t>
            </w:r>
            <w:r>
              <w:rPr>
                <w:rFonts w:hint="eastAsia" w:ascii="宋体" w:hAnsi="宋体" w:eastAsia="宋体" w:cs="宋体"/>
                <w:color w:val="000000"/>
                <w:sz w:val="24"/>
              </w:rPr>
              <w:t>需求</w:t>
            </w:r>
          </w:p>
        </w:tc>
      </w:tr>
      <w:tr w14:paraId="7E8D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286000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3394" w:type="dxa"/>
            <w:tcBorders>
              <w:top w:val="single" w:color="auto" w:sz="4" w:space="0"/>
              <w:left w:val="nil"/>
              <w:bottom w:val="single" w:color="auto" w:sz="4" w:space="0"/>
              <w:right w:val="single" w:color="auto" w:sz="4" w:space="0"/>
            </w:tcBorders>
            <w:noWrap w:val="0"/>
            <w:vAlign w:val="center"/>
          </w:tcPr>
          <w:p w14:paraId="5D35A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000000"/>
                <w:sz w:val="24"/>
                <w:u w:val="none"/>
                <w:lang w:val="en-US" w:eastAsia="zh-CN"/>
              </w:rPr>
            </w:pPr>
            <w:r>
              <w:rPr>
                <w:rFonts w:hint="eastAsia" w:ascii="宋体" w:hAnsi="宋体" w:cs="宋体"/>
                <w:color w:val="000000"/>
                <w:sz w:val="24"/>
                <w:szCs w:val="24"/>
                <w:u w:val="none"/>
                <w:lang w:val="en-US" w:eastAsia="zh-CN"/>
              </w:rPr>
              <w:t>桂林市象山区教育局城域网服务采购</w:t>
            </w:r>
          </w:p>
          <w:p w14:paraId="617DFC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lang w:val="en-US" w:eastAsia="zh-CN"/>
              </w:rPr>
            </w:pPr>
          </w:p>
          <w:p w14:paraId="37CA27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725" w:type="dxa"/>
            <w:tcBorders>
              <w:top w:val="single" w:color="auto" w:sz="4" w:space="0"/>
              <w:left w:val="nil"/>
              <w:bottom w:val="single" w:color="auto" w:sz="4" w:space="0"/>
              <w:right w:val="single" w:color="auto" w:sz="4" w:space="0"/>
            </w:tcBorders>
            <w:noWrap w:val="0"/>
            <w:vAlign w:val="center"/>
          </w:tcPr>
          <w:p w14:paraId="42179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63" w:type="dxa"/>
            <w:tcBorders>
              <w:top w:val="single" w:color="auto" w:sz="4" w:space="0"/>
              <w:left w:val="nil"/>
              <w:bottom w:val="single" w:color="auto" w:sz="4" w:space="0"/>
              <w:right w:val="single" w:color="auto" w:sz="4" w:space="0"/>
            </w:tcBorders>
            <w:noWrap w:val="0"/>
            <w:vAlign w:val="center"/>
          </w:tcPr>
          <w:p w14:paraId="0F0332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2876" w:type="dxa"/>
            <w:tcBorders>
              <w:top w:val="single" w:color="auto" w:sz="4" w:space="0"/>
              <w:left w:val="nil"/>
              <w:bottom w:val="single" w:color="auto" w:sz="4" w:space="0"/>
              <w:right w:val="single" w:color="auto" w:sz="4" w:space="0"/>
            </w:tcBorders>
            <w:noWrap w:val="0"/>
            <w:vAlign w:val="center"/>
          </w:tcPr>
          <w:p w14:paraId="3A2276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详见竞争性磋商文件</w:t>
            </w:r>
            <w:r>
              <w:rPr>
                <w:rFonts w:hint="eastAsia" w:ascii="宋体" w:hAnsi="宋体" w:eastAsia="宋体" w:cs="宋体"/>
                <w:color w:val="auto"/>
                <w:sz w:val="24"/>
                <w:highlight w:val="none"/>
                <w:lang w:val="en-US" w:eastAsia="zh-CN"/>
              </w:rPr>
              <w:t xml:space="preserve">   </w:t>
            </w:r>
          </w:p>
        </w:tc>
      </w:tr>
    </w:tbl>
    <w:p w14:paraId="21ADA7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采购需求的详细内容，详见竞争性磋商文件。</w:t>
      </w:r>
    </w:p>
    <w:p w14:paraId="4BBC619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合同履行期限：</w:t>
      </w:r>
      <w:r>
        <w:rPr>
          <w:rFonts w:hint="eastAsia" w:ascii="宋体" w:hAnsi="宋体" w:eastAsia="宋体" w:cs="宋体"/>
          <w:i w:val="0"/>
          <w:iCs w:val="0"/>
          <w:color w:val="000000"/>
          <w:sz w:val="24"/>
          <w:szCs w:val="24"/>
          <w:lang w:val="en-US" w:eastAsia="zh-CN"/>
        </w:rPr>
        <w:t>自合同签订之日起至服务期满。</w:t>
      </w:r>
    </w:p>
    <w:p w14:paraId="0DA5AB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rPr>
      </w:pPr>
      <w:r>
        <w:rPr>
          <w:rFonts w:hint="eastAsia" w:ascii="宋体" w:hAnsi="宋体" w:eastAsia="宋体" w:cs="宋体"/>
          <w:b/>
          <w:bCs/>
          <w:color w:val="000000"/>
          <w:sz w:val="24"/>
        </w:rPr>
        <w:t>本项目不接受联合体参与磋商。</w:t>
      </w:r>
    </w:p>
    <w:p w14:paraId="00D59C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bookmarkStart w:id="11" w:name="_Toc35393799"/>
      <w:bookmarkStart w:id="12" w:name="_Toc28359090"/>
      <w:bookmarkStart w:id="13" w:name="_Toc35393630"/>
      <w:bookmarkStart w:id="14" w:name="_Toc28359013"/>
      <w:r>
        <w:rPr>
          <w:rFonts w:hint="eastAsia" w:ascii="宋体" w:hAnsi="宋体" w:eastAsia="宋体" w:cs="宋体"/>
          <w:color w:val="000000"/>
          <w:sz w:val="24"/>
        </w:rPr>
        <w:t>二、申请人的资格要求：</w:t>
      </w:r>
      <w:bookmarkEnd w:id="11"/>
      <w:bookmarkEnd w:id="12"/>
      <w:bookmarkEnd w:id="13"/>
      <w:bookmarkEnd w:id="14"/>
    </w:p>
    <w:p w14:paraId="2A540C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14:paraId="003753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lang w:eastAsia="zh-CN"/>
        </w:rPr>
      </w:pPr>
      <w:r>
        <w:rPr>
          <w:rFonts w:hint="eastAsia" w:ascii="宋体" w:hAnsi="宋体" w:eastAsia="宋体" w:cs="宋体"/>
          <w:color w:val="000000"/>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716781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sz w:val="24"/>
          <w:lang w:val="en-US" w:eastAsia="zh-CN"/>
        </w:rPr>
      </w:pPr>
      <w:bookmarkStart w:id="15" w:name="_Toc28359091"/>
      <w:bookmarkStart w:id="16" w:name="_Toc28359014"/>
      <w:r>
        <w:rPr>
          <w:rFonts w:hint="eastAsia" w:ascii="宋体" w:hAnsi="宋体" w:eastAsia="宋体" w:cs="宋体"/>
          <w:color w:val="000000"/>
          <w:sz w:val="24"/>
        </w:rPr>
        <w:t>3.落实政府采购政策需满足的资</w:t>
      </w:r>
      <w:r>
        <w:rPr>
          <w:rFonts w:hint="eastAsia" w:ascii="宋体" w:hAnsi="宋体" w:eastAsia="宋体" w:cs="宋体"/>
          <w:b w:val="0"/>
          <w:bCs w:val="0"/>
          <w:color w:val="000000"/>
          <w:sz w:val="24"/>
        </w:rPr>
        <w:t>格要求：</w:t>
      </w:r>
      <w:r>
        <w:rPr>
          <w:rFonts w:hint="eastAsia" w:ascii="宋体" w:hAnsi="宋体" w:cs="宋体"/>
          <w:b w:val="0"/>
          <w:bCs w:val="0"/>
          <w:color w:val="000000"/>
          <w:sz w:val="24"/>
          <w:szCs w:val="24"/>
          <w:highlight w:val="none"/>
          <w:lang w:val="en-US" w:eastAsia="zh-CN"/>
        </w:rPr>
        <w:t>无。</w:t>
      </w:r>
    </w:p>
    <w:p w14:paraId="2BDB7ADE">
      <w:pPr>
        <w:spacing w:line="380" w:lineRule="exact"/>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000000"/>
          <w:sz w:val="24"/>
        </w:rPr>
        <w:t>4.</w:t>
      </w:r>
      <w:bookmarkStart w:id="17" w:name="_Toc35393800"/>
      <w:bookmarkStart w:id="18" w:name="_Toc35393631"/>
      <w:r>
        <w:rPr>
          <w:rFonts w:hint="eastAsia" w:ascii="宋体" w:hAnsi="宋体" w:cs="宋体"/>
          <w:b w:val="0"/>
          <w:bCs w:val="0"/>
          <w:color w:val="auto"/>
          <w:sz w:val="24"/>
          <w:lang w:eastAsia="zh-CN"/>
        </w:rPr>
        <w:t>本项目的特定资格要求：</w:t>
      </w:r>
      <w:r>
        <w:rPr>
          <w:rFonts w:hint="eastAsia" w:ascii="宋体" w:hAnsi="宋体" w:cs="宋体"/>
          <w:b w:val="0"/>
          <w:bCs w:val="0"/>
          <w:color w:val="auto"/>
          <w:sz w:val="24"/>
          <w:lang w:val="en-US" w:eastAsia="zh-CN"/>
        </w:rPr>
        <w:t>无。</w:t>
      </w:r>
    </w:p>
    <w:bookmarkEnd w:id="15"/>
    <w:bookmarkEnd w:id="16"/>
    <w:bookmarkEnd w:id="17"/>
    <w:bookmarkEnd w:id="18"/>
    <w:p w14:paraId="67C1AA8A">
      <w:pPr>
        <w:rPr>
          <w:rFonts w:hint="eastAsia" w:ascii="宋体" w:hAnsi="宋体" w:eastAsia="宋体" w:cs="宋体"/>
          <w:color w:val="auto"/>
          <w:sz w:val="24"/>
        </w:rPr>
      </w:pPr>
      <w:bookmarkStart w:id="19" w:name="_Toc35393623"/>
      <w:bookmarkStart w:id="20" w:name="_Toc35393792"/>
      <w:bookmarkStart w:id="21" w:name="_Toc35393636"/>
      <w:bookmarkStart w:id="22" w:name="_Toc28359018"/>
      <w:bookmarkStart w:id="23" w:name="_Toc28359095"/>
      <w:bookmarkStart w:id="24" w:name="_Toc35393805"/>
      <w:r>
        <w:rPr>
          <w:rFonts w:hint="eastAsia" w:ascii="宋体" w:hAnsi="宋体" w:eastAsia="宋体" w:cs="宋体"/>
          <w:color w:val="auto"/>
          <w:sz w:val="24"/>
        </w:rPr>
        <w:t>三、获取</w:t>
      </w:r>
      <w:r>
        <w:rPr>
          <w:rFonts w:hint="eastAsia" w:ascii="宋体" w:hAnsi="宋体" w:eastAsia="宋体" w:cs="宋体"/>
          <w:color w:val="auto"/>
          <w:sz w:val="24"/>
          <w:lang w:eastAsia="zh-CN"/>
        </w:rPr>
        <w:t>采购</w:t>
      </w:r>
      <w:r>
        <w:rPr>
          <w:rFonts w:hint="eastAsia" w:ascii="宋体" w:hAnsi="宋体" w:eastAsia="宋体" w:cs="宋体"/>
          <w:color w:val="auto"/>
          <w:sz w:val="24"/>
        </w:rPr>
        <w:t>文件</w:t>
      </w:r>
      <w:bookmarkEnd w:id="19"/>
      <w:bookmarkEnd w:id="20"/>
    </w:p>
    <w:p w14:paraId="48E1BFDD">
      <w:pPr>
        <w:spacing w:line="380" w:lineRule="exact"/>
        <w:ind w:firstLine="480" w:firstLineChars="200"/>
        <w:rPr>
          <w:rFonts w:ascii="宋体" w:hAnsi="宋体" w:cs="宋体"/>
          <w:color w:val="auto"/>
          <w:sz w:val="24"/>
          <w:highlight w:val="none"/>
        </w:rPr>
      </w:pPr>
      <w:r>
        <w:rPr>
          <w:rFonts w:hint="eastAsia" w:ascii="宋体" w:hAnsi="宋体" w:eastAsia="宋体" w:cs="宋体"/>
          <w:color w:val="auto"/>
          <w:sz w:val="24"/>
        </w:rPr>
        <w:t>1.</w:t>
      </w:r>
      <w:r>
        <w:rPr>
          <w:rFonts w:hint="eastAsia" w:ascii="宋体" w:hAnsi="宋体" w:eastAsia="宋体" w:cs="宋体"/>
          <w:color w:val="auto"/>
          <w:sz w:val="24"/>
          <w:lang w:eastAsia="zh-CN"/>
        </w:rPr>
        <w:t>采</w:t>
      </w:r>
      <w:r>
        <w:rPr>
          <w:rFonts w:hint="eastAsia" w:ascii="宋体" w:hAnsi="宋体" w:eastAsia="宋体" w:cs="宋体"/>
          <w:color w:val="auto"/>
          <w:sz w:val="24"/>
          <w:highlight w:val="none"/>
          <w:lang w:eastAsia="zh-CN"/>
        </w:rPr>
        <w:t>购</w:t>
      </w:r>
      <w:r>
        <w:rPr>
          <w:rFonts w:hint="eastAsia" w:ascii="宋体" w:hAnsi="宋体" w:eastAsia="宋体" w:cs="宋体"/>
          <w:color w:val="auto"/>
          <w:sz w:val="24"/>
          <w:highlight w:val="none"/>
        </w:rPr>
        <w:t>文件获取时间：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日9时30分</w:t>
      </w:r>
      <w:r>
        <w:rPr>
          <w:rFonts w:hint="eastAsia" w:ascii="宋体" w:hAnsi="宋体" w:cs="宋体"/>
          <w:color w:val="auto"/>
          <w:sz w:val="24"/>
          <w:highlight w:val="none"/>
        </w:rPr>
        <w:t>。</w:t>
      </w:r>
    </w:p>
    <w:p w14:paraId="717AE8E2">
      <w:pPr>
        <w:pStyle w:val="10"/>
        <w:ind w:firstLine="480" w:firstLineChars="200"/>
        <w:rPr>
          <w:rFonts w:hint="eastAsia" w:eastAsia="宋体"/>
          <w:color w:val="auto"/>
          <w:highlight w:val="none"/>
          <w:lang w:eastAsia="zh-CN"/>
        </w:rPr>
      </w:pPr>
      <w:r>
        <w:rPr>
          <w:rFonts w:hint="eastAsia" w:ascii="宋体" w:hAnsi="宋体" w:eastAsia="宋体" w:cs="宋体"/>
          <w:color w:val="auto"/>
          <w:sz w:val="24"/>
          <w:highlight w:val="none"/>
        </w:rPr>
        <w:t>2.地点及方式：潜在供应商请</w:t>
      </w:r>
      <w:r>
        <w:rPr>
          <w:rFonts w:hint="eastAsia" w:ascii="宋体" w:hAnsi="宋体" w:cs="宋体"/>
          <w:color w:val="auto"/>
          <w:sz w:val="24"/>
          <w:highlight w:val="none"/>
          <w:lang w:val="en-US" w:eastAsia="zh-CN"/>
        </w:rPr>
        <w:t>登录广西政府采购云平台获取该项目采购文件。</w:t>
      </w:r>
    </w:p>
    <w:p w14:paraId="2F906F8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3.采购文件售价：本项目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文件不收取费用。</w:t>
      </w:r>
    </w:p>
    <w:p w14:paraId="7B7381D7">
      <w:pPr>
        <w:rPr>
          <w:rFonts w:hint="eastAsia" w:ascii="宋体" w:hAnsi="宋体" w:eastAsia="宋体" w:cs="宋体"/>
          <w:color w:val="auto"/>
          <w:sz w:val="24"/>
          <w:highlight w:val="none"/>
        </w:rPr>
      </w:pPr>
      <w:bookmarkStart w:id="25" w:name="_Toc28359005"/>
      <w:bookmarkStart w:id="26" w:name="_Toc28359082"/>
      <w:bookmarkStart w:id="27" w:name="_Toc35393793"/>
      <w:bookmarkStart w:id="28" w:name="_Toc35393624"/>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bookmarkEnd w:id="25"/>
      <w:bookmarkEnd w:id="26"/>
      <w:r>
        <w:rPr>
          <w:rFonts w:hint="eastAsia" w:ascii="宋体" w:hAnsi="宋体" w:eastAsia="宋体" w:cs="宋体"/>
          <w:color w:val="auto"/>
          <w:sz w:val="24"/>
          <w:highlight w:val="none"/>
          <w:lang w:eastAsia="zh-CN"/>
        </w:rPr>
        <w:t>提交</w:t>
      </w:r>
      <w:r>
        <w:rPr>
          <w:rFonts w:hint="eastAsia" w:ascii="宋体" w:hAnsi="宋体" w:eastAsia="宋体" w:cs="宋体"/>
          <w:color w:val="auto"/>
          <w:sz w:val="24"/>
          <w:highlight w:val="none"/>
        </w:rPr>
        <w:t>时间和地点</w:t>
      </w:r>
      <w:bookmarkEnd w:id="27"/>
      <w:bookmarkEnd w:id="28"/>
    </w:p>
    <w:p w14:paraId="6005F8A9">
      <w:pPr>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截止</w:t>
      </w:r>
      <w:r>
        <w:rPr>
          <w:rFonts w:hint="eastAsia" w:ascii="宋体" w:hAnsi="宋体" w:eastAsia="宋体" w:cs="宋体"/>
          <w:bCs/>
          <w:color w:val="auto"/>
          <w:sz w:val="24"/>
          <w:highlight w:val="none"/>
        </w:rPr>
        <w:t>时间：</w:t>
      </w:r>
      <w:r>
        <w:rPr>
          <w:rFonts w:hint="eastAsia" w:ascii="宋体" w:hAnsi="宋体" w:cs="宋体"/>
          <w:bCs/>
          <w:color w:val="auto"/>
          <w:sz w:val="24"/>
          <w:highlight w:val="none"/>
          <w:u w:val="single"/>
          <w:lang w:eastAsia="zh-CN"/>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lang w:eastAsia="zh-CN"/>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lang w:eastAsia="zh-CN"/>
        </w:rPr>
        <w:t>月</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lang w:eastAsia="zh-CN"/>
        </w:rPr>
        <w:t>日9时30分</w:t>
      </w:r>
      <w:r>
        <w:rPr>
          <w:rFonts w:hint="eastAsia" w:ascii="宋体" w:hAnsi="宋体" w:eastAsia="宋体" w:cs="宋体"/>
          <w:bCs/>
          <w:color w:val="auto"/>
          <w:sz w:val="24"/>
          <w:highlight w:val="none"/>
        </w:rPr>
        <w:t>（北京时间）。</w:t>
      </w:r>
    </w:p>
    <w:p w14:paraId="7C863947">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点：通过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13435B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196453B4">
      <w:pPr>
        <w:spacing w:line="340" w:lineRule="exact"/>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bCs/>
          <w:color w:val="auto"/>
          <w:sz w:val="24"/>
          <w:highlight w:val="none"/>
          <w:u w:val="single"/>
          <w:lang w:eastAsia="zh-CN"/>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lang w:eastAsia="zh-CN"/>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lang w:eastAsia="zh-CN"/>
        </w:rPr>
        <w:t>月</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lang w:eastAsia="zh-CN"/>
        </w:rPr>
        <w:t>日9时30分</w:t>
      </w:r>
      <w:r>
        <w:rPr>
          <w:rFonts w:hint="eastAsia" w:ascii="宋体" w:hAnsi="宋体" w:eastAsia="宋体" w:cs="宋体"/>
          <w:color w:val="auto"/>
          <w:sz w:val="24"/>
          <w:highlight w:val="none"/>
        </w:rPr>
        <w:t>（北京时间）截标后。</w:t>
      </w:r>
    </w:p>
    <w:p w14:paraId="2DF71880">
      <w:pPr>
        <w:spacing w:line="340" w:lineRule="exact"/>
        <w:ind w:firstLine="576"/>
        <w:rPr>
          <w:rFonts w:hint="eastAsia" w:ascii="宋体" w:hAnsi="宋体" w:eastAsia="宋体" w:cs="宋体"/>
          <w:color w:val="000000"/>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桂林市公共资源交易中心</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none"/>
          <w:lang w:val="en-US" w:eastAsia="zh-CN"/>
        </w:rPr>
        <w:t>号</w:t>
      </w:r>
      <w:r>
        <w:rPr>
          <w:rFonts w:hint="eastAsia" w:ascii="宋体" w:hAnsi="宋体" w:cs="宋体"/>
          <w:color w:val="auto"/>
          <w:sz w:val="24"/>
          <w:highlight w:val="none"/>
          <w:lang w:val="en-US" w:eastAsia="zh-CN"/>
        </w:rPr>
        <w:t>政采开标仓</w:t>
      </w:r>
      <w:r>
        <w:rPr>
          <w:rFonts w:hint="eastAsia" w:ascii="宋体" w:hAnsi="宋体" w:eastAsia="宋体" w:cs="宋体"/>
          <w:color w:val="auto"/>
          <w:sz w:val="24"/>
          <w:highlight w:val="none"/>
        </w:rPr>
        <w:t>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w:t>
      </w:r>
      <w:r>
        <w:rPr>
          <w:rFonts w:hint="eastAsia" w:ascii="宋体" w:hAnsi="宋体" w:eastAsia="宋体" w:cs="宋体"/>
          <w:color w:val="000000"/>
          <w:sz w:val="24"/>
          <w:highlight w:val="none"/>
        </w:rPr>
        <w:t>在线解密开启。</w:t>
      </w:r>
    </w:p>
    <w:p w14:paraId="4FA78592">
      <w:pPr>
        <w:rPr>
          <w:rFonts w:hint="eastAsia" w:ascii="宋体" w:hAnsi="宋体" w:eastAsia="宋体" w:cs="宋体"/>
          <w:color w:val="000000"/>
          <w:sz w:val="24"/>
        </w:rPr>
      </w:pPr>
      <w:bookmarkStart w:id="29" w:name="_Toc35393794"/>
      <w:bookmarkStart w:id="30" w:name="_Toc28359084"/>
      <w:bookmarkStart w:id="31" w:name="_Toc35393625"/>
      <w:bookmarkStart w:id="32" w:name="_Toc28359007"/>
      <w:r>
        <w:rPr>
          <w:rFonts w:hint="eastAsia" w:ascii="宋体" w:hAnsi="宋体" w:eastAsia="宋体" w:cs="宋体"/>
          <w:color w:val="000000"/>
          <w:sz w:val="24"/>
          <w:lang w:eastAsia="zh-CN"/>
        </w:rPr>
        <w:t>六</w:t>
      </w:r>
      <w:r>
        <w:rPr>
          <w:rFonts w:hint="eastAsia" w:ascii="宋体" w:hAnsi="宋体" w:eastAsia="宋体" w:cs="宋体"/>
          <w:color w:val="000000"/>
          <w:sz w:val="24"/>
        </w:rPr>
        <w:t>、公告期限</w:t>
      </w:r>
      <w:bookmarkEnd w:id="29"/>
      <w:bookmarkEnd w:id="30"/>
      <w:bookmarkEnd w:id="31"/>
      <w:bookmarkEnd w:id="32"/>
    </w:p>
    <w:p w14:paraId="6BC096A9">
      <w:pPr>
        <w:spacing w:line="3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自本公告发布之日起</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个工作日。</w:t>
      </w:r>
    </w:p>
    <w:p w14:paraId="6BB5BE5F">
      <w:pPr>
        <w:rPr>
          <w:rFonts w:hint="eastAsia" w:ascii="宋体" w:hAnsi="宋体" w:eastAsia="宋体" w:cs="宋体"/>
          <w:color w:val="000000"/>
          <w:sz w:val="24"/>
        </w:rPr>
      </w:pPr>
      <w:bookmarkStart w:id="33" w:name="_Toc35393626"/>
      <w:bookmarkStart w:id="34" w:name="_Toc35393795"/>
      <w:r>
        <w:rPr>
          <w:rFonts w:hint="eastAsia" w:ascii="宋体" w:hAnsi="宋体" w:eastAsia="宋体" w:cs="宋体"/>
          <w:color w:val="000000"/>
          <w:sz w:val="24"/>
          <w:lang w:eastAsia="zh-CN"/>
        </w:rPr>
        <w:t>七</w:t>
      </w:r>
      <w:r>
        <w:rPr>
          <w:rFonts w:hint="eastAsia" w:ascii="宋体" w:hAnsi="宋体" w:eastAsia="宋体" w:cs="宋体"/>
          <w:color w:val="000000"/>
          <w:sz w:val="24"/>
        </w:rPr>
        <w:t>、其他补充事宜</w:t>
      </w:r>
      <w:bookmarkEnd w:id="33"/>
      <w:bookmarkEnd w:id="34"/>
    </w:p>
    <w:p w14:paraId="22BA794F">
      <w:pPr>
        <w:numPr>
          <w:ilvl w:val="0"/>
          <w:numId w:val="0"/>
        </w:numPr>
        <w:spacing w:line="380" w:lineRule="exact"/>
        <w:ind w:firstLine="480" w:firstLineChars="200"/>
        <w:rPr>
          <w:rFonts w:hint="eastAsia" w:ascii="宋体" w:hAnsi="宋体" w:eastAsia="宋体" w:cs="宋体"/>
          <w:color w:val="000000"/>
          <w:sz w:val="24"/>
        </w:rPr>
      </w:pP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rPr>
        <w:t>本项目无需缴纳</w:t>
      </w:r>
      <w:r>
        <w:rPr>
          <w:rFonts w:hint="eastAsia" w:ascii="宋体" w:hAnsi="宋体" w:eastAsia="宋体" w:cs="宋体"/>
          <w:b/>
          <w:bCs/>
          <w:color w:val="000000"/>
          <w:sz w:val="24"/>
          <w:lang w:val="en-US" w:eastAsia="zh-CN"/>
        </w:rPr>
        <w:t>磋商</w:t>
      </w:r>
      <w:r>
        <w:rPr>
          <w:rFonts w:hint="eastAsia" w:ascii="宋体" w:hAnsi="宋体" w:eastAsia="宋体" w:cs="宋体"/>
          <w:b/>
          <w:bCs/>
          <w:color w:val="000000"/>
          <w:sz w:val="24"/>
        </w:rPr>
        <w:t>保证金。</w:t>
      </w:r>
    </w:p>
    <w:p w14:paraId="7BD411C4">
      <w:pPr>
        <w:numPr>
          <w:ilvl w:val="0"/>
          <w:numId w:val="0"/>
        </w:num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本项目信息发布媒体：</w:t>
      </w:r>
    </w:p>
    <w:p w14:paraId="5231E769">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桂林市政府采购网（zfcg.czj.guilin.gov.cn）</w:t>
      </w:r>
    </w:p>
    <w:p w14:paraId="49464FAA">
      <w:pPr>
        <w:spacing w:line="38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广西壮族自治区政府采购网（www.ccgp-guangxi.gov.cn</w:t>
      </w:r>
      <w:r>
        <w:rPr>
          <w:rFonts w:hint="eastAsia" w:ascii="宋体" w:hAnsi="宋体" w:eastAsia="宋体" w:cs="宋体"/>
          <w:color w:val="auto"/>
          <w:sz w:val="24"/>
          <w:highlight w:val="none"/>
          <w:lang w:eastAsia="zh-CN"/>
        </w:rPr>
        <w:t>）</w:t>
      </w:r>
    </w:p>
    <w:p w14:paraId="4FF21BAF">
      <w:pPr>
        <w:pStyle w:val="26"/>
        <w:numPr>
          <w:ilvl w:val="0"/>
          <w:numId w:val="0"/>
        </w:numPr>
        <w:ind w:firstLine="48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响应文件解密时间：截标时间后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w:t>
      </w:r>
      <w:r>
        <w:rPr>
          <w:rFonts w:hint="eastAsia" w:ascii="宋体" w:hAnsi="宋体" w:cs="宋体"/>
          <w:color w:val="auto"/>
          <w:kern w:val="2"/>
          <w:highlight w:val="none"/>
          <w:u w:val="single"/>
          <w:lang w:eastAsia="zh-CN"/>
        </w:rPr>
        <w:t>202</w:t>
      </w:r>
      <w:r>
        <w:rPr>
          <w:rFonts w:hint="eastAsia" w:ascii="宋体" w:hAnsi="宋体" w:cs="宋体"/>
          <w:color w:val="auto"/>
          <w:kern w:val="2"/>
          <w:highlight w:val="none"/>
          <w:u w:val="single"/>
          <w:lang w:val="en-US" w:eastAsia="zh-CN"/>
        </w:rPr>
        <w:t>5</w:t>
      </w:r>
      <w:r>
        <w:rPr>
          <w:rFonts w:hint="eastAsia" w:ascii="宋体" w:hAnsi="宋体" w:cs="宋体"/>
          <w:color w:val="auto"/>
          <w:kern w:val="2"/>
          <w:highlight w:val="none"/>
          <w:u w:val="single"/>
          <w:lang w:eastAsia="zh-CN"/>
        </w:rPr>
        <w:t>年</w:t>
      </w:r>
      <w:r>
        <w:rPr>
          <w:rFonts w:hint="eastAsia" w:ascii="宋体" w:hAnsi="宋体" w:cs="宋体"/>
          <w:color w:val="auto"/>
          <w:kern w:val="2"/>
          <w:highlight w:val="none"/>
          <w:u w:val="single"/>
          <w:lang w:val="en-US" w:eastAsia="zh-CN"/>
        </w:rPr>
        <w:t>3</w:t>
      </w:r>
      <w:r>
        <w:rPr>
          <w:rFonts w:hint="eastAsia" w:ascii="宋体" w:hAnsi="宋体" w:cs="宋体"/>
          <w:color w:val="auto"/>
          <w:kern w:val="2"/>
          <w:highlight w:val="none"/>
          <w:u w:val="single"/>
          <w:lang w:eastAsia="zh-CN"/>
        </w:rPr>
        <w:t>月</w:t>
      </w:r>
      <w:r>
        <w:rPr>
          <w:rFonts w:hint="eastAsia" w:ascii="宋体" w:hAnsi="宋体" w:cs="宋体"/>
          <w:color w:val="auto"/>
          <w:kern w:val="2"/>
          <w:highlight w:val="none"/>
          <w:u w:val="single"/>
          <w:lang w:val="en-US" w:eastAsia="zh-CN"/>
        </w:rPr>
        <w:t>3</w:t>
      </w:r>
      <w:r>
        <w:rPr>
          <w:rFonts w:hint="eastAsia" w:ascii="宋体" w:hAnsi="宋体" w:cs="宋体"/>
          <w:color w:val="auto"/>
          <w:kern w:val="2"/>
          <w:highlight w:val="none"/>
          <w:u w:val="single"/>
          <w:lang w:eastAsia="zh-CN"/>
        </w:rPr>
        <w:t>日上午9时30分</w:t>
      </w:r>
      <w:r>
        <w:rPr>
          <w:rFonts w:hint="eastAsia" w:ascii="宋体" w:hAnsi="宋体" w:eastAsia="宋体" w:cs="宋体"/>
          <w:color w:val="auto"/>
          <w:kern w:val="2"/>
          <w:highlight w:val="none"/>
          <w:u w:val="single"/>
        </w:rPr>
        <w:t>至</w:t>
      </w:r>
      <w:r>
        <w:rPr>
          <w:rFonts w:hint="eastAsia" w:ascii="宋体" w:hAnsi="宋体" w:cs="宋体"/>
          <w:color w:val="auto"/>
          <w:kern w:val="2"/>
          <w:highlight w:val="none"/>
          <w:u w:val="single"/>
          <w:lang w:val="en-US" w:eastAsia="zh-CN"/>
        </w:rPr>
        <w:t>10</w:t>
      </w:r>
      <w:r>
        <w:rPr>
          <w:rFonts w:hint="eastAsia" w:ascii="宋体" w:hAnsi="宋体" w:eastAsia="宋体" w:cs="宋体"/>
          <w:color w:val="auto"/>
          <w:kern w:val="2"/>
          <w:highlight w:val="none"/>
          <w:u w:val="single"/>
        </w:rPr>
        <w:t>时</w:t>
      </w:r>
      <w:r>
        <w:rPr>
          <w:rFonts w:hint="eastAsia" w:ascii="宋体" w:hAnsi="宋体" w:cs="宋体"/>
          <w:color w:val="auto"/>
          <w:kern w:val="2"/>
          <w:highlight w:val="none"/>
          <w:u w:val="single"/>
          <w:lang w:val="en-US" w:eastAsia="zh-CN"/>
        </w:rPr>
        <w:t>00</w:t>
      </w:r>
      <w:r>
        <w:rPr>
          <w:rFonts w:hint="eastAsia" w:ascii="宋体" w:hAnsi="宋体" w:eastAsia="宋体" w:cs="宋体"/>
          <w:color w:val="auto"/>
          <w:kern w:val="2"/>
          <w:highlight w:val="none"/>
          <w:u w:val="singl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供应商可以登录</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，用“项目采购-开标评标”功能进行解密</w:t>
      </w:r>
      <w:r>
        <w:rPr>
          <w:rFonts w:hint="eastAsia" w:ascii="宋体" w:hAnsi="宋体" w:eastAsia="宋体" w:cs="宋体"/>
          <w:color w:val="auto"/>
          <w:highlight w:val="none"/>
          <w:lang w:val="en-US" w:eastAsia="zh-CN"/>
        </w:rPr>
        <w:t>电子</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14:paraId="38E4183E">
      <w:pPr>
        <w:pStyle w:val="26"/>
        <w:numPr>
          <w:ilvl w:val="0"/>
          <w:numId w:val="0"/>
        </w:numPr>
        <w:ind w:firstLine="480" w:firstLineChars="200"/>
        <w:rPr>
          <w:rFonts w:hint="eastAsia" w:ascii="宋体" w:hAnsi="宋体" w:eastAsia="宋体" w:cs="宋体"/>
          <w:color w:val="000000"/>
          <w:highlight w:val="none"/>
          <w:lang w:val="en-US" w:eastAsia="zh-CN"/>
        </w:rPr>
      </w:pPr>
      <w:r>
        <w:rPr>
          <w:rFonts w:hint="eastAsia" w:ascii="宋体" w:hAnsi="宋体" w:eastAsia="宋体" w:cs="宋体"/>
          <w:b/>
          <w:bCs/>
          <w:color w:val="auto"/>
          <w:kern w:val="2"/>
          <w:sz w:val="24"/>
          <w:szCs w:val="24"/>
          <w:highlight w:val="none"/>
          <w:lang w:val="en-US" w:eastAsia="zh-CN" w:bidi="ar-SA"/>
        </w:rPr>
        <w:t>注：响应文件网上递交截止时间后，各供应商须在解密时限内对上传</w:t>
      </w:r>
      <w:r>
        <w:rPr>
          <w:rFonts w:hint="eastAsia" w:ascii="宋体" w:hAnsi="宋体" w:cs="宋体"/>
          <w:b/>
          <w:bCs/>
          <w:color w:val="auto"/>
          <w:kern w:val="2"/>
          <w:sz w:val="24"/>
          <w:szCs w:val="24"/>
          <w:highlight w:val="none"/>
          <w:lang w:val="en-US" w:eastAsia="zh-CN" w:bidi="ar-SA"/>
        </w:rPr>
        <w:t>广西政府采购云平台</w:t>
      </w:r>
      <w:r>
        <w:rPr>
          <w:rFonts w:hint="eastAsia" w:ascii="宋体" w:hAnsi="宋体" w:eastAsia="宋体" w:cs="宋体"/>
          <w:b/>
          <w:bCs/>
          <w:color w:val="auto"/>
          <w:kern w:val="2"/>
          <w:sz w:val="24"/>
          <w:szCs w:val="24"/>
          <w:highlight w:val="none"/>
          <w:lang w:val="en-US" w:eastAsia="zh-CN" w:bidi="ar-SA"/>
        </w:rPr>
        <w:t>的响应文件进行解密，所有供应商在规定的解密时限内解密完成或解密时</w:t>
      </w:r>
      <w:r>
        <w:rPr>
          <w:rFonts w:hint="eastAsia" w:ascii="宋体" w:hAnsi="宋体" w:eastAsia="宋体" w:cs="宋体"/>
          <w:b/>
          <w:bCs/>
          <w:kern w:val="2"/>
          <w:sz w:val="24"/>
          <w:szCs w:val="24"/>
          <w:highlight w:val="none"/>
          <w:lang w:val="en-US" w:eastAsia="zh-CN" w:bidi="ar-SA"/>
        </w:rPr>
        <w:t>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14:paraId="23092F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八、在线投标响应（电子投标）说明</w:t>
      </w:r>
    </w:p>
    <w:p w14:paraId="0C76E18B">
      <w:pPr>
        <w:spacing w:line="3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1.本项目通过</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实行在线投标响应（电子投标），供应商需要先安装“</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电子交易客户端”，并按照本</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文件和</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的要求，通过“</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电子交易客户端”编制并加密响应文件。供应商未按规定编制并加密的响应文件，</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将予以拒收。</w:t>
      </w:r>
    </w:p>
    <w:p w14:paraId="14A5C851">
      <w:pPr>
        <w:pStyle w:val="26"/>
        <w:ind w:firstLine="480" w:firstLineChars="200"/>
        <w:rPr>
          <w:rFonts w:hint="eastAsia" w:ascii="宋体" w:hAnsi="宋体" w:eastAsia="宋体" w:cs="宋体"/>
          <w:color w:val="000000"/>
        </w:rPr>
      </w:pPr>
      <w:r>
        <w:rPr>
          <w:rFonts w:hint="eastAsia" w:ascii="宋体" w:hAnsi="宋体" w:eastAsia="宋体" w:cs="宋体"/>
          <w:color w:val="000000"/>
        </w:rPr>
        <w:t>“</w:t>
      </w:r>
      <w:r>
        <w:rPr>
          <w:rFonts w:hint="eastAsia" w:ascii="宋体" w:hAnsi="宋体" w:cs="宋体"/>
          <w:color w:val="000000"/>
          <w:lang w:eastAsia="zh-CN"/>
        </w:rPr>
        <w:t>广西政府采购云平台</w:t>
      </w:r>
      <w:r>
        <w:rPr>
          <w:rFonts w:hint="eastAsia" w:ascii="宋体" w:hAnsi="宋体" w:eastAsia="宋体" w:cs="宋体"/>
          <w:color w:val="000000"/>
        </w:rPr>
        <w:t>电子交易客户端”请自行前往广西政府采购网下载并安装</w:t>
      </w:r>
      <w:r>
        <w:rPr>
          <w:rFonts w:hint="eastAsia" w:ascii="宋体" w:hAnsi="宋体" w:cs="宋体"/>
          <w:color w:val="000000"/>
          <w:lang w:eastAsia="zh-CN"/>
        </w:rPr>
        <w:t>；</w:t>
      </w:r>
      <w:r>
        <w:rPr>
          <w:rFonts w:hint="eastAsia" w:ascii="宋体" w:hAnsi="宋体" w:eastAsia="宋体" w:cs="宋体"/>
          <w:color w:val="000000"/>
        </w:rPr>
        <w:t>电子投标具体操作流程参考《政府采购项目电子交易管理操作指南-供应商》；在使用</w:t>
      </w:r>
      <w:r>
        <w:rPr>
          <w:rFonts w:hint="eastAsia" w:ascii="宋体" w:hAnsi="宋体" w:cs="宋体"/>
          <w:color w:val="000000"/>
          <w:lang w:eastAsia="zh-CN"/>
        </w:rPr>
        <w:t>广西政府采购云平台</w:t>
      </w:r>
      <w:r>
        <w:rPr>
          <w:rFonts w:hint="eastAsia" w:ascii="宋体" w:hAnsi="宋体" w:eastAsia="宋体" w:cs="宋体"/>
          <w:color w:val="000000"/>
        </w:rPr>
        <w:t>投标客户端时，建议使用WIN7及以上操作系统,通过</w:t>
      </w:r>
      <w:r>
        <w:rPr>
          <w:rFonts w:hint="eastAsia" w:ascii="宋体" w:hAnsi="宋体" w:cs="宋体"/>
          <w:color w:val="000000"/>
          <w:lang w:eastAsia="zh-CN"/>
        </w:rPr>
        <w:t>广西政府采购云平台</w:t>
      </w:r>
      <w:r>
        <w:rPr>
          <w:rFonts w:hint="eastAsia" w:ascii="宋体" w:hAnsi="宋体" w:eastAsia="宋体" w:cs="宋体"/>
          <w:color w:val="000000"/>
        </w:rPr>
        <w:t>参与在线投标时如遇平台技术问题详询</w:t>
      </w:r>
      <w:r>
        <w:rPr>
          <w:rFonts w:hint="eastAsia" w:ascii="宋体" w:hAnsi="宋体" w:cs="宋体"/>
          <w:color w:val="000000"/>
          <w:lang w:eastAsia="zh-CN"/>
        </w:rPr>
        <w:t>95763</w:t>
      </w:r>
      <w:r>
        <w:rPr>
          <w:rFonts w:hint="eastAsia" w:ascii="宋体" w:hAnsi="宋体" w:eastAsia="宋体" w:cs="宋体"/>
          <w:color w:val="000000"/>
        </w:rPr>
        <w:t>。</w:t>
      </w:r>
    </w:p>
    <w:p w14:paraId="4BF0641A">
      <w:pPr>
        <w:spacing w:line="340" w:lineRule="exact"/>
        <w:ind w:firstLine="480" w:firstLineChars="200"/>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2.为确保网上操作合法、有效和安全，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供应商应当在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截止时间前完成在“</w:t>
      </w:r>
      <w:r>
        <w:rPr>
          <w:rFonts w:hint="eastAsia" w:ascii="宋体" w:hAnsi="宋体" w:cs="宋体"/>
          <w:color w:val="000000"/>
          <w:sz w:val="24"/>
          <w:highlight w:val="none"/>
          <w:lang w:eastAsia="zh-CN"/>
        </w:rPr>
        <w:t>广西政府采购云</w:t>
      </w:r>
      <w:r>
        <w:rPr>
          <w:rFonts w:hint="eastAsia" w:ascii="宋体" w:hAnsi="宋体" w:eastAsia="宋体" w:cs="宋体"/>
          <w:color w:val="000000"/>
          <w:sz w:val="24"/>
          <w:highlight w:val="none"/>
        </w:rPr>
        <w:t>平台”的身份认证，确保在电子投标过程中能够对相关数据电文进行加密和使用电子签章。使用“</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电子交易客户端”需要提前申领CA数字证书，申领流程请自行前往</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网站进行查阅；</w:t>
      </w:r>
      <w:r>
        <w:rPr>
          <w:rFonts w:hint="eastAsia" w:ascii="宋体" w:hAnsi="宋体" w:eastAsia="宋体" w:cs="宋体"/>
          <w:b/>
          <w:bCs/>
          <w:color w:val="000000"/>
          <w:sz w:val="24"/>
          <w:highlight w:val="none"/>
        </w:rPr>
        <w:t>（完成CA数字证书办理预计一周左右，建议供应商获取</w:t>
      </w:r>
      <w:r>
        <w:rPr>
          <w:rFonts w:hint="eastAsia" w:ascii="宋体" w:hAnsi="宋体" w:eastAsia="宋体" w:cs="宋体"/>
          <w:b/>
          <w:bCs/>
          <w:color w:val="000000"/>
          <w:sz w:val="24"/>
          <w:highlight w:val="none"/>
          <w:lang w:eastAsia="zh-CN"/>
        </w:rPr>
        <w:t>磋商</w:t>
      </w:r>
      <w:r>
        <w:rPr>
          <w:rFonts w:hint="eastAsia" w:ascii="宋体" w:hAnsi="宋体" w:eastAsia="宋体" w:cs="宋体"/>
          <w:b/>
          <w:bCs/>
          <w:color w:val="000000"/>
          <w:sz w:val="24"/>
          <w:highlight w:val="none"/>
        </w:rPr>
        <w:t>文件后立即办理。）</w:t>
      </w:r>
    </w:p>
    <w:p w14:paraId="53D1E60E">
      <w:pPr>
        <w:spacing w:line="3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供应商应当在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截止时间前，将生成的“电子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响应文件”上传递交至</w:t>
      </w:r>
      <w:r>
        <w:rPr>
          <w:rFonts w:hint="eastAsia" w:ascii="宋体" w:hAnsi="宋体" w:cs="宋体"/>
          <w:color w:val="000000"/>
          <w:sz w:val="24"/>
          <w:highlight w:val="none"/>
          <w:lang w:eastAsia="zh-CN"/>
        </w:rPr>
        <w:t>广西政府采购云平台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响应文件递交</w:t>
      </w:r>
      <w:r>
        <w:rPr>
          <w:rFonts w:hint="eastAsia" w:ascii="宋体" w:hAnsi="宋体" w:eastAsia="宋体" w:cs="宋体"/>
          <w:color w:val="000000"/>
          <w:sz w:val="24"/>
          <w:highlight w:val="none"/>
        </w:rPr>
        <w:t>截止时间前可以撤回电子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响应文件。补充或者修改电子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响应文件的，应当先行撤回原文件，补充、修改后重新传输递交，</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lang w:val="en-US" w:eastAsia="zh-CN"/>
        </w:rPr>
        <w:t>响应文件递交</w:t>
      </w:r>
      <w:r>
        <w:rPr>
          <w:rFonts w:hint="eastAsia" w:ascii="宋体" w:hAnsi="宋体" w:eastAsia="宋体" w:cs="宋体"/>
          <w:color w:val="000000"/>
          <w:sz w:val="24"/>
          <w:highlight w:val="none"/>
        </w:rPr>
        <w:t>截止时间前未完成传输的，视为撤回</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w:t>
      </w:r>
    </w:p>
    <w:p w14:paraId="15C77962">
      <w:pPr>
        <w:pStyle w:val="26"/>
        <w:ind w:firstLine="480" w:firstLineChars="200"/>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u w:val="single"/>
          <w:lang w:val="en-US" w:eastAsia="zh-CN"/>
        </w:rPr>
        <w:t>4.本项目需要磋商供应商代表在截标当天截标后，按磋商小组要求及时登陆</w:t>
      </w:r>
      <w:r>
        <w:rPr>
          <w:rFonts w:hint="eastAsia" w:ascii="宋体" w:hAnsi="宋体" w:cs="宋体"/>
          <w:b/>
          <w:bCs/>
          <w:color w:val="000000"/>
          <w:sz w:val="24"/>
          <w:highlight w:val="none"/>
          <w:u w:val="single"/>
          <w:lang w:val="en-US" w:eastAsia="zh-CN"/>
        </w:rPr>
        <w:t>广西政府采购云平台</w:t>
      </w:r>
      <w:r>
        <w:rPr>
          <w:rFonts w:hint="eastAsia" w:ascii="宋体" w:hAnsi="宋体" w:eastAsia="宋体" w:cs="宋体"/>
          <w:b/>
          <w:bCs/>
          <w:color w:val="000000"/>
          <w:sz w:val="24"/>
          <w:highlight w:val="none"/>
          <w:u w:val="single"/>
          <w:lang w:val="en-US" w:eastAsia="zh-CN"/>
        </w:rPr>
        <w:t>等候在线磋商及提交最后报价。</w:t>
      </w:r>
    </w:p>
    <w:p w14:paraId="3B1816AA">
      <w:pPr>
        <w:pStyle w:val="26"/>
        <w:ind w:firstLine="480" w:firstLineChars="200"/>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u w:val="single"/>
          <w:lang w:val="en-US" w:eastAsia="zh-CN"/>
        </w:rPr>
        <w:t>本采购项目为</w:t>
      </w:r>
      <w:r>
        <w:rPr>
          <w:rFonts w:hint="eastAsia" w:ascii="宋体" w:hAnsi="宋体" w:cs="宋体"/>
          <w:b/>
          <w:bCs/>
          <w:color w:val="000000"/>
          <w:sz w:val="24"/>
          <w:highlight w:val="none"/>
          <w:u w:val="single"/>
          <w:lang w:val="en-US" w:eastAsia="zh-CN"/>
        </w:rPr>
        <w:t>广西政府采购云平台</w:t>
      </w:r>
      <w:r>
        <w:rPr>
          <w:rFonts w:hint="eastAsia" w:ascii="宋体" w:hAnsi="宋体" w:eastAsia="宋体" w:cs="宋体"/>
          <w:b/>
          <w:bCs/>
          <w:color w:val="000000"/>
          <w:sz w:val="24"/>
          <w:highlight w:val="none"/>
          <w:u w:val="single"/>
          <w:lang w:val="en-US" w:eastAsia="zh-CN"/>
        </w:rPr>
        <w:t>全流程电子化操作，参与磋商的供应商需自备计算机和网络设备（设备需可视频通话和读取</w:t>
      </w:r>
      <w:r>
        <w:rPr>
          <w:rFonts w:hint="eastAsia" w:ascii="宋体" w:hAnsi="宋体" w:cs="宋体"/>
          <w:b/>
          <w:bCs/>
          <w:color w:val="000000"/>
          <w:sz w:val="24"/>
          <w:highlight w:val="none"/>
          <w:u w:val="single"/>
          <w:lang w:val="en-US" w:eastAsia="zh-CN"/>
        </w:rPr>
        <w:t>广西政府采购云平台</w:t>
      </w:r>
      <w:r>
        <w:rPr>
          <w:rFonts w:hint="eastAsia" w:ascii="宋体" w:hAnsi="宋体" w:eastAsia="宋体" w:cs="宋体"/>
          <w:b/>
          <w:bCs/>
          <w:color w:val="000000"/>
          <w:sz w:val="24"/>
          <w:highlight w:val="none"/>
          <w:u w:val="single"/>
          <w:lang w:val="en-US" w:eastAsia="zh-CN"/>
        </w:rPr>
        <w:t>CA数字证书），确保磋商过程顺利进行；因供应商自身设备或网络原因造成的一切后果，由供应商自行承担。</w:t>
      </w:r>
    </w:p>
    <w:p w14:paraId="2002188C">
      <w:pPr>
        <w:pStyle w:val="26"/>
        <w:ind w:firstLine="480" w:firstLineChars="200"/>
        <w:rPr>
          <w:rFonts w:hint="eastAsia" w:ascii="宋体" w:hAnsi="宋体" w:eastAsia="宋体" w:cs="宋体"/>
          <w:b/>
          <w:bCs/>
          <w:color w:val="000000"/>
          <w:sz w:val="24"/>
          <w:highlight w:val="none"/>
          <w:u w:val="single"/>
          <w:lang w:val="en-US" w:eastAsia="zh-CN"/>
        </w:rPr>
      </w:pPr>
    </w:p>
    <w:p w14:paraId="7D723781">
      <w:pPr>
        <w:pStyle w:val="26"/>
        <w:ind w:firstLine="480" w:firstLineChars="200"/>
        <w:rPr>
          <w:rFonts w:hint="eastAsia" w:ascii="宋体" w:hAnsi="宋体" w:eastAsia="宋体" w:cs="宋体"/>
          <w:b/>
          <w:bCs/>
          <w:color w:val="000000"/>
          <w:sz w:val="24"/>
          <w:highlight w:val="none"/>
          <w:u w:val="single"/>
          <w:lang w:val="en-US" w:eastAsia="zh-CN"/>
        </w:rPr>
      </w:pPr>
    </w:p>
    <w:p w14:paraId="53EB1331">
      <w:pPr>
        <w:pStyle w:val="26"/>
        <w:ind w:firstLine="480" w:firstLineChars="200"/>
        <w:rPr>
          <w:rFonts w:hint="eastAsia" w:ascii="宋体" w:hAnsi="宋体" w:eastAsia="宋体" w:cs="宋体"/>
          <w:b/>
          <w:bCs/>
          <w:color w:val="000000"/>
          <w:sz w:val="24"/>
          <w:highlight w:val="none"/>
          <w:u w:val="single"/>
          <w:lang w:val="en-US" w:eastAsia="zh-CN"/>
        </w:rPr>
      </w:pPr>
    </w:p>
    <w:p w14:paraId="5C9387AE">
      <w:pPr>
        <w:pStyle w:val="26"/>
        <w:ind w:firstLine="480" w:firstLineChars="200"/>
        <w:rPr>
          <w:rFonts w:hint="eastAsia" w:ascii="宋体" w:hAnsi="宋体" w:eastAsia="宋体" w:cs="宋体"/>
          <w:b/>
          <w:bCs/>
          <w:color w:val="000000"/>
          <w:sz w:val="24"/>
          <w:highlight w:val="none"/>
          <w:u w:val="single"/>
          <w:lang w:val="en-US" w:eastAsia="zh-CN"/>
        </w:rPr>
      </w:pPr>
    </w:p>
    <w:p w14:paraId="5823692F">
      <w:pPr>
        <w:pStyle w:val="26"/>
        <w:ind w:firstLine="480" w:firstLineChars="200"/>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u w:val="single"/>
          <w:lang w:val="en-US" w:eastAsia="zh-CN"/>
        </w:rPr>
        <w:t>5.本项目</w:t>
      </w:r>
      <w:r>
        <w:rPr>
          <w:rFonts w:hint="eastAsia" w:ascii="宋体" w:hAnsi="宋体" w:cs="宋体"/>
          <w:b/>
          <w:bCs/>
          <w:color w:val="000000"/>
          <w:sz w:val="24"/>
          <w:highlight w:val="none"/>
          <w:u w:val="single"/>
          <w:lang w:val="en-US" w:eastAsia="zh-CN"/>
        </w:rPr>
        <w:t>供应商</w:t>
      </w:r>
      <w:r>
        <w:rPr>
          <w:rFonts w:hint="eastAsia" w:ascii="宋体" w:hAnsi="宋体" w:eastAsia="宋体" w:cs="宋体"/>
          <w:b/>
          <w:bCs/>
          <w:color w:val="000000"/>
          <w:sz w:val="24"/>
          <w:highlight w:val="none"/>
          <w:u w:val="single"/>
          <w:lang w:val="en-US" w:eastAsia="zh-CN"/>
        </w:rPr>
        <w:t>如需提供样品，</w:t>
      </w:r>
      <w:r>
        <w:rPr>
          <w:rFonts w:hint="eastAsia" w:ascii="宋体" w:hAnsi="宋体" w:cs="宋体"/>
          <w:b/>
          <w:bCs/>
          <w:color w:val="000000"/>
          <w:sz w:val="24"/>
          <w:highlight w:val="none"/>
          <w:u w:val="single"/>
          <w:lang w:val="en-US" w:eastAsia="zh-CN"/>
        </w:rPr>
        <w:t>供应商</w:t>
      </w:r>
      <w:r>
        <w:rPr>
          <w:rFonts w:hint="eastAsia" w:ascii="宋体" w:hAnsi="宋体" w:eastAsia="宋体" w:cs="宋体"/>
          <w:b/>
          <w:bCs/>
          <w:color w:val="000000"/>
          <w:sz w:val="24"/>
          <w:highlight w:val="none"/>
          <w:u w:val="single"/>
          <w:lang w:val="en-US" w:eastAsia="zh-CN"/>
        </w:rPr>
        <w:t>代表应在截标当天9时30分前持本人有效身份证原件及授权委托书，按招标文件要求到桂林市公共资源交易中心</w:t>
      </w:r>
      <w:r>
        <w:rPr>
          <w:rFonts w:hint="eastAsia" w:ascii="宋体" w:hAnsi="宋体" w:cs="宋体"/>
          <w:b/>
          <w:bCs/>
          <w:color w:val="000000"/>
          <w:sz w:val="24"/>
          <w:highlight w:val="none"/>
          <w:u w:val="single"/>
          <w:lang w:val="en-US" w:eastAsia="zh-CN"/>
        </w:rPr>
        <w:t>3</w:t>
      </w:r>
      <w:r>
        <w:rPr>
          <w:rFonts w:hint="eastAsia" w:ascii="宋体" w:hAnsi="宋体" w:eastAsia="宋体" w:cs="宋体"/>
          <w:b/>
          <w:bCs/>
          <w:color w:val="000000"/>
          <w:sz w:val="24"/>
          <w:highlight w:val="none"/>
          <w:u w:val="single"/>
          <w:lang w:val="en-US" w:eastAsia="zh-CN"/>
        </w:rPr>
        <w:t>号开标室（桂林市临桂区西城中路69号创业大厦西辅楼4楼）递交样品。</w:t>
      </w:r>
    </w:p>
    <w:p w14:paraId="37DF3A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九</w:t>
      </w:r>
      <w:r>
        <w:rPr>
          <w:rFonts w:hint="eastAsia" w:ascii="宋体" w:hAnsi="宋体" w:eastAsia="宋体" w:cs="宋体"/>
          <w:color w:val="000000"/>
          <w:sz w:val="24"/>
        </w:rPr>
        <w:t>、凡对本次采购提出询问，请按以下方式联系。</w:t>
      </w:r>
      <w:bookmarkEnd w:id="21"/>
      <w:bookmarkEnd w:id="22"/>
      <w:bookmarkEnd w:id="23"/>
      <w:bookmarkEnd w:id="24"/>
    </w:p>
    <w:p w14:paraId="43A898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p>
    <w:p w14:paraId="1DDC3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35" w:name="_Toc35393637"/>
      <w:bookmarkStart w:id="36" w:name="_Toc28359096"/>
      <w:bookmarkStart w:id="37" w:name="_Toc35393806"/>
      <w:bookmarkStart w:id="38" w:name="_Toc28359019"/>
      <w:r>
        <w:rPr>
          <w:rFonts w:hint="eastAsia" w:ascii="宋体" w:hAnsi="宋体" w:eastAsia="宋体" w:cs="宋体"/>
          <w:color w:val="000000" w:themeColor="text1"/>
          <w:sz w:val="24"/>
          <w:highlight w:val="none"/>
          <w14:textFill>
            <w14:solidFill>
              <w14:schemeClr w14:val="tx1"/>
            </w14:solidFill>
          </w14:textFill>
        </w:rPr>
        <w:t>1.采购人信息</w:t>
      </w:r>
      <w:bookmarkEnd w:id="35"/>
      <w:bookmarkEnd w:id="36"/>
      <w:bookmarkEnd w:id="37"/>
      <w:bookmarkEnd w:id="38"/>
    </w:p>
    <w:p w14:paraId="7167F3AB">
      <w:pPr>
        <w:spacing w:line="360" w:lineRule="auto"/>
        <w:ind w:left="1079" w:leftChars="371" w:hanging="300" w:hangingChars="125"/>
        <w:jc w:val="left"/>
        <w:rPr>
          <w:rFonts w:hint="eastAsia" w:ascii="宋体" w:hAnsi="宋体" w:cs="宋体"/>
          <w:color w:val="auto"/>
          <w:sz w:val="24"/>
          <w:u w:val="single"/>
        </w:rPr>
      </w:pPr>
      <w:bookmarkStart w:id="39" w:name="_Toc28359020"/>
      <w:bookmarkStart w:id="40" w:name="_Toc35393807"/>
      <w:bookmarkStart w:id="41" w:name="_Toc35393638"/>
      <w:bookmarkStart w:id="42" w:name="_Toc28359097"/>
      <w:r>
        <w:rPr>
          <w:rFonts w:hint="eastAsia" w:ascii="宋体" w:hAnsi="宋体" w:cs="宋体"/>
          <w:sz w:val="24"/>
        </w:rPr>
        <w:t>名    称：</w:t>
      </w:r>
      <w:r>
        <w:rPr>
          <w:rFonts w:hint="eastAsia" w:ascii="宋体" w:hAnsi="宋体" w:cs="宋体"/>
          <w:color w:val="auto"/>
          <w:sz w:val="24"/>
          <w:u w:val="single"/>
          <w:lang w:eastAsia="zh-CN"/>
        </w:rPr>
        <w:t>桂林市象山区教育局</w:t>
      </w:r>
      <w:r>
        <w:rPr>
          <w:rFonts w:hint="eastAsia" w:ascii="宋体" w:hAnsi="宋体" w:cs="宋体"/>
          <w:color w:val="auto"/>
          <w:sz w:val="24"/>
          <w:u w:val="single"/>
        </w:rPr>
        <w:t xml:space="preserve"> </w:t>
      </w:r>
    </w:p>
    <w:p w14:paraId="508B4696">
      <w:pPr>
        <w:spacing w:line="360" w:lineRule="auto"/>
        <w:ind w:left="1079" w:leftChars="371" w:hanging="300" w:hangingChars="125"/>
        <w:jc w:val="left"/>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u w:val="single"/>
          <w:lang w:eastAsia="zh-CN"/>
        </w:rPr>
        <w:t>桂林市象山区雉山路19号</w:t>
      </w:r>
    </w:p>
    <w:p w14:paraId="186EB9CE">
      <w:pPr>
        <w:spacing w:line="360" w:lineRule="auto"/>
        <w:ind w:left="1079" w:leftChars="371" w:hanging="300" w:hangingChars="125"/>
        <w:jc w:val="left"/>
        <w:rPr>
          <w:rFonts w:hint="default" w:ascii="宋体" w:hAnsi="宋体" w:eastAsia="宋体" w:cs="宋体"/>
          <w:color w:val="auto"/>
          <w:sz w:val="24"/>
          <w:u w:val="single"/>
          <w:lang w:val="en-US" w:eastAsia="zh-CN"/>
        </w:rPr>
      </w:pPr>
      <w:r>
        <w:rPr>
          <w:rFonts w:hint="eastAsia" w:ascii="宋体" w:hAnsi="宋体" w:cs="宋体"/>
          <w:color w:val="auto"/>
          <w:sz w:val="24"/>
        </w:rPr>
        <w:t>联 系 人：</w:t>
      </w:r>
      <w:r>
        <w:rPr>
          <w:rFonts w:hint="eastAsia" w:ascii="宋体" w:hAnsi="宋体" w:cs="宋体"/>
          <w:sz w:val="24"/>
          <w:highlight w:val="none"/>
          <w:u w:val="single"/>
          <w:lang w:val="en-US" w:eastAsia="zh-CN"/>
        </w:rPr>
        <w:t>黄老师</w:t>
      </w:r>
    </w:p>
    <w:p w14:paraId="4F42CE26">
      <w:pPr>
        <w:spacing w:line="380" w:lineRule="exact"/>
        <w:ind w:left="1079" w:leftChars="371" w:hanging="300" w:hangingChars="125"/>
        <w:jc w:val="left"/>
        <w:rPr>
          <w:rFonts w:hint="default" w:ascii="宋体" w:hAnsi="宋体" w:eastAsia="宋体" w:cs="宋体"/>
          <w:color w:val="auto"/>
          <w:sz w:val="24"/>
          <w:lang w:val="en-US" w:eastAsia="zh-CN"/>
        </w:rPr>
      </w:pPr>
      <w:r>
        <w:rPr>
          <w:rFonts w:hint="eastAsia" w:ascii="宋体" w:hAnsi="宋体" w:cs="宋体"/>
          <w:color w:val="auto"/>
          <w:sz w:val="24"/>
        </w:rPr>
        <w:t>联系方式：</w:t>
      </w:r>
      <w:r>
        <w:rPr>
          <w:rFonts w:hint="eastAsia" w:ascii="宋体" w:hAnsi="宋体" w:cs="宋体"/>
          <w:sz w:val="24"/>
          <w:highlight w:val="none"/>
          <w:u w:val="single"/>
          <w:lang w:val="en-US" w:eastAsia="zh-CN"/>
        </w:rPr>
        <w:t>18078456977</w:t>
      </w:r>
    </w:p>
    <w:p w14:paraId="389804BC">
      <w:pPr>
        <w:spacing w:line="400" w:lineRule="exact"/>
        <w:ind w:firstLine="578"/>
        <w:rPr>
          <w:rFonts w:hint="eastAsia" w:ascii="宋体" w:hAnsi="宋体" w:cs="宋体"/>
          <w:color w:val="auto"/>
          <w:sz w:val="24"/>
        </w:rPr>
      </w:pPr>
      <w:r>
        <w:rPr>
          <w:rFonts w:hint="eastAsia" w:ascii="宋体" w:hAnsi="宋体" w:cs="宋体"/>
          <w:color w:val="auto"/>
          <w:sz w:val="24"/>
        </w:rPr>
        <w:t>2.采购代理机构信息</w:t>
      </w:r>
      <w:bookmarkEnd w:id="39"/>
      <w:bookmarkEnd w:id="40"/>
      <w:bookmarkEnd w:id="41"/>
      <w:bookmarkEnd w:id="42"/>
    </w:p>
    <w:p w14:paraId="1B380FBA">
      <w:pPr>
        <w:spacing w:line="400" w:lineRule="exact"/>
        <w:ind w:firstLine="720" w:firstLineChars="300"/>
        <w:jc w:val="left"/>
        <w:rPr>
          <w:rFonts w:hint="eastAsia"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rPr>
        <w:t>桂林市政府集中采购中心　　　</w:t>
      </w:r>
    </w:p>
    <w:p w14:paraId="7E47C5A1">
      <w:pPr>
        <w:spacing w:line="400" w:lineRule="exact"/>
        <w:ind w:firstLine="720" w:firstLineChars="3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桂林市临桂区西城中路69号创业大厦西辅楼5楼　</w:t>
      </w:r>
    </w:p>
    <w:p w14:paraId="7E9E6FD9">
      <w:pPr>
        <w:spacing w:line="400" w:lineRule="exact"/>
        <w:ind w:firstLine="720" w:firstLineChars="300"/>
        <w:rPr>
          <w:rFonts w:hint="default" w:ascii="宋体" w:hAnsi="宋体" w:eastAsia="宋体" w:cs="宋体"/>
          <w:color w:val="auto"/>
          <w:sz w:val="24"/>
          <w:u w:val="single"/>
          <w:lang w:val="en-US" w:eastAsia="zh-CN"/>
        </w:rPr>
      </w:pPr>
      <w:r>
        <w:rPr>
          <w:rFonts w:hint="eastAsia" w:ascii="宋体" w:hAnsi="宋体" w:cs="宋体"/>
          <w:color w:val="auto"/>
          <w:sz w:val="24"/>
        </w:rPr>
        <w:t>联系方式：</w:t>
      </w:r>
      <w:r>
        <w:rPr>
          <w:rFonts w:hint="eastAsia" w:ascii="宋体" w:hAnsi="宋体" w:cs="宋体"/>
          <w:color w:val="auto"/>
          <w:sz w:val="24"/>
          <w:u w:val="single"/>
        </w:rPr>
        <w:t>0773-56251</w:t>
      </w:r>
      <w:r>
        <w:rPr>
          <w:rFonts w:hint="eastAsia" w:ascii="宋体" w:hAnsi="宋体" w:cs="宋体"/>
          <w:color w:val="auto"/>
          <w:sz w:val="24"/>
          <w:u w:val="single"/>
          <w:lang w:val="en-US" w:eastAsia="zh-CN"/>
        </w:rPr>
        <w:t>75</w:t>
      </w:r>
    </w:p>
    <w:p w14:paraId="769171B5">
      <w:pPr>
        <w:spacing w:line="400" w:lineRule="exact"/>
        <w:ind w:firstLine="578"/>
        <w:rPr>
          <w:rFonts w:hint="eastAsia" w:ascii="宋体" w:hAnsi="宋体" w:cs="宋体"/>
          <w:color w:val="auto"/>
          <w:sz w:val="24"/>
        </w:rPr>
      </w:pPr>
      <w:bookmarkStart w:id="43" w:name="_Toc28359021"/>
      <w:bookmarkStart w:id="44" w:name="_Toc28359098"/>
      <w:bookmarkStart w:id="45" w:name="_Toc35393639"/>
      <w:bookmarkStart w:id="46" w:name="_Toc35393808"/>
      <w:r>
        <w:rPr>
          <w:rFonts w:hint="eastAsia" w:ascii="宋体" w:hAnsi="宋体" w:cs="宋体"/>
          <w:color w:val="auto"/>
          <w:sz w:val="24"/>
        </w:rPr>
        <w:t>3.项目联系方式</w:t>
      </w:r>
      <w:bookmarkEnd w:id="43"/>
      <w:bookmarkEnd w:id="44"/>
      <w:bookmarkEnd w:id="45"/>
      <w:bookmarkEnd w:id="46"/>
    </w:p>
    <w:p w14:paraId="2828DD15">
      <w:pPr>
        <w:pStyle w:val="12"/>
        <w:spacing w:line="400" w:lineRule="exact"/>
        <w:ind w:firstLine="720" w:firstLineChars="300"/>
        <w:rPr>
          <w:rFonts w:hint="eastAsia" w:hAnsi="宋体" w:eastAsia="宋体" w:cs="宋体"/>
          <w:color w:val="auto"/>
          <w:sz w:val="24"/>
          <w:szCs w:val="24"/>
          <w:lang w:eastAsia="zh-CN"/>
        </w:rPr>
      </w:pPr>
      <w:r>
        <w:rPr>
          <w:rFonts w:hint="eastAsia" w:hAnsi="宋体" w:cs="宋体"/>
          <w:color w:val="auto"/>
          <w:sz w:val="24"/>
          <w:szCs w:val="24"/>
        </w:rPr>
        <w:t>项目联系人：</w:t>
      </w:r>
      <w:r>
        <w:rPr>
          <w:rFonts w:hint="eastAsia" w:hAnsi="宋体" w:cs="宋体"/>
          <w:color w:val="auto"/>
          <w:sz w:val="24"/>
          <w:szCs w:val="24"/>
          <w:u w:val="single"/>
          <w:lang w:eastAsia="zh-CN"/>
        </w:rPr>
        <w:t>常工</w:t>
      </w:r>
    </w:p>
    <w:p w14:paraId="19016D41">
      <w:pPr>
        <w:spacing w:line="400" w:lineRule="exact"/>
        <w:ind w:firstLine="720" w:firstLineChars="300"/>
        <w:rPr>
          <w:rFonts w:hint="default" w:ascii="宋体" w:hAnsi="宋体" w:eastAsia="宋体" w:cs="宋体"/>
          <w:color w:val="auto"/>
          <w:sz w:val="24"/>
          <w:u w:val="single"/>
          <w:lang w:val="en-US" w:eastAsia="zh-CN"/>
        </w:rPr>
      </w:pPr>
      <w:r>
        <w:rPr>
          <w:rFonts w:hint="eastAsia" w:ascii="宋体" w:hAnsi="宋体" w:cs="宋体"/>
          <w:color w:val="auto"/>
          <w:sz w:val="24"/>
        </w:rPr>
        <w:t>电　　  话：</w:t>
      </w:r>
      <w:r>
        <w:rPr>
          <w:rFonts w:hint="eastAsia" w:ascii="宋体" w:hAnsi="宋体" w:cs="宋体"/>
          <w:color w:val="auto"/>
          <w:sz w:val="24"/>
          <w:u w:val="single"/>
        </w:rPr>
        <w:t>0773-5625</w:t>
      </w:r>
      <w:r>
        <w:rPr>
          <w:rFonts w:hint="eastAsia" w:ascii="宋体" w:hAnsi="宋体" w:cs="宋体"/>
          <w:color w:val="auto"/>
          <w:sz w:val="24"/>
          <w:u w:val="single"/>
          <w:lang w:val="en-US" w:eastAsia="zh-CN"/>
        </w:rPr>
        <w:t>175</w:t>
      </w:r>
    </w:p>
    <w:p w14:paraId="1E10BDEB">
      <w:pPr>
        <w:spacing w:line="400" w:lineRule="exact"/>
        <w:ind w:firstLine="578"/>
        <w:rPr>
          <w:rFonts w:hint="eastAsia" w:ascii="宋体" w:hAnsi="宋体" w:cs="宋体"/>
          <w:color w:val="auto"/>
          <w:sz w:val="24"/>
        </w:rPr>
      </w:pPr>
      <w:r>
        <w:rPr>
          <w:rFonts w:hint="eastAsia" w:ascii="宋体" w:hAnsi="宋体" w:cs="宋体"/>
          <w:color w:val="auto"/>
          <w:sz w:val="24"/>
        </w:rPr>
        <w:t>4.政府采购监督管理机构</w:t>
      </w:r>
    </w:p>
    <w:p w14:paraId="065245BA">
      <w:pPr>
        <w:spacing w:line="400" w:lineRule="exact"/>
        <w:ind w:firstLine="720" w:firstLineChars="300"/>
        <w:jc w:val="left"/>
        <w:rPr>
          <w:rFonts w:hint="eastAsia" w:ascii="宋体" w:hAnsi="宋体" w:eastAsia="宋体" w:cs="宋体"/>
          <w:color w:val="auto"/>
          <w:sz w:val="24"/>
          <w:u w:val="single"/>
          <w:lang w:eastAsia="zh-CN"/>
        </w:rPr>
      </w:pPr>
      <w:r>
        <w:rPr>
          <w:rFonts w:hint="eastAsia" w:ascii="宋体" w:hAnsi="宋体" w:cs="宋体"/>
          <w:color w:val="auto"/>
          <w:sz w:val="24"/>
        </w:rPr>
        <w:t>名    称：</w:t>
      </w:r>
      <w:r>
        <w:rPr>
          <w:rFonts w:hint="eastAsia" w:ascii="宋体" w:hAnsi="宋体" w:cs="宋体"/>
          <w:color w:val="auto"/>
          <w:sz w:val="24"/>
          <w:u w:val="single"/>
          <w:lang w:eastAsia="zh-CN"/>
        </w:rPr>
        <w:t>象山区财政局</w:t>
      </w:r>
    </w:p>
    <w:p w14:paraId="7840FA04">
      <w:pPr>
        <w:spacing w:line="400" w:lineRule="exact"/>
        <w:ind w:firstLine="720" w:firstLineChars="300"/>
        <w:jc w:val="left"/>
        <w:rPr>
          <w:rFonts w:hint="eastAsia" w:eastAsia="宋体"/>
          <w:color w:val="auto"/>
          <w:lang w:eastAsia="zh-CN"/>
        </w:rPr>
        <w:sectPr>
          <w:footerReference r:id="rId6" w:type="default"/>
          <w:pgSz w:w="11906" w:h="16838"/>
          <w:pgMar w:top="1440" w:right="935" w:bottom="1440" w:left="779" w:header="851" w:footer="992" w:gutter="0"/>
          <w:pgNumType w:fmt="numberInDash" w:start="1"/>
          <w:cols w:space="720" w:num="1"/>
          <w:docGrid w:type="linesAndChars" w:linePitch="312" w:charSpace="0"/>
        </w:sectPr>
      </w:pPr>
      <w:r>
        <w:rPr>
          <w:rFonts w:hint="eastAsia" w:ascii="宋体" w:hAnsi="宋体" w:cs="宋体"/>
          <w:color w:val="auto"/>
          <w:sz w:val="24"/>
        </w:rPr>
        <w:t>联系方式：</w:t>
      </w:r>
      <w:r>
        <w:rPr>
          <w:rFonts w:hint="eastAsia" w:ascii="宋体" w:hAnsi="宋体" w:cs="宋体"/>
          <w:color w:val="auto"/>
          <w:sz w:val="24"/>
          <w:u w:val="single"/>
          <w:lang w:eastAsia="zh-CN"/>
        </w:rPr>
        <w:t>0773-383639</w:t>
      </w:r>
    </w:p>
    <w:p w14:paraId="45DDC315">
      <w:pPr>
        <w:spacing w:line="380" w:lineRule="exact"/>
        <w:rPr>
          <w:rFonts w:hint="eastAsia" w:ascii="宋体" w:hAnsi="宋体" w:cs="宋体"/>
          <w:color w:val="FF0000"/>
          <w:sz w:val="24"/>
          <w:highlight w:val="yellow"/>
          <w:u w:val="single"/>
          <w:lang w:val="en-US" w:eastAsia="zh-CN"/>
        </w:rPr>
      </w:pPr>
    </w:p>
    <w:p w14:paraId="241F5AA9">
      <w:pPr>
        <w:pStyle w:val="3"/>
        <w:numPr>
          <w:ilvl w:val="0"/>
          <w:numId w:val="0"/>
        </w:numPr>
        <w:spacing w:line="240" w:lineRule="auto"/>
        <w:jc w:val="center"/>
        <w:rPr>
          <w:rFonts w:hint="eastAsia" w:ascii="宋体" w:hAnsi="宋体" w:eastAsia="宋体" w:cs="宋体"/>
          <w:color w:val="000000"/>
          <w:sz w:val="32"/>
          <w:szCs w:val="32"/>
          <w:highlight w:val="none"/>
        </w:rPr>
      </w:pPr>
      <w:bookmarkStart w:id="47" w:name="_Toc16823"/>
      <w:r>
        <w:rPr>
          <w:rFonts w:hint="eastAsia" w:ascii="宋体" w:hAnsi="宋体" w:eastAsia="宋体" w:cs="宋体"/>
          <w:color w:val="000000"/>
          <w:sz w:val="32"/>
          <w:szCs w:val="32"/>
          <w:highlight w:val="none"/>
          <w:lang w:eastAsia="zh-CN"/>
        </w:rPr>
        <w:t>第二章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供应商须知</w:t>
      </w:r>
      <w:bookmarkEnd w:id="0"/>
      <w:bookmarkEnd w:id="1"/>
      <w:bookmarkEnd w:id="47"/>
    </w:p>
    <w:p w14:paraId="542B0F37">
      <w:pPr>
        <w:pStyle w:val="4"/>
        <w:jc w:val="center"/>
        <w:rPr>
          <w:rFonts w:hint="eastAsia" w:ascii="宋体" w:hAnsi="宋体" w:eastAsia="宋体" w:cs="宋体"/>
          <w:b/>
          <w:bCs w:val="0"/>
          <w:color w:val="000000"/>
          <w:sz w:val="24"/>
          <w:szCs w:val="24"/>
          <w:highlight w:val="none"/>
        </w:rPr>
      </w:pPr>
      <w:bookmarkStart w:id="48" w:name="_Toc20157"/>
      <w:bookmarkStart w:id="49" w:name="_Toc9508"/>
      <w:r>
        <w:rPr>
          <w:rFonts w:hint="eastAsia" w:ascii="宋体" w:hAnsi="宋体" w:eastAsia="宋体" w:cs="宋体"/>
          <w:b/>
          <w:bCs w:val="0"/>
          <w:color w:val="000000"/>
          <w:sz w:val="24"/>
          <w:szCs w:val="24"/>
          <w:highlight w:val="none"/>
        </w:rPr>
        <w:t>供 应 商 须 知 前 附 表</w:t>
      </w:r>
      <w:bookmarkEnd w:id="48"/>
      <w:bookmarkEnd w:id="4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4258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noWrap w:val="0"/>
            <w:vAlign w:val="center"/>
          </w:tcPr>
          <w:p w14:paraId="579EF6A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942" w:type="dxa"/>
            <w:noWrap w:val="0"/>
            <w:vAlign w:val="center"/>
          </w:tcPr>
          <w:p w14:paraId="7D9EFFF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775" w:type="dxa"/>
            <w:noWrap w:val="0"/>
            <w:vAlign w:val="center"/>
          </w:tcPr>
          <w:p w14:paraId="594E250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6912" w:type="dxa"/>
            <w:noWrap w:val="0"/>
            <w:vAlign w:val="center"/>
          </w:tcPr>
          <w:p w14:paraId="390F6C4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内容、要求</w:t>
            </w:r>
          </w:p>
        </w:tc>
      </w:tr>
      <w:tr w14:paraId="3DCA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2DA3916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942" w:type="dxa"/>
            <w:noWrap w:val="0"/>
            <w:vAlign w:val="center"/>
          </w:tcPr>
          <w:p w14:paraId="220DD00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775" w:type="dxa"/>
            <w:noWrap w:val="0"/>
            <w:vAlign w:val="center"/>
          </w:tcPr>
          <w:p w14:paraId="04C1137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项目名称及项目编号</w:t>
            </w:r>
          </w:p>
        </w:tc>
        <w:tc>
          <w:tcPr>
            <w:tcW w:w="6912" w:type="dxa"/>
            <w:noWrap w:val="0"/>
            <w:vAlign w:val="top"/>
          </w:tcPr>
          <w:p w14:paraId="64BB39A3">
            <w:pPr>
              <w:spacing w:line="34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cs="宋体"/>
                <w:color w:val="000000"/>
                <w:sz w:val="21"/>
                <w:szCs w:val="21"/>
                <w:lang w:val="en-US" w:eastAsia="zh-CN"/>
              </w:rPr>
              <w:t>桂林市象山区教育局城域网服务采购</w:t>
            </w:r>
          </w:p>
          <w:p w14:paraId="3F3F7951">
            <w:pPr>
              <w:spacing w:line="360" w:lineRule="auto"/>
              <w:rPr>
                <w:rFonts w:hint="eastAsia" w:ascii="宋体" w:hAnsi="宋体" w:eastAsia="宋体" w:cs="宋体"/>
                <w:color w:val="000000"/>
                <w:highlight w:val="none"/>
                <w:lang w:eastAsia="zh-CN"/>
              </w:rPr>
            </w:pPr>
            <w:r>
              <w:rPr>
                <w:rFonts w:hint="eastAsia" w:ascii="宋体" w:hAnsi="宋体" w:eastAsia="宋体" w:cs="宋体"/>
                <w:color w:val="000000"/>
                <w:sz w:val="21"/>
                <w:szCs w:val="21"/>
                <w:lang w:eastAsia="zh-CN"/>
              </w:rPr>
              <w:t>项目编号：</w:t>
            </w:r>
            <w:r>
              <w:rPr>
                <w:rFonts w:hint="eastAsia" w:ascii="宋体" w:hAnsi="宋体" w:cs="宋体"/>
                <w:color w:val="000000"/>
                <w:sz w:val="21"/>
                <w:szCs w:val="21"/>
                <w:lang w:eastAsia="zh-CN"/>
              </w:rPr>
              <w:t>GLZC2025-C3-990025-GLSZ</w:t>
            </w:r>
          </w:p>
        </w:tc>
      </w:tr>
      <w:tr w14:paraId="436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8A47F6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42" w:type="dxa"/>
            <w:noWrap w:val="0"/>
            <w:vAlign w:val="center"/>
          </w:tcPr>
          <w:p w14:paraId="3ACAA60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775" w:type="dxa"/>
            <w:noWrap w:val="0"/>
            <w:vAlign w:val="center"/>
          </w:tcPr>
          <w:p w14:paraId="4241CB3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供应商资格</w:t>
            </w:r>
          </w:p>
        </w:tc>
        <w:tc>
          <w:tcPr>
            <w:tcW w:w="6912" w:type="dxa"/>
            <w:noWrap w:val="0"/>
            <w:vAlign w:val="center"/>
          </w:tcPr>
          <w:p w14:paraId="39115A87">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3.1</w:t>
            </w:r>
            <w:r>
              <w:rPr>
                <w:rFonts w:hint="eastAsia" w:ascii="宋体" w:hAnsi="宋体" w:eastAsia="宋体" w:cs="宋体"/>
                <w:color w:val="000000"/>
                <w:szCs w:val="21"/>
                <w:highlight w:val="none"/>
              </w:rPr>
              <w:t>符合《中华人民共和国政府采购法》第二十二条和《政府采购法实施条例》第十八条规定，具备合法资格的供应商；</w:t>
            </w:r>
          </w:p>
          <w:p w14:paraId="1C233D2C">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3.2</w:t>
            </w:r>
            <w:r>
              <w:rPr>
                <w:rFonts w:hint="eastAsia" w:ascii="宋体" w:hAnsi="宋体" w:eastAsia="宋体" w:cs="宋体"/>
                <w:color w:val="000000"/>
                <w:szCs w:val="21"/>
                <w:highlight w:val="none"/>
              </w:rPr>
              <w:t>本项目不接受联合体参与磋商；</w:t>
            </w:r>
          </w:p>
          <w:p w14:paraId="3A2647B1">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B3877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落实政府采购政策需满足的资格要</w:t>
            </w:r>
            <w:r>
              <w:rPr>
                <w:rFonts w:hint="eastAsia" w:ascii="宋体" w:hAnsi="宋体" w:eastAsia="宋体" w:cs="宋体"/>
                <w:b w:val="0"/>
                <w:bCs w:val="0"/>
                <w:color w:val="000000"/>
                <w:sz w:val="21"/>
                <w:szCs w:val="21"/>
              </w:rPr>
              <w:t>求：</w:t>
            </w:r>
            <w:r>
              <w:rPr>
                <w:rFonts w:hint="eastAsia" w:ascii="宋体" w:hAnsi="宋体" w:cs="宋体"/>
                <w:b w:val="0"/>
                <w:bCs w:val="0"/>
                <w:color w:val="000000"/>
                <w:sz w:val="21"/>
                <w:szCs w:val="21"/>
                <w:highlight w:val="none"/>
                <w:lang w:val="en-US" w:eastAsia="zh-CN"/>
              </w:rPr>
              <w:t>无。</w:t>
            </w:r>
          </w:p>
          <w:p w14:paraId="0E58C9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lang w:val="en-US" w:eastAsia="zh-CN"/>
              </w:rPr>
            </w:pPr>
            <w:r>
              <w:rPr>
                <w:rFonts w:hint="eastAsia" w:ascii="宋体" w:hAnsi="宋体" w:eastAsia="宋体" w:cs="宋体"/>
                <w:b w:val="0"/>
                <w:bCs w:val="0"/>
                <w:color w:val="000000"/>
                <w:sz w:val="21"/>
                <w:szCs w:val="21"/>
                <w:lang w:val="en-US" w:eastAsia="zh-CN"/>
              </w:rPr>
              <w:t>3.5</w:t>
            </w:r>
            <w:r>
              <w:rPr>
                <w:rFonts w:hint="eastAsia" w:ascii="宋体" w:hAnsi="宋体" w:cs="宋体"/>
                <w:b w:val="0"/>
                <w:bCs w:val="0"/>
                <w:color w:val="000000"/>
                <w:sz w:val="21"/>
                <w:szCs w:val="21"/>
                <w:lang w:eastAsia="zh-CN"/>
              </w:rPr>
              <w:t>本项目的特定资格要求：</w:t>
            </w:r>
            <w:r>
              <w:rPr>
                <w:rFonts w:hint="eastAsia" w:ascii="宋体" w:hAnsi="宋体" w:cs="宋体"/>
                <w:b w:val="0"/>
                <w:bCs w:val="0"/>
                <w:color w:val="000000"/>
                <w:sz w:val="21"/>
                <w:szCs w:val="21"/>
                <w:lang w:val="en-US" w:eastAsia="zh-CN"/>
              </w:rPr>
              <w:t>无</w:t>
            </w:r>
            <w:r>
              <w:rPr>
                <w:rFonts w:hint="eastAsia" w:ascii="宋体" w:hAnsi="宋体" w:cs="宋体"/>
                <w:b w:val="0"/>
                <w:bCs w:val="0"/>
                <w:color w:val="000000"/>
                <w:sz w:val="21"/>
                <w:szCs w:val="21"/>
                <w:lang w:eastAsia="zh-CN"/>
              </w:rPr>
              <w:t>。</w:t>
            </w:r>
          </w:p>
        </w:tc>
      </w:tr>
      <w:tr w14:paraId="447D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37C52A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942" w:type="dxa"/>
            <w:noWrap w:val="0"/>
            <w:vAlign w:val="center"/>
          </w:tcPr>
          <w:p w14:paraId="6A687C1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775" w:type="dxa"/>
            <w:noWrap w:val="0"/>
            <w:vAlign w:val="center"/>
          </w:tcPr>
          <w:p w14:paraId="4BF2D8E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磋商费用</w:t>
            </w:r>
          </w:p>
        </w:tc>
        <w:tc>
          <w:tcPr>
            <w:tcW w:w="6912" w:type="dxa"/>
            <w:noWrap w:val="0"/>
            <w:vAlign w:val="center"/>
          </w:tcPr>
          <w:p w14:paraId="39860642">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不论磋商结果如何，供应商均应自行承担所有与磋商有关的全部费用。 </w:t>
            </w:r>
          </w:p>
        </w:tc>
      </w:tr>
      <w:tr w14:paraId="0B0B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00239D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942" w:type="dxa"/>
            <w:noWrap w:val="0"/>
            <w:vAlign w:val="center"/>
          </w:tcPr>
          <w:p w14:paraId="03689FAF">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13</w:t>
            </w:r>
          </w:p>
        </w:tc>
        <w:tc>
          <w:tcPr>
            <w:tcW w:w="1775" w:type="dxa"/>
            <w:noWrap w:val="0"/>
            <w:vAlign w:val="center"/>
          </w:tcPr>
          <w:p w14:paraId="49DF4B0C">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szCs w:val="21"/>
                <w:highlight w:val="none"/>
              </w:rPr>
              <w:t>磋商报价及采购预算金额</w:t>
            </w:r>
          </w:p>
        </w:tc>
        <w:tc>
          <w:tcPr>
            <w:tcW w:w="6912" w:type="dxa"/>
            <w:noWrap w:val="0"/>
            <w:vAlign w:val="center"/>
          </w:tcPr>
          <w:p w14:paraId="54444919">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 磋商报价应按磋商文件中相关附表格式填写。</w:t>
            </w:r>
            <w:r>
              <w:rPr>
                <w:rFonts w:hint="eastAsia" w:ascii="宋体" w:hAnsi="宋体" w:cs="宋体"/>
                <w:b w:val="0"/>
                <w:bCs w:val="0"/>
                <w:color w:val="000000"/>
                <w:szCs w:val="21"/>
                <w:highlight w:val="none"/>
                <w:lang w:eastAsia="zh-CN"/>
              </w:rPr>
              <w:t>本项目</w:t>
            </w:r>
            <w:r>
              <w:rPr>
                <w:rFonts w:hint="eastAsia" w:ascii="宋体" w:hAnsi="宋体" w:eastAsia="宋体" w:cs="宋体"/>
                <w:b w:val="0"/>
                <w:bCs w:val="0"/>
                <w:color w:val="000000"/>
                <w:szCs w:val="21"/>
                <w:highlight w:val="none"/>
              </w:rPr>
              <w:t>采购预算金额</w:t>
            </w:r>
            <w:r>
              <w:rPr>
                <w:rFonts w:hint="eastAsia" w:ascii="宋体" w:hAnsi="宋体" w:cs="宋体"/>
                <w:b w:val="0"/>
                <w:bCs w:val="0"/>
                <w:color w:val="000000"/>
                <w:szCs w:val="21"/>
                <w:highlight w:val="none"/>
                <w:lang w:eastAsia="zh-CN"/>
              </w:rPr>
              <w:t>：</w:t>
            </w:r>
            <w:r>
              <w:rPr>
                <w:rFonts w:hint="eastAsia" w:ascii="宋体" w:hAnsi="宋体" w:eastAsia="宋体" w:cs="宋体"/>
                <w:color w:val="auto"/>
                <w:sz w:val="21"/>
                <w:szCs w:val="21"/>
                <w:u w:val="single"/>
                <w:lang w:eastAsia="zh-CN"/>
              </w:rPr>
              <w:t>壹佰零伍万零陆拾元整（¥</w:t>
            </w:r>
            <w:r>
              <w:rPr>
                <w:rFonts w:hint="eastAsia" w:ascii="宋体" w:hAnsi="宋体" w:eastAsia="宋体" w:cs="宋体"/>
                <w:color w:val="auto"/>
                <w:sz w:val="21"/>
                <w:szCs w:val="21"/>
                <w:u w:val="single"/>
                <w:lang w:val="en-US" w:eastAsia="zh-CN"/>
              </w:rPr>
              <w:t>1050060</w:t>
            </w:r>
            <w:r>
              <w:rPr>
                <w:rFonts w:hint="eastAsia" w:ascii="宋体" w:hAnsi="宋体" w:eastAsia="宋体" w:cs="宋体"/>
                <w:color w:val="auto"/>
                <w:sz w:val="21"/>
                <w:szCs w:val="21"/>
                <w:u w:val="single"/>
                <w:lang w:eastAsia="zh-CN"/>
              </w:rPr>
              <w:t>.00元）</w:t>
            </w:r>
            <w:r>
              <w:rPr>
                <w:rFonts w:hint="eastAsia" w:ascii="宋体" w:hAnsi="宋体" w:cs="宋体"/>
                <w:color w:val="auto"/>
                <w:szCs w:val="21"/>
                <w:highlight w:val="none"/>
                <w:u w:val="single"/>
              </w:rPr>
              <w:t>。</w:t>
            </w:r>
            <w:r>
              <w:rPr>
                <w:rFonts w:hint="eastAsia" w:ascii="宋体" w:hAnsi="宋体" w:eastAsia="宋体" w:cs="宋体"/>
                <w:color w:val="000000"/>
                <w:szCs w:val="21"/>
                <w:highlight w:val="none"/>
              </w:rPr>
              <w:t>供应商报价</w:t>
            </w:r>
            <w:r>
              <w:rPr>
                <w:rFonts w:hint="eastAsia" w:ascii="宋体" w:hAnsi="宋体" w:eastAsia="宋体" w:cs="宋体"/>
                <w:color w:val="000000"/>
                <w:kern w:val="0"/>
                <w:szCs w:val="21"/>
                <w:highlight w:val="none"/>
              </w:rPr>
              <w:t>超出采购预算金额的，响应文件按无效处理。</w:t>
            </w:r>
          </w:p>
          <w:p w14:paraId="57ECE485">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13.2供应商必须就“采购需求”中所有内容作完整唯一报价，否则，其响应文件无效；响应文件只允许有一个报价，有选择的或有条件的报价将不予接受。</w:t>
            </w:r>
          </w:p>
          <w:p w14:paraId="7B185789">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13.4</w:t>
            </w:r>
            <w:r>
              <w:rPr>
                <w:rFonts w:hint="eastAsia" w:ascii="宋体" w:hAnsi="宋体" w:eastAsia="宋体" w:cs="宋体"/>
                <w:color w:val="000000"/>
                <w:kern w:val="0"/>
                <w:szCs w:val="21"/>
                <w:highlight w:val="none"/>
              </w:rPr>
              <w:t>供应商应在规定时间内</w:t>
            </w:r>
            <w:r>
              <w:rPr>
                <w:rFonts w:hint="eastAsia" w:ascii="宋体" w:hAnsi="宋体" w:eastAsia="宋体" w:cs="宋体"/>
                <w:color w:val="000000"/>
                <w:kern w:val="0"/>
                <w:szCs w:val="21"/>
                <w:highlight w:val="none"/>
                <w:lang w:eastAsia="zh-CN"/>
              </w:rPr>
              <w:t>在</w:t>
            </w:r>
            <w:r>
              <w:rPr>
                <w:rFonts w:hint="eastAsia" w:ascii="宋体" w:hAnsi="宋体" w:cs="宋体"/>
                <w:color w:val="000000"/>
                <w:kern w:val="0"/>
                <w:szCs w:val="21"/>
                <w:highlight w:val="none"/>
                <w:lang w:eastAsia="zh-CN"/>
              </w:rPr>
              <w:t>广西政府采购云平台</w:t>
            </w:r>
            <w:r>
              <w:rPr>
                <w:rFonts w:hint="eastAsia" w:ascii="宋体" w:hAnsi="宋体" w:eastAsia="宋体" w:cs="宋体"/>
                <w:color w:val="000000"/>
                <w:kern w:val="0"/>
                <w:szCs w:val="21"/>
                <w:highlight w:val="none"/>
                <w:lang w:eastAsia="zh-CN"/>
              </w:rPr>
              <w:t>系统上</w:t>
            </w:r>
            <w:r>
              <w:rPr>
                <w:rFonts w:hint="eastAsia" w:ascii="宋体" w:hAnsi="宋体" w:eastAsia="宋体" w:cs="宋体"/>
                <w:color w:val="000000"/>
                <w:kern w:val="0"/>
                <w:szCs w:val="21"/>
                <w:highlight w:val="none"/>
              </w:rPr>
              <w:t>提交最后报价，</w:t>
            </w:r>
            <w:r>
              <w:rPr>
                <w:rFonts w:hint="eastAsia" w:ascii="宋体" w:hAnsi="宋体" w:eastAsia="宋体" w:cs="宋体"/>
                <w:color w:val="000000"/>
                <w:kern w:val="0"/>
                <w:szCs w:val="21"/>
                <w:highlight w:val="none"/>
                <w:lang w:eastAsia="zh-CN"/>
              </w:rPr>
              <w:t>超出评委设定的最后报价时限或其</w:t>
            </w:r>
            <w:r>
              <w:rPr>
                <w:rFonts w:hint="eastAsia" w:ascii="宋体" w:hAnsi="宋体" w:eastAsia="宋体" w:cs="宋体"/>
                <w:color w:val="000000"/>
                <w:kern w:val="0"/>
                <w:szCs w:val="21"/>
                <w:highlight w:val="none"/>
              </w:rPr>
              <w:t>最后报价超出采购预算导致已通过评审的响应文件无效的，按供应商在提交响应文件截止时间后撤回响应文件处理。</w:t>
            </w:r>
          </w:p>
        </w:tc>
      </w:tr>
      <w:tr w14:paraId="32E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2DF834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942" w:type="dxa"/>
            <w:noWrap w:val="0"/>
            <w:vAlign w:val="center"/>
          </w:tcPr>
          <w:p w14:paraId="41093F73">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14.1</w:t>
            </w:r>
          </w:p>
        </w:tc>
        <w:tc>
          <w:tcPr>
            <w:tcW w:w="1775" w:type="dxa"/>
            <w:noWrap w:val="0"/>
            <w:vAlign w:val="center"/>
          </w:tcPr>
          <w:p w14:paraId="41BC6012">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响应文件有效期</w:t>
            </w:r>
          </w:p>
        </w:tc>
        <w:tc>
          <w:tcPr>
            <w:tcW w:w="6912" w:type="dxa"/>
            <w:noWrap w:val="0"/>
            <w:vAlign w:val="top"/>
          </w:tcPr>
          <w:p w14:paraId="1680FF96">
            <w:pPr>
              <w:tabs>
                <w:tab w:val="left" w:pos="1305"/>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响应文件递交截止时间之日起90天，有效期不足的响应文件将被拒绝。</w:t>
            </w:r>
          </w:p>
        </w:tc>
      </w:tr>
      <w:tr w14:paraId="36E1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E71B067">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942" w:type="dxa"/>
            <w:noWrap w:val="0"/>
            <w:vAlign w:val="center"/>
          </w:tcPr>
          <w:p w14:paraId="5E7695D6">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15</w:t>
            </w:r>
          </w:p>
        </w:tc>
        <w:tc>
          <w:tcPr>
            <w:tcW w:w="1775" w:type="dxa"/>
            <w:noWrap w:val="0"/>
            <w:vAlign w:val="center"/>
          </w:tcPr>
          <w:p w14:paraId="0ACF14E7">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保证金</w:t>
            </w:r>
          </w:p>
        </w:tc>
        <w:tc>
          <w:tcPr>
            <w:tcW w:w="6912" w:type="dxa"/>
            <w:noWrap w:val="0"/>
            <w:vAlign w:val="top"/>
          </w:tcPr>
          <w:p w14:paraId="286C6E02">
            <w:pPr>
              <w:tabs>
                <w:tab w:val="left" w:pos="1305"/>
              </w:tabs>
              <w:spacing w:line="360" w:lineRule="auto"/>
              <w:rPr>
                <w:rFonts w:hint="eastAsia" w:ascii="宋体" w:hAnsi="宋体" w:eastAsia="宋体" w:cs="宋体"/>
                <w:color w:val="000000"/>
                <w:szCs w:val="21"/>
                <w:highlight w:val="none"/>
                <w:lang w:eastAsia="zh-CN"/>
              </w:rPr>
            </w:pPr>
            <w:r>
              <w:rPr>
                <w:rFonts w:hint="eastAsia" w:ascii="宋体" w:hAnsi="宋体" w:eastAsia="宋体" w:cs="宋体"/>
                <w:b/>
                <w:bCs/>
                <w:color w:val="000000"/>
                <w:szCs w:val="21"/>
                <w:highlight w:val="none"/>
              </w:rPr>
              <w:t>本项目无需缴纳</w:t>
            </w:r>
            <w:r>
              <w:rPr>
                <w:rFonts w:hint="eastAsia" w:ascii="宋体" w:hAnsi="宋体" w:cs="宋体"/>
                <w:b/>
                <w:bCs/>
                <w:color w:val="000000"/>
                <w:szCs w:val="21"/>
                <w:highlight w:val="none"/>
                <w:lang w:eastAsia="zh-CN"/>
              </w:rPr>
              <w:t>磋商保证金。</w:t>
            </w:r>
          </w:p>
        </w:tc>
      </w:tr>
      <w:tr w14:paraId="303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E2E0964">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7</w:t>
            </w:r>
          </w:p>
        </w:tc>
        <w:tc>
          <w:tcPr>
            <w:tcW w:w="942" w:type="dxa"/>
            <w:noWrap w:val="0"/>
            <w:vAlign w:val="center"/>
          </w:tcPr>
          <w:p w14:paraId="639F68A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w:t>
            </w:r>
          </w:p>
        </w:tc>
        <w:tc>
          <w:tcPr>
            <w:tcW w:w="1775" w:type="dxa"/>
            <w:noWrap w:val="0"/>
            <w:vAlign w:val="center"/>
          </w:tcPr>
          <w:p w14:paraId="05EB9BB4">
            <w:pPr>
              <w:pStyle w:val="5"/>
              <w:spacing w:before="0" w:after="0" w:line="360" w:lineRule="auto"/>
              <w:jc w:val="center"/>
              <w:rPr>
                <w:rFonts w:hint="eastAsia" w:ascii="宋体" w:hAnsi="宋体" w:eastAsia="宋体" w:cs="宋体"/>
                <w:b w:val="0"/>
                <w:bCs/>
                <w:color w:val="000000"/>
                <w:sz w:val="21"/>
                <w:szCs w:val="21"/>
                <w:highlight w:val="none"/>
                <w:lang w:eastAsia="zh-CN"/>
              </w:rPr>
            </w:pPr>
            <w:bookmarkStart w:id="50" w:name="_Toc7708"/>
            <w:r>
              <w:rPr>
                <w:rFonts w:hint="eastAsia" w:ascii="宋体" w:hAnsi="宋体" w:eastAsia="宋体" w:cs="宋体"/>
                <w:b w:val="0"/>
                <w:bCs/>
                <w:color w:val="000000"/>
                <w:sz w:val="21"/>
                <w:szCs w:val="21"/>
                <w:highlight w:val="none"/>
              </w:rPr>
              <w:t>竞争性</w:t>
            </w:r>
            <w:r>
              <w:rPr>
                <w:rFonts w:hint="eastAsia" w:ascii="宋体" w:hAnsi="宋体" w:eastAsia="宋体" w:cs="宋体"/>
                <w:b w:val="0"/>
                <w:bCs/>
                <w:color w:val="000000"/>
                <w:sz w:val="21"/>
                <w:szCs w:val="21"/>
                <w:highlight w:val="none"/>
                <w:lang w:eastAsia="zh-CN"/>
              </w:rPr>
              <w:t>磋商</w:t>
            </w:r>
            <w:r>
              <w:rPr>
                <w:rFonts w:hint="eastAsia" w:ascii="宋体" w:hAnsi="宋体" w:eastAsia="宋体" w:cs="宋体"/>
                <w:b w:val="0"/>
                <w:bCs/>
                <w:color w:val="000000"/>
                <w:sz w:val="21"/>
                <w:szCs w:val="21"/>
                <w:highlight w:val="none"/>
              </w:rPr>
              <w:t>响应文件的</w:t>
            </w:r>
            <w:r>
              <w:rPr>
                <w:rFonts w:hint="eastAsia" w:ascii="宋体" w:hAnsi="宋体" w:eastAsia="宋体" w:cs="宋体"/>
                <w:b w:val="0"/>
                <w:bCs/>
                <w:color w:val="000000"/>
                <w:sz w:val="21"/>
                <w:szCs w:val="21"/>
                <w:highlight w:val="none"/>
                <w:lang w:eastAsia="zh-CN"/>
              </w:rPr>
              <w:t>制作</w:t>
            </w:r>
            <w:bookmarkEnd w:id="50"/>
          </w:p>
          <w:p w14:paraId="5F7D0629">
            <w:pPr>
              <w:spacing w:line="360" w:lineRule="auto"/>
              <w:jc w:val="center"/>
              <w:rPr>
                <w:rFonts w:hint="eastAsia" w:ascii="宋体" w:hAnsi="宋体" w:eastAsia="宋体" w:cs="宋体"/>
                <w:color w:val="000000"/>
                <w:szCs w:val="21"/>
                <w:highlight w:val="none"/>
                <w:lang w:eastAsia="zh-CN"/>
              </w:rPr>
            </w:pPr>
          </w:p>
        </w:tc>
        <w:tc>
          <w:tcPr>
            <w:tcW w:w="6912" w:type="dxa"/>
            <w:noWrap w:val="0"/>
            <w:vAlign w:val="center"/>
          </w:tcPr>
          <w:p w14:paraId="035EEF30">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.1 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响应文件中须加盖供应商公章部分均采用 CA 签章，并根据“政府采购项目电子交易管理操作指南-供应商” 及本</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文件规定的格式和顺序编制电子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响应文件并进行关联定位，以便</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时，点击评分项可直接定位到该评分项内容。如对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文件的某项要求，供应商的电子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响应文件未能关联定位提供相应的内容与其对应，则</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小组在评审时如做出对供应商不利的评审由供应商自行承担。电子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响应文件如内容不完整、编排混乱导致</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响应文件被误读、 漏读，或者在按采购文件规定的部位查找不到相关内容的，由供应商自行承担。</w:t>
            </w:r>
          </w:p>
          <w:p w14:paraId="45EA0F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5B88B889">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响应文件因字迹</w:t>
            </w:r>
            <w:r>
              <w:rPr>
                <w:rFonts w:hint="eastAsia" w:ascii="宋体" w:hAnsi="宋体" w:cs="宋体"/>
                <w:color w:val="000000"/>
                <w:szCs w:val="21"/>
                <w:highlight w:val="none"/>
                <w:lang w:eastAsia="zh-CN"/>
              </w:rPr>
              <w:t>模糊</w:t>
            </w:r>
            <w:r>
              <w:rPr>
                <w:rFonts w:hint="eastAsia" w:ascii="宋体" w:hAnsi="宋体" w:eastAsia="宋体" w:cs="宋体"/>
                <w:color w:val="000000"/>
                <w:szCs w:val="21"/>
                <w:highlight w:val="none"/>
              </w:rPr>
              <w:t>或表达不清所引起的后果由供应商负责。</w:t>
            </w:r>
          </w:p>
          <w:p w14:paraId="77CF3C56">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w:t>
            </w:r>
            <w:r>
              <w:rPr>
                <w:rFonts w:hint="eastAsia" w:ascii="宋体" w:hAnsi="宋体" w:eastAsia="宋体" w:cs="宋体"/>
                <w:color w:val="000000"/>
                <w:szCs w:val="21"/>
                <w:highlight w:val="none"/>
                <w:lang w:eastAsia="zh-CN"/>
              </w:rPr>
              <w:t xml:space="preserve">磋商前准备 </w:t>
            </w:r>
          </w:p>
          <w:p w14:paraId="03804C23">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16.4.1</w:t>
            </w:r>
            <w:r>
              <w:rPr>
                <w:rFonts w:hint="eastAsia" w:ascii="宋体" w:hAnsi="宋体" w:eastAsia="宋体" w:cs="宋体"/>
                <w:color w:val="000000"/>
                <w:szCs w:val="21"/>
                <w:highlight w:val="none"/>
                <w:lang w:eastAsia="zh-CN"/>
              </w:rPr>
              <w:t xml:space="preserve">本项目实行在线磋商，采用电子磋商响应文件。若供应商参与磋商，自行承担磋商一切费用。 </w:t>
            </w:r>
          </w:p>
          <w:p w14:paraId="4353040B">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16.4.2</w:t>
            </w:r>
            <w:r>
              <w:rPr>
                <w:rFonts w:hint="eastAsia" w:ascii="宋体" w:hAnsi="宋体" w:eastAsia="宋体" w:cs="宋体"/>
                <w:color w:val="000000"/>
                <w:szCs w:val="21"/>
                <w:highlight w:val="none"/>
                <w:lang w:eastAsia="zh-CN"/>
              </w:rPr>
              <w:t>各供应商应在截标前应确保成为</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 xml:space="preserve">正式注册入库供应商，并完成 CA 数字证书申领。因未注册入库、未办理 CA 数字证书等原因造成无法磋商或磋商失败等后果由供应商自行承担。 </w:t>
            </w:r>
          </w:p>
          <w:p w14:paraId="082AAFF0">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16.4.3</w:t>
            </w:r>
            <w:r>
              <w:rPr>
                <w:rFonts w:hint="eastAsia" w:ascii="宋体" w:hAnsi="宋体" w:eastAsia="宋体" w:cs="宋体"/>
                <w:color w:val="000000"/>
                <w:szCs w:val="21"/>
                <w:highlight w:val="none"/>
                <w:lang w:eastAsia="zh-CN"/>
              </w:rPr>
              <w:t>供应商将</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 xml:space="preserve">客户服务热线 </w:t>
            </w:r>
            <w:r>
              <w:rPr>
                <w:rFonts w:hint="eastAsia" w:ascii="宋体" w:hAnsi="宋体" w:cs="宋体"/>
                <w:color w:val="000000"/>
                <w:szCs w:val="21"/>
                <w:highlight w:val="none"/>
                <w:lang w:eastAsia="zh-CN"/>
              </w:rPr>
              <w:t>95763</w:t>
            </w:r>
            <w:r>
              <w:rPr>
                <w:rFonts w:hint="eastAsia" w:ascii="宋体" w:hAnsi="宋体" w:eastAsia="宋体" w:cs="宋体"/>
                <w:color w:val="000000"/>
                <w:szCs w:val="21"/>
                <w:highlight w:val="none"/>
                <w:lang w:eastAsia="zh-CN"/>
              </w:rPr>
              <w:t xml:space="preserve"> 进行咨询。</w:t>
            </w:r>
          </w:p>
        </w:tc>
      </w:tr>
      <w:tr w14:paraId="1E16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010141C0">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8</w:t>
            </w:r>
          </w:p>
        </w:tc>
        <w:tc>
          <w:tcPr>
            <w:tcW w:w="942" w:type="dxa"/>
            <w:noWrap w:val="0"/>
            <w:vAlign w:val="center"/>
          </w:tcPr>
          <w:p w14:paraId="5289C6A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w:t>
            </w:r>
          </w:p>
        </w:tc>
        <w:tc>
          <w:tcPr>
            <w:tcW w:w="1775" w:type="dxa"/>
            <w:noWrap w:val="0"/>
            <w:vAlign w:val="center"/>
          </w:tcPr>
          <w:p w14:paraId="7C18151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响应文件递交截止时间</w:t>
            </w:r>
          </w:p>
        </w:tc>
        <w:tc>
          <w:tcPr>
            <w:tcW w:w="6912" w:type="dxa"/>
            <w:noWrap w:val="0"/>
            <w:vAlign w:val="center"/>
          </w:tcPr>
          <w:p w14:paraId="4D549E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eastAsia="zh-CN"/>
              </w:rPr>
              <w:t>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日上午9时30分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0B65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25E4838">
            <w:pPr>
              <w:spacing w:line="360" w:lineRule="auto"/>
              <w:jc w:val="center"/>
              <w:rPr>
                <w:rFonts w:hint="eastAsia" w:ascii="宋体" w:hAnsi="宋体" w:eastAsia="宋体" w:cs="宋体"/>
                <w:color w:val="000000"/>
                <w:position w:val="-2"/>
                <w:szCs w:val="21"/>
                <w:highlight w:val="none"/>
                <w:lang w:eastAsia="zh-CN"/>
              </w:rPr>
            </w:pPr>
            <w:r>
              <w:rPr>
                <w:rFonts w:hint="eastAsia" w:ascii="宋体" w:hAnsi="宋体" w:eastAsia="宋体" w:cs="宋体"/>
                <w:color w:val="000000"/>
                <w:position w:val="-2"/>
                <w:szCs w:val="21"/>
                <w:highlight w:val="none"/>
                <w:lang w:val="en-US" w:eastAsia="zh-CN"/>
              </w:rPr>
              <w:t>9</w:t>
            </w:r>
          </w:p>
        </w:tc>
        <w:tc>
          <w:tcPr>
            <w:tcW w:w="942" w:type="dxa"/>
            <w:noWrap w:val="0"/>
            <w:vAlign w:val="center"/>
          </w:tcPr>
          <w:p w14:paraId="6F511911">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18.2</w:t>
            </w:r>
          </w:p>
        </w:tc>
        <w:tc>
          <w:tcPr>
            <w:tcW w:w="1775" w:type="dxa"/>
            <w:noWrap w:val="0"/>
            <w:vAlign w:val="center"/>
          </w:tcPr>
          <w:p w14:paraId="37C73C3E">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szCs w:val="21"/>
                <w:highlight w:val="none"/>
                <w:lang w:eastAsia="zh-CN"/>
              </w:rPr>
              <w:t>磋商响应文件解密时间</w:t>
            </w:r>
          </w:p>
        </w:tc>
        <w:tc>
          <w:tcPr>
            <w:tcW w:w="6912" w:type="dxa"/>
            <w:noWrap w:val="0"/>
            <w:vAlign w:val="center"/>
          </w:tcPr>
          <w:p w14:paraId="1149D74F">
            <w:pPr>
              <w:pStyle w:val="26"/>
              <w:numPr>
                <w:ilvl w:val="0"/>
                <w:numId w:val="0"/>
              </w:numP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color w:val="auto"/>
                <w:sz w:val="21"/>
                <w:szCs w:val="21"/>
                <w:highlight w:val="none"/>
              </w:rPr>
              <w:t>磋商响应文件解密时间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single"/>
                <w:lang w:eastAsia="zh-CN"/>
              </w:rPr>
              <w:t>30</w:t>
            </w:r>
            <w:r>
              <w:rPr>
                <w:rFonts w:hint="eastAsia" w:ascii="宋体" w:hAnsi="宋体" w:eastAsia="宋体" w:cs="宋体"/>
                <w:b w:val="0"/>
                <w:bCs w:val="0"/>
                <w:color w:val="auto"/>
                <w:kern w:val="2"/>
                <w:sz w:val="21"/>
                <w:szCs w:val="21"/>
                <w:highlight w:val="none"/>
                <w:lang w:eastAsia="zh-CN"/>
              </w:rPr>
              <w:t>分钟内（</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日上午9时30分</w:t>
            </w:r>
            <w:r>
              <w:rPr>
                <w:rFonts w:hint="eastAsia" w:ascii="宋体" w:hAnsi="宋体" w:cs="宋体"/>
                <w:color w:val="auto"/>
                <w:sz w:val="21"/>
                <w:szCs w:val="21"/>
                <w:highlight w:val="none"/>
                <w:u w:val="single"/>
              </w:rPr>
              <w:t>至</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w:t>
            </w:r>
            <w:r>
              <w:rPr>
                <w:rFonts w:hint="eastAsia" w:ascii="宋体" w:hAnsi="宋体" w:eastAsia="宋体" w:cs="宋体"/>
                <w:b w:val="0"/>
                <w:bCs w:val="0"/>
                <w:color w:val="auto"/>
                <w:kern w:val="2"/>
                <w:sz w:val="21"/>
                <w:szCs w:val="21"/>
                <w:highlight w:val="none"/>
                <w:lang w:eastAsia="zh-CN"/>
              </w:rPr>
              <w:t>)磋商供应商可以登录</w:t>
            </w:r>
            <w:r>
              <w:rPr>
                <w:rFonts w:hint="eastAsia" w:ascii="宋体" w:hAnsi="宋体" w:cs="宋体"/>
                <w:b w:val="0"/>
                <w:bCs w:val="0"/>
                <w:color w:val="auto"/>
                <w:kern w:val="2"/>
                <w:sz w:val="21"/>
                <w:szCs w:val="21"/>
                <w:highlight w:val="none"/>
                <w:lang w:eastAsia="zh-CN"/>
              </w:rPr>
              <w:t>广西政府采购云平台</w:t>
            </w:r>
            <w:r>
              <w:rPr>
                <w:rFonts w:hint="eastAsia" w:ascii="宋体" w:hAnsi="宋体" w:eastAsia="宋体" w:cs="宋体"/>
                <w:b w:val="0"/>
                <w:bCs w:val="0"/>
                <w:color w:val="auto"/>
                <w:kern w:val="2"/>
                <w:sz w:val="21"/>
                <w:szCs w:val="21"/>
                <w:highlight w:val="none"/>
                <w:lang w:eastAsia="zh-CN"/>
              </w:rPr>
              <w:t>，用“项目采购-开标评标”功能进行解密</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b w:val="0"/>
                <w:bCs w:val="0"/>
                <w:color w:val="auto"/>
                <w:kern w:val="2"/>
                <w:sz w:val="21"/>
                <w:szCs w:val="21"/>
                <w:highlight w:val="none"/>
                <w:lang w:eastAsia="zh-CN"/>
              </w:rPr>
              <w:t>。</w:t>
            </w:r>
          </w:p>
          <w:p w14:paraId="04E9B97E">
            <w:pPr>
              <w:pStyle w:val="26"/>
              <w:numPr>
                <w:ilvl w:val="0"/>
                <w:numId w:val="0"/>
              </w:numPr>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val="en-US" w:eastAsia="zh-CN" w:bidi="ar-SA"/>
              </w:rPr>
              <w:t>注：响应文件网上递交截止时间后，各供应商须在解密时限内对上传</w:t>
            </w:r>
            <w:r>
              <w:rPr>
                <w:rFonts w:hint="eastAsia" w:ascii="宋体" w:hAnsi="宋体" w:cs="宋体"/>
                <w:b/>
                <w:bCs/>
                <w:color w:val="auto"/>
                <w:kern w:val="2"/>
                <w:sz w:val="21"/>
                <w:szCs w:val="21"/>
                <w:highlight w:val="none"/>
                <w:lang w:val="en-US" w:eastAsia="zh-CN" w:bidi="ar-SA"/>
              </w:rPr>
              <w:t>广西政府采购云平台</w:t>
            </w:r>
            <w:r>
              <w:rPr>
                <w:rFonts w:hint="eastAsia" w:ascii="宋体" w:hAnsi="宋体" w:eastAsia="宋体" w:cs="宋体"/>
                <w:b/>
                <w:bCs/>
                <w:color w:val="auto"/>
                <w:kern w:val="2"/>
                <w:sz w:val="21"/>
                <w:szCs w:val="21"/>
                <w:highlight w:val="none"/>
                <w:lang w:val="en-US" w:eastAsia="zh-CN" w:bidi="ar-SA"/>
              </w:rPr>
              <w:t>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cs="宋体"/>
                <w:b/>
                <w:bCs/>
                <w:color w:val="auto"/>
                <w:kern w:val="2"/>
                <w:sz w:val="21"/>
                <w:szCs w:val="21"/>
                <w:highlight w:val="none"/>
                <w:lang w:val="en-US" w:eastAsia="zh-CN" w:bidi="ar-SA"/>
              </w:rPr>
              <w:t>，解密响应文件后，30分钟内在线签字确认，超过时间没有在线签字确认的系统将自动视为供应商认可</w:t>
            </w:r>
            <w:r>
              <w:rPr>
                <w:rFonts w:hint="eastAsia" w:ascii="宋体" w:hAnsi="宋体" w:eastAsia="宋体" w:cs="宋体"/>
                <w:b/>
                <w:bCs/>
                <w:color w:val="auto"/>
                <w:kern w:val="2"/>
                <w:sz w:val="21"/>
                <w:szCs w:val="21"/>
                <w:highlight w:val="none"/>
                <w:lang w:val="en-US" w:eastAsia="zh-CN" w:bidi="ar-SA"/>
              </w:rPr>
              <w:t>。</w:t>
            </w:r>
          </w:p>
        </w:tc>
      </w:tr>
      <w:tr w14:paraId="437C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1313606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w:t>
            </w:r>
          </w:p>
        </w:tc>
        <w:tc>
          <w:tcPr>
            <w:tcW w:w="942" w:type="dxa"/>
            <w:noWrap w:val="0"/>
            <w:vAlign w:val="center"/>
          </w:tcPr>
          <w:p w14:paraId="7E642423">
            <w:pPr>
              <w:spacing w:line="360" w:lineRule="auto"/>
              <w:ind w:firstLine="105" w:firstLineChars="50"/>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19.1</w:t>
            </w:r>
          </w:p>
        </w:tc>
        <w:tc>
          <w:tcPr>
            <w:tcW w:w="1775" w:type="dxa"/>
            <w:noWrap w:val="0"/>
            <w:vAlign w:val="center"/>
          </w:tcPr>
          <w:p w14:paraId="67E8E7B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磋商小组组成</w:t>
            </w:r>
          </w:p>
        </w:tc>
        <w:tc>
          <w:tcPr>
            <w:tcW w:w="6912" w:type="dxa"/>
            <w:noWrap w:val="0"/>
            <w:vAlign w:val="center"/>
          </w:tcPr>
          <w:p w14:paraId="4ABF33B4">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磋商及评审工作由采购代理机构负责组织，具体磋商、评审工作由依法组建的磋商小组负责，磋商小组由采购人代表和</w:t>
            </w:r>
            <w:r>
              <w:rPr>
                <w:rFonts w:hint="eastAsia" w:ascii="宋体" w:hAnsi="宋体" w:cs="宋体"/>
                <w:color w:val="000000"/>
                <w:szCs w:val="21"/>
                <w:highlight w:val="none"/>
                <w:lang w:eastAsia="zh-CN"/>
              </w:rPr>
              <w:t>评审专家</w:t>
            </w:r>
            <w:r>
              <w:rPr>
                <w:rFonts w:hint="eastAsia" w:ascii="宋体" w:hAnsi="宋体" w:eastAsia="宋体" w:cs="宋体"/>
                <w:color w:val="000000"/>
                <w:szCs w:val="21"/>
                <w:highlight w:val="none"/>
              </w:rPr>
              <w:t>组成。磋商小组的构成：</w:t>
            </w:r>
            <w:r>
              <w:rPr>
                <w:rFonts w:hint="eastAsia" w:ascii="宋体" w:hAnsi="宋体" w:eastAsia="宋体" w:cs="宋体"/>
                <w:color w:val="000000"/>
                <w:szCs w:val="21"/>
                <w:highlight w:val="none"/>
                <w:u w:val="single"/>
              </w:rPr>
              <w:t xml:space="preserve">3 </w:t>
            </w:r>
            <w:r>
              <w:rPr>
                <w:rFonts w:hint="eastAsia" w:ascii="宋体" w:hAnsi="宋体" w:eastAsia="宋体" w:cs="宋体"/>
                <w:color w:val="000000"/>
                <w:szCs w:val="21"/>
                <w:highlight w:val="none"/>
              </w:rPr>
              <w:t>人，其中采购人代表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1 </w:t>
            </w:r>
            <w:r>
              <w:rPr>
                <w:rFonts w:hint="eastAsia" w:ascii="宋体" w:hAnsi="宋体" w:eastAsia="宋体" w:cs="宋体"/>
                <w:color w:val="000000"/>
                <w:szCs w:val="21"/>
                <w:highlight w:val="none"/>
              </w:rPr>
              <w:t>人，专家</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2 </w:t>
            </w:r>
            <w:r>
              <w:rPr>
                <w:rFonts w:hint="eastAsia" w:ascii="宋体" w:hAnsi="宋体" w:eastAsia="宋体" w:cs="宋体"/>
                <w:color w:val="000000"/>
                <w:szCs w:val="21"/>
                <w:highlight w:val="none"/>
              </w:rPr>
              <w:t>人。</w:t>
            </w:r>
          </w:p>
        </w:tc>
      </w:tr>
      <w:tr w14:paraId="379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5888626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w:t>
            </w:r>
          </w:p>
        </w:tc>
        <w:tc>
          <w:tcPr>
            <w:tcW w:w="942" w:type="dxa"/>
            <w:noWrap w:val="0"/>
            <w:vAlign w:val="center"/>
          </w:tcPr>
          <w:p w14:paraId="6149AB9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w:t>
            </w:r>
          </w:p>
        </w:tc>
        <w:tc>
          <w:tcPr>
            <w:tcW w:w="1775" w:type="dxa"/>
            <w:noWrap w:val="0"/>
            <w:vAlign w:val="center"/>
          </w:tcPr>
          <w:p w14:paraId="2596C3D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磋商时间、地点、人员</w:t>
            </w:r>
          </w:p>
        </w:tc>
        <w:tc>
          <w:tcPr>
            <w:tcW w:w="6912" w:type="dxa"/>
            <w:noWrap w:val="0"/>
            <w:vAlign w:val="top"/>
          </w:tcPr>
          <w:p w14:paraId="00F3F235">
            <w:pPr>
              <w:spacing w:line="360" w:lineRule="auto"/>
              <w:ind w:left="315" w:hanging="315" w:hangingChars="1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19.2.1磋商时间：响应文件递交截止时间后。</w:t>
            </w:r>
          </w:p>
          <w:p w14:paraId="48398A30">
            <w:pPr>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19.2.2磋商地点：本项目需要磋商供应商代表在截标当天截标后，按磋商小组要求及时登陆</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等候在线磋商</w:t>
            </w:r>
            <w:r>
              <w:rPr>
                <w:rFonts w:hint="eastAsia" w:ascii="宋体" w:hAnsi="宋体" w:eastAsia="宋体" w:cs="宋体"/>
                <w:color w:val="000000"/>
                <w:szCs w:val="21"/>
                <w:highlight w:val="none"/>
                <w:lang w:eastAsia="zh-CN"/>
              </w:rPr>
              <w:t>。</w:t>
            </w:r>
          </w:p>
          <w:p w14:paraId="714AE071">
            <w:pPr>
              <w:spacing w:line="360" w:lineRule="auto"/>
              <w:ind w:left="15" w:hanging="14" w:hangingChars="7"/>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19.2.3磋商参加人员：供应商法定代表人、负责人、自然人或相应的委托代</w:t>
            </w:r>
            <w:r>
              <w:rPr>
                <w:rFonts w:hint="eastAsia" w:ascii="宋体" w:hAnsi="宋体" w:eastAsia="宋体" w:cs="宋体"/>
                <w:color w:val="000000"/>
                <w:szCs w:val="21"/>
                <w:highlight w:val="none"/>
                <w:u w:val="none"/>
              </w:rPr>
              <w:t>理人持有效身份证原件</w:t>
            </w:r>
            <w:r>
              <w:rPr>
                <w:rFonts w:hint="eastAsia" w:ascii="宋体" w:hAnsi="宋体" w:eastAsia="宋体" w:cs="宋体"/>
                <w:color w:val="000000"/>
                <w:szCs w:val="21"/>
                <w:highlight w:val="none"/>
                <w:u w:val="none"/>
                <w:lang w:eastAsia="zh-CN"/>
              </w:rPr>
              <w:t>和供应商</w:t>
            </w:r>
            <w:r>
              <w:rPr>
                <w:rFonts w:hint="eastAsia" w:ascii="宋体" w:hAnsi="宋体" w:cs="宋体"/>
                <w:color w:val="000000"/>
                <w:szCs w:val="21"/>
                <w:highlight w:val="none"/>
                <w:u w:val="none"/>
                <w:lang w:eastAsia="zh-CN"/>
              </w:rPr>
              <w:t>广西政府采购云平台</w:t>
            </w:r>
            <w:r>
              <w:rPr>
                <w:rFonts w:hint="eastAsia" w:ascii="宋体" w:hAnsi="宋体" w:eastAsia="宋体" w:cs="宋体"/>
                <w:color w:val="000000"/>
                <w:szCs w:val="21"/>
                <w:highlight w:val="none"/>
                <w:u w:val="none"/>
                <w:lang w:val="en-US" w:eastAsia="zh-CN"/>
              </w:rPr>
              <w:t>CA数字证书</w:t>
            </w:r>
            <w:r>
              <w:rPr>
                <w:rFonts w:hint="eastAsia" w:ascii="宋体" w:hAnsi="宋体" w:eastAsia="宋体" w:cs="宋体"/>
                <w:color w:val="000000"/>
                <w:szCs w:val="21"/>
                <w:highlight w:val="none"/>
              </w:rPr>
              <w:t>参加磋商。请供应商按时到达指定地点等候磋商。</w:t>
            </w:r>
          </w:p>
          <w:p w14:paraId="2F84CE0C">
            <w:pPr>
              <w:tabs>
                <w:tab w:val="left" w:pos="1140"/>
              </w:tabs>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19.2.4响应文件递交截止时间后，由磋商小组在评标室内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开启响应文件。</w:t>
            </w:r>
          </w:p>
        </w:tc>
      </w:tr>
      <w:tr w14:paraId="5A1F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4BD17A8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12</w:t>
            </w:r>
          </w:p>
        </w:tc>
        <w:tc>
          <w:tcPr>
            <w:tcW w:w="942" w:type="dxa"/>
            <w:noWrap w:val="0"/>
            <w:vAlign w:val="center"/>
          </w:tcPr>
          <w:p w14:paraId="5A34D1D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w:t>
            </w:r>
          </w:p>
        </w:tc>
        <w:tc>
          <w:tcPr>
            <w:tcW w:w="1775" w:type="dxa"/>
            <w:noWrap w:val="0"/>
            <w:vAlign w:val="center"/>
          </w:tcPr>
          <w:p w14:paraId="198940D2">
            <w:pPr>
              <w:pStyle w:val="12"/>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评审办法</w:t>
            </w:r>
          </w:p>
        </w:tc>
        <w:tc>
          <w:tcPr>
            <w:tcW w:w="6912" w:type="dxa"/>
            <w:noWrap w:val="0"/>
            <w:vAlign w:val="center"/>
          </w:tcPr>
          <w:p w14:paraId="0E707A64">
            <w:pPr>
              <w:tabs>
                <w:tab w:val="left" w:pos="114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具体详见第四章评审办法。</w:t>
            </w:r>
          </w:p>
        </w:tc>
      </w:tr>
      <w:tr w14:paraId="727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4593D29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13</w:t>
            </w:r>
          </w:p>
        </w:tc>
        <w:tc>
          <w:tcPr>
            <w:tcW w:w="942" w:type="dxa"/>
            <w:noWrap w:val="0"/>
            <w:vAlign w:val="center"/>
          </w:tcPr>
          <w:p w14:paraId="67B3C48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w:t>
            </w:r>
          </w:p>
        </w:tc>
        <w:tc>
          <w:tcPr>
            <w:tcW w:w="1775" w:type="dxa"/>
            <w:noWrap w:val="0"/>
            <w:vAlign w:val="center"/>
          </w:tcPr>
          <w:p w14:paraId="2D291C4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信用查询</w:t>
            </w:r>
          </w:p>
        </w:tc>
        <w:tc>
          <w:tcPr>
            <w:tcW w:w="6912" w:type="dxa"/>
            <w:noWrap w:val="0"/>
            <w:vAlign w:val="center"/>
          </w:tcPr>
          <w:p w14:paraId="79DF7019">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根据《关于做好政府采购有关信用主体标识码登记及在政府采购活动中查询使用信用记录有关问题的通知》（桂财采〔2016〕37</w:t>
            </w:r>
            <w:r>
              <w:rPr>
                <w:rFonts w:hint="eastAsia" w:ascii="宋体" w:hAnsi="宋体" w:cs="宋体"/>
                <w:color w:val="000000"/>
                <w:szCs w:val="21"/>
                <w:highlight w:val="none"/>
                <w:lang w:val="en-US" w:eastAsia="zh-CN"/>
              </w:rPr>
              <w:t>号</w:t>
            </w:r>
            <w:r>
              <w:rPr>
                <w:rFonts w:hint="eastAsia" w:ascii="宋体" w:hAnsi="宋体" w:eastAsia="宋体" w:cs="宋体"/>
                <w:color w:val="000000"/>
                <w:szCs w:val="21"/>
                <w:highlight w:val="none"/>
              </w:rPr>
              <w:t>），由采购代理机构对第一成交候选人进行信用查询：</w:t>
            </w:r>
          </w:p>
          <w:p w14:paraId="407D6CD1">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⑴查询渠道：“信用中国”网站(www.creditchina.gov.cn)、中国政府采购网(www.ccgp.gov.cn)等；</w:t>
            </w:r>
          </w:p>
          <w:p w14:paraId="4F1F2514">
            <w:pPr>
              <w:spacing w:line="360" w:lineRule="auto"/>
              <w:ind w:left="315" w:hanging="315" w:hanging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⑵查询时间：成交通知书发出前；</w:t>
            </w:r>
          </w:p>
          <w:p w14:paraId="177D731F">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⑶信用信息查询记录和证据留存方式：在查询网站中直接打印查询记录，打印材料作为采购活动资料保存；</w:t>
            </w:r>
          </w:p>
          <w:p w14:paraId="63FECCDA">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0429B3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805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2931F75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14</w:t>
            </w:r>
          </w:p>
        </w:tc>
        <w:tc>
          <w:tcPr>
            <w:tcW w:w="942" w:type="dxa"/>
            <w:noWrap w:val="0"/>
            <w:vAlign w:val="center"/>
          </w:tcPr>
          <w:p w14:paraId="5C16D814">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w:t>
            </w:r>
          </w:p>
        </w:tc>
        <w:tc>
          <w:tcPr>
            <w:tcW w:w="1775" w:type="dxa"/>
            <w:noWrap w:val="0"/>
            <w:vAlign w:val="center"/>
          </w:tcPr>
          <w:p w14:paraId="2FEC52E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成交结果公告</w:t>
            </w:r>
          </w:p>
          <w:p w14:paraId="59455D2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及成交通知书</w:t>
            </w:r>
          </w:p>
        </w:tc>
        <w:tc>
          <w:tcPr>
            <w:tcW w:w="6912" w:type="dxa"/>
            <w:noWrap w:val="0"/>
            <w:vAlign w:val="top"/>
          </w:tcPr>
          <w:p w14:paraId="11C2CD21">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3E0279C">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27.2</w:t>
            </w:r>
            <w:r>
              <w:rPr>
                <w:rFonts w:hint="eastAsia" w:ascii="宋体" w:hAnsi="宋体" w:cs="宋体"/>
                <w:color w:val="000000"/>
                <w:szCs w:val="21"/>
                <w:highlight w:val="none"/>
                <w:lang w:eastAsia="zh-CN"/>
              </w:rPr>
              <w:t>成交公告发布的同时，采购代理机构在线向成交供应商发出电子成交通知书。</w:t>
            </w:r>
          </w:p>
        </w:tc>
      </w:tr>
      <w:tr w14:paraId="599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2" w:type="dxa"/>
            <w:noWrap w:val="0"/>
            <w:vAlign w:val="center"/>
          </w:tcPr>
          <w:p w14:paraId="48F8E2E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w:t>
            </w:r>
          </w:p>
        </w:tc>
        <w:tc>
          <w:tcPr>
            <w:tcW w:w="942" w:type="dxa"/>
            <w:noWrap w:val="0"/>
            <w:vAlign w:val="center"/>
          </w:tcPr>
          <w:p w14:paraId="51A9DD1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w:t>
            </w:r>
          </w:p>
        </w:tc>
        <w:tc>
          <w:tcPr>
            <w:tcW w:w="1775" w:type="dxa"/>
            <w:noWrap w:val="0"/>
            <w:vAlign w:val="center"/>
          </w:tcPr>
          <w:p w14:paraId="674584A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w:t>
            </w:r>
          </w:p>
        </w:tc>
        <w:tc>
          <w:tcPr>
            <w:tcW w:w="6912" w:type="dxa"/>
            <w:noWrap w:val="0"/>
            <w:vAlign w:val="center"/>
          </w:tcPr>
          <w:p w14:paraId="6F988FB2">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auto"/>
                <w:szCs w:val="21"/>
                <w:highlight w:val="none"/>
              </w:rPr>
              <w:t>本项目免收履约保证金。</w:t>
            </w:r>
          </w:p>
        </w:tc>
      </w:tr>
      <w:tr w14:paraId="17D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C785CCE">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w:t>
            </w:r>
          </w:p>
        </w:tc>
        <w:tc>
          <w:tcPr>
            <w:tcW w:w="942" w:type="dxa"/>
            <w:noWrap w:val="0"/>
            <w:vAlign w:val="center"/>
          </w:tcPr>
          <w:p w14:paraId="26785DC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tc>
        <w:tc>
          <w:tcPr>
            <w:tcW w:w="1775" w:type="dxa"/>
            <w:noWrap w:val="0"/>
            <w:vAlign w:val="center"/>
          </w:tcPr>
          <w:p w14:paraId="2620CA57">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签订合同时间</w:t>
            </w:r>
          </w:p>
        </w:tc>
        <w:tc>
          <w:tcPr>
            <w:tcW w:w="6912" w:type="dxa"/>
            <w:noWrap w:val="0"/>
            <w:vAlign w:val="top"/>
          </w:tcPr>
          <w:p w14:paraId="7C63C68E">
            <w:pPr>
              <w:spacing w:line="360" w:lineRule="auto"/>
              <w:rPr>
                <w:rFonts w:hint="eastAsia" w:ascii="宋体" w:hAnsi="宋体" w:eastAsia="宋体" w:cs="宋体"/>
                <w:color w:val="000000"/>
                <w:szCs w:val="21"/>
                <w:highlight w:val="none"/>
              </w:rPr>
            </w:pPr>
            <w:r>
              <w:rPr>
                <w:rFonts w:hint="eastAsia" w:ascii="宋体" w:hAnsi="宋体" w:eastAsia="宋体" w:cs="宋体"/>
                <w:bCs/>
                <w:color w:val="000000"/>
                <w:kern w:val="0"/>
                <w:szCs w:val="21"/>
                <w:highlight w:val="none"/>
                <w:lang w:eastAsia="zh-CN"/>
              </w:rPr>
              <w:t>成交通知书</w:t>
            </w:r>
            <w:r>
              <w:rPr>
                <w:rFonts w:hint="eastAsia" w:ascii="宋体" w:hAnsi="宋体" w:eastAsia="宋体" w:cs="宋体"/>
                <w:bCs/>
                <w:color w:val="000000"/>
                <w:kern w:val="0"/>
                <w:szCs w:val="21"/>
                <w:highlight w:val="none"/>
              </w:rPr>
              <w:t>发出之日</w:t>
            </w:r>
            <w:r>
              <w:rPr>
                <w:rFonts w:hint="eastAsia" w:ascii="宋体" w:hAnsi="宋体" w:eastAsia="宋体" w:cs="宋体"/>
                <w:bCs/>
                <w:color w:val="auto"/>
                <w:kern w:val="0"/>
                <w:szCs w:val="21"/>
                <w:highlight w:val="none"/>
              </w:rPr>
              <w:t>起</w:t>
            </w:r>
            <w:r>
              <w:rPr>
                <w:rFonts w:hint="eastAsia" w:ascii="宋体" w:hAnsi="宋体" w:cs="宋体"/>
                <w:bCs/>
                <w:color w:val="auto"/>
                <w:kern w:val="0"/>
                <w:szCs w:val="21"/>
                <w:highlight w:val="none"/>
                <w:lang w:val="en-US" w:eastAsia="zh-CN"/>
              </w:rPr>
              <w:t>八个工作</w:t>
            </w:r>
            <w:r>
              <w:rPr>
                <w:rFonts w:hint="eastAsia" w:ascii="宋体" w:hAnsi="宋体" w:eastAsia="宋体" w:cs="宋体"/>
                <w:bCs/>
                <w:color w:val="auto"/>
                <w:kern w:val="0"/>
                <w:szCs w:val="21"/>
                <w:highlight w:val="none"/>
                <w:lang w:eastAsia="zh-CN"/>
              </w:rPr>
              <w:t>日</w:t>
            </w:r>
            <w:r>
              <w:rPr>
                <w:rFonts w:hint="eastAsia" w:ascii="宋体" w:hAnsi="宋体" w:eastAsia="宋体" w:cs="宋体"/>
                <w:bCs/>
                <w:color w:val="auto"/>
                <w:kern w:val="0"/>
                <w:szCs w:val="21"/>
                <w:highlight w:val="none"/>
              </w:rPr>
              <w:t>内</w:t>
            </w:r>
            <w:r>
              <w:rPr>
                <w:rFonts w:hint="eastAsia" w:ascii="宋体" w:hAnsi="宋体" w:eastAsia="宋体" w:cs="宋体"/>
                <w:bCs/>
                <w:color w:val="000000"/>
                <w:kern w:val="0"/>
                <w:szCs w:val="21"/>
                <w:highlight w:val="none"/>
              </w:rPr>
              <w:t>签订合同</w:t>
            </w:r>
            <w:r>
              <w:rPr>
                <w:rFonts w:hint="eastAsia" w:ascii="宋体" w:hAnsi="宋体" w:eastAsia="宋体" w:cs="宋体"/>
                <w:color w:val="000000"/>
                <w:highlight w:val="none"/>
              </w:rPr>
              <w:t>。</w:t>
            </w:r>
            <w:r>
              <w:rPr>
                <w:rFonts w:hint="eastAsia" w:ascii="宋体" w:hAnsi="宋体" w:cs="宋体"/>
                <w:color w:val="000000"/>
                <w:szCs w:val="21"/>
                <w:highlight w:val="none"/>
                <w:lang w:eastAsia="zh-CN"/>
              </w:rPr>
              <w:t>成交供应商收到成交通知书</w:t>
            </w:r>
            <w:r>
              <w:rPr>
                <w:rFonts w:hint="eastAsia" w:ascii="宋体" w:hAnsi="宋体" w:eastAsia="宋体" w:cs="宋体"/>
                <w:color w:val="000000"/>
                <w:szCs w:val="21"/>
                <w:highlight w:val="none"/>
              </w:rPr>
              <w:t>后，应按</w:t>
            </w:r>
            <w:r>
              <w:rPr>
                <w:rFonts w:hint="eastAsia" w:ascii="宋体" w:hAnsi="宋体" w:cs="宋体"/>
                <w:color w:val="000000"/>
                <w:szCs w:val="21"/>
                <w:highlight w:val="none"/>
                <w:lang w:eastAsia="zh-CN"/>
              </w:rPr>
              <w:t>规定与采购人在“广西政府采购云平台”上在线签订电子合同</w:t>
            </w:r>
            <w:r>
              <w:rPr>
                <w:rFonts w:hint="eastAsia" w:ascii="宋体" w:hAnsi="宋体" w:eastAsia="宋体" w:cs="宋体"/>
                <w:color w:val="000000"/>
                <w:szCs w:val="21"/>
                <w:highlight w:val="none"/>
              </w:rPr>
              <w:t>。</w:t>
            </w:r>
          </w:p>
        </w:tc>
      </w:tr>
      <w:tr w14:paraId="26D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096736C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w:t>
            </w:r>
          </w:p>
        </w:tc>
        <w:tc>
          <w:tcPr>
            <w:tcW w:w="942" w:type="dxa"/>
            <w:noWrap w:val="0"/>
            <w:vAlign w:val="center"/>
          </w:tcPr>
          <w:p w14:paraId="633DA5B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29.3</w:t>
            </w:r>
          </w:p>
        </w:tc>
        <w:tc>
          <w:tcPr>
            <w:tcW w:w="1775" w:type="dxa"/>
            <w:noWrap w:val="0"/>
            <w:vAlign w:val="center"/>
          </w:tcPr>
          <w:p w14:paraId="38A432E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合同备案存档</w:t>
            </w:r>
          </w:p>
        </w:tc>
        <w:tc>
          <w:tcPr>
            <w:tcW w:w="6912" w:type="dxa"/>
            <w:noWrap w:val="0"/>
            <w:vAlign w:val="center"/>
          </w:tcPr>
          <w:p w14:paraId="6940F2E9">
            <w:p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highlight w:val="none"/>
                <w:lang w:eastAsia="zh-CN"/>
              </w:rPr>
              <w:t>政府采购合同双方自签订之日起将自动存档于“广西政府采购云平台”上，采购人于合同签订之日起七个工作日内将一份合同原件送本级财政部门备案。</w:t>
            </w:r>
          </w:p>
        </w:tc>
      </w:tr>
      <w:tr w14:paraId="6578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265EE5D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w:t>
            </w:r>
          </w:p>
        </w:tc>
        <w:tc>
          <w:tcPr>
            <w:tcW w:w="942" w:type="dxa"/>
            <w:noWrap w:val="0"/>
            <w:vAlign w:val="center"/>
          </w:tcPr>
          <w:p w14:paraId="25B8955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w:t>
            </w:r>
          </w:p>
        </w:tc>
        <w:tc>
          <w:tcPr>
            <w:tcW w:w="1775" w:type="dxa"/>
            <w:noWrap w:val="0"/>
            <w:vAlign w:val="center"/>
          </w:tcPr>
          <w:p w14:paraId="75885F27">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采购代理服务费</w:t>
            </w:r>
          </w:p>
        </w:tc>
        <w:tc>
          <w:tcPr>
            <w:tcW w:w="6912" w:type="dxa"/>
            <w:noWrap w:val="0"/>
            <w:vAlign w:val="top"/>
          </w:tcPr>
          <w:p w14:paraId="5043953E">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highlight w:val="none"/>
              </w:rPr>
              <w:t>本项目不收取采购代理服务费</w:t>
            </w:r>
            <w:r>
              <w:rPr>
                <w:rFonts w:hint="eastAsia" w:ascii="宋体" w:hAnsi="宋体" w:cs="宋体"/>
                <w:color w:val="000000"/>
                <w:highlight w:val="none"/>
                <w:lang w:eastAsia="zh-CN"/>
              </w:rPr>
              <w:t>。</w:t>
            </w:r>
          </w:p>
        </w:tc>
      </w:tr>
      <w:tr w14:paraId="5247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4329E46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w:t>
            </w:r>
          </w:p>
        </w:tc>
        <w:tc>
          <w:tcPr>
            <w:tcW w:w="942" w:type="dxa"/>
            <w:noWrap w:val="0"/>
            <w:vAlign w:val="center"/>
          </w:tcPr>
          <w:p w14:paraId="1D5E430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w:t>
            </w:r>
          </w:p>
        </w:tc>
        <w:tc>
          <w:tcPr>
            <w:tcW w:w="1775" w:type="dxa"/>
            <w:noWrap w:val="0"/>
            <w:vAlign w:val="center"/>
          </w:tcPr>
          <w:p w14:paraId="6F771C8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解释权</w:t>
            </w:r>
          </w:p>
        </w:tc>
        <w:tc>
          <w:tcPr>
            <w:tcW w:w="6912" w:type="dxa"/>
            <w:noWrap w:val="0"/>
            <w:vAlign w:val="top"/>
          </w:tcPr>
          <w:p w14:paraId="4DC201F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C7A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5244A81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w:t>
            </w:r>
          </w:p>
        </w:tc>
        <w:tc>
          <w:tcPr>
            <w:tcW w:w="942" w:type="dxa"/>
            <w:noWrap w:val="0"/>
            <w:vAlign w:val="center"/>
          </w:tcPr>
          <w:p w14:paraId="5404202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32</w:t>
            </w:r>
          </w:p>
        </w:tc>
        <w:tc>
          <w:tcPr>
            <w:tcW w:w="1775" w:type="dxa"/>
            <w:noWrap w:val="0"/>
            <w:vAlign w:val="center"/>
          </w:tcPr>
          <w:p w14:paraId="7E422F7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监督管理机构</w:t>
            </w:r>
          </w:p>
        </w:tc>
        <w:tc>
          <w:tcPr>
            <w:tcW w:w="6912" w:type="dxa"/>
            <w:noWrap w:val="0"/>
            <w:vAlign w:val="center"/>
          </w:tcPr>
          <w:p w14:paraId="0561D645">
            <w:pPr>
              <w:spacing w:line="360" w:lineRule="auto"/>
              <w:rPr>
                <w:rFonts w:hint="eastAsia" w:ascii="宋体" w:hAnsi="宋体" w:eastAsia="宋体" w:cs="宋体"/>
                <w:color w:val="000000"/>
                <w:szCs w:val="21"/>
                <w:highlight w:val="none"/>
              </w:rPr>
            </w:pPr>
            <w:r>
              <w:rPr>
                <w:rFonts w:hint="eastAsia" w:ascii="宋体" w:hAnsi="宋体" w:cs="宋体"/>
                <w:color w:val="000000"/>
                <w:szCs w:val="21"/>
                <w:lang w:val="en-US" w:eastAsia="zh-CN"/>
              </w:rPr>
              <w:t>象山区财政局</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电话：</w:t>
            </w:r>
            <w:r>
              <w:rPr>
                <w:rFonts w:hint="eastAsia" w:ascii="宋体" w:hAnsi="宋体"/>
                <w:szCs w:val="21"/>
                <w:lang w:eastAsia="zh-CN"/>
              </w:rPr>
              <w:t>0773-3836392</w:t>
            </w:r>
          </w:p>
        </w:tc>
      </w:tr>
    </w:tbl>
    <w:p w14:paraId="48AC0E37">
      <w:pPr>
        <w:rPr>
          <w:rFonts w:hint="eastAsia" w:ascii="宋体" w:hAnsi="宋体" w:eastAsia="宋体" w:cs="宋体"/>
          <w:b/>
          <w:bCs w:val="0"/>
          <w:color w:val="000000"/>
          <w:szCs w:val="28"/>
          <w:highlight w:val="none"/>
        </w:rPr>
      </w:pPr>
      <w:bookmarkStart w:id="51" w:name="_Toc22792"/>
    </w:p>
    <w:p w14:paraId="08709B2E">
      <w:pPr>
        <w:pStyle w:val="4"/>
        <w:jc w:val="center"/>
        <w:rPr>
          <w:rFonts w:hint="eastAsia" w:ascii="宋体" w:hAnsi="宋体" w:eastAsia="宋体" w:cs="宋体"/>
          <w:b/>
          <w:bCs w:val="0"/>
          <w:color w:val="000000"/>
          <w:szCs w:val="28"/>
          <w:highlight w:val="none"/>
        </w:rPr>
      </w:pPr>
      <w:bookmarkStart w:id="52" w:name="_Toc23323"/>
      <w:r>
        <w:rPr>
          <w:rFonts w:hint="eastAsia" w:ascii="宋体" w:hAnsi="宋体" w:eastAsia="宋体" w:cs="宋体"/>
          <w:b/>
          <w:bCs w:val="0"/>
          <w:color w:val="000000"/>
          <w:szCs w:val="28"/>
          <w:highlight w:val="none"/>
        </w:rPr>
        <w:t>一、总则</w:t>
      </w:r>
      <w:bookmarkEnd w:id="51"/>
      <w:bookmarkEnd w:id="52"/>
    </w:p>
    <w:p w14:paraId="31461F24">
      <w:pPr>
        <w:pStyle w:val="5"/>
        <w:spacing w:before="0" w:after="0" w:line="360" w:lineRule="auto"/>
        <w:ind w:firstLine="420" w:firstLineChars="200"/>
        <w:rPr>
          <w:rFonts w:hint="eastAsia" w:ascii="宋体" w:hAnsi="宋体" w:eastAsia="宋体" w:cs="宋体"/>
          <w:color w:val="000000"/>
          <w:sz w:val="21"/>
          <w:szCs w:val="21"/>
          <w:highlight w:val="none"/>
        </w:rPr>
      </w:pPr>
      <w:bookmarkStart w:id="53" w:name="_Toc6626"/>
      <w:bookmarkStart w:id="54" w:name="_Toc14198"/>
      <w:r>
        <w:rPr>
          <w:rFonts w:hint="eastAsia" w:ascii="宋体" w:hAnsi="宋体" w:eastAsia="宋体" w:cs="宋体"/>
          <w:color w:val="000000"/>
          <w:sz w:val="21"/>
          <w:szCs w:val="21"/>
          <w:highlight w:val="none"/>
        </w:rPr>
        <w:t>1. 适应范围</w:t>
      </w:r>
      <w:bookmarkEnd w:id="53"/>
      <w:bookmarkEnd w:id="54"/>
    </w:p>
    <w:p w14:paraId="0E1D69DF">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  项目名称及项目编号：</w:t>
      </w:r>
    </w:p>
    <w:p w14:paraId="4716196B">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rPr>
        <w:t>项</w:t>
      </w:r>
      <w:r>
        <w:rPr>
          <w:rFonts w:hint="eastAsia" w:ascii="宋体" w:hAnsi="宋体" w:eastAsia="宋体" w:cs="宋体"/>
          <w:color w:val="000000"/>
          <w:sz w:val="21"/>
          <w:szCs w:val="21"/>
          <w:highlight w:val="none"/>
        </w:rPr>
        <w:t>目名称：</w:t>
      </w:r>
      <w:r>
        <w:rPr>
          <w:rFonts w:hint="eastAsia" w:ascii="宋体" w:hAnsi="宋体" w:cs="宋体"/>
          <w:color w:val="000000"/>
          <w:sz w:val="21"/>
          <w:szCs w:val="21"/>
          <w:highlight w:val="none"/>
          <w:lang w:val="en-US" w:eastAsia="zh-CN"/>
        </w:rPr>
        <w:t>桂林市象山区教育局城域网服务采购</w:t>
      </w:r>
      <w:r>
        <w:rPr>
          <w:rFonts w:hint="eastAsia" w:ascii="宋体" w:hAnsi="宋体" w:cs="宋体"/>
          <w:highlight w:val="none"/>
        </w:rPr>
        <w:t xml:space="preserve">  </w:t>
      </w:r>
    </w:p>
    <w:p w14:paraId="76EA007B">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lang w:eastAsia="zh-CN"/>
        </w:rPr>
        <w:t>GLZC2025-C3-990025-GLSZ</w:t>
      </w:r>
    </w:p>
    <w:p w14:paraId="630A28C2">
      <w:pPr>
        <w:spacing w:line="360" w:lineRule="exact"/>
        <w:ind w:firstLine="411" w:firstLineChars="19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1.2本竞争性磋商文件（以下简称磋商文件）适用于本磋商项目的磋商、评审、合同履约、验收、付款等行为（法律、法规另有规定的，从其规定）。</w:t>
      </w:r>
    </w:p>
    <w:p w14:paraId="28628E8F">
      <w:pPr>
        <w:pStyle w:val="5"/>
        <w:spacing w:before="0" w:after="0" w:line="360" w:lineRule="auto"/>
        <w:ind w:firstLine="420" w:firstLineChars="200"/>
        <w:rPr>
          <w:rFonts w:hint="eastAsia" w:ascii="宋体" w:hAnsi="宋体" w:eastAsia="宋体" w:cs="宋体"/>
          <w:color w:val="000000"/>
          <w:sz w:val="21"/>
          <w:szCs w:val="21"/>
          <w:highlight w:val="none"/>
        </w:rPr>
      </w:pPr>
      <w:bookmarkStart w:id="55" w:name="_Toc27215"/>
      <w:bookmarkStart w:id="56" w:name="_Toc28336"/>
      <w:r>
        <w:rPr>
          <w:rFonts w:hint="eastAsia" w:ascii="宋体" w:hAnsi="宋体" w:eastAsia="宋体" w:cs="宋体"/>
          <w:color w:val="000000"/>
          <w:sz w:val="21"/>
          <w:szCs w:val="21"/>
          <w:highlight w:val="none"/>
        </w:rPr>
        <w:t>2. 定义</w:t>
      </w:r>
      <w:bookmarkEnd w:id="55"/>
      <w:bookmarkEnd w:id="56"/>
    </w:p>
    <w:p w14:paraId="55451C9A">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2.1“供应商”是指符合本次采购项目的供应商资格并提交响应文件、参加磋商的供应商。如果该供应商在本次磋商中成交，即成为“成交供应商”。</w:t>
      </w:r>
    </w:p>
    <w:p w14:paraId="0656946E">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2.2“货物”系指按磋商文件规定，供应商须向采购人提供的一切设备、保险、税金、备品备件、工具、手册及其它有关技术资料和材料。</w:t>
      </w:r>
    </w:p>
    <w:p w14:paraId="072B4153">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2.3“服务”系指按磋商文件规定，供应商须承担的安装、调试、技术协助、校准、培训、技术指导以及其他类似的义务。</w:t>
      </w:r>
    </w:p>
    <w:p w14:paraId="505307EE">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2.4“项目”系指供应商按磋商文件规定向采购人提供的货物和服务。</w:t>
      </w:r>
    </w:p>
    <w:p w14:paraId="222011CD">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2.5“书面形式”包括信函、传真、电报等。</w:t>
      </w:r>
    </w:p>
    <w:p w14:paraId="7B1EB6E2">
      <w:pPr>
        <w:spacing w:line="360" w:lineRule="exact"/>
        <w:ind w:firstLine="435"/>
        <w:rPr>
          <w:rFonts w:hint="eastAsia" w:ascii="宋体" w:hAnsi="宋体" w:eastAsia="宋体" w:cs="宋体"/>
          <w:b/>
          <w:color w:val="auto"/>
          <w:sz w:val="24"/>
          <w:highlight w:val="none"/>
          <w:u w:val="single"/>
        </w:rPr>
      </w:pPr>
      <w:r>
        <w:rPr>
          <w:rFonts w:hint="eastAsia" w:ascii="宋体" w:hAnsi="宋体" w:eastAsia="宋体" w:cs="宋体"/>
          <w:b/>
          <w:color w:val="000000"/>
          <w:sz w:val="21"/>
          <w:szCs w:val="21"/>
          <w:highlight w:val="none"/>
          <w:u w:val="single"/>
        </w:rPr>
        <w:t>2.6实质性要求：</w:t>
      </w:r>
      <w:r>
        <w:rPr>
          <w:rFonts w:hint="eastAsia" w:ascii="宋体" w:hAnsi="宋体" w:eastAsia="宋体" w:cs="宋体"/>
          <w:b/>
          <w:color w:val="000000"/>
          <w:sz w:val="21"/>
          <w:szCs w:val="21"/>
          <w:highlight w:val="none"/>
          <w:u w:val="single"/>
          <w:lang w:val="en-US" w:eastAsia="zh-CN"/>
        </w:rPr>
        <w:t>“采购需求”中的标注★号的内容及磋商文件中要求“必须提供”的条款均为实质性要求。</w:t>
      </w:r>
      <w:r>
        <w:rPr>
          <w:rFonts w:hint="eastAsia"/>
          <w:b/>
          <w:bCs/>
          <w:color w:val="auto"/>
          <w:u w:val="single"/>
          <w:lang w:val="en-US" w:eastAsia="zh-CN"/>
        </w:rPr>
        <w:t>标注“▲”号的为重要技术指标，将作为评审的重要依据。</w:t>
      </w:r>
    </w:p>
    <w:p w14:paraId="3F6B32D9">
      <w:pPr>
        <w:pStyle w:val="5"/>
        <w:spacing w:before="0" w:after="0" w:line="360" w:lineRule="auto"/>
        <w:ind w:firstLine="420" w:firstLineChars="200"/>
        <w:rPr>
          <w:rFonts w:hint="eastAsia" w:ascii="宋体" w:hAnsi="宋体" w:eastAsia="宋体" w:cs="宋体"/>
          <w:color w:val="000000"/>
          <w:sz w:val="21"/>
          <w:szCs w:val="21"/>
          <w:highlight w:val="none"/>
        </w:rPr>
      </w:pPr>
      <w:bookmarkStart w:id="57" w:name="_Toc13368"/>
      <w:bookmarkStart w:id="58" w:name="_Toc25441"/>
      <w:r>
        <w:rPr>
          <w:rFonts w:hint="eastAsia" w:ascii="宋体" w:hAnsi="宋体" w:eastAsia="宋体" w:cs="宋体"/>
          <w:color w:val="000000"/>
          <w:sz w:val="21"/>
          <w:szCs w:val="21"/>
          <w:highlight w:val="none"/>
        </w:rPr>
        <w:t>3. 供应商资格</w:t>
      </w:r>
      <w:bookmarkEnd w:id="57"/>
      <w:bookmarkEnd w:id="58"/>
    </w:p>
    <w:p w14:paraId="67DF7CC4">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3.1符合《中华人民共和国政府采购法》第二十二条和《政府采购法实施条例》第十八条规定，具备合法资格的供应商；</w:t>
      </w:r>
    </w:p>
    <w:p w14:paraId="5DE145CF">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3.2本项目不接受联合体参与磋商；</w:t>
      </w:r>
    </w:p>
    <w:p w14:paraId="1D39D64B">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644D2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lang w:val="en-US" w:eastAsia="zh-CN"/>
        </w:rPr>
      </w:pPr>
      <w:bookmarkStart w:id="59" w:name="_Toc16496"/>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b/>
          <w:bCs/>
          <w:color w:val="000000"/>
          <w:sz w:val="21"/>
          <w:szCs w:val="21"/>
        </w:rPr>
        <w:t>落实政府采购政策需满足的资格要求：</w:t>
      </w:r>
      <w:r>
        <w:rPr>
          <w:rFonts w:hint="eastAsia" w:ascii="宋体" w:hAnsi="宋体" w:cs="宋体"/>
          <w:b/>
          <w:bCs/>
          <w:color w:val="000000"/>
          <w:sz w:val="21"/>
          <w:szCs w:val="21"/>
          <w:highlight w:val="none"/>
          <w:lang w:val="en-US" w:eastAsia="zh-CN"/>
        </w:rPr>
        <w:t>无</w:t>
      </w:r>
      <w:r>
        <w:rPr>
          <w:rFonts w:hint="eastAsia" w:ascii="宋体" w:hAnsi="宋体" w:eastAsia="宋体" w:cs="宋体"/>
          <w:b/>
          <w:bCs/>
          <w:color w:val="000000"/>
          <w:sz w:val="21"/>
          <w:szCs w:val="21"/>
          <w:lang w:val="en-US" w:eastAsia="zh-CN"/>
        </w:rPr>
        <w:t>。</w:t>
      </w:r>
    </w:p>
    <w:p w14:paraId="752B06CA">
      <w:pPr>
        <w:pStyle w:val="5"/>
        <w:spacing w:before="0" w:after="0" w:line="360" w:lineRule="auto"/>
        <w:ind w:firstLine="420" w:firstLineChars="200"/>
        <w:rPr>
          <w:rFonts w:hint="eastAsia" w:ascii="宋体" w:hAnsi="宋体" w:eastAsia="宋体" w:cs="宋体"/>
          <w:b/>
          <w:bCs/>
          <w:color w:val="000000"/>
          <w:sz w:val="21"/>
          <w:szCs w:val="21"/>
          <w:highlight w:val="none"/>
          <w:lang w:eastAsia="zh-CN"/>
        </w:rPr>
      </w:pPr>
      <w:bookmarkStart w:id="60" w:name="_Toc16524"/>
      <w:r>
        <w:rPr>
          <w:rFonts w:hint="eastAsia" w:ascii="宋体" w:hAnsi="宋体" w:eastAsia="宋体" w:cs="宋体"/>
          <w:b w:val="0"/>
          <w:bCs w:val="0"/>
          <w:color w:val="000000"/>
          <w:sz w:val="21"/>
          <w:szCs w:val="21"/>
          <w:lang w:val="en-US" w:eastAsia="zh-CN"/>
        </w:rPr>
        <w:t>3.5</w:t>
      </w:r>
      <w:r>
        <w:rPr>
          <w:rFonts w:hint="eastAsia" w:ascii="宋体" w:hAnsi="宋体" w:cs="宋体"/>
          <w:b/>
          <w:bCs/>
          <w:color w:val="000000"/>
          <w:sz w:val="21"/>
          <w:szCs w:val="21"/>
          <w:lang w:eastAsia="zh-CN"/>
        </w:rPr>
        <w:t>本项目的特定资格要求：</w:t>
      </w:r>
      <w:r>
        <w:rPr>
          <w:rFonts w:hint="eastAsia" w:ascii="宋体" w:hAnsi="宋体" w:cs="宋体"/>
          <w:b/>
          <w:bCs/>
          <w:color w:val="000000"/>
          <w:sz w:val="21"/>
          <w:szCs w:val="21"/>
          <w:lang w:val="en-US" w:eastAsia="zh-CN"/>
        </w:rPr>
        <w:t>无</w:t>
      </w:r>
      <w:r>
        <w:rPr>
          <w:rFonts w:hint="eastAsia" w:ascii="宋体" w:hAnsi="宋体" w:cs="宋体"/>
          <w:b/>
          <w:bCs/>
          <w:color w:val="000000"/>
          <w:sz w:val="21"/>
          <w:szCs w:val="21"/>
          <w:lang w:eastAsia="zh-CN"/>
        </w:rPr>
        <w:t>。</w:t>
      </w:r>
      <w:bookmarkEnd w:id="60"/>
    </w:p>
    <w:p w14:paraId="2F91436A">
      <w:pPr>
        <w:pStyle w:val="5"/>
        <w:spacing w:before="0" w:after="0" w:line="360" w:lineRule="auto"/>
        <w:ind w:firstLine="420" w:firstLineChars="200"/>
        <w:rPr>
          <w:rFonts w:hint="eastAsia" w:ascii="宋体" w:hAnsi="宋体" w:eastAsia="宋体" w:cs="宋体"/>
          <w:color w:val="000000"/>
          <w:sz w:val="21"/>
          <w:szCs w:val="21"/>
          <w:highlight w:val="none"/>
        </w:rPr>
      </w:pPr>
      <w:bookmarkStart w:id="61" w:name="_Toc26898"/>
      <w:r>
        <w:rPr>
          <w:rFonts w:hint="eastAsia" w:ascii="宋体" w:hAnsi="宋体" w:eastAsia="宋体" w:cs="宋体"/>
          <w:color w:val="000000"/>
          <w:sz w:val="21"/>
          <w:szCs w:val="21"/>
          <w:highlight w:val="none"/>
        </w:rPr>
        <w:t>4. 磋商费用</w:t>
      </w:r>
      <w:bookmarkEnd w:id="59"/>
      <w:bookmarkEnd w:id="61"/>
    </w:p>
    <w:p w14:paraId="6C54FB40">
      <w:pPr>
        <w:tabs>
          <w:tab w:val="left" w:pos="1635"/>
        </w:tabs>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不论磋商结果如何，供应商均应自行承担所有与磋商有关的全部费用。</w:t>
      </w:r>
    </w:p>
    <w:p w14:paraId="3EA9DE00">
      <w:pPr>
        <w:pStyle w:val="5"/>
        <w:numPr>
          <w:ilvl w:val="0"/>
          <w:numId w:val="1"/>
        </w:numPr>
        <w:spacing w:before="0" w:after="0" w:line="360" w:lineRule="auto"/>
        <w:ind w:firstLine="420" w:firstLineChars="200"/>
        <w:rPr>
          <w:rFonts w:hint="eastAsia" w:ascii="宋体" w:hAnsi="宋体" w:eastAsia="宋体" w:cs="宋体"/>
          <w:color w:val="000000"/>
          <w:sz w:val="21"/>
          <w:szCs w:val="21"/>
          <w:highlight w:val="none"/>
        </w:rPr>
      </w:pPr>
      <w:bookmarkStart w:id="62" w:name="_Toc31376"/>
      <w:bookmarkStart w:id="63" w:name="_Toc9193"/>
      <w:r>
        <w:rPr>
          <w:rFonts w:hint="eastAsia" w:ascii="宋体" w:hAnsi="宋体" w:eastAsia="宋体" w:cs="宋体"/>
          <w:color w:val="000000"/>
          <w:sz w:val="21"/>
          <w:szCs w:val="21"/>
          <w:highlight w:val="none"/>
        </w:rPr>
        <w:t>联合体要求</w:t>
      </w:r>
      <w:bookmarkEnd w:id="62"/>
      <w:bookmarkEnd w:id="63"/>
    </w:p>
    <w:p w14:paraId="0965B02C">
      <w:pPr>
        <w:spacing w:line="360" w:lineRule="exact"/>
        <w:ind w:firstLine="420" w:firstLineChars="2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本</w:t>
      </w:r>
      <w:r>
        <w:rPr>
          <w:rFonts w:hint="eastAsia" w:ascii="宋体" w:hAnsi="宋体" w:eastAsia="宋体" w:cs="宋体"/>
          <w:bCs/>
          <w:color w:val="auto"/>
          <w:szCs w:val="21"/>
          <w:highlight w:val="none"/>
        </w:rPr>
        <w:t>项目不接受联合体参与</w:t>
      </w:r>
      <w:r>
        <w:rPr>
          <w:rFonts w:hint="eastAsia" w:ascii="宋体" w:hAnsi="宋体" w:eastAsia="宋体" w:cs="宋体"/>
          <w:bCs/>
          <w:color w:val="000000"/>
          <w:szCs w:val="21"/>
          <w:highlight w:val="none"/>
        </w:rPr>
        <w:t>磋商</w:t>
      </w:r>
      <w:r>
        <w:rPr>
          <w:rFonts w:hint="eastAsia" w:ascii="宋体" w:hAnsi="宋体" w:cs="宋体"/>
          <w:bCs/>
          <w:color w:val="000000"/>
          <w:szCs w:val="21"/>
          <w:highlight w:val="none"/>
          <w:lang w:eastAsia="zh-CN"/>
        </w:rPr>
        <w:t>。</w:t>
      </w:r>
    </w:p>
    <w:p w14:paraId="5976A124">
      <w:pPr>
        <w:pStyle w:val="5"/>
        <w:spacing w:before="0" w:after="0" w:line="360" w:lineRule="auto"/>
        <w:ind w:firstLine="420" w:firstLineChars="200"/>
        <w:rPr>
          <w:rFonts w:hint="eastAsia" w:ascii="宋体" w:hAnsi="宋体" w:eastAsia="宋体" w:cs="宋体"/>
          <w:color w:val="000000"/>
          <w:sz w:val="21"/>
          <w:szCs w:val="21"/>
          <w:highlight w:val="none"/>
        </w:rPr>
      </w:pPr>
      <w:bookmarkStart w:id="64" w:name="_Toc4152"/>
      <w:bookmarkStart w:id="65" w:name="_Toc16220"/>
      <w:r>
        <w:rPr>
          <w:rFonts w:hint="eastAsia" w:ascii="宋体" w:hAnsi="宋体" w:eastAsia="宋体" w:cs="宋体"/>
          <w:color w:val="000000"/>
          <w:sz w:val="21"/>
          <w:szCs w:val="21"/>
          <w:highlight w:val="none"/>
        </w:rPr>
        <w:t>6. 质疑和投诉</w:t>
      </w:r>
      <w:bookmarkEnd w:id="64"/>
      <w:bookmarkEnd w:id="65"/>
      <w:r>
        <w:rPr>
          <w:rFonts w:hint="eastAsia" w:ascii="宋体" w:hAnsi="宋体" w:eastAsia="宋体" w:cs="宋体"/>
          <w:color w:val="000000"/>
          <w:sz w:val="21"/>
          <w:szCs w:val="21"/>
          <w:highlight w:val="none"/>
        </w:rPr>
        <w:tab/>
      </w:r>
    </w:p>
    <w:p w14:paraId="00F6DF06">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bookmarkStart w:id="66" w:name="_Toc3472"/>
      <w:bookmarkStart w:id="67" w:name="_Toc6998"/>
      <w:r>
        <w:rPr>
          <w:rFonts w:hint="eastAsia" w:ascii="宋体" w:hAnsi="宋体" w:eastAsia="宋体" w:cs="宋体"/>
          <w:b w:val="0"/>
          <w:color w:val="auto"/>
          <w:kern w:val="2"/>
          <w:sz w:val="21"/>
          <w:szCs w:val="21"/>
          <w:highlight w:val="none"/>
          <w:lang w:val="en-US" w:eastAsia="zh-CN" w:bidi="ar-SA"/>
        </w:rPr>
        <w:t>6.1供应商认为招标文件使自己的合法权益受到损害的，应当在本项目招标公告期限届满之日起七个工作日内以书面形式向采购人或桂林市政府集中采购中心提出质疑。供应商认为招标过程或中标结果使自己的合法权益受到损害的，应当在采购程序环节结束之日或中标公告期限届满之日起七个工作日内，以书面形式向采购人或桂林市政府集中采购中心提出质疑。</w:t>
      </w:r>
    </w:p>
    <w:p w14:paraId="6ABCD808">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接收质疑函方式：以书面形式（原件）提交。</w:t>
      </w:r>
    </w:p>
    <w:p w14:paraId="4E1DB55B">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质疑联系人：桂林市政府集中采购中心，联系电话：0773-5625162</w:t>
      </w:r>
    </w:p>
    <w:p w14:paraId="78654FA7">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通讯地址：桂林市临桂区西城中路69号创业大厦西辅楼5楼574室</w:t>
      </w:r>
    </w:p>
    <w:p w14:paraId="52B8CB8B">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6.2收到供应商书面质疑函后，采购人应当在七个工作日内对质疑事项作出答复（答复内容不得涉及商业秘密），并委托采购代理机构以书面形式通知质疑供应商，在财政部门指定的媒体发布质疑答复公告。</w:t>
      </w:r>
    </w:p>
    <w:p w14:paraId="04B3AD45">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6.3供应商对采购人或采购代理机构的答复不满意，或者采购人或采购代理机构未在规定的时间内作出答复的，可以在答复期满后十五个工作日内向本级财政部门投诉。</w:t>
      </w:r>
    </w:p>
    <w:p w14:paraId="520D916D">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6.4质疑、投诉应当采用书面形式，质疑书、投诉书实行实名制，均应明确阐述招标文件、招标过程或中标结果中使自己合法权益受到损害的实质性内容，并提供必要的证明材料。</w:t>
      </w:r>
    </w:p>
    <w:p w14:paraId="6747110F">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6.5供应商在法定质疑期内应当一次性提出针对同一采购程序环节的质疑。</w:t>
      </w:r>
    </w:p>
    <w:p w14:paraId="6EBBFFCC">
      <w:pPr>
        <w:pStyle w:val="5"/>
        <w:spacing w:before="0" w:after="0"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6.6 不在法定质疑期内提出的质疑函可以拒收。不符合要求的质疑函在法定质疑期内及时补充完整，否则作质疑不成立处理。</w:t>
      </w:r>
    </w:p>
    <w:p w14:paraId="49B15053">
      <w:pPr>
        <w:pStyle w:val="5"/>
        <w:spacing w:before="0"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转包与分包</w:t>
      </w:r>
      <w:bookmarkEnd w:id="66"/>
      <w:bookmarkEnd w:id="67"/>
    </w:p>
    <w:p w14:paraId="0C5F1A6D">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14:paraId="2DABA6E9">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本项目不可以分包。</w:t>
      </w:r>
    </w:p>
    <w:p w14:paraId="42ADD727">
      <w:pPr>
        <w:pStyle w:val="5"/>
        <w:spacing w:before="0" w:after="0" w:line="360" w:lineRule="auto"/>
        <w:ind w:firstLine="420" w:firstLineChars="200"/>
        <w:rPr>
          <w:rFonts w:hint="eastAsia" w:ascii="宋体" w:hAnsi="宋体" w:eastAsia="宋体" w:cs="宋体"/>
          <w:color w:val="000000"/>
          <w:sz w:val="21"/>
          <w:szCs w:val="21"/>
          <w:highlight w:val="none"/>
        </w:rPr>
      </w:pPr>
      <w:bookmarkStart w:id="68" w:name="_Toc29693"/>
      <w:bookmarkStart w:id="69" w:name="_Toc3368"/>
      <w:r>
        <w:rPr>
          <w:rFonts w:hint="eastAsia" w:ascii="宋体" w:hAnsi="宋体" w:eastAsia="宋体" w:cs="宋体"/>
          <w:color w:val="000000"/>
          <w:sz w:val="21"/>
          <w:szCs w:val="21"/>
          <w:highlight w:val="none"/>
        </w:rPr>
        <w:t>8. 特别说明</w:t>
      </w:r>
      <w:bookmarkEnd w:id="68"/>
      <w:bookmarkEnd w:id="69"/>
    </w:p>
    <w:p w14:paraId="29042901">
      <w:pPr>
        <w:tabs>
          <w:tab w:val="left" w:pos="1635"/>
        </w:tabs>
        <w:spacing w:line="360" w:lineRule="exact"/>
        <w:ind w:firstLine="420"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8.1关联供应商不得参加同一合同项下政府采购活动，否则响应文件将被视为无效：</w:t>
      </w:r>
    </w:p>
    <w:p w14:paraId="0097D18B">
      <w:pPr>
        <w:tabs>
          <w:tab w:val="left" w:pos="1635"/>
        </w:tabs>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（1）单位负责人为同一人或者存在直接控股、管理关系的，不得参加同一合同项下的政府采购活动。</w:t>
      </w:r>
    </w:p>
    <w:p w14:paraId="10B2F87A">
      <w:pPr>
        <w:tabs>
          <w:tab w:val="left" w:pos="1635"/>
        </w:tabs>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）为本采购项目提供整体设计、规范编制或者项目管理、监理、检测等服务的供应商，不得再参加本次采购活动。</w:t>
      </w:r>
    </w:p>
    <w:p w14:paraId="29B84B74">
      <w:pPr>
        <w:tabs>
          <w:tab w:val="left" w:pos="1635"/>
        </w:tabs>
        <w:spacing w:line="360" w:lineRule="exact"/>
        <w:ind w:firstLine="435"/>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8.2</w:t>
      </w:r>
      <w:r>
        <w:rPr>
          <w:rFonts w:hint="eastAsia" w:ascii="宋体" w:hAnsi="宋体" w:eastAsia="宋体" w:cs="宋体"/>
          <w:b/>
          <w:bCs/>
          <w:color w:val="000000"/>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64B9AEC">
      <w:pPr>
        <w:pStyle w:val="10"/>
        <w:rPr>
          <w:rFonts w:hint="eastAsia" w:ascii="宋体" w:hAnsi="宋体" w:eastAsia="宋体" w:cs="宋体"/>
          <w:color w:val="000000"/>
          <w:highlight w:val="none"/>
        </w:rPr>
      </w:pPr>
    </w:p>
    <w:p w14:paraId="44E83ACD">
      <w:pPr>
        <w:rPr>
          <w:rFonts w:hint="eastAsia"/>
        </w:rPr>
      </w:pPr>
    </w:p>
    <w:p w14:paraId="1A91C8C8">
      <w:pPr>
        <w:pStyle w:val="4"/>
        <w:jc w:val="center"/>
        <w:rPr>
          <w:rFonts w:hint="eastAsia" w:ascii="宋体" w:hAnsi="宋体" w:eastAsia="宋体" w:cs="宋体"/>
          <w:b/>
          <w:bCs w:val="0"/>
          <w:color w:val="000000"/>
          <w:szCs w:val="28"/>
          <w:highlight w:val="none"/>
        </w:rPr>
      </w:pPr>
      <w:bookmarkStart w:id="70" w:name="_Toc30089"/>
      <w:bookmarkStart w:id="71" w:name="_Toc22498"/>
      <w:r>
        <w:rPr>
          <w:rFonts w:hint="eastAsia" w:ascii="宋体" w:hAnsi="宋体" w:eastAsia="宋体" w:cs="宋体"/>
          <w:b/>
          <w:bCs w:val="0"/>
          <w:color w:val="000000"/>
          <w:szCs w:val="28"/>
          <w:highlight w:val="none"/>
        </w:rPr>
        <w:t>二、磋商文件</w:t>
      </w:r>
      <w:bookmarkEnd w:id="70"/>
      <w:bookmarkEnd w:id="71"/>
    </w:p>
    <w:p w14:paraId="31A336D1">
      <w:pPr>
        <w:pStyle w:val="5"/>
        <w:spacing w:before="0" w:after="0" w:line="360" w:lineRule="auto"/>
        <w:ind w:firstLine="420" w:firstLineChars="200"/>
        <w:rPr>
          <w:rFonts w:hint="eastAsia" w:ascii="宋体" w:hAnsi="宋体" w:eastAsia="宋体" w:cs="宋体"/>
          <w:color w:val="000000"/>
          <w:sz w:val="21"/>
          <w:szCs w:val="21"/>
          <w:highlight w:val="none"/>
          <w:lang w:val="pt-BR"/>
        </w:rPr>
      </w:pPr>
      <w:bookmarkStart w:id="72" w:name="_Toc6810"/>
      <w:bookmarkStart w:id="73" w:name="_Toc18964"/>
      <w:r>
        <w:rPr>
          <w:rFonts w:hint="eastAsia" w:ascii="宋体" w:hAnsi="宋体" w:eastAsia="宋体" w:cs="宋体"/>
          <w:color w:val="000000"/>
          <w:sz w:val="21"/>
          <w:szCs w:val="21"/>
          <w:highlight w:val="none"/>
          <w:lang w:val="pt-BR"/>
        </w:rPr>
        <w:t xml:space="preserve">9. </w:t>
      </w:r>
      <w:r>
        <w:rPr>
          <w:rFonts w:hint="eastAsia" w:ascii="宋体" w:hAnsi="宋体" w:eastAsia="宋体" w:cs="宋体"/>
          <w:color w:val="000000"/>
          <w:sz w:val="21"/>
          <w:szCs w:val="21"/>
          <w:highlight w:val="none"/>
        </w:rPr>
        <w:t>磋商文件的构成</w:t>
      </w:r>
      <w:bookmarkEnd w:id="72"/>
      <w:bookmarkEnd w:id="73"/>
    </w:p>
    <w:p w14:paraId="5DADB48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（1）竞争性磋商公告；</w:t>
      </w:r>
    </w:p>
    <w:p w14:paraId="40ADA15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（2）供应商须知；</w:t>
      </w:r>
    </w:p>
    <w:p w14:paraId="6EE5AEB0">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（3）采购需求</w:t>
      </w:r>
      <w:r>
        <w:rPr>
          <w:rFonts w:hint="eastAsia" w:ascii="宋体" w:hAnsi="宋体" w:eastAsia="宋体" w:cs="宋体"/>
          <w:bCs/>
          <w:color w:val="000000"/>
          <w:szCs w:val="21"/>
          <w:highlight w:val="none"/>
        </w:rPr>
        <w:t>；</w:t>
      </w:r>
    </w:p>
    <w:p w14:paraId="6C62F2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（4）评审办法；</w:t>
      </w:r>
    </w:p>
    <w:p w14:paraId="2A51D33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（5）采购合同（合同主要条款及格式）；</w:t>
      </w:r>
    </w:p>
    <w:p w14:paraId="5DB4C16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（6）响应文件（格式）。</w:t>
      </w:r>
    </w:p>
    <w:p w14:paraId="4637DCB8">
      <w:pPr>
        <w:pStyle w:val="5"/>
        <w:spacing w:before="0" w:after="0" w:line="360" w:lineRule="auto"/>
        <w:ind w:firstLine="420" w:firstLineChars="200"/>
        <w:rPr>
          <w:rFonts w:hint="eastAsia" w:ascii="宋体" w:hAnsi="宋体" w:eastAsia="宋体" w:cs="宋体"/>
          <w:color w:val="000000"/>
          <w:sz w:val="21"/>
          <w:szCs w:val="21"/>
          <w:highlight w:val="none"/>
        </w:rPr>
      </w:pPr>
      <w:bookmarkStart w:id="74" w:name="_Toc5564"/>
      <w:bookmarkStart w:id="75" w:name="_Toc9103"/>
      <w:r>
        <w:rPr>
          <w:rFonts w:hint="eastAsia" w:ascii="宋体" w:hAnsi="宋体" w:eastAsia="宋体" w:cs="宋体"/>
          <w:color w:val="000000"/>
          <w:sz w:val="21"/>
          <w:szCs w:val="21"/>
          <w:highlight w:val="none"/>
        </w:rPr>
        <w:t>10. 磋商文件的澄清与修改</w:t>
      </w:r>
      <w:bookmarkEnd w:id="74"/>
      <w:bookmarkEnd w:id="75"/>
    </w:p>
    <w:p w14:paraId="56A2410A">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 提交首次响应文件截止之日前，采购代理机构可以对已发出的磋商文件进行必要澄清、答复、修改或</w:t>
      </w:r>
    </w:p>
    <w:p w14:paraId="7DC31713">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szCs w:val="21"/>
          <w:highlight w:val="none"/>
        </w:rPr>
        <w:t>五日</w:t>
      </w:r>
      <w:r>
        <w:rPr>
          <w:rFonts w:hint="eastAsia" w:ascii="宋体" w:hAnsi="宋体" w:eastAsia="宋体" w:cs="宋体"/>
          <w:color w:val="000000"/>
          <w:szCs w:val="21"/>
          <w:highlight w:val="none"/>
        </w:rPr>
        <w:t>前在本项目竞争性磋商公告发布的同一媒体上发布更正公告，不足</w:t>
      </w:r>
      <w:r>
        <w:rPr>
          <w:rFonts w:hint="eastAsia" w:ascii="宋体" w:hAnsi="宋体" w:eastAsia="宋体" w:cs="宋体"/>
          <w:b/>
          <w:bCs/>
          <w:color w:val="000000"/>
          <w:szCs w:val="21"/>
          <w:highlight w:val="none"/>
        </w:rPr>
        <w:t>五日</w:t>
      </w:r>
      <w:r>
        <w:rPr>
          <w:rFonts w:hint="eastAsia" w:ascii="宋体" w:hAnsi="宋体" w:eastAsia="宋体" w:cs="宋体"/>
          <w:color w:val="000000"/>
          <w:szCs w:val="21"/>
          <w:highlight w:val="none"/>
        </w:rPr>
        <w:t>的，应当顺延首次响应文件递交截止时间。</w:t>
      </w:r>
    </w:p>
    <w:p w14:paraId="72FAD78F">
      <w:pPr>
        <w:spacing w:line="360" w:lineRule="auto"/>
        <w:ind w:left="420" w:leftChars="200"/>
        <w:jc w:val="left"/>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10.2</w:t>
      </w:r>
      <w:r>
        <w:rPr>
          <w:rFonts w:hint="eastAsia" w:ascii="宋体" w:hAnsi="宋体" w:eastAsia="宋体" w:cs="宋体"/>
          <w:b/>
          <w:bCs/>
          <w:color w:val="000000"/>
          <w:szCs w:val="21"/>
          <w:highlight w:val="none"/>
        </w:rPr>
        <w:t>供应商应实时关注本项目信息公告发布媒体相关网站了解澄清、修改等与项目有关的内容，如因供应</w:t>
      </w:r>
    </w:p>
    <w:p w14:paraId="1003C6FA">
      <w:pPr>
        <w:spacing w:line="360" w:lineRule="auto"/>
        <w:ind w:left="0" w:leftChars="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商未及时登录相关网站了解澄清、修改等与项目有关的内容，从而导致响应文件无效的，由供应商自行承担责任。</w:t>
      </w:r>
    </w:p>
    <w:p w14:paraId="3E923946">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10.3澄清或者修改的内容为磋商文件的组成部分。当澄清或者修改通知就同一内容的表述不一致时，以最</w:t>
      </w:r>
    </w:p>
    <w:p w14:paraId="2AB6C006">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后发出的文件为准。</w:t>
      </w:r>
    </w:p>
    <w:p w14:paraId="4EB2E357">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10.4 磋商文件的澄清或者修改都应该通过本项目采购代理机构以法定形式发布，采购人非通过本机构，不</w:t>
      </w:r>
    </w:p>
    <w:p w14:paraId="0BDEF066">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得擅自澄清或者修改磋商文件。</w:t>
      </w:r>
    </w:p>
    <w:p w14:paraId="0F6AB573">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10.5</w:t>
      </w:r>
      <w:r>
        <w:rPr>
          <w:rFonts w:hint="eastAsia" w:ascii="宋体" w:hAnsi="宋体" w:cs="宋体"/>
          <w:color w:val="000000"/>
          <w:szCs w:val="21"/>
          <w:highlight w:val="none"/>
          <w:lang w:eastAsia="zh-CN"/>
        </w:rPr>
        <w:t>采购人</w:t>
      </w:r>
      <w:r>
        <w:rPr>
          <w:rFonts w:hint="eastAsia" w:ascii="宋体" w:hAnsi="宋体" w:eastAsia="宋体" w:cs="宋体"/>
          <w:color w:val="000000"/>
          <w:szCs w:val="21"/>
          <w:highlight w:val="none"/>
        </w:rPr>
        <w:t>可以视采购具体情况，延长响应文件截止时间和磋商时间，在本项目竞争性磋商公告发布的</w:t>
      </w:r>
    </w:p>
    <w:p w14:paraId="53EC670F">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同一媒体上发布变更公告。</w:t>
      </w:r>
    </w:p>
    <w:p w14:paraId="3E1783D7">
      <w:pPr>
        <w:pStyle w:val="26"/>
        <w:rPr>
          <w:rFonts w:hint="eastAsia" w:ascii="宋体" w:hAnsi="宋体" w:eastAsia="宋体" w:cs="宋体"/>
          <w:color w:val="000000"/>
        </w:rPr>
      </w:pPr>
    </w:p>
    <w:p w14:paraId="34488CED">
      <w:pPr>
        <w:pStyle w:val="4"/>
        <w:jc w:val="center"/>
        <w:rPr>
          <w:rFonts w:hint="eastAsia" w:ascii="宋体" w:hAnsi="宋体" w:eastAsia="宋体" w:cs="宋体"/>
          <w:b/>
          <w:bCs w:val="0"/>
          <w:color w:val="000000"/>
          <w:szCs w:val="28"/>
          <w:highlight w:val="none"/>
        </w:rPr>
      </w:pPr>
      <w:bookmarkStart w:id="76" w:name="_Toc20830"/>
      <w:bookmarkStart w:id="77" w:name="_Toc28417"/>
      <w:r>
        <w:rPr>
          <w:rFonts w:hint="eastAsia" w:ascii="宋体" w:hAnsi="宋体" w:eastAsia="宋体" w:cs="宋体"/>
          <w:b/>
          <w:bCs w:val="0"/>
          <w:color w:val="000000"/>
          <w:szCs w:val="28"/>
          <w:highlight w:val="none"/>
        </w:rPr>
        <w:t>三、竞争性磋商响应文件的编制</w:t>
      </w:r>
      <w:bookmarkEnd w:id="76"/>
      <w:bookmarkEnd w:id="77"/>
    </w:p>
    <w:p w14:paraId="485167DF">
      <w:pPr>
        <w:pStyle w:val="5"/>
        <w:spacing w:before="0" w:after="0" w:line="360" w:lineRule="auto"/>
        <w:ind w:firstLine="420" w:firstLineChars="200"/>
        <w:rPr>
          <w:rFonts w:hint="eastAsia" w:ascii="宋体" w:hAnsi="宋体" w:eastAsia="宋体" w:cs="宋体"/>
          <w:b/>
          <w:color w:val="000000"/>
          <w:sz w:val="21"/>
          <w:szCs w:val="21"/>
          <w:highlight w:val="none"/>
          <w:lang w:val="en-US" w:eastAsia="zh-CN"/>
        </w:rPr>
      </w:pPr>
      <w:bookmarkStart w:id="78" w:name="_Toc9759"/>
      <w:r>
        <w:rPr>
          <w:rFonts w:hint="eastAsia" w:ascii="宋体" w:hAnsi="宋体" w:eastAsia="宋体" w:cs="宋体"/>
          <w:b/>
          <w:color w:val="000000"/>
          <w:sz w:val="21"/>
          <w:szCs w:val="21"/>
          <w:highlight w:val="none"/>
          <w:lang w:val="en-US" w:eastAsia="zh-CN"/>
        </w:rPr>
        <w:t>11.竞争性磋商响应文件编制基本要求</w:t>
      </w:r>
      <w:bookmarkEnd w:id="78"/>
    </w:p>
    <w:p w14:paraId="5A6DC0EB">
      <w:pPr>
        <w:spacing w:line="360" w:lineRule="auto"/>
        <w:ind w:firstLine="420" w:firstLineChars="2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11.1 本项目实行电子投标，供应商应准备电子磋商响应文件：</w:t>
      </w:r>
    </w:p>
    <w:p w14:paraId="5C419DAD">
      <w:pPr>
        <w:spacing w:line="360" w:lineRule="auto"/>
        <w:ind w:firstLine="420" w:firstLineChars="2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11.1.1 电子响应文件按</w:t>
      </w:r>
      <w:r>
        <w:rPr>
          <w:rFonts w:hint="eastAsia" w:ascii="宋体" w:hAnsi="宋体" w:cs="宋体"/>
          <w:b/>
          <w:bCs/>
          <w:color w:val="000000"/>
          <w:szCs w:val="21"/>
          <w:highlight w:val="none"/>
          <w:lang w:val="en-US" w:eastAsia="zh-CN"/>
        </w:rPr>
        <w:t>广西政府采购云平台</w:t>
      </w:r>
      <w:r>
        <w:rPr>
          <w:rFonts w:hint="eastAsia" w:ascii="宋体" w:hAnsi="宋体" w:eastAsia="宋体" w:cs="宋体"/>
          <w:b/>
          <w:bCs/>
          <w:color w:val="000000"/>
          <w:szCs w:val="21"/>
          <w:highlight w:val="none"/>
          <w:lang w:val="en-US" w:eastAsia="zh-CN"/>
        </w:rPr>
        <w:t xml:space="preserve">要求及本磋商文件要求制作、加密并递交。具体操作流程可参考《政府采购项目电子交易管理操作指南-供应商》，指南可在 “http://www.ccgp-guangxi.gov.cn/PurchaseAdvisory/ImportantNotice/2866753.html”下载。 </w:t>
      </w:r>
    </w:p>
    <w:p w14:paraId="4F7BA5E8">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竞争性磋商响应文件（以下简称响应文件）的组成及要求</w:t>
      </w:r>
    </w:p>
    <w:p w14:paraId="48D74D3D">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2.1</w:t>
      </w:r>
      <w:r>
        <w:rPr>
          <w:rFonts w:hint="eastAsia" w:ascii="宋体" w:hAnsi="宋体" w:eastAsia="宋体" w:cs="宋体"/>
          <w:b/>
          <w:bCs/>
          <w:color w:val="000000"/>
          <w:szCs w:val="21"/>
          <w:highlight w:val="none"/>
        </w:rPr>
        <w:t>响应文件组成【格式见第六章“响应文件（格式）”】</w:t>
      </w:r>
    </w:p>
    <w:p w14:paraId="13A293A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1.1</w:t>
      </w:r>
      <w:r>
        <w:rPr>
          <w:rFonts w:hint="eastAsia" w:ascii="宋体" w:hAnsi="宋体" w:eastAsia="宋体" w:cs="宋体"/>
          <w:b/>
          <w:bCs/>
          <w:color w:val="000000"/>
          <w:szCs w:val="21"/>
          <w:highlight w:val="none"/>
        </w:rPr>
        <w:t>资格性响应证明材料：</w:t>
      </w:r>
    </w:p>
    <w:p w14:paraId="7D5BE0A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（1）供应商相应的法定代表人、负责人、自然人身份证正反两面</w:t>
      </w:r>
      <w:r>
        <w:rPr>
          <w:rFonts w:hint="eastAsia" w:ascii="宋体" w:hAnsi="宋体" w:cs="宋体"/>
          <w:color w:val="000000"/>
          <w:szCs w:val="21"/>
          <w:highlight w:val="none"/>
          <w:lang w:eastAsia="zh-CN"/>
        </w:rPr>
        <w:t>彩色扫描件</w:t>
      </w:r>
      <w:r>
        <w:rPr>
          <w:rFonts w:hint="eastAsia" w:ascii="宋体" w:hAnsi="宋体" w:eastAsia="宋体" w:cs="宋体"/>
          <w:b/>
          <w:bCs/>
          <w:color w:val="000000"/>
          <w:szCs w:val="21"/>
          <w:highlight w:val="none"/>
        </w:rPr>
        <w:t>（必须提供）</w:t>
      </w:r>
      <w:r>
        <w:rPr>
          <w:rFonts w:hint="eastAsia" w:ascii="宋体" w:hAnsi="宋体" w:eastAsia="宋体" w:cs="宋体"/>
          <w:color w:val="000000"/>
          <w:szCs w:val="21"/>
          <w:highlight w:val="none"/>
        </w:rPr>
        <w:t>；</w:t>
      </w:r>
    </w:p>
    <w:p w14:paraId="307B77D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（2）供应商的授权委托书原件、委托代理人身份证正反面</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以及由县级以上（含县级）社会养老保险经办机构出具的供应商为委托代理人交纳的响应文件递交截止时间前</w:t>
      </w:r>
      <w:r>
        <w:rPr>
          <w:rFonts w:hint="eastAsia" w:ascii="宋体" w:hAnsi="宋体" w:cs="宋体"/>
          <w:color w:val="000000"/>
          <w:szCs w:val="21"/>
          <w:highlight w:val="none"/>
          <w:lang w:eastAsia="zh-CN"/>
        </w:rPr>
        <w:t>三个月内任意一个月</w:t>
      </w:r>
      <w:r>
        <w:rPr>
          <w:rFonts w:hint="eastAsia" w:ascii="宋体" w:hAnsi="宋体" w:cs="宋体"/>
          <w:color w:val="000000"/>
          <w:szCs w:val="21"/>
          <w:highlight w:val="none"/>
          <w:lang w:val="en-US" w:eastAsia="zh-CN"/>
        </w:rPr>
        <w:t>养老保险</w:t>
      </w:r>
      <w:r>
        <w:rPr>
          <w:rFonts w:hint="eastAsia" w:ascii="宋体" w:hAnsi="宋体" w:eastAsia="宋体" w:cs="宋体"/>
          <w:color w:val="000000"/>
          <w:szCs w:val="21"/>
          <w:highlight w:val="none"/>
        </w:rPr>
        <w:t>证明</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，除供应商为以下</w:t>
      </w:r>
      <w:r>
        <w:rPr>
          <w:rFonts w:hint="eastAsia" w:ascii="宋体" w:hAnsi="宋体" w:cs="宋体"/>
          <w:color w:val="000000"/>
          <w:szCs w:val="21"/>
          <w:highlight w:val="none"/>
          <w:lang w:val="en-US" w:eastAsia="zh-CN"/>
        </w:rPr>
        <w:t>四</w:t>
      </w:r>
      <w:r>
        <w:rPr>
          <w:rFonts w:hint="eastAsia" w:ascii="宋体" w:hAnsi="宋体" w:eastAsia="宋体" w:cs="宋体"/>
          <w:color w:val="000000"/>
          <w:szCs w:val="21"/>
          <w:highlight w:val="none"/>
        </w:rPr>
        <w:t>种情形的：</w:t>
      </w:r>
    </w:p>
    <w:p w14:paraId="0C4B0B2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①如供应商为截标时间前60日以内成立的公司，可以提供供应商与委托代理人签订的劳动合同</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代替</w:t>
      </w:r>
      <w:r>
        <w:rPr>
          <w:rFonts w:hint="eastAsia" w:ascii="宋体" w:hAnsi="宋体" w:cs="宋体"/>
          <w:color w:val="000000"/>
          <w:szCs w:val="21"/>
          <w:highlight w:val="none"/>
          <w:lang w:eastAsia="zh-CN"/>
        </w:rPr>
        <w:t>养老保险</w:t>
      </w:r>
      <w:r>
        <w:rPr>
          <w:rFonts w:hint="eastAsia" w:ascii="宋体" w:hAnsi="宋体" w:eastAsia="宋体" w:cs="宋体"/>
          <w:color w:val="000000"/>
          <w:szCs w:val="21"/>
          <w:highlight w:val="none"/>
        </w:rPr>
        <w:t>证明</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w:t>
      </w:r>
    </w:p>
    <w:p w14:paraId="601F3C6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②如供应商为事业单位，可以提供事业单位机构编制管理证</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或事业单位机构为其发放工资的工资条</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代替</w:t>
      </w:r>
      <w:r>
        <w:rPr>
          <w:rFonts w:hint="eastAsia" w:ascii="宋体" w:hAnsi="宋体" w:cs="宋体"/>
          <w:color w:val="000000"/>
          <w:szCs w:val="21"/>
          <w:highlight w:val="none"/>
          <w:lang w:eastAsia="zh-CN"/>
        </w:rPr>
        <w:t>养老保险</w:t>
      </w:r>
      <w:r>
        <w:rPr>
          <w:rFonts w:hint="eastAsia" w:ascii="宋体" w:hAnsi="宋体" w:eastAsia="宋体" w:cs="宋体"/>
          <w:color w:val="000000"/>
          <w:szCs w:val="21"/>
          <w:highlight w:val="none"/>
        </w:rPr>
        <w:t>证明</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w:t>
      </w:r>
    </w:p>
    <w:p w14:paraId="2EE843ED">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③如委托代理人为免缴纳养老保险人员，提供免缴纳养老保险的证明材料彩色扫描件</w:t>
      </w:r>
      <w:r>
        <w:rPr>
          <w:rFonts w:hint="eastAsia" w:ascii="宋体" w:hAnsi="宋体" w:eastAsia="宋体" w:cs="宋体"/>
          <w:color w:val="000000"/>
          <w:szCs w:val="21"/>
          <w:highlight w:val="none"/>
        </w:rPr>
        <w:t>及供应商与委托代理人签订的劳动合同</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代替</w:t>
      </w:r>
      <w:r>
        <w:rPr>
          <w:rFonts w:hint="eastAsia" w:ascii="宋体" w:hAnsi="宋体" w:cs="宋体"/>
          <w:color w:val="000000"/>
          <w:szCs w:val="21"/>
          <w:highlight w:val="none"/>
          <w:lang w:eastAsia="zh-CN"/>
        </w:rPr>
        <w:t>养老保险</w:t>
      </w:r>
      <w:r>
        <w:rPr>
          <w:rFonts w:hint="eastAsia" w:ascii="宋体" w:hAnsi="宋体" w:eastAsia="宋体" w:cs="宋体"/>
          <w:color w:val="000000"/>
          <w:szCs w:val="21"/>
          <w:highlight w:val="none"/>
        </w:rPr>
        <w:t>证明</w:t>
      </w:r>
      <w:r>
        <w:rPr>
          <w:rFonts w:hint="eastAsia" w:ascii="宋体" w:hAnsi="宋体" w:cs="宋体"/>
          <w:color w:val="000000"/>
          <w:szCs w:val="21"/>
          <w:highlight w:val="none"/>
          <w:lang w:eastAsia="zh-CN"/>
        </w:rPr>
        <w:t>彩色扫描件</w:t>
      </w:r>
      <w:r>
        <w:rPr>
          <w:rFonts w:hint="eastAsia" w:ascii="宋体" w:hAnsi="宋体" w:eastAsia="宋体" w:cs="宋体"/>
          <w:color w:val="000000"/>
          <w:szCs w:val="21"/>
          <w:highlight w:val="none"/>
        </w:rPr>
        <w:t>。</w:t>
      </w:r>
    </w:p>
    <w:p w14:paraId="784C825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61007D33">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bCs/>
          <w:color w:val="000000"/>
          <w:szCs w:val="21"/>
          <w:highlight w:val="none"/>
          <w:lang w:eastAsia="zh-CN"/>
        </w:rPr>
        <w:t>三个月内任意一个月养老保险证明</w:t>
      </w:r>
      <w:r>
        <w:rPr>
          <w:rFonts w:hint="eastAsia" w:ascii="宋体" w:hAnsi="宋体" w:cs="宋体"/>
          <w:b/>
          <w:bCs/>
          <w:color w:val="000000"/>
          <w:szCs w:val="21"/>
          <w:highlight w:val="none"/>
          <w:lang w:eastAsia="zh-CN"/>
        </w:rPr>
        <w:t>彩色扫描件</w:t>
      </w: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szCs w:val="21"/>
          <w:highlight w:val="none"/>
        </w:rPr>
        <w:t>】（委托代理时必须提供；如为联合体的，授权委托书原件须由牵头人出具）</w:t>
      </w:r>
    </w:p>
    <w:p w14:paraId="46B9B2E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（3）供应商参加政府采购活动前3年内在经营活动中没有重大违法记录及有关信用信息的书面声明</w:t>
      </w:r>
      <w:r>
        <w:rPr>
          <w:rFonts w:hint="eastAsia" w:ascii="宋体" w:hAnsi="宋体" w:eastAsia="宋体" w:cs="宋体"/>
          <w:b/>
          <w:bCs/>
          <w:color w:val="000000"/>
          <w:szCs w:val="21"/>
          <w:highlight w:val="none"/>
        </w:rPr>
        <w:t>（必须提供）；</w:t>
      </w:r>
    </w:p>
    <w:p w14:paraId="45F9864D">
      <w:pPr>
        <w:pageBreakBefore w:val="0"/>
        <w:widowControl w:val="0"/>
        <w:numPr>
          <w:ilvl w:val="0"/>
          <w:numId w:val="2"/>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供应商的法人或者其他组织营业执照等证明文件</w:t>
      </w:r>
      <w:r>
        <w:rPr>
          <w:rFonts w:hint="eastAsia" w:ascii="宋体" w:hAnsi="宋体" w:cs="宋体"/>
          <w:color w:val="000000"/>
          <w:szCs w:val="21"/>
          <w:highlight w:val="none"/>
          <w:lang w:eastAsia="zh-CN"/>
        </w:rPr>
        <w:t>彩色扫描件</w:t>
      </w:r>
      <w:r>
        <w:rPr>
          <w:rFonts w:hint="eastAsia" w:ascii="宋体" w:hAnsi="宋体" w:eastAsia="宋体" w:cs="宋体"/>
          <w:b/>
          <w:bCs/>
          <w:color w:val="000000"/>
          <w:szCs w:val="21"/>
          <w:highlight w:val="none"/>
        </w:rPr>
        <w:t>（必须提供，自然人除外）；</w:t>
      </w:r>
    </w:p>
    <w:p w14:paraId="45285CE7">
      <w:pPr>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A132F91">
      <w:pPr>
        <w:pageBreakBefore w:val="0"/>
        <w:widowControl w:val="0"/>
        <w:numPr>
          <w:ilvl w:val="0"/>
          <w:numId w:val="2"/>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auto"/>
          <w:sz w:val="21"/>
          <w:szCs w:val="21"/>
          <w:lang w:val="en-US" w:eastAsia="zh-CN"/>
        </w:rPr>
        <w:t>财务状况报告</w:t>
      </w:r>
      <w:r>
        <w:rPr>
          <w:rFonts w:hint="eastAsia" w:ascii="宋体" w:hAnsi="宋体" w:cs="宋体"/>
          <w:b/>
          <w:bCs/>
          <w:color w:val="auto"/>
          <w:sz w:val="21"/>
          <w:szCs w:val="21"/>
          <w:lang w:val="en-US" w:eastAsia="zh-CN"/>
        </w:rPr>
        <w:t>（格式自拟，必须提供）</w:t>
      </w:r>
      <w:r>
        <w:rPr>
          <w:rFonts w:hint="eastAsia" w:ascii="宋体" w:hAnsi="宋体" w:eastAsia="宋体" w:cs="宋体"/>
          <w:color w:val="000000"/>
          <w:sz w:val="21"/>
          <w:szCs w:val="21"/>
          <w:highlight w:val="none"/>
        </w:rPr>
        <w:t>；</w:t>
      </w:r>
    </w:p>
    <w:p w14:paraId="782F0E1E">
      <w:pPr>
        <w:pageBreakBefore w:val="0"/>
        <w:widowControl w:val="0"/>
        <w:numPr>
          <w:ilvl w:val="0"/>
          <w:numId w:val="2"/>
        </w:numPr>
        <w:kinsoku/>
        <w:wordWrap/>
        <w:overflowPunct/>
        <w:topLinePunct w:val="0"/>
        <w:autoSpaceDE/>
        <w:autoSpaceDN/>
        <w:bidi w:val="0"/>
        <w:adjustRightInd/>
        <w:snapToGrid/>
        <w:spacing w:line="360" w:lineRule="exact"/>
        <w:ind w:left="0" w:leftChars="0" w:firstLine="420" w:firstLineChars="200"/>
        <w:textAlignment w:val="auto"/>
        <w:rPr>
          <w:rFonts w:hint="eastAsia"/>
          <w:lang w:eastAsia="zh-CN"/>
        </w:rPr>
      </w:pPr>
      <w:r>
        <w:rPr>
          <w:rFonts w:hint="eastAsia" w:ascii="宋体" w:hAnsi="宋体" w:eastAsia="宋体" w:cs="宋体"/>
          <w:color w:val="000000"/>
          <w:sz w:val="21"/>
          <w:szCs w:val="21"/>
          <w:highlight w:val="none"/>
        </w:rPr>
        <w:t>供应商</w:t>
      </w:r>
      <w:r>
        <w:rPr>
          <w:rFonts w:hint="eastAsia" w:ascii="宋体" w:hAnsi="宋体" w:cs="宋体"/>
          <w:color w:val="000000"/>
          <w:sz w:val="21"/>
          <w:szCs w:val="21"/>
          <w:highlight w:val="none"/>
          <w:lang w:val="en-US" w:eastAsia="zh-CN"/>
        </w:rPr>
        <w:t>在磋商当天</w:t>
      </w:r>
      <w:r>
        <w:rPr>
          <w:rFonts w:hint="eastAsia" w:ascii="宋体" w:hAnsi="宋体" w:eastAsia="宋体" w:cs="宋体"/>
          <w:color w:val="000000"/>
          <w:sz w:val="21"/>
          <w:szCs w:val="21"/>
          <w:highlight w:val="none"/>
        </w:rPr>
        <w:t>近半年内任意一个月或任一季度依法缴纳税收的证明材料【增值税发票(税收完税证明)或企业所得税完税证明或税务部门出具的免税证明】</w:t>
      </w:r>
      <w:r>
        <w:rPr>
          <w:rFonts w:hint="eastAsia" w:ascii="宋体" w:hAnsi="宋体" w:cs="宋体"/>
          <w:color w:val="000000"/>
          <w:sz w:val="21"/>
          <w:szCs w:val="21"/>
          <w:highlight w:val="none"/>
          <w:lang w:eastAsia="zh-CN"/>
        </w:rPr>
        <w:t>彩色扫描件</w:t>
      </w:r>
      <w:r>
        <w:rPr>
          <w:rFonts w:hint="eastAsia" w:ascii="宋体" w:hAnsi="宋体" w:eastAsia="宋体" w:cs="宋体"/>
          <w:b/>
          <w:bCs/>
          <w:color w:val="000000"/>
          <w:sz w:val="21"/>
          <w:szCs w:val="21"/>
          <w:highlight w:val="none"/>
        </w:rPr>
        <w:t>（必须提供）</w:t>
      </w:r>
      <w:r>
        <w:rPr>
          <w:rFonts w:hint="eastAsia" w:ascii="宋体" w:hAnsi="宋体" w:cs="宋体"/>
          <w:b/>
          <w:bCs/>
          <w:color w:val="000000"/>
          <w:sz w:val="21"/>
          <w:szCs w:val="21"/>
          <w:highlight w:val="none"/>
          <w:lang w:val="en-US" w:eastAsia="zh-CN"/>
        </w:rPr>
        <w:t>;</w:t>
      </w:r>
    </w:p>
    <w:p w14:paraId="55B81BF0">
      <w:pPr>
        <w:pStyle w:val="2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11.</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1.2</w:t>
      </w:r>
      <w:r>
        <w:rPr>
          <w:rFonts w:hint="eastAsia" w:ascii="宋体" w:hAnsi="宋体" w:eastAsia="宋体" w:cs="宋体"/>
          <w:b/>
          <w:bCs/>
          <w:color w:val="000000"/>
          <w:sz w:val="21"/>
          <w:szCs w:val="21"/>
          <w:highlight w:val="none"/>
        </w:rPr>
        <w:t>符合性响应证明材料：</w:t>
      </w:r>
    </w:p>
    <w:p w14:paraId="0B8B65E4">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Cs w:val="21"/>
          <w:lang w:val="en-US" w:eastAsia="zh-CN"/>
        </w:rPr>
      </w:pPr>
      <w:bookmarkStart w:id="79" w:name="_Toc16312"/>
      <w:bookmarkStart w:id="80" w:name="_Toc2809"/>
      <w:bookmarkStart w:id="81" w:name="_Toc28932"/>
      <w:bookmarkStart w:id="82" w:name="_Toc22761"/>
      <w:r>
        <w:rPr>
          <w:rFonts w:hint="eastAsia" w:ascii="宋体" w:hAnsi="宋体" w:eastAsia="宋体" w:cs="宋体"/>
          <w:color w:val="auto"/>
          <w:szCs w:val="21"/>
          <w:lang w:val="en-US" w:eastAsia="zh-CN"/>
        </w:rPr>
        <w:t>（1）响应函（格式见附件）</w:t>
      </w:r>
      <w:r>
        <w:rPr>
          <w:rFonts w:hint="eastAsia" w:ascii="宋体" w:hAnsi="宋体" w:eastAsia="宋体" w:cs="宋体"/>
          <w:b/>
          <w:bCs/>
          <w:color w:val="auto"/>
          <w:szCs w:val="21"/>
          <w:lang w:val="en-US" w:eastAsia="zh-CN"/>
        </w:rPr>
        <w:t>（必须提供）</w:t>
      </w:r>
      <w:bookmarkEnd w:id="79"/>
      <w:r>
        <w:rPr>
          <w:rFonts w:hint="eastAsia" w:ascii="宋体" w:hAnsi="宋体" w:eastAsia="宋体" w:cs="宋体"/>
          <w:b/>
          <w:bCs/>
          <w:color w:val="auto"/>
          <w:szCs w:val="21"/>
          <w:lang w:val="en-US" w:eastAsia="zh-CN"/>
        </w:rPr>
        <w:t>；</w:t>
      </w:r>
      <w:bookmarkEnd w:id="80"/>
      <w:bookmarkEnd w:id="81"/>
      <w:bookmarkEnd w:id="82"/>
    </w:p>
    <w:p w14:paraId="58663AB8">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（2）磋商报价表（格式见附件）</w:t>
      </w:r>
      <w:r>
        <w:rPr>
          <w:rFonts w:hint="eastAsia" w:ascii="宋体" w:hAnsi="宋体" w:eastAsia="宋体" w:cs="宋体"/>
          <w:b/>
          <w:bCs/>
          <w:color w:val="auto"/>
          <w:szCs w:val="21"/>
          <w:lang w:val="en-US" w:eastAsia="zh-CN"/>
        </w:rPr>
        <w:t>（必须提供）；</w:t>
      </w:r>
    </w:p>
    <w:p w14:paraId="24350555">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（3）</w:t>
      </w:r>
      <w:r>
        <w:rPr>
          <w:rFonts w:hint="eastAsia" w:ascii="宋体" w:hAnsi="宋体" w:eastAsia="宋体" w:cs="宋体"/>
          <w:szCs w:val="21"/>
          <w:highlight w:val="none"/>
        </w:rPr>
        <w:t>服务（技术）响应、商务偏离情况说明表（</w:t>
      </w:r>
      <w:r>
        <w:rPr>
          <w:rFonts w:hint="eastAsia" w:ascii="宋体" w:hAnsi="宋体" w:cs="宋体"/>
          <w:szCs w:val="21"/>
          <w:highlight w:val="none"/>
        </w:rPr>
        <w:t>格式见附件）</w:t>
      </w:r>
      <w:r>
        <w:rPr>
          <w:rFonts w:hint="eastAsia" w:ascii="宋体" w:hAnsi="宋体" w:cs="宋体"/>
          <w:b/>
          <w:bCs/>
          <w:szCs w:val="21"/>
          <w:highlight w:val="none"/>
        </w:rPr>
        <w:t>（必须提供）；</w:t>
      </w:r>
    </w:p>
    <w:p w14:paraId="36436479">
      <w:pPr>
        <w:spacing w:line="360" w:lineRule="auto"/>
        <w:ind w:firstLine="420" w:firstLineChars="200"/>
        <w:rPr>
          <w:highlight w:val="none"/>
        </w:rPr>
      </w:pPr>
      <w:r>
        <w:rPr>
          <w:rFonts w:hint="eastAsia" w:ascii="宋体" w:hAnsi="宋体" w:cs="宋体"/>
          <w:szCs w:val="21"/>
          <w:highlight w:val="none"/>
        </w:rPr>
        <w:t>（4）</w:t>
      </w:r>
      <w:r>
        <w:rPr>
          <w:rFonts w:hint="eastAsia" w:ascii="宋体" w:hAnsi="宋体" w:eastAsia="宋体" w:cs="宋体"/>
          <w:color w:val="000000"/>
          <w:szCs w:val="21"/>
          <w:highlight w:val="none"/>
        </w:rPr>
        <w:t>服务承诺书（由供应商根据本项目服务采购需求、特点及供应商自身的处理能力自行编写，承诺书内容至少应包括“采购需求”中的所有服务条款）（格式见附件）</w:t>
      </w:r>
      <w:r>
        <w:rPr>
          <w:rFonts w:hint="eastAsia" w:ascii="宋体" w:hAnsi="宋体" w:cs="宋体"/>
          <w:b/>
          <w:bCs/>
          <w:szCs w:val="21"/>
          <w:highlight w:val="none"/>
        </w:rPr>
        <w:t>（必须提供）；</w:t>
      </w:r>
    </w:p>
    <w:p w14:paraId="222E9802">
      <w:pPr>
        <w:spacing w:line="360" w:lineRule="auto"/>
        <w:ind w:firstLine="420" w:firstLineChars="200"/>
        <w:rPr>
          <w:rFonts w:hint="eastAsia" w:ascii="宋体" w:hAnsi="宋体" w:eastAsia="宋体" w:cs="宋体"/>
          <w:b/>
          <w:bCs/>
          <w:szCs w:val="21"/>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针对本项目的服务方案（格式见附件）</w:t>
      </w:r>
      <w:r>
        <w:rPr>
          <w:rFonts w:hint="eastAsia" w:ascii="宋体" w:hAnsi="宋体" w:cs="宋体"/>
          <w:b/>
          <w:bCs/>
          <w:szCs w:val="21"/>
          <w:highlight w:val="none"/>
        </w:rPr>
        <w:t>（必须提供）</w:t>
      </w:r>
      <w:r>
        <w:rPr>
          <w:rFonts w:hint="eastAsia" w:ascii="宋体" w:hAnsi="宋体" w:cs="宋体"/>
          <w:b/>
          <w:bCs/>
          <w:szCs w:val="21"/>
          <w:highlight w:val="none"/>
          <w:lang w:eastAsia="zh-CN"/>
        </w:rPr>
        <w:t>。</w:t>
      </w:r>
    </w:p>
    <w:p w14:paraId="528E0B16">
      <w:pPr>
        <w:pStyle w:val="2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1.3</w:t>
      </w:r>
      <w:r>
        <w:rPr>
          <w:rFonts w:hint="eastAsia" w:ascii="宋体" w:hAnsi="宋体" w:eastAsia="宋体" w:cs="宋体"/>
          <w:b/>
          <w:bCs/>
          <w:color w:val="000000"/>
          <w:szCs w:val="21"/>
          <w:highlight w:val="none"/>
        </w:rPr>
        <w:t>其他有效证明材料</w:t>
      </w:r>
    </w:p>
    <w:p w14:paraId="198C534D">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项目实施人员一览表</w:t>
      </w:r>
      <w:r>
        <w:rPr>
          <w:rFonts w:hint="eastAsia" w:ascii="宋体" w:hAnsi="宋体" w:eastAsia="宋体" w:cs="宋体"/>
          <w:b/>
          <w:bCs/>
          <w:color w:val="auto"/>
          <w:szCs w:val="21"/>
          <w:lang w:val="en-US" w:eastAsia="zh-CN"/>
        </w:rPr>
        <w:t>（如有，请提供）</w:t>
      </w:r>
    </w:p>
    <w:p w14:paraId="47E85166">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）“采购需求”需提供的有效证明文件</w:t>
      </w:r>
      <w:r>
        <w:rPr>
          <w:rFonts w:hint="eastAsia" w:ascii="宋体" w:hAnsi="宋体" w:eastAsia="宋体" w:cs="宋体"/>
          <w:b/>
          <w:bCs/>
          <w:color w:val="auto"/>
          <w:szCs w:val="21"/>
        </w:rPr>
        <w:t>（如有，请提供）；</w:t>
      </w:r>
    </w:p>
    <w:p w14:paraId="50ED1121">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）供应</w:t>
      </w:r>
      <w:r>
        <w:rPr>
          <w:rFonts w:hint="eastAsia" w:ascii="宋体" w:hAnsi="宋体" w:eastAsia="宋体" w:cs="宋体"/>
          <w:color w:val="auto"/>
          <w:szCs w:val="21"/>
          <w:highlight w:val="none"/>
        </w:rPr>
        <w:t>商</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eastAsia="宋体" w:cs="宋体"/>
          <w:color w:val="auto"/>
          <w:szCs w:val="21"/>
          <w:highlight w:val="none"/>
        </w:rPr>
        <w:t>以</w:t>
      </w:r>
      <w:r>
        <w:rPr>
          <w:rFonts w:hint="eastAsia" w:ascii="宋体" w:hAnsi="宋体" w:eastAsia="宋体" w:cs="宋体"/>
          <w:color w:val="auto"/>
          <w:szCs w:val="21"/>
        </w:rPr>
        <w:t>来具有同类</w:t>
      </w:r>
      <w:r>
        <w:rPr>
          <w:rFonts w:hint="eastAsia" w:ascii="宋体" w:hAnsi="宋体" w:eastAsia="宋体" w:cs="宋体"/>
          <w:color w:val="auto"/>
          <w:szCs w:val="21"/>
          <w:lang w:eastAsia="zh-CN"/>
        </w:rPr>
        <w:t>项目</w:t>
      </w:r>
      <w:r>
        <w:rPr>
          <w:rFonts w:hint="eastAsia" w:ascii="宋体" w:hAnsi="宋体" w:eastAsia="宋体" w:cs="宋体"/>
          <w:color w:val="auto"/>
          <w:szCs w:val="21"/>
        </w:rPr>
        <w:t>的业绩相关证明材料（以中标、成交通知书或签订的合同为准，并能清晰反映</w:t>
      </w:r>
      <w:r>
        <w:rPr>
          <w:rFonts w:hint="eastAsia" w:ascii="宋体" w:hAnsi="宋体" w:eastAsia="宋体" w:cs="宋体"/>
          <w:color w:val="auto"/>
          <w:szCs w:val="21"/>
          <w:lang w:eastAsia="zh-CN"/>
        </w:rPr>
        <w:t>项目</w:t>
      </w:r>
      <w:r>
        <w:rPr>
          <w:rFonts w:hint="eastAsia" w:ascii="宋体" w:hAnsi="宋体" w:eastAsia="宋体" w:cs="宋体"/>
          <w:color w:val="auto"/>
          <w:szCs w:val="21"/>
        </w:rPr>
        <w:t>的名称、</w:t>
      </w:r>
      <w:r>
        <w:rPr>
          <w:rFonts w:hint="eastAsia" w:ascii="宋体" w:hAnsi="宋体" w:eastAsia="宋体" w:cs="宋体"/>
          <w:color w:val="auto"/>
          <w:szCs w:val="21"/>
          <w:lang w:eastAsia="zh-CN"/>
        </w:rPr>
        <w:t>采购</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p>
    <w:p w14:paraId="4CD256D3">
      <w:pPr>
        <w:numPr>
          <w:ilvl w:val="0"/>
          <w:numId w:val="0"/>
        </w:numPr>
        <w:tabs>
          <w:tab w:val="left" w:pos="1305"/>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highlight w:val="none"/>
        </w:rPr>
        <w:t>《中小企业声明函》（见附件）</w:t>
      </w:r>
      <w:r>
        <w:rPr>
          <w:rFonts w:hint="eastAsia" w:ascii="宋体" w:hAnsi="宋体" w:eastAsia="宋体" w:cs="宋体"/>
          <w:b/>
          <w:bCs/>
          <w:color w:val="auto"/>
          <w:highlight w:val="none"/>
        </w:rPr>
        <w:t>（如有，请提供）</w:t>
      </w:r>
      <w:r>
        <w:rPr>
          <w:rFonts w:hint="eastAsia" w:ascii="宋体" w:hAnsi="宋体" w:eastAsia="宋体" w:cs="宋体"/>
          <w:color w:val="auto"/>
          <w:highlight w:val="none"/>
        </w:rPr>
        <w:t>；</w:t>
      </w:r>
    </w:p>
    <w:p w14:paraId="5AE2D103">
      <w:pPr>
        <w:numPr>
          <w:ilvl w:val="0"/>
          <w:numId w:val="0"/>
        </w:num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rPr>
        <w:t>如提供服务的供应商属于监狱企业的，应当提供由省级以上监狱管理局、戒毒管理局等（含新疆生产建设兵团）出具的属于监狱企业的证明文件</w:t>
      </w:r>
      <w:r>
        <w:rPr>
          <w:rFonts w:hint="eastAsia" w:ascii="宋体" w:hAnsi="宋体" w:eastAsia="宋体" w:cs="宋体"/>
          <w:color w:val="auto"/>
          <w:kern w:val="0"/>
          <w:sz w:val="24"/>
          <w:highlight w:val="none"/>
        </w:rPr>
        <w:t>（</w:t>
      </w:r>
      <w:r>
        <w:rPr>
          <w:rFonts w:hint="eastAsia" w:ascii="宋体" w:hAnsi="宋体" w:eastAsia="宋体" w:cs="宋体"/>
          <w:b/>
          <w:color w:val="auto"/>
          <w:highlight w:val="none"/>
        </w:rPr>
        <w:t>如有，请提供</w:t>
      </w:r>
      <w:r>
        <w:rPr>
          <w:rFonts w:hint="eastAsia" w:ascii="宋体" w:hAnsi="宋体" w:eastAsia="宋体" w:cs="宋体"/>
          <w:color w:val="auto"/>
          <w:kern w:val="0"/>
          <w:sz w:val="24"/>
          <w:highlight w:val="none"/>
        </w:rPr>
        <w:t>）；</w:t>
      </w:r>
    </w:p>
    <w:p w14:paraId="6E61F4E0">
      <w:pPr>
        <w:pStyle w:val="26"/>
        <w:ind w:firstLine="420" w:firstLineChars="200"/>
        <w:rPr>
          <w:rFonts w:hint="eastAsia" w:ascii="宋体" w:hAnsi="宋体" w:eastAsia="宋体" w:cs="宋体"/>
          <w:color w:val="auto"/>
          <w:szCs w:val="20"/>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符合条件的残疾人福利性单位在参加政府采购活动时，应当提供《残疾人福利性单位声明函》，并对声明的真实性负责</w:t>
      </w:r>
      <w:r>
        <w:rPr>
          <w:rFonts w:hint="eastAsia" w:ascii="宋体" w:hAnsi="宋体" w:eastAsia="宋体" w:cs="宋体"/>
          <w:color w:val="auto"/>
          <w:kern w:val="2"/>
          <w:sz w:val="21"/>
          <w:szCs w:val="24"/>
          <w:highlight w:val="none"/>
          <w:lang w:val="en-US" w:eastAsia="zh-CN" w:bidi="ar-SA"/>
        </w:rPr>
        <w:t>（见附件）</w:t>
      </w:r>
      <w:r>
        <w:rPr>
          <w:rFonts w:hint="eastAsia" w:ascii="宋体" w:hAnsi="宋体" w:eastAsia="宋体" w:cs="宋体"/>
          <w:b/>
          <w:bCs/>
          <w:color w:val="auto"/>
          <w:kern w:val="2"/>
          <w:sz w:val="21"/>
          <w:szCs w:val="24"/>
          <w:highlight w:val="none"/>
          <w:lang w:val="en-US" w:eastAsia="zh-CN" w:bidi="ar-SA"/>
        </w:rPr>
        <w:t>（如有，请提供）；</w:t>
      </w:r>
    </w:p>
    <w:p w14:paraId="658C07D2">
      <w:pPr>
        <w:numPr>
          <w:ilvl w:val="0"/>
          <w:numId w:val="0"/>
        </w:numPr>
        <w:tabs>
          <w:tab w:val="left" w:pos="1305"/>
        </w:tabs>
        <w:spacing w:line="400" w:lineRule="exact"/>
        <w:ind w:firstLine="420" w:firstLineChars="200"/>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（7）供应商可结合本项目的评审办法视自身情况自行提交其它相关证明材料</w:t>
      </w:r>
      <w:r>
        <w:rPr>
          <w:rFonts w:hint="eastAsia" w:ascii="宋体" w:hAnsi="宋体" w:cs="宋体"/>
          <w:color w:val="000000"/>
          <w:kern w:val="2"/>
          <w:sz w:val="21"/>
          <w:szCs w:val="21"/>
          <w:lang w:val="en-US" w:eastAsia="zh-CN"/>
        </w:rPr>
        <w:t>。</w:t>
      </w:r>
    </w:p>
    <w:p w14:paraId="56BA14C5">
      <w:pPr>
        <w:spacing w:line="400" w:lineRule="exact"/>
        <w:ind w:firstLine="420"/>
        <w:rPr>
          <w:rFonts w:hint="eastAsia" w:ascii="宋体" w:hAnsi="宋体" w:eastAsia="宋体" w:cs="宋体"/>
          <w:color w:val="000000"/>
          <w:szCs w:val="21"/>
          <w:highlight w:val="none"/>
        </w:rPr>
      </w:pPr>
      <w:r>
        <w:rPr>
          <w:rFonts w:hint="eastAsia" w:ascii="宋体" w:hAnsi="宋体" w:eastAsia="宋体" w:cs="宋体"/>
          <w:b/>
          <w:bCs/>
          <w:color w:val="auto"/>
          <w:szCs w:val="21"/>
        </w:rPr>
        <w:t>供应商</w:t>
      </w:r>
      <w:r>
        <w:rPr>
          <w:rFonts w:hint="eastAsia" w:ascii="宋体" w:hAnsi="宋体" w:eastAsia="宋体" w:cs="宋体"/>
          <w:b/>
          <w:bCs/>
          <w:color w:val="000000"/>
        </w:rPr>
        <w:t>提供的以上相关证明材料属于“必须提供”的文件应加盖</w:t>
      </w:r>
      <w:r>
        <w:rPr>
          <w:rFonts w:hint="eastAsia" w:ascii="宋体" w:hAnsi="宋体" w:eastAsia="宋体" w:cs="宋体"/>
          <w:b/>
          <w:bCs/>
          <w:color w:val="000000"/>
          <w:lang w:eastAsia="zh-CN"/>
        </w:rPr>
        <w:t>磋商供应商</w:t>
      </w:r>
      <w:r>
        <w:rPr>
          <w:rFonts w:hint="eastAsia" w:ascii="宋体" w:hAnsi="宋体" w:eastAsia="宋体" w:cs="宋体"/>
          <w:b/>
          <w:bCs/>
          <w:color w:val="000000"/>
        </w:rPr>
        <w:t>公章（CA签章）</w:t>
      </w:r>
      <w:r>
        <w:rPr>
          <w:rFonts w:hint="eastAsia" w:ascii="宋体" w:hAnsi="宋体" w:eastAsia="宋体" w:cs="宋体"/>
          <w:b/>
          <w:bCs/>
          <w:color w:val="000000"/>
          <w:lang w:val="en-US" w:eastAsia="zh-CN"/>
        </w:rPr>
        <w:t>/</w:t>
      </w:r>
      <w:r>
        <w:rPr>
          <w:rFonts w:hint="eastAsia" w:ascii="宋体" w:hAnsi="宋体" w:eastAsia="宋体" w:cs="宋体"/>
          <w:b/>
          <w:bCs/>
          <w:color w:val="000000"/>
        </w:rPr>
        <w:t>自然人</w:t>
      </w:r>
      <w:r>
        <w:rPr>
          <w:rFonts w:hint="eastAsia" w:ascii="宋体" w:hAnsi="宋体" w:eastAsia="宋体" w:cs="宋体"/>
          <w:b/>
          <w:bCs/>
          <w:color w:val="000000"/>
          <w:lang w:eastAsia="zh-CN"/>
        </w:rPr>
        <w:t>签字或</w:t>
      </w:r>
      <w:r>
        <w:rPr>
          <w:rFonts w:hint="eastAsia" w:ascii="宋体" w:hAnsi="宋体" w:eastAsia="宋体" w:cs="宋体"/>
          <w:b/>
          <w:bCs/>
          <w:color w:val="000000"/>
          <w:lang w:val="en-US" w:eastAsia="zh-CN"/>
        </w:rPr>
        <w:t>个人</w:t>
      </w:r>
      <w:r>
        <w:rPr>
          <w:rFonts w:hint="eastAsia" w:ascii="宋体" w:hAnsi="宋体" w:eastAsia="宋体" w:cs="宋体"/>
          <w:b/>
          <w:bCs/>
          <w:color w:val="000000"/>
        </w:rPr>
        <w:t>CA签章，否则</w:t>
      </w:r>
      <w:r>
        <w:rPr>
          <w:rFonts w:hint="eastAsia" w:ascii="宋体" w:hAnsi="宋体" w:eastAsia="宋体" w:cs="宋体"/>
          <w:b/>
          <w:bCs/>
          <w:color w:val="000000"/>
          <w:lang w:val="en-US" w:eastAsia="zh-CN"/>
        </w:rPr>
        <w:t>响应</w:t>
      </w:r>
      <w:r>
        <w:rPr>
          <w:rFonts w:hint="eastAsia" w:ascii="宋体" w:hAnsi="宋体" w:eastAsia="宋体" w:cs="宋体"/>
          <w:b/>
          <w:bCs/>
          <w:color w:val="000000"/>
        </w:rPr>
        <w:t>无效。</w:t>
      </w:r>
    </w:p>
    <w:p w14:paraId="639D380F">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r>
        <w:rPr>
          <w:rFonts w:hint="eastAsia" w:ascii="宋体" w:hAnsi="宋体" w:eastAsia="宋体" w:cs="宋体"/>
          <w:color w:val="000000"/>
          <w:szCs w:val="21"/>
          <w:highlight w:val="none"/>
          <w:lang w:val="en-US" w:eastAsia="zh-CN"/>
        </w:rPr>
        <w:t xml:space="preserve">3 </w:t>
      </w:r>
      <w:r>
        <w:rPr>
          <w:rFonts w:hint="eastAsia" w:ascii="宋体" w:hAnsi="宋体" w:eastAsia="宋体" w:cs="宋体"/>
          <w:color w:val="000000"/>
          <w:szCs w:val="21"/>
          <w:highlight w:val="none"/>
        </w:rPr>
        <w:t>供应商应按竞争性磋商文件第六章“响应文件（格式）”编制响应文件。</w:t>
      </w:r>
    </w:p>
    <w:p w14:paraId="68A242D2">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特别说明：</w:t>
      </w:r>
    </w:p>
    <w:p w14:paraId="07FA5A92">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color w:val="000000"/>
          <w:szCs w:val="21"/>
        </w:rPr>
      </w:pPr>
      <w:r>
        <w:rPr>
          <w:rFonts w:hint="eastAsia" w:ascii="宋体" w:hAnsi="宋体" w:eastAsia="宋体" w:cs="宋体"/>
          <w:b/>
          <w:bCs/>
          <w:color w:val="000000"/>
          <w:szCs w:val="21"/>
        </w:rPr>
        <w:t>（1）响</w:t>
      </w:r>
      <w:r>
        <w:rPr>
          <w:rFonts w:hint="eastAsia" w:ascii="宋体" w:hAnsi="宋体" w:eastAsia="宋体" w:cs="宋体"/>
          <w:b/>
          <w:color w:val="000000"/>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D3C1CB6">
      <w:pPr>
        <w:pageBreakBefore w:val="0"/>
        <w:widowControl w:val="0"/>
        <w:numPr>
          <w:ilvl w:val="0"/>
          <w:numId w:val="3"/>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b/>
          <w:color w:val="000000"/>
          <w:szCs w:val="21"/>
        </w:rPr>
      </w:pPr>
      <w:r>
        <w:rPr>
          <w:rFonts w:hint="eastAsia" w:ascii="宋体" w:hAnsi="宋体" w:eastAsia="宋体" w:cs="宋体"/>
          <w:b/>
          <w:bCs/>
          <w:color w:val="auto"/>
          <w:szCs w:val="21"/>
          <w:lang w:eastAsia="zh-CN"/>
        </w:rPr>
        <w:t>磋商文件</w:t>
      </w:r>
      <w:r>
        <w:rPr>
          <w:rFonts w:hint="eastAsia" w:ascii="宋体" w:hAnsi="宋体" w:eastAsia="宋体" w:cs="宋体"/>
          <w:b/>
          <w:bCs/>
          <w:color w:val="auto"/>
          <w:szCs w:val="21"/>
        </w:rPr>
        <w:t>要求法定代表人（负责人）或委托代理人签字的部分必须签字然后扫描或者拍照做成 pdf 格式上传</w:t>
      </w:r>
      <w:r>
        <w:rPr>
          <w:rFonts w:hint="eastAsia" w:ascii="宋体" w:hAnsi="宋体" w:eastAsia="宋体" w:cs="宋体"/>
          <w:b/>
          <w:bCs/>
          <w:color w:val="auto"/>
          <w:szCs w:val="21"/>
          <w:lang w:eastAsia="zh-CN"/>
        </w:rPr>
        <w:t>（或加盖个人</w:t>
      </w:r>
      <w:r>
        <w:rPr>
          <w:rFonts w:hint="eastAsia" w:ascii="宋体" w:hAnsi="宋体" w:eastAsia="宋体" w:cs="宋体"/>
          <w:b/>
          <w:bCs/>
          <w:color w:val="auto"/>
          <w:szCs w:val="21"/>
          <w:lang w:val="en-US" w:eastAsia="zh-CN"/>
        </w:rPr>
        <w:t>CA签章</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，无签字的视为</w:t>
      </w:r>
      <w:r>
        <w:rPr>
          <w:rFonts w:hint="eastAsia" w:ascii="宋体" w:hAnsi="宋体" w:eastAsia="宋体" w:cs="宋体"/>
          <w:b/>
          <w:bCs/>
          <w:color w:val="auto"/>
          <w:szCs w:val="21"/>
          <w:lang w:val="en-US" w:eastAsia="zh-CN"/>
        </w:rPr>
        <w:t>响应</w:t>
      </w:r>
      <w:r>
        <w:rPr>
          <w:rFonts w:hint="eastAsia" w:ascii="宋体" w:hAnsi="宋体" w:eastAsia="宋体" w:cs="宋体"/>
          <w:b/>
          <w:bCs/>
          <w:color w:val="auto"/>
          <w:szCs w:val="21"/>
        </w:rPr>
        <w:t>无效。</w:t>
      </w:r>
    </w:p>
    <w:p w14:paraId="69D9D395">
      <w:pPr>
        <w:pStyle w:val="5"/>
        <w:pageBreakBefore w:val="0"/>
        <w:widowControl w:val="0"/>
        <w:kinsoku/>
        <w:wordWrap/>
        <w:overflowPunct/>
        <w:topLinePunct w:val="0"/>
        <w:bidi w:val="0"/>
        <w:snapToGrid/>
        <w:spacing w:before="0" w:beforeLines="0" w:after="0" w:afterLines="0" w:line="360" w:lineRule="exact"/>
        <w:ind w:firstLine="420" w:firstLineChars="200"/>
        <w:textAlignment w:val="auto"/>
        <w:rPr>
          <w:rFonts w:hint="eastAsia" w:ascii="宋体" w:hAnsi="宋体" w:eastAsia="宋体" w:cs="宋体"/>
          <w:color w:val="000000"/>
          <w:sz w:val="21"/>
          <w:szCs w:val="21"/>
          <w:highlight w:val="none"/>
        </w:rPr>
      </w:pPr>
      <w:bookmarkStart w:id="83" w:name="_Toc3890"/>
      <w:bookmarkStart w:id="84" w:name="_Toc2180"/>
      <w:r>
        <w:rPr>
          <w:rFonts w:hint="eastAsia" w:ascii="宋体" w:hAnsi="宋体" w:eastAsia="宋体" w:cs="宋体"/>
          <w:color w:val="000000"/>
          <w:sz w:val="21"/>
          <w:szCs w:val="21"/>
          <w:highlight w:val="none"/>
        </w:rPr>
        <w:t>12. 响应文件的语言及计量</w:t>
      </w:r>
      <w:bookmarkEnd w:id="83"/>
      <w:bookmarkEnd w:id="84"/>
    </w:p>
    <w:p w14:paraId="107AD667">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6047460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 磋商计量单位，磋商文件已有明确规定的，使用磋商文件规定的计量单位；磋商文件没有规定的，应采用中华人民共和国法定计量单位（货币单位：人民币元），否则视同未响应。</w:t>
      </w:r>
    </w:p>
    <w:p w14:paraId="60D26C3A">
      <w:pPr>
        <w:pStyle w:val="5"/>
        <w:spacing w:before="0" w:after="0" w:line="360" w:lineRule="auto"/>
        <w:ind w:firstLine="420" w:firstLineChars="200"/>
        <w:rPr>
          <w:rFonts w:hint="eastAsia" w:ascii="宋体" w:hAnsi="宋体" w:eastAsia="宋体" w:cs="宋体"/>
          <w:color w:val="000000"/>
          <w:sz w:val="21"/>
          <w:szCs w:val="21"/>
          <w:highlight w:val="none"/>
        </w:rPr>
      </w:pPr>
      <w:bookmarkStart w:id="85" w:name="_Toc25381"/>
      <w:bookmarkStart w:id="86" w:name="_Toc10838"/>
      <w:r>
        <w:rPr>
          <w:rFonts w:hint="eastAsia" w:ascii="宋体" w:hAnsi="宋体" w:eastAsia="宋体" w:cs="宋体"/>
          <w:color w:val="000000"/>
          <w:sz w:val="21"/>
          <w:szCs w:val="21"/>
          <w:highlight w:val="none"/>
        </w:rPr>
        <w:t>13. 磋商报价及采购预算金额</w:t>
      </w:r>
      <w:bookmarkEnd w:id="85"/>
      <w:bookmarkEnd w:id="86"/>
    </w:p>
    <w:p w14:paraId="1AAC607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 磋商报价应按磋商文件中相关附表格式填写。</w:t>
      </w:r>
      <w:r>
        <w:rPr>
          <w:rFonts w:hint="eastAsia" w:ascii="宋体" w:hAnsi="宋体" w:eastAsia="宋体" w:cs="宋体"/>
          <w:b w:val="0"/>
          <w:bCs w:val="0"/>
          <w:color w:val="000000"/>
          <w:szCs w:val="21"/>
          <w:highlight w:val="none"/>
        </w:rPr>
        <w:t>采购预算金额（人民币）：</w:t>
      </w:r>
      <w:r>
        <w:rPr>
          <w:rFonts w:hint="eastAsia" w:ascii="宋体" w:hAnsi="宋体" w:eastAsia="宋体" w:cs="宋体"/>
          <w:b/>
          <w:bCs/>
          <w:u w:val="single"/>
          <w:lang w:eastAsia="zh-CN"/>
        </w:rPr>
        <w:t>壹佰零伍万零陆拾元整</w:t>
      </w:r>
      <w:r>
        <w:rPr>
          <w:rFonts w:hint="eastAsia" w:ascii="宋体" w:hAnsi="宋体" w:eastAsia="宋体" w:cs="宋体"/>
          <w:b/>
          <w:bCs/>
          <w:u w:val="single"/>
          <w:lang w:val="en-US" w:eastAsia="zh-CN"/>
        </w:rPr>
        <w:t>（¥1050060.00元）</w:t>
      </w:r>
      <w:r>
        <w:rPr>
          <w:rFonts w:hint="eastAsia" w:ascii="宋体" w:hAnsi="宋体" w:eastAsia="宋体" w:cs="宋体"/>
          <w:color w:val="000000"/>
          <w:szCs w:val="21"/>
          <w:highlight w:val="none"/>
        </w:rPr>
        <w:t>。报价超过相应采购预算金额的，响应文件按无效处理。</w:t>
      </w:r>
    </w:p>
    <w:p w14:paraId="60236E9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13.2供应商必须就“采购需求”中所竞所有内容作完整唯一报价，否则，其响应文件无效。响应文件只允许有一个报价，有选择的或有条件的报价将不予接受。</w:t>
      </w:r>
    </w:p>
    <w:p w14:paraId="0AF098C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14:paraId="5A5AC3CA">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13.4供应商应在规定时间内在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38D50E37">
      <w:pPr>
        <w:pStyle w:val="5"/>
        <w:spacing w:before="0" w:after="0" w:line="360" w:lineRule="auto"/>
        <w:ind w:firstLine="420" w:firstLineChars="200"/>
        <w:rPr>
          <w:rFonts w:hint="eastAsia" w:ascii="宋体" w:hAnsi="宋体" w:eastAsia="宋体" w:cs="宋体"/>
          <w:color w:val="000000"/>
          <w:sz w:val="21"/>
          <w:szCs w:val="21"/>
          <w:highlight w:val="none"/>
        </w:rPr>
      </w:pPr>
      <w:bookmarkStart w:id="87" w:name="_Toc26881"/>
      <w:bookmarkStart w:id="88" w:name="_Toc19063"/>
      <w:r>
        <w:rPr>
          <w:rFonts w:hint="eastAsia" w:ascii="宋体" w:hAnsi="宋体" w:eastAsia="宋体" w:cs="宋体"/>
          <w:color w:val="000000"/>
          <w:sz w:val="21"/>
          <w:szCs w:val="21"/>
          <w:highlight w:val="none"/>
        </w:rPr>
        <w:t>14. 响应文件有效期</w:t>
      </w:r>
      <w:bookmarkEnd w:id="87"/>
      <w:bookmarkEnd w:id="88"/>
    </w:p>
    <w:p w14:paraId="48E1371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14.1 响应文件有效期：响应文件递交截止时间之日起90天，有效期不足的响应文件将被拒绝。</w:t>
      </w:r>
    </w:p>
    <w:p w14:paraId="5330EDD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14.2 出现特殊情况下，需要延长响应文件有效期的，采购代理机构</w:t>
      </w:r>
      <w:r>
        <w:rPr>
          <w:rFonts w:hint="eastAsia" w:ascii="宋体" w:hAnsi="宋体" w:eastAsia="宋体" w:cs="宋体"/>
          <w:color w:val="000000"/>
          <w:szCs w:val="21"/>
          <w:highlight w:val="none"/>
          <w:lang w:eastAsia="zh-CN"/>
        </w:rPr>
        <w:t>书面</w:t>
      </w:r>
      <w:r>
        <w:rPr>
          <w:rFonts w:hint="eastAsia" w:ascii="宋体" w:hAnsi="宋体" w:eastAsia="宋体" w:cs="宋体"/>
          <w:color w:val="000000"/>
          <w:szCs w:val="21"/>
          <w:highlight w:val="none"/>
        </w:rPr>
        <w:t>通知供应商延长响应文件有效期。供应商同意延长的，但不能修改响应文件。供应商拒绝延长的，其响应文件无效。</w:t>
      </w:r>
    </w:p>
    <w:p w14:paraId="4CFCC8F3">
      <w:pPr>
        <w:pStyle w:val="5"/>
        <w:spacing w:before="0" w:after="0" w:line="360" w:lineRule="auto"/>
        <w:ind w:firstLine="420" w:firstLineChars="200"/>
        <w:rPr>
          <w:rFonts w:hint="eastAsia" w:ascii="宋体" w:hAnsi="宋体" w:eastAsia="宋体" w:cs="宋体"/>
          <w:color w:val="000000"/>
          <w:sz w:val="21"/>
          <w:szCs w:val="21"/>
          <w:highlight w:val="none"/>
        </w:rPr>
      </w:pPr>
      <w:bookmarkStart w:id="89" w:name="_Toc22602"/>
      <w:bookmarkStart w:id="90" w:name="_Toc30961"/>
      <w:r>
        <w:rPr>
          <w:rFonts w:hint="eastAsia" w:ascii="宋体" w:hAnsi="宋体" w:eastAsia="宋体" w:cs="宋体"/>
          <w:color w:val="000000"/>
          <w:sz w:val="21"/>
          <w:szCs w:val="21"/>
          <w:highlight w:val="none"/>
        </w:rPr>
        <w:t>15. 保证金</w:t>
      </w:r>
      <w:bookmarkEnd w:id="89"/>
      <w:bookmarkEnd w:id="90"/>
    </w:p>
    <w:p w14:paraId="2833F74F">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本项目无需缴纳磋商保证金。</w:t>
      </w:r>
    </w:p>
    <w:p w14:paraId="7316A6A8">
      <w:pPr>
        <w:pStyle w:val="5"/>
        <w:spacing w:before="0" w:after="0" w:line="360" w:lineRule="auto"/>
        <w:ind w:firstLine="420" w:firstLineChars="200"/>
        <w:rPr>
          <w:rFonts w:hint="eastAsia" w:ascii="宋体" w:hAnsi="宋体" w:eastAsia="宋体" w:cs="宋体"/>
          <w:color w:val="000000"/>
          <w:sz w:val="21"/>
          <w:szCs w:val="21"/>
          <w:highlight w:val="none"/>
          <w:lang w:eastAsia="zh-CN"/>
        </w:rPr>
      </w:pPr>
      <w:bookmarkStart w:id="91" w:name="_Toc387"/>
      <w:bookmarkStart w:id="92" w:name="_Toc22115"/>
      <w:r>
        <w:rPr>
          <w:rFonts w:hint="eastAsia" w:ascii="宋体" w:hAnsi="宋体" w:eastAsia="宋体" w:cs="宋体"/>
          <w:color w:val="000000"/>
          <w:sz w:val="21"/>
          <w:szCs w:val="21"/>
          <w:highlight w:val="none"/>
        </w:rPr>
        <w:t>16. 竞争性</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响应文件的</w:t>
      </w:r>
      <w:bookmarkEnd w:id="91"/>
      <w:r>
        <w:rPr>
          <w:rFonts w:hint="eastAsia" w:ascii="宋体" w:hAnsi="宋体" w:eastAsia="宋体" w:cs="宋体"/>
          <w:color w:val="000000"/>
          <w:sz w:val="21"/>
          <w:szCs w:val="21"/>
          <w:highlight w:val="none"/>
          <w:lang w:eastAsia="zh-CN"/>
        </w:rPr>
        <w:t>制作</w:t>
      </w:r>
      <w:bookmarkEnd w:id="92"/>
    </w:p>
    <w:p w14:paraId="520653D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.1 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响应文件中须加盖供应商公章部分均采用 CA 签章，并根据“政府采购项目电子交易管理操作指南-供应商” 及本</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文件规定的格式和顺序编制电子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响应文件并进行关联定位，以便</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时，点击评分项可直接定位到该评分项内容。如对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文件的某项要求，供应商的电子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响应文件未能关联定位提供相应的内容与其对应，则</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小组在评审时如做出对供应商不利的评审由供应商自行承担。电子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响应文件如内容不完整、编排混乱导致</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响应文件被误读、 漏读，或者在按采购文件规定的部位查找不到相关内容的，由供应商自行承担。</w:t>
      </w:r>
    </w:p>
    <w:p w14:paraId="49FDD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467AB19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响应文件因字迹</w:t>
      </w:r>
      <w:r>
        <w:rPr>
          <w:rFonts w:hint="eastAsia" w:ascii="宋体" w:hAnsi="宋体" w:cs="宋体"/>
          <w:color w:val="000000"/>
          <w:szCs w:val="21"/>
          <w:highlight w:val="none"/>
          <w:lang w:eastAsia="zh-CN"/>
        </w:rPr>
        <w:t>模糊</w:t>
      </w:r>
      <w:r>
        <w:rPr>
          <w:rFonts w:hint="eastAsia" w:ascii="宋体" w:hAnsi="宋体" w:eastAsia="宋体" w:cs="宋体"/>
          <w:color w:val="000000"/>
          <w:szCs w:val="21"/>
          <w:highlight w:val="none"/>
        </w:rPr>
        <w:t>或表达不清所引起的后果由供应商负责。</w:t>
      </w:r>
    </w:p>
    <w:p w14:paraId="2220D102">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w:t>
      </w:r>
      <w:r>
        <w:rPr>
          <w:rFonts w:hint="eastAsia" w:ascii="宋体" w:hAnsi="宋体" w:eastAsia="宋体" w:cs="宋体"/>
          <w:color w:val="000000"/>
          <w:szCs w:val="21"/>
          <w:highlight w:val="none"/>
          <w:lang w:eastAsia="zh-CN"/>
        </w:rPr>
        <w:t xml:space="preserve">磋商前准备 </w:t>
      </w:r>
    </w:p>
    <w:p w14:paraId="0EADFB07">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16.4.1</w:t>
      </w:r>
      <w:r>
        <w:rPr>
          <w:rFonts w:hint="eastAsia" w:ascii="宋体" w:hAnsi="宋体" w:eastAsia="宋体" w:cs="宋体"/>
          <w:color w:val="000000"/>
          <w:szCs w:val="21"/>
          <w:highlight w:val="none"/>
          <w:lang w:eastAsia="zh-CN"/>
        </w:rPr>
        <w:t xml:space="preserve">本项目实行在线磋商，采用电子磋商响应文件。若供应商参与磋商，自行承担磋商一切费用。 </w:t>
      </w:r>
    </w:p>
    <w:p w14:paraId="7FF02FB1">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16.4.2</w:t>
      </w:r>
      <w:r>
        <w:rPr>
          <w:rFonts w:hint="eastAsia" w:ascii="宋体" w:hAnsi="宋体" w:eastAsia="宋体" w:cs="宋体"/>
          <w:color w:val="000000"/>
          <w:szCs w:val="21"/>
          <w:highlight w:val="none"/>
          <w:lang w:eastAsia="zh-CN"/>
        </w:rPr>
        <w:t>各供应商应在截标前应确保成为</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 xml:space="preserve">正式注册入库供应商，并完成 CA 数字证书申领。因未注册入库、未办理 CA 数字证书等原因造成无法磋商或磋商失败等后果由供应商自行承担。 </w:t>
      </w:r>
    </w:p>
    <w:p w14:paraId="388059A8">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16.4.3</w:t>
      </w:r>
      <w:r>
        <w:rPr>
          <w:rFonts w:hint="eastAsia" w:ascii="宋体" w:hAnsi="宋体" w:eastAsia="宋体" w:cs="宋体"/>
          <w:color w:val="000000"/>
          <w:szCs w:val="21"/>
          <w:highlight w:val="none"/>
          <w:lang w:eastAsia="zh-CN"/>
        </w:rPr>
        <w:t>供应商将</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 xml:space="preserve">客户服务热线 </w:t>
      </w:r>
      <w:r>
        <w:rPr>
          <w:rFonts w:hint="eastAsia" w:ascii="宋体" w:hAnsi="宋体" w:cs="宋体"/>
          <w:color w:val="000000"/>
          <w:szCs w:val="21"/>
          <w:highlight w:val="none"/>
          <w:lang w:eastAsia="zh-CN"/>
        </w:rPr>
        <w:t>95763</w:t>
      </w:r>
      <w:r>
        <w:rPr>
          <w:rFonts w:hint="eastAsia" w:ascii="宋体" w:hAnsi="宋体" w:eastAsia="宋体" w:cs="宋体"/>
          <w:color w:val="000000"/>
          <w:szCs w:val="21"/>
          <w:highlight w:val="none"/>
          <w:lang w:eastAsia="zh-CN"/>
        </w:rPr>
        <w:t xml:space="preserve"> 进行咨询。</w:t>
      </w:r>
    </w:p>
    <w:p w14:paraId="187E7E41">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17. 响应文件的修改和撤回</w:t>
      </w:r>
    </w:p>
    <w:p w14:paraId="0DFD5254">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 xml:space="preserve">17.1 </w:t>
      </w:r>
      <w:r>
        <w:rPr>
          <w:rFonts w:hint="eastAsia" w:ascii="宋体" w:hAnsi="宋体" w:eastAsia="宋体" w:cs="宋体"/>
          <w:color w:val="000000"/>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5F3D43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 在响应文件递交截止时间后的响应文件有效期内，供应商不得撤回其响应文件。</w:t>
      </w:r>
    </w:p>
    <w:p w14:paraId="5EF6A44B">
      <w:pPr>
        <w:pStyle w:val="5"/>
        <w:spacing w:before="0" w:after="0" w:line="360" w:lineRule="auto"/>
        <w:ind w:firstLine="420" w:firstLineChars="200"/>
        <w:rPr>
          <w:rFonts w:hint="eastAsia" w:ascii="宋体" w:hAnsi="宋体" w:eastAsia="宋体" w:cs="宋体"/>
          <w:color w:val="000000"/>
          <w:sz w:val="21"/>
          <w:szCs w:val="21"/>
          <w:highlight w:val="none"/>
          <w:lang w:eastAsia="zh-CN"/>
        </w:rPr>
      </w:pPr>
      <w:bookmarkStart w:id="93" w:name="_Toc219"/>
      <w:bookmarkStart w:id="94" w:name="_Toc30156"/>
      <w:r>
        <w:rPr>
          <w:rFonts w:hint="eastAsia" w:ascii="宋体" w:hAnsi="宋体" w:eastAsia="宋体" w:cs="宋体"/>
          <w:color w:val="000000"/>
          <w:sz w:val="21"/>
          <w:szCs w:val="21"/>
          <w:highlight w:val="none"/>
        </w:rPr>
        <w:t>18. 响应文件的递交</w:t>
      </w:r>
      <w:r>
        <w:rPr>
          <w:rFonts w:hint="eastAsia" w:ascii="宋体" w:hAnsi="宋体" w:eastAsia="宋体" w:cs="宋体"/>
          <w:color w:val="000000"/>
          <w:sz w:val="21"/>
          <w:szCs w:val="21"/>
          <w:highlight w:val="none"/>
          <w:lang w:eastAsia="zh-CN"/>
        </w:rPr>
        <w:t>和解密</w:t>
      </w:r>
      <w:bookmarkEnd w:id="93"/>
      <w:bookmarkEnd w:id="94"/>
    </w:p>
    <w:p w14:paraId="01011DC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18.1响应文件递交截止时间</w:t>
      </w:r>
      <w:r>
        <w:rPr>
          <w:rFonts w:hint="eastAsia" w:ascii="宋体" w:hAnsi="宋体" w:eastAsia="宋体" w:cs="宋体"/>
          <w:color w:val="000000"/>
          <w:szCs w:val="21"/>
          <w:highlight w:val="none"/>
          <w:lang w:eastAsia="zh-CN"/>
        </w:rPr>
        <w:t>：于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日上午9时30分</w:t>
      </w:r>
      <w:r>
        <w:rPr>
          <w:rFonts w:hint="eastAsia" w:ascii="宋体" w:hAnsi="宋体" w:eastAsia="宋体" w:cs="宋体"/>
          <w:color w:val="auto"/>
          <w:szCs w:val="21"/>
          <w:highlight w:val="none"/>
        </w:rPr>
        <w:t>之前将电</w:t>
      </w:r>
      <w:r>
        <w:rPr>
          <w:rFonts w:hint="eastAsia" w:ascii="宋体" w:hAnsi="宋体" w:eastAsia="宋体" w:cs="宋体"/>
          <w:color w:val="000000"/>
          <w:szCs w:val="21"/>
          <w:highlight w:val="none"/>
        </w:rPr>
        <w:t>子磋商响应文件上传到</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。应按照本项目磋商文件和</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的要求编制、加密传输磋商响应文件。供应商在使用系统进行投标的过程中遇到涉及平台使用的任何问题，可致电</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技术支持热线咨询，联系方式：</w:t>
      </w:r>
      <w:r>
        <w:rPr>
          <w:rFonts w:hint="eastAsia" w:ascii="宋体" w:hAnsi="宋体" w:cs="宋体"/>
          <w:color w:val="000000"/>
          <w:szCs w:val="21"/>
          <w:highlight w:val="none"/>
          <w:lang w:eastAsia="zh-CN"/>
        </w:rPr>
        <w:t>95763</w:t>
      </w:r>
      <w:r>
        <w:rPr>
          <w:rFonts w:hint="eastAsia" w:ascii="宋体" w:hAnsi="宋体" w:eastAsia="宋体" w:cs="宋体"/>
          <w:color w:val="000000"/>
          <w:szCs w:val="21"/>
          <w:highlight w:val="none"/>
        </w:rPr>
        <w:t>。</w:t>
      </w:r>
    </w:p>
    <w:p w14:paraId="7687FC7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18.2磋商响应文件解密时间：截标时间后30分钟内</w:t>
      </w:r>
      <w:r>
        <w:rPr>
          <w:rFonts w:hint="eastAsia" w:ascii="宋体" w:hAnsi="宋体" w:eastAsia="宋体" w:cs="宋体"/>
          <w:b w:val="0"/>
          <w:bCs w:val="0"/>
          <w:color w:val="000000"/>
          <w:szCs w:val="21"/>
          <w:highlight w:val="none"/>
          <w:u w:val="single"/>
        </w:rPr>
        <w:t>（</w:t>
      </w:r>
      <w:r>
        <w:rPr>
          <w:rFonts w:hint="eastAsia" w:ascii="宋体" w:hAnsi="宋体" w:cs="宋体"/>
          <w:b w:val="0"/>
          <w:bCs w:val="0"/>
          <w:color w:val="000000"/>
          <w:szCs w:val="21"/>
          <w:highlight w:val="none"/>
          <w:u w:val="single"/>
          <w:lang w:eastAsia="zh-CN"/>
        </w:rPr>
        <w:t>202</w:t>
      </w:r>
      <w:r>
        <w:rPr>
          <w:rFonts w:hint="eastAsia" w:ascii="宋体" w:hAnsi="宋体" w:cs="宋体"/>
          <w:b w:val="0"/>
          <w:bCs w:val="0"/>
          <w:color w:val="000000"/>
          <w:szCs w:val="21"/>
          <w:highlight w:val="none"/>
          <w:u w:val="single"/>
          <w:lang w:val="en-US" w:eastAsia="zh-CN"/>
        </w:rPr>
        <w:t>5</w:t>
      </w:r>
      <w:r>
        <w:rPr>
          <w:rFonts w:hint="eastAsia" w:ascii="宋体" w:hAnsi="宋体" w:cs="宋体"/>
          <w:b w:val="0"/>
          <w:bCs w:val="0"/>
          <w:color w:val="000000"/>
          <w:szCs w:val="21"/>
          <w:highlight w:val="none"/>
          <w:u w:val="single"/>
          <w:lang w:eastAsia="zh-CN"/>
        </w:rPr>
        <w:t>年</w:t>
      </w:r>
      <w:r>
        <w:rPr>
          <w:rFonts w:hint="eastAsia" w:ascii="宋体" w:hAnsi="宋体" w:cs="宋体"/>
          <w:b w:val="0"/>
          <w:bCs w:val="0"/>
          <w:color w:val="000000"/>
          <w:szCs w:val="21"/>
          <w:highlight w:val="none"/>
          <w:u w:val="single"/>
          <w:lang w:val="en-US" w:eastAsia="zh-CN"/>
        </w:rPr>
        <w:t>3</w:t>
      </w:r>
      <w:r>
        <w:rPr>
          <w:rFonts w:hint="eastAsia" w:ascii="宋体" w:hAnsi="宋体" w:cs="宋体"/>
          <w:b w:val="0"/>
          <w:bCs w:val="0"/>
          <w:color w:val="000000"/>
          <w:szCs w:val="21"/>
          <w:highlight w:val="none"/>
          <w:u w:val="single"/>
          <w:lang w:eastAsia="zh-CN"/>
        </w:rPr>
        <w:t>月</w:t>
      </w:r>
      <w:r>
        <w:rPr>
          <w:rFonts w:hint="eastAsia" w:ascii="宋体" w:hAnsi="宋体" w:cs="宋体"/>
          <w:b w:val="0"/>
          <w:bCs w:val="0"/>
          <w:color w:val="000000"/>
          <w:szCs w:val="21"/>
          <w:highlight w:val="none"/>
          <w:u w:val="single"/>
          <w:lang w:val="en-US" w:eastAsia="zh-CN"/>
        </w:rPr>
        <w:t>3</w:t>
      </w:r>
      <w:r>
        <w:rPr>
          <w:rFonts w:hint="eastAsia" w:ascii="宋体" w:hAnsi="宋体" w:cs="宋体"/>
          <w:b w:val="0"/>
          <w:bCs w:val="0"/>
          <w:color w:val="000000"/>
          <w:szCs w:val="21"/>
          <w:highlight w:val="none"/>
          <w:u w:val="single"/>
          <w:lang w:eastAsia="zh-CN"/>
        </w:rPr>
        <w:t>日上午9时30分</w:t>
      </w:r>
      <w:r>
        <w:rPr>
          <w:rFonts w:hint="eastAsia" w:ascii="宋体" w:hAnsi="宋体" w:eastAsia="宋体" w:cs="宋体"/>
          <w:b w:val="0"/>
          <w:bCs w:val="0"/>
          <w:color w:val="000000"/>
          <w:szCs w:val="21"/>
          <w:highlight w:val="none"/>
          <w:u w:val="single"/>
        </w:rPr>
        <w:t>至</w:t>
      </w:r>
      <w:r>
        <w:rPr>
          <w:rFonts w:hint="eastAsia" w:ascii="宋体" w:hAnsi="宋体" w:eastAsia="宋体" w:cs="宋体"/>
          <w:b w:val="0"/>
          <w:bCs w:val="0"/>
          <w:color w:val="000000"/>
          <w:szCs w:val="21"/>
          <w:highlight w:val="none"/>
          <w:u w:val="single"/>
          <w:lang w:val="en-US" w:eastAsia="zh-CN"/>
        </w:rPr>
        <w:t>10</w:t>
      </w:r>
      <w:r>
        <w:rPr>
          <w:rFonts w:hint="eastAsia" w:ascii="宋体" w:hAnsi="宋体" w:eastAsia="宋体" w:cs="宋体"/>
          <w:b w:val="0"/>
          <w:bCs w:val="0"/>
          <w:color w:val="000000"/>
          <w:szCs w:val="21"/>
          <w:highlight w:val="none"/>
          <w:u w:val="single"/>
        </w:rPr>
        <w:t>时</w:t>
      </w:r>
      <w:r>
        <w:rPr>
          <w:rFonts w:hint="eastAsia" w:ascii="宋体" w:hAnsi="宋体" w:eastAsia="宋体" w:cs="宋体"/>
          <w:b w:val="0"/>
          <w:bCs w:val="0"/>
          <w:color w:val="000000"/>
          <w:szCs w:val="21"/>
          <w:highlight w:val="none"/>
          <w:u w:val="single"/>
          <w:lang w:val="en-US" w:eastAsia="zh-CN"/>
        </w:rPr>
        <w:t>00</w:t>
      </w:r>
      <w:r>
        <w:rPr>
          <w:rFonts w:hint="eastAsia" w:ascii="宋体" w:hAnsi="宋体" w:eastAsia="宋体" w:cs="宋体"/>
          <w:b w:val="0"/>
          <w:bCs w:val="0"/>
          <w:color w:val="000000"/>
          <w:szCs w:val="21"/>
          <w:highlight w:val="none"/>
          <w:u w:val="single"/>
        </w:rPr>
        <w:t>分)</w:t>
      </w:r>
      <w:r>
        <w:rPr>
          <w:rFonts w:hint="eastAsia" w:ascii="宋体" w:hAnsi="宋体" w:eastAsia="宋体" w:cs="宋体"/>
          <w:color w:val="000000"/>
          <w:szCs w:val="21"/>
          <w:highlight w:val="none"/>
        </w:rPr>
        <w:t>磋商供应商可以登录</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，用“项目采购-开标评标”功能进行解密磋商文件。</w:t>
      </w:r>
    </w:p>
    <w:p w14:paraId="3A6B7DC2">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val="en-US" w:eastAsia="zh-CN"/>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p>
    <w:p w14:paraId="12359B7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 除竞争性磋商文件另有规定外，供应商所递交的响应文件不予退还。</w:t>
      </w:r>
    </w:p>
    <w:p w14:paraId="43B707E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18.4 </w:t>
      </w:r>
      <w:r>
        <w:rPr>
          <w:rFonts w:hint="eastAsia" w:ascii="宋体" w:hAnsi="宋体" w:eastAsia="宋体" w:cs="宋体"/>
          <w:color w:val="000000"/>
          <w:szCs w:val="21"/>
          <w:highlight w:val="none"/>
        </w:rPr>
        <w:t>电子响应文件的相关说明</w:t>
      </w:r>
    </w:p>
    <w:p w14:paraId="4D5E418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（1）供应商进行电子投标应安装客户端软件，并按照采购文件和</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的要求编制并加密</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响应文件。供应商未按规定加密的</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将拒收。供应商应当在</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截止时间前完成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响应文件的传输递交，并可以补充、修改或者撤回</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响应文件。补充或者修改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响应文件的，应当先行撤回原文件，补充、修改后重新传输递交。</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截止时间前未完成传输的，视为撤回</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截止时间后递交的</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 xml:space="preserve">将拒收。 </w:t>
      </w:r>
    </w:p>
    <w:p w14:paraId="431B2A9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（2）如有特殊情况，采购代理机构延长截止时间和开标时间，采购代理机构和供应商的权利和义务将受到新的截止时间和开标时间的约束。</w:t>
      </w:r>
    </w:p>
    <w:p w14:paraId="7A47E2B2">
      <w:pPr>
        <w:pStyle w:val="4"/>
        <w:jc w:val="center"/>
        <w:rPr>
          <w:rFonts w:hint="eastAsia" w:ascii="宋体" w:hAnsi="宋体" w:eastAsia="宋体" w:cs="宋体"/>
          <w:b/>
          <w:bCs w:val="0"/>
          <w:color w:val="000000"/>
          <w:szCs w:val="28"/>
          <w:highlight w:val="none"/>
        </w:rPr>
      </w:pPr>
      <w:bookmarkStart w:id="95" w:name="_Toc2433"/>
      <w:bookmarkStart w:id="96" w:name="_Toc185"/>
      <w:r>
        <w:rPr>
          <w:rFonts w:hint="eastAsia" w:ascii="宋体" w:hAnsi="宋体" w:eastAsia="宋体" w:cs="宋体"/>
          <w:b/>
          <w:bCs w:val="0"/>
          <w:color w:val="000000"/>
          <w:szCs w:val="28"/>
          <w:highlight w:val="none"/>
        </w:rPr>
        <w:t>四、竞争性磋商（简称磋商）与评审</w:t>
      </w:r>
      <w:bookmarkEnd w:id="95"/>
      <w:bookmarkEnd w:id="96"/>
    </w:p>
    <w:p w14:paraId="7956FCDF">
      <w:pPr>
        <w:pStyle w:val="5"/>
        <w:spacing w:before="0" w:after="0" w:line="360" w:lineRule="auto"/>
        <w:ind w:firstLine="420" w:firstLineChars="200"/>
        <w:rPr>
          <w:rFonts w:hint="eastAsia" w:ascii="宋体" w:hAnsi="宋体" w:eastAsia="宋体" w:cs="宋体"/>
          <w:color w:val="000000"/>
          <w:sz w:val="21"/>
          <w:szCs w:val="21"/>
          <w:highlight w:val="none"/>
        </w:rPr>
      </w:pPr>
      <w:bookmarkStart w:id="97" w:name="_Toc27710"/>
      <w:bookmarkStart w:id="98" w:name="_Toc31588"/>
      <w:r>
        <w:rPr>
          <w:rFonts w:hint="eastAsia" w:ascii="宋体" w:hAnsi="宋体" w:eastAsia="宋体" w:cs="宋体"/>
          <w:color w:val="000000"/>
          <w:sz w:val="21"/>
          <w:szCs w:val="21"/>
          <w:highlight w:val="none"/>
        </w:rPr>
        <w:t>19. 磋商小组组成及磋商时间、地点、人员</w:t>
      </w:r>
      <w:bookmarkEnd w:id="97"/>
      <w:bookmarkEnd w:id="98"/>
    </w:p>
    <w:p w14:paraId="6772FF61">
      <w:pPr>
        <w:spacing w:line="360" w:lineRule="auto"/>
        <w:ind w:firstLine="420" w:firstLineChars="200"/>
        <w:outlineLvl w:val="2"/>
        <w:rPr>
          <w:rFonts w:hint="eastAsia" w:ascii="宋体" w:hAnsi="宋体" w:eastAsia="宋体" w:cs="宋体"/>
          <w:color w:val="000000"/>
          <w:szCs w:val="21"/>
          <w:highlight w:val="none"/>
        </w:rPr>
      </w:pPr>
      <w:bookmarkStart w:id="99" w:name="_Toc28033"/>
      <w:r>
        <w:rPr>
          <w:rFonts w:hint="eastAsia" w:ascii="宋体" w:hAnsi="宋体" w:eastAsia="宋体" w:cs="宋体"/>
          <w:color w:val="000000"/>
          <w:szCs w:val="21"/>
          <w:highlight w:val="none"/>
        </w:rPr>
        <w:t>19.1 磋商小组组成：</w:t>
      </w:r>
      <w:bookmarkEnd w:id="99"/>
    </w:p>
    <w:p w14:paraId="3D2F3B0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磋商及评审工作由采购代理机构负责组织，具体磋商、评审工作由依法组建的磋商小组负责，磋商小组由采购人代表和</w:t>
      </w:r>
      <w:r>
        <w:rPr>
          <w:rFonts w:hint="eastAsia" w:ascii="宋体" w:hAnsi="宋体" w:cs="宋体"/>
          <w:color w:val="000000"/>
          <w:szCs w:val="21"/>
          <w:highlight w:val="none"/>
          <w:lang w:eastAsia="zh-CN"/>
        </w:rPr>
        <w:t>评审专家</w:t>
      </w:r>
      <w:r>
        <w:rPr>
          <w:rFonts w:hint="eastAsia" w:ascii="宋体" w:hAnsi="宋体" w:eastAsia="宋体" w:cs="宋体"/>
          <w:color w:val="000000"/>
          <w:szCs w:val="21"/>
          <w:highlight w:val="none"/>
        </w:rPr>
        <w:t>组成。磋商小组的构成：</w:t>
      </w:r>
      <w:r>
        <w:rPr>
          <w:rFonts w:hint="eastAsia" w:ascii="宋体" w:hAnsi="宋体" w:eastAsia="宋体" w:cs="宋体"/>
          <w:color w:val="000000"/>
          <w:szCs w:val="21"/>
          <w:highlight w:val="none"/>
          <w:u w:val="single"/>
        </w:rPr>
        <w:t xml:space="preserve"> 3 </w:t>
      </w:r>
      <w:r>
        <w:rPr>
          <w:rFonts w:hint="eastAsia" w:ascii="宋体" w:hAnsi="宋体" w:eastAsia="宋体" w:cs="宋体"/>
          <w:color w:val="000000"/>
          <w:szCs w:val="21"/>
          <w:highlight w:val="none"/>
        </w:rPr>
        <w:t>人，其中采购人代表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1 </w:t>
      </w:r>
      <w:r>
        <w:rPr>
          <w:rFonts w:hint="eastAsia" w:ascii="宋体" w:hAnsi="宋体" w:eastAsia="宋体" w:cs="宋体"/>
          <w:color w:val="000000"/>
          <w:szCs w:val="21"/>
          <w:highlight w:val="none"/>
        </w:rPr>
        <w:t>人， 专家</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2 </w:t>
      </w:r>
      <w:r>
        <w:rPr>
          <w:rFonts w:hint="eastAsia" w:ascii="宋体" w:hAnsi="宋体" w:eastAsia="宋体" w:cs="宋体"/>
          <w:color w:val="000000"/>
          <w:szCs w:val="21"/>
          <w:highlight w:val="none"/>
        </w:rPr>
        <w:t>人。</w:t>
      </w:r>
    </w:p>
    <w:p w14:paraId="5F7CA103">
      <w:pPr>
        <w:spacing w:line="360" w:lineRule="auto"/>
        <w:ind w:firstLine="420" w:firstLineChars="200"/>
        <w:outlineLvl w:val="2"/>
        <w:rPr>
          <w:rFonts w:hint="eastAsia" w:ascii="宋体" w:hAnsi="宋体" w:eastAsia="宋体" w:cs="宋体"/>
          <w:color w:val="000000"/>
          <w:szCs w:val="21"/>
          <w:highlight w:val="none"/>
        </w:rPr>
      </w:pPr>
      <w:bookmarkStart w:id="100" w:name="_Toc20147"/>
      <w:r>
        <w:rPr>
          <w:rFonts w:hint="eastAsia" w:ascii="宋体" w:hAnsi="宋体" w:eastAsia="宋体" w:cs="宋体"/>
          <w:color w:val="000000"/>
          <w:szCs w:val="21"/>
          <w:highlight w:val="none"/>
        </w:rPr>
        <w:t>19.2 磋商时间、地点、人员：</w:t>
      </w:r>
      <w:bookmarkEnd w:id="100"/>
    </w:p>
    <w:p w14:paraId="65ABBA1D">
      <w:pPr>
        <w:spacing w:line="360" w:lineRule="auto"/>
        <w:ind w:firstLine="420" w:firstLineChars="200"/>
        <w:rPr>
          <w:rFonts w:hint="eastAsia" w:ascii="宋体" w:hAnsi="宋体" w:eastAsia="宋体" w:cs="宋体"/>
          <w:color w:val="000000"/>
          <w:szCs w:val="21"/>
          <w:highlight w:val="none"/>
        </w:rPr>
      </w:pPr>
      <w:bookmarkStart w:id="101" w:name="_Toc9878"/>
      <w:r>
        <w:rPr>
          <w:rFonts w:hint="eastAsia" w:ascii="宋体" w:hAnsi="宋体" w:eastAsia="宋体" w:cs="宋体"/>
          <w:color w:val="000000"/>
          <w:szCs w:val="21"/>
          <w:highlight w:val="none"/>
        </w:rPr>
        <w:t>19.2.1磋商时间：响应文件递交截止时间后。</w:t>
      </w:r>
      <w:bookmarkEnd w:id="101"/>
    </w:p>
    <w:p w14:paraId="3F773E75">
      <w:pPr>
        <w:spacing w:line="360" w:lineRule="auto"/>
        <w:ind w:firstLine="420" w:firstLineChars="200"/>
        <w:rPr>
          <w:rFonts w:hint="eastAsia" w:ascii="宋体" w:hAnsi="宋体" w:eastAsia="宋体" w:cs="宋体"/>
          <w:color w:val="000000"/>
          <w:szCs w:val="21"/>
          <w:highlight w:val="none"/>
          <w:lang w:eastAsia="zh-CN"/>
        </w:rPr>
      </w:pPr>
      <w:bookmarkStart w:id="102" w:name="_Toc29268"/>
      <w:r>
        <w:rPr>
          <w:rFonts w:hint="eastAsia" w:ascii="宋体" w:hAnsi="宋体" w:eastAsia="宋体" w:cs="宋体"/>
          <w:color w:val="000000"/>
          <w:szCs w:val="21"/>
          <w:highlight w:val="none"/>
          <w:lang w:val="en-US" w:eastAsia="zh-CN"/>
        </w:rPr>
        <w:t>19.2.2磋商地点</w:t>
      </w:r>
      <w:r>
        <w:rPr>
          <w:rFonts w:hint="eastAsia" w:ascii="宋体" w:hAnsi="宋体" w:eastAsia="宋体" w:cs="宋体"/>
          <w:color w:val="000000"/>
          <w:szCs w:val="21"/>
          <w:highlight w:val="none"/>
        </w:rPr>
        <w:t>：</w:t>
      </w:r>
      <w:bookmarkEnd w:id="102"/>
      <w:r>
        <w:rPr>
          <w:rFonts w:hint="eastAsia" w:ascii="宋体" w:hAnsi="宋体" w:eastAsia="宋体" w:cs="宋体"/>
          <w:color w:val="000000"/>
          <w:szCs w:val="21"/>
          <w:highlight w:val="none"/>
        </w:rPr>
        <w:t>本项目需要磋商供应商代表在截标当天截标后，按磋商小组要求及时登陆</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等候在线磋商</w:t>
      </w:r>
      <w:r>
        <w:rPr>
          <w:rFonts w:hint="eastAsia" w:ascii="宋体" w:hAnsi="宋体" w:eastAsia="宋体" w:cs="宋体"/>
          <w:color w:val="000000"/>
          <w:szCs w:val="21"/>
          <w:highlight w:val="none"/>
          <w:lang w:eastAsia="zh-CN"/>
        </w:rPr>
        <w:t>。</w:t>
      </w:r>
    </w:p>
    <w:p w14:paraId="5A69F0C3">
      <w:pPr>
        <w:spacing w:line="360" w:lineRule="auto"/>
        <w:ind w:firstLine="420" w:firstLineChars="200"/>
        <w:rPr>
          <w:rFonts w:hint="eastAsia" w:ascii="宋体" w:hAnsi="宋体" w:eastAsia="宋体" w:cs="宋体"/>
          <w:b w:val="0"/>
          <w:bCs/>
          <w:color w:val="auto"/>
          <w:sz w:val="21"/>
          <w:szCs w:val="21"/>
          <w:highlight w:val="none"/>
        </w:rPr>
      </w:pPr>
      <w:bookmarkStart w:id="103"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w:t>
      </w:r>
      <w:r>
        <w:rPr>
          <w:rFonts w:hint="eastAsia" w:ascii="宋体" w:hAnsi="宋体" w:cs="宋体"/>
          <w:b w:val="0"/>
          <w:bCs/>
          <w:color w:val="000000"/>
          <w:sz w:val="21"/>
          <w:szCs w:val="21"/>
          <w:highlight w:val="none"/>
          <w:lang w:val="en-US" w:eastAsia="zh-CN"/>
        </w:rPr>
        <w:t>在广西政府采购云平台在线</w:t>
      </w:r>
      <w:r>
        <w:rPr>
          <w:rFonts w:hint="eastAsia" w:ascii="宋体" w:hAnsi="宋体" w:eastAsia="宋体" w:cs="宋体"/>
          <w:b w:val="0"/>
          <w:bCs/>
          <w:color w:val="auto"/>
          <w:sz w:val="21"/>
          <w:szCs w:val="21"/>
          <w:highlight w:val="none"/>
        </w:rPr>
        <w:t>等候磋商。</w:t>
      </w:r>
      <w:bookmarkEnd w:id="103"/>
    </w:p>
    <w:p w14:paraId="15AFE28F">
      <w:pPr>
        <w:spacing w:line="360" w:lineRule="auto"/>
        <w:ind w:firstLine="420" w:firstLineChars="200"/>
        <w:rPr>
          <w:rFonts w:hint="eastAsia" w:ascii="宋体" w:hAnsi="宋体" w:eastAsia="宋体" w:cs="宋体"/>
          <w:b w:val="0"/>
          <w:bCs/>
          <w:color w:val="000000"/>
          <w:sz w:val="21"/>
          <w:szCs w:val="21"/>
          <w:highlight w:val="none"/>
        </w:rPr>
      </w:pPr>
      <w:bookmarkStart w:id="104" w:name="_Toc6288"/>
      <w:r>
        <w:rPr>
          <w:rFonts w:hint="eastAsia" w:ascii="宋体" w:hAnsi="宋体" w:eastAsia="宋体" w:cs="宋体"/>
          <w:b w:val="0"/>
          <w:bCs/>
          <w:color w:val="000000"/>
          <w:sz w:val="21"/>
          <w:szCs w:val="21"/>
          <w:highlight w:val="none"/>
        </w:rPr>
        <w:t>19.2.4响应文件递交截止时间后，由磋商小组在评标室内线上开启响应文件。</w:t>
      </w:r>
      <w:bookmarkEnd w:id="104"/>
    </w:p>
    <w:p w14:paraId="45C691AC">
      <w:pPr>
        <w:pStyle w:val="5"/>
        <w:spacing w:before="0" w:after="0" w:line="360" w:lineRule="auto"/>
        <w:ind w:firstLine="420" w:firstLineChars="200"/>
        <w:rPr>
          <w:rFonts w:hint="eastAsia" w:ascii="宋体" w:hAnsi="宋体" w:eastAsia="宋体" w:cs="宋体"/>
          <w:color w:val="000000"/>
          <w:sz w:val="21"/>
          <w:szCs w:val="21"/>
          <w:highlight w:val="none"/>
        </w:rPr>
      </w:pPr>
      <w:bookmarkStart w:id="105" w:name="_Toc10970"/>
      <w:bookmarkStart w:id="106" w:name="_Toc25258"/>
      <w:r>
        <w:rPr>
          <w:rFonts w:hint="eastAsia" w:ascii="宋体" w:hAnsi="宋体" w:eastAsia="宋体" w:cs="宋体"/>
          <w:color w:val="000000"/>
          <w:sz w:val="21"/>
          <w:szCs w:val="21"/>
          <w:highlight w:val="none"/>
        </w:rPr>
        <w:t>20. 评审原则</w:t>
      </w:r>
      <w:bookmarkEnd w:id="105"/>
      <w:bookmarkEnd w:id="106"/>
    </w:p>
    <w:p w14:paraId="5FDE2BC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 磋商小组必须坚持公平、公正、科学和择优的原则。</w:t>
      </w:r>
    </w:p>
    <w:p w14:paraId="5547403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 评审办法：综合评分法，具体详见第四章评审办法。</w:t>
      </w:r>
    </w:p>
    <w:p w14:paraId="6FFC6B5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20.3 磋商小组应按磋商文件进行评审，不得擅自更改评审办法。</w:t>
      </w:r>
    </w:p>
    <w:p w14:paraId="2060F7B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20.4 在评审过程中，磋商小组任何人不得对某个供应商发表任何倾向性意见，不得向其他磋商小组成员明示或者暗示自己的评审意见。</w:t>
      </w:r>
    </w:p>
    <w:p w14:paraId="62453514">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633079F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20.6 响应文件最后报价出现前后不一致的，除竞争性磋商文件另有规定外，按照下列规定修正：</w:t>
      </w:r>
    </w:p>
    <w:p w14:paraId="144F0B2C">
      <w:pPr>
        <w:pStyle w:val="28"/>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(1) </w:t>
      </w:r>
      <w:r>
        <w:rPr>
          <w:rFonts w:hint="eastAsia" w:ascii="宋体" w:hAnsi="宋体" w:eastAsia="宋体" w:cs="宋体"/>
          <w:color w:val="000000"/>
          <w:highlight w:val="none"/>
        </w:rPr>
        <w:t>响应文件中磋商报价表内容与响应文件中相应内容不一致的，以最后磋商报价表为准；</w:t>
      </w:r>
    </w:p>
    <w:p w14:paraId="1B837546">
      <w:pPr>
        <w:pStyle w:val="28"/>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(2)</w:t>
      </w:r>
      <w:r>
        <w:rPr>
          <w:rFonts w:hint="eastAsia" w:ascii="宋体" w:hAnsi="宋体" w:eastAsia="宋体" w:cs="宋体"/>
          <w:color w:val="000000"/>
          <w:highlight w:val="none"/>
        </w:rPr>
        <w:t xml:space="preserve"> 大写金额和小写金额不一致的，以大写金额为准；</w:t>
      </w:r>
    </w:p>
    <w:p w14:paraId="798CCFF9">
      <w:pPr>
        <w:pStyle w:val="28"/>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(3)</w:t>
      </w:r>
      <w:r>
        <w:rPr>
          <w:rFonts w:hint="eastAsia" w:ascii="宋体" w:hAnsi="宋体" w:eastAsia="宋体" w:cs="宋体"/>
          <w:color w:val="000000"/>
          <w:highlight w:val="none"/>
        </w:rPr>
        <w:t xml:space="preserve"> 单价金额小数点或者百分比有明显错位的，以报价表的总价为准，并修改单价；</w:t>
      </w:r>
    </w:p>
    <w:p w14:paraId="33C2B729">
      <w:pPr>
        <w:pStyle w:val="28"/>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(4) </w:t>
      </w:r>
      <w:r>
        <w:rPr>
          <w:rFonts w:hint="eastAsia" w:ascii="宋体" w:hAnsi="宋体" w:eastAsia="宋体" w:cs="宋体"/>
          <w:color w:val="000000"/>
          <w:highlight w:val="none"/>
        </w:rPr>
        <w:t>总价金额与按单价汇总金额不一致的，以单价金额计算结果为准。</w:t>
      </w:r>
    </w:p>
    <w:p w14:paraId="0FA37F4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BAD61E0">
      <w:pPr>
        <w:pStyle w:val="5"/>
        <w:spacing w:before="0" w:after="0" w:line="360" w:lineRule="auto"/>
        <w:ind w:firstLine="420" w:firstLineChars="200"/>
        <w:rPr>
          <w:rFonts w:hint="eastAsia" w:ascii="宋体" w:hAnsi="宋体" w:eastAsia="宋体" w:cs="宋体"/>
          <w:color w:val="000000"/>
          <w:sz w:val="21"/>
          <w:szCs w:val="21"/>
          <w:highlight w:val="none"/>
        </w:rPr>
      </w:pPr>
      <w:bookmarkStart w:id="107" w:name="_Toc19233"/>
      <w:bookmarkStart w:id="108" w:name="_Toc27193"/>
      <w:r>
        <w:rPr>
          <w:rFonts w:hint="eastAsia" w:ascii="宋体" w:hAnsi="宋体" w:eastAsia="宋体" w:cs="宋体"/>
          <w:color w:val="000000"/>
          <w:sz w:val="21"/>
          <w:szCs w:val="21"/>
          <w:highlight w:val="none"/>
        </w:rPr>
        <w:t>21. 评审程序及磋商要求</w:t>
      </w:r>
      <w:bookmarkEnd w:id="107"/>
      <w:bookmarkEnd w:id="108"/>
    </w:p>
    <w:p w14:paraId="438ED37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21.1磋商小组成员的通讯工具或相关电子设备交由桂林市公共资源交易中心统一保管后到达评标室，采购 </w:t>
      </w:r>
    </w:p>
    <w:p w14:paraId="14BA0DE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代理机构核实磋商小组成员身份，告知回避要求，宣布评审工作纪律和程序，推选磋商小组组长。</w:t>
      </w:r>
    </w:p>
    <w:p w14:paraId="30E9C8C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D2A909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BFA82EB">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91074C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21.4.1 查询渠道：《国家企业信用信息公示系统》（网址：www.gsxt.gov.cn/index.html）</w:t>
      </w:r>
    </w:p>
    <w:p w14:paraId="6073F82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21.4.2 审查流程：</w:t>
      </w:r>
    </w:p>
    <w:p w14:paraId="48DF8C1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（1）进入《国家企业信用信息公示系统》（网址：www.gsxt.gov.cn/index.html），输入企业名称，进入企业信息主页面；</w:t>
      </w:r>
    </w:p>
    <w:p w14:paraId="339CBA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（2）查看主页“股东及出资信息”栏，或年报中的“股东及出资信息”栏信息；</w:t>
      </w:r>
    </w:p>
    <w:p w14:paraId="7C4027F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（3）将各供应商的股东及出资信息进行比对，得出审查结论；</w:t>
      </w:r>
    </w:p>
    <w:p w14:paraId="7EF3088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（4）将相关资料作为评审资料打印存档。</w:t>
      </w:r>
    </w:p>
    <w:p w14:paraId="66684510">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21.5 磋商小组如发现供应商提供的证明文件不齐全或不符合规定格式的，应一次性告知供应商，供应</w:t>
      </w:r>
    </w:p>
    <w:p w14:paraId="00D5294C">
      <w:pPr>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商应在规定的时间内</w:t>
      </w:r>
      <w:r>
        <w:rPr>
          <w:rFonts w:hint="eastAsia" w:ascii="宋体" w:hAnsi="宋体" w:eastAsia="宋体" w:cs="宋体"/>
          <w:b/>
          <w:bCs/>
          <w:color w:val="000000"/>
          <w:szCs w:val="21"/>
          <w:highlight w:val="none"/>
          <w:lang w:eastAsia="zh-CN"/>
        </w:rPr>
        <w:t>线上</w:t>
      </w:r>
      <w:r>
        <w:rPr>
          <w:rFonts w:hint="eastAsia" w:ascii="宋体" w:hAnsi="宋体" w:eastAsia="宋体" w:cs="宋体"/>
          <w:b/>
          <w:bCs/>
          <w:color w:val="000000"/>
          <w:szCs w:val="21"/>
          <w:highlight w:val="none"/>
        </w:rPr>
        <w:t>补正或更正。</w:t>
      </w:r>
    </w:p>
    <w:p w14:paraId="2F590EE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21.6 磋商小组在对响应文件的有效性、完整性和响应程度进行审查时，可以要求供应商对响应文件中含义 </w:t>
      </w:r>
    </w:p>
    <w:p w14:paraId="34C2D5E9">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不明确、同类问题表述不一致或者有明显文字和计算错误的内容等作出必要的澄清、说明或者更正。供应商的 </w:t>
      </w:r>
    </w:p>
    <w:p w14:paraId="64DBB317">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澄清、说明或者更正不得超出响应文件的范围或者改变响应文件的实质性内容。澄清、说明或者更正应由其法 </w:t>
      </w:r>
    </w:p>
    <w:p w14:paraId="41D4FFC1">
      <w:pPr>
        <w:pStyle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定代表人或相应的授权委托代表签字</w:t>
      </w:r>
      <w:r>
        <w:rPr>
          <w:rFonts w:hint="eastAsia" w:ascii="宋体" w:hAnsi="宋体" w:eastAsia="宋体" w:cs="宋体"/>
          <w:color w:val="000000"/>
          <w:szCs w:val="21"/>
          <w:highlight w:val="none"/>
          <w:lang w:eastAsia="zh-CN"/>
        </w:rPr>
        <w:t>（</w:t>
      </w:r>
      <w:r>
        <w:rPr>
          <w:rFonts w:hint="eastAsia" w:ascii="宋体" w:hAnsi="宋体" w:eastAsia="宋体" w:cs="宋体"/>
          <w:lang w:val="en-US" w:eastAsia="zh-CN"/>
        </w:rPr>
        <w:t>个人CA签章)</w:t>
      </w:r>
      <w:r>
        <w:rPr>
          <w:rFonts w:hint="eastAsia" w:ascii="宋体" w:hAnsi="宋体" w:eastAsia="宋体" w:cs="宋体"/>
          <w:color w:val="000000"/>
          <w:szCs w:val="21"/>
          <w:highlight w:val="none"/>
        </w:rPr>
        <w:t>或者加盖供应商公章</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rPr>
        <w:t>。</w:t>
      </w:r>
    </w:p>
    <w:p w14:paraId="04001CC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根据磋商文件规定的程序、评定成交的标准等事项与实质性响应竞争性磋商文件要求的供应商进行磋商。 </w:t>
      </w:r>
    </w:p>
    <w:p w14:paraId="115599B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未实质性响应磋商文件的响应文件按无效处理，磋商小组应当告知有关供应商。 </w:t>
      </w:r>
    </w:p>
    <w:p w14:paraId="6835635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磋商小组所有成员应当按已确定的磋商顺序集中与单一供应商分别进行磋商，并给予所有实质性响应竞争 </w:t>
      </w:r>
    </w:p>
    <w:p w14:paraId="3A61C2C8">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性磋商文件要求的供应商平等的磋商机会。 </w:t>
      </w:r>
    </w:p>
    <w:p w14:paraId="7605F38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磋商中，磋商小组不得透露与磋商有关的其他供应商的技术资料、价格和其他信息。 </w:t>
      </w:r>
    </w:p>
    <w:p w14:paraId="62B2B34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磋商小组对磋商过程和重要磋商内容进行记录，磋商双方在记录上签字确认。 </w:t>
      </w:r>
    </w:p>
    <w:p w14:paraId="05D0D5B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30A63E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21.8 在磋商过程中，磋商小组可以根据磋商文件和磋商情况实质性变动项目需求中的技术、服务要求以及 </w:t>
      </w:r>
    </w:p>
    <w:p w14:paraId="436397CC">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合同草案条款，但不得变动磋商文件中的其他内容。实质性变动的内容，须经采购人代表确认。 </w:t>
      </w:r>
    </w:p>
    <w:p w14:paraId="2DFF5E92">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对磋商文件作出的实质性变动是磋商文件的有效组成部分，磋商小组应当及时</w:t>
      </w:r>
      <w:r>
        <w:rPr>
          <w:rFonts w:hint="eastAsia" w:ascii="宋体" w:hAnsi="宋体" w:eastAsia="宋体" w:cs="宋体"/>
          <w:color w:val="000000"/>
          <w:szCs w:val="21"/>
          <w:highlight w:val="none"/>
          <w:lang w:eastAsia="zh-CN"/>
        </w:rPr>
        <w:t>通过</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lang w:eastAsia="zh-CN"/>
        </w:rPr>
        <w:t>同时</w:t>
      </w:r>
      <w:r>
        <w:rPr>
          <w:rFonts w:hint="eastAsia" w:ascii="宋体" w:hAnsi="宋体" w:eastAsia="宋体" w:cs="宋体"/>
          <w:color w:val="000000"/>
          <w:szCs w:val="21"/>
          <w:highlight w:val="none"/>
        </w:rPr>
        <w:t xml:space="preserve">通知所有参加磋商的供应商。 </w:t>
      </w:r>
    </w:p>
    <w:p w14:paraId="33A7080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供应商应当按照磋商文件的变动情况和磋商小组的要求重新提交响应文件，并由其法定代表人、负责人、</w:t>
      </w:r>
      <w:r>
        <w:rPr>
          <w:rFonts w:hint="eastAsia" w:ascii="宋体" w:hAnsi="宋体" w:eastAsia="宋体" w:cs="宋体"/>
          <w:color w:val="000000"/>
          <w:szCs w:val="21"/>
          <w:highlight w:val="none"/>
          <w:lang w:eastAsia="zh-CN"/>
        </w:rPr>
        <w:t>自然人或相应的授权委托代表签字（个人</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或者加盖供应商公章</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rPr>
        <w:t xml:space="preserve">。逾时不交的，视同放弃磋商。 </w:t>
      </w:r>
    </w:p>
    <w:p w14:paraId="381123C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21.9 第二轮磋商</w:t>
      </w:r>
    </w:p>
    <w:p w14:paraId="3B2DB17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CA签章确认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p w14:paraId="00503FB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后按时</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lang w:val="en-US" w:eastAsia="zh-CN"/>
        </w:rPr>
        <w:t>提交</w:t>
      </w:r>
      <w:r>
        <w:rPr>
          <w:rFonts w:hint="eastAsia" w:ascii="宋体" w:hAnsi="宋体" w:eastAsia="宋体" w:cs="宋体"/>
          <w:color w:val="000000"/>
          <w:szCs w:val="21"/>
          <w:highlight w:val="none"/>
        </w:rPr>
        <w:t>。</w:t>
      </w:r>
    </w:p>
    <w:p w14:paraId="7BACD9D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723E1E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21.10 在采购过程中符合竞争要求的供应商或者报价未超过采购预算的供应商不足 3 家的，采购人或者采购代理机构应当终止竞争性磋商采购活动。 </w:t>
      </w:r>
    </w:p>
    <w:p w14:paraId="1672C54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21.11 最后报价 </w:t>
      </w:r>
    </w:p>
    <w:p w14:paraId="0A47550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提交最后报价，提交最后报价的供应商不得少于 3 家。 </w:t>
      </w:r>
    </w:p>
    <w:p w14:paraId="520E2E1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 </w:t>
      </w:r>
    </w:p>
    <w:p w14:paraId="5B68077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21.11.3 根据《财政部关于政府采购竞争性磋商采购方式管理暂行办法有关问题的补充通知》</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财库〔2014〕214 号</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44555BDE">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21.11.4 根据《政府采购竞争性磋商采购方式管理暂行办法》</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财库〔2014〕214 号</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的规定：</w:t>
      </w:r>
      <w:r>
        <w:rPr>
          <w:rFonts w:hint="eastAsia" w:ascii="宋体" w:hAnsi="宋体" w:eastAsia="宋体" w:cs="宋体"/>
          <w:b/>
          <w:bCs/>
          <w:color w:val="000000"/>
          <w:szCs w:val="21"/>
          <w:highlight w:val="none"/>
        </w:rPr>
        <w:t xml:space="preserve">最后报价是供应商响应文件的有效组成部分。 </w:t>
      </w:r>
      <w:r>
        <w:rPr>
          <w:rFonts w:hint="eastAsia" w:ascii="宋体" w:hAnsi="宋体" w:eastAsia="宋体" w:cs="宋体"/>
          <w:color w:val="000000"/>
          <w:szCs w:val="21"/>
          <w:highlight w:val="none"/>
        </w:rPr>
        <w:t>符合本办法(财库〔2014〕214号文)第三条第四项情形的，提交最后报价的供应商可以为2家。</w:t>
      </w:r>
      <w:r>
        <w:rPr>
          <w:rFonts w:hint="eastAsia" w:ascii="宋体" w:hAnsi="宋体" w:eastAsia="宋体" w:cs="宋体"/>
          <w:b/>
          <w:bCs/>
          <w:color w:val="000000"/>
          <w:szCs w:val="21"/>
          <w:highlight w:val="none"/>
        </w:rPr>
        <w:t>（财库〔2014〕214号文第三条第四项：市场竞争不充分的科研项目，以及需要扶持的科技成果转化项目。）</w:t>
      </w:r>
    </w:p>
    <w:p w14:paraId="253C627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21.12 已提交响应文件的供应商，在提交最后报价之前，可以根据磋商情况书面退出磋商。 </w:t>
      </w:r>
    </w:p>
    <w:p w14:paraId="5B8E5F6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未书面退出磋商的供应商在规定时间内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提交最后报价，其最后报价超出采购预算导致已通过评审的响 </w:t>
      </w:r>
    </w:p>
    <w:p w14:paraId="5707546A">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应文件无效的，按供应商在提交响应文件截止时间后撤回响应文件处理。 </w:t>
      </w:r>
    </w:p>
    <w:p w14:paraId="627851C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21.13 评审报告 </w:t>
      </w:r>
    </w:p>
    <w:p w14:paraId="619A2A9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磋商小组应当从质量和服务均能满足磋商文件全部实质性响应要求的供应商中，按照最后综合得分由高到低的顺序提出 3 名以上（含 3 名）成交候选人，并编写评审报告。</w:t>
      </w:r>
    </w:p>
    <w:p w14:paraId="62DD647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21.14 在评审过程中出现法律法规和磋商文件均没有明确规定的情形时，由磋商小组现场协商解决，协商 </w:t>
      </w:r>
    </w:p>
    <w:p w14:paraId="3EDAE1D5">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不一致的，由全体磋商小组投票表决，以得票率二分之一以上磋商小组成员的意见为准。 </w:t>
      </w:r>
    </w:p>
    <w:p w14:paraId="0D66A0B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21.15 采购代理机构发现磋商小组有明显的违规倾向或歧视现象，或不按评审办法进行，或其他不正常行 </w:t>
      </w:r>
    </w:p>
    <w:p w14:paraId="36FDCD31">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为的，应当及时制止。如制止无效，应及时向</w:t>
      </w:r>
      <w:r>
        <w:rPr>
          <w:rFonts w:hint="eastAsia" w:ascii="宋体" w:hAnsi="宋体" w:eastAsia="宋体" w:cs="宋体"/>
          <w:color w:val="000000"/>
          <w:szCs w:val="21"/>
          <w:highlight w:val="none"/>
          <w:lang w:eastAsia="zh-CN"/>
        </w:rPr>
        <w:t>桂林市</w:t>
      </w:r>
      <w:r>
        <w:rPr>
          <w:rFonts w:hint="eastAsia" w:ascii="宋体" w:hAnsi="宋体" w:eastAsia="宋体" w:cs="宋体"/>
          <w:color w:val="000000"/>
          <w:szCs w:val="21"/>
          <w:highlight w:val="none"/>
        </w:rPr>
        <w:t>政府采购监督管理机构报告。</w:t>
      </w:r>
    </w:p>
    <w:p w14:paraId="0FED6D72">
      <w:pPr>
        <w:spacing w:line="360" w:lineRule="auto"/>
        <w:ind w:firstLine="420" w:firstLineChars="200"/>
        <w:rPr>
          <w:rFonts w:hint="eastAsia" w:ascii="宋体" w:hAnsi="宋体" w:eastAsia="宋体" w:cs="宋体"/>
          <w:b/>
          <w:bCs/>
          <w:color w:val="000000"/>
          <w:highlight w:val="none"/>
        </w:rPr>
      </w:pPr>
      <w:r>
        <w:rPr>
          <w:rFonts w:hint="eastAsia" w:ascii="宋体" w:hAnsi="宋体" w:eastAsia="宋体" w:cs="宋体"/>
          <w:color w:val="000000"/>
          <w:szCs w:val="21"/>
          <w:highlight w:val="none"/>
        </w:rPr>
        <w:t>21.16 本采购项目的评审依据为竞争性磋商文件和竞争性磋商响应文件，采用的评审方法为</w:t>
      </w:r>
      <w:r>
        <w:rPr>
          <w:rFonts w:hint="eastAsia" w:ascii="宋体" w:hAnsi="宋体" w:eastAsia="宋体" w:cs="宋体"/>
          <w:b/>
          <w:bCs/>
          <w:color w:val="000000"/>
          <w:szCs w:val="21"/>
          <w:highlight w:val="none"/>
        </w:rPr>
        <w:t>综合评分法。</w:t>
      </w:r>
    </w:p>
    <w:p w14:paraId="3053ED74">
      <w:pPr>
        <w:pStyle w:val="5"/>
        <w:spacing w:before="0" w:after="0" w:line="360" w:lineRule="auto"/>
        <w:ind w:firstLine="420" w:firstLineChars="200"/>
        <w:rPr>
          <w:rFonts w:hint="eastAsia" w:ascii="宋体" w:hAnsi="宋体" w:eastAsia="宋体" w:cs="宋体"/>
          <w:color w:val="000000"/>
          <w:sz w:val="21"/>
          <w:szCs w:val="21"/>
          <w:highlight w:val="none"/>
        </w:rPr>
      </w:pPr>
      <w:bookmarkStart w:id="109" w:name="_Toc32470"/>
      <w:bookmarkStart w:id="110" w:name="_Toc28744"/>
      <w:r>
        <w:rPr>
          <w:rFonts w:hint="eastAsia" w:ascii="宋体" w:hAnsi="宋体" w:eastAsia="宋体" w:cs="宋体"/>
          <w:color w:val="000000"/>
          <w:sz w:val="21"/>
          <w:szCs w:val="21"/>
          <w:highlight w:val="none"/>
        </w:rPr>
        <w:t>22. 确定成交供应商</w:t>
      </w:r>
      <w:bookmarkEnd w:id="109"/>
      <w:bookmarkEnd w:id="110"/>
    </w:p>
    <w:p w14:paraId="65D4BED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24F806B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22.2</w:t>
      </w:r>
      <w:r>
        <w:rPr>
          <w:rFonts w:hint="eastAsia" w:ascii="宋体" w:hAnsi="宋体" w:cs="宋体"/>
          <w:color w:val="000000"/>
          <w:szCs w:val="21"/>
          <w:highlight w:val="none"/>
          <w:lang w:eastAsia="zh-CN"/>
        </w:rPr>
        <w:t>采购人</w:t>
      </w:r>
      <w:r>
        <w:rPr>
          <w:rFonts w:hint="eastAsia" w:ascii="宋体" w:hAnsi="宋体" w:eastAsia="宋体" w:cs="宋体"/>
          <w:color w:val="000000"/>
          <w:szCs w:val="21"/>
          <w:highlight w:val="none"/>
        </w:rPr>
        <w:t>应当确定磋商小组推荐排名第一的成交候选人为成交供应商。</w:t>
      </w:r>
    </w:p>
    <w:p w14:paraId="727598F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22.3排名第一的成交候选人放弃成交、因不可抗力提出不能履行合同，或信用信息记录不符合相关规定的，或者磋商文件规定应当提交履约保证金而在规定的期限内未能提交的，</w:t>
      </w:r>
      <w:r>
        <w:rPr>
          <w:rFonts w:hint="eastAsia" w:ascii="宋体" w:hAnsi="宋体" w:cs="宋体"/>
          <w:color w:val="000000"/>
          <w:szCs w:val="21"/>
          <w:highlight w:val="none"/>
          <w:lang w:eastAsia="zh-CN"/>
        </w:rPr>
        <w:t>采购人</w:t>
      </w:r>
      <w:r>
        <w:rPr>
          <w:rFonts w:hint="eastAsia" w:ascii="宋体" w:hAnsi="宋体" w:eastAsia="宋体" w:cs="宋体"/>
          <w:color w:val="000000"/>
          <w:szCs w:val="21"/>
          <w:highlight w:val="none"/>
        </w:rPr>
        <w:t>可以确定排名第二的成交候选人为成交供应商。</w:t>
      </w:r>
    </w:p>
    <w:p w14:paraId="33B1DD4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22.4排名第二的成交候选人因前款规定的同样原因不能签订合同的，</w:t>
      </w:r>
      <w:r>
        <w:rPr>
          <w:rFonts w:hint="eastAsia" w:ascii="宋体" w:hAnsi="宋体" w:cs="宋体"/>
          <w:color w:val="000000"/>
          <w:szCs w:val="21"/>
          <w:highlight w:val="none"/>
          <w:lang w:eastAsia="zh-CN"/>
        </w:rPr>
        <w:t>采购人</w:t>
      </w:r>
      <w:r>
        <w:rPr>
          <w:rFonts w:hint="eastAsia" w:ascii="宋体" w:hAnsi="宋体" w:eastAsia="宋体" w:cs="宋体"/>
          <w:color w:val="000000"/>
          <w:szCs w:val="21"/>
          <w:highlight w:val="none"/>
        </w:rPr>
        <w:t>可以确定排名第三的成交候选人为成交供应商。</w:t>
      </w:r>
    </w:p>
    <w:p w14:paraId="3309E18C">
      <w:pPr>
        <w:pStyle w:val="5"/>
        <w:spacing w:before="0" w:after="0" w:line="360" w:lineRule="auto"/>
        <w:ind w:firstLine="420" w:firstLineChars="200"/>
        <w:rPr>
          <w:rFonts w:hint="eastAsia" w:ascii="宋体" w:hAnsi="宋体" w:eastAsia="宋体" w:cs="宋体"/>
          <w:color w:val="000000"/>
          <w:sz w:val="21"/>
          <w:szCs w:val="21"/>
          <w:highlight w:val="none"/>
        </w:rPr>
      </w:pPr>
      <w:bookmarkStart w:id="111" w:name="_Toc21715"/>
      <w:bookmarkStart w:id="112" w:name="_Toc16970"/>
      <w:r>
        <w:rPr>
          <w:rFonts w:hint="eastAsia" w:ascii="宋体" w:hAnsi="宋体" w:eastAsia="宋体" w:cs="宋体"/>
          <w:color w:val="000000"/>
          <w:sz w:val="21"/>
          <w:szCs w:val="21"/>
          <w:highlight w:val="none"/>
        </w:rPr>
        <w:t>23. 属于下列情况之一者，响应文件无效</w:t>
      </w:r>
      <w:bookmarkEnd w:id="111"/>
      <w:bookmarkEnd w:id="112"/>
    </w:p>
    <w:p w14:paraId="0696172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（1）未按磋商文件规定完整</w:t>
      </w:r>
      <w:r>
        <w:rPr>
          <w:rFonts w:hint="eastAsia" w:ascii="宋体" w:hAnsi="宋体" w:eastAsia="宋体" w:cs="宋体"/>
          <w:color w:val="000000"/>
          <w:szCs w:val="21"/>
          <w:highlight w:val="none"/>
          <w:lang w:val="en-US" w:eastAsia="zh-CN"/>
        </w:rPr>
        <w:t>线上</w:t>
      </w:r>
      <w:r>
        <w:rPr>
          <w:rFonts w:hint="eastAsia" w:ascii="宋体" w:hAnsi="宋体" w:eastAsia="宋体" w:cs="宋体"/>
          <w:color w:val="000000"/>
          <w:szCs w:val="21"/>
          <w:highlight w:val="none"/>
        </w:rPr>
        <w:t>提交响应文件或未按规定要求</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签字、</w:t>
      </w:r>
      <w:r>
        <w:rPr>
          <w:rFonts w:hint="eastAsia" w:ascii="宋体" w:hAnsi="宋体" w:eastAsia="宋体" w:cs="宋体"/>
          <w:color w:val="000000"/>
          <w:szCs w:val="21"/>
          <w:highlight w:val="none"/>
          <w:lang w:val="en-US" w:eastAsia="zh-CN"/>
        </w:rPr>
        <w:t>签章</w:t>
      </w:r>
      <w:r>
        <w:rPr>
          <w:rFonts w:hint="eastAsia" w:ascii="宋体" w:hAnsi="宋体" w:eastAsia="宋体" w:cs="宋体"/>
          <w:color w:val="000000"/>
          <w:szCs w:val="21"/>
          <w:highlight w:val="none"/>
        </w:rPr>
        <w:t>的；</w:t>
      </w:r>
    </w:p>
    <w:p w14:paraId="2EAF0BC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（2）不具备磋商文件规定的资格要求的；</w:t>
      </w:r>
    </w:p>
    <w:p w14:paraId="2FFAA58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（3）响应文件未按磋商文件的内容和要求编制，或提供虚假材料的；</w:t>
      </w:r>
    </w:p>
    <w:p w14:paraId="353ADC4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（4）响应文件有效期、交货时间、免费保修期（升级、维护）期/维护期、售后服务不能满足磋商文件要求的；</w:t>
      </w:r>
    </w:p>
    <w:p w14:paraId="060B677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（5）供应商未就“采购需求”中的所有内容作完整唯一报价的，或报价超出采购预算总金额的；</w:t>
      </w:r>
    </w:p>
    <w:p w14:paraId="499295C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（6）未在磋商小组规定的时间内提交响应文件(包括最后报价)的；</w:t>
      </w:r>
    </w:p>
    <w:p w14:paraId="1B1C539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（7）超越了按照法律法规规定必须获得行政许可或者行政审批的经营范围的；</w:t>
      </w:r>
    </w:p>
    <w:p w14:paraId="745AA08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（8）未满足磋商文件实质性要求的或者响应文件有采购人不能接受的附加条件的；</w:t>
      </w:r>
    </w:p>
    <w:p w14:paraId="42D5737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（9）响应文件实质性要求未做变动，供应商最后报价高于第一次报价的；</w:t>
      </w:r>
    </w:p>
    <w:p w14:paraId="6D63240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（10）不符合法律、法规和磋商文件规定的其他实质性要求和条件的。</w:t>
      </w:r>
    </w:p>
    <w:p w14:paraId="2633E512">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供应商有下列情形之一的视为供应商相互串通磋商，响应文件将被视为无效</w:t>
      </w:r>
    </w:p>
    <w:p w14:paraId="30386B5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（1）不同供应商的响应文件由同一单位或者个人编制；或不同供应商报名的IP地址一致的；</w:t>
      </w:r>
    </w:p>
    <w:p w14:paraId="5B229EE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（2）不同供应商委托同一单位或者个人办理磋商事宜；</w:t>
      </w:r>
    </w:p>
    <w:p w14:paraId="2DB1FFF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（3）不同的供应商的响应文件载明的项目管理员为同一个人；</w:t>
      </w:r>
    </w:p>
    <w:p w14:paraId="7682A83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（4）不同供应商的响应文件异常一致或竞标报价呈规律性差异；</w:t>
      </w:r>
    </w:p>
    <w:p w14:paraId="2D9260E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（5）不同供应商的响应文件相互混装；</w:t>
      </w:r>
    </w:p>
    <w:p w14:paraId="2467EBA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（6）不同供应商的磋商保证金从同一单位或者个人账户转出。</w:t>
      </w:r>
    </w:p>
    <w:p w14:paraId="053B08F5">
      <w:pPr>
        <w:pStyle w:val="5"/>
        <w:spacing w:before="0" w:after="0" w:line="360" w:lineRule="auto"/>
        <w:ind w:firstLine="420" w:firstLineChars="200"/>
        <w:rPr>
          <w:rFonts w:hint="eastAsia" w:ascii="宋体" w:hAnsi="宋体" w:eastAsia="宋体" w:cs="宋体"/>
          <w:color w:val="000000"/>
          <w:sz w:val="21"/>
          <w:szCs w:val="21"/>
          <w:highlight w:val="none"/>
        </w:rPr>
      </w:pPr>
      <w:bookmarkStart w:id="113" w:name="_Toc19860"/>
      <w:bookmarkStart w:id="114" w:name="_Toc5714"/>
      <w:r>
        <w:rPr>
          <w:rFonts w:hint="eastAsia" w:ascii="宋体" w:hAnsi="宋体" w:eastAsia="宋体" w:cs="宋体"/>
          <w:color w:val="000000"/>
          <w:sz w:val="21"/>
          <w:szCs w:val="21"/>
          <w:highlight w:val="none"/>
        </w:rPr>
        <w:t>24. 出现下列情形之一的，采购人或者采购代理机构应当终止竞争性磋商采购活动，发布项目终止公告并说明原因，重新开展采购活动</w:t>
      </w:r>
      <w:bookmarkEnd w:id="113"/>
      <w:bookmarkEnd w:id="114"/>
    </w:p>
    <w:p w14:paraId="557C2DA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（1）因情况变化，不再符合规定的竞争性磋商采购方式适用情形的；</w:t>
      </w:r>
    </w:p>
    <w:p w14:paraId="55B385B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（2）出现影响采购公正的违法、违规行为的； </w:t>
      </w:r>
    </w:p>
    <w:p w14:paraId="25568CDC">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（3）在采购过程中符合竞争要求的供应商或者报价未超过采购预算的供应商不足3家的。</w:t>
      </w:r>
      <w:r>
        <w:rPr>
          <w:rFonts w:hint="eastAsia" w:ascii="宋体" w:hAnsi="宋体" w:eastAsia="宋体" w:cs="宋体"/>
          <w:b/>
          <w:bCs/>
          <w:color w:val="000000"/>
          <w:szCs w:val="21"/>
          <w:highlight w:val="none"/>
        </w:rPr>
        <w:t xml:space="preserve">（除财库〔2014〕214 号《政府采购竞争性磋商采购方式管理暂行办法》第二十一条第三款规定的情形外） </w:t>
      </w:r>
    </w:p>
    <w:p w14:paraId="07F36079">
      <w:pPr>
        <w:pStyle w:val="5"/>
        <w:spacing w:before="0" w:after="0" w:line="360" w:lineRule="auto"/>
        <w:ind w:firstLine="420" w:firstLineChars="200"/>
        <w:rPr>
          <w:rFonts w:hint="eastAsia" w:ascii="宋体" w:hAnsi="宋体" w:eastAsia="宋体" w:cs="宋体"/>
          <w:color w:val="000000"/>
          <w:sz w:val="21"/>
          <w:szCs w:val="21"/>
          <w:highlight w:val="none"/>
        </w:rPr>
      </w:pPr>
      <w:bookmarkStart w:id="115" w:name="_Toc5817"/>
      <w:bookmarkStart w:id="116" w:name="_Toc19105"/>
      <w:r>
        <w:rPr>
          <w:rFonts w:hint="eastAsia" w:ascii="宋体" w:hAnsi="宋体" w:eastAsia="宋体" w:cs="宋体"/>
          <w:color w:val="000000"/>
          <w:sz w:val="21"/>
          <w:szCs w:val="21"/>
          <w:highlight w:val="none"/>
        </w:rPr>
        <w:t>25. 磋商过程的监控</w:t>
      </w:r>
      <w:bookmarkEnd w:id="115"/>
      <w:bookmarkEnd w:id="116"/>
    </w:p>
    <w:p w14:paraId="6D1280A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本项目磋商过程实行全程录音、录像监控，供应商在磋商过程中所进行的试图影响磋商结果的不公正活动，可能导致其磋商被拒绝。</w:t>
      </w:r>
    </w:p>
    <w:p w14:paraId="797A7FF2">
      <w:pPr>
        <w:pStyle w:val="5"/>
        <w:numPr>
          <w:ilvl w:val="0"/>
          <w:numId w:val="4"/>
        </w:numPr>
        <w:spacing w:before="0" w:after="0" w:line="360" w:lineRule="auto"/>
        <w:ind w:firstLine="420" w:firstLineChars="200"/>
        <w:rPr>
          <w:rFonts w:hint="eastAsia" w:ascii="宋体" w:hAnsi="宋体" w:eastAsia="宋体" w:cs="宋体"/>
          <w:color w:val="000000"/>
          <w:sz w:val="21"/>
          <w:szCs w:val="21"/>
          <w:highlight w:val="none"/>
        </w:rPr>
      </w:pPr>
      <w:bookmarkStart w:id="117" w:name="_Toc28016"/>
      <w:bookmarkStart w:id="118" w:name="_Toc14787"/>
      <w:r>
        <w:rPr>
          <w:rFonts w:hint="eastAsia" w:ascii="宋体" w:hAnsi="宋体" w:eastAsia="宋体" w:cs="宋体"/>
          <w:color w:val="000000"/>
          <w:sz w:val="21"/>
          <w:szCs w:val="21"/>
          <w:highlight w:val="none"/>
        </w:rPr>
        <w:t>信用查询</w:t>
      </w:r>
      <w:bookmarkEnd w:id="117"/>
      <w:bookmarkEnd w:id="118"/>
    </w:p>
    <w:p w14:paraId="213BD9B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根据《关于做好政府采购有关信用主体标识码登记及在政府采购活动中查询使用信用记录有关问题的通知》</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桂财采〔2016〕37号</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的通知，采购代理机构对</w:t>
      </w:r>
      <w:r>
        <w:rPr>
          <w:rFonts w:hint="eastAsia" w:ascii="宋体" w:hAnsi="宋体" w:cs="宋体"/>
          <w:color w:val="000000"/>
          <w:szCs w:val="21"/>
          <w:highlight w:val="none"/>
          <w:lang w:eastAsia="zh-CN"/>
        </w:rPr>
        <w:t>成交供应商</w:t>
      </w:r>
      <w:r>
        <w:rPr>
          <w:rFonts w:hint="eastAsia" w:ascii="宋体" w:hAnsi="宋体" w:eastAsia="宋体" w:cs="宋体"/>
          <w:color w:val="000000"/>
          <w:szCs w:val="21"/>
          <w:highlight w:val="none"/>
        </w:rPr>
        <w:t>的成交资格进行信用查询：</w:t>
      </w:r>
    </w:p>
    <w:p w14:paraId="72EFAEA3">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（1）查询渠道：“信用中国”网站(www.creditchina.gov.cn)、中国政府采购网(www.ccgp.gov.cn)等；</w:t>
      </w:r>
    </w:p>
    <w:p w14:paraId="700E47F1">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（2）查询时间：成交通知书发出前；</w:t>
      </w:r>
    </w:p>
    <w:p w14:paraId="6BA34ED5">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（3）信用信息查询记录和证据留存方式：在查询网站中直接打印查询记录，打印材料作为采购活动资料保存。</w:t>
      </w:r>
    </w:p>
    <w:p w14:paraId="5855E3C0">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1CB2988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F4C38B">
      <w:pPr>
        <w:pStyle w:val="5"/>
        <w:spacing w:before="0" w:after="0" w:line="360" w:lineRule="auto"/>
        <w:ind w:firstLine="420" w:firstLineChars="200"/>
        <w:rPr>
          <w:rFonts w:hint="eastAsia" w:ascii="宋体" w:hAnsi="宋体" w:eastAsia="宋体" w:cs="宋体"/>
          <w:color w:val="000000"/>
          <w:sz w:val="21"/>
          <w:szCs w:val="21"/>
          <w:highlight w:val="none"/>
        </w:rPr>
      </w:pPr>
      <w:bookmarkStart w:id="119" w:name="_Toc14662"/>
      <w:bookmarkStart w:id="120" w:name="_Toc9438"/>
      <w:r>
        <w:rPr>
          <w:rFonts w:hint="eastAsia" w:ascii="宋体" w:hAnsi="宋体" w:eastAsia="宋体" w:cs="宋体"/>
          <w:color w:val="000000"/>
          <w:sz w:val="21"/>
          <w:szCs w:val="21"/>
          <w:highlight w:val="none"/>
        </w:rPr>
        <w:t>27. 成交结果公告及成交通知书</w:t>
      </w:r>
      <w:bookmarkEnd w:id="119"/>
      <w:bookmarkEnd w:id="120"/>
    </w:p>
    <w:p w14:paraId="046A304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CF026A">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 xml:space="preserve">27.2 </w:t>
      </w:r>
      <w:r>
        <w:rPr>
          <w:rFonts w:hint="eastAsia" w:ascii="宋体" w:hAnsi="宋体" w:cs="宋体"/>
          <w:color w:val="000000"/>
          <w:szCs w:val="21"/>
          <w:highlight w:val="none"/>
          <w:lang w:eastAsia="zh-CN"/>
        </w:rPr>
        <w:t>成交公告发布的同时，采购代理机构在线向成交供应商发出电子成交通知书。</w:t>
      </w:r>
    </w:p>
    <w:p w14:paraId="4E6A0C0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27.3 采购代理机构无义务向未成交的供应商解释未成交原因和退还响应文件。</w:t>
      </w:r>
    </w:p>
    <w:p w14:paraId="5F878994">
      <w:pPr>
        <w:pStyle w:val="4"/>
        <w:jc w:val="center"/>
        <w:rPr>
          <w:rFonts w:hint="eastAsia" w:ascii="宋体" w:hAnsi="宋体" w:eastAsia="宋体" w:cs="宋体"/>
          <w:b/>
          <w:bCs w:val="0"/>
          <w:color w:val="000000"/>
          <w:szCs w:val="28"/>
          <w:highlight w:val="none"/>
        </w:rPr>
      </w:pPr>
      <w:bookmarkStart w:id="121" w:name="_Toc25593"/>
      <w:bookmarkStart w:id="122" w:name="_Toc29313"/>
      <w:r>
        <w:rPr>
          <w:rFonts w:hint="eastAsia" w:ascii="宋体" w:hAnsi="宋体" w:eastAsia="宋体" w:cs="宋体"/>
          <w:b/>
          <w:bCs w:val="0"/>
          <w:color w:val="000000"/>
          <w:szCs w:val="28"/>
          <w:highlight w:val="none"/>
        </w:rPr>
        <w:t>五、签订合同</w:t>
      </w:r>
      <w:bookmarkEnd w:id="121"/>
      <w:bookmarkEnd w:id="122"/>
    </w:p>
    <w:p w14:paraId="2B2DFA50">
      <w:pPr>
        <w:pStyle w:val="5"/>
        <w:spacing w:before="0" w:after="0" w:line="360" w:lineRule="auto"/>
        <w:ind w:firstLine="420" w:firstLineChars="200"/>
        <w:rPr>
          <w:rFonts w:hint="eastAsia" w:ascii="宋体" w:hAnsi="宋体" w:eastAsia="宋体" w:cs="宋体"/>
          <w:color w:val="000000"/>
          <w:sz w:val="21"/>
          <w:szCs w:val="21"/>
          <w:highlight w:val="none"/>
        </w:rPr>
      </w:pPr>
      <w:bookmarkStart w:id="123" w:name="_Toc26520"/>
      <w:bookmarkStart w:id="124" w:name="_Toc2695"/>
      <w:r>
        <w:rPr>
          <w:rFonts w:hint="eastAsia" w:ascii="宋体" w:hAnsi="宋体" w:eastAsia="宋体" w:cs="宋体"/>
          <w:color w:val="000000"/>
          <w:sz w:val="21"/>
          <w:szCs w:val="21"/>
          <w:highlight w:val="none"/>
        </w:rPr>
        <w:t>28. 履约保证金</w:t>
      </w:r>
      <w:bookmarkEnd w:id="123"/>
      <w:bookmarkEnd w:id="124"/>
    </w:p>
    <w:p w14:paraId="05605C8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本项目免收履约保证金。</w:t>
      </w:r>
    </w:p>
    <w:p w14:paraId="53E227B0">
      <w:pPr>
        <w:pStyle w:val="5"/>
        <w:spacing w:before="0" w:after="0" w:line="360" w:lineRule="auto"/>
        <w:ind w:firstLine="420" w:firstLineChars="200"/>
        <w:rPr>
          <w:rFonts w:hint="eastAsia" w:ascii="宋体" w:hAnsi="宋体" w:eastAsia="宋体" w:cs="宋体"/>
          <w:color w:val="000000"/>
          <w:sz w:val="21"/>
          <w:szCs w:val="21"/>
          <w:highlight w:val="none"/>
        </w:rPr>
      </w:pPr>
      <w:bookmarkStart w:id="125" w:name="_Toc4956"/>
      <w:bookmarkStart w:id="126" w:name="_Toc27009"/>
      <w:r>
        <w:rPr>
          <w:rFonts w:hint="eastAsia" w:ascii="宋体" w:hAnsi="宋体" w:eastAsia="宋体" w:cs="宋体"/>
          <w:color w:val="000000"/>
          <w:sz w:val="21"/>
          <w:szCs w:val="21"/>
          <w:highlight w:val="none"/>
        </w:rPr>
        <w:t>29. 签订合同</w:t>
      </w:r>
      <w:bookmarkEnd w:id="125"/>
      <w:bookmarkEnd w:id="126"/>
    </w:p>
    <w:p w14:paraId="3D6CA9F4">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29.1 签订合同时间：</w:t>
      </w:r>
      <w:r>
        <w:rPr>
          <w:rFonts w:hint="eastAsia" w:ascii="宋体" w:hAnsi="宋体" w:eastAsia="宋体" w:cs="宋体"/>
          <w:b/>
          <w:bCs/>
          <w:color w:val="000000"/>
          <w:szCs w:val="21"/>
          <w:highlight w:val="none"/>
          <w:lang w:eastAsia="zh-CN"/>
        </w:rPr>
        <w:t>成交通知书</w:t>
      </w:r>
      <w:r>
        <w:rPr>
          <w:rFonts w:hint="eastAsia" w:ascii="宋体" w:hAnsi="宋体" w:eastAsia="宋体" w:cs="宋体"/>
          <w:b/>
          <w:bCs/>
          <w:color w:val="000000"/>
          <w:szCs w:val="21"/>
          <w:highlight w:val="none"/>
        </w:rPr>
        <w:t>发出之日</w:t>
      </w:r>
      <w:r>
        <w:rPr>
          <w:rFonts w:hint="eastAsia" w:ascii="宋体" w:hAnsi="宋体" w:eastAsia="宋体" w:cs="宋体"/>
          <w:b/>
          <w:bCs/>
          <w:color w:val="auto"/>
          <w:szCs w:val="21"/>
          <w:highlight w:val="none"/>
        </w:rPr>
        <w:t>起</w:t>
      </w:r>
      <w:r>
        <w:rPr>
          <w:rFonts w:hint="eastAsia" w:ascii="宋体" w:hAnsi="宋体" w:cs="宋体"/>
          <w:b/>
          <w:bCs/>
          <w:color w:val="auto"/>
          <w:szCs w:val="21"/>
          <w:highlight w:val="none"/>
          <w:lang w:val="en-US" w:eastAsia="zh-CN"/>
        </w:rPr>
        <w:t>八个工作</w:t>
      </w:r>
      <w:r>
        <w:rPr>
          <w:rFonts w:hint="eastAsia" w:ascii="宋体" w:hAnsi="宋体" w:eastAsia="宋体" w:cs="宋体"/>
          <w:b/>
          <w:bCs/>
          <w:color w:val="auto"/>
          <w:szCs w:val="21"/>
          <w:highlight w:val="none"/>
        </w:rPr>
        <w:t>日内</w:t>
      </w:r>
      <w:r>
        <w:rPr>
          <w:rFonts w:hint="eastAsia" w:ascii="宋体" w:hAnsi="宋体" w:eastAsia="宋体" w:cs="宋体"/>
          <w:b/>
          <w:bCs/>
          <w:color w:val="000000"/>
          <w:szCs w:val="21"/>
          <w:highlight w:val="none"/>
        </w:rPr>
        <w:t>签订合同。</w:t>
      </w:r>
      <w:r>
        <w:rPr>
          <w:rFonts w:hint="eastAsia" w:ascii="宋体" w:hAnsi="宋体" w:cs="宋体"/>
          <w:b/>
          <w:bCs/>
          <w:color w:val="000000"/>
          <w:szCs w:val="21"/>
          <w:highlight w:val="none"/>
          <w:lang w:eastAsia="zh-CN"/>
        </w:rPr>
        <w:t>成交供应商收到成交通知书</w:t>
      </w:r>
      <w:r>
        <w:rPr>
          <w:rFonts w:hint="eastAsia" w:ascii="宋体" w:hAnsi="宋体" w:eastAsia="宋体" w:cs="宋体"/>
          <w:b/>
          <w:bCs/>
          <w:color w:val="000000"/>
          <w:szCs w:val="21"/>
          <w:highlight w:val="none"/>
        </w:rPr>
        <w:t>后，应按</w:t>
      </w:r>
      <w:r>
        <w:rPr>
          <w:rFonts w:hint="eastAsia" w:ascii="宋体" w:hAnsi="宋体" w:cs="宋体"/>
          <w:b/>
          <w:bCs/>
          <w:color w:val="000000"/>
          <w:szCs w:val="21"/>
          <w:highlight w:val="none"/>
          <w:lang w:eastAsia="zh-CN"/>
        </w:rPr>
        <w:t>规定与采购人在“广西政府采购云平台”上在线签订电子合同</w:t>
      </w:r>
      <w:r>
        <w:rPr>
          <w:rFonts w:hint="eastAsia" w:ascii="宋体" w:hAnsi="宋体" w:eastAsia="宋体" w:cs="宋体"/>
          <w:b/>
          <w:bCs/>
          <w:color w:val="000000"/>
          <w:szCs w:val="21"/>
          <w:highlight w:val="none"/>
        </w:rPr>
        <w:t>。</w:t>
      </w:r>
    </w:p>
    <w:p w14:paraId="0AF9284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384631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（1）成交后不与采购人签订合同的（不可抗力除外）；</w:t>
      </w:r>
    </w:p>
    <w:p w14:paraId="4D8DD13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（2）将成交项目转让给他人，或者在响应文件中未说明，且未经采购人同意，将成交项目分包给他人的；</w:t>
      </w:r>
    </w:p>
    <w:p w14:paraId="6D7EF4F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（3）拒绝履行合同义务的。</w:t>
      </w:r>
    </w:p>
    <w:p w14:paraId="2F1A7028">
      <w:pPr>
        <w:spacing w:line="360" w:lineRule="auto"/>
        <w:ind w:firstLine="420" w:firstLineChars="200"/>
        <w:rPr>
          <w:rFonts w:hint="eastAsia" w:ascii="宋体" w:hAnsi="宋体" w:eastAsia="宋体" w:cs="宋体"/>
          <w:color w:val="000000"/>
          <w:highlight w:val="none"/>
          <w:lang w:eastAsia="zh-CN"/>
        </w:rPr>
      </w:pPr>
      <w:r>
        <w:rPr>
          <w:rFonts w:hint="eastAsia" w:ascii="宋体" w:hAnsi="宋体" w:eastAsia="宋体" w:cs="宋体"/>
          <w:color w:val="000000"/>
          <w:szCs w:val="21"/>
          <w:highlight w:val="none"/>
        </w:rPr>
        <w:t>29.3 合同备案存档：</w:t>
      </w:r>
      <w:r>
        <w:rPr>
          <w:rFonts w:hint="eastAsia" w:ascii="宋体" w:hAnsi="宋体" w:cs="宋体"/>
          <w:color w:val="000000"/>
          <w:highlight w:val="none"/>
          <w:lang w:eastAsia="zh-CN"/>
        </w:rPr>
        <w:t>政府采购合同双方自签订之日起将自动存档于“广西政府采购云平台”上，采购人于合同签订之日起七个工作日内将一份合同原件送本级财政部门备案。</w:t>
      </w:r>
    </w:p>
    <w:p w14:paraId="6DEA5E58">
      <w:pPr>
        <w:pStyle w:val="4"/>
        <w:jc w:val="center"/>
        <w:rPr>
          <w:rFonts w:hint="eastAsia" w:ascii="宋体" w:hAnsi="宋体" w:eastAsia="宋体" w:cs="宋体"/>
          <w:b/>
          <w:bCs w:val="0"/>
          <w:color w:val="000000"/>
          <w:szCs w:val="28"/>
          <w:highlight w:val="none"/>
        </w:rPr>
      </w:pPr>
      <w:bookmarkStart w:id="127" w:name="_Toc16348"/>
      <w:bookmarkStart w:id="128" w:name="_Toc16607"/>
      <w:r>
        <w:rPr>
          <w:rFonts w:hint="eastAsia" w:ascii="宋体" w:hAnsi="宋体" w:eastAsia="宋体" w:cs="宋体"/>
          <w:b/>
          <w:bCs w:val="0"/>
          <w:color w:val="000000"/>
          <w:szCs w:val="28"/>
          <w:highlight w:val="none"/>
        </w:rPr>
        <w:t>六、其他事项</w:t>
      </w:r>
      <w:bookmarkEnd w:id="127"/>
      <w:bookmarkEnd w:id="128"/>
    </w:p>
    <w:p w14:paraId="0F19B296">
      <w:pPr>
        <w:pStyle w:val="5"/>
        <w:spacing w:before="0" w:after="0" w:line="360" w:lineRule="auto"/>
        <w:ind w:firstLine="420" w:firstLineChars="200"/>
        <w:rPr>
          <w:rFonts w:hint="eastAsia" w:ascii="宋体" w:hAnsi="宋体" w:eastAsia="宋体" w:cs="宋体"/>
          <w:color w:val="000000"/>
          <w:sz w:val="21"/>
          <w:szCs w:val="21"/>
          <w:highlight w:val="none"/>
        </w:rPr>
      </w:pPr>
      <w:bookmarkStart w:id="129" w:name="_Toc28647"/>
      <w:bookmarkStart w:id="130" w:name="_Toc24974"/>
      <w:r>
        <w:rPr>
          <w:rFonts w:hint="eastAsia" w:ascii="宋体" w:hAnsi="宋体" w:eastAsia="宋体" w:cs="宋体"/>
          <w:color w:val="000000"/>
          <w:sz w:val="21"/>
          <w:szCs w:val="21"/>
          <w:highlight w:val="none"/>
        </w:rPr>
        <w:t>30. 采购代理服务费</w:t>
      </w:r>
      <w:bookmarkEnd w:id="129"/>
      <w:bookmarkEnd w:id="130"/>
    </w:p>
    <w:p w14:paraId="0A9DC908">
      <w:pPr>
        <w:pStyle w:val="20"/>
        <w:ind w:left="0" w:leftChars="0" w:firstLine="42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szCs w:val="21"/>
          <w:highlight w:val="none"/>
        </w:rPr>
        <w:t>本项目不收采购取代理服务费</w:t>
      </w:r>
      <w:r>
        <w:rPr>
          <w:rFonts w:hint="eastAsia" w:ascii="宋体" w:hAnsi="宋体" w:cs="宋体"/>
          <w:b w:val="0"/>
          <w:bCs w:val="0"/>
          <w:color w:val="000000"/>
          <w:szCs w:val="21"/>
          <w:highlight w:val="none"/>
          <w:lang w:eastAsia="zh-CN"/>
        </w:rPr>
        <w:t>。</w:t>
      </w:r>
    </w:p>
    <w:p w14:paraId="647274A7">
      <w:pPr>
        <w:pStyle w:val="5"/>
        <w:spacing w:before="0" w:after="0" w:line="360" w:lineRule="auto"/>
        <w:ind w:firstLine="420" w:firstLineChars="200"/>
        <w:rPr>
          <w:rFonts w:hint="eastAsia" w:ascii="宋体" w:hAnsi="宋体" w:eastAsia="宋体" w:cs="宋体"/>
          <w:color w:val="000000"/>
          <w:sz w:val="21"/>
          <w:szCs w:val="21"/>
          <w:highlight w:val="none"/>
          <w:lang w:val="en-US" w:eastAsia="zh-CN"/>
        </w:rPr>
      </w:pPr>
      <w:bookmarkStart w:id="131" w:name="_Toc12374"/>
      <w:bookmarkStart w:id="132" w:name="_Toc16407"/>
      <w:r>
        <w:rPr>
          <w:rFonts w:hint="eastAsia" w:ascii="宋体" w:hAnsi="宋体" w:eastAsia="宋体" w:cs="宋体"/>
          <w:color w:val="000000"/>
          <w:sz w:val="21"/>
          <w:szCs w:val="21"/>
          <w:highlight w:val="none"/>
          <w:lang w:val="en-US" w:eastAsia="zh-CN"/>
        </w:rPr>
        <w:t>31.解释权</w:t>
      </w:r>
      <w:bookmarkEnd w:id="131"/>
      <w:bookmarkEnd w:id="132"/>
    </w:p>
    <w:p w14:paraId="653B5433">
      <w:pPr>
        <w:numPr>
          <w:ilvl w:val="0"/>
          <w:numId w:val="0"/>
        </w:num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F1BFD7E">
      <w:pPr>
        <w:pStyle w:val="5"/>
        <w:spacing w:before="0" w:after="0" w:line="360" w:lineRule="auto"/>
        <w:ind w:firstLine="420" w:firstLineChars="200"/>
        <w:rPr>
          <w:rFonts w:hint="eastAsia" w:ascii="宋体" w:hAnsi="宋体" w:eastAsia="宋体" w:cs="宋体"/>
          <w:color w:val="000000"/>
          <w:sz w:val="21"/>
          <w:szCs w:val="21"/>
          <w:highlight w:val="none"/>
          <w:lang w:val="en-US" w:eastAsia="zh-CN"/>
        </w:rPr>
      </w:pPr>
      <w:bookmarkStart w:id="133" w:name="_Toc1001"/>
      <w:r>
        <w:rPr>
          <w:rFonts w:hint="eastAsia" w:ascii="宋体" w:hAnsi="宋体" w:eastAsia="宋体" w:cs="宋体"/>
          <w:color w:val="000000"/>
          <w:sz w:val="21"/>
          <w:szCs w:val="21"/>
          <w:highlight w:val="none"/>
          <w:lang w:val="en-US" w:eastAsia="zh-CN"/>
        </w:rPr>
        <w:t>32.监督管理机构</w:t>
      </w:r>
      <w:bookmarkEnd w:id="133"/>
    </w:p>
    <w:p w14:paraId="755BC5B9">
      <w:pPr>
        <w:numPr>
          <w:ilvl w:val="0"/>
          <w:numId w:val="0"/>
        </w:numPr>
        <w:snapToGrid w:val="0"/>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auto"/>
          <w:szCs w:val="21"/>
          <w:highlight w:val="none"/>
          <w:lang w:val="en-US" w:eastAsia="zh-CN"/>
        </w:rPr>
        <w:t xml:space="preserve">象山区财政局  </w:t>
      </w:r>
      <w:r>
        <w:rPr>
          <w:rFonts w:hint="eastAsia" w:ascii="宋体" w:hAnsi="宋体" w:eastAsia="宋体" w:cs="宋体"/>
          <w:color w:val="000000"/>
          <w:szCs w:val="21"/>
        </w:rPr>
        <w:t xml:space="preserve"> </w:t>
      </w:r>
      <w:r>
        <w:rPr>
          <w:rFonts w:hint="eastAsia" w:ascii="宋体" w:hAnsi="宋体" w:eastAsia="宋体" w:cs="宋体"/>
          <w:color w:val="000000"/>
          <w:szCs w:val="21"/>
          <w:lang w:eastAsia="zh-CN"/>
        </w:rPr>
        <w:t>电话：</w:t>
      </w:r>
      <w:r>
        <w:rPr>
          <w:rFonts w:hint="eastAsia" w:ascii="宋体" w:hAnsi="宋体" w:cs="宋体"/>
          <w:color w:val="000000"/>
          <w:szCs w:val="21"/>
          <w:lang w:val="en-US" w:eastAsia="zh-CN"/>
        </w:rPr>
        <w:t>0773-3836392</w:t>
      </w:r>
      <w:r>
        <w:rPr>
          <w:rFonts w:hint="eastAsia" w:ascii="宋体" w:hAnsi="宋体" w:eastAsia="宋体" w:cs="宋体"/>
          <w:color w:val="000000"/>
          <w:szCs w:val="21"/>
          <w:lang w:eastAsia="zh-CN"/>
        </w:rPr>
        <w:t>。</w:t>
      </w:r>
    </w:p>
    <w:p w14:paraId="07B85E87">
      <w:pPr>
        <w:numPr>
          <w:ilvl w:val="0"/>
          <w:numId w:val="0"/>
        </w:numPr>
        <w:snapToGrid w:val="0"/>
        <w:spacing w:line="400" w:lineRule="exact"/>
        <w:ind w:firstLine="420" w:firstLineChars="200"/>
        <w:rPr>
          <w:rFonts w:hint="eastAsia" w:ascii="宋体" w:hAnsi="宋体" w:eastAsia="宋体" w:cs="宋体"/>
          <w:color w:val="000000"/>
          <w:szCs w:val="21"/>
          <w:lang w:eastAsia="zh-CN"/>
        </w:rPr>
      </w:pPr>
    </w:p>
    <w:p w14:paraId="27D70A82">
      <w:pPr>
        <w:numPr>
          <w:ilvl w:val="0"/>
          <w:numId w:val="0"/>
        </w:numPr>
        <w:snapToGrid w:val="0"/>
        <w:spacing w:line="400" w:lineRule="exact"/>
        <w:ind w:firstLine="420" w:firstLineChars="200"/>
        <w:rPr>
          <w:rFonts w:hint="eastAsia" w:ascii="宋体" w:hAnsi="宋体" w:eastAsia="宋体" w:cs="宋体"/>
          <w:color w:val="000000"/>
          <w:szCs w:val="21"/>
          <w:lang w:eastAsia="zh-CN"/>
        </w:rPr>
      </w:pPr>
    </w:p>
    <w:p w14:paraId="0F9F875A">
      <w:pPr>
        <w:pStyle w:val="7"/>
        <w:rPr>
          <w:rFonts w:hint="eastAsia" w:ascii="宋体" w:hAnsi="宋体" w:eastAsia="宋体" w:cs="宋体"/>
          <w:color w:val="000000"/>
          <w:szCs w:val="21"/>
          <w:lang w:eastAsia="zh-CN"/>
        </w:rPr>
      </w:pPr>
    </w:p>
    <w:p w14:paraId="35C645D4">
      <w:pPr>
        <w:pStyle w:val="7"/>
        <w:rPr>
          <w:rFonts w:hint="eastAsia" w:ascii="宋体" w:hAnsi="宋体" w:eastAsia="宋体" w:cs="宋体"/>
          <w:color w:val="000000"/>
          <w:szCs w:val="21"/>
          <w:lang w:eastAsia="zh-CN"/>
        </w:rPr>
      </w:pPr>
    </w:p>
    <w:p w14:paraId="32362646">
      <w:pPr>
        <w:pStyle w:val="7"/>
        <w:rPr>
          <w:rFonts w:hint="eastAsia" w:ascii="宋体" w:hAnsi="宋体" w:eastAsia="宋体" w:cs="宋体"/>
          <w:color w:val="000000"/>
          <w:szCs w:val="21"/>
          <w:lang w:eastAsia="zh-CN"/>
        </w:rPr>
      </w:pPr>
    </w:p>
    <w:p w14:paraId="5CBFB233">
      <w:pPr>
        <w:pStyle w:val="7"/>
        <w:rPr>
          <w:rFonts w:hint="eastAsia" w:ascii="宋体" w:hAnsi="宋体" w:eastAsia="宋体" w:cs="宋体"/>
          <w:color w:val="000000"/>
          <w:szCs w:val="21"/>
          <w:lang w:eastAsia="zh-CN"/>
        </w:rPr>
      </w:pPr>
    </w:p>
    <w:p w14:paraId="02A1C69A">
      <w:pPr>
        <w:pStyle w:val="7"/>
        <w:rPr>
          <w:rFonts w:hint="eastAsia" w:ascii="宋体" w:hAnsi="宋体" w:eastAsia="宋体" w:cs="宋体"/>
          <w:color w:val="000000"/>
          <w:szCs w:val="21"/>
          <w:lang w:eastAsia="zh-CN"/>
        </w:rPr>
      </w:pPr>
    </w:p>
    <w:p w14:paraId="34A82160">
      <w:pPr>
        <w:pStyle w:val="7"/>
        <w:rPr>
          <w:rFonts w:hint="eastAsia" w:ascii="宋体" w:hAnsi="宋体" w:eastAsia="宋体" w:cs="宋体"/>
          <w:color w:val="000000"/>
          <w:szCs w:val="21"/>
          <w:lang w:eastAsia="zh-CN"/>
        </w:rPr>
      </w:pPr>
    </w:p>
    <w:p w14:paraId="607496A8">
      <w:pPr>
        <w:pStyle w:val="7"/>
        <w:rPr>
          <w:rFonts w:hint="eastAsia" w:ascii="宋体" w:hAnsi="宋体" w:eastAsia="宋体" w:cs="宋体"/>
          <w:color w:val="000000"/>
          <w:szCs w:val="21"/>
          <w:lang w:eastAsia="zh-CN"/>
        </w:rPr>
      </w:pPr>
    </w:p>
    <w:p w14:paraId="6E12CED9">
      <w:pPr>
        <w:pStyle w:val="7"/>
        <w:rPr>
          <w:rFonts w:hint="eastAsia" w:ascii="宋体" w:hAnsi="宋体" w:eastAsia="宋体" w:cs="宋体"/>
          <w:color w:val="000000"/>
          <w:szCs w:val="21"/>
          <w:lang w:eastAsia="zh-CN"/>
        </w:rPr>
      </w:pPr>
    </w:p>
    <w:p w14:paraId="1F80F3B1">
      <w:pPr>
        <w:pStyle w:val="7"/>
        <w:rPr>
          <w:rFonts w:hint="eastAsia" w:ascii="宋体" w:hAnsi="宋体" w:eastAsia="宋体" w:cs="宋体"/>
          <w:color w:val="000000"/>
          <w:szCs w:val="21"/>
          <w:lang w:eastAsia="zh-CN"/>
        </w:rPr>
      </w:pPr>
    </w:p>
    <w:p w14:paraId="0FB1EEA3">
      <w:pPr>
        <w:pStyle w:val="7"/>
        <w:ind w:left="0" w:leftChars="0" w:firstLine="0" w:firstLineChars="0"/>
        <w:rPr>
          <w:rFonts w:hint="eastAsia" w:ascii="宋体" w:hAnsi="宋体" w:eastAsia="宋体" w:cs="宋体"/>
          <w:color w:val="000000"/>
          <w:szCs w:val="21"/>
          <w:lang w:eastAsia="zh-CN"/>
        </w:rPr>
      </w:pPr>
    </w:p>
    <w:p w14:paraId="5A1AFA26">
      <w:pPr>
        <w:pStyle w:val="7"/>
        <w:ind w:left="0" w:leftChars="0" w:firstLine="0" w:firstLineChars="0"/>
        <w:rPr>
          <w:rFonts w:hint="eastAsia" w:ascii="宋体" w:hAnsi="宋体" w:eastAsia="宋体" w:cs="宋体"/>
          <w:color w:val="000000"/>
          <w:szCs w:val="21"/>
          <w:lang w:eastAsia="zh-CN"/>
        </w:rPr>
      </w:pPr>
    </w:p>
    <w:p w14:paraId="1F1C8864">
      <w:pPr>
        <w:pStyle w:val="7"/>
        <w:ind w:left="0" w:leftChars="0" w:firstLine="0" w:firstLineChars="0"/>
        <w:rPr>
          <w:rFonts w:hint="eastAsia" w:ascii="宋体" w:hAnsi="宋体" w:eastAsia="宋体" w:cs="宋体"/>
          <w:color w:val="000000"/>
          <w:szCs w:val="21"/>
          <w:lang w:eastAsia="zh-CN"/>
        </w:rPr>
      </w:pPr>
    </w:p>
    <w:p w14:paraId="5DA89DD1">
      <w:pPr>
        <w:pStyle w:val="7"/>
        <w:ind w:left="0" w:leftChars="0" w:firstLine="0" w:firstLineChars="0"/>
        <w:rPr>
          <w:rFonts w:hint="eastAsia" w:ascii="宋体" w:hAnsi="宋体" w:eastAsia="宋体" w:cs="宋体"/>
          <w:color w:val="000000"/>
          <w:szCs w:val="21"/>
          <w:lang w:eastAsia="zh-CN"/>
        </w:rPr>
      </w:pPr>
    </w:p>
    <w:p w14:paraId="602FCA20">
      <w:pPr>
        <w:pStyle w:val="7"/>
        <w:ind w:left="0" w:leftChars="0" w:firstLine="0" w:firstLineChars="0"/>
        <w:rPr>
          <w:rFonts w:hint="eastAsia" w:ascii="宋体" w:hAnsi="宋体" w:eastAsia="宋体" w:cs="宋体"/>
          <w:color w:val="000000"/>
          <w:szCs w:val="21"/>
          <w:lang w:eastAsia="zh-CN"/>
        </w:rPr>
      </w:pPr>
    </w:p>
    <w:p w14:paraId="04DC3098">
      <w:pPr>
        <w:pStyle w:val="7"/>
        <w:ind w:left="0" w:leftChars="0" w:firstLine="0" w:firstLineChars="0"/>
        <w:rPr>
          <w:rFonts w:hint="eastAsia" w:ascii="宋体" w:hAnsi="宋体" w:eastAsia="宋体" w:cs="宋体"/>
          <w:color w:val="000000"/>
          <w:szCs w:val="21"/>
          <w:lang w:eastAsia="zh-CN"/>
        </w:rPr>
      </w:pPr>
    </w:p>
    <w:p w14:paraId="79F2F5F1">
      <w:pPr>
        <w:pStyle w:val="7"/>
        <w:ind w:left="0" w:leftChars="0" w:firstLine="0" w:firstLineChars="0"/>
        <w:rPr>
          <w:rFonts w:hint="eastAsia" w:ascii="宋体" w:hAnsi="宋体" w:eastAsia="宋体" w:cs="宋体"/>
          <w:color w:val="000000"/>
          <w:szCs w:val="21"/>
          <w:lang w:eastAsia="zh-CN"/>
        </w:rPr>
      </w:pPr>
    </w:p>
    <w:p w14:paraId="5CFAE11F">
      <w:pPr>
        <w:pStyle w:val="7"/>
        <w:ind w:left="0" w:leftChars="0" w:firstLine="0" w:firstLineChars="0"/>
        <w:rPr>
          <w:rFonts w:hint="eastAsia" w:ascii="宋体" w:hAnsi="宋体" w:eastAsia="宋体" w:cs="宋体"/>
          <w:color w:val="000000"/>
          <w:szCs w:val="21"/>
          <w:lang w:eastAsia="zh-CN"/>
        </w:rPr>
      </w:pPr>
    </w:p>
    <w:p w14:paraId="5E90B49F">
      <w:pPr>
        <w:numPr>
          <w:ilvl w:val="0"/>
          <w:numId w:val="0"/>
        </w:numPr>
        <w:snapToGrid w:val="0"/>
        <w:spacing w:line="400" w:lineRule="exact"/>
        <w:ind w:firstLine="420" w:firstLineChars="200"/>
        <w:rPr>
          <w:rFonts w:hint="eastAsia" w:ascii="宋体" w:hAnsi="宋体" w:eastAsia="宋体" w:cs="宋体"/>
          <w:color w:val="000000"/>
          <w:szCs w:val="21"/>
          <w:lang w:eastAsia="zh-CN"/>
        </w:rPr>
      </w:pPr>
    </w:p>
    <w:p w14:paraId="00B53D0A">
      <w:pPr>
        <w:pStyle w:val="20"/>
        <w:rPr>
          <w:rFonts w:hint="eastAsia" w:ascii="宋体" w:hAnsi="宋体" w:eastAsia="宋体" w:cs="宋体"/>
          <w:color w:val="000000"/>
          <w:szCs w:val="21"/>
          <w:lang w:eastAsia="zh-CN"/>
        </w:rPr>
      </w:pPr>
    </w:p>
    <w:p w14:paraId="19B44369">
      <w:pPr>
        <w:rPr>
          <w:rFonts w:hint="eastAsia" w:ascii="宋体" w:hAnsi="宋体" w:eastAsia="宋体" w:cs="宋体"/>
          <w:color w:val="000000"/>
          <w:szCs w:val="21"/>
          <w:lang w:eastAsia="zh-CN"/>
        </w:rPr>
      </w:pPr>
    </w:p>
    <w:p w14:paraId="52EDBAE4">
      <w:pPr>
        <w:pStyle w:val="20"/>
        <w:rPr>
          <w:rFonts w:hint="eastAsia" w:ascii="宋体" w:hAnsi="宋体" w:eastAsia="宋体" w:cs="宋体"/>
          <w:color w:val="000000"/>
          <w:szCs w:val="21"/>
          <w:lang w:eastAsia="zh-CN"/>
        </w:rPr>
      </w:pPr>
    </w:p>
    <w:p w14:paraId="2CCF951F">
      <w:pPr>
        <w:rPr>
          <w:rFonts w:hint="eastAsia" w:ascii="宋体" w:hAnsi="宋体" w:eastAsia="宋体" w:cs="宋体"/>
          <w:color w:val="000000"/>
          <w:szCs w:val="21"/>
          <w:lang w:eastAsia="zh-CN"/>
        </w:rPr>
      </w:pPr>
    </w:p>
    <w:p w14:paraId="028590EE">
      <w:pPr>
        <w:pStyle w:val="20"/>
        <w:rPr>
          <w:rFonts w:hint="eastAsia" w:ascii="宋体" w:hAnsi="宋体" w:eastAsia="宋体" w:cs="宋体"/>
          <w:color w:val="000000"/>
          <w:szCs w:val="21"/>
          <w:lang w:eastAsia="zh-CN"/>
        </w:rPr>
      </w:pPr>
    </w:p>
    <w:p w14:paraId="0D02B39B">
      <w:pPr>
        <w:rPr>
          <w:rFonts w:hint="eastAsia" w:ascii="宋体" w:hAnsi="宋体" w:eastAsia="宋体" w:cs="宋体"/>
          <w:color w:val="000000"/>
          <w:szCs w:val="21"/>
          <w:lang w:eastAsia="zh-CN"/>
        </w:rPr>
      </w:pPr>
    </w:p>
    <w:p w14:paraId="6012CE75">
      <w:pPr>
        <w:pStyle w:val="20"/>
        <w:rPr>
          <w:rFonts w:hint="eastAsia"/>
          <w:lang w:eastAsia="zh-CN"/>
        </w:rPr>
      </w:pPr>
    </w:p>
    <w:p w14:paraId="7525D1E1">
      <w:pPr>
        <w:pStyle w:val="3"/>
        <w:numPr>
          <w:ilvl w:val="0"/>
          <w:numId w:val="0"/>
        </w:numPr>
        <w:tabs>
          <w:tab w:val="left" w:pos="0"/>
        </w:tabs>
        <w:autoSpaceDE w:val="0"/>
        <w:autoSpaceDN w:val="0"/>
        <w:adjustRightInd w:val="0"/>
        <w:spacing w:before="0" w:after="0" w:line="360" w:lineRule="auto"/>
        <w:ind w:firstLine="425"/>
        <w:jc w:val="center"/>
        <w:rPr>
          <w:rFonts w:hint="eastAsia" w:ascii="宋体" w:hAnsi="宋体" w:cs="宋体"/>
          <w:sz w:val="32"/>
          <w:szCs w:val="32"/>
        </w:rPr>
      </w:pPr>
      <w:r>
        <w:rPr>
          <w:rFonts w:hint="eastAsia" w:ascii="宋体" w:hAnsi="宋体" w:eastAsia="宋体" w:cs="宋体"/>
          <w:b/>
          <w:bCs/>
          <w:kern w:val="44"/>
          <w:sz w:val="32"/>
          <w:szCs w:val="32"/>
          <w:lang w:val="en-US" w:eastAsia="zh-CN" w:bidi="ar-SA"/>
        </w:rPr>
        <w:t>第</w:t>
      </w:r>
      <w:r>
        <w:rPr>
          <w:rFonts w:hint="eastAsia" w:ascii="宋体" w:hAnsi="宋体" w:cs="宋体"/>
          <w:b/>
          <w:bCs/>
          <w:kern w:val="44"/>
          <w:sz w:val="32"/>
          <w:szCs w:val="32"/>
          <w:lang w:val="en-US" w:eastAsia="zh-CN" w:bidi="ar-SA"/>
        </w:rPr>
        <w:t>三</w:t>
      </w:r>
      <w:r>
        <w:rPr>
          <w:rFonts w:hint="eastAsia" w:ascii="宋体" w:hAnsi="宋体" w:eastAsia="宋体" w:cs="宋体"/>
          <w:b/>
          <w:bCs/>
          <w:kern w:val="44"/>
          <w:sz w:val="32"/>
          <w:szCs w:val="32"/>
          <w:lang w:val="en-US" w:eastAsia="zh-CN" w:bidi="ar-SA"/>
        </w:rPr>
        <w:t>章　</w:t>
      </w:r>
      <w:r>
        <w:rPr>
          <w:rFonts w:hint="eastAsia" w:ascii="宋体" w:hAnsi="宋体" w:cs="宋体"/>
          <w:sz w:val="32"/>
          <w:szCs w:val="32"/>
        </w:rPr>
        <w:t xml:space="preserve"> </w:t>
      </w:r>
      <w:bookmarkStart w:id="134" w:name="_Toc220_WPSOffice_Level1"/>
      <w:bookmarkStart w:id="135" w:name="_Toc25928"/>
      <w:r>
        <w:rPr>
          <w:rFonts w:hint="eastAsia" w:ascii="宋体" w:hAnsi="宋体" w:cs="宋体"/>
          <w:sz w:val="32"/>
          <w:szCs w:val="32"/>
        </w:rPr>
        <w:t>采购需求</w:t>
      </w:r>
      <w:bookmarkEnd w:id="134"/>
      <w:bookmarkEnd w:id="135"/>
    </w:p>
    <w:p w14:paraId="5D92D2F4">
      <w:pPr>
        <w:rPr>
          <w:rFonts w:hint="eastAsia"/>
        </w:rPr>
      </w:pPr>
    </w:p>
    <w:p w14:paraId="6364E6FB">
      <w:pPr>
        <w:spacing w:line="360" w:lineRule="exact"/>
        <w:ind w:firstLine="435"/>
        <w:rPr>
          <w:rFonts w:hint="eastAsia" w:ascii="宋体" w:hAnsi="宋体" w:cs="宋体"/>
          <w:b/>
          <w:bCs/>
          <w:sz w:val="24"/>
          <w:lang w:val="en-US" w:eastAsia="zh-CN"/>
        </w:rPr>
      </w:pPr>
      <w:r>
        <w:rPr>
          <w:rFonts w:hint="eastAsia" w:ascii="宋体" w:hAnsi="宋体" w:cs="宋体"/>
          <w:b/>
          <w:bCs/>
          <w:sz w:val="21"/>
          <w:szCs w:val="21"/>
          <w:lang w:eastAsia="zh-CN"/>
        </w:rPr>
        <w:t>说明</w:t>
      </w:r>
      <w:r>
        <w:rPr>
          <w:rFonts w:hint="eastAsia" w:ascii="宋体" w:hAnsi="宋体" w:cs="宋体"/>
          <w:b/>
          <w:bCs/>
          <w:sz w:val="21"/>
          <w:szCs w:val="21"/>
        </w:rPr>
        <w:t>：</w:t>
      </w:r>
      <w:r>
        <w:rPr>
          <w:rFonts w:hint="eastAsia" w:ascii="宋体" w:hAnsi="宋体" w:eastAsia="宋体" w:cs="宋体"/>
          <w:b/>
          <w:color w:val="000000"/>
          <w:sz w:val="21"/>
          <w:szCs w:val="21"/>
          <w:highlight w:val="none"/>
          <w:u w:val="none"/>
          <w:lang w:val="en-US" w:eastAsia="zh-CN"/>
        </w:rPr>
        <w:t>“采购需求”中的标注★号的内容及磋商文件中要求“必须提供”的条款均为实质性要求。</w:t>
      </w:r>
      <w:r>
        <w:rPr>
          <w:rFonts w:hint="eastAsia" w:ascii="宋体" w:hAnsi="宋体" w:cs="宋体"/>
          <w:b/>
          <w:color w:val="auto"/>
          <w:szCs w:val="21"/>
          <w:highlight w:val="none"/>
          <w:lang w:eastAsia="zh-CN"/>
        </w:rPr>
        <w:t>报价人</w:t>
      </w:r>
      <w:r>
        <w:rPr>
          <w:rFonts w:hint="eastAsia" w:ascii="宋体" w:hAnsi="宋体" w:cs="宋体"/>
          <w:b/>
          <w:color w:val="auto"/>
          <w:szCs w:val="21"/>
          <w:highlight w:val="none"/>
        </w:rPr>
        <w:t>须满足或响应，若无法完全满足，将会被认定为无效</w:t>
      </w:r>
      <w:r>
        <w:rPr>
          <w:rFonts w:hint="eastAsia" w:ascii="宋体" w:hAnsi="宋体" w:cs="宋体"/>
          <w:b/>
          <w:color w:val="auto"/>
          <w:szCs w:val="21"/>
          <w:highlight w:val="none"/>
          <w:lang w:eastAsia="zh-CN"/>
        </w:rPr>
        <w:t>报价</w:t>
      </w:r>
      <w:r>
        <w:rPr>
          <w:rFonts w:hint="eastAsia" w:ascii="宋体" w:hAnsi="宋体" w:cs="宋体"/>
          <w:b/>
          <w:color w:val="auto"/>
          <w:szCs w:val="21"/>
          <w:highlight w:val="none"/>
        </w:rPr>
        <w:t>。</w:t>
      </w:r>
      <w:r>
        <w:rPr>
          <w:rFonts w:hint="eastAsia"/>
          <w:b/>
          <w:bCs/>
          <w:color w:val="auto"/>
          <w:u w:val="none"/>
          <w:lang w:val="en-US" w:eastAsia="zh-CN"/>
        </w:rPr>
        <w:t>标注“▲”号的为重要技术指标，将作为评审的重要依据。</w:t>
      </w:r>
    </w:p>
    <w:tbl>
      <w:tblPr>
        <w:tblStyle w:val="21"/>
        <w:tblpPr w:leftFromText="180" w:rightFromText="180" w:vertAnchor="text" w:horzAnchor="page" w:tblpX="1249" w:tblpY="438"/>
        <w:tblOverlap w:val="never"/>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90"/>
        <w:gridCol w:w="5790"/>
        <w:gridCol w:w="420"/>
        <w:gridCol w:w="405"/>
        <w:gridCol w:w="1170"/>
        <w:gridCol w:w="1170"/>
      </w:tblGrid>
      <w:tr w14:paraId="1F04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76" w:type="dxa"/>
            <w:tcBorders>
              <w:tl2br w:val="nil"/>
              <w:tr2bl w:val="nil"/>
            </w:tcBorders>
            <w:shd w:val="clear" w:color="000000" w:fill="FFFFFF"/>
            <w:noWrap w:val="0"/>
            <w:vAlign w:val="center"/>
          </w:tcPr>
          <w:p w14:paraId="7A0EFD95">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序号</w:t>
            </w:r>
          </w:p>
        </w:tc>
        <w:tc>
          <w:tcPr>
            <w:tcW w:w="690" w:type="dxa"/>
            <w:tcBorders>
              <w:tl2br w:val="nil"/>
              <w:tr2bl w:val="nil"/>
            </w:tcBorders>
            <w:shd w:val="clear" w:color="000000" w:fill="FFFFFF"/>
            <w:noWrap w:val="0"/>
            <w:vAlign w:val="center"/>
          </w:tcPr>
          <w:p w14:paraId="35BD21D6">
            <w:pPr>
              <w:widowControl/>
              <w:spacing w:line="400" w:lineRule="exact"/>
              <w:jc w:val="center"/>
              <w:rPr>
                <w:rFonts w:hint="eastAsia" w:ascii="宋体" w:hAnsi="宋体" w:cs="宋体"/>
                <w:b/>
                <w:bCs/>
                <w:color w:val="000000"/>
                <w:kern w:val="2"/>
                <w:sz w:val="21"/>
                <w:szCs w:val="21"/>
                <w:lang w:val="en-US" w:eastAsia="en-US" w:bidi="ar-SA"/>
              </w:rPr>
            </w:pPr>
            <w:r>
              <w:rPr>
                <w:rFonts w:hint="eastAsia" w:ascii="宋体" w:hAnsi="宋体" w:cs="宋体"/>
                <w:b/>
                <w:bCs/>
                <w:color w:val="000000"/>
                <w:szCs w:val="21"/>
              </w:rPr>
              <w:t>服务名称</w:t>
            </w:r>
          </w:p>
        </w:tc>
        <w:tc>
          <w:tcPr>
            <w:tcW w:w="5790" w:type="dxa"/>
            <w:tcBorders>
              <w:tl2br w:val="nil"/>
              <w:tr2bl w:val="nil"/>
            </w:tcBorders>
            <w:shd w:val="clear" w:color="000000" w:fill="FFFFFF"/>
            <w:noWrap w:val="0"/>
            <w:vAlign w:val="center"/>
          </w:tcPr>
          <w:p w14:paraId="40069CC5">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配套服务相关性能参数</w:t>
            </w:r>
          </w:p>
        </w:tc>
        <w:tc>
          <w:tcPr>
            <w:tcW w:w="420" w:type="dxa"/>
            <w:tcBorders>
              <w:tl2br w:val="nil"/>
              <w:tr2bl w:val="nil"/>
            </w:tcBorders>
            <w:shd w:val="clear" w:color="000000" w:fill="FFFFFF"/>
            <w:noWrap w:val="0"/>
            <w:vAlign w:val="center"/>
          </w:tcPr>
          <w:p w14:paraId="37DD4785">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数量</w:t>
            </w:r>
          </w:p>
        </w:tc>
        <w:tc>
          <w:tcPr>
            <w:tcW w:w="405" w:type="dxa"/>
            <w:tcBorders>
              <w:tl2br w:val="nil"/>
              <w:tr2bl w:val="nil"/>
            </w:tcBorders>
            <w:shd w:val="clear" w:color="000000" w:fill="FFFFFF"/>
            <w:noWrap w:val="0"/>
            <w:vAlign w:val="center"/>
          </w:tcPr>
          <w:p w14:paraId="3660197D">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单位</w:t>
            </w:r>
          </w:p>
        </w:tc>
        <w:tc>
          <w:tcPr>
            <w:tcW w:w="1170" w:type="dxa"/>
            <w:tcBorders>
              <w:tl2br w:val="nil"/>
              <w:tr2bl w:val="nil"/>
            </w:tcBorders>
            <w:shd w:val="clear" w:color="000000" w:fill="FFFFFF"/>
            <w:noWrap w:val="0"/>
            <w:vAlign w:val="top"/>
          </w:tcPr>
          <w:p w14:paraId="6C2F6654">
            <w:pPr>
              <w:widowControl/>
              <w:spacing w:line="400" w:lineRule="exact"/>
              <w:jc w:val="center"/>
              <w:rPr>
                <w:rFonts w:ascii="宋体" w:hAnsi="宋体" w:cs="宋体"/>
                <w:b/>
                <w:bCs/>
                <w:color w:val="000000"/>
                <w:szCs w:val="21"/>
              </w:rPr>
            </w:pPr>
            <w:r>
              <w:rPr>
                <w:rFonts w:hint="eastAsia" w:ascii="宋体" w:hAnsi="宋体" w:cs="宋体"/>
                <w:b/>
                <w:bCs/>
                <w:color w:val="000000"/>
                <w:szCs w:val="21"/>
              </w:rPr>
              <w:t>参考单价</w:t>
            </w:r>
          </w:p>
          <w:p w14:paraId="1CF6C732">
            <w:pPr>
              <w:pStyle w:val="13"/>
              <w:spacing w:line="400" w:lineRule="exact"/>
              <w:jc w:val="center"/>
              <w:rPr>
                <w:rFonts w:hint="eastAsia" w:ascii="宋体" w:hAnsi="宋体" w:cs="宋体"/>
                <w:b/>
                <w:bCs/>
                <w:color w:val="000000"/>
                <w:kern w:val="0"/>
                <w:sz w:val="21"/>
                <w:szCs w:val="21"/>
                <w:lang w:val="en-US" w:eastAsia="zh-CN" w:bidi="ar-SA"/>
              </w:rPr>
            </w:pPr>
            <w:r>
              <w:rPr>
                <w:rFonts w:hint="eastAsia" w:ascii="宋体" w:hAnsi="宋体" w:cs="宋体"/>
                <w:b/>
                <w:bCs/>
                <w:color w:val="000000"/>
                <w:sz w:val="21"/>
                <w:szCs w:val="21"/>
              </w:rPr>
              <w:t>（元）</w:t>
            </w:r>
          </w:p>
        </w:tc>
        <w:tc>
          <w:tcPr>
            <w:tcW w:w="1170" w:type="dxa"/>
            <w:tcBorders>
              <w:tl2br w:val="nil"/>
              <w:tr2bl w:val="nil"/>
            </w:tcBorders>
            <w:shd w:val="clear" w:color="000000" w:fill="FFFFFF"/>
            <w:noWrap w:val="0"/>
            <w:vAlign w:val="top"/>
          </w:tcPr>
          <w:p w14:paraId="2B272A60">
            <w:pPr>
              <w:widowControl/>
              <w:spacing w:line="400" w:lineRule="exact"/>
              <w:jc w:val="center"/>
              <w:rPr>
                <w:rFonts w:ascii="宋体" w:hAnsi="宋体" w:cs="宋体"/>
                <w:b/>
                <w:bCs/>
                <w:color w:val="000000"/>
                <w:szCs w:val="21"/>
              </w:rPr>
            </w:pPr>
            <w:r>
              <w:rPr>
                <w:rFonts w:hint="eastAsia" w:ascii="宋体" w:hAnsi="宋体" w:cs="宋体"/>
                <w:b/>
                <w:bCs/>
                <w:color w:val="000000"/>
                <w:szCs w:val="21"/>
              </w:rPr>
              <w:t>总价</w:t>
            </w:r>
          </w:p>
          <w:p w14:paraId="1DD4F2C6">
            <w:pPr>
              <w:widowControl/>
              <w:spacing w:line="400" w:lineRule="exact"/>
              <w:jc w:val="center"/>
              <w:rPr>
                <w:rFonts w:hint="eastAsia" w:ascii="宋体" w:hAnsi="宋体" w:cs="宋体"/>
                <w:b/>
                <w:bCs/>
                <w:color w:val="000000"/>
                <w:kern w:val="2"/>
                <w:sz w:val="21"/>
                <w:szCs w:val="21"/>
                <w:lang w:val="en-US" w:eastAsia="zh-CN" w:bidi="ar-SA"/>
              </w:rPr>
            </w:pPr>
            <w:r>
              <w:rPr>
                <w:rFonts w:hint="eastAsia" w:ascii="宋体" w:hAnsi="宋体" w:cs="宋体"/>
                <w:b/>
                <w:bCs/>
                <w:color w:val="000000"/>
                <w:szCs w:val="21"/>
              </w:rPr>
              <w:t>（元）</w:t>
            </w:r>
          </w:p>
        </w:tc>
      </w:tr>
      <w:tr w14:paraId="7656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576" w:type="dxa"/>
            <w:tcBorders>
              <w:tl2br w:val="nil"/>
              <w:tr2bl w:val="nil"/>
            </w:tcBorders>
            <w:shd w:val="clear" w:color="000000" w:fill="FFFFFF"/>
            <w:noWrap w:val="0"/>
            <w:vAlign w:val="center"/>
          </w:tcPr>
          <w:p w14:paraId="419C5117">
            <w:pPr>
              <w:widowControl/>
              <w:spacing w:line="400" w:lineRule="exact"/>
              <w:jc w:val="center"/>
              <w:rPr>
                <w:rFonts w:ascii="宋体" w:hAnsi="宋体" w:cs="宋体"/>
                <w:color w:val="000000"/>
                <w:szCs w:val="21"/>
              </w:rPr>
            </w:pPr>
            <w:r>
              <w:rPr>
                <w:rFonts w:hint="eastAsia" w:ascii="宋体" w:hAnsi="宋体" w:cs="宋体"/>
                <w:color w:val="000000"/>
                <w:szCs w:val="21"/>
              </w:rPr>
              <w:t>1</w:t>
            </w:r>
          </w:p>
        </w:tc>
        <w:tc>
          <w:tcPr>
            <w:tcW w:w="690" w:type="dxa"/>
            <w:tcBorders>
              <w:tl2br w:val="nil"/>
              <w:tr2bl w:val="nil"/>
            </w:tcBorders>
            <w:shd w:val="clear" w:color="000000" w:fill="FFFFFF"/>
            <w:noWrap w:val="0"/>
            <w:vAlign w:val="center"/>
          </w:tcPr>
          <w:p w14:paraId="5EE8E25A">
            <w:pPr>
              <w:spacing w:line="280" w:lineRule="auto"/>
              <w:rPr>
                <w:rFonts w:hint="eastAsia" w:ascii="宋体" w:hAnsi="宋体" w:eastAsia="宋体" w:cs="宋体"/>
                <w:b w:val="0"/>
                <w:bCs w:val="0"/>
                <w:sz w:val="21"/>
                <w:szCs w:val="21"/>
              </w:rPr>
            </w:pPr>
          </w:p>
          <w:p w14:paraId="574085E0">
            <w:pPr>
              <w:spacing w:line="281" w:lineRule="auto"/>
              <w:rPr>
                <w:rFonts w:hint="eastAsia" w:ascii="宋体" w:hAnsi="宋体" w:eastAsia="宋体" w:cs="宋体"/>
                <w:b w:val="0"/>
                <w:bCs w:val="0"/>
                <w:sz w:val="21"/>
                <w:szCs w:val="21"/>
              </w:rPr>
            </w:pPr>
          </w:p>
          <w:p w14:paraId="0D051B2E">
            <w:pPr>
              <w:spacing w:line="281" w:lineRule="auto"/>
              <w:rPr>
                <w:rFonts w:hint="eastAsia" w:ascii="宋体" w:hAnsi="宋体" w:eastAsia="宋体" w:cs="宋体"/>
                <w:b w:val="0"/>
                <w:bCs w:val="0"/>
                <w:sz w:val="21"/>
                <w:szCs w:val="21"/>
              </w:rPr>
            </w:pPr>
          </w:p>
          <w:p w14:paraId="1CC5AF58">
            <w:pPr>
              <w:spacing w:line="281" w:lineRule="auto"/>
              <w:rPr>
                <w:rFonts w:hint="eastAsia" w:ascii="宋体" w:hAnsi="宋体" w:eastAsia="宋体" w:cs="宋体"/>
                <w:b w:val="0"/>
                <w:bCs w:val="0"/>
                <w:sz w:val="21"/>
                <w:szCs w:val="21"/>
              </w:rPr>
            </w:pPr>
          </w:p>
          <w:p w14:paraId="241CCBEE">
            <w:pPr>
              <w:pStyle w:val="35"/>
              <w:spacing w:before="55" w:line="223" w:lineRule="auto"/>
              <w:ind w:left="210" w:hanging="210" w:hangingChars="100"/>
              <w:jc w:val="both"/>
              <w:rPr>
                <w:rFonts w:hint="eastAsia" w:ascii="宋体" w:hAnsi="宋体" w:eastAsia="宋体" w:cs="宋体"/>
                <w:b w:val="0"/>
                <w:bCs w:val="0"/>
                <w:kern w:val="2"/>
                <w:sz w:val="21"/>
                <w:szCs w:val="21"/>
                <w:lang w:val="en-US" w:eastAsia="en-US" w:bidi="ar-SA"/>
              </w:rPr>
            </w:pPr>
          </w:p>
          <w:p w14:paraId="4E9189E1">
            <w:pPr>
              <w:spacing w:line="311" w:lineRule="auto"/>
              <w:rPr>
                <w:rFonts w:hint="eastAsia" w:ascii="宋体" w:hAnsi="宋体" w:eastAsia="宋体" w:cs="宋体"/>
                <w:b w:val="0"/>
                <w:bCs w:val="0"/>
                <w:sz w:val="21"/>
                <w:szCs w:val="21"/>
              </w:rPr>
            </w:pPr>
          </w:p>
          <w:p w14:paraId="73F3CC05">
            <w:pPr>
              <w:spacing w:line="312" w:lineRule="auto"/>
              <w:rPr>
                <w:rFonts w:hint="eastAsia" w:ascii="宋体" w:hAnsi="宋体" w:eastAsia="宋体" w:cs="宋体"/>
                <w:b w:val="0"/>
                <w:bCs w:val="0"/>
                <w:sz w:val="21"/>
                <w:szCs w:val="21"/>
              </w:rPr>
            </w:pPr>
          </w:p>
          <w:p w14:paraId="3E690C03">
            <w:pPr>
              <w:spacing w:line="312" w:lineRule="auto"/>
              <w:rPr>
                <w:rFonts w:hint="eastAsia" w:ascii="宋体" w:hAnsi="宋体" w:eastAsia="宋体" w:cs="宋体"/>
                <w:b w:val="0"/>
                <w:bCs w:val="0"/>
                <w:sz w:val="21"/>
                <w:szCs w:val="21"/>
              </w:rPr>
            </w:pPr>
          </w:p>
          <w:p w14:paraId="378E54FC">
            <w:pPr>
              <w:pStyle w:val="35"/>
              <w:spacing w:before="56" w:line="222" w:lineRule="auto"/>
              <w:jc w:val="center"/>
              <w:rPr>
                <w:rFonts w:hint="eastAsia" w:ascii="宋体" w:hAnsi="宋体" w:eastAsia="宋体" w:cs="宋体"/>
                <w:b w:val="0"/>
                <w:bCs w:val="0"/>
                <w:kern w:val="2"/>
                <w:sz w:val="21"/>
                <w:szCs w:val="21"/>
                <w:lang w:val="en-US" w:eastAsia="en-US" w:bidi="ar-SA"/>
              </w:rPr>
            </w:pPr>
          </w:p>
          <w:p w14:paraId="62F56F2B">
            <w:pPr>
              <w:spacing w:line="348" w:lineRule="auto"/>
              <w:rPr>
                <w:rFonts w:hint="eastAsia" w:ascii="宋体" w:hAnsi="宋体" w:eastAsia="宋体" w:cs="宋体"/>
                <w:b w:val="0"/>
                <w:bCs w:val="0"/>
                <w:sz w:val="21"/>
                <w:szCs w:val="21"/>
              </w:rPr>
            </w:pPr>
          </w:p>
          <w:p w14:paraId="27FEF8C7">
            <w:pPr>
              <w:pStyle w:val="35"/>
              <w:spacing w:before="56" w:line="224" w:lineRule="auto"/>
              <w:jc w:val="center"/>
              <w:rPr>
                <w:rFonts w:hint="eastAsia" w:ascii="宋体" w:hAnsi="宋体" w:eastAsia="宋体" w:cs="宋体"/>
                <w:b w:val="0"/>
                <w:bCs w:val="0"/>
                <w:kern w:val="2"/>
                <w:sz w:val="21"/>
                <w:szCs w:val="21"/>
                <w:lang w:val="en-US" w:eastAsia="en-US" w:bidi="ar-SA"/>
              </w:rPr>
            </w:pPr>
          </w:p>
          <w:p w14:paraId="28016552">
            <w:pPr>
              <w:spacing w:line="257" w:lineRule="auto"/>
              <w:rPr>
                <w:rFonts w:hint="eastAsia" w:ascii="宋体" w:hAnsi="宋体" w:eastAsia="宋体" w:cs="宋体"/>
                <w:b w:val="0"/>
                <w:bCs w:val="0"/>
                <w:sz w:val="21"/>
                <w:szCs w:val="21"/>
              </w:rPr>
            </w:pPr>
          </w:p>
          <w:p w14:paraId="55954F2D">
            <w:pPr>
              <w:spacing w:line="258" w:lineRule="auto"/>
              <w:rPr>
                <w:rFonts w:hint="eastAsia" w:ascii="宋体" w:hAnsi="宋体" w:eastAsia="宋体" w:cs="宋体"/>
                <w:b w:val="0"/>
                <w:bCs w:val="0"/>
                <w:sz w:val="21"/>
                <w:szCs w:val="21"/>
              </w:rPr>
            </w:pPr>
            <w:r>
              <w:rPr>
                <w:rFonts w:hint="eastAsia" w:ascii="宋体" w:hAnsi="宋体"/>
                <w:color w:val="auto"/>
                <w:szCs w:val="21"/>
                <w:highlight w:val="none"/>
                <w:lang w:eastAsia="zh-CN"/>
              </w:rPr>
              <w:t>桂林市象山区教育局城域网服务采购</w:t>
            </w:r>
          </w:p>
          <w:p w14:paraId="17760C34">
            <w:pPr>
              <w:pStyle w:val="35"/>
              <w:spacing w:before="55" w:line="222" w:lineRule="auto"/>
              <w:jc w:val="center"/>
              <w:rPr>
                <w:rFonts w:hint="eastAsia" w:ascii="宋体" w:hAnsi="宋体" w:eastAsia="宋体" w:cs="宋体"/>
                <w:b w:val="0"/>
                <w:bCs w:val="0"/>
                <w:kern w:val="2"/>
                <w:sz w:val="21"/>
                <w:szCs w:val="21"/>
                <w:lang w:val="en-US" w:eastAsia="en-US" w:bidi="ar-SA"/>
              </w:rPr>
            </w:pPr>
          </w:p>
          <w:p w14:paraId="18D49C9B">
            <w:pPr>
              <w:spacing w:line="259" w:lineRule="auto"/>
              <w:rPr>
                <w:rFonts w:hint="eastAsia" w:ascii="宋体" w:hAnsi="宋体" w:eastAsia="宋体" w:cs="宋体"/>
                <w:b w:val="0"/>
                <w:bCs w:val="0"/>
                <w:sz w:val="21"/>
                <w:szCs w:val="21"/>
              </w:rPr>
            </w:pPr>
          </w:p>
          <w:p w14:paraId="7288BDFF">
            <w:pPr>
              <w:spacing w:line="260" w:lineRule="auto"/>
              <w:rPr>
                <w:rFonts w:hint="eastAsia" w:ascii="宋体" w:hAnsi="宋体" w:eastAsia="宋体" w:cs="宋体"/>
                <w:b w:val="0"/>
                <w:bCs w:val="0"/>
                <w:sz w:val="21"/>
                <w:szCs w:val="21"/>
              </w:rPr>
            </w:pPr>
          </w:p>
          <w:p w14:paraId="39E91D9C">
            <w:pPr>
              <w:spacing w:line="260" w:lineRule="auto"/>
              <w:rPr>
                <w:rFonts w:hint="eastAsia" w:ascii="宋体" w:hAnsi="宋体" w:eastAsia="宋体" w:cs="宋体"/>
                <w:b w:val="0"/>
                <w:bCs w:val="0"/>
                <w:sz w:val="21"/>
                <w:szCs w:val="21"/>
              </w:rPr>
            </w:pPr>
          </w:p>
          <w:p w14:paraId="4B71D492">
            <w:pPr>
              <w:spacing w:line="260" w:lineRule="auto"/>
              <w:rPr>
                <w:rFonts w:hint="eastAsia" w:ascii="宋体" w:hAnsi="宋体" w:eastAsia="宋体" w:cs="宋体"/>
                <w:b w:val="0"/>
                <w:bCs w:val="0"/>
                <w:sz w:val="21"/>
                <w:szCs w:val="21"/>
              </w:rPr>
            </w:pPr>
          </w:p>
          <w:p w14:paraId="045C08ED">
            <w:pPr>
              <w:pStyle w:val="35"/>
              <w:spacing w:before="55" w:line="222" w:lineRule="auto"/>
              <w:ind w:left="210" w:hanging="200" w:hangingChars="100"/>
              <w:jc w:val="center"/>
              <w:rPr>
                <w:rFonts w:hint="eastAsia" w:ascii="宋体" w:hAnsi="宋体" w:eastAsia="宋体" w:cs="宋体"/>
                <w:b w:val="0"/>
                <w:bCs w:val="0"/>
                <w:kern w:val="2"/>
                <w:sz w:val="20"/>
                <w:szCs w:val="20"/>
                <w:lang w:val="en-US" w:eastAsia="en-US" w:bidi="ar-SA"/>
              </w:rPr>
            </w:pPr>
          </w:p>
          <w:p w14:paraId="577BC01F">
            <w:pPr>
              <w:spacing w:line="243" w:lineRule="auto"/>
              <w:rPr>
                <w:rFonts w:hint="eastAsia" w:ascii="宋体" w:hAnsi="宋体" w:eastAsia="宋体" w:cs="宋体"/>
                <w:b w:val="0"/>
                <w:bCs w:val="0"/>
                <w:sz w:val="21"/>
                <w:szCs w:val="21"/>
              </w:rPr>
            </w:pPr>
          </w:p>
          <w:p w14:paraId="5E884034">
            <w:pPr>
              <w:spacing w:line="243" w:lineRule="auto"/>
              <w:rPr>
                <w:rFonts w:hint="eastAsia" w:ascii="宋体" w:hAnsi="宋体" w:eastAsia="宋体" w:cs="宋体"/>
                <w:b w:val="0"/>
                <w:bCs w:val="0"/>
                <w:sz w:val="21"/>
                <w:szCs w:val="21"/>
              </w:rPr>
            </w:pPr>
          </w:p>
          <w:p w14:paraId="67299D0F">
            <w:pPr>
              <w:spacing w:line="243" w:lineRule="auto"/>
              <w:rPr>
                <w:rFonts w:hint="eastAsia" w:ascii="宋体" w:hAnsi="宋体" w:eastAsia="宋体" w:cs="宋体"/>
                <w:b w:val="0"/>
                <w:bCs w:val="0"/>
                <w:sz w:val="21"/>
                <w:szCs w:val="21"/>
              </w:rPr>
            </w:pPr>
          </w:p>
          <w:p w14:paraId="688453CB">
            <w:pPr>
              <w:spacing w:line="243" w:lineRule="auto"/>
              <w:rPr>
                <w:rFonts w:hint="eastAsia" w:ascii="宋体" w:hAnsi="宋体" w:eastAsia="宋体" w:cs="宋体"/>
                <w:b w:val="0"/>
                <w:bCs w:val="0"/>
                <w:sz w:val="21"/>
                <w:szCs w:val="21"/>
              </w:rPr>
            </w:pPr>
          </w:p>
          <w:p w14:paraId="6E2B80AC">
            <w:pPr>
              <w:spacing w:line="243" w:lineRule="auto"/>
              <w:rPr>
                <w:rFonts w:hint="eastAsia" w:ascii="宋体" w:hAnsi="宋体" w:eastAsia="宋体" w:cs="宋体"/>
                <w:b w:val="0"/>
                <w:bCs w:val="0"/>
                <w:sz w:val="21"/>
                <w:szCs w:val="21"/>
              </w:rPr>
            </w:pPr>
          </w:p>
          <w:p w14:paraId="1DC365CE">
            <w:pPr>
              <w:spacing w:line="243" w:lineRule="auto"/>
              <w:rPr>
                <w:rFonts w:hint="eastAsia" w:ascii="宋体" w:hAnsi="宋体" w:eastAsia="宋体" w:cs="宋体"/>
                <w:b w:val="0"/>
                <w:bCs w:val="0"/>
                <w:sz w:val="21"/>
                <w:szCs w:val="21"/>
              </w:rPr>
            </w:pPr>
          </w:p>
          <w:p w14:paraId="0C7FF618">
            <w:pPr>
              <w:pStyle w:val="35"/>
              <w:spacing w:before="55" w:line="222" w:lineRule="auto"/>
              <w:jc w:val="center"/>
              <w:rPr>
                <w:rFonts w:hint="eastAsia" w:ascii="宋体" w:hAnsi="宋体" w:eastAsia="宋体" w:cs="宋体"/>
                <w:b w:val="0"/>
                <w:bCs w:val="0"/>
                <w:kern w:val="2"/>
                <w:sz w:val="21"/>
                <w:szCs w:val="21"/>
                <w:lang w:val="en-US" w:eastAsia="en-US" w:bidi="ar-SA"/>
              </w:rPr>
            </w:pPr>
          </w:p>
          <w:p w14:paraId="30C4AAE0">
            <w:pPr>
              <w:spacing w:line="241" w:lineRule="auto"/>
              <w:rPr>
                <w:rFonts w:hint="eastAsia" w:ascii="宋体" w:hAnsi="宋体" w:eastAsia="宋体" w:cs="宋体"/>
                <w:b w:val="0"/>
                <w:bCs w:val="0"/>
                <w:sz w:val="21"/>
                <w:szCs w:val="21"/>
              </w:rPr>
            </w:pPr>
          </w:p>
          <w:p w14:paraId="7A5363DA">
            <w:pPr>
              <w:spacing w:line="242" w:lineRule="auto"/>
              <w:rPr>
                <w:rFonts w:hint="eastAsia" w:ascii="宋体" w:hAnsi="宋体" w:eastAsia="宋体" w:cs="宋体"/>
                <w:b w:val="0"/>
                <w:bCs w:val="0"/>
                <w:sz w:val="21"/>
                <w:szCs w:val="21"/>
              </w:rPr>
            </w:pPr>
          </w:p>
          <w:p w14:paraId="41EF63D7">
            <w:pPr>
              <w:pStyle w:val="35"/>
              <w:spacing w:before="55" w:line="222" w:lineRule="auto"/>
              <w:jc w:val="center"/>
              <w:rPr>
                <w:rFonts w:hint="eastAsia" w:ascii="宋体" w:hAnsi="宋体" w:eastAsia="宋体" w:cs="宋体"/>
                <w:b w:val="0"/>
                <w:bCs w:val="0"/>
                <w:kern w:val="2"/>
                <w:sz w:val="21"/>
                <w:szCs w:val="21"/>
                <w:lang w:val="en-US" w:eastAsia="en-US" w:bidi="ar-SA"/>
              </w:rPr>
            </w:pPr>
          </w:p>
          <w:p w14:paraId="24A6E1CB">
            <w:pPr>
              <w:spacing w:line="300" w:lineRule="auto"/>
              <w:rPr>
                <w:rFonts w:hint="eastAsia" w:ascii="宋体" w:hAnsi="宋体" w:eastAsia="宋体" w:cs="宋体"/>
                <w:b w:val="0"/>
                <w:bCs w:val="0"/>
                <w:sz w:val="21"/>
                <w:szCs w:val="21"/>
              </w:rPr>
            </w:pPr>
          </w:p>
          <w:p w14:paraId="245BDE27">
            <w:pPr>
              <w:spacing w:line="300" w:lineRule="auto"/>
              <w:rPr>
                <w:rFonts w:hint="eastAsia" w:ascii="宋体" w:hAnsi="宋体" w:eastAsia="宋体" w:cs="宋体"/>
                <w:b w:val="0"/>
                <w:bCs w:val="0"/>
                <w:sz w:val="21"/>
                <w:szCs w:val="21"/>
              </w:rPr>
            </w:pPr>
          </w:p>
          <w:p w14:paraId="5126A83E">
            <w:pPr>
              <w:pStyle w:val="35"/>
              <w:spacing w:before="56" w:line="222" w:lineRule="auto"/>
              <w:ind w:left="210" w:hanging="210" w:hangingChars="100"/>
              <w:rPr>
                <w:rFonts w:hint="eastAsia" w:ascii="宋体" w:hAnsi="宋体" w:eastAsia="宋体" w:cs="宋体"/>
                <w:b w:val="0"/>
                <w:bCs w:val="0"/>
                <w:kern w:val="2"/>
                <w:sz w:val="21"/>
                <w:szCs w:val="21"/>
                <w:lang w:val="en-US" w:eastAsia="en-US" w:bidi="ar-SA"/>
              </w:rPr>
            </w:pPr>
          </w:p>
          <w:p w14:paraId="51F9C329">
            <w:pPr>
              <w:spacing w:line="290" w:lineRule="auto"/>
              <w:rPr>
                <w:rFonts w:hint="eastAsia" w:ascii="宋体" w:hAnsi="宋体" w:eastAsia="宋体" w:cs="宋体"/>
                <w:b w:val="0"/>
                <w:bCs w:val="0"/>
                <w:sz w:val="21"/>
                <w:szCs w:val="21"/>
              </w:rPr>
            </w:pPr>
          </w:p>
          <w:p w14:paraId="7943BEF0">
            <w:pPr>
              <w:spacing w:line="290" w:lineRule="auto"/>
              <w:rPr>
                <w:rFonts w:hint="eastAsia" w:ascii="宋体" w:hAnsi="宋体" w:eastAsia="宋体" w:cs="宋体"/>
                <w:b w:val="0"/>
                <w:bCs w:val="0"/>
                <w:sz w:val="21"/>
                <w:szCs w:val="21"/>
              </w:rPr>
            </w:pPr>
          </w:p>
          <w:p w14:paraId="70AB2B45">
            <w:pPr>
              <w:spacing w:line="291" w:lineRule="auto"/>
              <w:rPr>
                <w:rFonts w:hint="eastAsia" w:ascii="宋体" w:hAnsi="宋体" w:eastAsia="宋体" w:cs="宋体"/>
                <w:b w:val="0"/>
                <w:bCs w:val="0"/>
                <w:sz w:val="21"/>
                <w:szCs w:val="21"/>
              </w:rPr>
            </w:pPr>
          </w:p>
          <w:p w14:paraId="6CD0443F">
            <w:pPr>
              <w:pStyle w:val="35"/>
              <w:spacing w:before="55" w:line="222" w:lineRule="auto"/>
              <w:ind w:left="70" w:leftChars="0"/>
              <w:jc w:val="center"/>
              <w:rPr>
                <w:rFonts w:hint="eastAsia" w:ascii="宋体" w:hAnsi="宋体" w:eastAsia="宋体" w:cs="宋体"/>
                <w:b w:val="0"/>
                <w:bCs w:val="0"/>
                <w:kern w:val="2"/>
                <w:sz w:val="21"/>
                <w:szCs w:val="21"/>
                <w:lang w:val="en-US" w:eastAsia="en-US" w:bidi="ar-SA"/>
              </w:rPr>
            </w:pPr>
          </w:p>
        </w:tc>
        <w:tc>
          <w:tcPr>
            <w:tcW w:w="5790" w:type="dxa"/>
            <w:tcBorders>
              <w:tl2br w:val="nil"/>
              <w:tr2bl w:val="nil"/>
            </w:tcBorders>
            <w:noWrap w:val="0"/>
            <w:vAlign w:val="top"/>
          </w:tcPr>
          <w:p w14:paraId="011393E2">
            <w:pPr>
              <w:spacing w:line="360" w:lineRule="atLeast"/>
              <w:rPr>
                <w:rFonts w:hint="eastAsia" w:ascii="宋体" w:hAnsi="宋体"/>
                <w:b/>
                <w:bCs/>
                <w:szCs w:val="21"/>
              </w:rPr>
            </w:pPr>
            <w:r>
              <w:rPr>
                <w:rFonts w:hint="eastAsia" w:ascii="宋体" w:hAnsi="宋体"/>
                <w:b/>
                <w:bCs/>
                <w:szCs w:val="21"/>
              </w:rPr>
              <w:t>1</w:t>
            </w:r>
            <w:r>
              <w:rPr>
                <w:rFonts w:ascii="宋体" w:hAnsi="宋体"/>
                <w:b/>
                <w:bCs/>
                <w:szCs w:val="21"/>
              </w:rPr>
              <w:t>.</w:t>
            </w:r>
            <w:r>
              <w:rPr>
                <w:rFonts w:hint="eastAsia" w:ascii="宋体" w:hAnsi="宋体"/>
                <w:b/>
                <w:bCs/>
                <w:szCs w:val="21"/>
              </w:rPr>
              <w:t>汇聚路由服务</w:t>
            </w:r>
          </w:p>
          <w:p w14:paraId="5B3E0BDF">
            <w:pPr>
              <w:spacing w:line="360" w:lineRule="atLeast"/>
              <w:rPr>
                <w:rFonts w:ascii="宋体" w:hAnsi="宋体"/>
                <w:szCs w:val="21"/>
              </w:rPr>
            </w:pPr>
            <w:r>
              <w:rPr>
                <w:rFonts w:hint="eastAsia" w:ascii="宋体" w:hAnsi="宋体"/>
                <w:szCs w:val="21"/>
              </w:rPr>
              <w:t>提供汇聚路由服务，设备服务能力要求：</w:t>
            </w:r>
          </w:p>
          <w:p w14:paraId="086883F4">
            <w:pPr>
              <w:spacing w:line="360" w:lineRule="atLeast"/>
              <w:rPr>
                <w:rFonts w:hint="eastAsia" w:ascii="宋体" w:hAnsi="宋体"/>
                <w:szCs w:val="21"/>
              </w:rPr>
            </w:pPr>
            <w:r>
              <w:rPr>
                <w:rFonts w:hint="eastAsia" w:ascii="宋体" w:hAnsi="宋体"/>
                <w:szCs w:val="21"/>
              </w:rPr>
              <w:t>（1）配置双主控且满配，电源冗余设计且满配，要求所有业务板卡及电源、风扇均可热插拔。</w:t>
            </w:r>
          </w:p>
          <w:p w14:paraId="2323DDE6">
            <w:pPr>
              <w:spacing w:line="360" w:lineRule="atLeast"/>
              <w:rPr>
                <w:rFonts w:hint="eastAsia" w:ascii="宋体" w:hAnsi="宋体"/>
                <w:szCs w:val="21"/>
              </w:rPr>
            </w:pPr>
            <w:r>
              <w:rPr>
                <w:rFonts w:hint="eastAsia" w:ascii="宋体" w:hAnsi="宋体"/>
                <w:szCs w:val="21"/>
              </w:rPr>
              <w:t>（2）整机业务载板插槽≥6个；配置万兆光口≥2个，千兆光口≥10个，并满配相应光模块；所配光口和光模块与组网连接线路和网络管理运维要求匹配。</w:t>
            </w:r>
          </w:p>
          <w:p w14:paraId="76249F0E">
            <w:pPr>
              <w:spacing w:line="360" w:lineRule="atLeast"/>
              <w:rPr>
                <w:rFonts w:hint="eastAsia" w:ascii="宋体" w:hAnsi="宋体"/>
                <w:szCs w:val="21"/>
              </w:rPr>
            </w:pPr>
            <w:r>
              <w:rPr>
                <w:rFonts w:hint="eastAsia" w:ascii="宋体" w:hAnsi="宋体"/>
                <w:szCs w:val="21"/>
              </w:rPr>
              <w:t>（3）支持广域网智能调优。</w:t>
            </w:r>
          </w:p>
          <w:p w14:paraId="687DC3D8">
            <w:pPr>
              <w:spacing w:line="360" w:lineRule="atLeast"/>
              <w:rPr>
                <w:rFonts w:hint="eastAsia" w:ascii="宋体" w:hAnsi="宋体"/>
                <w:szCs w:val="21"/>
              </w:rPr>
            </w:pPr>
            <w:r>
              <w:rPr>
                <w:rFonts w:hint="eastAsia" w:ascii="宋体" w:hAnsi="宋体"/>
                <w:szCs w:val="21"/>
              </w:rPr>
              <w:t>（4）支持SRv6，支持SRv6承载VPN业务。</w:t>
            </w:r>
          </w:p>
          <w:p w14:paraId="66F7B605">
            <w:pPr>
              <w:spacing w:line="360" w:lineRule="atLeast"/>
              <w:rPr>
                <w:rFonts w:hint="eastAsia"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核心交换服务</w:t>
            </w:r>
            <w:r>
              <w:rPr>
                <w:rFonts w:hint="eastAsia" w:ascii="宋体" w:hAnsi="宋体"/>
                <w:b/>
                <w:bCs/>
                <w:szCs w:val="21"/>
                <w:lang w:eastAsia="zh-CN"/>
              </w:rPr>
              <w:t>（</w:t>
            </w:r>
            <w:r>
              <w:rPr>
                <w:rFonts w:hint="eastAsia" w:ascii="宋体" w:hAnsi="宋体"/>
                <w:b/>
                <w:bCs/>
                <w:szCs w:val="21"/>
              </w:rPr>
              <w:t>2项</w:t>
            </w:r>
            <w:r>
              <w:rPr>
                <w:rFonts w:hint="eastAsia" w:ascii="宋体" w:hAnsi="宋体"/>
                <w:b/>
                <w:bCs/>
                <w:szCs w:val="21"/>
                <w:lang w:eastAsia="zh-CN"/>
              </w:rPr>
              <w:t>）</w:t>
            </w:r>
          </w:p>
          <w:p w14:paraId="0EDEF204">
            <w:pPr>
              <w:spacing w:line="360" w:lineRule="atLeast"/>
              <w:rPr>
                <w:rFonts w:hint="eastAsia" w:ascii="宋体" w:hAnsi="宋体"/>
                <w:szCs w:val="21"/>
              </w:rPr>
            </w:pPr>
            <w:r>
              <w:rPr>
                <w:rFonts w:hint="eastAsia" w:ascii="宋体" w:hAnsi="宋体"/>
                <w:szCs w:val="21"/>
              </w:rPr>
              <w:t>提供核心交换服务，设备服务能力要求：</w:t>
            </w:r>
          </w:p>
          <w:p w14:paraId="71C73D11">
            <w:pPr>
              <w:spacing w:line="360" w:lineRule="atLeast"/>
              <w:rPr>
                <w:rFonts w:hint="eastAsia" w:ascii="宋体" w:hAnsi="宋体"/>
                <w:szCs w:val="21"/>
              </w:rPr>
            </w:pPr>
            <w:r>
              <w:rPr>
                <w:rFonts w:hint="eastAsia" w:ascii="宋体" w:hAnsi="宋体"/>
                <w:szCs w:val="21"/>
              </w:rPr>
              <w:t>（1）电源风扇等关键部件冗余设计且满配。</w:t>
            </w:r>
          </w:p>
          <w:p w14:paraId="47D2AC9B">
            <w:pPr>
              <w:spacing w:line="360" w:lineRule="atLeast"/>
              <w:rPr>
                <w:rFonts w:hint="eastAsia" w:ascii="宋体" w:hAnsi="宋体"/>
                <w:szCs w:val="21"/>
              </w:rPr>
            </w:pPr>
            <w:r>
              <w:rPr>
                <w:rFonts w:hint="eastAsia" w:ascii="宋体" w:hAnsi="宋体"/>
                <w:szCs w:val="21"/>
              </w:rPr>
              <w:t>（2）支持千兆光口≥48个，万兆光口≥6个，并满配相应光模块；所配光口和光模块与组网连接线路和网络管理运维要求匹配。</w:t>
            </w:r>
          </w:p>
          <w:p w14:paraId="2FC68F39">
            <w:pPr>
              <w:spacing w:line="360" w:lineRule="atLeast"/>
              <w:rPr>
                <w:rFonts w:hint="eastAsia" w:ascii="宋体" w:hAnsi="宋体"/>
                <w:szCs w:val="21"/>
              </w:rPr>
            </w:pPr>
            <w:r>
              <w:rPr>
                <w:rFonts w:hint="eastAsia" w:ascii="宋体" w:hAnsi="宋体"/>
                <w:szCs w:val="21"/>
              </w:rPr>
              <w:t>（3）支持IPv6协议。</w:t>
            </w:r>
          </w:p>
          <w:p w14:paraId="4801B780">
            <w:pPr>
              <w:spacing w:line="360" w:lineRule="atLeast"/>
              <w:rPr>
                <w:rFonts w:hint="eastAsia"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教育网出口安全防护服务</w:t>
            </w:r>
          </w:p>
          <w:p w14:paraId="3150A4CD">
            <w:pPr>
              <w:spacing w:line="360" w:lineRule="atLeast"/>
              <w:rPr>
                <w:rFonts w:hint="eastAsia" w:ascii="宋体" w:hAnsi="宋体"/>
                <w:szCs w:val="21"/>
              </w:rPr>
            </w:pPr>
            <w:r>
              <w:rPr>
                <w:rFonts w:hint="eastAsia" w:ascii="宋体" w:hAnsi="宋体"/>
                <w:szCs w:val="21"/>
              </w:rPr>
              <w:t>提供出口安全防护服务，防火墙设备服务能力要求：</w:t>
            </w:r>
          </w:p>
          <w:p w14:paraId="407AD912">
            <w:pPr>
              <w:spacing w:line="360" w:lineRule="atLeast"/>
              <w:rPr>
                <w:rFonts w:hint="eastAsia" w:ascii="宋体" w:hAnsi="宋体"/>
                <w:szCs w:val="21"/>
              </w:rPr>
            </w:pPr>
            <w:r>
              <w:rPr>
                <w:rFonts w:hint="eastAsia" w:ascii="宋体" w:hAnsi="宋体"/>
                <w:szCs w:val="21"/>
              </w:rPr>
              <w:t>（1）电源冗余设计且满配。所配光口和光模块必须与组网连接线路和网络管理运维要求匹配。</w:t>
            </w:r>
          </w:p>
          <w:p w14:paraId="7F347AB5">
            <w:pPr>
              <w:spacing w:line="360" w:lineRule="atLeast"/>
              <w:rPr>
                <w:rFonts w:hint="eastAsia" w:ascii="宋体" w:hAnsi="宋体"/>
                <w:szCs w:val="21"/>
              </w:rPr>
            </w:pPr>
            <w:r>
              <w:rPr>
                <w:rFonts w:hint="eastAsia" w:ascii="宋体" w:hAnsi="宋体"/>
                <w:szCs w:val="21"/>
              </w:rPr>
              <w:t>（2）网络层吞吐量≥20Gbps，应用层吞吐量≥8G，最大并发会话数≥200万，每秒新建会话数≥1</w:t>
            </w:r>
            <w:r>
              <w:rPr>
                <w:rFonts w:ascii="宋体" w:hAnsi="宋体"/>
                <w:szCs w:val="21"/>
              </w:rPr>
              <w:t>2</w:t>
            </w:r>
            <w:r>
              <w:rPr>
                <w:rFonts w:hint="eastAsia" w:ascii="宋体" w:hAnsi="宋体"/>
                <w:szCs w:val="21"/>
              </w:rPr>
              <w:t>万。</w:t>
            </w:r>
          </w:p>
          <w:p w14:paraId="6897C019">
            <w:pPr>
              <w:spacing w:line="360" w:lineRule="atLeast"/>
              <w:rPr>
                <w:rFonts w:hint="eastAsia" w:ascii="宋体" w:hAnsi="宋体"/>
                <w:szCs w:val="21"/>
              </w:rPr>
            </w:pPr>
            <w:r>
              <w:rPr>
                <w:rFonts w:hint="eastAsia" w:ascii="宋体" w:hAnsi="宋体"/>
                <w:szCs w:val="21"/>
              </w:rPr>
              <w:t>（3）可实现与广西教育网安全态势感知系统和广西教育数据中心原终端安全管理信息系统对接，实现对高危IP、端口的封堵。</w:t>
            </w:r>
          </w:p>
          <w:p w14:paraId="3DB5D79F">
            <w:pPr>
              <w:spacing w:line="360" w:lineRule="atLeast"/>
              <w:rPr>
                <w:rFonts w:hint="eastAsia"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rPr>
              <w:t>互联网出口安全防护服务</w:t>
            </w:r>
          </w:p>
          <w:p w14:paraId="119BB2C2">
            <w:pPr>
              <w:spacing w:line="360" w:lineRule="atLeast"/>
              <w:rPr>
                <w:rFonts w:hint="eastAsia" w:ascii="宋体" w:hAnsi="宋体"/>
                <w:szCs w:val="21"/>
              </w:rPr>
            </w:pPr>
            <w:r>
              <w:rPr>
                <w:rFonts w:hint="eastAsia" w:ascii="宋体" w:hAnsi="宋体"/>
                <w:szCs w:val="21"/>
              </w:rPr>
              <w:t>提供出口安全防护服务，防火墙设备服务能力要求：</w:t>
            </w:r>
          </w:p>
          <w:p w14:paraId="209F241C">
            <w:pPr>
              <w:spacing w:line="360" w:lineRule="atLeast"/>
              <w:rPr>
                <w:rFonts w:hint="eastAsia" w:ascii="宋体" w:hAnsi="宋体"/>
                <w:szCs w:val="21"/>
              </w:rPr>
            </w:pPr>
            <w:r>
              <w:rPr>
                <w:rFonts w:hint="eastAsia" w:ascii="宋体" w:hAnsi="宋体"/>
                <w:szCs w:val="21"/>
              </w:rPr>
              <w:t>（1）电源冗余设计且满配。所配光口和光模块必须与组网连接线路和网络管理运维要求匹配。</w:t>
            </w:r>
          </w:p>
          <w:p w14:paraId="13C9A5E9">
            <w:pPr>
              <w:spacing w:line="360" w:lineRule="atLeast"/>
              <w:rPr>
                <w:rFonts w:hint="eastAsia" w:ascii="宋体" w:hAnsi="宋体"/>
                <w:szCs w:val="21"/>
              </w:rPr>
            </w:pPr>
            <w:r>
              <w:rPr>
                <w:rFonts w:hint="eastAsia" w:ascii="宋体" w:hAnsi="宋体"/>
                <w:szCs w:val="21"/>
              </w:rPr>
              <w:t>（2）网络层吞吐量≥20Gbps，应用层吞吐量≥8G，最大并发会话数≥200万，每秒新建会话数≥1</w:t>
            </w:r>
            <w:r>
              <w:rPr>
                <w:rFonts w:ascii="宋体" w:hAnsi="宋体"/>
                <w:szCs w:val="21"/>
              </w:rPr>
              <w:t>2</w:t>
            </w:r>
            <w:r>
              <w:rPr>
                <w:rFonts w:hint="eastAsia" w:ascii="宋体" w:hAnsi="宋体"/>
                <w:szCs w:val="21"/>
              </w:rPr>
              <w:t>万。</w:t>
            </w:r>
          </w:p>
          <w:p w14:paraId="1A063EAD">
            <w:pPr>
              <w:spacing w:line="360" w:lineRule="atLeast"/>
              <w:rPr>
                <w:rFonts w:hint="eastAsia" w:ascii="宋体" w:hAnsi="宋体"/>
                <w:szCs w:val="21"/>
              </w:rPr>
            </w:pPr>
            <w:r>
              <w:rPr>
                <w:rFonts w:hint="eastAsia" w:ascii="宋体" w:hAnsi="宋体"/>
                <w:szCs w:val="21"/>
              </w:rPr>
              <w:t>（3）可实现广西教育网安全态势感知系统和广西教育数据中心原终端安全管理信息系统对接，实现对高危IP、端口的封堵。</w:t>
            </w:r>
          </w:p>
          <w:p w14:paraId="4934AAE7">
            <w:pPr>
              <w:spacing w:line="360" w:lineRule="atLeast"/>
              <w:rPr>
                <w:rFonts w:hint="eastAsia" w:ascii="宋体" w:hAnsi="宋体" w:cs="宋体"/>
                <w:szCs w:val="21"/>
              </w:rPr>
            </w:pPr>
            <w:r>
              <w:rPr>
                <w:rFonts w:hint="eastAsia" w:ascii="宋体" w:hAnsi="宋体"/>
                <w:szCs w:val="21"/>
              </w:rPr>
              <w:t>（4）</w:t>
            </w:r>
            <w:r>
              <w:rPr>
                <w:rFonts w:hint="eastAsia" w:ascii="宋体" w:hAnsi="宋体" w:cs="宋体"/>
                <w:szCs w:val="21"/>
              </w:rPr>
              <w:t>服务期内病毒库免费升级。</w:t>
            </w:r>
          </w:p>
          <w:p w14:paraId="10B98990">
            <w:pPr>
              <w:spacing w:line="360" w:lineRule="atLeast"/>
              <w:rPr>
                <w:rFonts w:hint="eastAsia" w:ascii="宋体" w:hAnsi="宋体"/>
                <w:b/>
                <w:bCs/>
                <w:szCs w:val="21"/>
              </w:rPr>
            </w:pPr>
            <w:r>
              <w:rPr>
                <w:rFonts w:hint="eastAsia" w:ascii="宋体" w:hAnsi="宋体"/>
                <w:b/>
                <w:bCs/>
                <w:szCs w:val="21"/>
              </w:rPr>
              <w:t>5</w:t>
            </w:r>
            <w:r>
              <w:rPr>
                <w:rFonts w:ascii="宋体" w:hAnsi="宋体"/>
                <w:b/>
                <w:bCs/>
                <w:szCs w:val="21"/>
              </w:rPr>
              <w:t>.</w:t>
            </w:r>
            <w:r>
              <w:rPr>
                <w:rFonts w:hint="eastAsia" w:ascii="宋体" w:hAnsi="宋体"/>
                <w:b/>
                <w:bCs/>
                <w:szCs w:val="21"/>
              </w:rPr>
              <w:t>上网行为管理服务</w:t>
            </w:r>
          </w:p>
          <w:p w14:paraId="35BDF92F">
            <w:pPr>
              <w:spacing w:line="360" w:lineRule="atLeast"/>
              <w:rPr>
                <w:rFonts w:hint="eastAsia" w:ascii="宋体" w:hAnsi="宋体"/>
                <w:szCs w:val="21"/>
              </w:rPr>
            </w:pPr>
            <w:r>
              <w:rPr>
                <w:rFonts w:hint="eastAsia" w:ascii="宋体" w:hAnsi="宋体"/>
                <w:szCs w:val="21"/>
              </w:rPr>
              <w:t>提供上网行为管理服务，设备服务能力要求：</w:t>
            </w:r>
          </w:p>
          <w:p w14:paraId="60103F9D">
            <w:pPr>
              <w:spacing w:line="360" w:lineRule="atLeast"/>
              <w:rPr>
                <w:rFonts w:hint="eastAsia" w:ascii="宋体" w:hAnsi="宋体"/>
                <w:szCs w:val="21"/>
              </w:rPr>
            </w:pPr>
            <w:r>
              <w:rPr>
                <w:rFonts w:hint="eastAsia" w:ascii="宋体" w:hAnsi="宋体"/>
                <w:szCs w:val="21"/>
              </w:rPr>
              <w:t>一、配置要求</w:t>
            </w:r>
          </w:p>
          <w:p w14:paraId="2B42BC5F">
            <w:pPr>
              <w:spacing w:line="360" w:lineRule="atLeast"/>
              <w:rPr>
                <w:rFonts w:hint="eastAsia" w:ascii="宋体" w:hAnsi="宋体"/>
                <w:szCs w:val="21"/>
              </w:rPr>
            </w:pPr>
            <w:r>
              <w:rPr>
                <w:rFonts w:hint="eastAsia" w:ascii="宋体" w:hAnsi="宋体"/>
                <w:szCs w:val="21"/>
              </w:rPr>
              <w:t>（1）配置千兆电口≥12个</w:t>
            </w:r>
            <w:r>
              <w:rPr>
                <w:rFonts w:hint="eastAsia" w:ascii="宋体" w:hAnsi="宋体"/>
                <w:szCs w:val="21"/>
                <w:lang w:eastAsia="zh-CN"/>
              </w:rPr>
              <w:t>，</w:t>
            </w:r>
            <w:r>
              <w:rPr>
                <w:rFonts w:hint="eastAsia" w:ascii="宋体" w:hAnsi="宋体"/>
                <w:szCs w:val="21"/>
              </w:rPr>
              <w:t>千兆光口≥12个，万兆光口≥2个，内置Bypass电口≥2路，扩展槽位数≥1.</w:t>
            </w:r>
          </w:p>
          <w:p w14:paraId="7CDE4962">
            <w:pPr>
              <w:spacing w:line="360" w:lineRule="atLeast"/>
              <w:rPr>
                <w:rFonts w:hint="eastAsia" w:ascii="宋体" w:hAnsi="宋体"/>
                <w:szCs w:val="21"/>
              </w:rPr>
            </w:pPr>
            <w:r>
              <w:rPr>
                <w:rFonts w:hint="eastAsia" w:ascii="宋体" w:hAnsi="宋体"/>
                <w:szCs w:val="21"/>
              </w:rPr>
              <w:t>（2）配置存储硬盘≥2T</w:t>
            </w:r>
            <w:r>
              <w:rPr>
                <w:rFonts w:hint="eastAsia" w:ascii="宋体" w:hAnsi="宋体"/>
                <w:szCs w:val="21"/>
                <w:lang w:val="en-US" w:eastAsia="zh-CN"/>
              </w:rPr>
              <w:t>B</w:t>
            </w:r>
            <w:r>
              <w:rPr>
                <w:rFonts w:hint="eastAsia" w:ascii="宋体" w:hAnsi="宋体"/>
                <w:szCs w:val="21"/>
              </w:rPr>
              <w:t>。</w:t>
            </w:r>
          </w:p>
          <w:p w14:paraId="16A831EC">
            <w:pPr>
              <w:spacing w:line="360" w:lineRule="atLeast"/>
              <w:rPr>
                <w:rFonts w:hint="eastAsia" w:ascii="宋体" w:hAnsi="宋体"/>
                <w:szCs w:val="21"/>
              </w:rPr>
            </w:pPr>
            <w:r>
              <w:rPr>
                <w:rFonts w:hint="eastAsia" w:ascii="宋体" w:hAnsi="宋体"/>
                <w:szCs w:val="21"/>
              </w:rPr>
              <w:t>（3）配置不少于3年特征库升级服务。</w:t>
            </w:r>
          </w:p>
          <w:p w14:paraId="2F7721C6">
            <w:pPr>
              <w:spacing w:line="360" w:lineRule="atLeast"/>
              <w:rPr>
                <w:rFonts w:hint="eastAsia" w:ascii="宋体" w:hAnsi="宋体"/>
                <w:szCs w:val="21"/>
              </w:rPr>
            </w:pPr>
            <w:r>
              <w:rPr>
                <w:rFonts w:hint="eastAsia" w:ascii="宋体" w:hAnsi="宋体"/>
                <w:szCs w:val="21"/>
              </w:rPr>
              <w:t>二、技术参数要求</w:t>
            </w:r>
          </w:p>
          <w:p w14:paraId="0EBE5B5D">
            <w:pPr>
              <w:spacing w:line="360" w:lineRule="atLeast"/>
              <w:rPr>
                <w:rFonts w:hint="eastAsia" w:ascii="宋体" w:hAnsi="宋体"/>
                <w:szCs w:val="21"/>
              </w:rPr>
            </w:pPr>
            <w:r>
              <w:rPr>
                <w:rFonts w:hint="eastAsia" w:ascii="宋体" w:hAnsi="宋体"/>
                <w:szCs w:val="21"/>
              </w:rPr>
              <w:t>（1）产品结构：采用非X86架构；</w:t>
            </w:r>
          </w:p>
          <w:p w14:paraId="29ADB2AA">
            <w:pPr>
              <w:spacing w:line="360" w:lineRule="atLeast"/>
              <w:rPr>
                <w:rFonts w:hint="eastAsia" w:ascii="宋体" w:hAnsi="宋体"/>
                <w:szCs w:val="21"/>
              </w:rPr>
            </w:pPr>
            <w:r>
              <w:rPr>
                <w:rFonts w:hint="eastAsia" w:ascii="宋体" w:hAnsi="宋体"/>
                <w:szCs w:val="21"/>
              </w:rPr>
              <w:t>（2）网络吞吐量≥10Gbps，最大并发连接数≥400万，最大新建连接数≥12万；</w:t>
            </w:r>
          </w:p>
          <w:p w14:paraId="5337C4D8">
            <w:pPr>
              <w:spacing w:line="360" w:lineRule="atLeast"/>
              <w:rPr>
                <w:rFonts w:hint="eastAsia" w:ascii="宋体" w:hAnsi="宋体"/>
                <w:szCs w:val="21"/>
              </w:rPr>
            </w:pPr>
            <w:r>
              <w:rPr>
                <w:rFonts w:hint="eastAsia" w:ascii="宋体" w:hAnsi="宋体"/>
                <w:szCs w:val="21"/>
              </w:rPr>
              <w:t>（3）部署模式：支持路由模式、透明（网桥）模式、混合模式，部署模式切换无需重启设备；</w:t>
            </w:r>
          </w:p>
          <w:p w14:paraId="67150DEA">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支持4G扩展网卡</w:t>
            </w:r>
            <w:r>
              <w:rPr>
                <w:rFonts w:hint="eastAsia" w:ascii="宋体" w:hAnsi="宋体"/>
                <w:szCs w:val="21"/>
                <w:lang w:eastAsia="zh-CN"/>
              </w:rPr>
              <w:t>；</w:t>
            </w:r>
            <w:r>
              <w:rPr>
                <w:rFonts w:hint="eastAsia" w:ascii="宋体" w:hAnsi="宋体"/>
                <w:szCs w:val="21"/>
              </w:rPr>
              <w:t>支持在4G接口上运行IPSec VPN；</w:t>
            </w:r>
          </w:p>
          <w:p w14:paraId="5DDF0D2B">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支持IPSec VPN业务网段、感兴趣流和VPN路由自学习，更改业务网段时自动收敛，无需手工配置；</w:t>
            </w:r>
          </w:p>
          <w:p w14:paraId="09F2A96B">
            <w:pPr>
              <w:spacing w:line="360" w:lineRule="atLeast"/>
              <w:rPr>
                <w:rFonts w:hint="eastAsia" w:ascii="宋体" w:hAnsi="宋体" w:eastAsia="宋体"/>
                <w:b/>
                <w:bCs/>
                <w:szCs w:val="21"/>
                <w:lang w:val="en-US" w:eastAsia="zh-CN"/>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支持虚拟网线配置，虚拟网线的两个接口支持状态联动</w:t>
            </w:r>
            <w:r>
              <w:rPr>
                <w:rFonts w:hint="eastAsia" w:ascii="宋体" w:hAnsi="宋体"/>
                <w:szCs w:val="21"/>
                <w:lang w:val="en-US" w:eastAsia="zh-CN"/>
              </w:rPr>
              <w:t>;</w:t>
            </w:r>
          </w:p>
          <w:p w14:paraId="31EDABE1">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支持一键化快速审计策略配置；</w:t>
            </w:r>
          </w:p>
          <w:p w14:paraId="2DE97197">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支持服务器负载均衡，一个公网IP映射到内网多台服务器；</w:t>
            </w:r>
          </w:p>
          <w:p w14:paraId="6424A9BD">
            <w:pPr>
              <w:spacing w:line="360" w:lineRule="atLeast"/>
              <w:rPr>
                <w:rFonts w:hint="eastAsia" w:ascii="宋体" w:hAnsi="宋体" w:eastAsia="宋体"/>
                <w:b/>
                <w:bCs/>
                <w:szCs w:val="21"/>
                <w:lang w:eastAsia="zh-CN"/>
              </w:rPr>
            </w:pPr>
            <w:r>
              <w:rPr>
                <w:rFonts w:hint="eastAsia" w:ascii="宋体" w:hAnsi="宋体" w:cs="宋体"/>
                <w:szCs w:val="21"/>
              </w:rPr>
              <w:t>▲</w:t>
            </w: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rPr>
              <w:t>支持DNS透明代理；支持DNS负载均衡；支持DNS静态域名映射；支持DNS特定域名解析</w:t>
            </w:r>
            <w:r>
              <w:rPr>
                <w:rFonts w:hint="eastAsia" w:ascii="宋体" w:hAnsi="宋体"/>
                <w:szCs w:val="21"/>
                <w:lang w:eastAsia="zh-CN"/>
              </w:rPr>
              <w:t>；</w:t>
            </w:r>
          </w:p>
          <w:p w14:paraId="403DE590">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lang w:eastAsia="zh-CN"/>
              </w:rPr>
              <w:t>）</w:t>
            </w:r>
            <w:r>
              <w:rPr>
                <w:rFonts w:hint="eastAsia" w:ascii="宋体" w:hAnsi="宋体"/>
                <w:szCs w:val="21"/>
              </w:rPr>
              <w:t>支持本地中英文Web界面管理及命令行管理，支持基于SSL协议的远程安全管理；</w:t>
            </w:r>
          </w:p>
          <w:p w14:paraId="30356854">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rPr>
              <w:t>支持1000+规则库，产品分类支持AQL注入攻击、XSS攻击、恶意扫描及爬虫、WebShell攻击、会话劫持、敏感信息泄露、CMS漏洞防护等类型；</w:t>
            </w:r>
          </w:p>
          <w:p w14:paraId="41408DB3">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rPr>
              <w:t>具备弱密码扫描能力，可实现基于地址、服务扫描内网资产的空密码、用户名和密码相同、密码复杂度、长度、弱口令等问题；</w:t>
            </w:r>
          </w:p>
          <w:p w14:paraId="43B93D1D">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13</w:t>
            </w:r>
            <w:r>
              <w:rPr>
                <w:rFonts w:hint="eastAsia" w:ascii="宋体" w:hAnsi="宋体"/>
                <w:szCs w:val="21"/>
                <w:lang w:eastAsia="zh-CN"/>
              </w:rPr>
              <w:t>）</w:t>
            </w:r>
            <w:r>
              <w:rPr>
                <w:rFonts w:hint="eastAsia" w:ascii="宋体" w:hAnsi="宋体"/>
                <w:szCs w:val="21"/>
              </w:rPr>
              <w:t>产品可按照不同服务建立不同暴力破解策略，发现暴力登录后可限制攻击者登录设备；</w:t>
            </w:r>
          </w:p>
          <w:p w14:paraId="163C58BB">
            <w:pPr>
              <w:spacing w:line="360" w:lineRule="atLeast"/>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w:t>
            </w:r>
            <w:r>
              <w:rPr>
                <w:rFonts w:hint="eastAsia" w:ascii="宋体" w:hAnsi="宋体"/>
                <w:szCs w:val="21"/>
              </w:rPr>
              <w:t>具备单独安全事件展示能力，以世界地图形式展示攻击源地域分布，支持攻击源地域按照国家进行排名；可详细展示攻击源、归属地、攻击级别、攻击次数、开始结束时间，并支持将攻击IP加入黑名单</w:t>
            </w:r>
            <w:r>
              <w:rPr>
                <w:rFonts w:hint="eastAsia"/>
                <w:lang w:eastAsia="zh-CN"/>
              </w:rPr>
              <w:t>；</w:t>
            </w:r>
          </w:p>
          <w:p w14:paraId="58F22317">
            <w:pPr>
              <w:spacing w:line="360" w:lineRule="atLeas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w:t>
            </w:r>
            <w:r>
              <w:rPr>
                <w:rFonts w:hint="eastAsia" w:ascii="宋体" w:hAnsi="宋体"/>
                <w:szCs w:val="21"/>
              </w:rPr>
              <w:t>可独立展示资产IP、归属组、操作系统、风险级别，并以攻击链方式展示资产被攻击路径；</w:t>
            </w:r>
          </w:p>
          <w:p w14:paraId="56A9D016">
            <w:pPr>
              <w:spacing w:line="360" w:lineRule="atLeast"/>
              <w:rPr>
                <w:rFonts w:hint="eastAsia"/>
              </w:rPr>
            </w:pPr>
            <w:r>
              <w:rPr>
                <w:rFonts w:hint="eastAsia" w:ascii="宋体" w:hAnsi="宋体"/>
                <w:szCs w:val="21"/>
                <w:lang w:eastAsia="zh-CN"/>
              </w:rPr>
              <w:t>（</w:t>
            </w:r>
            <w:r>
              <w:rPr>
                <w:rFonts w:hint="eastAsia" w:ascii="宋体" w:hAnsi="宋体"/>
                <w:szCs w:val="21"/>
                <w:lang w:val="en-US" w:eastAsia="zh-CN"/>
              </w:rPr>
              <w:t>16</w:t>
            </w:r>
            <w:r>
              <w:rPr>
                <w:rFonts w:hint="eastAsia" w:ascii="宋体" w:hAnsi="宋体"/>
                <w:szCs w:val="21"/>
                <w:lang w:eastAsia="zh-CN"/>
              </w:rPr>
              <w:t>）</w:t>
            </w:r>
            <w:r>
              <w:rPr>
                <w:rFonts w:hint="eastAsia" w:ascii="宋体" w:hAnsi="宋体"/>
                <w:szCs w:val="21"/>
              </w:rPr>
              <w:t>支持针对设备健康状态，业务信息等维度告警；告警事件入库支持展示，查询，导出；告警事件支持弹窗，邮件；弹窗默认展示最近10条告警记录。</w:t>
            </w:r>
          </w:p>
          <w:p w14:paraId="3CF30F41">
            <w:pPr>
              <w:spacing w:line="360" w:lineRule="atLeast"/>
              <w:rPr>
                <w:rFonts w:hint="eastAsia"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安全日志审计服务</w:t>
            </w:r>
          </w:p>
          <w:p w14:paraId="0823AA80">
            <w:pPr>
              <w:spacing w:line="360" w:lineRule="atLeast"/>
              <w:rPr>
                <w:rFonts w:hint="eastAsia" w:ascii="宋体" w:hAnsi="宋体"/>
                <w:szCs w:val="21"/>
              </w:rPr>
            </w:pPr>
            <w:r>
              <w:rPr>
                <w:rFonts w:hint="eastAsia" w:ascii="宋体" w:hAnsi="宋体"/>
                <w:szCs w:val="21"/>
              </w:rPr>
              <w:t>提供安全日志审计服务，设备服务能力要求：</w:t>
            </w:r>
          </w:p>
          <w:p w14:paraId="332E4E65">
            <w:pPr>
              <w:spacing w:line="360" w:lineRule="atLeast"/>
              <w:rPr>
                <w:rFonts w:hint="eastAsia" w:ascii="宋体" w:hAnsi="宋体" w:cs="宋体"/>
                <w:szCs w:val="21"/>
              </w:rPr>
            </w:pPr>
            <w:r>
              <w:rPr>
                <w:rFonts w:hint="eastAsia" w:ascii="宋体" w:hAnsi="宋体"/>
                <w:szCs w:val="21"/>
              </w:rPr>
              <w:t>（1）具备电口≥4个，存储容量≥8TB，可接入≥50个日志源，可授权扩展，日志处理性能≥2000EPS。</w:t>
            </w:r>
          </w:p>
          <w:p w14:paraId="68273C6C">
            <w:pPr>
              <w:spacing w:line="360" w:lineRule="atLeast"/>
              <w:rPr>
                <w:rFonts w:hint="eastAsia" w:ascii="宋体" w:hAnsi="宋体" w:cs="宋体"/>
                <w:szCs w:val="21"/>
              </w:rPr>
            </w:pPr>
            <w:r>
              <w:rPr>
                <w:rFonts w:hint="eastAsia" w:ascii="宋体" w:hAnsi="宋体"/>
                <w:szCs w:val="21"/>
              </w:rPr>
              <w:t>（2）</w:t>
            </w:r>
            <w:r>
              <w:rPr>
                <w:rFonts w:hint="eastAsia" w:ascii="宋体" w:hAnsi="宋体" w:cs="宋体"/>
                <w:szCs w:val="21"/>
              </w:rPr>
              <w:t>默认接入数据源数量≥1024；</w:t>
            </w:r>
          </w:p>
          <w:p w14:paraId="679476FB">
            <w:pPr>
              <w:spacing w:line="360" w:lineRule="atLeast"/>
              <w:rPr>
                <w:rFonts w:hint="eastAsia" w:ascii="宋体" w:hAnsi="宋体" w:cs="宋体"/>
                <w:szCs w:val="21"/>
              </w:rPr>
            </w:pPr>
            <w:r>
              <w:rPr>
                <w:rFonts w:hint="eastAsia" w:ascii="宋体" w:hAnsi="宋体"/>
                <w:szCs w:val="21"/>
              </w:rPr>
              <w:t>（3）</w:t>
            </w:r>
            <w:r>
              <w:rPr>
                <w:rFonts w:hint="eastAsia" w:ascii="宋体" w:hAnsi="宋体" w:cs="宋体"/>
                <w:szCs w:val="21"/>
              </w:rPr>
              <w:t>顶栏显示采集器数、日志源数、日志数、告警事件数、关联规则统计，并且支持下钻查看详细信息；</w:t>
            </w:r>
          </w:p>
          <w:p w14:paraId="0A347B98">
            <w:pPr>
              <w:spacing w:line="360" w:lineRule="atLeast"/>
              <w:rPr>
                <w:rFonts w:hint="eastAsia" w:ascii="宋体" w:hAnsi="宋体" w:cs="宋体"/>
                <w:szCs w:val="21"/>
              </w:rPr>
            </w:pPr>
            <w:r>
              <w:rPr>
                <w:rFonts w:hint="eastAsia" w:ascii="宋体" w:hAnsi="宋体"/>
                <w:szCs w:val="21"/>
              </w:rPr>
              <w:t>（4）</w:t>
            </w:r>
            <w:r>
              <w:rPr>
                <w:rFonts w:hint="eastAsia" w:ascii="宋体" w:hAnsi="宋体" w:cs="宋体"/>
                <w:szCs w:val="21"/>
              </w:rPr>
              <w:t>图表显示：日志按设备类型分布、日志按等级分布、日志按类型分布，并且支持下钻查看详细信息；</w:t>
            </w:r>
          </w:p>
          <w:p w14:paraId="70AE2E57">
            <w:pPr>
              <w:spacing w:line="360" w:lineRule="atLeast"/>
              <w:rPr>
                <w:rFonts w:hint="eastAsia" w:ascii="宋体" w:hAnsi="宋体" w:cs="宋体"/>
                <w:szCs w:val="21"/>
              </w:rPr>
            </w:pPr>
            <w:r>
              <w:rPr>
                <w:rFonts w:hint="eastAsia" w:ascii="宋体" w:hAnsi="宋体"/>
                <w:szCs w:val="21"/>
              </w:rPr>
              <w:t>（5）</w:t>
            </w:r>
            <w:r>
              <w:rPr>
                <w:rFonts w:hint="eastAsia" w:ascii="宋体" w:hAnsi="宋体" w:cs="宋体"/>
                <w:szCs w:val="21"/>
              </w:rPr>
              <w:t xml:space="preserve">支持Syslog、SNMP Trap、Netflow、JDBC等协议日志收集； </w:t>
            </w:r>
          </w:p>
          <w:p w14:paraId="44E9C5CA">
            <w:pPr>
              <w:spacing w:line="360" w:lineRule="atLeast"/>
              <w:rPr>
                <w:rFonts w:hint="eastAsia" w:ascii="宋体" w:hAnsi="宋体" w:cs="宋体"/>
                <w:szCs w:val="21"/>
              </w:rPr>
            </w:pPr>
            <w:r>
              <w:rPr>
                <w:rFonts w:hint="eastAsia" w:ascii="宋体" w:hAnsi="宋体"/>
                <w:szCs w:val="21"/>
              </w:rPr>
              <w:t>（6）</w:t>
            </w:r>
            <w:r>
              <w:rPr>
                <w:rFonts w:hint="eastAsia" w:ascii="宋体" w:hAnsi="宋体" w:cs="宋体"/>
                <w:szCs w:val="21"/>
              </w:rPr>
              <w:t>原始日志数据进行高效压缩存储。灵活设置系统日志存储空间上限，达到告警上限提示管理员及时处理，达到删除上限会自动删除最旧日志释放空间；</w:t>
            </w:r>
          </w:p>
          <w:p w14:paraId="5C3C6212">
            <w:pPr>
              <w:spacing w:line="360" w:lineRule="atLeast"/>
              <w:rPr>
                <w:rFonts w:hint="eastAsia" w:ascii="宋体" w:hAnsi="宋体" w:cs="宋体"/>
                <w:szCs w:val="21"/>
              </w:rPr>
            </w:pPr>
            <w:r>
              <w:rPr>
                <w:rFonts w:hint="eastAsia" w:ascii="宋体" w:hAnsi="宋体"/>
                <w:szCs w:val="21"/>
              </w:rPr>
              <w:t>（7）</w:t>
            </w:r>
            <w:r>
              <w:rPr>
                <w:rFonts w:hint="eastAsia" w:ascii="宋体" w:hAnsi="宋体" w:cs="宋体"/>
                <w:szCs w:val="21"/>
              </w:rPr>
              <w:t>支持全文检索原始日志；支持任意信息、任意时间进行内容查询匹配；</w:t>
            </w:r>
          </w:p>
          <w:p w14:paraId="135A8CFC">
            <w:pPr>
              <w:spacing w:line="360" w:lineRule="atLeast"/>
              <w:rPr>
                <w:rFonts w:hint="eastAsia" w:ascii="宋体" w:hAnsi="宋体" w:cs="宋体"/>
                <w:szCs w:val="21"/>
              </w:rPr>
            </w:pPr>
            <w:r>
              <w:rPr>
                <w:rFonts w:hint="eastAsia" w:ascii="宋体" w:hAnsi="宋体"/>
                <w:szCs w:val="21"/>
              </w:rPr>
              <w:t>（8）</w:t>
            </w:r>
            <w:r>
              <w:rPr>
                <w:rFonts w:hint="eastAsia" w:ascii="宋体" w:hAnsi="宋体" w:cs="宋体"/>
                <w:szCs w:val="21"/>
              </w:rPr>
              <w:t>支持按照日志等级（调试、通知、重要、警告、错误、严重、设备故障、设备不可用及其他信息）列表展示日志范式化分析结果、下钻支持日志详情；</w:t>
            </w:r>
          </w:p>
          <w:p w14:paraId="74FAA25A">
            <w:pPr>
              <w:spacing w:line="360" w:lineRule="atLeast"/>
              <w:rPr>
                <w:rFonts w:hint="eastAsia" w:ascii="宋体" w:hAnsi="宋体" w:cs="宋体"/>
                <w:szCs w:val="21"/>
              </w:rPr>
            </w:pPr>
            <w:r>
              <w:rPr>
                <w:rFonts w:hint="eastAsia" w:ascii="宋体" w:hAnsi="宋体"/>
                <w:szCs w:val="21"/>
              </w:rPr>
              <w:t>（9）</w:t>
            </w:r>
            <w:r>
              <w:rPr>
                <w:rFonts w:hint="eastAsia" w:ascii="宋体" w:hAnsi="宋体" w:cs="宋体"/>
                <w:szCs w:val="21"/>
              </w:rPr>
              <w:t>支持多类型、多厂商安全设备、网络设备、操作系统、应用日志适配分析；</w:t>
            </w:r>
          </w:p>
          <w:p w14:paraId="33ACBDB5">
            <w:pPr>
              <w:spacing w:line="360" w:lineRule="atLeast"/>
              <w:rPr>
                <w:rFonts w:hint="eastAsia" w:ascii="宋体" w:hAnsi="宋体" w:cs="宋体"/>
                <w:szCs w:val="21"/>
              </w:rPr>
            </w:pPr>
            <w:r>
              <w:rPr>
                <w:rFonts w:hint="eastAsia" w:ascii="宋体" w:hAnsi="宋体"/>
                <w:szCs w:val="21"/>
              </w:rPr>
              <w:t>（10）</w:t>
            </w:r>
            <w:r>
              <w:rPr>
                <w:rFonts w:hint="eastAsia" w:ascii="宋体" w:hAnsi="宋体" w:cs="宋体"/>
                <w:szCs w:val="21"/>
              </w:rPr>
              <w:t>可对多源日志进行递归关联、时序关联、统计关联等方式关联分析，提升安全分析结果准确性；</w:t>
            </w:r>
          </w:p>
          <w:p w14:paraId="27B8299D">
            <w:pPr>
              <w:spacing w:line="360" w:lineRule="atLeast"/>
              <w:rPr>
                <w:rFonts w:hint="eastAsia" w:ascii="宋体" w:hAnsi="宋体" w:cs="宋体"/>
                <w:color w:val="FF0000"/>
                <w:szCs w:val="21"/>
              </w:rPr>
            </w:pPr>
            <w:r>
              <w:rPr>
                <w:rFonts w:hint="eastAsia" w:ascii="宋体" w:hAnsi="宋体" w:cs="宋体"/>
                <w:szCs w:val="21"/>
              </w:rPr>
              <w:t>▲（11）支持默认展示威胁源IP排名、威胁通信协议分布、威胁日志攻击分类分布、威胁日志设备名称分布、威胁日志严重等级分布、威胁等级分布等内容；</w:t>
            </w:r>
          </w:p>
          <w:p w14:paraId="61C77CDC">
            <w:pPr>
              <w:pStyle w:val="10"/>
              <w:jc w:val="left"/>
              <w:rPr>
                <w:rFonts w:hint="eastAsia" w:ascii="宋体" w:hAnsi="宋体" w:cs="宋体"/>
                <w:szCs w:val="21"/>
              </w:rPr>
            </w:pPr>
            <w:r>
              <w:rPr>
                <w:rFonts w:hint="eastAsia" w:ascii="宋体" w:hAnsi="宋体" w:cs="宋体"/>
                <w:szCs w:val="21"/>
              </w:rPr>
              <w:t>（12）支持用户自定义统计维度展示日志审计结果，具备多种日志类型、统计属性交叉统计≥160种图形展示可选择；</w:t>
            </w:r>
          </w:p>
          <w:p w14:paraId="11BB8CEF">
            <w:pPr>
              <w:pStyle w:val="10"/>
              <w:jc w:val="left"/>
              <w:rPr>
                <w:rFonts w:hint="eastAsia" w:ascii="宋体" w:hAnsi="宋体" w:cs="宋体"/>
                <w:szCs w:val="21"/>
              </w:rPr>
            </w:pPr>
            <w:r>
              <w:rPr>
                <w:rFonts w:hint="eastAsia" w:ascii="宋体" w:hAnsi="宋体" w:cs="宋体"/>
                <w:szCs w:val="21"/>
              </w:rPr>
              <w:t>（13）支持用户自定义统计效果，可选择饼状分布图、折线趋势图、柱状比较图；</w:t>
            </w:r>
          </w:p>
          <w:p w14:paraId="3B42CDC1">
            <w:pPr>
              <w:pStyle w:val="10"/>
              <w:jc w:val="left"/>
              <w:rPr>
                <w:rFonts w:hint="eastAsia" w:ascii="宋体" w:hAnsi="宋体" w:cs="宋体"/>
                <w:szCs w:val="21"/>
              </w:rPr>
            </w:pPr>
            <w:r>
              <w:rPr>
                <w:rFonts w:hint="eastAsia" w:ascii="宋体" w:hAnsi="宋体" w:cs="宋体"/>
                <w:szCs w:val="21"/>
              </w:rPr>
              <w:t>（14）支持新增、删除、修改关联规则，对关联规则进行启用和停用管理；</w:t>
            </w:r>
          </w:p>
          <w:p w14:paraId="00CCD0FC">
            <w:pPr>
              <w:spacing w:line="360" w:lineRule="atLeast"/>
              <w:rPr>
                <w:rFonts w:hint="eastAsia" w:ascii="宋体" w:hAnsi="宋体" w:cs="宋体"/>
                <w:color w:val="FF0000"/>
                <w:szCs w:val="21"/>
              </w:rPr>
            </w:pPr>
            <w:r>
              <w:rPr>
                <w:rFonts w:hint="eastAsia" w:ascii="宋体" w:hAnsi="宋体" w:cs="宋体"/>
                <w:szCs w:val="21"/>
              </w:rPr>
              <w:t>▲（15）被监管单位通报后，</w:t>
            </w:r>
            <w:r>
              <w:rPr>
                <w:rFonts w:hint="eastAsia" w:ascii="宋体" w:hAnsi="宋体" w:cs="宋体"/>
                <w:szCs w:val="21"/>
                <w:lang w:eastAsia="zh-CN"/>
              </w:rPr>
              <w:t>能</w:t>
            </w:r>
            <w:r>
              <w:rPr>
                <w:rFonts w:hint="eastAsia" w:ascii="宋体" w:hAnsi="宋体" w:cs="宋体"/>
                <w:szCs w:val="21"/>
              </w:rPr>
              <w:t>定位内网真实主机，要求平台支持NAT溯源功能，查找内网资产真实IP，并能够查看相对应的安全风险；同时支持在DHCP场景下，结合DHCP服务器，定位问题主机当前真实IP地址</w:t>
            </w:r>
            <w:r>
              <w:rPr>
                <w:rFonts w:hint="eastAsia" w:ascii="宋体" w:hAnsi="宋体"/>
                <w:color w:val="000000" w:themeColor="text1"/>
                <w:szCs w:val="21"/>
                <w:lang w:eastAsia="zh-CN"/>
                <w14:textFill>
                  <w14:solidFill>
                    <w14:schemeClr w14:val="tx1"/>
                  </w14:solidFill>
                </w14:textFill>
              </w:rPr>
              <w:t>；</w:t>
            </w:r>
          </w:p>
          <w:p w14:paraId="0AA540B4">
            <w:pPr>
              <w:spacing w:line="360" w:lineRule="atLeast"/>
              <w:rPr>
                <w:rFonts w:hint="eastAsia"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漏洞扫描服务</w:t>
            </w:r>
          </w:p>
          <w:p w14:paraId="0A07E577">
            <w:pPr>
              <w:spacing w:line="360" w:lineRule="atLeast"/>
              <w:rPr>
                <w:rFonts w:hint="eastAsia" w:ascii="宋体" w:hAnsi="宋体"/>
                <w:szCs w:val="21"/>
              </w:rPr>
            </w:pPr>
            <w:r>
              <w:rPr>
                <w:rFonts w:hint="eastAsia" w:ascii="宋体" w:hAnsi="宋体"/>
                <w:szCs w:val="21"/>
              </w:rPr>
              <w:t>提供漏洞扫描服务，单台设备服务能力要求：</w:t>
            </w:r>
          </w:p>
          <w:p w14:paraId="48B36FAD">
            <w:pPr>
              <w:spacing w:line="360" w:lineRule="atLeast"/>
              <w:rPr>
                <w:rFonts w:hint="eastAsia" w:ascii="宋体" w:hAnsi="宋体"/>
                <w:szCs w:val="21"/>
              </w:rPr>
            </w:pPr>
            <w:r>
              <w:rPr>
                <w:rFonts w:hint="eastAsia" w:ascii="宋体" w:hAnsi="宋体"/>
                <w:szCs w:val="21"/>
              </w:rPr>
              <w:t>（1）具备电口≥4个，硬盘≥1T</w:t>
            </w:r>
            <w:r>
              <w:rPr>
                <w:rFonts w:hint="eastAsia" w:ascii="宋体" w:hAnsi="宋体"/>
                <w:szCs w:val="21"/>
                <w:lang w:val="en-US" w:eastAsia="zh-CN"/>
              </w:rPr>
              <w:t>B</w:t>
            </w:r>
            <w:r>
              <w:rPr>
                <w:rFonts w:hint="eastAsia" w:ascii="宋体" w:hAnsi="宋体"/>
                <w:szCs w:val="21"/>
              </w:rPr>
              <w:t>，并发扫描数≥60个IP地址，扫描速度≥800 ip/h，支持授权IP数无限制。</w:t>
            </w:r>
          </w:p>
          <w:p w14:paraId="1213761D">
            <w:pPr>
              <w:spacing w:line="360" w:lineRule="atLeast"/>
              <w:rPr>
                <w:rFonts w:hint="eastAsia" w:ascii="宋体" w:hAnsi="宋体" w:cs="宋体"/>
                <w:szCs w:val="21"/>
              </w:rPr>
            </w:pPr>
            <w:r>
              <w:rPr>
                <w:rFonts w:hint="eastAsia" w:ascii="宋体" w:hAnsi="宋体"/>
                <w:szCs w:val="21"/>
              </w:rPr>
              <w:t>（2）</w:t>
            </w:r>
            <w:r>
              <w:rPr>
                <w:rFonts w:hint="eastAsia" w:ascii="宋体" w:hAnsi="宋体" w:cs="宋体"/>
                <w:szCs w:val="21"/>
              </w:rPr>
              <w:t>性能要求：最</w:t>
            </w:r>
            <w:r>
              <w:rPr>
                <w:rFonts w:hint="eastAsia" w:cs="宋体"/>
                <w:szCs w:val="21"/>
                <w:lang w:val="en-US" w:eastAsia="zh-CN"/>
              </w:rPr>
              <w:t>多可以配置</w:t>
            </w:r>
            <w:r>
              <w:rPr>
                <w:rFonts w:hint="eastAsia" w:ascii="宋体" w:hAnsi="宋体" w:cs="宋体"/>
                <w:szCs w:val="21"/>
              </w:rPr>
              <w:t>无限个IP地址</w:t>
            </w:r>
            <w:r>
              <w:rPr>
                <w:rFonts w:hint="eastAsia" w:ascii="宋体" w:hAnsi="宋体" w:cs="宋体"/>
                <w:szCs w:val="21"/>
                <w:lang w:eastAsia="zh-CN"/>
              </w:rPr>
              <w:t>扫描授权</w:t>
            </w:r>
            <w:r>
              <w:rPr>
                <w:rFonts w:hint="eastAsia" w:ascii="宋体" w:hAnsi="宋体" w:cs="宋体"/>
                <w:szCs w:val="21"/>
              </w:rPr>
              <w:t>，本次配置不少于256个IP地址扫描授权，最大并发扫描任务数≥8；服务期内漏扫特征库免费升级授权；</w:t>
            </w:r>
          </w:p>
          <w:p w14:paraId="78CA790B">
            <w:pPr>
              <w:spacing w:line="360" w:lineRule="atLeast"/>
              <w:rPr>
                <w:rFonts w:hint="eastAsia" w:ascii="宋体" w:hAnsi="宋体" w:cs="宋体"/>
                <w:szCs w:val="21"/>
              </w:rPr>
            </w:pPr>
            <w:r>
              <w:rPr>
                <w:rFonts w:hint="eastAsia" w:ascii="宋体" w:hAnsi="宋体"/>
                <w:szCs w:val="21"/>
              </w:rPr>
              <w:t>（3）</w:t>
            </w:r>
            <w:r>
              <w:rPr>
                <w:rFonts w:hint="eastAsia" w:ascii="宋体" w:hAnsi="宋体" w:cs="宋体"/>
                <w:szCs w:val="21"/>
              </w:rPr>
              <w:t>采用B/S设计架构，SSL加密方式通信，无须安装客户端，用户可通过浏览器远程管理系统；</w:t>
            </w:r>
          </w:p>
          <w:p w14:paraId="204F40C3">
            <w:pPr>
              <w:spacing w:line="360" w:lineRule="atLeast"/>
              <w:rPr>
                <w:rFonts w:hint="eastAsia" w:ascii="宋体" w:hAnsi="宋体" w:cs="宋体"/>
                <w:szCs w:val="21"/>
              </w:rPr>
            </w:pPr>
            <w:r>
              <w:rPr>
                <w:rFonts w:hint="eastAsia" w:ascii="宋体" w:hAnsi="宋体"/>
                <w:szCs w:val="21"/>
              </w:rPr>
              <w:t>（4）</w:t>
            </w:r>
            <w:r>
              <w:rPr>
                <w:rFonts w:hint="eastAsia" w:ascii="宋体" w:hAnsi="宋体" w:cs="宋体"/>
                <w:szCs w:val="21"/>
              </w:rPr>
              <w:t>系统应支持检测的系统漏洞数不少于20万，覆盖CVE、CVSS、CNVD、CNNVD、CNCVE、Bugtraq多种漏洞标准；</w:t>
            </w:r>
          </w:p>
          <w:p w14:paraId="7BD22A98">
            <w:pPr>
              <w:spacing w:line="360" w:lineRule="atLeast"/>
              <w:rPr>
                <w:rFonts w:hint="eastAsia" w:ascii="宋体" w:hAnsi="宋体" w:cs="宋体"/>
                <w:szCs w:val="21"/>
              </w:rPr>
            </w:pPr>
            <w:r>
              <w:rPr>
                <w:rFonts w:hint="eastAsia" w:ascii="宋体" w:hAnsi="宋体"/>
                <w:szCs w:val="21"/>
              </w:rPr>
              <w:t>（5）</w:t>
            </w:r>
            <w:r>
              <w:rPr>
                <w:rFonts w:hint="eastAsia" w:ascii="宋体" w:hAnsi="宋体" w:cs="宋体"/>
                <w:szCs w:val="21"/>
              </w:rPr>
              <w:t>网络配置需提供快速配置向导，支持快速部署上线；</w:t>
            </w:r>
          </w:p>
          <w:p w14:paraId="01F4892A">
            <w:pPr>
              <w:spacing w:line="360" w:lineRule="atLeast"/>
              <w:rPr>
                <w:rFonts w:hint="eastAsia" w:ascii="宋体" w:hAnsi="宋体" w:cs="宋体"/>
                <w:szCs w:val="21"/>
              </w:rPr>
            </w:pPr>
            <w:r>
              <w:rPr>
                <w:rFonts w:hint="eastAsia" w:ascii="宋体" w:hAnsi="宋体"/>
                <w:szCs w:val="21"/>
              </w:rPr>
              <w:t>（6）</w:t>
            </w:r>
            <w:r>
              <w:rPr>
                <w:rFonts w:hint="eastAsia" w:ascii="宋体" w:hAnsi="宋体" w:cs="宋体"/>
                <w:szCs w:val="21"/>
              </w:rPr>
              <w:t>支持自适应网络扫描，根据网络状况自动控制发包速率，避免影响用户网络；</w:t>
            </w:r>
          </w:p>
          <w:p w14:paraId="6ECB8C0C">
            <w:pPr>
              <w:spacing w:line="360" w:lineRule="atLeast"/>
              <w:rPr>
                <w:rFonts w:hint="eastAsia" w:ascii="宋体" w:hAnsi="宋体" w:cs="宋体"/>
                <w:szCs w:val="21"/>
              </w:rPr>
            </w:pPr>
            <w:r>
              <w:rPr>
                <w:rFonts w:hint="eastAsia" w:ascii="宋体" w:hAnsi="宋体"/>
                <w:szCs w:val="21"/>
              </w:rPr>
              <w:t>（7）</w:t>
            </w:r>
            <w:r>
              <w:rPr>
                <w:rFonts w:hint="eastAsia" w:ascii="宋体" w:hAnsi="宋体" w:cs="宋体"/>
                <w:szCs w:val="21"/>
              </w:rPr>
              <w:t>支持自定义立即执行、定时扫描、周期性扫描等多种扫描任务执行方式，可针对指定时间、执行对象自动执行扫描任务，并自动生成报告，时间可具体到某月、某天、某时、某分；</w:t>
            </w:r>
          </w:p>
          <w:p w14:paraId="1BC66335">
            <w:pPr>
              <w:spacing w:line="360" w:lineRule="atLeast"/>
              <w:rPr>
                <w:rFonts w:hint="eastAsia" w:ascii="宋体" w:hAnsi="宋体" w:cs="宋体"/>
                <w:szCs w:val="21"/>
              </w:rPr>
            </w:pPr>
            <w:r>
              <w:rPr>
                <w:rFonts w:hint="eastAsia" w:ascii="宋体" w:hAnsi="宋体"/>
                <w:szCs w:val="21"/>
              </w:rPr>
              <w:t>（8）</w:t>
            </w:r>
            <w:r>
              <w:rPr>
                <w:rFonts w:hint="eastAsia" w:ascii="宋体" w:hAnsi="宋体" w:cs="宋体"/>
                <w:szCs w:val="21"/>
              </w:rPr>
              <w:t>支持扫描通用操作系统，涵盖Windows系列、苹果操作系统、Linux、AIX、HPUX、IRIX、BSD、Solaris等；支持扫描交换路由设备及扫描安全设备；</w:t>
            </w:r>
          </w:p>
          <w:p w14:paraId="5F999342">
            <w:pPr>
              <w:pStyle w:val="10"/>
              <w:jc w:val="left"/>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w:t>
            </w:r>
            <w:r>
              <w:rPr>
                <w:rFonts w:hint="eastAsia" w:ascii="宋体" w:hAnsi="宋体" w:cs="宋体"/>
                <w:szCs w:val="21"/>
              </w:rPr>
              <w:t xml:space="preserve">系统应支持通过SSH、SMB、TELNET、RDP、POP、POP3、IMAP、FTP、WMI、RSH、REXEC、WINRM、SNMP等协议对目标主机进行登录扫描； </w:t>
            </w:r>
          </w:p>
          <w:p w14:paraId="5366B175">
            <w:pPr>
              <w:spacing w:line="360" w:lineRule="atLeas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10</w:t>
            </w:r>
            <w:r>
              <w:rPr>
                <w:rFonts w:hint="eastAsia" w:ascii="宋体" w:hAnsi="宋体" w:cs="宋体"/>
                <w:szCs w:val="21"/>
                <w:lang w:val="en-US" w:eastAsia="zh-CN"/>
              </w:rPr>
              <w:t>）</w:t>
            </w:r>
            <w:r>
              <w:rPr>
                <w:rFonts w:hint="eastAsia" w:ascii="宋体" w:hAnsi="宋体" w:cs="宋体"/>
                <w:szCs w:val="21"/>
              </w:rPr>
              <w:t>系统应默认内置多种不同的检测模式，包含但不限于标准扫描、快速扫描、完全扫描、深度扫描，不同检测模式默认对应不同的扫描任务策略及配置；</w:t>
            </w:r>
          </w:p>
          <w:p w14:paraId="2A7EC533">
            <w:pPr>
              <w:pStyle w:val="10"/>
              <w:jc w:val="left"/>
              <w:rPr>
                <w:rFonts w:hint="eastAsia" w:ascii="宋体" w:hAnsi="宋体" w:cs="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cs="宋体"/>
                <w:szCs w:val="21"/>
              </w:rPr>
              <w:t>支持目前主流协议和数据库弱口令检测，包括：TELNET、FTP、SSH、POP3、SMB、SNMP、RDP、SMTP、Oracle、REDIS、MySQL、PostgreSQL、MsSQL、DB2、MongoDB ；</w:t>
            </w:r>
          </w:p>
          <w:p w14:paraId="4A9B3267">
            <w:pPr>
              <w:spacing w:line="360" w:lineRule="atLeast"/>
              <w:rPr>
                <w:rFonts w:hint="eastAsia" w:ascii="宋体" w:hAnsi="宋体" w:eastAsia="宋体" w:cs="宋体"/>
                <w:szCs w:val="21"/>
                <w:lang w:eastAsia="zh-CN"/>
              </w:rPr>
            </w:pPr>
            <w:r>
              <w:rPr>
                <w:rFonts w:hint="eastAsia" w:ascii="宋体" w:hAnsi="宋体" w:cs="宋体"/>
                <w:szCs w:val="21"/>
              </w:rPr>
              <w:t>▲</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2</w:t>
            </w:r>
            <w:r>
              <w:rPr>
                <w:rFonts w:hint="eastAsia" w:ascii="宋体" w:hAnsi="宋体"/>
                <w:szCs w:val="21"/>
                <w:lang w:val="en-US" w:eastAsia="zh-CN"/>
              </w:rPr>
              <w:t>）</w:t>
            </w:r>
            <w:r>
              <w:rPr>
                <w:rFonts w:hint="eastAsia" w:ascii="宋体" w:hAnsi="宋体" w:cs="宋体"/>
                <w:szCs w:val="21"/>
              </w:rPr>
              <w:t>支持自动探测指定网段中的Web站点，并可一键转为Web资产或一键下发Web扫描任务</w:t>
            </w:r>
            <w:r>
              <w:rPr>
                <w:rFonts w:hint="eastAsia" w:ascii="宋体" w:hAnsi="宋体" w:cs="宋体"/>
                <w:szCs w:val="21"/>
                <w:lang w:eastAsia="zh-CN"/>
              </w:rPr>
              <w:t>；</w:t>
            </w:r>
          </w:p>
          <w:p w14:paraId="45A724E6">
            <w:pPr>
              <w:pStyle w:val="10"/>
              <w:jc w:val="left"/>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支持资产自动发现功能，支持利用历史扫描过程中发现的主机创建扫描任务；</w:t>
            </w:r>
          </w:p>
          <w:p w14:paraId="4083D57C">
            <w:pPr>
              <w:spacing w:line="360" w:lineRule="atLeast"/>
              <w:rPr>
                <w:rFonts w:hint="eastAsia" w:ascii="宋体" w:hAnsi="宋体"/>
                <w:szCs w:val="21"/>
              </w:rPr>
            </w:pPr>
            <w:r>
              <w:rPr>
                <w:rFonts w:hint="eastAsia" w:ascii="宋体" w:hAnsi="宋体" w:cs="宋体"/>
                <w:szCs w:val="21"/>
                <w:lang w:eastAsia="zh-CN"/>
              </w:rPr>
              <w:t>（</w:t>
            </w:r>
            <w:r>
              <w:rPr>
                <w:rFonts w:hint="eastAsia" w:ascii="宋体" w:hAnsi="宋体" w:cs="宋体"/>
                <w:szCs w:val="21"/>
              </w:rPr>
              <w:t>14</w:t>
            </w:r>
            <w:r>
              <w:rPr>
                <w:rFonts w:hint="eastAsia" w:ascii="宋体" w:hAnsi="宋体" w:cs="宋体"/>
                <w:szCs w:val="21"/>
                <w:lang w:val="en-US" w:eastAsia="zh-CN"/>
              </w:rPr>
              <w:t>）</w:t>
            </w:r>
            <w:r>
              <w:rPr>
                <w:rFonts w:hint="eastAsia" w:ascii="宋体" w:hAnsi="宋体" w:cs="宋体"/>
                <w:szCs w:val="21"/>
              </w:rPr>
              <w:t>系统应支持全局漏洞风险分析，能够查看指定目标地址、资产组、漏洞等级、漏洞名称、漏洞类别、漏洞评分、端口等的全局资产风险情况，能够将检索结果导出。</w:t>
            </w:r>
          </w:p>
          <w:p w14:paraId="6BA8229A">
            <w:pPr>
              <w:spacing w:line="360" w:lineRule="atLeast"/>
              <w:rPr>
                <w:rFonts w:hint="eastAsia" w:ascii="宋体" w:hAnsi="宋体"/>
                <w:b/>
                <w:bCs/>
                <w:szCs w:val="21"/>
              </w:rPr>
            </w:pPr>
            <w:r>
              <w:rPr>
                <w:rFonts w:hint="eastAsia" w:ascii="宋体" w:hAnsi="宋体"/>
                <w:b/>
                <w:bCs/>
                <w:szCs w:val="21"/>
              </w:rPr>
              <w:t>8</w:t>
            </w:r>
            <w:r>
              <w:rPr>
                <w:rFonts w:ascii="宋体" w:hAnsi="宋体"/>
                <w:b/>
                <w:bCs/>
                <w:szCs w:val="21"/>
              </w:rPr>
              <w:t>.</w:t>
            </w:r>
            <w:r>
              <w:rPr>
                <w:rFonts w:hint="eastAsia" w:ascii="宋体" w:hAnsi="宋体"/>
                <w:b/>
                <w:bCs/>
                <w:szCs w:val="21"/>
              </w:rPr>
              <w:t>设备运维管理服务</w:t>
            </w:r>
          </w:p>
          <w:p w14:paraId="72C9138A">
            <w:pPr>
              <w:spacing w:line="360" w:lineRule="atLeast"/>
              <w:rPr>
                <w:rFonts w:hint="eastAsia" w:ascii="宋体" w:hAnsi="宋体"/>
                <w:szCs w:val="21"/>
              </w:rPr>
            </w:pPr>
            <w:r>
              <w:rPr>
                <w:rFonts w:hint="eastAsia" w:ascii="宋体" w:hAnsi="宋体"/>
                <w:szCs w:val="21"/>
              </w:rPr>
              <w:t>提供设备运维管理服务，运维管理设备服务能力要求：</w:t>
            </w:r>
          </w:p>
          <w:p w14:paraId="5759B48F">
            <w:pPr>
              <w:spacing w:line="360" w:lineRule="atLeas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电口≥4个，字符并发会话数≥180，图形并发会话数≥600，存储空间≥4T</w:t>
            </w:r>
            <w:r>
              <w:rPr>
                <w:rFonts w:hint="eastAsia" w:ascii="宋体" w:hAnsi="宋体"/>
                <w:szCs w:val="21"/>
                <w:lang w:val="en-US" w:eastAsia="zh-CN"/>
              </w:rPr>
              <w:t>B</w:t>
            </w:r>
            <w:r>
              <w:rPr>
                <w:rFonts w:hint="eastAsia" w:ascii="宋体" w:hAnsi="宋体"/>
                <w:szCs w:val="21"/>
              </w:rPr>
              <w:t>，授权可管理设备数≥50台。</w:t>
            </w:r>
          </w:p>
          <w:p w14:paraId="296002FE">
            <w:pPr>
              <w:spacing w:line="360" w:lineRule="atLeast"/>
              <w:rPr>
                <w:rFonts w:hint="eastAsia" w:ascii="宋体" w:hAnsi="宋体" w:cs="宋体"/>
                <w:szCs w:val="21"/>
              </w:rPr>
            </w:pPr>
            <w:r>
              <w:rPr>
                <w:rFonts w:hint="eastAsia" w:ascii="宋体" w:hAnsi="宋体"/>
                <w:szCs w:val="21"/>
              </w:rPr>
              <w:t>（2）</w:t>
            </w:r>
            <w:r>
              <w:rPr>
                <w:rFonts w:hint="eastAsia" w:ascii="宋体" w:hAnsi="宋体" w:cs="宋体"/>
                <w:szCs w:val="21"/>
              </w:rPr>
              <w:t>支持Chrome、Firefox、IE、Safrai等主流浏览器，产品应用不依赖JAVA及Flash，支持中、英文系统语言切换；</w:t>
            </w:r>
          </w:p>
          <w:p w14:paraId="5E6557D6">
            <w:pPr>
              <w:spacing w:line="360" w:lineRule="atLeast"/>
              <w:rPr>
                <w:rFonts w:hint="eastAsia" w:ascii="宋体" w:hAnsi="宋体" w:cs="宋体"/>
                <w:szCs w:val="21"/>
              </w:rPr>
            </w:pPr>
            <w:r>
              <w:rPr>
                <w:rFonts w:hint="eastAsia" w:ascii="宋体" w:hAnsi="宋体"/>
                <w:szCs w:val="21"/>
              </w:rPr>
              <w:t>（3）</w:t>
            </w:r>
            <w:r>
              <w:rPr>
                <w:rFonts w:hint="eastAsia" w:ascii="宋体" w:hAnsi="宋体" w:cs="宋体"/>
                <w:szCs w:val="21"/>
              </w:rPr>
              <w:t>系统支持账号分权管理，包括超级管理员、配置管理员、操作员、审计员及自动化人员等多种角色，并可根据功能自定义用户角色；</w:t>
            </w:r>
          </w:p>
          <w:p w14:paraId="5C233398">
            <w:pPr>
              <w:spacing w:line="360" w:lineRule="atLeast"/>
              <w:rPr>
                <w:rFonts w:hint="eastAsia" w:ascii="宋体" w:hAnsi="宋体" w:cs="宋体"/>
                <w:szCs w:val="21"/>
              </w:rPr>
            </w:pPr>
            <w:r>
              <w:rPr>
                <w:rFonts w:hint="eastAsia" w:ascii="宋体" w:hAnsi="宋体"/>
                <w:szCs w:val="21"/>
              </w:rPr>
              <w:t>（4）</w:t>
            </w:r>
            <w:r>
              <w:rPr>
                <w:rFonts w:hint="eastAsia" w:ascii="宋体" w:hAnsi="宋体" w:cs="宋体"/>
                <w:szCs w:val="21"/>
              </w:rPr>
              <w:t>支持与Ldap、AD域、Radius、短信网关等第三方认证平台对接，实现统一身份认证；</w:t>
            </w:r>
          </w:p>
          <w:p w14:paraId="704733F0">
            <w:pPr>
              <w:spacing w:line="360" w:lineRule="atLeast"/>
              <w:rPr>
                <w:rFonts w:hint="eastAsia" w:ascii="宋体" w:hAnsi="宋体" w:cs="宋体"/>
                <w:szCs w:val="21"/>
              </w:rPr>
            </w:pPr>
            <w:r>
              <w:rPr>
                <w:rFonts w:hint="eastAsia" w:ascii="宋体" w:hAnsi="宋体"/>
                <w:szCs w:val="21"/>
              </w:rPr>
              <w:t>（5）</w:t>
            </w:r>
            <w:r>
              <w:rPr>
                <w:rFonts w:hint="eastAsia" w:ascii="宋体" w:hAnsi="宋体" w:cs="宋体"/>
                <w:szCs w:val="21"/>
              </w:rPr>
              <w:t>支持基于动态令牌、国密动态令牌、USBKEY、手机软令牌的双因素认证功能；</w:t>
            </w:r>
          </w:p>
          <w:p w14:paraId="4A6213A2">
            <w:pPr>
              <w:pStyle w:val="10"/>
              <w:jc w:val="left"/>
              <w:rPr>
                <w:rFonts w:hint="eastAsia" w:ascii="宋体" w:hAnsi="宋体" w:eastAsia="宋体" w:cs="宋体"/>
                <w:szCs w:val="21"/>
                <w:lang w:eastAsia="zh-CN"/>
              </w:rPr>
            </w:pPr>
            <w:r>
              <w:rPr>
                <w:rFonts w:hint="eastAsia" w:ascii="宋体" w:hAnsi="宋体" w:cs="宋体"/>
                <w:szCs w:val="21"/>
              </w:rPr>
              <w:t>▲（6）支持双因素组合认证，认证方式可自由组合，达到双因素的安全认证</w:t>
            </w:r>
            <w:r>
              <w:rPr>
                <w:rFonts w:hint="eastAsia" w:ascii="宋体" w:hAnsi="宋体" w:cs="宋体"/>
                <w:szCs w:val="21"/>
                <w:lang w:eastAsia="zh-CN"/>
              </w:rPr>
              <w:t>；</w:t>
            </w:r>
          </w:p>
          <w:p w14:paraId="75290FBB">
            <w:pPr>
              <w:pStyle w:val="10"/>
              <w:jc w:val="left"/>
              <w:rPr>
                <w:rFonts w:hint="eastAsia" w:ascii="宋体" w:hAnsi="宋体" w:cs="宋体"/>
                <w:szCs w:val="21"/>
              </w:rPr>
            </w:pPr>
            <w:r>
              <w:rPr>
                <w:rFonts w:hint="eastAsia" w:ascii="宋体" w:hAnsi="宋体" w:cs="宋体"/>
                <w:szCs w:val="21"/>
              </w:rPr>
              <w:t>（7）支持AD账号的自动化同步，可将未纳管的AD账号自动添加到系统中并自动赋予指定角色，无需管理员干预；</w:t>
            </w:r>
          </w:p>
          <w:p w14:paraId="50C45B6B">
            <w:pPr>
              <w:pStyle w:val="10"/>
              <w:jc w:val="left"/>
              <w:rPr>
                <w:rFonts w:hint="eastAsia" w:ascii="宋体" w:hAnsi="宋体" w:cs="宋体"/>
                <w:szCs w:val="21"/>
              </w:rPr>
            </w:pPr>
            <w:r>
              <w:rPr>
                <w:rFonts w:hint="eastAsia" w:ascii="宋体" w:hAnsi="宋体" w:cs="宋体"/>
                <w:szCs w:val="21"/>
              </w:rPr>
              <w:t>（8）支持基于用户来源IP及Mac地址限制用户的登录行为；</w:t>
            </w:r>
          </w:p>
          <w:p w14:paraId="7BFD20A7">
            <w:pPr>
              <w:pStyle w:val="10"/>
              <w:jc w:val="left"/>
              <w:rPr>
                <w:rFonts w:hint="eastAsia" w:ascii="宋体" w:hAnsi="宋体" w:cs="宋体"/>
                <w:szCs w:val="21"/>
              </w:rPr>
            </w:pPr>
            <w:r>
              <w:rPr>
                <w:rFonts w:hint="eastAsia" w:ascii="宋体" w:hAnsi="宋体" w:cs="宋体"/>
                <w:szCs w:val="21"/>
              </w:rPr>
              <w:t>（9）支持用户标签视图管理，可根据自定义的筛选条件快速统计出符合条件的账户信息；</w:t>
            </w:r>
          </w:p>
          <w:p w14:paraId="01707D2C">
            <w:pPr>
              <w:pStyle w:val="10"/>
              <w:jc w:val="left"/>
              <w:rPr>
                <w:rFonts w:hint="eastAsia" w:ascii="宋体" w:hAnsi="宋体" w:cs="宋体"/>
                <w:szCs w:val="21"/>
              </w:rPr>
            </w:pPr>
            <w:r>
              <w:rPr>
                <w:rFonts w:hint="eastAsia" w:ascii="宋体" w:hAnsi="宋体" w:cs="宋体"/>
                <w:szCs w:val="21"/>
              </w:rPr>
              <w:t>（10）支持SSH、Telnet、RDP、SFTP、XDMCP、VNC等多种协议，支持通过应用发布方式实现对BS、CS应用的纳管；</w:t>
            </w:r>
          </w:p>
          <w:p w14:paraId="1E705858">
            <w:pPr>
              <w:pStyle w:val="10"/>
              <w:jc w:val="left"/>
              <w:rPr>
                <w:rFonts w:hint="eastAsia" w:ascii="宋体" w:hAnsi="宋体" w:cs="宋体"/>
                <w:szCs w:val="21"/>
              </w:rPr>
            </w:pPr>
            <w:r>
              <w:rPr>
                <w:rFonts w:hint="eastAsia" w:ascii="宋体" w:hAnsi="宋体" w:cs="宋体"/>
                <w:szCs w:val="21"/>
              </w:rPr>
              <w:t>（11）支持按不同属性对资产进行多级分类并自动生成树状结构的资源视图；</w:t>
            </w:r>
          </w:p>
          <w:p w14:paraId="1BE4B170">
            <w:pPr>
              <w:pStyle w:val="10"/>
              <w:jc w:val="left"/>
              <w:rPr>
                <w:rFonts w:hint="eastAsia" w:ascii="宋体" w:hAnsi="宋体" w:cs="宋体"/>
                <w:szCs w:val="21"/>
              </w:rPr>
            </w:pPr>
            <w:r>
              <w:rPr>
                <w:rFonts w:hint="eastAsia" w:ascii="宋体" w:hAnsi="宋体" w:cs="宋体"/>
                <w:szCs w:val="21"/>
              </w:rPr>
              <w:t>（12）支持不同资产之间的联动配置，彼此之间可实现自动跳转访问；</w:t>
            </w:r>
          </w:p>
          <w:p w14:paraId="29327372">
            <w:pPr>
              <w:pStyle w:val="10"/>
              <w:jc w:val="left"/>
              <w:rPr>
                <w:rFonts w:hint="eastAsia" w:ascii="宋体" w:hAnsi="宋体" w:cs="宋体"/>
                <w:szCs w:val="21"/>
              </w:rPr>
            </w:pPr>
            <w:r>
              <w:rPr>
                <w:rFonts w:hint="eastAsia" w:ascii="宋体" w:hAnsi="宋体" w:cs="宋体"/>
                <w:szCs w:val="21"/>
              </w:rPr>
              <w:t>（13）支持将一个实际资产/账号在系统中配置成多个资产/账号，并自动同步属性和配置；</w:t>
            </w:r>
          </w:p>
          <w:p w14:paraId="25F9A42D">
            <w:pPr>
              <w:pStyle w:val="10"/>
              <w:jc w:val="left"/>
              <w:rPr>
                <w:rFonts w:hint="eastAsia" w:ascii="宋体" w:hAnsi="宋体" w:cs="宋体"/>
                <w:szCs w:val="21"/>
              </w:rPr>
            </w:pPr>
            <w:r>
              <w:rPr>
                <w:rFonts w:hint="eastAsia" w:ascii="宋体" w:hAnsi="宋体"/>
                <w:szCs w:val="21"/>
              </w:rPr>
              <w:t>（14）</w:t>
            </w:r>
            <w:r>
              <w:rPr>
                <w:rFonts w:hint="eastAsia" w:ascii="宋体" w:hAnsi="宋体" w:cs="宋体"/>
                <w:szCs w:val="21"/>
              </w:rPr>
              <w:t>支持用户帐号和目标设备的部门分权，不同的用户和设备可以归属于不同的部门（子部门），支持访问控制策略按部门分权，不同部门的配置管理员只能针对自己部门及自己直属子部门设备进行访问权限设置；</w:t>
            </w:r>
          </w:p>
          <w:p w14:paraId="395353C7">
            <w:pPr>
              <w:pStyle w:val="10"/>
              <w:jc w:val="left"/>
              <w:rPr>
                <w:rFonts w:hint="eastAsia" w:ascii="宋体" w:hAnsi="宋体" w:cs="宋体"/>
                <w:szCs w:val="21"/>
              </w:rPr>
            </w:pPr>
            <w:r>
              <w:rPr>
                <w:rFonts w:hint="eastAsia" w:ascii="宋体" w:hAnsi="宋体"/>
                <w:szCs w:val="21"/>
              </w:rPr>
              <w:t>（15）</w:t>
            </w:r>
            <w:r>
              <w:rPr>
                <w:rFonts w:hint="eastAsia" w:ascii="宋体" w:hAnsi="宋体" w:cs="宋体"/>
                <w:szCs w:val="21"/>
              </w:rPr>
              <w:t>支持动态权限管控，管理员可基于用户属性、设备属性、系统账号属性来创建弹性动态权限规则，只要满足相关属性的用户、设备、账号即会被自动赋予对应访问权限；</w:t>
            </w:r>
          </w:p>
          <w:p w14:paraId="33F5948E">
            <w:pPr>
              <w:pStyle w:val="10"/>
              <w:jc w:val="left"/>
              <w:rPr>
                <w:rFonts w:hint="eastAsia" w:ascii="宋体" w:hAnsi="宋体" w:cs="宋体"/>
                <w:szCs w:val="21"/>
              </w:rPr>
            </w:pPr>
            <w:r>
              <w:rPr>
                <w:rFonts w:hint="eastAsia" w:ascii="宋体" w:hAnsi="宋体" w:cs="宋体"/>
                <w:szCs w:val="21"/>
              </w:rPr>
              <w:t>▲（16）针对基于云盘模式的文件传输操作：用户将文件暂存在系统上，然后一键上传到目标资产或者一键下载到用户本地，同时可通过文件分享功能以URL链接的方式将文件分享给其他用户；（17）支持图形化操作智能审计，可在审计回放界面上，同步显示关键的键盘操作、标题栏操作、剪贴板操作等文字信息，并能在点击任意文字信息，可直接定位到相关画面；</w:t>
            </w:r>
          </w:p>
          <w:p w14:paraId="616BC0D8">
            <w:pPr>
              <w:pStyle w:val="10"/>
              <w:jc w:val="left"/>
              <w:rPr>
                <w:rFonts w:hint="eastAsia" w:ascii="宋体" w:hAnsi="宋体"/>
                <w:szCs w:val="21"/>
              </w:rPr>
            </w:pPr>
            <w:r>
              <w:rPr>
                <w:rFonts w:hint="eastAsia" w:ascii="宋体" w:hAnsi="宋体" w:cs="宋体"/>
                <w:szCs w:val="21"/>
              </w:rPr>
              <w:t>（18）支持图形操作的关键事件切片，管理员点击任意切片，即可直接定位到对应操作片段。</w:t>
            </w:r>
          </w:p>
          <w:p w14:paraId="694A7B95">
            <w:pPr>
              <w:spacing w:line="360" w:lineRule="atLeast"/>
              <w:rPr>
                <w:rFonts w:hint="eastAsia" w:ascii="宋体" w:hAnsi="宋体"/>
                <w:b/>
                <w:bCs/>
                <w:szCs w:val="21"/>
              </w:rPr>
            </w:pPr>
            <w:r>
              <w:rPr>
                <w:rFonts w:hint="eastAsia" w:ascii="宋体" w:hAnsi="宋体"/>
                <w:b/>
                <w:bCs/>
                <w:szCs w:val="21"/>
              </w:rPr>
              <w:t>9</w:t>
            </w:r>
            <w:r>
              <w:rPr>
                <w:rFonts w:ascii="宋体" w:hAnsi="宋体"/>
                <w:b/>
                <w:bCs/>
                <w:szCs w:val="21"/>
              </w:rPr>
              <w:t>.</w:t>
            </w:r>
            <w:r>
              <w:rPr>
                <w:rFonts w:hint="eastAsia" w:ascii="宋体" w:hAnsi="宋体"/>
                <w:b/>
                <w:bCs/>
                <w:szCs w:val="21"/>
              </w:rPr>
              <w:t>安全态势感知服务</w:t>
            </w:r>
          </w:p>
          <w:p w14:paraId="748D4D47">
            <w:pPr>
              <w:spacing w:line="360" w:lineRule="atLeast"/>
              <w:rPr>
                <w:rFonts w:hint="eastAsia" w:ascii="宋体" w:hAnsi="宋体"/>
                <w:szCs w:val="21"/>
              </w:rPr>
            </w:pPr>
            <w:r>
              <w:rPr>
                <w:rFonts w:hint="eastAsia" w:ascii="宋体" w:hAnsi="宋体"/>
                <w:szCs w:val="21"/>
              </w:rPr>
              <w:t>提供安全态势感知服务，设备服务能力要求：</w:t>
            </w:r>
          </w:p>
          <w:p w14:paraId="3D62043F">
            <w:pPr>
              <w:spacing w:line="360" w:lineRule="atLeast"/>
              <w:rPr>
                <w:rFonts w:hint="eastAsia" w:ascii="宋体" w:hAnsi="宋体"/>
                <w:szCs w:val="21"/>
              </w:rPr>
            </w:pPr>
            <w:r>
              <w:rPr>
                <w:rFonts w:hint="eastAsia" w:ascii="宋体" w:hAnsi="宋体"/>
                <w:szCs w:val="21"/>
              </w:rPr>
              <w:t>（1）具备对威胁的实时监测、预警与处置能力；</w:t>
            </w:r>
          </w:p>
          <w:p w14:paraId="2AEF3E87">
            <w:pPr>
              <w:spacing w:line="360" w:lineRule="atLeast"/>
              <w:rPr>
                <w:rFonts w:hint="eastAsia" w:ascii="宋体" w:hAnsi="宋体"/>
                <w:szCs w:val="21"/>
              </w:rPr>
            </w:pPr>
            <w:r>
              <w:rPr>
                <w:rFonts w:hint="eastAsia" w:ascii="宋体" w:hAnsi="宋体"/>
                <w:szCs w:val="21"/>
              </w:rPr>
              <w:t>（2）提供API及其他数据接口，可与广西教育网网络中心安全态势感知系统对接，可上传教育城域网的资产信息、安全事件、脆弱性风险等信息；支持与广西教育数据中心现有广西教育网络安全管理信息系统对接，上传安全日志和工单通报，工单通报内容包括事件描述、事件危害、所属单位、事件等级、处理时间、通报时间等信息。</w:t>
            </w:r>
          </w:p>
          <w:p w14:paraId="3EC229C1">
            <w:pPr>
              <w:pStyle w:val="10"/>
              <w:jc w:val="left"/>
              <w:rPr>
                <w:rFonts w:hint="eastAsia" w:ascii="宋体" w:hAnsi="宋体" w:cs="宋体"/>
                <w:szCs w:val="21"/>
              </w:rPr>
            </w:pPr>
            <w:r>
              <w:rPr>
                <w:rFonts w:hint="eastAsia" w:ascii="宋体" w:hAnsi="宋体" w:cs="宋体"/>
                <w:szCs w:val="21"/>
              </w:rPr>
              <w:t>（3）标准2U机架式设备，网络安全态势感知分析平台基础软硬件一体化设备，配置≥2颗CPU，单颗CPU性能≥8核，内存≥128GB，硬盘盘位≥14个，标配600GB SAS硬盘≥2个，4TB SATA硬盘≥2个，配置GE千兆电口≥4个，支持额外扩展≥24个GE千兆电口/12个10GE万兆光口，电源：标配一块交流电源，支持冗余电源；</w:t>
            </w:r>
          </w:p>
          <w:p w14:paraId="562D0B7A">
            <w:pPr>
              <w:pStyle w:val="10"/>
              <w:jc w:val="left"/>
              <w:rPr>
                <w:rFonts w:hint="eastAsia" w:ascii="宋体" w:hAnsi="宋体" w:cs="宋体"/>
                <w:szCs w:val="21"/>
              </w:rPr>
            </w:pPr>
            <w:r>
              <w:rPr>
                <w:rFonts w:hint="eastAsia" w:ascii="宋体" w:hAnsi="宋体" w:cs="宋体"/>
                <w:szCs w:val="21"/>
              </w:rPr>
              <w:t>（4）支持事件入库性能：≥4000条/秒；日志源接入数量≥512个；配置威胁情报更新升级授权≥3年；</w:t>
            </w:r>
          </w:p>
          <w:p w14:paraId="4BE8BF21">
            <w:pPr>
              <w:pStyle w:val="10"/>
              <w:jc w:val="left"/>
              <w:rPr>
                <w:rFonts w:hint="eastAsia" w:ascii="宋体" w:hAnsi="宋体" w:cs="宋体"/>
                <w:szCs w:val="21"/>
              </w:rPr>
            </w:pPr>
            <w:r>
              <w:rPr>
                <w:rFonts w:hint="eastAsia" w:ascii="宋体" w:hAnsi="宋体" w:cs="宋体"/>
                <w:szCs w:val="21"/>
              </w:rPr>
              <w:t>（5）为了方便用户清楚全网安全状态，支持全网安全风险监控展示，包括但不限于风险资产数、风险用户数、安全事件总数、未处理、处理中、已处理和已忽略的安全事件数，支持今日新增提示；支持安全度打分和历史趋势查看，能够进行资产和用户安全状态分布统计，TOP5风险资产/风险用户，并支持更多风险情况下钻，快速聚焦安全问题点；</w:t>
            </w:r>
          </w:p>
          <w:p w14:paraId="1269FA58">
            <w:pPr>
              <w:pStyle w:val="10"/>
              <w:jc w:val="left"/>
              <w:rPr>
                <w:rFonts w:hint="eastAsia" w:ascii="宋体" w:hAnsi="宋体" w:cs="宋体"/>
                <w:szCs w:val="21"/>
              </w:rPr>
            </w:pPr>
            <w:r>
              <w:rPr>
                <w:rFonts w:hint="eastAsia" w:ascii="宋体" w:hAnsi="宋体" w:cs="宋体"/>
                <w:szCs w:val="21"/>
              </w:rPr>
              <w:t>（6）平台首页支持以24小时、7天、30天维度展示攻击阶段分布统计和安全事件分布统计；展示所有资产已统计的内网开放端口和互联网开放端口分布，清楚了解现网开放端口情况；综合概览首页支持定期报表（日、周、月报）查看和下载，并可操作直接跳转到报表管理模块；</w:t>
            </w:r>
          </w:p>
          <w:p w14:paraId="733776CF">
            <w:pPr>
              <w:pStyle w:val="10"/>
              <w:jc w:val="left"/>
              <w:rPr>
                <w:rFonts w:hint="eastAsia" w:ascii="宋体" w:hAnsi="宋体" w:cs="宋体"/>
                <w:szCs w:val="21"/>
              </w:rPr>
            </w:pPr>
            <w:r>
              <w:rPr>
                <w:rFonts w:hint="eastAsia" w:ascii="宋体" w:hAnsi="宋体" w:cs="宋体"/>
                <w:szCs w:val="21"/>
                <w:lang w:val="en-US" w:eastAsia="zh-CN"/>
              </w:rPr>
              <w:t>(</w:t>
            </w:r>
            <w:r>
              <w:rPr>
                <w:rFonts w:hint="eastAsia" w:ascii="宋体" w:hAnsi="宋体" w:cs="宋体"/>
                <w:szCs w:val="21"/>
              </w:rPr>
              <w:t>7）平台支持通过勾选方式，选择指定租户、指定区域、指定子分区，从而查看对应分区的态势数据；单租户支持至少纵向5级子分区查看；</w:t>
            </w:r>
          </w:p>
          <w:p w14:paraId="12FFD258">
            <w:pPr>
              <w:pStyle w:val="10"/>
              <w:jc w:val="left"/>
              <w:rPr>
                <w:rFonts w:hint="eastAsia" w:ascii="宋体" w:hAnsi="宋体" w:cs="宋体"/>
                <w:szCs w:val="21"/>
              </w:rPr>
            </w:pPr>
            <w:r>
              <w:rPr>
                <w:rFonts w:hint="eastAsia" w:ascii="宋体" w:hAnsi="宋体" w:cs="宋体"/>
                <w:szCs w:val="21"/>
              </w:rPr>
              <w:t>（8）平台支持在首页主动威胁探测搜索框查询，可使用资产IP/资产名称/用户名称/情报IP/URL/域名/MD5进行快速风险搜索查询，帮助用户快速查找定位所关心的风险点；</w:t>
            </w:r>
          </w:p>
          <w:p w14:paraId="3E0B7841">
            <w:pPr>
              <w:pStyle w:val="10"/>
              <w:jc w:val="left"/>
              <w:rPr>
                <w:rFonts w:hint="eastAsia" w:ascii="宋体" w:hAnsi="宋体" w:cs="宋体"/>
                <w:szCs w:val="21"/>
              </w:rPr>
            </w:pPr>
            <w:r>
              <w:rPr>
                <w:rFonts w:hint="eastAsia" w:ascii="宋体" w:hAnsi="宋体" w:cs="宋体"/>
                <w:szCs w:val="21"/>
              </w:rPr>
              <w:t>（9）平台支持实时监测整网遭受的威胁情况，包括但不限于展示当前存在的安全事件数、攻击源排名、实时威胁事件列表、事件攻击阶段分布、TOP5风险资产、威胁事件的排名，提升针对网络安全事件的溯源能力；</w:t>
            </w:r>
          </w:p>
          <w:p w14:paraId="5F06606B">
            <w:pPr>
              <w:pStyle w:val="10"/>
              <w:jc w:val="left"/>
              <w:rPr>
                <w:rFonts w:hint="eastAsia" w:ascii="宋体" w:hAnsi="宋体" w:cs="宋体"/>
                <w:szCs w:val="21"/>
              </w:rPr>
            </w:pPr>
            <w:r>
              <w:rPr>
                <w:rFonts w:hint="eastAsia" w:ascii="宋体" w:hAnsi="宋体" w:cs="宋体"/>
                <w:szCs w:val="21"/>
              </w:rPr>
              <w:t>（10）平台支持脆弱性态势，从宏观维度呈现网络安全风险情况，帮助用户预警安全风险。支持网络风险（漏洞/弱口令/配置风险）维度呈现资产状况，能够通过下钻查看每一类脆弱性风险影响的资产。支持资产维度呈现风险分布，包括漏洞/弱口令/配置风险所对应的风险资产数量，并下钻到查看资产的脆弱性详情；</w:t>
            </w:r>
          </w:p>
          <w:p w14:paraId="5A6E81ED">
            <w:pPr>
              <w:pStyle w:val="10"/>
              <w:jc w:val="left"/>
              <w:rPr>
                <w:rFonts w:hint="eastAsia" w:ascii="宋体" w:hAnsi="宋体" w:cs="宋体"/>
                <w:szCs w:val="21"/>
              </w:rPr>
            </w:pPr>
            <w:r>
              <w:rPr>
                <w:rFonts w:hint="eastAsia" w:ascii="宋体" w:hAnsi="宋体" w:cs="宋体"/>
                <w:szCs w:val="21"/>
              </w:rPr>
              <w:t>▲（11）为了解决无安全设备场景下的自动化应急响应，支持响应处置联动，要求SOAR模块能够支持同品牌路由器、交换机、用户准入认证系统、无线控制器联动；</w:t>
            </w:r>
          </w:p>
          <w:p w14:paraId="26F4FA19">
            <w:pPr>
              <w:pStyle w:val="10"/>
              <w:jc w:val="left"/>
              <w:rPr>
                <w:rFonts w:hint="eastAsia" w:ascii="宋体" w:hAnsi="宋体" w:cs="宋体"/>
                <w:szCs w:val="21"/>
              </w:rPr>
            </w:pPr>
            <w:r>
              <w:rPr>
                <w:rFonts w:hint="eastAsia" w:ascii="宋体" w:hAnsi="宋体" w:cs="宋体"/>
                <w:szCs w:val="21"/>
              </w:rPr>
              <w:t>（12）支持基于流量访问行为基线进行资产离线行为识别，可自定义设置超过一定时间阈值无流量访问资产为离线资产，便于关注资产活跃程度分析；</w:t>
            </w:r>
          </w:p>
          <w:p w14:paraId="617C9614">
            <w:pPr>
              <w:pStyle w:val="10"/>
              <w:jc w:val="left"/>
              <w:rPr>
                <w:rFonts w:hint="eastAsia" w:ascii="宋体" w:hAnsi="宋体" w:cs="宋体"/>
                <w:szCs w:val="21"/>
              </w:rPr>
            </w:pPr>
            <w:r>
              <w:rPr>
                <w:rFonts w:hint="eastAsia" w:ascii="宋体" w:hAnsi="宋体" w:cs="宋体"/>
                <w:szCs w:val="21"/>
              </w:rPr>
              <w:t>▲（13）支持同品牌漏扫设备任务调度，支持立即或者周期性扫描任务，扫描类型包括主机、WEB、数据库、弱口令破解。支持扫描结果自动与平台资产关联。同时支持对资产进行快速漏洞扫描；</w:t>
            </w:r>
          </w:p>
          <w:p w14:paraId="3C741EE8">
            <w:pPr>
              <w:pStyle w:val="10"/>
              <w:jc w:val="left"/>
              <w:rPr>
                <w:rFonts w:hint="eastAsia" w:ascii="宋体" w:hAnsi="宋体" w:cs="宋体"/>
                <w:szCs w:val="21"/>
              </w:rPr>
            </w:pPr>
            <w:r>
              <w:rPr>
                <w:rFonts w:hint="eastAsia" w:ascii="宋体" w:hAnsi="宋体" w:cs="宋体"/>
                <w:szCs w:val="21"/>
              </w:rPr>
              <w:t>（14）攻击方式越来越复杂的现状下，平台支持展示攻击阶段分布情况，支持按照扫描侦察、入侵、命令控制、横向渗透、网络黑产、数据盗取、系统破坏攻击链显示整网安全事件所处的攻击阶段；对单个风险资产/用户统计该资产的安全事件所处的攻击阶段；支持按天周月进行安全事件统计；</w:t>
            </w:r>
          </w:p>
          <w:p w14:paraId="249BE476">
            <w:pPr>
              <w:pStyle w:val="10"/>
              <w:jc w:val="left"/>
              <w:rPr>
                <w:rFonts w:hint="eastAsia" w:ascii="宋体" w:hAnsi="宋体" w:cs="宋体"/>
                <w:szCs w:val="21"/>
              </w:rPr>
            </w:pPr>
            <w:r>
              <w:rPr>
                <w:rFonts w:hint="eastAsia" w:ascii="宋体" w:hAnsi="宋体" w:cs="宋体"/>
                <w:szCs w:val="21"/>
              </w:rPr>
              <w:t>▲（15）被监管单位通报后，</w:t>
            </w:r>
            <w:r>
              <w:rPr>
                <w:rFonts w:hint="eastAsia" w:ascii="宋体" w:hAnsi="宋体" w:cs="宋体"/>
                <w:szCs w:val="21"/>
                <w:lang w:eastAsia="zh-CN"/>
              </w:rPr>
              <w:t>能</w:t>
            </w:r>
            <w:r>
              <w:rPr>
                <w:rFonts w:hint="eastAsia" w:ascii="宋体" w:hAnsi="宋体" w:cs="宋体"/>
                <w:szCs w:val="21"/>
              </w:rPr>
              <w:t>定位内网真实主机，要求平台支持NAT溯源功能，查找内网资产，并能够查看相对应的安全风险；在此基础上支持查找相似行为主机，提前规避再次接受到类似通报；通过设置溯源时间、NAT转换源/目的IP、NAT转换源/目的端口进行自动化查询，实现溯源定位。</w:t>
            </w:r>
          </w:p>
          <w:p w14:paraId="1A048FFC">
            <w:pPr>
              <w:pStyle w:val="10"/>
              <w:jc w:val="left"/>
              <w:rPr>
                <w:rFonts w:hint="eastAsia" w:ascii="宋体" w:hAnsi="宋体"/>
                <w:b/>
                <w:bCs/>
                <w:szCs w:val="21"/>
              </w:rPr>
            </w:pPr>
            <w:r>
              <w:rPr>
                <w:rFonts w:hint="eastAsia" w:ascii="宋体" w:hAnsi="宋体"/>
                <w:b/>
                <w:bCs/>
                <w:szCs w:val="21"/>
              </w:rPr>
              <w:t>10</w:t>
            </w:r>
            <w:r>
              <w:rPr>
                <w:rFonts w:ascii="宋体" w:hAnsi="宋体"/>
                <w:b/>
                <w:bCs/>
                <w:szCs w:val="21"/>
              </w:rPr>
              <w:t>.</w:t>
            </w:r>
            <w:r>
              <w:rPr>
                <w:rFonts w:hint="eastAsia" w:ascii="宋体" w:hAnsi="宋体"/>
                <w:b/>
                <w:bCs/>
                <w:szCs w:val="21"/>
              </w:rPr>
              <w:t>安全流量探针服务</w:t>
            </w:r>
          </w:p>
          <w:p w14:paraId="16F49E94">
            <w:pPr>
              <w:pStyle w:val="10"/>
              <w:jc w:val="left"/>
              <w:rPr>
                <w:rFonts w:hint="eastAsia" w:ascii="宋体" w:hAnsi="宋体" w:cs="宋体"/>
                <w:szCs w:val="21"/>
              </w:rPr>
            </w:pPr>
            <w:r>
              <w:rPr>
                <w:rFonts w:hint="eastAsia" w:ascii="宋体" w:hAnsi="宋体" w:cs="宋体"/>
                <w:szCs w:val="21"/>
              </w:rPr>
              <w:t>为保证系统具备足够的转发与数据处理能力，配置千兆电口≥16个、千兆光口≥6个</w:t>
            </w:r>
            <w:r>
              <w:rPr>
                <w:rFonts w:hint="eastAsia" w:ascii="宋体" w:hAnsi="宋体" w:cs="宋体"/>
                <w:szCs w:val="21"/>
                <w:lang w:eastAsia="zh-CN"/>
              </w:rPr>
              <w:t>、</w:t>
            </w:r>
            <w:r>
              <w:rPr>
                <w:rFonts w:hint="eastAsia" w:ascii="宋体" w:hAnsi="宋体" w:cs="宋体"/>
                <w:szCs w:val="21"/>
              </w:rPr>
              <w:t>万兆光口≥2个，支持接口扩展，配置双交流电源；服务期内特征库免费升级；</w:t>
            </w:r>
          </w:p>
          <w:p w14:paraId="30FEF707">
            <w:pPr>
              <w:pStyle w:val="10"/>
              <w:jc w:val="left"/>
              <w:rPr>
                <w:rFonts w:hint="eastAsia" w:ascii="宋体" w:hAnsi="宋体" w:cs="宋体"/>
                <w:szCs w:val="21"/>
              </w:rPr>
            </w:pPr>
            <w:r>
              <w:rPr>
                <w:rFonts w:hint="eastAsia" w:ascii="宋体" w:hAnsi="宋体" w:cs="宋体"/>
                <w:szCs w:val="21"/>
              </w:rPr>
              <w:t>（1）性能规格：应用层吞吐量≥1.8Gbps；</w:t>
            </w:r>
          </w:p>
          <w:p w14:paraId="5F5452A2">
            <w:pPr>
              <w:pStyle w:val="10"/>
              <w:jc w:val="left"/>
              <w:rPr>
                <w:rFonts w:hint="eastAsia" w:ascii="宋体" w:hAnsi="宋体" w:cs="宋体"/>
                <w:szCs w:val="21"/>
              </w:rPr>
            </w:pPr>
            <w:r>
              <w:rPr>
                <w:rFonts w:hint="eastAsia" w:ascii="宋体" w:hAnsi="宋体" w:cs="宋体"/>
                <w:szCs w:val="21"/>
              </w:rPr>
              <w:t>（2）IPS攻击特征库数量≥8500条、病毒特征库数量≥600万条、支持的应用协议识别数量≥6000条、WEB攻击特征库≥3500条；</w:t>
            </w:r>
          </w:p>
          <w:p w14:paraId="11C612C3">
            <w:pPr>
              <w:pStyle w:val="10"/>
              <w:jc w:val="left"/>
              <w:rPr>
                <w:rFonts w:hint="eastAsia" w:ascii="宋体" w:hAnsi="宋体" w:cs="宋体"/>
                <w:szCs w:val="21"/>
              </w:rPr>
            </w:pPr>
            <w:r>
              <w:rPr>
                <w:rFonts w:hint="eastAsia" w:ascii="宋体" w:hAnsi="宋体" w:cs="宋体"/>
                <w:szCs w:val="21"/>
              </w:rPr>
              <w:t>（3）为了保障检测全面性，探针</w:t>
            </w:r>
            <w:r>
              <w:rPr>
                <w:rFonts w:hint="eastAsia" w:ascii="宋体" w:hAnsi="宋体" w:cs="宋体"/>
                <w:szCs w:val="21"/>
                <w:lang w:eastAsia="zh-CN"/>
              </w:rPr>
              <w:t>能</w:t>
            </w:r>
            <w:r>
              <w:rPr>
                <w:rFonts w:hint="eastAsia" w:ascii="宋体" w:hAnsi="宋体" w:cs="宋体"/>
                <w:szCs w:val="21"/>
              </w:rPr>
              <w:t>对流量一次性完成入侵威胁检测、防病毒检测、应用识别检测、URL信誉检测、WEB攻击检测、威胁情报匹配检测</w:t>
            </w:r>
          </w:p>
          <w:p w14:paraId="3814921F">
            <w:pPr>
              <w:pStyle w:val="10"/>
              <w:jc w:val="left"/>
              <w:rPr>
                <w:rFonts w:hint="eastAsia" w:ascii="宋体" w:hAnsi="宋体" w:cs="宋体"/>
                <w:szCs w:val="21"/>
              </w:rPr>
            </w:pPr>
            <w:r>
              <w:rPr>
                <w:rFonts w:hint="eastAsia" w:ascii="宋体" w:hAnsi="宋体" w:cs="宋体"/>
                <w:szCs w:val="21"/>
              </w:rPr>
              <w:t>▲（4）为了防止攻击者利用常见网络协议进行攻击，要求流量探针能够对协议流量里的漏洞、恶意软件利用、传输文件等进行检测，给出风险级别判定结果；</w:t>
            </w:r>
          </w:p>
          <w:p w14:paraId="5FD7E8D1">
            <w:pPr>
              <w:pStyle w:val="10"/>
              <w:jc w:val="left"/>
              <w:rPr>
                <w:rFonts w:hint="eastAsia" w:ascii="宋体" w:hAnsi="宋体" w:cs="宋体"/>
                <w:szCs w:val="21"/>
              </w:rPr>
            </w:pPr>
            <w:r>
              <w:rPr>
                <w:rFonts w:hint="eastAsia" w:ascii="宋体" w:hAnsi="宋体" w:cs="宋体"/>
                <w:szCs w:val="21"/>
              </w:rPr>
              <w:t>（5）支持远程代码执行漏洞、内存破坏漏洞、溢出攻击漏洞、权限提升漏洞、命令注入漏洞、跨站脚本漏洞、文件包含漏洞、安全绕过漏洞等漏洞攻击检测；</w:t>
            </w:r>
          </w:p>
          <w:p w14:paraId="5C7AB632">
            <w:pPr>
              <w:pStyle w:val="10"/>
              <w:jc w:val="left"/>
              <w:rPr>
                <w:rFonts w:hint="eastAsia" w:ascii="宋体" w:hAnsi="宋体" w:cs="宋体"/>
                <w:szCs w:val="21"/>
              </w:rPr>
            </w:pPr>
            <w:r>
              <w:rPr>
                <w:rFonts w:hint="eastAsia" w:ascii="宋体" w:hAnsi="宋体" w:cs="宋体"/>
                <w:szCs w:val="21"/>
              </w:rPr>
              <w:t>（6）为了防止敏感数据泄露，支持对传输的文件和内容进行识别过滤，比如对身份证、信用卡、银行卡、社会安全卡号等类型数据进行匹配，同时支持自定义敏感数据；</w:t>
            </w:r>
          </w:p>
          <w:p w14:paraId="282FE8B5">
            <w:pPr>
              <w:pStyle w:val="10"/>
              <w:jc w:val="left"/>
              <w:rPr>
                <w:rFonts w:hint="eastAsia" w:ascii="宋体" w:hAnsi="宋体" w:eastAsia="宋体" w:cs="宋体"/>
                <w:szCs w:val="21"/>
                <w:lang w:eastAsia="zh-CN"/>
              </w:rPr>
            </w:pPr>
            <w:r>
              <w:rPr>
                <w:rFonts w:hint="eastAsia" w:ascii="宋体" w:hAnsi="宋体" w:cs="宋体"/>
                <w:szCs w:val="21"/>
              </w:rPr>
              <w:t>（7）支持关键文件的识别，能识别的关键文件类型应包含至少以下几类：文档类如Excel、PDF、PowerPoint、Word等，压缩文件类如ZIP、RAR、TGZ等，图像类如BMP、PNG、JPEG等，音频视频类如ASF等，脚本类如JS、Perl、PYTHON、PHP等，网页类如XML、HTML等</w:t>
            </w:r>
            <w:r>
              <w:rPr>
                <w:rFonts w:hint="eastAsia" w:ascii="宋体" w:hAnsi="宋体" w:cs="宋体"/>
                <w:szCs w:val="21"/>
                <w:lang w:eastAsia="zh-CN"/>
              </w:rPr>
              <w:t>；</w:t>
            </w:r>
          </w:p>
          <w:p w14:paraId="7B1DD671">
            <w:pPr>
              <w:pStyle w:val="10"/>
              <w:jc w:val="left"/>
              <w:rPr>
                <w:rFonts w:hint="eastAsia" w:ascii="宋体" w:hAnsi="宋体" w:cs="宋体"/>
                <w:szCs w:val="21"/>
              </w:rPr>
            </w:pPr>
            <w:r>
              <w:rPr>
                <w:rFonts w:hint="eastAsia" w:ascii="宋体" w:hAnsi="宋体" w:cs="宋体"/>
                <w:szCs w:val="21"/>
              </w:rPr>
              <w:t>（8）能够检测的DOS/DDOS攻击包括但不限于如下类型： Land、Smurf、Fraggle、WinNuke、Ping of Death、Tear Drop、IP Spoofing、SYN Flood、ICMP Flood、UDP Flood、SIP Flood、DNS reply Flood、HTTP Flood（cc）攻击、HTTP慢速攻击检测、ARP欺骗、TCP报文标志位不合法、超大ICMP报文、地址扫描的防范、端口扫描的防范、DNS Flood、ACK Flood、FIN Flood、分片Flood、Tiny-Fragment；</w:t>
            </w:r>
          </w:p>
          <w:p w14:paraId="58057D46">
            <w:pPr>
              <w:pStyle w:val="10"/>
              <w:jc w:val="left"/>
              <w:rPr>
                <w:rFonts w:hint="eastAsia" w:ascii="宋体" w:hAnsi="宋体" w:cs="宋体"/>
                <w:szCs w:val="21"/>
              </w:rPr>
            </w:pPr>
            <w:r>
              <w:rPr>
                <w:rFonts w:hint="eastAsia" w:ascii="宋体" w:hAnsi="宋体" w:cs="宋体"/>
                <w:szCs w:val="21"/>
              </w:rPr>
              <w:t>（9）为了保证业务系统的正常运行，流量探针具备独立的C&amp;C检测引擎，能够自定义C&amp;C检测规则，包括自定义请求方法（get、post、head、put、delete、connect）、防护路径、请求速率、请求集中度、原始IP检测等；</w:t>
            </w:r>
          </w:p>
          <w:p w14:paraId="69319B72">
            <w:pPr>
              <w:pStyle w:val="10"/>
              <w:jc w:val="left"/>
              <w:rPr>
                <w:rFonts w:hint="eastAsia" w:ascii="宋体" w:hAnsi="宋体" w:cs="宋体"/>
                <w:szCs w:val="21"/>
              </w:rPr>
            </w:pPr>
            <w:r>
              <w:rPr>
                <w:rFonts w:hint="eastAsia" w:ascii="宋体" w:hAnsi="宋体" w:cs="宋体"/>
                <w:szCs w:val="21"/>
              </w:rPr>
              <w:t>（10）支持SQL注入攻击、命令注入、脚本注入等注入类攻击的检测；</w:t>
            </w:r>
          </w:p>
          <w:p w14:paraId="1DC5E080">
            <w:pPr>
              <w:pStyle w:val="10"/>
              <w:jc w:val="left"/>
              <w:rPr>
                <w:rFonts w:hint="eastAsia" w:ascii="宋体" w:hAnsi="宋体" w:cs="宋体"/>
                <w:szCs w:val="21"/>
              </w:rPr>
            </w:pPr>
            <w:r>
              <w:rPr>
                <w:rFonts w:hint="eastAsia" w:ascii="宋体" w:hAnsi="宋体" w:cs="宋体"/>
                <w:szCs w:val="21"/>
              </w:rPr>
              <w:t>（11）基于应用协议识别对各类聊天软件进行详细审计，可审计应用类型（如QQ、微信），应用识别账号，应用行为（如登录、发送消息、接收消息）等；</w:t>
            </w:r>
          </w:p>
          <w:p w14:paraId="4973FC47">
            <w:pPr>
              <w:pStyle w:val="10"/>
              <w:jc w:val="left"/>
              <w:rPr>
                <w:rFonts w:hint="eastAsia" w:ascii="宋体" w:hAnsi="宋体" w:cs="宋体"/>
                <w:szCs w:val="21"/>
              </w:rPr>
            </w:pPr>
            <w:r>
              <w:rPr>
                <w:rFonts w:hint="eastAsia" w:ascii="宋体" w:hAnsi="宋体" w:cs="宋体"/>
                <w:szCs w:val="21"/>
              </w:rPr>
              <w:t>（12）为了满足灵活适配应用变化的需求，支持自定义应用审计规则，包括指定应用类别、应用名称、应用行为、行为内容、匹配类型、匹配关键字等；</w:t>
            </w:r>
          </w:p>
          <w:p w14:paraId="360751A1">
            <w:pPr>
              <w:pStyle w:val="10"/>
              <w:jc w:val="left"/>
              <w:rPr>
                <w:rFonts w:hint="eastAsia"/>
              </w:rPr>
            </w:pPr>
            <w:r>
              <w:rPr>
                <w:rFonts w:hint="eastAsia" w:ascii="宋体" w:hAnsi="宋体" w:cs="宋体"/>
                <w:szCs w:val="21"/>
              </w:rPr>
              <w:t>▲（13）通用攻击规则库无法完全满足安全防护的需求，可以根据自己网络实际环境情况，自定义去构建特征</w:t>
            </w:r>
            <w:r>
              <w:rPr>
                <w:rFonts w:hint="eastAsia" w:ascii="宋体" w:hAnsi="宋体" w:cs="宋体"/>
                <w:szCs w:val="21"/>
                <w:lang w:eastAsia="zh-CN"/>
              </w:rPr>
              <w:t>，</w:t>
            </w:r>
            <w:r>
              <w:rPr>
                <w:rFonts w:hint="eastAsia" w:ascii="宋体" w:hAnsi="宋体" w:cs="宋体"/>
                <w:szCs w:val="21"/>
              </w:rPr>
              <w:t>指定特征协议字段、匹配模式、匹配内容、检测深度、偏移量等内容；</w:t>
            </w:r>
          </w:p>
          <w:p w14:paraId="38731EA6">
            <w:pPr>
              <w:pStyle w:val="10"/>
            </w:pPr>
            <w:r>
              <w:rPr>
                <w:rFonts w:hint="eastAsia" w:ascii="宋体" w:hAnsi="宋体" w:cs="宋体"/>
                <w:szCs w:val="21"/>
              </w:rPr>
              <w:t>（14）要求与态势感知同一品牌。</w:t>
            </w:r>
          </w:p>
          <w:p w14:paraId="0D32B579">
            <w:pPr>
              <w:spacing w:line="360" w:lineRule="atLeast"/>
              <w:rPr>
                <w:rFonts w:hint="eastAsia" w:ascii="宋体" w:hAnsi="宋体"/>
                <w:b/>
                <w:bCs/>
                <w:szCs w:val="21"/>
              </w:rPr>
            </w:pPr>
            <w:r>
              <w:rPr>
                <w:rFonts w:ascii="宋体" w:hAnsi="宋体"/>
                <w:b/>
                <w:bCs/>
                <w:szCs w:val="21"/>
              </w:rPr>
              <w:t>1</w:t>
            </w:r>
            <w:r>
              <w:rPr>
                <w:rFonts w:hint="eastAsia" w:ascii="宋体" w:hAnsi="宋体"/>
                <w:b/>
                <w:bCs/>
                <w:szCs w:val="21"/>
              </w:rPr>
              <w:t>1</w:t>
            </w:r>
            <w:r>
              <w:rPr>
                <w:rFonts w:ascii="宋体" w:hAnsi="宋体"/>
                <w:b/>
                <w:bCs/>
                <w:szCs w:val="21"/>
              </w:rPr>
              <w:t xml:space="preserve">. </w:t>
            </w:r>
            <w:r>
              <w:rPr>
                <w:rFonts w:hint="eastAsia" w:ascii="宋体" w:hAnsi="宋体"/>
                <w:b/>
                <w:bCs/>
                <w:szCs w:val="21"/>
              </w:rPr>
              <w:t>SSL VPN服务</w:t>
            </w:r>
          </w:p>
          <w:p w14:paraId="1F872F79">
            <w:pPr>
              <w:spacing w:line="360" w:lineRule="atLeast"/>
              <w:rPr>
                <w:rFonts w:hint="eastAsia" w:ascii="宋体" w:hAnsi="宋体"/>
                <w:szCs w:val="21"/>
              </w:rPr>
            </w:pPr>
            <w:r>
              <w:rPr>
                <w:rFonts w:hint="eastAsia" w:ascii="宋体" w:hAnsi="宋体"/>
                <w:szCs w:val="21"/>
              </w:rPr>
              <w:t>提供SSL VPN服务，设备服务能力要求：</w:t>
            </w:r>
          </w:p>
          <w:p w14:paraId="157CADE9">
            <w:pPr>
              <w:numPr>
                <w:ilvl w:val="0"/>
                <w:numId w:val="0"/>
              </w:numPr>
              <w:spacing w:line="360" w:lineRule="atLeast"/>
              <w:rPr>
                <w:rFonts w:hint="eastAsia" w:ascii="宋体" w:hAnsi="宋体"/>
                <w:szCs w:val="21"/>
              </w:rPr>
            </w:pPr>
            <w:r>
              <w:rPr>
                <w:rFonts w:hint="eastAsia" w:ascii="宋体" w:hAnsi="宋体"/>
                <w:szCs w:val="21"/>
              </w:rPr>
              <w:t>基于国密SSL安全协议的VPN设备，集成身份认证、访问控制和资源管理等功能；提供用户接入控制和数据传输的加/解密功能。标准1U设备，双电源 400W</w:t>
            </w:r>
            <w:r>
              <w:rPr>
                <w:rFonts w:hint="eastAsia" w:ascii="宋体" w:hAnsi="宋体"/>
                <w:szCs w:val="21"/>
                <w:lang w:eastAsia="zh-CN"/>
              </w:rPr>
              <w:t>—</w:t>
            </w:r>
            <w:r>
              <w:rPr>
                <w:rFonts w:hint="eastAsia" w:ascii="宋体" w:hAnsi="宋体"/>
                <w:szCs w:val="21"/>
              </w:rPr>
              <w:t>600W，2核4线程CPU×1，硬盘≥1T</w:t>
            </w:r>
            <w:r>
              <w:rPr>
                <w:rFonts w:hint="eastAsia" w:ascii="宋体" w:hAnsi="宋体"/>
                <w:szCs w:val="21"/>
                <w:lang w:val="en-US" w:eastAsia="zh-CN"/>
              </w:rPr>
              <w:t>B</w:t>
            </w:r>
            <w:r>
              <w:rPr>
                <w:rFonts w:hint="eastAsia" w:ascii="宋体" w:hAnsi="宋体"/>
                <w:szCs w:val="21"/>
              </w:rPr>
              <w:t>，≥8G内存，千兆电口≥4个、千兆光口≥2个。</w:t>
            </w:r>
          </w:p>
          <w:p w14:paraId="602CE15F">
            <w:pPr>
              <w:numPr>
                <w:ilvl w:val="0"/>
                <w:numId w:val="0"/>
              </w:numPr>
              <w:spacing w:line="360" w:lineRule="atLeast"/>
              <w:ind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（1）</w:t>
            </w:r>
            <w:r>
              <w:rPr>
                <w:rFonts w:hint="eastAsia" w:ascii="宋体" w:hAnsi="宋体" w:cs="宋体"/>
                <w:szCs w:val="21"/>
              </w:rPr>
              <w:t>吞吐量≥4GB，并发连接数≥250万，每秒新建连接数≥4万；</w:t>
            </w:r>
          </w:p>
          <w:p w14:paraId="386F6611">
            <w:pPr>
              <w:numPr>
                <w:ilvl w:val="0"/>
                <w:numId w:val="0"/>
              </w:numPr>
              <w:spacing w:line="360" w:lineRule="atLeast"/>
              <w:ind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（2）</w:t>
            </w:r>
            <w:r>
              <w:rPr>
                <w:rFonts w:hint="eastAsia" w:ascii="宋体" w:hAnsi="宋体" w:cs="宋体"/>
                <w:szCs w:val="21"/>
              </w:rPr>
              <w:t>配置≥100个SSL VPN授权；支持国密算法；</w:t>
            </w:r>
          </w:p>
          <w:p w14:paraId="4CE19B7E">
            <w:pPr>
              <w:numPr>
                <w:ilvl w:val="0"/>
                <w:numId w:val="0"/>
              </w:numPr>
              <w:spacing w:line="360" w:lineRule="atLeast"/>
              <w:ind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（3）</w:t>
            </w:r>
            <w:r>
              <w:rPr>
                <w:rFonts w:hint="eastAsia" w:ascii="宋体" w:hAnsi="宋体" w:cs="宋体"/>
                <w:szCs w:val="21"/>
              </w:rPr>
              <w:t>支持静态路由、策略路由、RIP、OSPF、BGP等路由协议；</w:t>
            </w:r>
          </w:p>
          <w:p w14:paraId="780C1F6C">
            <w:pPr>
              <w:numPr>
                <w:ilvl w:val="0"/>
                <w:numId w:val="0"/>
              </w:numPr>
              <w:spacing w:line="360" w:lineRule="atLeast"/>
              <w:ind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（4）</w:t>
            </w:r>
            <w:r>
              <w:rPr>
                <w:rFonts w:hint="eastAsia" w:ascii="宋体" w:hAnsi="宋体" w:cs="宋体"/>
                <w:szCs w:val="21"/>
              </w:rPr>
              <w:t>支持NAT44、NAT46、NAT64、NAT66；</w:t>
            </w:r>
          </w:p>
          <w:p w14:paraId="7BD0949E">
            <w:pPr>
              <w:numPr>
                <w:ilvl w:val="0"/>
                <w:numId w:val="0"/>
              </w:numPr>
              <w:spacing w:line="360" w:lineRule="atLeast"/>
              <w:ind w:firstLine="0" w:firstLineChars="0"/>
              <w:rPr>
                <w:rFonts w:hint="eastAsia" w:ascii="宋体" w:hAnsi="宋体" w:cs="宋体"/>
                <w:szCs w:val="21"/>
              </w:rPr>
            </w:pPr>
            <w:r>
              <w:rPr>
                <w:rFonts w:hint="eastAsia" w:ascii="宋体" w:hAnsi="宋体" w:eastAsia="宋体" w:cs="宋体"/>
                <w:kern w:val="2"/>
                <w:sz w:val="21"/>
                <w:szCs w:val="21"/>
                <w:lang w:val="en-US" w:eastAsia="zh-CN" w:bidi="ar-SA"/>
              </w:rPr>
              <w:t>（5）</w:t>
            </w:r>
            <w:r>
              <w:rPr>
                <w:rFonts w:hint="eastAsia" w:ascii="宋体" w:hAnsi="宋体" w:cs="宋体"/>
                <w:szCs w:val="21"/>
              </w:rPr>
              <w:t>实现安全区域划分，访问控制列表，配置对象及策略，动态包过滤，黑名单，MAC 和 IP 绑定功能，资源监控基于MAC的访问控制列表，802.1q VLAN 透传等功能；</w:t>
            </w:r>
          </w:p>
          <w:p w14:paraId="1069C0EF">
            <w:pPr>
              <w:pStyle w:val="10"/>
              <w:ind w:firstLine="0" w:firstLineChars="0"/>
              <w:jc w:val="left"/>
              <w:rPr>
                <w:rFonts w:hint="eastAsia" w:ascii="宋体" w:hAnsi="宋体" w:cs="宋体"/>
                <w:szCs w:val="21"/>
              </w:rPr>
            </w:pPr>
            <w:r>
              <w:rPr>
                <w:rFonts w:hint="eastAsia" w:ascii="宋体" w:hAnsi="宋体" w:cs="宋体"/>
                <w:szCs w:val="21"/>
              </w:rPr>
              <w:t>▲（7）支持策略风险调优，支持安全策略优化分析，支持策略数冗余及命中分析，支持应用风险调优，可根据流量、应用、风险类型等细粒度展示，并给出总体安全评分，便于用户更好的管理安全策略；</w:t>
            </w:r>
          </w:p>
          <w:p w14:paraId="64A44F5E">
            <w:pPr>
              <w:pStyle w:val="10"/>
              <w:ind w:firstLine="0" w:firstLineChars="0"/>
              <w:jc w:val="left"/>
              <w:rPr>
                <w:rFonts w:hint="eastAsia" w:ascii="宋体" w:hAnsi="宋体" w:cs="宋体"/>
                <w:szCs w:val="21"/>
              </w:rPr>
            </w:pPr>
            <w:r>
              <w:rPr>
                <w:rFonts w:hint="eastAsia" w:ascii="宋体" w:hAnsi="宋体" w:cs="宋体"/>
                <w:szCs w:val="21"/>
              </w:rPr>
              <w:t>▲（8）支持SQL注入、跨站脚本、远程命令执行等攻击的防护，支持对操作系统、网页应用、浏览器进行专属特征分类，支持CC攻击防护，可基于检测请求报文头的X-Forwarded-For字段，以获取真正的源IP地址；</w:t>
            </w:r>
          </w:p>
          <w:p w14:paraId="240A5006">
            <w:pPr>
              <w:pStyle w:val="10"/>
              <w:numPr>
                <w:ilvl w:val="0"/>
                <w:numId w:val="5"/>
              </w:numPr>
              <w:ind w:firstLine="0" w:firstLineChars="0"/>
              <w:jc w:val="left"/>
              <w:rPr>
                <w:rFonts w:hint="eastAsia" w:ascii="宋体" w:hAnsi="宋体" w:cs="宋体"/>
                <w:szCs w:val="21"/>
              </w:rPr>
            </w:pPr>
            <w:r>
              <w:rPr>
                <w:rFonts w:hint="eastAsia" w:ascii="宋体" w:hAnsi="宋体" w:cs="宋体"/>
                <w:szCs w:val="21"/>
              </w:rPr>
              <w:t>设备须支持虚拟防火墙功能：支持虚拟防火墙的创建、启动、停止、删除功能；可分配CPU/内存等计算资源；虚拟防火墙可独立管理，独立保存配置；虚拟防火墙具备策略NAT功能；</w:t>
            </w:r>
          </w:p>
          <w:p w14:paraId="0D29DC25">
            <w:pPr>
              <w:pStyle w:val="10"/>
              <w:numPr>
                <w:ilvl w:val="0"/>
                <w:numId w:val="5"/>
              </w:numPr>
              <w:ind w:firstLine="0" w:firstLineChars="0"/>
              <w:jc w:val="left"/>
              <w:rPr>
                <w:rFonts w:hint="eastAsia" w:asciiTheme="minorEastAsia" w:hAnsiTheme="minorEastAsia" w:eastAsiaTheme="minorEastAsia" w:cstheme="minorEastAsia"/>
                <w:sz w:val="21"/>
                <w:szCs w:val="21"/>
              </w:rPr>
            </w:pPr>
            <w:r>
              <w:rPr>
                <w:rFonts w:hint="eastAsia" w:ascii="宋体" w:hAnsi="宋体" w:cs="宋体"/>
                <w:szCs w:val="21"/>
              </w:rPr>
              <w:t>（10）为了保证整个网络的可靠稳定，要求本次采购的安全设备</w:t>
            </w:r>
            <w:r>
              <w:rPr>
                <w:rFonts w:hint="eastAsia" w:asciiTheme="minorEastAsia" w:hAnsiTheme="minorEastAsia" w:eastAsiaTheme="minorEastAsia" w:cstheme="minorEastAsia"/>
                <w:sz w:val="21"/>
                <w:szCs w:val="21"/>
              </w:rPr>
              <w:t>支持A/S，A/A方式部署，支持配置同步和会话同步；</w:t>
            </w:r>
          </w:p>
          <w:p w14:paraId="1986E13E">
            <w:pPr>
              <w:pStyle w:val="35"/>
              <w:spacing w:before="15" w:line="240" w:lineRule="auto"/>
              <w:ind w:left="0" w:right="36" w:firstLine="0"/>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lang w:val="en-US" w:eastAsia="zh-CN" w:bidi="ar-SA"/>
              </w:rPr>
              <w:t>11）提供开放API接口</w:t>
            </w:r>
            <w:r>
              <w:rPr>
                <w:rFonts w:hint="eastAsia" w:ascii="宋体" w:hAnsi="宋体" w:eastAsia="宋体" w:cs="宋体"/>
                <w:kern w:val="2"/>
                <w:sz w:val="21"/>
                <w:szCs w:val="21"/>
                <w:lang w:val="en-US" w:eastAsia="zh-CN" w:bidi="ar-SA"/>
              </w:rPr>
              <w:t>（RESTful，NetConf），可编程管理防火墙，不再仅依赖网管软件。</w:t>
            </w:r>
          </w:p>
          <w:p w14:paraId="0882DB41">
            <w:pPr>
              <w:pStyle w:val="35"/>
              <w:spacing w:before="15" w:line="240" w:lineRule="auto"/>
              <w:ind w:left="0" w:right="34" w:firstLine="0" w:firstLineChars="0"/>
              <w:rPr>
                <w:rFonts w:hint="eastAsia" w:ascii="宋体" w:hAnsi="宋体" w:eastAsia="宋体" w:cs="宋体"/>
                <w:b/>
                <w:bCs/>
                <w:color w:val="auto"/>
                <w:spacing w:val="3"/>
                <w:sz w:val="21"/>
                <w:szCs w:val="21"/>
                <w:highlight w:val="none"/>
              </w:rPr>
            </w:pPr>
            <w:r>
              <w:rPr>
                <w:rFonts w:hint="eastAsia" w:cs="宋体"/>
                <w:b/>
                <w:bCs/>
                <w:color w:val="auto"/>
                <w:spacing w:val="3"/>
                <w:sz w:val="21"/>
                <w:szCs w:val="21"/>
                <w:highlight w:val="none"/>
                <w:lang w:val="en-US" w:eastAsia="zh-CN"/>
              </w:rPr>
              <w:t>12服务所需的核心交换机设备参数及数量要求</w:t>
            </w:r>
          </w:p>
          <w:p w14:paraId="39D4496D">
            <w:pPr>
              <w:pStyle w:val="35"/>
              <w:spacing w:before="15" w:line="240" w:lineRule="auto"/>
              <w:ind w:left="28" w:right="34"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1</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电源风扇等关键部件冗余设计且满配；</w:t>
            </w:r>
          </w:p>
          <w:p w14:paraId="4679F0AB">
            <w:pPr>
              <w:pStyle w:val="35"/>
              <w:spacing w:before="15" w:line="240" w:lineRule="auto"/>
              <w:ind w:left="28" w:right="34"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2</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支持千兆光口≥48个，万兆光口≥6个，并满配相应光模块；所配光口和光模块与组网连接线路和网络管理运维要求匹配；</w:t>
            </w:r>
          </w:p>
          <w:p w14:paraId="3647100E">
            <w:pPr>
              <w:pStyle w:val="35"/>
              <w:spacing w:before="15" w:line="240" w:lineRule="auto"/>
              <w:ind w:left="28" w:right="34"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支持IPv6协议；</w:t>
            </w:r>
          </w:p>
          <w:p w14:paraId="440703AB">
            <w:pPr>
              <w:pStyle w:val="35"/>
              <w:spacing w:before="15" w:line="240" w:lineRule="auto"/>
              <w:ind w:left="28" w:right="34"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支持多种安全业务业务板卡的扩展，包括：防火墙业务模块 、IPS业务模块、无线控制器业务模块 、负载均衡业务模块 、NetStream业务模块、SSL</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VPN业务模块和应用控制网关业务模块等；</w:t>
            </w:r>
          </w:p>
          <w:p w14:paraId="1D8BC7C4">
            <w:pPr>
              <w:pStyle w:val="35"/>
              <w:spacing w:before="15" w:line="240" w:lineRule="auto"/>
              <w:ind w:left="28" w:right="34" w:hanging="28" w:hangingChars="13"/>
              <w:rPr>
                <w:rFonts w:hint="eastAsia" w:ascii="宋体" w:hAnsi="宋体" w:eastAsia="宋体" w:cs="宋体"/>
                <w:color w:val="auto"/>
                <w:spacing w:val="3"/>
                <w:sz w:val="21"/>
                <w:szCs w:val="21"/>
                <w:highlight w:val="none"/>
                <w:lang w:eastAsia="zh-CN"/>
              </w:rPr>
            </w:pPr>
            <w:r>
              <w:rPr>
                <w:rFonts w:hint="eastAsia"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支持 EPON OLT及10G EPON OLT接口；支持1OG EPON功能</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支持1OG对称和非对称 ONU</w:t>
            </w:r>
            <w:r>
              <w:rPr>
                <w:rFonts w:hint="eastAsia" w:ascii="宋体" w:hAnsi="宋体" w:eastAsia="宋体" w:cs="宋体"/>
                <w:color w:val="auto"/>
                <w:spacing w:val="3"/>
                <w:sz w:val="21"/>
                <w:szCs w:val="21"/>
                <w:highlight w:val="none"/>
                <w:lang w:eastAsia="zh-CN"/>
              </w:rPr>
              <w:t>；</w:t>
            </w:r>
          </w:p>
          <w:p w14:paraId="79245E12">
            <w:pPr>
              <w:pStyle w:val="35"/>
              <w:spacing w:before="15" w:line="240" w:lineRule="auto"/>
              <w:ind w:left="28" w:right="34" w:hanging="28" w:hangingChars="13"/>
              <w:rPr>
                <w:rFonts w:hint="default"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lang w:val="en-US" w:eastAsia="zh-CN"/>
              </w:rPr>
              <w:t>数量：2台。</w:t>
            </w:r>
          </w:p>
          <w:p w14:paraId="36A93880">
            <w:pPr>
              <w:pStyle w:val="35"/>
              <w:spacing w:before="15" w:line="240" w:lineRule="auto"/>
              <w:ind w:left="0" w:right="36" w:firstLine="0" w:firstLineChars="0"/>
              <w:rPr>
                <w:rFonts w:hint="eastAsia" w:ascii="宋体" w:hAnsi="宋体" w:eastAsia="宋体" w:cs="宋体"/>
                <w:b/>
                <w:bCs/>
                <w:color w:val="auto"/>
                <w:spacing w:val="3"/>
                <w:sz w:val="21"/>
                <w:szCs w:val="21"/>
                <w:highlight w:val="none"/>
                <w:lang w:val="en-US" w:eastAsia="zh-CN"/>
              </w:rPr>
            </w:pPr>
            <w:r>
              <w:rPr>
                <w:rFonts w:hint="eastAsia" w:cs="宋体"/>
                <w:b/>
                <w:bCs/>
                <w:color w:val="auto"/>
                <w:spacing w:val="3"/>
                <w:sz w:val="21"/>
                <w:szCs w:val="21"/>
                <w:highlight w:val="none"/>
                <w:lang w:val="en-US" w:eastAsia="zh-CN"/>
              </w:rPr>
              <w:t>13.</w:t>
            </w:r>
            <w:r>
              <w:rPr>
                <w:rFonts w:hint="eastAsia" w:ascii="宋体" w:hAnsi="宋体" w:eastAsia="宋体" w:cs="宋体"/>
                <w:b/>
                <w:bCs/>
                <w:color w:val="auto"/>
                <w:spacing w:val="3"/>
                <w:sz w:val="21"/>
                <w:szCs w:val="21"/>
                <w:highlight w:val="none"/>
              </w:rPr>
              <w:t>服务所需的核心路由器设备参数及</w:t>
            </w:r>
            <w:r>
              <w:rPr>
                <w:rFonts w:hint="eastAsia" w:cs="宋体"/>
                <w:b/>
                <w:bCs/>
                <w:color w:val="auto"/>
                <w:spacing w:val="3"/>
                <w:sz w:val="21"/>
                <w:szCs w:val="21"/>
                <w:highlight w:val="none"/>
                <w:lang w:val="en-US" w:eastAsia="zh-CN"/>
              </w:rPr>
              <w:t>数量要求</w:t>
            </w:r>
          </w:p>
          <w:p w14:paraId="4D807E82">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配置双主控且满配，电源冗余设计且满配，要求所有业务板卡及电源、风扇均可热插拔；</w:t>
            </w:r>
          </w:p>
          <w:p w14:paraId="095EE8D5">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整机业务载板插槽≥6个；配置万兆光口≥2个，千兆光口≥10个，并满配相应光模块；所配光口和光模块与组网连接线路和网络管理运维要求匹配；</w:t>
            </w:r>
          </w:p>
          <w:p w14:paraId="603C5227">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支持Ipv4、Ipv6，支持支持流量分类，分层QOS；</w:t>
            </w:r>
          </w:p>
          <w:p w14:paraId="61760046">
            <w:pPr>
              <w:pStyle w:val="35"/>
              <w:spacing w:before="15" w:line="240" w:lineRule="auto"/>
              <w:ind w:left="28" w:right="36" w:hanging="28" w:hangingChars="13"/>
              <w:rPr>
                <w:rFonts w:hint="eastAsia" w:ascii="宋体" w:hAnsi="宋体" w:eastAsia="宋体" w:cs="宋体"/>
                <w:color w:val="auto"/>
                <w:spacing w:val="3"/>
                <w:sz w:val="21"/>
                <w:szCs w:val="21"/>
                <w:highlight w:val="none"/>
                <w:lang w:eastAsia="zh-CN"/>
              </w:rPr>
            </w:pPr>
            <w:r>
              <w:rPr>
                <w:rFonts w:hint="eastAsia"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支持记录终端用户访问互联网的日志，包括：用户名、源/目的IP地址、时间</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访问的域名、URL等</w:t>
            </w:r>
            <w:r>
              <w:rPr>
                <w:rFonts w:hint="eastAsia" w:ascii="宋体" w:hAnsi="宋体" w:eastAsia="宋体" w:cs="宋体"/>
                <w:color w:val="auto"/>
                <w:spacing w:val="3"/>
                <w:sz w:val="21"/>
                <w:szCs w:val="21"/>
                <w:highlight w:val="none"/>
                <w:lang w:eastAsia="zh-CN"/>
              </w:rPr>
              <w:t>。</w:t>
            </w:r>
          </w:p>
          <w:p w14:paraId="27D58065">
            <w:pPr>
              <w:pStyle w:val="35"/>
              <w:spacing w:before="15" w:line="240" w:lineRule="auto"/>
              <w:ind w:left="28" w:right="36" w:hanging="28" w:hangingChars="13"/>
              <w:rPr>
                <w:rFonts w:hint="eastAsia"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数量：2台。</w:t>
            </w:r>
          </w:p>
          <w:p w14:paraId="057BCF17">
            <w:pPr>
              <w:pStyle w:val="35"/>
              <w:spacing w:before="15" w:line="240" w:lineRule="auto"/>
              <w:ind w:left="28" w:right="36" w:hanging="28" w:hangingChars="13"/>
              <w:rPr>
                <w:rFonts w:hint="eastAsia" w:ascii="宋体" w:hAnsi="宋体" w:eastAsia="宋体" w:cs="宋体"/>
                <w:b/>
                <w:bCs/>
                <w:color w:val="auto"/>
                <w:spacing w:val="3"/>
                <w:sz w:val="21"/>
                <w:szCs w:val="21"/>
                <w:highlight w:val="none"/>
                <w:lang w:eastAsia="zh-CN"/>
              </w:rPr>
            </w:pPr>
            <w:r>
              <w:rPr>
                <w:rFonts w:hint="eastAsia" w:cs="宋体"/>
                <w:b/>
                <w:bCs/>
                <w:color w:val="auto"/>
                <w:spacing w:val="3"/>
                <w:sz w:val="21"/>
                <w:szCs w:val="21"/>
                <w:highlight w:val="none"/>
                <w:lang w:val="en-US" w:eastAsia="zh-CN"/>
              </w:rPr>
              <w:t>14</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rPr>
              <w:t>服务所需的校园核心交换机设备参数及</w:t>
            </w:r>
            <w:r>
              <w:rPr>
                <w:rFonts w:hint="eastAsia" w:cs="宋体"/>
                <w:b/>
                <w:bCs/>
                <w:color w:val="auto"/>
                <w:spacing w:val="3"/>
                <w:sz w:val="21"/>
                <w:szCs w:val="21"/>
                <w:highlight w:val="none"/>
                <w:lang w:val="en-US" w:eastAsia="zh-CN"/>
              </w:rPr>
              <w:t>数量要求</w:t>
            </w:r>
          </w:p>
          <w:p w14:paraId="32EE18AC">
            <w:pPr>
              <w:pStyle w:val="35"/>
              <w:spacing w:before="15" w:line="240" w:lineRule="auto"/>
              <w:ind w:left="28" w:right="36" w:hanging="28" w:hangingChars="13"/>
              <w:rPr>
                <w:rFonts w:hint="eastAsia"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1</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万兆三层管理交换机：包转发率≥148Mpps,交换容量≥598Gbps, 千兆电口≥24个, 万兆光口≥4个。</w:t>
            </w:r>
          </w:p>
          <w:p w14:paraId="2CCA5A09">
            <w:pPr>
              <w:pStyle w:val="35"/>
              <w:spacing w:before="15" w:line="240" w:lineRule="auto"/>
              <w:ind w:left="28" w:right="36" w:hanging="28" w:hangingChars="13"/>
              <w:rPr>
                <w:rFonts w:hint="eastAsia"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lang w:val="en-US" w:eastAsia="zh-CN"/>
              </w:rPr>
              <w:t>数量：14台。</w:t>
            </w:r>
          </w:p>
          <w:p w14:paraId="7A1F6620">
            <w:pPr>
              <w:pStyle w:val="35"/>
              <w:spacing w:before="15" w:line="240" w:lineRule="auto"/>
              <w:ind w:left="28" w:right="36" w:hanging="28" w:hangingChars="13"/>
              <w:rPr>
                <w:rFonts w:hint="eastAsia" w:ascii="宋体" w:hAnsi="宋体" w:eastAsia="宋体" w:cs="宋体"/>
                <w:b/>
                <w:bCs/>
                <w:color w:val="auto"/>
                <w:spacing w:val="3"/>
                <w:sz w:val="21"/>
                <w:szCs w:val="21"/>
                <w:highlight w:val="none"/>
                <w:lang w:eastAsia="zh-CN"/>
              </w:rPr>
            </w:pPr>
            <w:r>
              <w:rPr>
                <w:rFonts w:hint="eastAsia" w:cs="宋体"/>
                <w:b/>
                <w:bCs/>
                <w:color w:val="auto"/>
                <w:spacing w:val="3"/>
                <w:sz w:val="21"/>
                <w:szCs w:val="21"/>
                <w:highlight w:val="none"/>
                <w:lang w:val="en-US" w:eastAsia="zh-CN"/>
              </w:rPr>
              <w:t>15</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rPr>
              <w:t>服务所需的</w:t>
            </w:r>
            <w:r>
              <w:rPr>
                <w:rFonts w:hint="eastAsia" w:ascii="宋体" w:hAnsi="宋体" w:eastAsia="宋体" w:cs="宋体"/>
                <w:b/>
                <w:bCs/>
                <w:color w:val="auto"/>
                <w:spacing w:val="3"/>
                <w:sz w:val="21"/>
                <w:szCs w:val="21"/>
                <w:highlight w:val="none"/>
                <w:lang w:eastAsia="zh-CN"/>
              </w:rPr>
              <w:t>汇聚交换机服务</w:t>
            </w:r>
            <w:r>
              <w:rPr>
                <w:rFonts w:hint="eastAsia" w:ascii="宋体" w:hAnsi="宋体" w:eastAsia="宋体" w:cs="宋体"/>
                <w:b/>
                <w:bCs/>
                <w:color w:val="auto"/>
                <w:spacing w:val="3"/>
                <w:sz w:val="21"/>
                <w:szCs w:val="21"/>
                <w:highlight w:val="none"/>
              </w:rPr>
              <w:t>设备参数及</w:t>
            </w:r>
            <w:r>
              <w:rPr>
                <w:rFonts w:hint="eastAsia" w:cs="宋体"/>
                <w:b/>
                <w:bCs/>
                <w:color w:val="auto"/>
                <w:spacing w:val="3"/>
                <w:sz w:val="21"/>
                <w:szCs w:val="21"/>
                <w:highlight w:val="none"/>
                <w:lang w:val="en-US" w:eastAsia="zh-CN"/>
              </w:rPr>
              <w:t>数量要求</w:t>
            </w:r>
          </w:p>
          <w:p w14:paraId="49665DAD">
            <w:pPr>
              <w:pStyle w:val="35"/>
              <w:spacing w:before="15" w:line="240" w:lineRule="auto"/>
              <w:ind w:left="28" w:right="36" w:hanging="28" w:hangingChars="13"/>
              <w:rPr>
                <w:rFonts w:hint="eastAsia" w:ascii="宋体" w:hAnsi="宋体" w:eastAsia="宋体" w:cs="宋体"/>
                <w:color w:val="auto"/>
                <w:spacing w:val="3"/>
                <w:sz w:val="21"/>
                <w:szCs w:val="21"/>
                <w:highlight w:val="none"/>
                <w:lang w:eastAsia="zh-CN"/>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1</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eastAsia="zh-CN"/>
              </w:rPr>
              <w:t>设备性能：交换容量≥330Gbps, 包转发率≥39Mpps；</w:t>
            </w:r>
          </w:p>
          <w:p w14:paraId="2981D3D0">
            <w:pPr>
              <w:pStyle w:val="35"/>
              <w:spacing w:before="15" w:line="240" w:lineRule="auto"/>
              <w:ind w:left="28" w:right="36" w:hanging="28" w:hangingChars="13"/>
              <w:rPr>
                <w:rFonts w:hint="eastAsia" w:ascii="宋体" w:hAnsi="宋体" w:eastAsia="宋体" w:cs="宋体"/>
                <w:color w:val="auto"/>
                <w:spacing w:val="3"/>
                <w:sz w:val="21"/>
                <w:szCs w:val="21"/>
                <w:highlight w:val="none"/>
                <w:lang w:eastAsia="zh-CN"/>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2</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eastAsia="zh-CN"/>
              </w:rPr>
              <w:t>设备配置：提供千兆电口≥24个,千兆SFP光口≥2个，交流电源供电。</w:t>
            </w:r>
          </w:p>
          <w:p w14:paraId="3BB7A0A8">
            <w:pPr>
              <w:pStyle w:val="35"/>
              <w:spacing w:before="15" w:line="240" w:lineRule="auto"/>
              <w:ind w:left="28" w:right="36" w:hanging="28" w:hangingChars="13"/>
              <w:rPr>
                <w:rFonts w:hint="eastAsia"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val="en-US" w:eastAsia="zh-CN"/>
              </w:rPr>
              <w:t>数量：63台。</w:t>
            </w:r>
          </w:p>
          <w:p w14:paraId="693CCDF5">
            <w:pPr>
              <w:pStyle w:val="35"/>
              <w:spacing w:before="15" w:line="240" w:lineRule="auto"/>
              <w:ind w:left="28" w:right="36" w:hanging="28" w:hangingChars="13"/>
              <w:rPr>
                <w:rFonts w:hint="eastAsia" w:ascii="宋体" w:hAnsi="宋体" w:eastAsia="宋体" w:cs="宋体"/>
                <w:b/>
                <w:bCs/>
                <w:color w:val="auto"/>
                <w:spacing w:val="3"/>
                <w:sz w:val="21"/>
                <w:szCs w:val="21"/>
                <w:highlight w:val="none"/>
                <w:lang w:eastAsia="zh-CN"/>
              </w:rPr>
            </w:pPr>
            <w:r>
              <w:rPr>
                <w:rFonts w:hint="eastAsia" w:cs="宋体"/>
                <w:b/>
                <w:bCs/>
                <w:color w:val="auto"/>
                <w:spacing w:val="3"/>
                <w:sz w:val="21"/>
                <w:szCs w:val="21"/>
                <w:highlight w:val="none"/>
                <w:lang w:val="en-US" w:eastAsia="zh-CN"/>
              </w:rPr>
              <w:t>16</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rPr>
              <w:t>二级等保评测服务</w:t>
            </w:r>
          </w:p>
          <w:p w14:paraId="2F78F0EC">
            <w:pPr>
              <w:pStyle w:val="35"/>
              <w:spacing w:before="15" w:line="240" w:lineRule="auto"/>
              <w:ind w:left="28" w:right="36" w:hanging="28" w:hangingChars="13"/>
              <w:rPr>
                <w:rFonts w:hint="eastAsia" w:ascii="宋体" w:hAnsi="宋体" w:eastAsia="宋体" w:cs="宋体"/>
                <w:color w:val="auto"/>
                <w:spacing w:val="3"/>
                <w:sz w:val="21"/>
                <w:szCs w:val="21"/>
                <w:highlight w:val="none"/>
                <w:lang w:val="en-US" w:eastAsia="zh-CN"/>
              </w:rPr>
            </w:pPr>
            <w:r>
              <w:rPr>
                <w:rFonts w:hint="eastAsia" w:cs="宋体"/>
                <w:b w:val="0"/>
                <w:bCs w:val="0"/>
                <w:color w:val="auto"/>
                <w:spacing w:val="3"/>
                <w:sz w:val="21"/>
                <w:szCs w:val="21"/>
                <w:highlight w:val="none"/>
                <w:lang w:val="en-US" w:eastAsia="zh-CN"/>
              </w:rPr>
              <w:t>依据网络安全等级保护政策、标准、指南等文件要求以及用户业务安全需求，技术层面上，针对教育城域网，需要从通信网络防护、区域边界防护、计算环境防护、安全管理中心等各方面进行安全防护设计，并符合国家等保2.0标准第二级的要求。本项目须按照网络安全等级保护二级认证的要求进行设计、建设、管理和运维。</w:t>
            </w:r>
          </w:p>
          <w:p w14:paraId="73CA88CC">
            <w:pPr>
              <w:pStyle w:val="35"/>
              <w:spacing w:before="15" w:line="240" w:lineRule="auto"/>
              <w:ind w:left="28" w:right="36" w:hanging="28" w:hangingChars="13"/>
              <w:rPr>
                <w:rFonts w:hint="eastAsia" w:ascii="宋体" w:hAnsi="宋体" w:eastAsia="宋体" w:cs="宋体"/>
                <w:b/>
                <w:bCs/>
                <w:color w:val="auto"/>
                <w:spacing w:val="3"/>
                <w:sz w:val="21"/>
                <w:szCs w:val="21"/>
                <w:highlight w:val="none"/>
                <w:lang w:eastAsia="zh-CN"/>
              </w:rPr>
            </w:pPr>
            <w:r>
              <w:rPr>
                <w:rFonts w:hint="eastAsia" w:cs="宋体"/>
                <w:b/>
                <w:bCs/>
                <w:color w:val="auto"/>
                <w:spacing w:val="3"/>
                <w:sz w:val="21"/>
                <w:szCs w:val="21"/>
                <w:highlight w:val="none"/>
                <w:lang w:val="en-US" w:eastAsia="zh-CN"/>
              </w:rPr>
              <w:t>17</w:t>
            </w:r>
            <w:r>
              <w:rPr>
                <w:rFonts w:hint="eastAsia" w:ascii="宋体" w:hAnsi="宋体" w:eastAsia="宋体" w:cs="宋体"/>
                <w:b/>
                <w:bCs/>
                <w:color w:val="auto"/>
                <w:spacing w:val="3"/>
                <w:sz w:val="21"/>
                <w:szCs w:val="21"/>
                <w:highlight w:val="none"/>
                <w:lang w:eastAsia="zh-CN"/>
              </w:rPr>
              <w:t>、</w:t>
            </w:r>
            <w:r>
              <w:rPr>
                <w:rFonts w:hint="eastAsia" w:ascii="宋体" w:hAnsi="宋体" w:eastAsia="宋体" w:cs="宋体"/>
                <w:b/>
                <w:bCs/>
                <w:color w:val="auto"/>
                <w:spacing w:val="3"/>
                <w:sz w:val="21"/>
                <w:szCs w:val="21"/>
                <w:highlight w:val="none"/>
              </w:rPr>
              <w:t>城域网链路服务</w:t>
            </w:r>
          </w:p>
          <w:p w14:paraId="0EE81BA2">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1</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提供</w:t>
            </w:r>
            <w:r>
              <w:rPr>
                <w:rFonts w:hint="eastAsia" w:ascii="宋体" w:hAnsi="宋体" w:eastAsia="宋体" w:cs="宋体"/>
                <w:color w:val="auto"/>
                <w:spacing w:val="3"/>
                <w:sz w:val="21"/>
                <w:szCs w:val="21"/>
                <w:highlight w:val="none"/>
              </w:rPr>
              <w:t>象山区教育城域网与教育骨干网互联设计；带宽不小于2G，首次开通2条1G，当宽带占用率达70%时进行免费扩容到3G。</w:t>
            </w:r>
          </w:p>
          <w:p w14:paraId="4296ED58">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2</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提供</w:t>
            </w:r>
            <w:r>
              <w:rPr>
                <w:rFonts w:hint="eastAsia" w:ascii="宋体" w:hAnsi="宋体" w:eastAsia="宋体" w:cs="宋体"/>
                <w:color w:val="auto"/>
                <w:spacing w:val="3"/>
                <w:sz w:val="21"/>
                <w:szCs w:val="21"/>
                <w:highlight w:val="none"/>
              </w:rPr>
              <w:t>象山区教育城域网与互联网互联带宽设计：</w:t>
            </w:r>
            <w:r>
              <w:rPr>
                <w:rFonts w:hint="eastAsia" w:cs="宋体"/>
                <w:color w:val="auto"/>
                <w:spacing w:val="3"/>
                <w:sz w:val="21"/>
                <w:szCs w:val="21"/>
                <w:highlight w:val="none"/>
                <w:lang w:eastAsia="zh-CN"/>
              </w:rPr>
              <w:t>服务</w:t>
            </w:r>
            <w:r>
              <w:rPr>
                <w:rFonts w:hint="eastAsia" w:ascii="宋体" w:hAnsi="宋体" w:eastAsia="宋体" w:cs="宋体"/>
                <w:color w:val="auto"/>
                <w:spacing w:val="3"/>
                <w:sz w:val="21"/>
                <w:szCs w:val="21"/>
                <w:highlight w:val="none"/>
              </w:rPr>
              <w:t>开通的互联网带宽为2条1G，在出现带宽占用率达到70%进行免费扩容到3G。</w:t>
            </w:r>
          </w:p>
          <w:p w14:paraId="0665B624">
            <w:pPr>
              <w:pStyle w:val="35"/>
              <w:spacing w:before="15" w:line="240" w:lineRule="auto"/>
              <w:ind w:left="28" w:right="36" w:hanging="28" w:hangingChars="13"/>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3</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提供</w:t>
            </w:r>
            <w:r>
              <w:rPr>
                <w:rFonts w:hint="eastAsia" w:ascii="宋体" w:hAnsi="宋体" w:eastAsia="宋体" w:cs="宋体"/>
                <w:color w:val="auto"/>
                <w:spacing w:val="3"/>
                <w:sz w:val="21"/>
                <w:szCs w:val="21"/>
                <w:highlight w:val="none"/>
              </w:rPr>
              <w:t>象山区教育城域网班级互联带宽设计：提供3</w:t>
            </w: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条班级互联链路服务</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每个班级的接入带宽不低于100M。</w:t>
            </w:r>
          </w:p>
          <w:p w14:paraId="298A632C">
            <w:pPr>
              <w:pStyle w:val="35"/>
              <w:spacing w:before="15" w:line="240" w:lineRule="auto"/>
              <w:ind w:left="28" w:right="36" w:hanging="28" w:hangingChars="13"/>
              <w:rPr>
                <w:rFonts w:hint="eastAsia" w:ascii="宋体" w:hAnsi="宋体" w:eastAsia="宋体" w:cs="宋体"/>
                <w:kern w:val="2"/>
                <w:sz w:val="21"/>
                <w:szCs w:val="21"/>
                <w:lang w:val="en-US" w:eastAsia="en-US" w:bidi="ar-SA"/>
              </w:rPr>
            </w:pP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4</w:t>
            </w:r>
            <w:r>
              <w:rPr>
                <w:rFonts w:hint="eastAsia" w:cs="宋体"/>
                <w:color w:val="auto"/>
                <w:spacing w:val="3"/>
                <w:sz w:val="21"/>
                <w:szCs w:val="21"/>
                <w:highlight w:val="none"/>
                <w:lang w:eastAsia="zh-CN"/>
              </w:rPr>
              <w:t>）</w:t>
            </w:r>
            <w:r>
              <w:rPr>
                <w:rFonts w:hint="eastAsia" w:cs="宋体"/>
                <w:color w:val="auto"/>
                <w:spacing w:val="3"/>
                <w:sz w:val="21"/>
                <w:szCs w:val="21"/>
                <w:highlight w:val="none"/>
                <w:lang w:val="en-US" w:eastAsia="zh-CN"/>
              </w:rPr>
              <w:t>提供</w:t>
            </w:r>
            <w:r>
              <w:rPr>
                <w:rFonts w:hint="eastAsia" w:ascii="宋体" w:hAnsi="宋体" w:eastAsia="宋体" w:cs="宋体"/>
                <w:color w:val="auto"/>
                <w:spacing w:val="3"/>
                <w:sz w:val="21"/>
                <w:szCs w:val="21"/>
                <w:highlight w:val="none"/>
              </w:rPr>
              <w:t>租用期三年。</w:t>
            </w:r>
          </w:p>
        </w:tc>
        <w:tc>
          <w:tcPr>
            <w:tcW w:w="420" w:type="dxa"/>
            <w:tcBorders>
              <w:tl2br w:val="nil"/>
              <w:tr2bl w:val="nil"/>
            </w:tcBorders>
            <w:noWrap w:val="0"/>
            <w:vAlign w:val="top"/>
          </w:tcPr>
          <w:p w14:paraId="660AF8DE">
            <w:pPr>
              <w:pStyle w:val="35"/>
              <w:spacing w:before="15" w:line="229" w:lineRule="auto"/>
              <w:ind w:left="28" w:right="103" w:firstLine="2"/>
              <w:rPr>
                <w:rFonts w:hint="eastAsia" w:ascii="宋体" w:hAnsi="宋体" w:eastAsia="宋体" w:cs="宋体"/>
                <w:spacing w:val="6"/>
                <w:sz w:val="21"/>
                <w:szCs w:val="21"/>
                <w:lang w:val="en-US" w:eastAsia="zh-CN"/>
              </w:rPr>
            </w:pPr>
          </w:p>
          <w:p w14:paraId="76106E2E">
            <w:pPr>
              <w:pStyle w:val="35"/>
              <w:spacing w:before="15" w:line="229" w:lineRule="auto"/>
              <w:ind w:left="28" w:right="103" w:firstLine="2"/>
              <w:rPr>
                <w:rFonts w:hint="eastAsia" w:ascii="宋体" w:hAnsi="宋体" w:eastAsia="宋体" w:cs="宋体"/>
                <w:spacing w:val="6"/>
                <w:sz w:val="21"/>
                <w:szCs w:val="21"/>
                <w:lang w:val="en-US" w:eastAsia="zh-CN"/>
              </w:rPr>
            </w:pPr>
          </w:p>
          <w:p w14:paraId="51F7FA5A">
            <w:pPr>
              <w:pStyle w:val="35"/>
              <w:spacing w:before="15" w:line="229" w:lineRule="auto"/>
              <w:ind w:left="28" w:right="103" w:firstLine="2"/>
              <w:rPr>
                <w:rFonts w:hint="eastAsia" w:ascii="宋体" w:hAnsi="宋体" w:eastAsia="宋体" w:cs="宋体"/>
                <w:spacing w:val="6"/>
                <w:sz w:val="21"/>
                <w:szCs w:val="21"/>
                <w:lang w:val="en-US" w:eastAsia="zh-CN"/>
              </w:rPr>
            </w:pPr>
          </w:p>
          <w:p w14:paraId="32BBE4C6">
            <w:pPr>
              <w:pStyle w:val="35"/>
              <w:spacing w:before="15" w:line="229" w:lineRule="auto"/>
              <w:ind w:left="28" w:right="103" w:firstLine="2"/>
              <w:rPr>
                <w:rFonts w:hint="eastAsia" w:ascii="宋体" w:hAnsi="宋体" w:eastAsia="宋体" w:cs="宋体"/>
                <w:spacing w:val="6"/>
                <w:sz w:val="21"/>
                <w:szCs w:val="21"/>
                <w:lang w:val="en-US" w:eastAsia="zh-CN"/>
              </w:rPr>
            </w:pPr>
          </w:p>
          <w:p w14:paraId="757182E2">
            <w:pPr>
              <w:pStyle w:val="35"/>
              <w:spacing w:before="15" w:line="229" w:lineRule="auto"/>
              <w:ind w:left="28" w:right="103" w:firstLine="2"/>
              <w:rPr>
                <w:rFonts w:hint="eastAsia" w:ascii="宋体" w:hAnsi="宋体" w:eastAsia="宋体" w:cs="宋体"/>
                <w:spacing w:val="6"/>
                <w:sz w:val="21"/>
                <w:szCs w:val="21"/>
                <w:lang w:val="en-US" w:eastAsia="zh-CN"/>
              </w:rPr>
            </w:pPr>
          </w:p>
          <w:p w14:paraId="648C3F8C">
            <w:pPr>
              <w:pStyle w:val="35"/>
              <w:spacing w:before="15" w:line="229" w:lineRule="auto"/>
              <w:ind w:left="28" w:right="103" w:firstLine="2"/>
              <w:rPr>
                <w:rFonts w:hint="eastAsia" w:ascii="宋体" w:hAnsi="宋体" w:eastAsia="宋体" w:cs="宋体"/>
                <w:spacing w:val="6"/>
                <w:sz w:val="21"/>
                <w:szCs w:val="21"/>
                <w:lang w:val="en-US" w:eastAsia="zh-CN"/>
              </w:rPr>
            </w:pPr>
          </w:p>
          <w:p w14:paraId="01D80500">
            <w:pPr>
              <w:pStyle w:val="35"/>
              <w:spacing w:before="15" w:line="229" w:lineRule="auto"/>
              <w:ind w:left="28" w:right="103" w:firstLine="2"/>
              <w:rPr>
                <w:rFonts w:hint="eastAsia" w:ascii="宋体" w:hAnsi="宋体" w:eastAsia="宋体" w:cs="宋体"/>
                <w:spacing w:val="6"/>
                <w:sz w:val="21"/>
                <w:szCs w:val="21"/>
                <w:lang w:val="en-US" w:eastAsia="zh-CN"/>
              </w:rPr>
            </w:pPr>
          </w:p>
          <w:p w14:paraId="2B93AACB">
            <w:pPr>
              <w:pStyle w:val="35"/>
              <w:spacing w:before="15" w:line="229" w:lineRule="auto"/>
              <w:ind w:left="28" w:right="103" w:firstLine="2"/>
              <w:rPr>
                <w:rFonts w:hint="eastAsia" w:ascii="宋体" w:hAnsi="宋体" w:eastAsia="宋体" w:cs="宋体"/>
                <w:spacing w:val="6"/>
                <w:sz w:val="21"/>
                <w:szCs w:val="21"/>
                <w:lang w:val="en-US" w:eastAsia="zh-CN"/>
              </w:rPr>
            </w:pPr>
          </w:p>
          <w:p w14:paraId="094DBED6">
            <w:pPr>
              <w:pStyle w:val="35"/>
              <w:spacing w:before="15" w:line="229" w:lineRule="auto"/>
              <w:ind w:left="28" w:right="103" w:firstLine="2"/>
              <w:rPr>
                <w:rFonts w:hint="eastAsia" w:ascii="宋体" w:hAnsi="宋体" w:eastAsia="宋体" w:cs="宋体"/>
                <w:spacing w:val="6"/>
                <w:sz w:val="21"/>
                <w:szCs w:val="21"/>
                <w:lang w:val="en-US" w:eastAsia="zh-CN"/>
              </w:rPr>
            </w:pPr>
          </w:p>
          <w:p w14:paraId="20934D53">
            <w:pPr>
              <w:pStyle w:val="35"/>
              <w:spacing w:before="15" w:line="229" w:lineRule="auto"/>
              <w:ind w:left="28" w:right="103" w:firstLine="2"/>
              <w:rPr>
                <w:rFonts w:hint="eastAsia" w:ascii="宋体" w:hAnsi="宋体" w:eastAsia="宋体" w:cs="宋体"/>
                <w:spacing w:val="6"/>
                <w:sz w:val="21"/>
                <w:szCs w:val="21"/>
                <w:lang w:val="en-US" w:eastAsia="zh-CN"/>
              </w:rPr>
            </w:pPr>
          </w:p>
          <w:p w14:paraId="2DA9926E">
            <w:pPr>
              <w:pStyle w:val="35"/>
              <w:spacing w:before="15" w:line="229" w:lineRule="auto"/>
              <w:ind w:left="28" w:right="103" w:firstLine="2"/>
              <w:rPr>
                <w:rFonts w:hint="eastAsia" w:ascii="宋体" w:hAnsi="宋体" w:eastAsia="宋体" w:cs="宋体"/>
                <w:spacing w:val="6"/>
                <w:sz w:val="21"/>
                <w:szCs w:val="21"/>
                <w:lang w:val="en-US" w:eastAsia="zh-CN"/>
              </w:rPr>
            </w:pPr>
          </w:p>
          <w:p w14:paraId="4B031DB5">
            <w:pPr>
              <w:pStyle w:val="35"/>
              <w:spacing w:before="15" w:line="229" w:lineRule="auto"/>
              <w:ind w:left="28" w:right="103" w:firstLine="2"/>
              <w:rPr>
                <w:rFonts w:hint="eastAsia" w:ascii="宋体" w:hAnsi="宋体" w:eastAsia="宋体" w:cs="宋体"/>
                <w:spacing w:val="6"/>
                <w:sz w:val="21"/>
                <w:szCs w:val="21"/>
                <w:lang w:val="en-US" w:eastAsia="zh-CN"/>
              </w:rPr>
            </w:pPr>
          </w:p>
          <w:p w14:paraId="521C46AA">
            <w:pPr>
              <w:pStyle w:val="35"/>
              <w:spacing w:before="15" w:line="229" w:lineRule="auto"/>
              <w:ind w:left="28" w:right="103" w:firstLine="2"/>
              <w:rPr>
                <w:rFonts w:hint="eastAsia" w:ascii="宋体" w:hAnsi="宋体" w:eastAsia="宋体" w:cs="宋体"/>
                <w:spacing w:val="6"/>
                <w:sz w:val="21"/>
                <w:szCs w:val="21"/>
                <w:lang w:val="en-US" w:eastAsia="zh-CN"/>
              </w:rPr>
            </w:pPr>
          </w:p>
          <w:p w14:paraId="1D39138B">
            <w:pPr>
              <w:pStyle w:val="35"/>
              <w:spacing w:before="15" w:line="229" w:lineRule="auto"/>
              <w:ind w:left="28" w:right="103" w:firstLine="2"/>
              <w:rPr>
                <w:rFonts w:hint="eastAsia" w:ascii="宋体" w:hAnsi="宋体" w:eastAsia="宋体" w:cs="宋体"/>
                <w:spacing w:val="6"/>
                <w:sz w:val="21"/>
                <w:szCs w:val="21"/>
                <w:lang w:val="en-US" w:eastAsia="zh-CN"/>
              </w:rPr>
            </w:pPr>
          </w:p>
          <w:p w14:paraId="1B00AD14">
            <w:pPr>
              <w:pStyle w:val="35"/>
              <w:spacing w:before="15" w:line="229" w:lineRule="auto"/>
              <w:ind w:left="28" w:right="103" w:firstLine="2"/>
              <w:rPr>
                <w:rFonts w:hint="eastAsia" w:ascii="宋体" w:hAnsi="宋体" w:eastAsia="宋体" w:cs="宋体"/>
                <w:spacing w:val="6"/>
                <w:sz w:val="21"/>
                <w:szCs w:val="21"/>
                <w:lang w:val="en-US" w:eastAsia="zh-CN"/>
              </w:rPr>
            </w:pPr>
          </w:p>
          <w:p w14:paraId="5C5579DF">
            <w:pPr>
              <w:pStyle w:val="35"/>
              <w:spacing w:before="15" w:line="229" w:lineRule="auto"/>
              <w:ind w:left="28" w:right="103" w:firstLine="2"/>
              <w:rPr>
                <w:rFonts w:hint="eastAsia" w:ascii="宋体" w:hAnsi="宋体" w:eastAsia="宋体" w:cs="宋体"/>
                <w:spacing w:val="6"/>
                <w:sz w:val="21"/>
                <w:szCs w:val="21"/>
                <w:lang w:val="en-US" w:eastAsia="zh-CN"/>
              </w:rPr>
            </w:pPr>
          </w:p>
          <w:p w14:paraId="4AC9B181">
            <w:pPr>
              <w:pStyle w:val="35"/>
              <w:spacing w:before="15" w:line="229" w:lineRule="auto"/>
              <w:ind w:left="28" w:right="103" w:firstLine="2"/>
              <w:rPr>
                <w:rFonts w:hint="eastAsia" w:ascii="宋体" w:hAnsi="宋体" w:eastAsia="宋体" w:cs="宋体"/>
                <w:spacing w:val="6"/>
                <w:sz w:val="21"/>
                <w:szCs w:val="21"/>
                <w:lang w:val="en-US" w:eastAsia="zh-CN"/>
              </w:rPr>
            </w:pPr>
          </w:p>
          <w:p w14:paraId="553ED378">
            <w:pPr>
              <w:pStyle w:val="35"/>
              <w:spacing w:before="15" w:line="229" w:lineRule="auto"/>
              <w:ind w:left="28" w:right="103" w:firstLine="2"/>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w:t>
            </w:r>
          </w:p>
        </w:tc>
        <w:tc>
          <w:tcPr>
            <w:tcW w:w="405" w:type="dxa"/>
            <w:tcBorders>
              <w:tl2br w:val="nil"/>
              <w:tr2bl w:val="nil"/>
            </w:tcBorders>
            <w:noWrap w:val="0"/>
            <w:vAlign w:val="top"/>
          </w:tcPr>
          <w:p w14:paraId="6D26F622">
            <w:pPr>
              <w:pStyle w:val="35"/>
              <w:spacing w:before="15" w:line="229" w:lineRule="auto"/>
              <w:ind w:left="28" w:right="103" w:firstLine="2"/>
              <w:rPr>
                <w:rFonts w:hint="eastAsia" w:ascii="宋体" w:hAnsi="宋体" w:eastAsia="宋体" w:cs="宋体"/>
                <w:spacing w:val="6"/>
                <w:sz w:val="21"/>
                <w:szCs w:val="21"/>
                <w:lang w:val="en-US" w:eastAsia="zh-CN"/>
              </w:rPr>
            </w:pPr>
          </w:p>
          <w:p w14:paraId="6546021B">
            <w:pPr>
              <w:pStyle w:val="35"/>
              <w:spacing w:before="15" w:line="229" w:lineRule="auto"/>
              <w:ind w:left="28" w:right="103" w:firstLine="2"/>
              <w:rPr>
                <w:rFonts w:hint="eastAsia" w:ascii="宋体" w:hAnsi="宋体" w:eastAsia="宋体" w:cs="宋体"/>
                <w:spacing w:val="6"/>
                <w:sz w:val="21"/>
                <w:szCs w:val="21"/>
                <w:lang w:val="en-US" w:eastAsia="zh-CN"/>
              </w:rPr>
            </w:pPr>
          </w:p>
          <w:p w14:paraId="038E2FDA">
            <w:pPr>
              <w:pStyle w:val="35"/>
              <w:spacing w:before="15" w:line="229" w:lineRule="auto"/>
              <w:ind w:left="28" w:right="103" w:firstLine="2"/>
              <w:rPr>
                <w:rFonts w:hint="eastAsia" w:ascii="宋体" w:hAnsi="宋体" w:eastAsia="宋体" w:cs="宋体"/>
                <w:spacing w:val="6"/>
                <w:sz w:val="21"/>
                <w:szCs w:val="21"/>
                <w:lang w:val="en-US" w:eastAsia="zh-CN"/>
              </w:rPr>
            </w:pPr>
          </w:p>
          <w:p w14:paraId="2AEF45DF">
            <w:pPr>
              <w:pStyle w:val="35"/>
              <w:spacing w:before="15" w:line="229" w:lineRule="auto"/>
              <w:ind w:left="28" w:right="103" w:firstLine="2"/>
              <w:rPr>
                <w:rFonts w:hint="eastAsia" w:ascii="宋体" w:hAnsi="宋体" w:eastAsia="宋体" w:cs="宋体"/>
                <w:spacing w:val="6"/>
                <w:sz w:val="21"/>
                <w:szCs w:val="21"/>
                <w:lang w:val="en-US" w:eastAsia="zh-CN"/>
              </w:rPr>
            </w:pPr>
          </w:p>
          <w:p w14:paraId="0A14E6B6">
            <w:pPr>
              <w:pStyle w:val="35"/>
              <w:spacing w:before="15" w:line="229" w:lineRule="auto"/>
              <w:ind w:left="28" w:right="103" w:firstLine="2"/>
              <w:rPr>
                <w:rFonts w:hint="eastAsia" w:ascii="宋体" w:hAnsi="宋体" w:eastAsia="宋体" w:cs="宋体"/>
                <w:spacing w:val="6"/>
                <w:sz w:val="21"/>
                <w:szCs w:val="21"/>
                <w:lang w:val="en-US" w:eastAsia="zh-CN"/>
              </w:rPr>
            </w:pPr>
          </w:p>
          <w:p w14:paraId="18E691D0">
            <w:pPr>
              <w:pStyle w:val="35"/>
              <w:spacing w:before="15" w:line="229" w:lineRule="auto"/>
              <w:ind w:left="28" w:right="103" w:firstLine="2"/>
              <w:rPr>
                <w:rFonts w:hint="eastAsia" w:ascii="宋体" w:hAnsi="宋体" w:eastAsia="宋体" w:cs="宋体"/>
                <w:spacing w:val="6"/>
                <w:sz w:val="21"/>
                <w:szCs w:val="21"/>
                <w:lang w:val="en-US" w:eastAsia="zh-CN"/>
              </w:rPr>
            </w:pPr>
          </w:p>
          <w:p w14:paraId="5ACB546E">
            <w:pPr>
              <w:pStyle w:val="35"/>
              <w:spacing w:before="15" w:line="229" w:lineRule="auto"/>
              <w:ind w:left="28" w:right="103" w:firstLine="2"/>
              <w:rPr>
                <w:rFonts w:hint="eastAsia" w:ascii="宋体" w:hAnsi="宋体" w:eastAsia="宋体" w:cs="宋体"/>
                <w:spacing w:val="6"/>
                <w:sz w:val="21"/>
                <w:szCs w:val="21"/>
                <w:lang w:val="en-US" w:eastAsia="zh-CN"/>
              </w:rPr>
            </w:pPr>
          </w:p>
          <w:p w14:paraId="340A9E15">
            <w:pPr>
              <w:pStyle w:val="35"/>
              <w:spacing w:before="15" w:line="229" w:lineRule="auto"/>
              <w:ind w:left="28" w:right="103" w:firstLine="2"/>
              <w:rPr>
                <w:rFonts w:hint="eastAsia" w:ascii="宋体" w:hAnsi="宋体" w:eastAsia="宋体" w:cs="宋体"/>
                <w:spacing w:val="6"/>
                <w:sz w:val="21"/>
                <w:szCs w:val="21"/>
                <w:lang w:val="en-US" w:eastAsia="zh-CN"/>
              </w:rPr>
            </w:pPr>
          </w:p>
          <w:p w14:paraId="0C6028C3">
            <w:pPr>
              <w:pStyle w:val="35"/>
              <w:spacing w:before="15" w:line="229" w:lineRule="auto"/>
              <w:ind w:left="28" w:right="103" w:firstLine="2"/>
              <w:rPr>
                <w:rFonts w:hint="eastAsia" w:ascii="宋体" w:hAnsi="宋体" w:eastAsia="宋体" w:cs="宋体"/>
                <w:spacing w:val="6"/>
                <w:sz w:val="21"/>
                <w:szCs w:val="21"/>
                <w:lang w:val="en-US" w:eastAsia="zh-CN"/>
              </w:rPr>
            </w:pPr>
          </w:p>
          <w:p w14:paraId="016CEADA">
            <w:pPr>
              <w:pStyle w:val="35"/>
              <w:spacing w:before="15" w:line="229" w:lineRule="auto"/>
              <w:ind w:left="28" w:right="103" w:firstLine="2"/>
              <w:rPr>
                <w:rFonts w:hint="eastAsia" w:ascii="宋体" w:hAnsi="宋体" w:eastAsia="宋体" w:cs="宋体"/>
                <w:spacing w:val="6"/>
                <w:sz w:val="21"/>
                <w:szCs w:val="21"/>
                <w:lang w:val="en-US" w:eastAsia="zh-CN"/>
              </w:rPr>
            </w:pPr>
          </w:p>
          <w:p w14:paraId="13E352EE">
            <w:pPr>
              <w:pStyle w:val="35"/>
              <w:spacing w:before="15" w:line="229" w:lineRule="auto"/>
              <w:ind w:left="28" w:right="103" w:firstLine="2"/>
              <w:rPr>
                <w:rFonts w:hint="eastAsia" w:ascii="宋体" w:hAnsi="宋体" w:eastAsia="宋体" w:cs="宋体"/>
                <w:spacing w:val="6"/>
                <w:sz w:val="21"/>
                <w:szCs w:val="21"/>
                <w:lang w:val="en-US" w:eastAsia="zh-CN"/>
              </w:rPr>
            </w:pPr>
          </w:p>
          <w:p w14:paraId="5197D62D">
            <w:pPr>
              <w:pStyle w:val="35"/>
              <w:spacing w:before="15" w:line="229" w:lineRule="auto"/>
              <w:ind w:left="28" w:right="103" w:firstLine="2"/>
              <w:rPr>
                <w:rFonts w:hint="eastAsia" w:ascii="宋体" w:hAnsi="宋体" w:eastAsia="宋体" w:cs="宋体"/>
                <w:spacing w:val="6"/>
                <w:sz w:val="21"/>
                <w:szCs w:val="21"/>
                <w:lang w:val="en-US" w:eastAsia="zh-CN"/>
              </w:rPr>
            </w:pPr>
          </w:p>
          <w:p w14:paraId="338F0267">
            <w:pPr>
              <w:pStyle w:val="35"/>
              <w:spacing w:before="15" w:line="229" w:lineRule="auto"/>
              <w:ind w:left="28" w:right="103" w:firstLine="2"/>
              <w:rPr>
                <w:rFonts w:hint="eastAsia" w:ascii="宋体" w:hAnsi="宋体" w:eastAsia="宋体" w:cs="宋体"/>
                <w:spacing w:val="6"/>
                <w:sz w:val="21"/>
                <w:szCs w:val="21"/>
                <w:lang w:val="en-US" w:eastAsia="zh-CN"/>
              </w:rPr>
            </w:pPr>
          </w:p>
          <w:p w14:paraId="61CD5D8A">
            <w:pPr>
              <w:pStyle w:val="35"/>
              <w:spacing w:before="15" w:line="229" w:lineRule="auto"/>
              <w:ind w:left="28" w:right="103" w:firstLine="2"/>
              <w:rPr>
                <w:rFonts w:hint="eastAsia" w:ascii="宋体" w:hAnsi="宋体" w:eastAsia="宋体" w:cs="宋体"/>
                <w:spacing w:val="6"/>
                <w:sz w:val="21"/>
                <w:szCs w:val="21"/>
                <w:lang w:val="en-US" w:eastAsia="zh-CN"/>
              </w:rPr>
            </w:pPr>
          </w:p>
          <w:p w14:paraId="34EB6D45">
            <w:pPr>
              <w:pStyle w:val="35"/>
              <w:spacing w:before="15" w:line="229" w:lineRule="auto"/>
              <w:ind w:left="28" w:right="103" w:firstLine="2"/>
              <w:rPr>
                <w:rFonts w:hint="eastAsia" w:ascii="宋体" w:hAnsi="宋体" w:eastAsia="宋体" w:cs="宋体"/>
                <w:spacing w:val="6"/>
                <w:sz w:val="21"/>
                <w:szCs w:val="21"/>
                <w:lang w:val="en-US" w:eastAsia="zh-CN"/>
              </w:rPr>
            </w:pPr>
          </w:p>
          <w:p w14:paraId="57B79285">
            <w:pPr>
              <w:pStyle w:val="35"/>
              <w:spacing w:before="15" w:line="229" w:lineRule="auto"/>
              <w:ind w:left="28" w:right="103" w:firstLine="2"/>
              <w:rPr>
                <w:rFonts w:hint="eastAsia" w:ascii="宋体" w:hAnsi="宋体" w:eastAsia="宋体" w:cs="宋体"/>
                <w:spacing w:val="6"/>
                <w:sz w:val="21"/>
                <w:szCs w:val="21"/>
                <w:lang w:val="en-US" w:eastAsia="zh-CN"/>
              </w:rPr>
            </w:pPr>
          </w:p>
          <w:p w14:paraId="5B176448">
            <w:pPr>
              <w:pStyle w:val="35"/>
              <w:spacing w:before="15" w:line="229" w:lineRule="auto"/>
              <w:ind w:left="28" w:right="103" w:firstLine="2"/>
              <w:rPr>
                <w:rFonts w:hint="eastAsia" w:ascii="宋体" w:hAnsi="宋体" w:eastAsia="宋体" w:cs="宋体"/>
                <w:spacing w:val="6"/>
                <w:sz w:val="21"/>
                <w:szCs w:val="21"/>
                <w:lang w:val="en-US" w:eastAsia="zh-CN"/>
              </w:rPr>
            </w:pPr>
          </w:p>
          <w:p w14:paraId="110699E8">
            <w:pPr>
              <w:pStyle w:val="35"/>
              <w:spacing w:before="15" w:line="229" w:lineRule="auto"/>
              <w:ind w:left="28" w:right="103" w:firstLine="2"/>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项</w:t>
            </w:r>
          </w:p>
        </w:tc>
        <w:tc>
          <w:tcPr>
            <w:tcW w:w="1170" w:type="dxa"/>
            <w:tcBorders>
              <w:tl2br w:val="nil"/>
              <w:tr2bl w:val="nil"/>
            </w:tcBorders>
            <w:noWrap w:val="0"/>
            <w:vAlign w:val="top"/>
          </w:tcPr>
          <w:p w14:paraId="2839F9CB">
            <w:pPr>
              <w:pStyle w:val="35"/>
              <w:spacing w:before="15" w:line="229" w:lineRule="auto"/>
              <w:ind w:left="28" w:right="103" w:firstLine="2"/>
              <w:rPr>
                <w:rFonts w:hint="eastAsia" w:ascii="宋体" w:hAnsi="宋体" w:eastAsia="宋体" w:cs="宋体"/>
                <w:spacing w:val="6"/>
                <w:sz w:val="21"/>
                <w:szCs w:val="21"/>
                <w:lang w:val="en-US" w:eastAsia="zh-CN"/>
              </w:rPr>
            </w:pPr>
          </w:p>
          <w:p w14:paraId="6F31D328">
            <w:pPr>
              <w:pStyle w:val="35"/>
              <w:spacing w:before="15" w:line="229" w:lineRule="auto"/>
              <w:ind w:left="28" w:right="103" w:firstLine="2"/>
              <w:rPr>
                <w:rFonts w:hint="eastAsia" w:ascii="宋体" w:hAnsi="宋体" w:eastAsia="宋体" w:cs="宋体"/>
                <w:spacing w:val="6"/>
                <w:sz w:val="21"/>
                <w:szCs w:val="21"/>
                <w:lang w:val="en-US" w:eastAsia="zh-CN"/>
              </w:rPr>
            </w:pPr>
          </w:p>
          <w:p w14:paraId="6321FE59">
            <w:pPr>
              <w:pStyle w:val="35"/>
              <w:spacing w:before="15" w:line="229" w:lineRule="auto"/>
              <w:ind w:left="28" w:right="103" w:firstLine="2"/>
              <w:rPr>
                <w:rFonts w:hint="eastAsia" w:ascii="宋体" w:hAnsi="宋体" w:eastAsia="宋体" w:cs="宋体"/>
                <w:spacing w:val="6"/>
                <w:sz w:val="21"/>
                <w:szCs w:val="21"/>
                <w:lang w:val="en-US" w:eastAsia="zh-CN"/>
              </w:rPr>
            </w:pPr>
          </w:p>
          <w:p w14:paraId="0157F957">
            <w:pPr>
              <w:pStyle w:val="35"/>
              <w:spacing w:before="15" w:line="229" w:lineRule="auto"/>
              <w:ind w:left="28" w:right="103" w:firstLine="2"/>
              <w:rPr>
                <w:rFonts w:hint="eastAsia" w:ascii="宋体" w:hAnsi="宋体" w:eastAsia="宋体" w:cs="宋体"/>
                <w:spacing w:val="6"/>
                <w:sz w:val="21"/>
                <w:szCs w:val="21"/>
                <w:lang w:val="en-US" w:eastAsia="zh-CN"/>
              </w:rPr>
            </w:pPr>
          </w:p>
          <w:p w14:paraId="62694C2B">
            <w:pPr>
              <w:pStyle w:val="35"/>
              <w:spacing w:before="15" w:line="229" w:lineRule="auto"/>
              <w:ind w:left="28" w:right="103" w:firstLine="2"/>
              <w:rPr>
                <w:rFonts w:hint="eastAsia" w:ascii="宋体" w:hAnsi="宋体" w:eastAsia="宋体" w:cs="宋体"/>
                <w:spacing w:val="6"/>
                <w:sz w:val="21"/>
                <w:szCs w:val="21"/>
                <w:lang w:val="en-US" w:eastAsia="zh-CN"/>
              </w:rPr>
            </w:pPr>
          </w:p>
          <w:p w14:paraId="40AEEADF">
            <w:pPr>
              <w:pStyle w:val="35"/>
              <w:spacing w:before="15" w:line="229" w:lineRule="auto"/>
              <w:ind w:left="28" w:right="103" w:firstLine="2"/>
              <w:rPr>
                <w:rFonts w:hint="eastAsia" w:ascii="宋体" w:hAnsi="宋体" w:eastAsia="宋体" w:cs="宋体"/>
                <w:spacing w:val="6"/>
                <w:sz w:val="21"/>
                <w:szCs w:val="21"/>
                <w:lang w:val="en-US" w:eastAsia="zh-CN"/>
              </w:rPr>
            </w:pPr>
          </w:p>
          <w:p w14:paraId="1D2E6A98">
            <w:pPr>
              <w:pStyle w:val="35"/>
              <w:spacing w:before="15" w:line="229" w:lineRule="auto"/>
              <w:ind w:left="28" w:right="103" w:firstLine="2"/>
              <w:rPr>
                <w:rFonts w:hint="eastAsia" w:ascii="宋体" w:hAnsi="宋体" w:eastAsia="宋体" w:cs="宋体"/>
                <w:spacing w:val="6"/>
                <w:sz w:val="21"/>
                <w:szCs w:val="21"/>
                <w:lang w:val="en-US" w:eastAsia="zh-CN"/>
              </w:rPr>
            </w:pPr>
          </w:p>
          <w:p w14:paraId="7DC6D8AB">
            <w:pPr>
              <w:pStyle w:val="35"/>
              <w:spacing w:before="15" w:line="229" w:lineRule="auto"/>
              <w:ind w:left="28" w:right="103" w:firstLine="2"/>
              <w:rPr>
                <w:rFonts w:hint="eastAsia" w:ascii="宋体" w:hAnsi="宋体" w:eastAsia="宋体" w:cs="宋体"/>
                <w:spacing w:val="6"/>
                <w:sz w:val="21"/>
                <w:szCs w:val="21"/>
                <w:lang w:val="en-US" w:eastAsia="zh-CN"/>
              </w:rPr>
            </w:pPr>
          </w:p>
          <w:p w14:paraId="071A9882">
            <w:pPr>
              <w:pStyle w:val="35"/>
              <w:spacing w:before="15" w:line="229" w:lineRule="auto"/>
              <w:ind w:left="28" w:right="103" w:firstLine="2"/>
              <w:rPr>
                <w:rFonts w:hint="eastAsia" w:ascii="宋体" w:hAnsi="宋体" w:eastAsia="宋体" w:cs="宋体"/>
                <w:spacing w:val="6"/>
                <w:sz w:val="21"/>
                <w:szCs w:val="21"/>
                <w:lang w:val="en-US" w:eastAsia="zh-CN"/>
              </w:rPr>
            </w:pPr>
          </w:p>
          <w:p w14:paraId="2BA219C1">
            <w:pPr>
              <w:pStyle w:val="35"/>
              <w:spacing w:before="15" w:line="229" w:lineRule="auto"/>
              <w:ind w:left="28" w:right="103" w:firstLine="2"/>
              <w:rPr>
                <w:rFonts w:hint="eastAsia" w:ascii="宋体" w:hAnsi="宋体" w:eastAsia="宋体" w:cs="宋体"/>
                <w:spacing w:val="6"/>
                <w:sz w:val="21"/>
                <w:szCs w:val="21"/>
                <w:lang w:val="en-US" w:eastAsia="zh-CN"/>
              </w:rPr>
            </w:pPr>
          </w:p>
          <w:p w14:paraId="254406E3">
            <w:pPr>
              <w:pStyle w:val="35"/>
              <w:spacing w:before="15" w:line="229" w:lineRule="auto"/>
              <w:ind w:left="28" w:right="103" w:firstLine="2"/>
              <w:rPr>
                <w:rFonts w:hint="eastAsia" w:ascii="宋体" w:hAnsi="宋体" w:eastAsia="宋体" w:cs="宋体"/>
                <w:spacing w:val="6"/>
                <w:sz w:val="21"/>
                <w:szCs w:val="21"/>
                <w:lang w:val="en-US" w:eastAsia="zh-CN"/>
              </w:rPr>
            </w:pPr>
          </w:p>
          <w:p w14:paraId="1BA337AA">
            <w:pPr>
              <w:pStyle w:val="35"/>
              <w:spacing w:before="15" w:line="229" w:lineRule="auto"/>
              <w:ind w:left="28" w:right="103" w:firstLine="2"/>
              <w:rPr>
                <w:rFonts w:hint="eastAsia" w:ascii="宋体" w:hAnsi="宋体" w:eastAsia="宋体" w:cs="宋体"/>
                <w:spacing w:val="6"/>
                <w:sz w:val="21"/>
                <w:szCs w:val="21"/>
                <w:lang w:val="en-US" w:eastAsia="zh-CN"/>
              </w:rPr>
            </w:pPr>
          </w:p>
          <w:p w14:paraId="414594C6">
            <w:pPr>
              <w:pStyle w:val="35"/>
              <w:spacing w:before="15" w:line="229" w:lineRule="auto"/>
              <w:ind w:left="28" w:right="103" w:firstLine="2"/>
              <w:rPr>
                <w:rFonts w:hint="eastAsia" w:ascii="宋体" w:hAnsi="宋体" w:eastAsia="宋体" w:cs="宋体"/>
                <w:spacing w:val="6"/>
                <w:sz w:val="21"/>
                <w:szCs w:val="21"/>
                <w:lang w:val="en-US" w:eastAsia="zh-CN"/>
              </w:rPr>
            </w:pPr>
          </w:p>
          <w:p w14:paraId="560357AB">
            <w:pPr>
              <w:pStyle w:val="35"/>
              <w:spacing w:before="15" w:line="229" w:lineRule="auto"/>
              <w:ind w:left="28" w:right="103" w:firstLine="2"/>
              <w:rPr>
                <w:rFonts w:hint="eastAsia" w:ascii="宋体" w:hAnsi="宋体" w:eastAsia="宋体" w:cs="宋体"/>
                <w:spacing w:val="6"/>
                <w:sz w:val="21"/>
                <w:szCs w:val="21"/>
                <w:lang w:val="en-US" w:eastAsia="zh-CN"/>
              </w:rPr>
            </w:pPr>
          </w:p>
          <w:p w14:paraId="2472FA13">
            <w:pPr>
              <w:pStyle w:val="35"/>
              <w:spacing w:before="15" w:line="229" w:lineRule="auto"/>
              <w:ind w:left="28" w:right="103" w:firstLine="2"/>
              <w:rPr>
                <w:rFonts w:hint="eastAsia" w:ascii="宋体" w:hAnsi="宋体" w:eastAsia="宋体" w:cs="宋体"/>
                <w:spacing w:val="6"/>
                <w:sz w:val="21"/>
                <w:szCs w:val="21"/>
                <w:lang w:val="en-US" w:eastAsia="zh-CN"/>
              </w:rPr>
            </w:pPr>
          </w:p>
          <w:p w14:paraId="2DE0D3D6">
            <w:pPr>
              <w:pStyle w:val="35"/>
              <w:spacing w:before="15" w:line="229" w:lineRule="auto"/>
              <w:ind w:left="28" w:right="103" w:firstLine="2"/>
              <w:rPr>
                <w:rFonts w:hint="eastAsia" w:ascii="宋体" w:hAnsi="宋体" w:eastAsia="宋体" w:cs="宋体"/>
                <w:spacing w:val="6"/>
                <w:sz w:val="21"/>
                <w:szCs w:val="21"/>
                <w:lang w:val="en-US" w:eastAsia="zh-CN"/>
              </w:rPr>
            </w:pPr>
          </w:p>
          <w:p w14:paraId="710F159F">
            <w:pPr>
              <w:pStyle w:val="35"/>
              <w:spacing w:before="15" w:line="229" w:lineRule="auto"/>
              <w:ind w:left="28" w:right="103" w:firstLine="2"/>
              <w:rPr>
                <w:rFonts w:hint="eastAsia" w:ascii="宋体" w:hAnsi="宋体" w:eastAsia="宋体" w:cs="宋体"/>
                <w:spacing w:val="6"/>
                <w:sz w:val="21"/>
                <w:szCs w:val="21"/>
                <w:lang w:val="en-US" w:eastAsia="zh-CN"/>
              </w:rPr>
            </w:pPr>
          </w:p>
          <w:p w14:paraId="3714FD47">
            <w:pPr>
              <w:pStyle w:val="35"/>
              <w:spacing w:before="15" w:line="229" w:lineRule="auto"/>
              <w:ind w:left="28" w:right="103" w:firstLine="2"/>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1050060</w:t>
            </w:r>
          </w:p>
        </w:tc>
        <w:tc>
          <w:tcPr>
            <w:tcW w:w="1170" w:type="dxa"/>
            <w:tcBorders>
              <w:tl2br w:val="nil"/>
              <w:tr2bl w:val="nil"/>
            </w:tcBorders>
            <w:noWrap w:val="0"/>
            <w:vAlign w:val="top"/>
          </w:tcPr>
          <w:p w14:paraId="170D60F5">
            <w:pPr>
              <w:pStyle w:val="35"/>
              <w:spacing w:before="15" w:line="229" w:lineRule="auto"/>
              <w:ind w:left="28" w:right="103" w:firstLine="2"/>
              <w:rPr>
                <w:rFonts w:hint="eastAsia" w:ascii="宋体" w:hAnsi="宋体" w:eastAsia="宋体" w:cs="宋体"/>
                <w:spacing w:val="6"/>
                <w:sz w:val="21"/>
                <w:szCs w:val="21"/>
                <w:lang w:val="en-US" w:eastAsia="zh-CN"/>
              </w:rPr>
            </w:pPr>
          </w:p>
          <w:p w14:paraId="71FEE496">
            <w:pPr>
              <w:pStyle w:val="35"/>
              <w:spacing w:before="15" w:line="229" w:lineRule="auto"/>
              <w:ind w:left="28" w:right="103" w:firstLine="2"/>
              <w:rPr>
                <w:rFonts w:hint="eastAsia" w:ascii="宋体" w:hAnsi="宋体" w:eastAsia="宋体" w:cs="宋体"/>
                <w:spacing w:val="6"/>
                <w:sz w:val="21"/>
                <w:szCs w:val="21"/>
                <w:lang w:val="en-US" w:eastAsia="zh-CN"/>
              </w:rPr>
            </w:pPr>
          </w:p>
          <w:p w14:paraId="3F134B2E">
            <w:pPr>
              <w:pStyle w:val="35"/>
              <w:spacing w:before="15" w:line="229" w:lineRule="auto"/>
              <w:ind w:left="28" w:right="103" w:firstLine="2"/>
              <w:rPr>
                <w:rFonts w:hint="eastAsia" w:ascii="宋体" w:hAnsi="宋体" w:eastAsia="宋体" w:cs="宋体"/>
                <w:spacing w:val="6"/>
                <w:sz w:val="21"/>
                <w:szCs w:val="21"/>
                <w:lang w:val="en-US" w:eastAsia="zh-CN"/>
              </w:rPr>
            </w:pPr>
          </w:p>
          <w:p w14:paraId="3E56F280">
            <w:pPr>
              <w:pStyle w:val="35"/>
              <w:spacing w:before="15" w:line="229" w:lineRule="auto"/>
              <w:ind w:left="28" w:right="103" w:firstLine="2"/>
              <w:rPr>
                <w:rFonts w:hint="eastAsia" w:ascii="宋体" w:hAnsi="宋体" w:eastAsia="宋体" w:cs="宋体"/>
                <w:spacing w:val="6"/>
                <w:sz w:val="21"/>
                <w:szCs w:val="21"/>
                <w:lang w:val="en-US" w:eastAsia="zh-CN"/>
              </w:rPr>
            </w:pPr>
          </w:p>
          <w:p w14:paraId="17B7DF61">
            <w:pPr>
              <w:pStyle w:val="35"/>
              <w:spacing w:before="15" w:line="229" w:lineRule="auto"/>
              <w:ind w:left="28" w:right="103" w:firstLine="2"/>
              <w:rPr>
                <w:rFonts w:hint="eastAsia" w:ascii="宋体" w:hAnsi="宋体" w:eastAsia="宋体" w:cs="宋体"/>
                <w:spacing w:val="6"/>
                <w:sz w:val="21"/>
                <w:szCs w:val="21"/>
                <w:lang w:val="en-US" w:eastAsia="zh-CN"/>
              </w:rPr>
            </w:pPr>
          </w:p>
          <w:p w14:paraId="77F1C33B">
            <w:pPr>
              <w:pStyle w:val="35"/>
              <w:spacing w:before="15" w:line="229" w:lineRule="auto"/>
              <w:ind w:left="28" w:right="103" w:firstLine="2"/>
              <w:rPr>
                <w:rFonts w:hint="eastAsia" w:ascii="宋体" w:hAnsi="宋体" w:eastAsia="宋体" w:cs="宋体"/>
                <w:spacing w:val="6"/>
                <w:sz w:val="21"/>
                <w:szCs w:val="21"/>
                <w:lang w:val="en-US" w:eastAsia="zh-CN"/>
              </w:rPr>
            </w:pPr>
          </w:p>
          <w:p w14:paraId="09EF1C0D">
            <w:pPr>
              <w:pStyle w:val="35"/>
              <w:spacing w:before="15" w:line="229" w:lineRule="auto"/>
              <w:ind w:left="28" w:right="103" w:firstLine="2"/>
              <w:rPr>
                <w:rFonts w:hint="eastAsia" w:ascii="宋体" w:hAnsi="宋体" w:eastAsia="宋体" w:cs="宋体"/>
                <w:spacing w:val="6"/>
                <w:sz w:val="21"/>
                <w:szCs w:val="21"/>
                <w:lang w:val="en-US" w:eastAsia="zh-CN"/>
              </w:rPr>
            </w:pPr>
          </w:p>
          <w:p w14:paraId="6298BF4C">
            <w:pPr>
              <w:pStyle w:val="35"/>
              <w:spacing w:before="15" w:line="229" w:lineRule="auto"/>
              <w:ind w:left="28" w:right="103" w:firstLine="2"/>
              <w:rPr>
                <w:rFonts w:hint="eastAsia" w:ascii="宋体" w:hAnsi="宋体" w:eastAsia="宋体" w:cs="宋体"/>
                <w:spacing w:val="6"/>
                <w:sz w:val="21"/>
                <w:szCs w:val="21"/>
                <w:lang w:val="en-US" w:eastAsia="zh-CN"/>
              </w:rPr>
            </w:pPr>
          </w:p>
          <w:p w14:paraId="5516D05C">
            <w:pPr>
              <w:pStyle w:val="35"/>
              <w:spacing w:before="15" w:line="229" w:lineRule="auto"/>
              <w:ind w:left="28" w:right="103" w:firstLine="2"/>
              <w:rPr>
                <w:rFonts w:hint="eastAsia" w:ascii="宋体" w:hAnsi="宋体" w:eastAsia="宋体" w:cs="宋体"/>
                <w:spacing w:val="6"/>
                <w:sz w:val="21"/>
                <w:szCs w:val="21"/>
                <w:lang w:val="en-US" w:eastAsia="zh-CN"/>
              </w:rPr>
            </w:pPr>
          </w:p>
          <w:p w14:paraId="2C538595">
            <w:pPr>
              <w:pStyle w:val="35"/>
              <w:spacing w:before="15" w:line="229" w:lineRule="auto"/>
              <w:ind w:left="28" w:right="103" w:firstLine="2"/>
              <w:rPr>
                <w:rFonts w:hint="eastAsia" w:ascii="宋体" w:hAnsi="宋体" w:eastAsia="宋体" w:cs="宋体"/>
                <w:spacing w:val="6"/>
                <w:sz w:val="21"/>
                <w:szCs w:val="21"/>
                <w:lang w:val="en-US" w:eastAsia="zh-CN"/>
              </w:rPr>
            </w:pPr>
          </w:p>
          <w:p w14:paraId="724C3518">
            <w:pPr>
              <w:pStyle w:val="35"/>
              <w:spacing w:before="15" w:line="229" w:lineRule="auto"/>
              <w:ind w:left="28" w:right="103" w:firstLine="2"/>
              <w:rPr>
                <w:rFonts w:hint="eastAsia" w:ascii="宋体" w:hAnsi="宋体" w:eastAsia="宋体" w:cs="宋体"/>
                <w:spacing w:val="6"/>
                <w:sz w:val="21"/>
                <w:szCs w:val="21"/>
                <w:lang w:val="en-US" w:eastAsia="zh-CN"/>
              </w:rPr>
            </w:pPr>
          </w:p>
          <w:p w14:paraId="42872C17">
            <w:pPr>
              <w:pStyle w:val="35"/>
              <w:spacing w:before="15" w:line="229" w:lineRule="auto"/>
              <w:ind w:left="28" w:right="103" w:firstLine="2"/>
              <w:rPr>
                <w:rFonts w:hint="eastAsia" w:ascii="宋体" w:hAnsi="宋体" w:eastAsia="宋体" w:cs="宋体"/>
                <w:spacing w:val="6"/>
                <w:sz w:val="21"/>
                <w:szCs w:val="21"/>
                <w:lang w:val="en-US" w:eastAsia="zh-CN"/>
              </w:rPr>
            </w:pPr>
          </w:p>
          <w:p w14:paraId="34EC36CB">
            <w:pPr>
              <w:pStyle w:val="35"/>
              <w:spacing w:before="15" w:line="229" w:lineRule="auto"/>
              <w:ind w:left="28" w:right="103" w:firstLine="2"/>
              <w:rPr>
                <w:rFonts w:hint="eastAsia" w:ascii="宋体" w:hAnsi="宋体" w:eastAsia="宋体" w:cs="宋体"/>
                <w:spacing w:val="6"/>
                <w:sz w:val="21"/>
                <w:szCs w:val="21"/>
                <w:lang w:val="en-US" w:eastAsia="zh-CN"/>
              </w:rPr>
            </w:pPr>
          </w:p>
          <w:p w14:paraId="7C9F75FA">
            <w:pPr>
              <w:pStyle w:val="35"/>
              <w:spacing w:before="15" w:line="229" w:lineRule="auto"/>
              <w:ind w:left="28" w:right="103" w:firstLine="2"/>
              <w:rPr>
                <w:rFonts w:hint="eastAsia" w:ascii="宋体" w:hAnsi="宋体" w:eastAsia="宋体" w:cs="宋体"/>
                <w:spacing w:val="6"/>
                <w:sz w:val="21"/>
                <w:szCs w:val="21"/>
                <w:lang w:val="en-US" w:eastAsia="zh-CN"/>
              </w:rPr>
            </w:pPr>
          </w:p>
          <w:p w14:paraId="2D098BBB">
            <w:pPr>
              <w:pStyle w:val="35"/>
              <w:spacing w:before="15" w:line="229" w:lineRule="auto"/>
              <w:ind w:left="28" w:right="103" w:firstLine="2"/>
              <w:rPr>
                <w:rFonts w:hint="eastAsia" w:ascii="宋体" w:hAnsi="宋体" w:eastAsia="宋体" w:cs="宋体"/>
                <w:spacing w:val="6"/>
                <w:sz w:val="21"/>
                <w:szCs w:val="21"/>
                <w:lang w:val="en-US" w:eastAsia="zh-CN"/>
              </w:rPr>
            </w:pPr>
          </w:p>
          <w:p w14:paraId="6838C9FD">
            <w:pPr>
              <w:pStyle w:val="35"/>
              <w:spacing w:before="15" w:line="229" w:lineRule="auto"/>
              <w:ind w:left="28" w:right="103" w:firstLine="2"/>
              <w:rPr>
                <w:rFonts w:hint="eastAsia" w:ascii="宋体" w:hAnsi="宋体" w:eastAsia="宋体" w:cs="宋体"/>
                <w:spacing w:val="6"/>
                <w:sz w:val="21"/>
                <w:szCs w:val="21"/>
                <w:lang w:val="en-US" w:eastAsia="zh-CN"/>
              </w:rPr>
            </w:pPr>
          </w:p>
          <w:p w14:paraId="6DC799AB">
            <w:pPr>
              <w:pStyle w:val="35"/>
              <w:spacing w:before="15" w:line="229" w:lineRule="auto"/>
              <w:ind w:left="28" w:right="103" w:firstLine="2"/>
              <w:rPr>
                <w:rFonts w:hint="eastAsia" w:ascii="宋体" w:hAnsi="宋体" w:eastAsia="宋体" w:cs="宋体"/>
                <w:spacing w:val="6"/>
                <w:sz w:val="21"/>
                <w:szCs w:val="21"/>
                <w:lang w:val="en-US" w:eastAsia="zh-CN"/>
              </w:rPr>
            </w:pPr>
          </w:p>
          <w:p w14:paraId="46467768">
            <w:pPr>
              <w:pStyle w:val="35"/>
              <w:spacing w:before="15" w:line="229" w:lineRule="auto"/>
              <w:ind w:right="103"/>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1050060</w:t>
            </w:r>
          </w:p>
        </w:tc>
      </w:tr>
    </w:tbl>
    <w:tbl>
      <w:tblPr>
        <w:tblStyle w:val="21"/>
        <w:tblpPr w:leftFromText="180" w:rightFromText="180" w:vertAnchor="text" w:horzAnchor="page" w:tblpX="1245"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625"/>
      </w:tblGrid>
      <w:tr w14:paraId="54CE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509" w:type="dxa"/>
            <w:tcBorders>
              <w:top w:val="single" w:color="auto" w:sz="4" w:space="0"/>
              <w:left w:val="single" w:color="auto" w:sz="4" w:space="0"/>
              <w:bottom w:val="single" w:color="auto" w:sz="4" w:space="0"/>
              <w:right w:val="nil"/>
            </w:tcBorders>
            <w:shd w:val="clear" w:color="auto" w:fill="95B3D7"/>
            <w:noWrap w:val="0"/>
            <w:vAlign w:val="center"/>
          </w:tcPr>
          <w:p w14:paraId="0F15ED6F">
            <w:pPr>
              <w:spacing w:line="440" w:lineRule="exact"/>
              <w:jc w:val="left"/>
              <w:rPr>
                <w:rFonts w:ascii="宋体" w:hAnsi="宋体" w:cs="宋体"/>
                <w:b/>
                <w:bCs/>
                <w:szCs w:val="21"/>
              </w:rPr>
            </w:pPr>
            <w:r>
              <w:rPr>
                <w:rFonts w:hint="eastAsia" w:ascii="宋体" w:hAnsi="宋体" w:cs="宋体"/>
                <w:b/>
                <w:bCs/>
                <w:szCs w:val="21"/>
              </w:rPr>
              <w:t>商务要求：</w:t>
            </w:r>
          </w:p>
        </w:tc>
        <w:tc>
          <w:tcPr>
            <w:tcW w:w="8625" w:type="dxa"/>
            <w:tcBorders>
              <w:top w:val="single" w:color="auto" w:sz="4" w:space="0"/>
              <w:left w:val="nil"/>
              <w:bottom w:val="single" w:color="auto" w:sz="4" w:space="0"/>
              <w:right w:val="single" w:color="auto" w:sz="4" w:space="0"/>
            </w:tcBorders>
            <w:shd w:val="clear" w:color="auto" w:fill="95B3D7"/>
            <w:noWrap w:val="0"/>
            <w:vAlign w:val="top"/>
          </w:tcPr>
          <w:p w14:paraId="7DA74147">
            <w:pPr>
              <w:spacing w:line="440" w:lineRule="exact"/>
              <w:jc w:val="left"/>
              <w:rPr>
                <w:rFonts w:ascii="宋体" w:hAnsi="宋体" w:cs="宋体"/>
                <w:b/>
                <w:bCs/>
                <w:szCs w:val="21"/>
              </w:rPr>
            </w:pPr>
          </w:p>
        </w:tc>
      </w:tr>
      <w:tr w14:paraId="2149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60C439D0">
            <w:pPr>
              <w:spacing w:line="400" w:lineRule="exact"/>
              <w:jc w:val="left"/>
              <w:rPr>
                <w:rFonts w:hint="eastAsia" w:ascii="宋体" w:hAnsi="宋体"/>
                <w:szCs w:val="21"/>
              </w:rPr>
            </w:pPr>
          </w:p>
          <w:p w14:paraId="1F59DA69">
            <w:pPr>
              <w:spacing w:line="400" w:lineRule="exact"/>
              <w:jc w:val="left"/>
              <w:rPr>
                <w:rFonts w:hint="eastAsia" w:ascii="宋体" w:hAnsi="宋体"/>
                <w:szCs w:val="21"/>
              </w:rPr>
            </w:pPr>
          </w:p>
          <w:p w14:paraId="60C9BBF7">
            <w:pPr>
              <w:spacing w:line="400" w:lineRule="exact"/>
              <w:jc w:val="left"/>
              <w:rPr>
                <w:rFonts w:hint="eastAsia" w:ascii="宋体" w:hAnsi="宋体"/>
                <w:szCs w:val="21"/>
              </w:rPr>
            </w:pPr>
          </w:p>
          <w:p w14:paraId="1F759219">
            <w:pPr>
              <w:spacing w:line="400" w:lineRule="exact"/>
              <w:jc w:val="left"/>
              <w:rPr>
                <w:rFonts w:hint="eastAsia" w:ascii="宋体" w:hAnsi="宋体"/>
                <w:szCs w:val="21"/>
              </w:rPr>
            </w:pPr>
          </w:p>
          <w:p w14:paraId="3AD6BF5B">
            <w:pPr>
              <w:spacing w:line="400" w:lineRule="exact"/>
              <w:jc w:val="left"/>
              <w:rPr>
                <w:rFonts w:ascii="宋体" w:hAnsi="宋体" w:cs="宋体"/>
                <w:szCs w:val="21"/>
              </w:rPr>
            </w:pPr>
            <w:r>
              <w:rPr>
                <w:rFonts w:hint="eastAsia" w:ascii="宋体" w:hAnsi="宋体"/>
                <w:szCs w:val="21"/>
              </w:rPr>
              <w:t>运维服务要求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347D15DA">
            <w:pPr>
              <w:spacing w:line="400" w:lineRule="exact"/>
              <w:ind w:firstLine="422"/>
              <w:jc w:val="left"/>
              <w:rPr>
                <w:rFonts w:hint="eastAsia" w:ascii="宋体" w:hAnsi="宋体" w:eastAsia="宋体"/>
                <w:color w:val="auto"/>
                <w:sz w:val="21"/>
                <w:szCs w:val="21"/>
                <w:lang w:eastAsia="zh-CN"/>
              </w:rPr>
            </w:pPr>
            <w:r>
              <w:rPr>
                <w:rFonts w:hint="eastAsia" w:ascii="宋体" w:hAnsi="宋体"/>
                <w:color w:val="auto"/>
                <w:sz w:val="21"/>
                <w:szCs w:val="21"/>
              </w:rPr>
              <w:t>1</w:t>
            </w:r>
            <w:r>
              <w:rPr>
                <w:rFonts w:ascii="宋体" w:hAnsi="宋体"/>
                <w:color w:val="auto"/>
                <w:sz w:val="21"/>
                <w:szCs w:val="21"/>
              </w:rPr>
              <w:t>.</w:t>
            </w:r>
            <w:r>
              <w:rPr>
                <w:rFonts w:hint="eastAsia" w:ascii="宋体" w:hAnsi="宋体"/>
                <w:color w:val="auto"/>
                <w:sz w:val="21"/>
                <w:szCs w:val="21"/>
              </w:rPr>
              <w:t>供应商须投入不少于1</w:t>
            </w:r>
            <w:r>
              <w:rPr>
                <w:rFonts w:ascii="宋体" w:hAnsi="宋体"/>
                <w:color w:val="auto"/>
                <w:sz w:val="21"/>
                <w:szCs w:val="21"/>
              </w:rPr>
              <w:t>0</w:t>
            </w:r>
            <w:r>
              <w:rPr>
                <w:rFonts w:hint="eastAsia" w:ascii="宋体" w:hAnsi="宋体"/>
                <w:color w:val="auto"/>
                <w:sz w:val="21"/>
                <w:szCs w:val="21"/>
              </w:rPr>
              <w:t>人的服务团队提供运维服务。</w:t>
            </w:r>
            <w:r>
              <w:rPr>
                <w:rFonts w:hint="eastAsia"/>
                <w:color w:val="auto"/>
                <w:lang w:eastAsia="zh-CN"/>
              </w:rPr>
              <w:t>售后负责人</w:t>
            </w:r>
            <w:r>
              <w:rPr>
                <w:rFonts w:hint="eastAsia"/>
                <w:color w:val="auto"/>
                <w:lang w:val="en-US" w:eastAsia="zh-CN"/>
              </w:rPr>
              <w:t>不少于2人，</w:t>
            </w:r>
            <w:r>
              <w:rPr>
                <w:rStyle w:val="36"/>
                <w:rFonts w:hint="eastAsia" w:ascii="宋体" w:hAnsi="宋体" w:eastAsia="宋体" w:cs="宋体"/>
                <w:b w:val="0"/>
                <w:bCs w:val="0"/>
                <w:color w:val="auto"/>
                <w:szCs w:val="21"/>
                <w:highlight w:val="none"/>
                <w:u w:val="none"/>
                <w:lang w:val="en-US" w:eastAsia="zh-CN"/>
              </w:rPr>
              <w:t>运维工程师不少于</w:t>
            </w:r>
            <w:r>
              <w:rPr>
                <w:rStyle w:val="36"/>
                <w:rFonts w:hint="eastAsia" w:ascii="宋体" w:hAnsi="宋体" w:cs="宋体"/>
                <w:b w:val="0"/>
                <w:bCs w:val="0"/>
                <w:color w:val="auto"/>
                <w:szCs w:val="21"/>
                <w:highlight w:val="none"/>
                <w:u w:val="none"/>
                <w:lang w:val="en-US" w:eastAsia="zh-CN"/>
              </w:rPr>
              <w:t>4人，</w:t>
            </w:r>
            <w:r>
              <w:rPr>
                <w:rFonts w:hint="eastAsia" w:ascii="宋体" w:hAnsi="宋体"/>
                <w:color w:val="auto"/>
                <w:sz w:val="21"/>
                <w:szCs w:val="21"/>
              </w:rPr>
              <w:t>投标文件中提供服务承诺书，在网络覆盖地有专人实施网络服务的</w:t>
            </w:r>
            <w:r>
              <w:rPr>
                <w:rStyle w:val="36"/>
                <w:rFonts w:hint="eastAsia" w:ascii="宋体" w:hAnsi="宋体" w:eastAsia="宋体" w:cs="宋体"/>
                <w:color w:val="auto"/>
                <w:szCs w:val="21"/>
                <w:highlight w:val="none"/>
                <w:u w:val="none"/>
              </w:rPr>
              <w:t>运维</w:t>
            </w:r>
            <w:r>
              <w:rPr>
                <w:rFonts w:hint="eastAsia" w:ascii="宋体" w:hAnsi="宋体"/>
                <w:color w:val="auto"/>
                <w:sz w:val="21"/>
                <w:szCs w:val="21"/>
              </w:rPr>
              <w:t>服务，提供</w:t>
            </w:r>
            <w:r>
              <w:rPr>
                <w:rStyle w:val="36"/>
                <w:rFonts w:hint="eastAsia" w:ascii="宋体" w:hAnsi="宋体" w:eastAsia="宋体" w:cs="宋体"/>
                <w:color w:val="auto"/>
                <w:szCs w:val="21"/>
                <w:highlight w:val="none"/>
                <w:u w:val="none"/>
              </w:rPr>
              <w:t>运维</w:t>
            </w:r>
            <w:r>
              <w:rPr>
                <w:rFonts w:hint="eastAsia" w:ascii="宋体" w:hAnsi="宋体"/>
                <w:color w:val="auto"/>
                <w:sz w:val="21"/>
                <w:szCs w:val="21"/>
              </w:rPr>
              <w:t>服务联系人名单，列明联系方式</w:t>
            </w:r>
            <w:r>
              <w:rPr>
                <w:rFonts w:hint="eastAsia" w:ascii="宋体" w:hAnsi="宋体"/>
                <w:color w:val="auto"/>
                <w:sz w:val="21"/>
                <w:szCs w:val="21"/>
                <w:lang w:eastAsia="zh-CN"/>
              </w:rPr>
              <w:t>。</w:t>
            </w:r>
            <w:r>
              <w:rPr>
                <w:rStyle w:val="36"/>
                <w:rFonts w:hint="eastAsia" w:ascii="宋体" w:hAnsi="宋体" w:eastAsia="宋体" w:cs="宋体"/>
                <w:color w:val="auto"/>
                <w:szCs w:val="21"/>
                <w:highlight w:val="none"/>
                <w:u w:val="none"/>
              </w:rPr>
              <w:t>运维工程师</w:t>
            </w:r>
            <w:r>
              <w:rPr>
                <w:rStyle w:val="36"/>
                <w:rFonts w:ascii="宋体" w:hAnsi="宋体" w:eastAsia="宋体" w:cs="宋体"/>
                <w:color w:val="auto"/>
                <w:highlight w:val="none"/>
                <w:u w:val="none"/>
              </w:rPr>
              <w:t>应</w:t>
            </w:r>
            <w:r>
              <w:rPr>
                <w:rStyle w:val="36"/>
                <w:rFonts w:hint="eastAsia" w:ascii="宋体" w:hAnsi="宋体" w:eastAsia="宋体" w:cs="宋体"/>
                <w:color w:val="auto"/>
                <w:szCs w:val="21"/>
                <w:highlight w:val="none"/>
                <w:u w:val="none"/>
              </w:rPr>
              <w:t>具备计算机或电子信息或通信工程</w:t>
            </w:r>
            <w:r>
              <w:rPr>
                <w:rStyle w:val="36"/>
                <w:rFonts w:hint="eastAsia" w:ascii="宋体" w:hAnsi="宋体" w:eastAsia="宋体" w:cs="宋体"/>
                <w:color w:val="auto"/>
                <w:szCs w:val="21"/>
                <w:highlight w:val="none"/>
                <w:u w:val="none"/>
                <w:lang w:val="en-US" w:eastAsia="zh-CN"/>
              </w:rPr>
              <w:t>或信息系统项目管理</w:t>
            </w:r>
            <w:r>
              <w:rPr>
                <w:rStyle w:val="36"/>
                <w:rFonts w:hint="eastAsia" w:ascii="宋体" w:hAnsi="宋体" w:eastAsia="宋体" w:cs="宋体"/>
                <w:color w:val="auto"/>
                <w:szCs w:val="21"/>
                <w:highlight w:val="none"/>
                <w:u w:val="none"/>
              </w:rPr>
              <w:t>等信息化类相关专业工程师及以上职称证书</w:t>
            </w:r>
            <w:r>
              <w:rPr>
                <w:rStyle w:val="36"/>
                <w:rFonts w:hint="eastAsia" w:ascii="宋体" w:hAnsi="宋体" w:cs="宋体"/>
                <w:b w:val="0"/>
                <w:bCs w:val="0"/>
                <w:color w:val="auto"/>
                <w:szCs w:val="21"/>
                <w:u w:val="none"/>
              </w:rPr>
              <w:t>（或按《自治区人力资源和社会保障厅关于在部分职业领域建立职称与专业技术类职业资格对应关系的通知》（桂人社规〔2019〕5号）文件要求提供同等级别的职业资格证书）</w:t>
            </w:r>
            <w:r>
              <w:rPr>
                <w:rStyle w:val="36"/>
                <w:rFonts w:hint="eastAsia" w:ascii="宋体" w:hAnsi="宋体" w:cs="宋体"/>
                <w:b w:val="0"/>
                <w:bCs w:val="0"/>
                <w:color w:val="auto"/>
                <w:szCs w:val="21"/>
                <w:u w:val="none"/>
                <w:lang w:eastAsia="zh-CN"/>
              </w:rPr>
              <w:t>。</w:t>
            </w:r>
          </w:p>
          <w:p w14:paraId="1A94E117">
            <w:pPr>
              <w:spacing w:line="360" w:lineRule="exact"/>
              <w:rPr>
                <w:rFonts w:hint="eastAsia" w:ascii="宋体" w:hAnsi="宋体"/>
                <w:sz w:val="21"/>
                <w:szCs w:val="21"/>
              </w:rPr>
            </w:pPr>
            <w:r>
              <w:rPr>
                <w:rFonts w:ascii="宋体" w:hAnsi="宋体"/>
                <w:sz w:val="21"/>
                <w:szCs w:val="21"/>
              </w:rPr>
              <w:t>2.</w:t>
            </w:r>
            <w:r>
              <w:rPr>
                <w:rFonts w:hint="eastAsia" w:ascii="宋体" w:hAnsi="宋体"/>
                <w:sz w:val="21"/>
                <w:szCs w:val="21"/>
                <w:lang w:val="en-US" w:eastAsia="zh-CN"/>
              </w:rPr>
              <w:t>供应</w:t>
            </w:r>
            <w:r>
              <w:rPr>
                <w:rFonts w:hint="eastAsia" w:ascii="宋体" w:hAnsi="宋体"/>
                <w:sz w:val="21"/>
                <w:szCs w:val="21"/>
              </w:rPr>
              <w:t>商提供7×24小时热线电话服务，并提供故障申告途径及绿色通道，做到全方位响应，并指定专人负责上门受理调试日常维护及平时协助采购人维护检测等工作；提供365×24小时的售后服务响应；</w:t>
            </w:r>
          </w:p>
          <w:p w14:paraId="4D1146CC">
            <w:pPr>
              <w:spacing w:line="36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w:t>
            </w:r>
            <w:r>
              <w:rPr>
                <w:rFonts w:hint="eastAsia" w:ascii="宋体" w:hAnsi="宋体"/>
                <w:sz w:val="21"/>
                <w:szCs w:val="21"/>
              </w:rPr>
              <w:t>保证网络的畅通，</w:t>
            </w:r>
            <w:r>
              <w:rPr>
                <w:rFonts w:hint="eastAsia" w:ascii="宋体" w:hAnsi="宋体"/>
                <w:sz w:val="21"/>
                <w:szCs w:val="21"/>
                <w:lang w:val="en-US" w:eastAsia="zh-CN"/>
              </w:rPr>
              <w:t>供应</w:t>
            </w:r>
            <w:r>
              <w:rPr>
                <w:rFonts w:hint="eastAsia" w:ascii="宋体" w:hAnsi="宋体"/>
                <w:sz w:val="21"/>
                <w:szCs w:val="21"/>
              </w:rPr>
              <w:t>商负责线路运营商到用户单位主干光缆所有设备的免费运行维护，如光端机、转换器等设备，若城区主干网络出现问题，必须在接到报告后4个小时内排除故障；乡镇主干网络出现问题，必须在接到报告后8个小时内排除故障；农村主干网络出现问题，必须在接到报告后12个小时内排除故障，如设备故障在4小时内（乡镇8小时内、农村12小时内）无法解决的应免费提供备用设备及备件，确保网络正常运行；</w:t>
            </w:r>
          </w:p>
          <w:p w14:paraId="391A5B1B">
            <w:pPr>
              <w:pStyle w:val="10"/>
              <w:rPr>
                <w:rFonts w:hint="eastAsia" w:eastAsia="宋体"/>
                <w:sz w:val="21"/>
                <w:szCs w:val="21"/>
                <w:lang w:val="en-US" w:eastAsia="zh-CN"/>
              </w:rPr>
            </w:pPr>
            <w:r>
              <w:rPr>
                <w:rFonts w:hint="eastAsia" w:ascii="宋体" w:hAnsi="宋体" w:eastAsia="宋体" w:cs="Times New Roman"/>
                <w:kern w:val="2"/>
                <w:sz w:val="21"/>
                <w:szCs w:val="21"/>
                <w:lang w:val="en-US" w:eastAsia="zh-CN" w:bidi="ar-SA"/>
              </w:rPr>
              <w:t>4.供应商所提供</w:t>
            </w:r>
            <w:r>
              <w:rPr>
                <w:rFonts w:hint="eastAsia" w:ascii="宋体" w:hAnsi="宋体" w:cs="Times New Roman"/>
                <w:kern w:val="2"/>
                <w:sz w:val="21"/>
                <w:szCs w:val="21"/>
                <w:lang w:val="en-US" w:eastAsia="zh-CN" w:bidi="ar-SA"/>
              </w:rPr>
              <w:t>服务</w:t>
            </w:r>
            <w:r>
              <w:rPr>
                <w:rFonts w:hint="eastAsia" w:ascii="宋体" w:hAnsi="宋体" w:eastAsia="宋体" w:cs="Times New Roman"/>
                <w:kern w:val="2"/>
                <w:sz w:val="21"/>
                <w:szCs w:val="21"/>
                <w:lang w:val="en-US" w:eastAsia="zh-CN" w:bidi="ar-SA"/>
              </w:rPr>
              <w:t>的配套设备（含综合布线）由供应商负责</w:t>
            </w:r>
            <w:r>
              <w:rPr>
                <w:rFonts w:hint="eastAsia" w:ascii="宋体" w:hAnsi="宋体" w:cs="Times New Roman"/>
                <w:kern w:val="2"/>
                <w:sz w:val="21"/>
                <w:szCs w:val="21"/>
                <w:lang w:val="en-US" w:eastAsia="zh-CN" w:bidi="ar-SA"/>
              </w:rPr>
              <w:t>安装和</w:t>
            </w:r>
            <w:r>
              <w:rPr>
                <w:rFonts w:hint="eastAsia" w:ascii="宋体" w:hAnsi="宋体" w:eastAsia="宋体" w:cs="Times New Roman"/>
                <w:kern w:val="2"/>
                <w:sz w:val="21"/>
                <w:szCs w:val="21"/>
                <w:lang w:val="en-US" w:eastAsia="zh-CN" w:bidi="ar-SA"/>
              </w:rPr>
              <w:t>维护</w:t>
            </w:r>
            <w:r>
              <w:rPr>
                <w:rFonts w:hint="eastAsia" w:ascii="宋体" w:hAnsi="宋体" w:cs="Times New Roman"/>
                <w:kern w:val="2"/>
                <w:sz w:val="21"/>
                <w:szCs w:val="21"/>
                <w:lang w:val="en-US" w:eastAsia="zh-CN" w:bidi="ar-SA"/>
              </w:rPr>
              <w:t>，保证各终端正常使用，产生费用由供应商负责承担</w:t>
            </w:r>
            <w:r>
              <w:rPr>
                <w:rFonts w:hint="eastAsia" w:ascii="宋体" w:hAnsi="宋体" w:eastAsia="宋体" w:cs="Times New Roman"/>
                <w:kern w:val="2"/>
                <w:sz w:val="21"/>
                <w:szCs w:val="21"/>
                <w:lang w:val="en-US" w:eastAsia="zh-CN" w:bidi="ar-SA"/>
              </w:rPr>
              <w:t>；</w:t>
            </w:r>
          </w:p>
          <w:p w14:paraId="15062EBB">
            <w:pPr>
              <w:spacing w:line="36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当采购方网络需要扩展、迁移或升级时，供应商负责免费提供相应解决方案等技术支持；因</w:t>
            </w:r>
            <w:r>
              <w:rPr>
                <w:rFonts w:hint="eastAsia"/>
                <w:lang w:val="en-US" w:eastAsia="zh-CN"/>
              </w:rPr>
              <w:t>成交</w:t>
            </w:r>
            <w:r>
              <w:rPr>
                <w:rFonts w:hint="eastAsia" w:ascii="宋体" w:hAnsi="宋体"/>
                <w:sz w:val="21"/>
                <w:szCs w:val="21"/>
              </w:rPr>
              <w:t>服务商施工、网络割接等原因影响网络运行的，应当提前一天通知采购方，并且尽快消除故障、恢复网络通信线路；</w:t>
            </w:r>
          </w:p>
          <w:p w14:paraId="4AED507B">
            <w:pPr>
              <w:spacing w:line="360" w:lineRule="exact"/>
              <w:rPr>
                <w:rFonts w:hint="eastAsia" w:ascii="宋体" w:hAnsi="宋体"/>
                <w:sz w:val="21"/>
                <w:szCs w:val="21"/>
              </w:rPr>
            </w:pPr>
            <w:r>
              <w:rPr>
                <w:rFonts w:hint="eastAsia" w:ascii="宋体" w:hAnsi="宋体"/>
                <w:sz w:val="21"/>
                <w:szCs w:val="21"/>
                <w:lang w:val="en-US" w:eastAsia="zh-CN"/>
              </w:rPr>
              <w:t>6.供应</w:t>
            </w:r>
            <w:r>
              <w:rPr>
                <w:rFonts w:hint="eastAsia" w:ascii="宋体" w:hAnsi="宋体"/>
                <w:sz w:val="21"/>
                <w:szCs w:val="21"/>
              </w:rPr>
              <w:t>商须按其投标文件提供的技术及实施方案、售后服务承诺的人员为采购人提供服务。在合同履行过程中，原则上不得更换项目负责人，如确有需要更换的需经采购人同意，且所更换人员必须为同等条件人。</w:t>
            </w:r>
          </w:p>
          <w:p w14:paraId="5618A58A">
            <w:pPr>
              <w:spacing w:line="400" w:lineRule="exact"/>
            </w:pPr>
            <w:r>
              <w:rPr>
                <w:rFonts w:hint="eastAsia" w:ascii="宋体" w:hAnsi="宋体"/>
                <w:sz w:val="21"/>
                <w:szCs w:val="21"/>
                <w:lang w:val="en-US" w:eastAsia="zh-CN"/>
              </w:rPr>
              <w:t>7.</w:t>
            </w:r>
            <w:r>
              <w:rPr>
                <w:rFonts w:hint="eastAsia" w:ascii="宋体" w:hAnsi="宋体"/>
                <w:sz w:val="21"/>
                <w:szCs w:val="21"/>
                <w:lang w:eastAsia="zh-CN"/>
              </w:rPr>
              <w:t>供应商</w:t>
            </w:r>
            <w:r>
              <w:rPr>
                <w:rFonts w:hint="eastAsia" w:ascii="宋体" w:hAnsi="宋体"/>
                <w:sz w:val="21"/>
                <w:szCs w:val="21"/>
              </w:rPr>
              <w:t>须另行书面承诺（格式自拟）并附在投标文件中，承诺合同执行期间，如遇国家新政策、标准、规范或规定更新的，</w:t>
            </w:r>
            <w:r>
              <w:rPr>
                <w:rFonts w:hint="eastAsia" w:ascii="宋体" w:hAnsi="宋体"/>
                <w:sz w:val="21"/>
                <w:szCs w:val="21"/>
                <w:lang w:val="en-US" w:eastAsia="zh-CN"/>
              </w:rPr>
              <w:t>供应</w:t>
            </w:r>
            <w:r>
              <w:rPr>
                <w:rFonts w:hint="eastAsia" w:ascii="宋体" w:hAnsi="宋体"/>
                <w:sz w:val="21"/>
                <w:szCs w:val="21"/>
              </w:rPr>
              <w:t>商无条件根据新规要求负责对项目进行调整或优化。</w:t>
            </w:r>
          </w:p>
        </w:tc>
      </w:tr>
      <w:tr w14:paraId="0A61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0AFA0A57">
            <w:pPr>
              <w:spacing w:line="360" w:lineRule="exact"/>
              <w:rPr>
                <w:rFonts w:hint="eastAsia" w:ascii="宋体" w:hAnsi="宋体"/>
                <w:kern w:val="2"/>
                <w:sz w:val="21"/>
                <w:szCs w:val="21"/>
                <w:lang w:val="en-US" w:eastAsia="zh-CN" w:bidi="ar-SA"/>
              </w:rPr>
            </w:pPr>
            <w:r>
              <w:rPr>
                <w:rFonts w:hint="eastAsia" w:ascii="宋体" w:hAnsi="宋体"/>
                <w:szCs w:val="21"/>
              </w:rPr>
              <w:t>项目实施要求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66DB0287">
            <w:pPr>
              <w:spacing w:line="360" w:lineRule="exact"/>
              <w:rPr>
                <w:rFonts w:hint="eastAsia" w:ascii="宋体" w:hAnsi="宋体"/>
                <w:szCs w:val="21"/>
              </w:rPr>
            </w:pPr>
            <w:r>
              <w:rPr>
                <w:rFonts w:hint="eastAsia" w:ascii="宋体" w:hAnsi="宋体"/>
                <w:szCs w:val="21"/>
              </w:rPr>
              <w:t>教育城域网项目应符合《自治区教育厅关于推进市县教育城域网建设的通知》（桂教网信〔2022〕20 号）</w:t>
            </w:r>
            <w:r>
              <w:rPr>
                <w:rFonts w:hint="eastAsia" w:ascii="宋体" w:hAnsi="宋体"/>
                <w:szCs w:val="21"/>
                <w:lang w:eastAsia="zh-CN"/>
              </w:rPr>
              <w:t>、</w:t>
            </w:r>
            <w:r>
              <w:rPr>
                <w:rFonts w:hint="eastAsia" w:ascii="宋体" w:hAnsi="宋体"/>
                <w:szCs w:val="21"/>
              </w:rPr>
              <w:t>《广西教育网建设项目设计方案》（桂教</w:t>
            </w:r>
            <w:r>
              <w:rPr>
                <w:rFonts w:hint="eastAsia" w:ascii="宋体" w:hAnsi="宋体"/>
                <w:szCs w:val="21"/>
                <w:lang w:val="en-US" w:eastAsia="zh-CN"/>
              </w:rPr>
              <w:t>网</w:t>
            </w:r>
            <w:r>
              <w:rPr>
                <w:rFonts w:hint="eastAsia" w:ascii="宋体" w:hAnsi="宋体"/>
                <w:szCs w:val="21"/>
              </w:rPr>
              <w:t>信〔202</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8</w:t>
            </w:r>
            <w:r>
              <w:rPr>
                <w:rFonts w:hint="eastAsia" w:ascii="宋体" w:hAnsi="宋体"/>
                <w:szCs w:val="21"/>
              </w:rPr>
              <w:t xml:space="preserve"> 号</w:t>
            </w:r>
            <w:r>
              <w:rPr>
                <w:rFonts w:hint="eastAsia" w:ascii="宋体" w:hAnsi="宋体"/>
                <w:szCs w:val="21"/>
                <w:lang w:val="en-US" w:eastAsia="zh-CN"/>
              </w:rPr>
              <w:t>附件</w:t>
            </w:r>
            <w:r>
              <w:rPr>
                <w:rFonts w:hint="eastAsia" w:ascii="宋体" w:hAnsi="宋体"/>
                <w:szCs w:val="21"/>
              </w:rPr>
              <w:t>）和《广西教育城域网接入骨干网技术指南》（桂教</w:t>
            </w:r>
            <w:r>
              <w:rPr>
                <w:rFonts w:hint="eastAsia" w:ascii="宋体" w:hAnsi="宋体"/>
                <w:szCs w:val="21"/>
                <w:lang w:val="en-US" w:eastAsia="zh-CN"/>
              </w:rPr>
              <w:t>技</w:t>
            </w:r>
            <w:r>
              <w:rPr>
                <w:rFonts w:hint="eastAsia" w:ascii="宋体" w:hAnsi="宋体"/>
                <w:szCs w:val="21"/>
              </w:rPr>
              <w:t>信〔2023〕28 号）中的相关规定，且在服务期内必须符合自治区教育厅最新要求（以上文件随同招标文件一并由采购人提供）。</w:t>
            </w:r>
          </w:p>
          <w:p w14:paraId="15D7057E">
            <w:pPr>
              <w:spacing w:line="360" w:lineRule="exact"/>
              <w:ind w:firstLine="0" w:firstLineChars="0"/>
              <w:rPr>
                <w:rFonts w:ascii="宋体" w:hAnsi="宋体"/>
                <w:szCs w:val="21"/>
              </w:rPr>
            </w:pPr>
            <w:r>
              <w:rPr>
                <w:rFonts w:hint="eastAsia" w:ascii="宋体" w:hAnsi="宋体"/>
                <w:szCs w:val="21"/>
              </w:rPr>
              <w:t>一、教育城域网规划与实施服务要求：</w:t>
            </w:r>
          </w:p>
          <w:p w14:paraId="1FD33F96">
            <w:pPr>
              <w:spacing w:line="360" w:lineRule="exact"/>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供应商</w:t>
            </w:r>
            <w:r>
              <w:rPr>
                <w:rFonts w:hint="eastAsia"/>
                <w:lang w:val="en-US" w:eastAsia="zh-CN"/>
              </w:rPr>
              <w:t>成交</w:t>
            </w:r>
            <w:r>
              <w:rPr>
                <w:rFonts w:hint="eastAsia" w:ascii="宋体" w:hAnsi="宋体"/>
                <w:szCs w:val="21"/>
              </w:rPr>
              <w:t>后必须对各学校（单位）的原有校园网进行现场勘查调研（含网络结构、网络设备、网络布线、VLAN划分及IP分配），形成各校现有学校（单位）网络现状调研报告。</w:t>
            </w:r>
          </w:p>
          <w:p w14:paraId="5DFC7723">
            <w:pPr>
              <w:spacing w:line="360" w:lineRule="exact"/>
              <w:ind w:firstLine="0" w:firstLineChars="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按照《广西教育城域网接入骨干网技术指南》中的IP规划要求，各校网络接入广西教育网前，按照一址一方案的方式重新规划设计新的校园网网络结构（含原校园网的网络设备、VLAN划分、和学校信息化终端的IP地址分配表等信息）。</w:t>
            </w:r>
          </w:p>
          <w:p w14:paraId="2658875C">
            <w:pPr>
              <w:spacing w:line="360" w:lineRule="exact"/>
              <w:ind w:firstLine="0" w:firstLineChars="0"/>
              <w:rPr>
                <w:rFonts w:hint="default" w:ascii="宋体" w:hAnsi="宋体" w:eastAsia="宋体"/>
                <w:color w:val="auto"/>
                <w:szCs w:val="21"/>
                <w:lang w:val="en-US" w:eastAsia="zh-CN"/>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lang w:val="en-US" w:eastAsia="zh-CN"/>
              </w:rPr>
              <w:t>对不满足业务需求的校园网网络，要求更换为六类网线。</w:t>
            </w:r>
          </w:p>
          <w:p w14:paraId="06C89EEC">
            <w:pPr>
              <w:spacing w:line="360" w:lineRule="exact"/>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供应商必须按照新的校园网规划设计要求，在本项目实施期间，同时协助各学校（单位）对校（单位）址内的校园网网络设备（含路由器，交换机，AC, 无线AP）重新进行网络配置变更和调试。</w:t>
            </w:r>
          </w:p>
          <w:p w14:paraId="1F27EBD3">
            <w:pPr>
              <w:spacing w:line="360" w:lineRule="exact"/>
              <w:ind w:firstLine="0" w:firstLineChars="0"/>
              <w:rPr>
                <w:rFonts w:hint="eastAsia"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供应商必须按照新的校园网规划设计要求协助各学校（单位）对校（单位）址内的所有信息化终端分配、更改新的IP地址（信息化终端含教师电脑、教室一体机、计算机教室信息化终端、电子阅览室信息化终端、电子书包、办公电脑等）。</w:t>
            </w:r>
          </w:p>
          <w:p w14:paraId="03EC8A5B">
            <w:pPr>
              <w:spacing w:line="360" w:lineRule="exact"/>
              <w:ind w:firstLine="0" w:firstLineChars="0"/>
              <w:rPr>
                <w:rFonts w:hint="eastAsia" w:ascii="宋体" w:hAnsi="宋体"/>
                <w:szCs w:val="21"/>
              </w:rPr>
            </w:pPr>
            <w:r>
              <w:rPr>
                <w:rFonts w:hint="eastAsia" w:ascii="宋体" w:hAnsi="宋体"/>
                <w:szCs w:val="21"/>
                <w:lang w:val="en-US" w:eastAsia="zh-CN"/>
              </w:rPr>
              <w:t>6</w:t>
            </w:r>
            <w:r>
              <w:rPr>
                <w:rFonts w:ascii="宋体" w:hAnsi="宋体"/>
                <w:szCs w:val="21"/>
              </w:rPr>
              <w:t>.</w:t>
            </w:r>
            <w:r>
              <w:rPr>
                <w:rFonts w:hint="eastAsia" w:ascii="宋体" w:hAnsi="宋体"/>
                <w:szCs w:val="21"/>
              </w:rPr>
              <w:t>供应商对校园网的网络设备调试、测通且将学校（单位）信息化终端IP更改完成后，须整理各校（单位）址网络建设的相关资料（含新的网络拓扑图、网络设备配置表、IP地址分配表等）两份，一份给校方一份交给采购人。</w:t>
            </w:r>
          </w:p>
          <w:p w14:paraId="662C3A6A">
            <w:pPr>
              <w:spacing w:line="360" w:lineRule="exact"/>
              <w:ind w:firstLine="0" w:firstLineChars="0"/>
              <w:rPr>
                <w:rFonts w:hint="eastAsia" w:ascii="宋体" w:hAns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供应商</w:t>
            </w:r>
            <w:r>
              <w:rPr>
                <w:rFonts w:hint="eastAsia" w:ascii="宋体" w:hAnsi="宋体"/>
                <w:szCs w:val="21"/>
                <w:highlight w:val="none"/>
              </w:rPr>
              <w:t>所</w:t>
            </w:r>
            <w:r>
              <w:rPr>
                <w:rFonts w:hint="eastAsia" w:ascii="宋体" w:hAnsi="宋体" w:eastAsia="宋体" w:cs="宋体"/>
                <w:szCs w:val="21"/>
                <w:highlight w:val="none"/>
              </w:rPr>
              <w:t>提供的配套设备</w:t>
            </w:r>
            <w:r>
              <w:rPr>
                <w:rFonts w:hint="eastAsia" w:ascii="宋体" w:hAnsi="宋体"/>
                <w:szCs w:val="21"/>
                <w:highlight w:val="none"/>
              </w:rPr>
              <w:t>（不含布线）在服务期结束后如下期未中标，在保证学校网络持续稳定安全运行的前提下可将本项目提供给各学校的</w:t>
            </w:r>
            <w:r>
              <w:rPr>
                <w:rFonts w:hint="eastAsia" w:ascii="宋体" w:hAnsi="宋体" w:eastAsia="宋体" w:cs="宋体"/>
                <w:szCs w:val="21"/>
                <w:highlight w:val="none"/>
              </w:rPr>
              <w:t>配套设备（不含布线）拆除</w:t>
            </w:r>
            <w:r>
              <w:rPr>
                <w:rFonts w:hint="eastAsia" w:ascii="宋体" w:hAnsi="宋体"/>
                <w:szCs w:val="21"/>
                <w:highlight w:val="none"/>
              </w:rPr>
              <w:t>。</w:t>
            </w:r>
            <w:r>
              <w:rPr>
                <w:rFonts w:hint="eastAsia" w:ascii="宋体" w:hAnsi="宋体"/>
                <w:szCs w:val="21"/>
              </w:rPr>
              <w:t>相关费用包含在投标报价中，采购人及各校（单位）不再支付合同以外的费用。</w:t>
            </w:r>
          </w:p>
          <w:p w14:paraId="1FF03E95">
            <w:pPr>
              <w:spacing w:line="360" w:lineRule="exact"/>
              <w:ind w:firstLine="0" w:firstLineChars="0"/>
              <w:rPr>
                <w:rFonts w:hint="eastAsia" w:ascii="宋体" w:hAnsi="宋体"/>
                <w:szCs w:val="21"/>
              </w:rPr>
            </w:pPr>
            <w:r>
              <w:rPr>
                <w:rFonts w:hint="eastAsia" w:ascii="宋体" w:hAnsi="宋体"/>
                <w:szCs w:val="21"/>
              </w:rPr>
              <w:t xml:space="preserve">二、网络运维服务要求： </w:t>
            </w:r>
          </w:p>
          <w:p w14:paraId="2DA9FED2">
            <w:pPr>
              <w:spacing w:line="360" w:lineRule="exact"/>
              <w:rPr>
                <w:rFonts w:hint="eastAsia" w:ascii="宋体" w:hAnsi="宋体"/>
                <w:color w:val="auto"/>
                <w:szCs w:val="21"/>
                <w:highlight w:val="yellow"/>
              </w:rPr>
            </w:pPr>
            <w:r>
              <w:rPr>
                <w:rFonts w:hint="eastAsia" w:ascii="宋体" w:hAnsi="宋体"/>
                <w:color w:val="auto"/>
                <w:szCs w:val="21"/>
                <w:highlight w:val="none"/>
                <w:lang w:val="en-US" w:eastAsia="zh-CN"/>
              </w:rPr>
              <w:t>1.</w:t>
            </w:r>
            <w:r>
              <w:rPr>
                <w:rFonts w:hint="eastAsia"/>
                <w:color w:val="auto"/>
              </w:rPr>
              <w:t>供应商需承诺对本项目教育城域网按照不低于网络安全等级保护二级认证的要求进行备案和测评，由供应商在验收合格后向当地公安机关网络监督部门办理备案手续；由供应商负责聘请有资质的第三方检测机构进行等保测</w:t>
            </w:r>
            <w:r>
              <w:rPr>
                <w:rFonts w:hint="eastAsia" w:ascii="宋体" w:hAnsi="宋体" w:eastAsia="宋体" w:cs="宋体"/>
                <w:color w:val="auto"/>
              </w:rPr>
              <w:t>评，相关认证检测费用由供应商负责，要求在验收合格后九个月内完成首次等保测评并出具等保测评报告（综合得分70分及以上）</w:t>
            </w:r>
            <w:r>
              <w:rPr>
                <w:rFonts w:hint="eastAsia"/>
                <w:color w:val="auto"/>
              </w:rPr>
              <w:t>，在服务期内按相关要求开展等保测评工作。</w:t>
            </w:r>
          </w:p>
          <w:p w14:paraId="7198C929">
            <w:pPr>
              <w:spacing w:line="360" w:lineRule="exact"/>
              <w:rPr>
                <w:rFonts w:hint="eastAsia"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供应商需承诺在服务期内每</w:t>
            </w:r>
            <w:r>
              <w:rPr>
                <w:rFonts w:hint="eastAsia" w:ascii="宋体" w:hAnsi="宋体"/>
                <w:szCs w:val="21"/>
                <w:lang w:val="en-US" w:eastAsia="zh-CN"/>
              </w:rPr>
              <w:t>季度</w:t>
            </w:r>
            <w:r>
              <w:rPr>
                <w:rFonts w:hint="eastAsia" w:ascii="宋体" w:hAnsi="宋体"/>
                <w:szCs w:val="21"/>
              </w:rPr>
              <w:t>对教育城域网进行网络设备安全运维例行巡检并出具</w:t>
            </w:r>
            <w:r>
              <w:rPr>
                <w:rFonts w:hint="eastAsia" w:ascii="宋体" w:hAnsi="宋体"/>
                <w:szCs w:val="21"/>
                <w:lang w:val="en-US" w:eastAsia="zh-CN"/>
              </w:rPr>
              <w:t>季</w:t>
            </w:r>
            <w:r>
              <w:rPr>
                <w:rFonts w:hint="eastAsia" w:ascii="宋体" w:hAnsi="宋体"/>
                <w:szCs w:val="21"/>
              </w:rPr>
              <w:t>度运维报告，运维内容包含对相关设备进行固件版本升级、城域网整体网络安全检测、网络线路近期流量走势、链路告警情况、故障原因分析等,并根据网络流量使用情况，适当调整流量通道配置，提高互联网网络带宽利用率。每年需出具运维报告不少于</w:t>
            </w:r>
            <w:r>
              <w:rPr>
                <w:rFonts w:hint="eastAsia" w:ascii="宋体" w:hAnsi="宋体"/>
                <w:szCs w:val="21"/>
                <w:lang w:val="en-US" w:eastAsia="zh-CN"/>
              </w:rPr>
              <w:t>4</w:t>
            </w:r>
            <w:r>
              <w:rPr>
                <w:rFonts w:hint="eastAsia" w:ascii="宋体" w:hAnsi="宋体"/>
                <w:szCs w:val="21"/>
              </w:rPr>
              <w:t>份。供应商负责城域网网络质量和业务质量的管理工作；全面、系统、准确、及时地对城域网网络质量和设备故障情况进行分析统计，完成各项运维服务。网络质量统计分析的范围主要包括城域网提供的设备能力指标、网络运行质量指标、服务质量指标（含网络容量及性能数据、流量流向数据、网络负荷、告警数据等）。应定期和不定期对城域网的网络质量进行巡检，找出影响网络质量的因素和保障质量的办法，有针对性地加强维护和服务工作，提出网络优化和规划建议。</w:t>
            </w:r>
          </w:p>
          <w:p w14:paraId="4B0B1BC5">
            <w:pPr>
              <w:spacing w:line="360" w:lineRule="exact"/>
              <w:rPr>
                <w:rFonts w:hint="eastAsia" w:ascii="宋体" w:hAnsi="宋体"/>
                <w:szCs w:val="21"/>
              </w:rPr>
            </w:pPr>
            <w:r>
              <w:rPr>
                <w:rFonts w:hint="eastAsia" w:ascii="宋体" w:hAnsi="宋体"/>
                <w:szCs w:val="21"/>
              </w:rPr>
              <w:t>（1）网络中心设备性能监测。监测部署于网络中心的设备性能，包括并不仅限于：CPU 及内存使用率，设备互联端口的流量、设备连接数等。</w:t>
            </w:r>
          </w:p>
          <w:p w14:paraId="502F96F7">
            <w:pPr>
              <w:spacing w:line="360" w:lineRule="exact"/>
              <w:rPr>
                <w:rFonts w:hint="eastAsia" w:ascii="宋体" w:hAnsi="宋体"/>
                <w:szCs w:val="21"/>
              </w:rPr>
            </w:pPr>
            <w:r>
              <w:rPr>
                <w:rFonts w:hint="eastAsia" w:ascii="宋体" w:hAnsi="宋体"/>
                <w:szCs w:val="21"/>
              </w:rPr>
              <w:t>（2）互联网出口流量监测。监测城域网与互联网链路流量，当带宽占用率达到70%，应及时进行扩容，具体事宜采购人和供应商双方另行协商。</w:t>
            </w:r>
          </w:p>
          <w:p w14:paraId="747B3637">
            <w:pPr>
              <w:spacing w:line="360" w:lineRule="exact"/>
              <w:rPr>
                <w:rFonts w:hint="eastAsia" w:ascii="宋体" w:hAnsi="宋体"/>
                <w:szCs w:val="21"/>
              </w:rPr>
            </w:pPr>
            <w:r>
              <w:rPr>
                <w:rFonts w:hint="eastAsia" w:ascii="宋体" w:hAnsi="宋体"/>
                <w:szCs w:val="21"/>
              </w:rPr>
              <w:t>（3）学校出口流量监测。监测每所学校的校园网与城域网互联链路流量，当该接入带宽峰值达到70%时，应及时进行扩容，具体事宜采购人和</w:t>
            </w:r>
            <w:r>
              <w:rPr>
                <w:rFonts w:hint="eastAsia" w:ascii="宋体" w:hAnsi="宋体"/>
                <w:szCs w:val="21"/>
                <w:lang w:val="en-US" w:eastAsia="zh-CN"/>
              </w:rPr>
              <w:t>成交</w:t>
            </w:r>
            <w:r>
              <w:rPr>
                <w:rFonts w:hint="eastAsia" w:ascii="宋体" w:hAnsi="宋体"/>
                <w:szCs w:val="21"/>
              </w:rPr>
              <w:t>供应商双方另行协商。</w:t>
            </w:r>
          </w:p>
          <w:p w14:paraId="78D4EA95">
            <w:pPr>
              <w:spacing w:line="360" w:lineRule="exact"/>
              <w:rPr>
                <w:rFonts w:hint="eastAsia" w:ascii="宋体" w:hAnsi="宋体"/>
                <w:szCs w:val="21"/>
              </w:rPr>
            </w:pPr>
            <w:r>
              <w:rPr>
                <w:rFonts w:hint="eastAsia" w:ascii="宋体" w:hAnsi="宋体"/>
                <w:szCs w:val="21"/>
              </w:rPr>
              <w:t>（4）网络通信质量巡检。巡检城域网内终端至互联网进行ping 包测试，观察延迟和丢包率，如果延迟和丢包率较高，应逐段对网络进行检测查明原因，并及时修复。</w:t>
            </w:r>
          </w:p>
          <w:p w14:paraId="31E2E4AE">
            <w:pPr>
              <w:spacing w:line="360" w:lineRule="exac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.供应商需承诺对本项目中各校（单位）址的校园（单位）网每年至少提供1次网络安全巡检服务。每年需出具运维报告不少于1份。</w:t>
            </w:r>
          </w:p>
          <w:p w14:paraId="4F06196A">
            <w:pPr>
              <w:spacing w:line="360" w:lineRule="exact"/>
              <w:rPr>
                <w:rFonts w:hint="eastAsia" w:ascii="宋体" w:hAnsi="宋体"/>
                <w:kern w:val="2"/>
                <w:sz w:val="21"/>
                <w:szCs w:val="21"/>
                <w:lang w:val="en-US" w:eastAsia="zh-CN" w:bidi="ar-SA"/>
              </w:rPr>
            </w:pPr>
            <w:r>
              <w:rPr>
                <w:rFonts w:hint="eastAsia" w:ascii="宋体" w:hAnsi="宋体"/>
                <w:color w:val="auto"/>
                <w:szCs w:val="21"/>
                <w:lang w:val="en-US" w:eastAsia="zh-CN"/>
              </w:rPr>
              <w:t>4</w:t>
            </w:r>
            <w:r>
              <w:rPr>
                <w:rFonts w:hint="eastAsia" w:ascii="宋体" w:hAnsi="宋体"/>
                <w:color w:val="auto"/>
                <w:szCs w:val="21"/>
              </w:rPr>
              <w:t>.服务商须按照国家网络安全事件应急预案要求对本项目制定网络安全应急预案。</w:t>
            </w:r>
          </w:p>
        </w:tc>
      </w:tr>
      <w:tr w14:paraId="62E8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4304D27F">
            <w:pPr>
              <w:spacing w:line="360" w:lineRule="exact"/>
              <w:rPr>
                <w:rFonts w:hint="eastAsia" w:ascii="宋体" w:hAnsi="宋体"/>
                <w:kern w:val="2"/>
                <w:sz w:val="21"/>
                <w:szCs w:val="21"/>
                <w:lang w:val="en-US" w:eastAsia="zh-CN" w:bidi="ar-SA"/>
              </w:rPr>
            </w:pPr>
            <w:r>
              <w:rPr>
                <w:rFonts w:hint="eastAsia" w:ascii="宋体" w:hAnsi="宋体"/>
                <w:szCs w:val="21"/>
              </w:rPr>
              <w:t>培训要求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0AC6D520">
            <w:pPr>
              <w:spacing w:line="360" w:lineRule="exac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应商或设备厂家在服务期间提供免费知识培训，选派优秀的培训讲师组建高素质的培训队伍，主要负责网络、网络安全设备的性能、操作、维护及日常管理等方面的培训，以及系统原理、架构、设备的性能、操作使用、日常维护与故障排查等方面的培训。</w:t>
            </w:r>
          </w:p>
          <w:p w14:paraId="7C2EA7C7">
            <w:pPr>
              <w:spacing w:line="360" w:lineRule="exact"/>
              <w:rPr>
                <w:rFonts w:hint="eastAsia" w:ascii="宋体" w:hAnsi="宋体" w:eastAsia="宋体"/>
                <w:szCs w:val="21"/>
                <w:lang w:eastAsia="zh-CN"/>
              </w:rPr>
            </w:pPr>
            <w:r>
              <w:rPr>
                <w:rFonts w:hint="eastAsia" w:ascii="宋体" w:hAnsi="宋体"/>
                <w:szCs w:val="21"/>
              </w:rPr>
              <w:t>2</w:t>
            </w:r>
            <w:r>
              <w:rPr>
                <w:rFonts w:ascii="宋体" w:hAnsi="宋体"/>
                <w:szCs w:val="21"/>
              </w:rPr>
              <w:t>.</w:t>
            </w:r>
            <w:r>
              <w:rPr>
                <w:rFonts w:hint="eastAsia" w:ascii="宋体" w:hAnsi="宋体"/>
                <w:szCs w:val="21"/>
              </w:rPr>
              <w:t>培训方式：集中面授、现场培训等方式</w:t>
            </w:r>
            <w:r>
              <w:rPr>
                <w:rFonts w:hint="eastAsia" w:ascii="宋体" w:hAnsi="宋体"/>
                <w:szCs w:val="21"/>
                <w:lang w:eastAsia="zh-CN"/>
              </w:rPr>
              <w:t>，</w:t>
            </w:r>
            <w:r>
              <w:rPr>
                <w:rFonts w:hint="eastAsia" w:ascii="宋体" w:hAnsi="宋体" w:cs="宋体"/>
                <w:color w:val="auto"/>
                <w:sz w:val="21"/>
                <w:szCs w:val="21"/>
              </w:rPr>
              <w:t>培训场地业主提供。</w:t>
            </w:r>
          </w:p>
          <w:p w14:paraId="6172A5C8">
            <w:pPr>
              <w:spacing w:line="36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培训人数为每校（单位）</w:t>
            </w:r>
            <w:r>
              <w:rPr>
                <w:rFonts w:hint="eastAsia" w:ascii="宋体" w:hAnsi="宋体"/>
                <w:szCs w:val="21"/>
                <w:lang w:eastAsia="zh-CN"/>
              </w:rPr>
              <w:t>地</w:t>
            </w:r>
            <w:r>
              <w:rPr>
                <w:rFonts w:hint="eastAsia" w:ascii="宋体" w:hAnsi="宋体"/>
                <w:szCs w:val="21"/>
              </w:rPr>
              <w:t>址2人。不少于1次的集中培训，培训时间不少于1天。</w:t>
            </w:r>
          </w:p>
          <w:p w14:paraId="11D014C1">
            <w:pPr>
              <w:spacing w:line="360" w:lineRule="exact"/>
              <w:rPr>
                <w:rFonts w:hint="eastAsia" w:ascii="宋体" w:hAnsi="宋体"/>
                <w:szCs w:val="21"/>
              </w:rPr>
            </w:pPr>
            <w:r>
              <w:rPr>
                <w:rFonts w:hint="eastAsia" w:ascii="宋体" w:hAnsi="宋体"/>
                <w:szCs w:val="21"/>
              </w:rPr>
              <w:t>4.培训内容：包括但不限于初级网络基础知识、网络安全基础知识、业务产品介绍、相关产品使用指南、网络故障的申告处理流程、校园网的日常维护和故障分析等。</w:t>
            </w:r>
          </w:p>
          <w:p w14:paraId="5296659E">
            <w:pPr>
              <w:spacing w:line="360" w:lineRule="exact"/>
              <w:rPr>
                <w:rFonts w:hint="eastAsia" w:ascii="宋体" w:hAnsi="宋体"/>
                <w:szCs w:val="21"/>
              </w:rPr>
            </w:pPr>
            <w:r>
              <w:rPr>
                <w:rFonts w:ascii="宋体" w:hAnsi="宋体"/>
                <w:szCs w:val="21"/>
              </w:rPr>
              <w:t>5.</w:t>
            </w:r>
            <w:r>
              <w:rPr>
                <w:rFonts w:hint="eastAsia" w:ascii="宋体" w:hAnsi="宋体"/>
                <w:szCs w:val="21"/>
              </w:rPr>
              <w:t>通过培训达到如下几个目标：</w:t>
            </w:r>
          </w:p>
          <w:p w14:paraId="3A44DABF">
            <w:pPr>
              <w:spacing w:line="360" w:lineRule="exact"/>
              <w:rPr>
                <w:rFonts w:hint="eastAsia" w:ascii="宋体" w:hAnsi="宋体"/>
                <w:szCs w:val="21"/>
              </w:rPr>
            </w:pPr>
            <w:r>
              <w:rPr>
                <w:rFonts w:hint="eastAsia" w:ascii="宋体" w:hAnsi="宋体"/>
                <w:szCs w:val="21"/>
              </w:rPr>
              <w:t>（1）熟悉现代常用通信网络技术，具备一定的网络安全素养。</w:t>
            </w:r>
          </w:p>
          <w:p w14:paraId="220324E7">
            <w:pPr>
              <w:spacing w:line="360" w:lineRule="exact"/>
              <w:rPr>
                <w:rFonts w:hint="eastAsia" w:ascii="宋体" w:hAnsi="宋体"/>
                <w:szCs w:val="21"/>
              </w:rPr>
            </w:pPr>
            <w:r>
              <w:rPr>
                <w:rFonts w:hint="eastAsia" w:ascii="宋体" w:hAnsi="宋体"/>
                <w:szCs w:val="21"/>
              </w:rPr>
              <w:t>（2）了解各种网络业务产品。</w:t>
            </w:r>
          </w:p>
          <w:p w14:paraId="3144A6B3">
            <w:pPr>
              <w:spacing w:line="360" w:lineRule="exact"/>
              <w:rPr>
                <w:rFonts w:hint="eastAsia" w:ascii="宋体" w:hAnsi="宋体"/>
                <w:szCs w:val="21"/>
              </w:rPr>
            </w:pPr>
            <w:r>
              <w:rPr>
                <w:rFonts w:hint="eastAsia" w:ascii="宋体" w:hAnsi="宋体"/>
                <w:szCs w:val="21"/>
              </w:rPr>
              <w:t>（3）熟练使用本项目网络及安全设备，具有一定的系统维护、判断故障的能力和综合处理能力。</w:t>
            </w:r>
          </w:p>
          <w:p w14:paraId="6C3A5073">
            <w:pPr>
              <w:spacing w:line="360" w:lineRule="exact"/>
              <w:rPr>
                <w:rFonts w:hint="eastAsia" w:ascii="宋体" w:hAnsi="宋体"/>
                <w:kern w:val="2"/>
                <w:sz w:val="21"/>
                <w:szCs w:val="21"/>
                <w:lang w:val="en-US" w:eastAsia="zh-CN" w:bidi="ar-SA"/>
              </w:rPr>
            </w:pPr>
            <w:r>
              <w:rPr>
                <w:rFonts w:hint="eastAsia" w:ascii="宋体" w:hAnsi="宋体"/>
                <w:szCs w:val="21"/>
              </w:rPr>
              <w:t>（4）具备独立操作能力，能够进行日常维护，解决常见故障。</w:t>
            </w:r>
          </w:p>
        </w:tc>
      </w:tr>
      <w:tr w14:paraId="2375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41722C0D">
            <w:pPr>
              <w:spacing w:line="400" w:lineRule="exact"/>
              <w:jc w:val="center"/>
              <w:rPr>
                <w:rFonts w:hint="eastAsia" w:ascii="宋体" w:hAnsi="宋体"/>
                <w:szCs w:val="21"/>
              </w:rPr>
            </w:pPr>
            <w:r>
              <w:rPr>
                <w:rFonts w:hint="eastAsia" w:ascii="宋体" w:hAnsi="宋体" w:eastAsia="宋体" w:cs="宋体"/>
                <w:color w:val="auto"/>
                <w:kern w:val="0"/>
                <w:szCs w:val="21"/>
                <w:highlight w:val="none"/>
              </w:rPr>
              <w:t>交付使用时间及地点</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234966B2">
            <w:pPr>
              <w:spacing w:line="36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交付期限：</w:t>
            </w:r>
            <w:r>
              <w:rPr>
                <w:rFonts w:hint="eastAsia" w:ascii="宋体" w:hAnsi="宋体"/>
                <w:color w:val="auto"/>
                <w:szCs w:val="21"/>
              </w:rPr>
              <w:t>自合同签订之日起</w:t>
            </w:r>
            <w:r>
              <w:rPr>
                <w:rFonts w:hint="eastAsia" w:ascii="宋体" w:hAnsi="宋体"/>
                <w:color w:val="auto"/>
                <w:szCs w:val="21"/>
                <w:lang w:val="en-US" w:eastAsia="zh-CN"/>
              </w:rPr>
              <w:t>90</w:t>
            </w:r>
            <w:r>
              <w:rPr>
                <w:rFonts w:hint="eastAsia" w:ascii="宋体" w:hAnsi="宋体"/>
                <w:color w:val="auto"/>
                <w:szCs w:val="21"/>
              </w:rPr>
              <w:t>个工作日内完成交付使用并通过验收。</w:t>
            </w:r>
          </w:p>
          <w:p w14:paraId="21B6CE05">
            <w:pPr>
              <w:spacing w:line="400" w:lineRule="exact"/>
              <w:rPr>
                <w:rFonts w:hint="eastAsia" w:ascii="宋体" w:hAnsi="宋体"/>
                <w:sz w:val="21"/>
                <w:szCs w:val="21"/>
                <w:lang w:val="en-US" w:eastAsia="zh-CN"/>
              </w:rPr>
            </w:pPr>
            <w:r>
              <w:rPr>
                <w:rFonts w:hint="eastAsia" w:ascii="宋体" w:hAnsi="宋体"/>
                <w:szCs w:val="21"/>
                <w:lang w:val="en-US" w:eastAsia="zh-CN"/>
              </w:rPr>
              <w:t>2</w:t>
            </w:r>
            <w:r>
              <w:rPr>
                <w:rFonts w:hint="eastAsia" w:ascii="宋体" w:hAnsi="宋体"/>
                <w:szCs w:val="21"/>
              </w:rPr>
              <w:t>交付地点：采购人指定地点。</w:t>
            </w:r>
          </w:p>
        </w:tc>
      </w:tr>
      <w:tr w14:paraId="6017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1ADAB39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63FFFB9A">
            <w:pPr>
              <w:spacing w:line="360" w:lineRule="exact"/>
              <w:ind w:right="-56" w:rightChars="-27"/>
              <w:jc w:val="left"/>
              <w:rPr>
                <w:rFonts w:hint="eastAsia" w:ascii="宋体" w:hAnsi="宋体"/>
                <w:color w:val="auto"/>
                <w:szCs w:val="21"/>
              </w:rPr>
            </w:pPr>
            <w:r>
              <w:rPr>
                <w:rFonts w:hint="eastAsia" w:ascii="宋体" w:hAnsi="宋体"/>
                <w:color w:val="auto"/>
                <w:szCs w:val="21"/>
              </w:rPr>
              <w:t xml:space="preserve">本项目的验收为城域网链路的网络线路质量验收、网络中心节点及校园网设备性能验收。在完成城域网验收后，向自治区教育技术和信息化中心提交接入广西教育专网的申请，实现与广西教育专网连通且获得同意接入进入试运行期的复函，验收合格且经双方签字确认后正式进入本项目服务期。   </w:t>
            </w:r>
          </w:p>
          <w:p w14:paraId="6738AD8B">
            <w:pPr>
              <w:spacing w:line="360" w:lineRule="exact"/>
              <w:ind w:right="-56" w:rightChars="-27"/>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rPr>
              <w:t>网络中心节点设备性能、网络线路质量、校园网设备性能的验收，采取现场提供证明材料与抽查验收，时间为项目合同签订后90个工作日内。各项指标应与</w:t>
            </w:r>
            <w:r>
              <w:rPr>
                <w:rFonts w:hint="eastAsia" w:ascii="宋体" w:hAnsi="宋体"/>
                <w:szCs w:val="21"/>
                <w:lang w:val="en-US" w:eastAsia="zh-CN"/>
              </w:rPr>
              <w:t>成交</w:t>
            </w:r>
            <w:r>
              <w:rPr>
                <w:rFonts w:hint="eastAsia" w:ascii="宋体" w:hAnsi="宋体"/>
                <w:color w:val="auto"/>
                <w:szCs w:val="21"/>
              </w:rPr>
              <w:t>服务商投标响应内容一致，验收时需提供包含但不限于配套服务涉及的设备检测报告、网络线路测试报告、根据广西教育专网核心节点平台提供的设备对接的文档、按要求提供完成对接证明材料（包括防火墙防护服务、动态感知服务、上网行为管理服务）。具体要求如下：</w:t>
            </w:r>
          </w:p>
          <w:p w14:paraId="67EBFB20">
            <w:pPr>
              <w:spacing w:line="360" w:lineRule="exact"/>
              <w:ind w:right="-56" w:rightChars="-27" w:firstLine="420" w:firstLineChars="200"/>
              <w:jc w:val="left"/>
              <w:rPr>
                <w:rFonts w:hint="eastAsia" w:ascii="宋体" w:hAnsi="宋体"/>
                <w:color w:val="auto"/>
                <w:szCs w:val="21"/>
              </w:rPr>
            </w:pPr>
            <w:r>
              <w:rPr>
                <w:rFonts w:hint="eastAsia" w:ascii="宋体" w:hAnsi="宋体"/>
                <w:color w:val="auto"/>
                <w:szCs w:val="21"/>
              </w:rPr>
              <w:t>网络中心节点防火墙服务能够根据终端安全状态对其进行教育专网和互联网的准入控制；网络中心节点上网行为管理服务可实现用户访问互联网的行为监控，实现对教育城域网内师生访问入网的准入审计，满足县本级教育城域网的安全防护需求；网络中心节点态势感知服务支持通过标准协议来采集监控中心所需的安全服务设备安全威胁信息，并支持通过与广西教育专网核心节点安全态势感知系统对接，将安全事件推送到骨干网的态势感知上，完成网络安全服务设备的安全威胁日志上报。验收时若</w:t>
            </w:r>
            <w:r>
              <w:rPr>
                <w:rFonts w:hint="eastAsia" w:ascii="宋体" w:hAnsi="宋体"/>
                <w:szCs w:val="21"/>
                <w:lang w:val="en-US" w:eastAsia="zh-CN"/>
              </w:rPr>
              <w:t>成交</w:t>
            </w:r>
            <w:r>
              <w:rPr>
                <w:rFonts w:hint="eastAsia" w:ascii="宋体" w:hAnsi="宋体"/>
                <w:color w:val="auto"/>
                <w:szCs w:val="21"/>
              </w:rPr>
              <w:t>服务商不能提供完成对接证明材料的，采购人有权不予验收，并视为验收不合格，且保留追究法律责任的权利。</w:t>
            </w:r>
          </w:p>
          <w:p w14:paraId="141F2290">
            <w:pPr>
              <w:spacing w:line="360" w:lineRule="exact"/>
              <w:ind w:right="-56" w:rightChars="-27"/>
              <w:jc w:val="left"/>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采购人有权在项目执行过程中对</w:t>
            </w:r>
            <w:r>
              <w:rPr>
                <w:rFonts w:hint="eastAsia" w:ascii="宋体" w:hAnsi="宋体"/>
                <w:szCs w:val="21"/>
                <w:lang w:val="en-US" w:eastAsia="zh-CN"/>
              </w:rPr>
              <w:t>成交</w:t>
            </w:r>
            <w:r>
              <w:rPr>
                <w:rFonts w:hint="eastAsia" w:ascii="宋体" w:hAnsi="宋体"/>
                <w:color w:val="auto"/>
                <w:szCs w:val="21"/>
              </w:rPr>
              <w:t>人的服务技术要求进行核验，若核验不合格的，采购人有权不予验收，并追究法律责任及</w:t>
            </w:r>
            <w:r>
              <w:rPr>
                <w:rFonts w:hint="eastAsia" w:ascii="宋体" w:hAnsi="宋体"/>
                <w:szCs w:val="21"/>
                <w:lang w:val="en-US" w:eastAsia="zh-CN"/>
              </w:rPr>
              <w:t>成交</w:t>
            </w:r>
            <w:r>
              <w:rPr>
                <w:rFonts w:hint="eastAsia" w:ascii="宋体" w:hAnsi="宋体"/>
                <w:color w:val="auto"/>
                <w:szCs w:val="21"/>
              </w:rPr>
              <w:t>人给采购人造成的损失（</w:t>
            </w:r>
            <w:r>
              <w:rPr>
                <w:rFonts w:hint="eastAsia" w:ascii="宋体" w:hAnsi="宋体"/>
                <w:color w:val="auto"/>
                <w:szCs w:val="21"/>
                <w:lang w:eastAsia="zh-CN"/>
              </w:rPr>
              <w:t>供应商</w:t>
            </w:r>
            <w:r>
              <w:rPr>
                <w:rFonts w:hint="eastAsia" w:ascii="宋体" w:hAnsi="宋体"/>
                <w:color w:val="auto"/>
                <w:szCs w:val="21"/>
              </w:rPr>
              <w:t>须在售后服务承诺中明确体现，否则投标无效）。</w:t>
            </w:r>
          </w:p>
          <w:p w14:paraId="2DDA459E">
            <w:pPr>
              <w:spacing w:line="360" w:lineRule="exact"/>
              <w:ind w:right="-56" w:rightChars="-27"/>
              <w:jc w:val="left"/>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.供应商</w:t>
            </w:r>
            <w:r>
              <w:rPr>
                <w:rFonts w:hint="eastAsia" w:ascii="宋体" w:hAnsi="宋体"/>
                <w:color w:val="auto"/>
                <w:szCs w:val="21"/>
              </w:rPr>
              <w:t>完成交付使用后向采购人提出验收申请，采购人在收到验收申请之日起 5 个工作日内组织验收。采购人根据采购需求、供应商响应文件承诺及合同条款进行逐条核验，经核验有任一指标不合格的，不予验收，同时报相关监督管理部门处理，由此造成采购人经济损失的由供应商负责承担全部赔偿责任。</w:t>
            </w:r>
          </w:p>
          <w:p w14:paraId="55BD8288">
            <w:pPr>
              <w:spacing w:line="360" w:lineRule="exact"/>
              <w:ind w:right="-56" w:rightChars="-27"/>
              <w:jc w:val="left"/>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w:t>
            </w:r>
            <w:r>
              <w:rPr>
                <w:rFonts w:hint="eastAsia" w:ascii="宋体" w:hAnsi="宋体"/>
                <w:color w:val="auto"/>
                <w:szCs w:val="21"/>
              </w:rPr>
              <w:t>项目验收合格后6个月以内需提供首次信息安全等级保护二级认证测评报告。</w:t>
            </w:r>
          </w:p>
          <w:p w14:paraId="73647D17">
            <w:pPr>
              <w:spacing w:line="400" w:lineRule="exact"/>
              <w:rPr>
                <w:rFonts w:hint="eastAsia" w:ascii="宋体" w:hAnsi="宋体"/>
                <w:szCs w:val="21"/>
              </w:rPr>
            </w:pPr>
            <w:r>
              <w:rPr>
                <w:rFonts w:hint="eastAsia" w:ascii="宋体" w:hAnsi="宋体"/>
                <w:color w:val="auto"/>
                <w:szCs w:val="21"/>
              </w:rPr>
              <w:t>5</w:t>
            </w:r>
            <w:r>
              <w:rPr>
                <w:rFonts w:hint="eastAsia" w:ascii="宋体" w:hAnsi="宋体"/>
                <w:color w:val="auto"/>
                <w:szCs w:val="21"/>
                <w:lang w:val="en-US" w:eastAsia="zh-CN"/>
              </w:rPr>
              <w:t>.</w:t>
            </w:r>
            <w:r>
              <w:rPr>
                <w:rFonts w:hint="eastAsia" w:ascii="宋体" w:hAnsi="宋体"/>
                <w:color w:val="auto"/>
                <w:szCs w:val="21"/>
              </w:rPr>
              <w:t>验收过程中产生的专家费、测试费用等由</w:t>
            </w:r>
            <w:r>
              <w:rPr>
                <w:rFonts w:hint="eastAsia" w:ascii="宋体" w:hAnsi="宋体"/>
                <w:szCs w:val="21"/>
                <w:lang w:val="en-US" w:eastAsia="zh-CN"/>
              </w:rPr>
              <w:t>供应商</w:t>
            </w:r>
            <w:r>
              <w:rPr>
                <w:rFonts w:hint="eastAsia" w:ascii="宋体" w:hAnsi="宋体"/>
                <w:color w:val="auto"/>
                <w:szCs w:val="21"/>
              </w:rPr>
              <w:t>承担。验收专家由采购人邀请，必须是广西壮族自治区财政厅政府评审采购专家库在库专家。验收组由验收专家3人、业主2人构成。</w:t>
            </w:r>
          </w:p>
        </w:tc>
      </w:tr>
      <w:tr w14:paraId="64F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6DC1486B">
            <w:pPr>
              <w:spacing w:line="400" w:lineRule="exact"/>
              <w:jc w:val="left"/>
              <w:rPr>
                <w:rFonts w:ascii="宋体" w:hAnsi="宋体" w:cs="宋体"/>
                <w:szCs w:val="21"/>
              </w:rPr>
            </w:pPr>
            <w:r>
              <w:rPr>
                <w:rFonts w:hint="eastAsia" w:ascii="宋体" w:hAnsi="宋体" w:cs="宋体"/>
                <w:szCs w:val="21"/>
              </w:rPr>
              <w:t>合同签订日期</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6E1DC51A">
            <w:pPr>
              <w:spacing w:line="400" w:lineRule="exact"/>
              <w:rPr>
                <w:rFonts w:ascii="宋体" w:hAnsi="宋体" w:cs="宋体"/>
                <w:szCs w:val="21"/>
              </w:rPr>
            </w:pPr>
            <w:r>
              <w:rPr>
                <w:rFonts w:hint="eastAsia" w:ascii="宋体" w:hAnsi="宋体" w:cs="宋体"/>
                <w:szCs w:val="21"/>
              </w:rPr>
              <w:t>成交通知书发出之日起八个工作日内。</w:t>
            </w:r>
            <w:r>
              <w:rPr>
                <w:rFonts w:hint="eastAsia" w:ascii="宋体" w:hAnsi="宋体"/>
                <w:szCs w:val="21"/>
              </w:rPr>
              <w:t>成交供应商收到成交通知书后，</w:t>
            </w:r>
            <w:r>
              <w:rPr>
                <w:rFonts w:hint="eastAsia" w:ascii="宋体" w:hAnsi="宋体" w:cs="宋体"/>
                <w:szCs w:val="21"/>
              </w:rPr>
              <w:t>应按规定与采购人在“广西政府采购云平台”上在线签订电子合同。</w:t>
            </w:r>
          </w:p>
        </w:tc>
      </w:tr>
      <w:tr w14:paraId="04B4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7CE93070">
            <w:pPr>
              <w:spacing w:line="400" w:lineRule="exact"/>
              <w:rPr>
                <w:rFonts w:ascii="宋体" w:hAnsi="宋体" w:cs="宋体"/>
                <w:szCs w:val="21"/>
              </w:rPr>
            </w:pPr>
            <w:r>
              <w:rPr>
                <w:rFonts w:hint="eastAsia" w:ascii="宋体" w:hAnsi="宋体" w:cs="宋体"/>
                <w:szCs w:val="21"/>
              </w:rPr>
              <w:t>付款方式</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21B2A4B1">
            <w:pPr>
              <w:spacing w:line="360" w:lineRule="exact"/>
              <w:rPr>
                <w:rFonts w:hint="eastAsia" w:ascii="宋体" w:hAnsi="宋体" w:eastAsia="宋体" w:cs="Times New Roman"/>
                <w:szCs w:val="21"/>
                <w:lang w:val="en-US" w:eastAsia="zh-CN"/>
              </w:rPr>
            </w:pPr>
            <w:r>
              <w:rPr>
                <w:rFonts w:hint="eastAsia" w:ascii="宋体" w:hAnsi="宋体" w:eastAsia="宋体" w:cs="宋体"/>
                <w:lang w:val="en-US" w:eastAsia="zh-CN"/>
              </w:rPr>
              <w:t>1.</w:t>
            </w:r>
            <w:r>
              <w:rPr>
                <w:rFonts w:hint="eastAsia" w:ascii="宋体" w:hAnsi="宋体" w:eastAsia="宋体" w:cs="Times New Roman"/>
                <w:szCs w:val="21"/>
                <w:lang w:val="en-US" w:eastAsia="zh-CN"/>
              </w:rPr>
              <w:t>教育局负责服务采购，教育局与成交供应商签定一个总合同，再由学校与成交商签定子合同进行支付；</w:t>
            </w:r>
          </w:p>
          <w:p w14:paraId="55115805">
            <w:pPr>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2.合同总价包括成交服务商完成本项目服务要求后所产生的全部费用（含税），采购人不再另行向成交服务商支付其他任何费用。</w:t>
            </w:r>
          </w:p>
          <w:p w14:paraId="1386F5E1">
            <w:pPr>
              <w:spacing w:line="360" w:lineRule="exact"/>
              <w:rPr>
                <w:rFonts w:hint="eastAsia" w:ascii="宋体" w:hAnsi="宋体" w:eastAsia="宋体" w:cs="Times New Roman"/>
                <w:szCs w:val="21"/>
              </w:rPr>
            </w:pPr>
            <w:r>
              <w:rPr>
                <w:rFonts w:hint="eastAsia" w:ascii="宋体" w:hAnsi="宋体" w:eastAsia="宋体" w:cs="Times New Roman"/>
                <w:szCs w:val="21"/>
                <w:lang w:val="en-US" w:eastAsia="zh-CN"/>
              </w:rPr>
              <w:t>3.本服务项目按成交金额分3年支付，签订采购合同且验收合格后支付合同金额的33%；服务期满一年后进行第二年支付，支付合同金额的33%；第二年服务期满进行第三年支付,支付合同金额的34%。</w:t>
            </w:r>
            <w:r>
              <w:rPr>
                <w:rFonts w:hint="eastAsia" w:ascii="宋体" w:hAnsi="宋体" w:eastAsia="宋体" w:cs="Times New Roman"/>
                <w:szCs w:val="21"/>
              </w:rPr>
              <w:t>合同总价包括</w:t>
            </w:r>
            <w:r>
              <w:rPr>
                <w:rFonts w:hint="eastAsia" w:ascii="宋体" w:hAnsi="宋体" w:eastAsia="宋体" w:cs="Times New Roman"/>
                <w:szCs w:val="21"/>
                <w:lang w:val="en-US" w:eastAsia="zh-CN"/>
              </w:rPr>
              <w:t>成交</w:t>
            </w:r>
            <w:r>
              <w:rPr>
                <w:rFonts w:hint="eastAsia" w:ascii="宋体" w:hAnsi="宋体" w:eastAsia="宋体" w:cs="Times New Roman"/>
                <w:szCs w:val="21"/>
              </w:rPr>
              <w:t>服务商完成本项目服务要求后所产生的全部费用（含税），采购人不再另行向</w:t>
            </w:r>
            <w:r>
              <w:rPr>
                <w:rFonts w:hint="eastAsia" w:ascii="宋体" w:hAnsi="宋体" w:eastAsia="宋体" w:cs="Times New Roman"/>
                <w:szCs w:val="21"/>
                <w:lang w:val="en-US" w:eastAsia="zh-CN"/>
              </w:rPr>
              <w:t>成交</w:t>
            </w:r>
            <w:r>
              <w:rPr>
                <w:rFonts w:hint="eastAsia" w:ascii="宋体" w:hAnsi="宋体" w:eastAsia="宋体" w:cs="Times New Roman"/>
                <w:szCs w:val="21"/>
              </w:rPr>
              <w:t>服务商支付其他任何费用。</w:t>
            </w:r>
          </w:p>
          <w:p w14:paraId="03028B8D">
            <w:pPr>
              <w:spacing w:line="360" w:lineRule="exact"/>
              <w:rPr>
                <w:rFonts w:ascii="宋体" w:hAnsi="宋体" w:cs="宋体"/>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采购人可根据每年财政拨款情况提前支付或延后支付，若因采购人财政拨款问题导致采购人付款迟延的，采购人不承担责任</w:t>
            </w:r>
            <w:r>
              <w:rPr>
                <w:rFonts w:hint="eastAsia" w:ascii="宋体" w:hAnsi="宋体" w:eastAsia="宋体" w:cs="Times New Roman"/>
                <w:szCs w:val="21"/>
                <w:lang w:eastAsia="zh-CN"/>
              </w:rPr>
              <w:t>；若</w:t>
            </w:r>
            <w:r>
              <w:rPr>
                <w:rFonts w:hint="eastAsia" w:ascii="宋体" w:hAnsi="宋体" w:eastAsia="宋体" w:cs="Times New Roman"/>
                <w:szCs w:val="21"/>
                <w:lang w:val="en-US" w:eastAsia="zh-CN"/>
              </w:rPr>
              <w:t>成交</w:t>
            </w:r>
            <w:r>
              <w:rPr>
                <w:rFonts w:hint="eastAsia" w:ascii="宋体" w:hAnsi="宋体" w:eastAsia="宋体" w:cs="Times New Roman"/>
                <w:szCs w:val="21"/>
                <w:lang w:eastAsia="zh-CN"/>
              </w:rPr>
              <w:t>企业为中小企业，则签订合同后</w:t>
            </w:r>
            <w:r>
              <w:rPr>
                <w:rFonts w:hint="eastAsia" w:ascii="宋体" w:hAnsi="宋体" w:eastAsia="宋体" w:cs="Times New Roman"/>
                <w:szCs w:val="21"/>
                <w:lang w:val="en-US" w:eastAsia="zh-CN"/>
              </w:rPr>
              <w:t>10日内支付总合同价</w:t>
            </w:r>
            <w:r>
              <w:rPr>
                <w:rFonts w:hint="eastAsia" w:ascii="宋体" w:hAnsi="宋体" w:cs="Times New Roman"/>
                <w:szCs w:val="21"/>
                <w:lang w:val="en-US" w:eastAsia="zh-CN"/>
              </w:rPr>
              <w:t>3</w:t>
            </w:r>
            <w:r>
              <w:rPr>
                <w:rFonts w:hint="eastAsia" w:ascii="宋体" w:hAnsi="宋体" w:eastAsia="宋体" w:cs="Times New Roman"/>
                <w:szCs w:val="21"/>
                <w:lang w:val="en-US" w:eastAsia="zh-CN"/>
              </w:rPr>
              <w:t>0%的预付款。</w:t>
            </w:r>
          </w:p>
        </w:tc>
      </w:tr>
      <w:tr w14:paraId="38DE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0E6DB52A">
            <w:pPr>
              <w:spacing w:line="400" w:lineRule="exact"/>
              <w:jc w:val="left"/>
              <w:rPr>
                <w:rFonts w:ascii="宋体" w:hAnsi="宋体" w:cs="宋体"/>
                <w:b/>
                <w:bCs/>
                <w:szCs w:val="21"/>
              </w:rPr>
            </w:pPr>
            <w:r>
              <w:rPr>
                <w:rFonts w:hint="eastAsia" w:ascii="宋体" w:hAnsi="宋体" w:cs="宋体"/>
                <w:b w:val="0"/>
                <w:bCs w:val="0"/>
                <w:szCs w:val="21"/>
              </w:rPr>
              <w:t>其他要求</w:t>
            </w:r>
          </w:p>
        </w:tc>
        <w:tc>
          <w:tcPr>
            <w:tcW w:w="8625" w:type="dxa"/>
            <w:tcBorders>
              <w:top w:val="single" w:color="auto" w:sz="4" w:space="0"/>
              <w:left w:val="single" w:color="auto" w:sz="4" w:space="0"/>
              <w:bottom w:val="single" w:color="auto" w:sz="4" w:space="0"/>
              <w:right w:val="single" w:color="auto" w:sz="4" w:space="0"/>
            </w:tcBorders>
            <w:noWrap w:val="0"/>
            <w:vAlign w:val="center"/>
          </w:tcPr>
          <w:p w14:paraId="675194F7">
            <w:pPr>
              <w:spacing w:line="360" w:lineRule="exact"/>
              <w:rPr>
                <w:rFonts w:hint="eastAsia" w:ascii="宋体" w:hAnsi="宋体" w:eastAsia="宋体" w:cs="宋体"/>
                <w:b w:val="0"/>
                <w:bCs w:val="0"/>
                <w:szCs w:val="21"/>
              </w:rPr>
            </w:pPr>
            <w:r>
              <w:rPr>
                <w:rFonts w:hint="eastAsia" w:ascii="宋体" w:hAnsi="宋体" w:eastAsia="宋体" w:cs="宋体"/>
                <w:b w:val="0"/>
                <w:bCs w:val="0"/>
                <w:lang w:val="en-US" w:eastAsia="zh-CN"/>
              </w:rPr>
              <w:t>1</w:t>
            </w:r>
            <w:r>
              <w:rPr>
                <w:rFonts w:hint="eastAsia" w:ascii="宋体" w:hAnsi="宋体" w:eastAsia="宋体" w:cs="宋体"/>
                <w:b w:val="0"/>
                <w:bCs w:val="0"/>
              </w:rPr>
              <w:t>.本项目预算金额为</w:t>
            </w:r>
            <w:r>
              <w:rPr>
                <w:rFonts w:hint="eastAsia" w:ascii="宋体" w:hAnsi="宋体" w:eastAsia="宋体" w:cs="宋体"/>
                <w:b w:val="0"/>
                <w:bCs w:val="0"/>
                <w:u w:val="single"/>
                <w:lang w:eastAsia="zh-CN"/>
              </w:rPr>
              <w:t>壹佰零伍万零陆拾元整</w:t>
            </w:r>
            <w:r>
              <w:rPr>
                <w:rFonts w:hint="eastAsia" w:ascii="宋体" w:hAnsi="宋体" w:eastAsia="宋体" w:cs="宋体"/>
                <w:b w:val="0"/>
                <w:bCs w:val="0"/>
                <w:u w:val="single"/>
                <w:lang w:val="en-US" w:eastAsia="zh-CN"/>
              </w:rPr>
              <w:t>（¥1050060.00元）</w:t>
            </w:r>
            <w:r>
              <w:rPr>
                <w:rFonts w:hint="eastAsia" w:ascii="宋体" w:hAnsi="宋体" w:eastAsia="宋体" w:cs="宋体"/>
                <w:b w:val="0"/>
                <w:bCs w:val="0"/>
              </w:rPr>
              <w:t>，</w:t>
            </w:r>
            <w:r>
              <w:rPr>
                <w:rFonts w:hint="eastAsia" w:ascii="宋体" w:hAnsi="宋体" w:eastAsia="宋体" w:cs="宋体"/>
                <w:b w:val="0"/>
                <w:bCs w:val="0"/>
                <w:szCs w:val="21"/>
              </w:rPr>
              <w:t>报价超出采购预算金额的，其投标文件按无效处理。</w:t>
            </w:r>
          </w:p>
          <w:p w14:paraId="39FDB517">
            <w:pPr>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b w:val="0"/>
                <w:bCs/>
                <w:szCs w:val="21"/>
              </w:rPr>
              <w:t>验收</w:t>
            </w:r>
            <w:r>
              <w:rPr>
                <w:rFonts w:hint="eastAsia" w:ascii="宋体" w:hAnsi="宋体" w:eastAsia="宋体" w:cs="宋体"/>
                <w:szCs w:val="21"/>
              </w:rPr>
              <w:t>以满足采购人技术要求及服务要求为标准。</w:t>
            </w:r>
          </w:p>
          <w:p w14:paraId="6614C668">
            <w:pPr>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.验收过程中所产生的一切费用均由</w:t>
            </w:r>
            <w:r>
              <w:rPr>
                <w:rFonts w:hint="eastAsia" w:ascii="宋体" w:hAnsi="宋体" w:eastAsia="宋体" w:cs="宋体"/>
                <w:szCs w:val="21"/>
                <w:lang w:val="en-US" w:eastAsia="zh-CN"/>
              </w:rPr>
              <w:t>供应商</w:t>
            </w:r>
            <w:r>
              <w:rPr>
                <w:rFonts w:hint="eastAsia" w:ascii="宋体" w:hAnsi="宋体" w:eastAsia="宋体" w:cs="宋体"/>
                <w:szCs w:val="21"/>
              </w:rPr>
              <w:t>承担。报价时应考虑相关费用。</w:t>
            </w:r>
          </w:p>
          <w:p w14:paraId="063DD384">
            <w:pPr>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lang w:val="en-US" w:eastAsia="zh-CN"/>
              </w:rPr>
              <w:t>供应商</w:t>
            </w:r>
            <w:r>
              <w:rPr>
                <w:rFonts w:hint="eastAsia" w:ascii="宋体" w:hAnsi="宋体" w:eastAsia="宋体" w:cs="宋体"/>
                <w:szCs w:val="21"/>
              </w:rPr>
              <w:t>为完成项目服务工作所涉及的相关设备设施的投入，需负责安装、调试，并培训采购人的相关使用操作人员，直到相关系统或设备运行符合技术要求。</w:t>
            </w:r>
          </w:p>
          <w:p w14:paraId="6D4215C8">
            <w:pPr>
              <w:spacing w:line="36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.采购人根据工作实际所需环节组织验收，</w:t>
            </w:r>
            <w:r>
              <w:rPr>
                <w:rFonts w:hint="eastAsia" w:ascii="宋体" w:hAnsi="宋体" w:eastAsia="宋体" w:cs="宋体"/>
                <w:szCs w:val="21"/>
                <w:lang w:val="en-US" w:eastAsia="zh-CN"/>
              </w:rPr>
              <w:t>供应商</w:t>
            </w:r>
            <w:r>
              <w:rPr>
                <w:rFonts w:hint="eastAsia" w:ascii="宋体" w:hAnsi="宋体" w:eastAsia="宋体" w:cs="宋体"/>
                <w:szCs w:val="21"/>
              </w:rPr>
              <w:t>必须到场配合，验收合格后双方签署验收合格凭证。</w:t>
            </w:r>
          </w:p>
          <w:p w14:paraId="0CF6436B">
            <w:pPr>
              <w:adjustRightInd w:val="0"/>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BA1536D">
            <w:pPr>
              <w:adjustRightInd w:val="0"/>
              <w:spacing w:line="400" w:lineRule="exact"/>
              <w:jc w:val="left"/>
              <w:rPr>
                <w:rFonts w:hint="eastAsia" w:ascii="宋体" w:hAnsi="宋体" w:eastAsia="宋体" w:cs="宋体"/>
                <w:szCs w:val="21"/>
              </w:rPr>
            </w:pPr>
            <w:r>
              <w:rPr>
                <w:rFonts w:hint="eastAsia" w:ascii="宋体" w:hAnsi="宋体" w:eastAsia="宋体" w:cs="宋体"/>
                <w:szCs w:val="21"/>
              </w:rPr>
              <w:t>7.服务期限：三年</w:t>
            </w:r>
            <w:r>
              <w:rPr>
                <w:rFonts w:hint="eastAsia" w:ascii="宋体" w:hAnsi="宋体"/>
                <w:szCs w:val="21"/>
              </w:rPr>
              <w:t>（自验收合格之日起计算）</w:t>
            </w:r>
            <w:r>
              <w:rPr>
                <w:rFonts w:hint="eastAsia" w:ascii="宋体" w:hAnsi="宋体" w:eastAsia="宋体" w:cs="宋体"/>
                <w:szCs w:val="21"/>
              </w:rPr>
              <w:t>。</w:t>
            </w:r>
          </w:p>
          <w:p w14:paraId="20A3D018">
            <w:pPr>
              <w:adjustRightInd w:val="0"/>
              <w:spacing w:line="400" w:lineRule="exact"/>
              <w:jc w:val="left"/>
              <w:rPr>
                <w:rFonts w:hint="default" w:eastAsia="宋体"/>
                <w:lang w:val="en-US" w:eastAsia="zh-CN"/>
              </w:rPr>
            </w:pPr>
            <w:r>
              <w:rPr>
                <w:rFonts w:hint="eastAsia" w:ascii="宋体" w:hAnsi="宋体" w:eastAsia="宋体" w:cs="宋体"/>
                <w:lang w:val="en-US" w:eastAsia="zh-CN"/>
              </w:rPr>
              <w:t>8.</w:t>
            </w:r>
            <w:r>
              <w:rPr>
                <w:rFonts w:hint="eastAsia" w:ascii="宋体" w:hAnsi="宋体" w:eastAsia="宋体" w:cs="宋体"/>
                <w:b/>
                <w:bCs/>
                <w:color w:val="000000"/>
                <w:szCs w:val="21"/>
              </w:rPr>
              <w:t>本项目所属行业为信息传输业。</w:t>
            </w:r>
          </w:p>
        </w:tc>
      </w:tr>
    </w:tbl>
    <w:p w14:paraId="244C6116">
      <w:pPr>
        <w:numPr>
          <w:ilvl w:val="0"/>
          <w:numId w:val="0"/>
        </w:numPr>
        <w:snapToGrid w:val="0"/>
        <w:spacing w:line="400" w:lineRule="exact"/>
        <w:ind w:firstLine="420" w:firstLineChars="200"/>
        <w:rPr>
          <w:rFonts w:hint="eastAsia" w:ascii="宋体" w:hAnsi="宋体" w:eastAsia="宋体" w:cs="宋体"/>
          <w:color w:val="000000"/>
          <w:szCs w:val="21"/>
          <w:lang w:eastAsia="zh-CN"/>
        </w:rPr>
      </w:pPr>
    </w:p>
    <w:p w14:paraId="58136920">
      <w:pPr>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outlineLvl w:val="9"/>
        <w:rPr>
          <w:rFonts w:hint="eastAsia" w:ascii="宋体" w:hAnsi="宋体" w:eastAsia="宋体" w:cs="宋体"/>
          <w:color w:val="auto"/>
          <w:sz w:val="32"/>
          <w:szCs w:val="32"/>
          <w:lang w:eastAsia="zh-CN"/>
        </w:rPr>
      </w:pPr>
    </w:p>
    <w:p w14:paraId="5F10B299">
      <w:pPr>
        <w:numPr>
          <w:ilvl w:val="0"/>
          <w:numId w:val="0"/>
        </w:numPr>
        <w:tabs>
          <w:tab w:val="left" w:pos="0"/>
        </w:tabs>
        <w:autoSpaceDE w:val="0"/>
        <w:autoSpaceDN w:val="0"/>
        <w:adjustRightInd w:val="0"/>
        <w:jc w:val="center"/>
        <w:outlineLvl w:val="9"/>
        <w:rPr>
          <w:rFonts w:hint="eastAsia" w:ascii="宋体" w:hAnsi="宋体" w:cs="宋体"/>
          <w:color w:val="auto"/>
          <w:sz w:val="32"/>
          <w:szCs w:val="32"/>
          <w:lang w:val="en-US" w:eastAsia="zh-CN"/>
        </w:rPr>
      </w:pPr>
      <w:bookmarkStart w:id="136" w:name="_Toc22353"/>
      <w:bookmarkStart w:id="137" w:name="_Toc24601"/>
    </w:p>
    <w:p w14:paraId="3B6E0492">
      <w:pPr>
        <w:pStyle w:val="20"/>
        <w:rPr>
          <w:rFonts w:hint="eastAsia" w:ascii="宋体" w:hAnsi="宋体" w:cs="宋体"/>
          <w:color w:val="auto"/>
          <w:sz w:val="32"/>
          <w:szCs w:val="32"/>
          <w:lang w:val="en-US" w:eastAsia="zh-CN"/>
        </w:rPr>
      </w:pPr>
    </w:p>
    <w:p w14:paraId="3368CBE7">
      <w:pPr>
        <w:rPr>
          <w:rFonts w:hint="eastAsia" w:ascii="宋体" w:hAnsi="宋体" w:cs="宋体"/>
          <w:color w:val="auto"/>
          <w:sz w:val="32"/>
          <w:szCs w:val="32"/>
          <w:lang w:val="en-US" w:eastAsia="zh-CN"/>
        </w:rPr>
      </w:pPr>
    </w:p>
    <w:p w14:paraId="013A434E">
      <w:pPr>
        <w:pStyle w:val="20"/>
        <w:rPr>
          <w:rFonts w:hint="eastAsia" w:ascii="宋体" w:hAnsi="宋体" w:cs="宋体"/>
          <w:color w:val="auto"/>
          <w:sz w:val="32"/>
          <w:szCs w:val="32"/>
          <w:lang w:val="en-US" w:eastAsia="zh-CN"/>
        </w:rPr>
      </w:pPr>
    </w:p>
    <w:p w14:paraId="6F96BE60">
      <w:pPr>
        <w:rPr>
          <w:rFonts w:hint="eastAsia"/>
          <w:lang w:val="en-US" w:eastAsia="zh-CN"/>
        </w:rPr>
      </w:pPr>
    </w:p>
    <w:bookmarkEnd w:id="136"/>
    <w:bookmarkEnd w:id="137"/>
    <w:p w14:paraId="7918EC4D">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sz w:val="32"/>
          <w:szCs w:val="32"/>
        </w:rPr>
      </w:pPr>
      <w:bookmarkStart w:id="138" w:name="_Toc2989"/>
      <w:bookmarkStart w:id="139" w:name="_Toc30367"/>
      <w:r>
        <w:rPr>
          <w:rFonts w:hint="eastAsia" w:ascii="宋体" w:hAnsi="宋体" w:eastAsia="宋体" w:cs="宋体"/>
          <w:sz w:val="32"/>
          <w:szCs w:val="32"/>
          <w:lang w:eastAsia="zh-CN"/>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bookmarkEnd w:id="138"/>
      <w:bookmarkEnd w:id="139"/>
    </w:p>
    <w:p w14:paraId="0D166138">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bCs/>
          <w:color w:val="000000" w:themeColor="text1"/>
          <w:sz w:val="21"/>
          <w:szCs w:val="21"/>
          <w14:textFill>
            <w14:solidFill>
              <w14:schemeClr w14:val="tx1"/>
            </w14:solidFill>
          </w14:textFill>
        </w:rPr>
      </w:pPr>
      <w:bookmarkStart w:id="140" w:name="_Toc3758"/>
      <w:r>
        <w:rPr>
          <w:rFonts w:hint="eastAsia" w:ascii="宋体" w:hAnsi="宋体" w:eastAsia="宋体" w:cs="宋体"/>
          <w:b/>
          <w:bCs/>
          <w:color w:val="000000" w:themeColor="text1"/>
          <w:sz w:val="21"/>
          <w:szCs w:val="21"/>
          <w14:textFill>
            <w14:solidFill>
              <w14:schemeClr w14:val="tx1"/>
            </w14:solidFill>
          </w14:textFill>
        </w:rPr>
        <w:t>一、评审依据</w:t>
      </w:r>
      <w:bookmarkEnd w:id="140"/>
    </w:p>
    <w:p w14:paraId="1B5B6CD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评审依据：磋商小组以磋商文件和响应文件为评审依据，对供应商的响应文件进行评审。</w:t>
      </w:r>
    </w:p>
    <w:p w14:paraId="3E4927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评审方式：以封闭方式进行评审。</w:t>
      </w:r>
    </w:p>
    <w:p w14:paraId="1BA4ED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3.采购人和采购代理机构、竞争性磋商小组成员要严格遵守政府采购相关法律制度，依法履行各自职责，公正、客观、审慎地组织和参与评审工作。</w:t>
      </w:r>
    </w:p>
    <w:p w14:paraId="013646A7">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bCs/>
          <w:color w:val="000000" w:themeColor="text1"/>
          <w:sz w:val="21"/>
          <w:szCs w:val="21"/>
          <w14:textFill>
            <w14:solidFill>
              <w14:schemeClr w14:val="tx1"/>
            </w14:solidFill>
          </w14:textFill>
        </w:rPr>
      </w:pPr>
      <w:bookmarkStart w:id="141" w:name="_Toc13795"/>
      <w:r>
        <w:rPr>
          <w:rFonts w:hint="eastAsia" w:ascii="宋体" w:hAnsi="宋体" w:eastAsia="宋体" w:cs="宋体"/>
          <w:b/>
          <w:bCs/>
          <w:color w:val="000000" w:themeColor="text1"/>
          <w:sz w:val="21"/>
          <w:szCs w:val="21"/>
          <w14:textFill>
            <w14:solidFill>
              <w14:schemeClr w14:val="tx1"/>
            </w14:solidFill>
          </w14:textFill>
        </w:rPr>
        <w:t>二、评审办法</w:t>
      </w:r>
      <w:bookmarkEnd w:id="141"/>
    </w:p>
    <w:p w14:paraId="3DF3A9E1">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（一）对进入详评的，采用</w:t>
      </w:r>
      <w:r>
        <w:rPr>
          <w:rFonts w:hint="eastAsia" w:ascii="宋体" w:hAnsi="宋体" w:eastAsia="宋体" w:cs="宋体"/>
          <w:b/>
          <w:bCs/>
          <w:color w:val="000000" w:themeColor="text1"/>
          <w:sz w:val="21"/>
          <w:szCs w:val="21"/>
          <w14:textFill>
            <w14:solidFill>
              <w14:schemeClr w14:val="tx1"/>
            </w14:solidFill>
          </w14:textFill>
        </w:rPr>
        <w:t>综合评分法</w:t>
      </w:r>
      <w:r>
        <w:rPr>
          <w:rFonts w:hint="eastAsia" w:ascii="宋体" w:hAnsi="宋体" w:eastAsia="宋体" w:cs="宋体"/>
          <w:color w:val="000000" w:themeColor="text1"/>
          <w:sz w:val="21"/>
          <w:szCs w:val="21"/>
          <w14:textFill>
            <w14:solidFill>
              <w14:schemeClr w14:val="tx1"/>
            </w14:solidFill>
          </w14:textFill>
        </w:rPr>
        <w:t>。</w:t>
      </w:r>
    </w:p>
    <w:p w14:paraId="304B5F89">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（二）计分办法（</w:t>
      </w:r>
      <w:r>
        <w:rPr>
          <w:rFonts w:hint="eastAsia" w:hAnsi="宋体" w:cs="宋体"/>
          <w:bCs/>
          <w:szCs w:val="21"/>
        </w:rPr>
        <w:t>按四舍五入取至百分位</w:t>
      </w:r>
      <w:r>
        <w:rPr>
          <w:rFonts w:hint="eastAsia" w:ascii="宋体" w:hAnsi="宋体" w:eastAsia="宋体" w:cs="宋体"/>
          <w:color w:val="000000" w:themeColor="text1"/>
          <w:sz w:val="21"/>
          <w:szCs w:val="21"/>
          <w14:textFill>
            <w14:solidFill>
              <w14:schemeClr w14:val="tx1"/>
            </w14:solidFill>
          </w14:textFill>
        </w:rPr>
        <w:t>）</w:t>
      </w:r>
    </w:p>
    <w:p w14:paraId="0604703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rPr>
      </w:pPr>
      <w:r>
        <w:rPr>
          <w:rFonts w:hint="eastAsia" w:ascii="宋体" w:hAnsi="宋体" w:eastAsia="宋体" w:cs="宋体"/>
          <w:b/>
          <w:bCs/>
          <w:color w:val="000000" w:themeColor="text1"/>
          <w:sz w:val="21"/>
          <w:szCs w:val="21"/>
          <w14:textFill>
            <w14:solidFill>
              <w14:schemeClr w14:val="tx1"/>
            </w14:solidFill>
          </w14:textFill>
        </w:rPr>
        <w:t>1、价格分………………………………………………………………………………………………………</w:t>
      </w:r>
      <w:r>
        <w:rPr>
          <w:rFonts w:hint="eastAsia" w:ascii="宋体" w:hAnsi="宋体" w:cs="宋体"/>
          <w:b/>
          <w:bCs/>
          <w:color w:val="000000" w:themeColor="text1"/>
          <w:sz w:val="21"/>
          <w:szCs w:val="21"/>
          <w:lang w:val="en-US" w:eastAsia="zh-CN"/>
          <w14:textFill>
            <w14:solidFill>
              <w14:schemeClr w14:val="tx1"/>
            </w14:solidFill>
          </w14:textFill>
        </w:rPr>
        <w:t>20</w:t>
      </w:r>
      <w:r>
        <w:rPr>
          <w:rFonts w:hint="eastAsia" w:ascii="宋体" w:hAnsi="宋体" w:eastAsia="宋体" w:cs="宋体"/>
          <w:b/>
          <w:bCs/>
          <w:color w:val="000000" w:themeColor="text1"/>
          <w:sz w:val="21"/>
          <w:szCs w:val="21"/>
          <w:lang w:val="en-US" w:eastAsia="zh-CN"/>
          <w14:textFill>
            <w14:solidFill>
              <w14:schemeClr w14:val="tx1"/>
            </w14:solidFill>
          </w14:textFill>
        </w:rPr>
        <w:t>分</w:t>
      </w:r>
    </w:p>
    <w:p w14:paraId="168EA52D">
      <w:pPr>
        <w:pStyle w:val="12"/>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highlight w:val="none"/>
        </w:rPr>
        <w:t>《关于进一步加大政府采购支持中小企业力度的通知》（财库〔2022〕19号）</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《广西壮族自治区财政厅关于进一步发挥政府采购政策功能促进企业发展的通知》（桂财采〔2022〕30号）</w:t>
      </w:r>
      <w:r>
        <w:rPr>
          <w:rFonts w:hint="eastAsia" w:ascii="宋体" w:hAnsi="宋体" w:eastAsia="宋体" w:cs="宋体"/>
          <w:color w:val="auto"/>
          <w:highlight w:val="none"/>
          <w:lang w:eastAsia="zh-CN"/>
        </w:rPr>
        <w:t>《广西壮族自治区财政厅关于持续优化政府采购营商环境推动高质量发展的通知》（桂财采〔2024〕55号）、《</w:t>
      </w:r>
      <w:r>
        <w:rPr>
          <w:rFonts w:hint="eastAsia" w:ascii="宋体" w:hAnsi="宋体" w:eastAsia="宋体" w:cs="宋体"/>
          <w:color w:val="auto"/>
          <w:highlight w:val="none"/>
        </w:rPr>
        <w:t>桂林市财政局关于进一步加大政府采购支持中小企业力度的通知</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，凡</w:t>
      </w:r>
      <w:r>
        <w:rPr>
          <w:rFonts w:hint="eastAsia" w:ascii="宋体" w:hAnsi="宋体" w:eastAsia="宋体" w:cs="宋体"/>
          <w:color w:val="auto"/>
          <w:sz w:val="21"/>
          <w:szCs w:val="21"/>
          <w:highlight w:val="none"/>
        </w:rPr>
        <w:t>符合《政府采购促进中小企业发展管理办法》（财库〔2020〕46号）规定条件且按该办法中规定的格式提供了《中小企业声明函》的小型和微型企业，对其投标价给予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0%的扣除，扣除后的价格为</w:t>
      </w:r>
      <w:r>
        <w:rPr>
          <w:rFonts w:hint="eastAsia" w:hAnsi="宋体" w:cs="宋体"/>
          <w:color w:val="auto"/>
          <w:sz w:val="21"/>
          <w:szCs w:val="21"/>
          <w:highlight w:val="none"/>
          <w:u w:val="none"/>
          <w:lang w:val="en-US" w:eastAsia="zh-CN"/>
        </w:rPr>
        <w:t>评审价</w:t>
      </w:r>
      <w:r>
        <w:rPr>
          <w:rFonts w:hint="eastAsia" w:ascii="宋体" w:hAnsi="宋体" w:eastAsia="宋体" w:cs="宋体"/>
          <w:color w:val="auto"/>
          <w:sz w:val="21"/>
          <w:szCs w:val="21"/>
          <w:highlight w:val="none"/>
        </w:rPr>
        <w:t>，即</w:t>
      </w:r>
      <w:r>
        <w:rPr>
          <w:rFonts w:hint="eastAsia" w:hAnsi="宋体" w:cs="宋体"/>
          <w:color w:val="auto"/>
          <w:sz w:val="21"/>
          <w:szCs w:val="21"/>
          <w:highlight w:val="none"/>
          <w:u w:val="none"/>
          <w:lang w:val="en-US" w:eastAsia="zh-CN"/>
        </w:rPr>
        <w:t>评审价</w:t>
      </w:r>
      <w:r>
        <w:rPr>
          <w:rFonts w:hint="eastAsia" w:ascii="宋体" w:hAnsi="宋体" w:eastAsia="宋体" w:cs="宋体"/>
          <w:color w:val="auto"/>
          <w:sz w:val="21"/>
          <w:szCs w:val="21"/>
          <w:highlight w:val="none"/>
        </w:rPr>
        <w:t>=投标价×（1-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hAnsi="宋体" w:cs="宋体"/>
          <w:color w:val="auto"/>
          <w:sz w:val="21"/>
          <w:szCs w:val="21"/>
          <w:highlight w:val="none"/>
          <w:lang w:eastAsia="zh-CN"/>
        </w:rPr>
        <w:t>；大中型企业与小微企业组成联合体或者大中型企业向小微企业分包的，</w:t>
      </w:r>
      <w:r>
        <w:rPr>
          <w:rFonts w:hint="eastAsia" w:ascii="宋体" w:hAnsi="宋体" w:eastAsia="宋体" w:cs="宋体"/>
          <w:color w:val="auto"/>
          <w:sz w:val="21"/>
          <w:szCs w:val="21"/>
          <w:highlight w:val="none"/>
        </w:rPr>
        <w:t>对其投标价给予</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%的扣除，扣除后的价格为</w:t>
      </w:r>
      <w:r>
        <w:rPr>
          <w:rFonts w:hint="eastAsia" w:hAnsi="宋体" w:cs="宋体"/>
          <w:color w:val="auto"/>
          <w:sz w:val="21"/>
          <w:szCs w:val="21"/>
          <w:highlight w:val="none"/>
          <w:u w:val="none"/>
          <w:lang w:val="en-US" w:eastAsia="zh-CN"/>
        </w:rPr>
        <w:t>评审价</w:t>
      </w:r>
      <w:r>
        <w:rPr>
          <w:rFonts w:hint="eastAsia" w:ascii="宋体" w:hAnsi="宋体" w:eastAsia="宋体" w:cs="宋体"/>
          <w:color w:val="auto"/>
          <w:sz w:val="21"/>
          <w:szCs w:val="21"/>
          <w:highlight w:val="none"/>
        </w:rPr>
        <w:t>，即</w:t>
      </w:r>
      <w:r>
        <w:rPr>
          <w:rFonts w:hint="eastAsia" w:hAnsi="宋体" w:cs="宋体"/>
          <w:color w:val="auto"/>
          <w:sz w:val="21"/>
          <w:szCs w:val="21"/>
          <w:highlight w:val="none"/>
          <w:u w:val="none"/>
          <w:lang w:eastAsia="zh-CN"/>
        </w:rPr>
        <w:t>评审价</w:t>
      </w:r>
      <w:r>
        <w:rPr>
          <w:rFonts w:hint="eastAsia" w:ascii="宋体" w:hAnsi="宋体" w:eastAsia="宋体" w:cs="宋体"/>
          <w:color w:val="auto"/>
          <w:sz w:val="21"/>
          <w:szCs w:val="21"/>
          <w:highlight w:val="none"/>
        </w:rPr>
        <w:t>=投标价×（1-</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10F23971">
      <w:pPr>
        <w:pStyle w:val="12"/>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注：中小微型企业划分标准按照《国家统计局关于印发〈统计上大中小微型企业划分办法〉〔2017〕的通知》（国统字〔2017〕213号）执行，具体划分标准见附表《统计上大中小微型企业划分标准》。</w:t>
      </w:r>
    </w:p>
    <w:p w14:paraId="6CC3ABE4">
      <w:pPr>
        <w:pStyle w:val="12"/>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14:paraId="726927D2">
      <w:pPr>
        <w:pStyle w:val="12"/>
        <w:spacing w:line="360" w:lineRule="auto"/>
        <w:ind w:firstLine="420"/>
        <w:rPr>
          <w:rFonts w:hint="eastAsia" w:ascii="宋体" w:hAnsi="宋体" w:cs="宋体"/>
          <w:bCs/>
          <w:kern w:val="0"/>
          <w:szCs w:val="21"/>
        </w:rPr>
      </w:pPr>
      <w:r>
        <w:rPr>
          <w:rFonts w:hint="eastAsia" w:ascii="宋体" w:hAnsi="宋体" w:eastAsia="宋体" w:cs="宋体"/>
          <w:color w:val="auto"/>
          <w:sz w:val="21"/>
          <w:szCs w:val="21"/>
          <w:highlight w:val="none"/>
        </w:rPr>
        <w:t>（3）以进入综合评分环节的最低的评审报价为基准价，基准价报价得分为</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50A8D1F">
      <w:pPr>
        <w:pStyle w:val="12"/>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w:t>
      </w:r>
      <w:r>
        <w:rPr>
          <w:rFonts w:hint="eastAsia" w:hAnsi="宋体" w:cs="宋体"/>
          <w:color w:val="auto"/>
          <w:kern w:val="0"/>
          <w:szCs w:val="21"/>
          <w:highlight w:val="none"/>
          <w:lang w:val="en-US" w:eastAsia="zh-CN"/>
        </w:rPr>
        <w:t>4</w:t>
      </w:r>
      <w:r>
        <w:rPr>
          <w:rFonts w:hint="eastAsia" w:hAnsi="宋体" w:cs="宋体"/>
          <w:color w:val="auto"/>
          <w:kern w:val="0"/>
          <w:szCs w:val="21"/>
          <w:highlight w:val="none"/>
        </w:rPr>
        <w:t>）价格分计算公式：</w:t>
      </w:r>
    </w:p>
    <w:p w14:paraId="31637828">
      <w:pPr>
        <w:pStyle w:val="12"/>
        <w:spacing w:line="360" w:lineRule="auto"/>
        <w:ind w:firstLine="3780" w:firstLineChars="1800"/>
        <w:jc w:val="both"/>
        <w:rPr>
          <w:rFonts w:hAnsi="宋体" w:cs="宋体"/>
          <w:bCs/>
          <w:color w:val="auto"/>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磋商</w:t>
      </w:r>
      <w:r>
        <w:rPr>
          <w:rFonts w:hint="eastAsia" w:ascii="宋体" w:hAnsi="宋体"/>
          <w:bCs/>
          <w:kern w:val="0"/>
          <w:szCs w:val="21"/>
        </w:rPr>
        <w:t>评标基准价</w:t>
      </w:r>
    </w:p>
    <w:p w14:paraId="3EA12F22">
      <w:pPr>
        <w:pStyle w:val="12"/>
        <w:spacing w:line="360" w:lineRule="auto"/>
        <w:ind w:firstLine="420"/>
        <w:rPr>
          <w:rFonts w:hAnsi="宋体" w:cs="宋体"/>
          <w:bCs/>
          <w:color w:val="auto"/>
          <w:szCs w:val="21"/>
          <w:highlight w:val="none"/>
        </w:rPr>
      </w:pPr>
      <w:r>
        <w:rPr>
          <w:rFonts w:hint="eastAsia" w:ascii="宋体" w:hAnsi="宋体" w:eastAsia="宋体" w:cs="宋体"/>
          <w:bCs/>
          <w:color w:val="000000" w:themeColor="text1"/>
          <w:kern w:val="0"/>
          <w:sz w:val="21"/>
          <w:szCs w:val="21"/>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磋商报价得分</w:t>
      </w:r>
      <w:r>
        <w:rPr>
          <w:rFonts w:hAnsi="宋体" w:cs="宋体"/>
          <w:bCs/>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028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A9Lxm4+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auto"/>
          <w:szCs w:val="21"/>
          <w:highlight w:val="none"/>
        </w:rPr>
        <w:t xml:space="preserve"> =                                         ×</w:t>
      </w:r>
      <w:r>
        <w:rPr>
          <w:rFonts w:hint="eastAsia" w:hAnsi="宋体" w:cs="宋体"/>
          <w:bCs/>
          <w:color w:val="auto"/>
          <w:szCs w:val="21"/>
          <w:highlight w:val="none"/>
          <w:lang w:val="en-US" w:eastAsia="zh-CN"/>
        </w:rPr>
        <w:t>20</w:t>
      </w:r>
      <w:r>
        <w:rPr>
          <w:rFonts w:hint="eastAsia" w:hAnsi="宋体" w:cs="宋体"/>
          <w:bCs/>
          <w:color w:val="auto"/>
          <w:szCs w:val="21"/>
          <w:highlight w:val="none"/>
        </w:rPr>
        <w:t>分</w:t>
      </w:r>
    </w:p>
    <w:p w14:paraId="35081AE6">
      <w:pPr>
        <w:pStyle w:val="12"/>
        <w:spacing w:line="360" w:lineRule="auto"/>
        <w:ind w:firstLine="420" w:firstLineChars="200"/>
        <w:rPr>
          <w:rFonts w:hint="eastAsia" w:eastAsia="宋体"/>
          <w:color w:val="auto"/>
          <w:highlight w:val="none"/>
          <w:lang w:val="en-US" w:eastAsia="zh-CN"/>
        </w:rPr>
      </w:pPr>
      <w:r>
        <w:rPr>
          <w:rFonts w:hint="eastAsia" w:hAnsi="宋体" w:cs="宋体"/>
          <w:bCs/>
          <w:color w:val="auto"/>
          <w:szCs w:val="21"/>
          <w:highlight w:val="none"/>
        </w:rPr>
        <w:t xml:space="preserve">                           </w:t>
      </w:r>
      <w:r>
        <w:rPr>
          <w:rFonts w:hint="eastAsia" w:hAnsi="宋体" w:cs="宋体"/>
          <w:bCs/>
          <w:color w:val="auto"/>
          <w:szCs w:val="21"/>
          <w:highlight w:val="none"/>
          <w:lang w:val="en-US" w:eastAsia="zh-CN"/>
        </w:rPr>
        <w:t xml:space="preserve">    </w:t>
      </w:r>
      <w:r>
        <w:rPr>
          <w:rFonts w:hint="eastAsia" w:ascii="宋体" w:hAnsi="宋体" w:eastAsia="宋体" w:cs="宋体"/>
          <w:color w:val="000000" w:themeColor="text1"/>
          <w:sz w:val="21"/>
          <w:szCs w:val="21"/>
          <w14:textFill>
            <w14:solidFill>
              <w14:schemeClr w14:val="tx1"/>
            </w14:solidFill>
          </w14:textFill>
        </w:rPr>
        <w:t>供应商的评审报价</w:t>
      </w:r>
    </w:p>
    <w:p w14:paraId="69B870F6">
      <w:pPr>
        <w:pStyle w:val="1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000000"/>
          <w:szCs w:val="21"/>
          <w:highlight w:val="yellow"/>
        </w:rPr>
      </w:pPr>
      <w:r>
        <w:rPr>
          <w:rFonts w:hint="eastAsia" w:ascii="宋体" w:hAnsi="宋体" w:eastAsia="宋体" w:cs="宋体"/>
          <w:b/>
          <w:bCs/>
          <w:szCs w:val="21"/>
        </w:rPr>
        <w:t>2、</w:t>
      </w:r>
      <w:r>
        <w:rPr>
          <w:rFonts w:hint="eastAsia" w:hAnsi="宋体" w:cs="宋体"/>
          <w:b/>
          <w:bCs/>
          <w:szCs w:val="21"/>
          <w:lang w:eastAsia="zh-CN"/>
        </w:rPr>
        <w:t>技术</w:t>
      </w:r>
      <w:r>
        <w:rPr>
          <w:rFonts w:hint="eastAsia" w:ascii="宋体" w:hAnsi="宋体" w:eastAsia="宋体" w:cs="宋体"/>
          <w:b/>
          <w:bCs/>
          <w:szCs w:val="21"/>
        </w:rPr>
        <w:t>性能分</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szCs w:val="21"/>
        </w:rPr>
        <w:t>满</w:t>
      </w:r>
      <w:r>
        <w:rPr>
          <w:rFonts w:hint="eastAsia" w:ascii="宋体" w:hAnsi="宋体" w:eastAsia="宋体" w:cs="宋体"/>
          <w:b/>
          <w:bCs/>
          <w:color w:val="auto"/>
          <w:szCs w:val="21"/>
          <w:highlight w:val="none"/>
        </w:rPr>
        <w:t>分</w:t>
      </w:r>
      <w:r>
        <w:rPr>
          <w:rFonts w:hint="eastAsia" w:hAnsi="宋体" w:cs="宋体"/>
          <w:b/>
          <w:bCs/>
          <w:color w:val="auto"/>
          <w:szCs w:val="21"/>
          <w:highlight w:val="none"/>
          <w:lang w:val="en-US" w:eastAsia="zh-CN"/>
        </w:rPr>
        <w:t>30</w:t>
      </w:r>
      <w:r>
        <w:rPr>
          <w:rFonts w:hint="eastAsia" w:ascii="宋体" w:hAnsi="宋体" w:eastAsia="宋体" w:cs="宋体"/>
          <w:b/>
          <w:bCs/>
          <w:color w:val="auto"/>
          <w:szCs w:val="21"/>
          <w:highlight w:val="none"/>
        </w:rPr>
        <w:t>分</w:t>
      </w:r>
    </w:p>
    <w:p w14:paraId="6C44DCE8">
      <w:pPr>
        <w:pStyle w:val="12"/>
        <w:spacing w:line="360" w:lineRule="auto"/>
        <w:ind w:firstLine="420" w:firstLineChars="200"/>
        <w:rPr>
          <w:rFonts w:hint="eastAsia" w:hAnsi="宋体" w:cs="宋体"/>
          <w:b w:val="0"/>
          <w:bCs w:val="0"/>
          <w:szCs w:val="21"/>
          <w:lang w:val="zh-CN" w:eastAsia="zh-CN"/>
        </w:rPr>
      </w:pPr>
      <w:bookmarkStart w:id="142" w:name="_Toc271529382"/>
      <w:bookmarkStart w:id="143" w:name="_Toc213206174"/>
      <w:bookmarkStart w:id="144" w:name="_Toc139967210"/>
      <w:bookmarkStart w:id="145" w:name="_Toc139966426"/>
      <w:bookmarkStart w:id="146" w:name="_Toc213325923"/>
      <w:r>
        <w:rPr>
          <w:rFonts w:hint="eastAsia" w:hAnsi="宋体" w:cs="宋体"/>
          <w:b w:val="0"/>
          <w:bCs w:val="0"/>
          <w:szCs w:val="21"/>
          <w:lang w:val="zh-CN" w:eastAsia="zh-CN"/>
        </w:rPr>
        <w:t>（1）服务质量分（满分</w:t>
      </w:r>
      <w:r>
        <w:rPr>
          <w:rFonts w:hint="eastAsia" w:hAnsi="宋体" w:cs="宋体"/>
          <w:b w:val="0"/>
          <w:bCs w:val="0"/>
          <w:szCs w:val="21"/>
          <w:lang w:val="en-US" w:eastAsia="zh-CN"/>
        </w:rPr>
        <w:t>30</w:t>
      </w:r>
      <w:r>
        <w:rPr>
          <w:rFonts w:hint="eastAsia" w:hAnsi="宋体" w:cs="宋体"/>
          <w:b w:val="0"/>
          <w:bCs w:val="0"/>
          <w:szCs w:val="21"/>
          <w:lang w:val="zh-CN" w:eastAsia="zh-CN"/>
        </w:rPr>
        <w:t>分）</w:t>
      </w:r>
    </w:p>
    <w:p w14:paraId="5FBF3A4B">
      <w:pPr>
        <w:pStyle w:val="12"/>
        <w:spacing w:line="360" w:lineRule="exact"/>
        <w:ind w:firstLine="630" w:firstLineChars="300"/>
        <w:rPr>
          <w:rFonts w:hint="eastAsia" w:hAnsi="宋体" w:eastAsia="宋体" w:cs="Courier New"/>
          <w:kern w:val="2"/>
          <w:sz w:val="21"/>
          <w:lang w:eastAsia="zh-CN"/>
        </w:rPr>
      </w:pPr>
      <w:r>
        <w:rPr>
          <w:rFonts w:hint="eastAsia" w:hAnsi="宋体" w:cs="Courier New"/>
          <w:kern w:val="2"/>
          <w:sz w:val="21"/>
        </w:rPr>
        <w:t>为保证提供服务质量，采购需求中</w:t>
      </w:r>
      <w:r>
        <w:rPr>
          <w:rFonts w:hint="eastAsia" w:ascii="宋体" w:hAnsi="宋体" w:cs="宋体"/>
          <w:sz w:val="21"/>
          <w:szCs w:val="21"/>
          <w:lang w:eastAsia="zh-CN"/>
        </w:rPr>
        <w:t>▲</w:t>
      </w:r>
      <w:r>
        <w:rPr>
          <w:rFonts w:hint="eastAsia" w:hAnsi="宋体" w:cs="Courier New"/>
          <w:kern w:val="2"/>
          <w:sz w:val="21"/>
        </w:rPr>
        <w:t>标识项需提供相关证明材料，包括产品彩页或者功能截图或者官网截图或者第三方检验（检测）机构出具的</w:t>
      </w:r>
      <w:r>
        <w:rPr>
          <w:rFonts w:hint="eastAsia" w:hAnsi="宋体" w:cs="Courier New"/>
          <w:kern w:val="2"/>
          <w:sz w:val="21"/>
          <w:lang w:eastAsia="zh-CN"/>
        </w:rPr>
        <w:t>带有</w:t>
      </w:r>
      <w:r>
        <w:rPr>
          <w:rFonts w:hint="eastAsia" w:hAnsi="宋体" w:cs="Courier New"/>
          <w:kern w:val="2"/>
          <w:sz w:val="21"/>
          <w:lang w:val="en-US" w:eastAsia="zh-CN"/>
        </w:rPr>
        <w:t>CMA标识的</w:t>
      </w:r>
      <w:r>
        <w:rPr>
          <w:rFonts w:hint="eastAsia" w:hAnsi="宋体" w:cs="Courier New"/>
          <w:kern w:val="2"/>
          <w:sz w:val="21"/>
        </w:rPr>
        <w:t>检验（检测）报告</w:t>
      </w:r>
      <w:r>
        <w:rPr>
          <w:rFonts w:hint="eastAsia" w:hAnsi="宋体" w:cs="Courier New"/>
          <w:kern w:val="2"/>
          <w:sz w:val="21"/>
          <w:lang w:eastAsia="zh-CN"/>
        </w:rPr>
        <w:t>彩色扫描件</w:t>
      </w:r>
      <w:r>
        <w:rPr>
          <w:rFonts w:hint="eastAsia" w:hAnsi="宋体" w:cs="Courier New"/>
          <w:kern w:val="2"/>
          <w:sz w:val="21"/>
        </w:rPr>
        <w:t>并加盖</w:t>
      </w:r>
      <w:r>
        <w:rPr>
          <w:rFonts w:hint="eastAsia" w:hAnsi="宋体" w:cs="Courier New"/>
          <w:kern w:val="2"/>
          <w:sz w:val="21"/>
          <w:lang w:eastAsia="zh-CN"/>
        </w:rPr>
        <w:t>供应商</w:t>
      </w:r>
      <w:r>
        <w:rPr>
          <w:rFonts w:hint="eastAsia" w:hAnsi="宋体" w:cs="Courier New"/>
          <w:kern w:val="2"/>
          <w:sz w:val="21"/>
        </w:rPr>
        <w:t>公章（CA签章）的</w:t>
      </w:r>
      <w:r>
        <w:rPr>
          <w:rFonts w:hint="eastAsia" w:hAnsi="宋体" w:cs="Courier New"/>
          <w:kern w:val="2"/>
          <w:sz w:val="21"/>
          <w:lang w:eastAsia="zh-CN"/>
        </w:rPr>
        <w:t>，每提供一项</w:t>
      </w:r>
      <w:r>
        <w:rPr>
          <w:rFonts w:hint="eastAsia" w:hAnsi="宋体" w:cs="Courier New"/>
          <w:kern w:val="2"/>
          <w:sz w:val="21"/>
        </w:rPr>
        <w:t>得</w:t>
      </w:r>
      <w:r>
        <w:rPr>
          <w:rFonts w:hint="eastAsia" w:hAnsi="宋体" w:cs="Courier New"/>
          <w:kern w:val="2"/>
          <w:sz w:val="21"/>
          <w:lang w:val="en-US" w:eastAsia="zh-CN"/>
        </w:rPr>
        <w:t>2</w:t>
      </w:r>
      <w:r>
        <w:rPr>
          <w:rFonts w:hint="eastAsia" w:hAnsi="宋体" w:cs="Courier New"/>
          <w:kern w:val="2"/>
          <w:sz w:val="21"/>
        </w:rPr>
        <w:t>分</w:t>
      </w:r>
      <w:r>
        <w:rPr>
          <w:rFonts w:hint="eastAsia" w:hAnsi="宋体" w:cs="Courier New"/>
          <w:kern w:val="2"/>
          <w:sz w:val="21"/>
          <w:lang w:eastAsia="zh-CN"/>
        </w:rPr>
        <w:t>。</w:t>
      </w:r>
    </w:p>
    <w:p w14:paraId="09378B23">
      <w:pPr>
        <w:pStyle w:val="10"/>
        <w:ind w:firstLine="420" w:firstLineChars="200"/>
        <w:jc w:val="left"/>
        <w:outlineLvl w:val="3"/>
        <w:rPr>
          <w:rFonts w:hint="eastAsia"/>
          <w:b/>
          <w:bCs/>
          <w:lang w:val="zh-CN"/>
        </w:rPr>
      </w:pPr>
      <w:r>
        <w:rPr>
          <w:rFonts w:hint="eastAsia" w:hAnsi="宋体" w:cs="Courier New"/>
          <w:b/>
          <w:bCs/>
          <w:kern w:val="2"/>
          <w:sz w:val="21"/>
        </w:rPr>
        <w:t>注：</w:t>
      </w:r>
      <w:r>
        <w:rPr>
          <w:rFonts w:hint="eastAsia" w:hAnsi="宋体" w:cs="Courier New"/>
          <w:b/>
          <w:bCs/>
          <w:kern w:val="2"/>
          <w:sz w:val="21"/>
          <w:lang w:eastAsia="zh-CN"/>
        </w:rPr>
        <w:t>供应商</w:t>
      </w:r>
      <w:r>
        <w:rPr>
          <w:rFonts w:hint="eastAsia" w:hAnsi="宋体" w:cs="Courier New"/>
          <w:b/>
          <w:bCs/>
          <w:kern w:val="2"/>
          <w:sz w:val="21"/>
        </w:rPr>
        <w:t>所提供的检测（验）产品的委托单位（送检人）可以是投标产品的生产厂商、</w:t>
      </w:r>
      <w:r>
        <w:rPr>
          <w:rFonts w:hint="eastAsia" w:hAnsi="宋体" w:cs="Courier New"/>
          <w:b/>
          <w:bCs/>
          <w:kern w:val="2"/>
          <w:sz w:val="21"/>
          <w:lang w:eastAsia="zh-CN"/>
        </w:rPr>
        <w:t>供应商</w:t>
      </w:r>
      <w:r>
        <w:rPr>
          <w:rFonts w:hint="eastAsia" w:hAnsi="宋体" w:cs="Courier New"/>
          <w:b/>
          <w:bCs/>
          <w:kern w:val="2"/>
          <w:sz w:val="21"/>
        </w:rPr>
        <w:t>或原材料供应商，否则对应项不得分。检测（验）报告必须复印清晰且完整、有效，报告中有检测（验）机构名称、检测（验）报告编号、送检单位名称、送检的项目（样品）名称、送检时间等信息。</w:t>
      </w:r>
    </w:p>
    <w:bookmarkEnd w:id="142"/>
    <w:bookmarkEnd w:id="143"/>
    <w:bookmarkEnd w:id="144"/>
    <w:bookmarkEnd w:id="145"/>
    <w:bookmarkEnd w:id="146"/>
    <w:p w14:paraId="3B6EDF61">
      <w:pPr>
        <w:pStyle w:val="12"/>
        <w:keepNext w:val="0"/>
        <w:keepLines w:val="0"/>
        <w:pageBreakBefore w:val="0"/>
        <w:numPr>
          <w:ilvl w:val="0"/>
          <w:numId w:val="0"/>
        </w:numPr>
        <w:kinsoku/>
        <w:wordWrap/>
        <w:overflowPunct/>
        <w:topLinePunct w:val="0"/>
        <w:autoSpaceDE/>
        <w:autoSpaceDN/>
        <w:bidi w:val="0"/>
        <w:adjustRightInd/>
        <w:snapToGrid/>
        <w:spacing w:line="360" w:lineRule="auto"/>
        <w:ind w:left="467" w:leftChars="0"/>
        <w:textAlignment w:val="auto"/>
        <w:rPr>
          <w:rFonts w:hint="eastAsia" w:ascii="宋体" w:hAnsi="宋体" w:eastAsia="宋体" w:cs="宋体"/>
          <w:b/>
          <w:color w:val="auto"/>
          <w:szCs w:val="21"/>
          <w:highlight w:val="none"/>
        </w:rPr>
      </w:pPr>
      <w:r>
        <w:rPr>
          <w:rFonts w:hint="eastAsia" w:ascii="宋体" w:hAnsi="宋体" w:eastAsia="宋体" w:cs="宋体"/>
          <w:b/>
          <w:bCs/>
          <w:szCs w:val="21"/>
        </w:rPr>
        <w:t>3、履约能力分</w:t>
      </w:r>
      <w:r>
        <w:rPr>
          <w:rFonts w:hint="eastAsia" w:ascii="宋体" w:hAnsi="宋体" w:eastAsia="宋体" w:cs="宋体"/>
          <w:b/>
          <w:szCs w:val="21"/>
        </w:rPr>
        <w:t>…………………………………………………………………………………</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满分</w:t>
      </w:r>
      <w:r>
        <w:rPr>
          <w:rFonts w:hint="eastAsia" w:hAnsi="宋体" w:cs="宋体"/>
          <w:b/>
          <w:color w:val="auto"/>
          <w:szCs w:val="21"/>
          <w:highlight w:val="none"/>
          <w:lang w:val="en-US" w:eastAsia="zh-CN"/>
        </w:rPr>
        <w:t>30</w:t>
      </w:r>
      <w:r>
        <w:rPr>
          <w:rFonts w:hint="eastAsia" w:ascii="宋体" w:hAnsi="宋体" w:eastAsia="宋体" w:cs="宋体"/>
          <w:b/>
          <w:color w:val="auto"/>
          <w:szCs w:val="21"/>
          <w:highlight w:val="none"/>
        </w:rPr>
        <w:t>分</w:t>
      </w:r>
    </w:p>
    <w:p w14:paraId="062C9BF9">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b w:val="0"/>
          <w:bCs w:val="0"/>
          <w:color w:val="auto"/>
          <w:szCs w:val="21"/>
          <w:lang w:val="en-US" w:eastAsia="zh-CN"/>
        </w:rPr>
        <w:t>）</w:t>
      </w:r>
      <w:r>
        <w:rPr>
          <w:rFonts w:hint="eastAsia" w:ascii="宋体" w:hAnsi="宋体" w:cs="宋体"/>
          <w:b w:val="0"/>
          <w:bCs w:val="0"/>
          <w:szCs w:val="21"/>
          <w:lang w:eastAsia="zh-CN"/>
        </w:rPr>
        <w:t>技术</w:t>
      </w:r>
      <w:r>
        <w:rPr>
          <w:rFonts w:hint="eastAsia" w:ascii="宋体" w:hAnsi="宋体" w:cs="宋体"/>
          <w:b w:val="0"/>
          <w:bCs w:val="0"/>
          <w:szCs w:val="21"/>
          <w:lang w:val="en-US" w:eastAsia="zh-CN"/>
        </w:rPr>
        <w:t>及实施</w:t>
      </w:r>
      <w:r>
        <w:rPr>
          <w:rFonts w:hint="eastAsia" w:ascii="宋体" w:hAnsi="宋体" w:cs="宋体"/>
          <w:b w:val="0"/>
          <w:bCs w:val="0"/>
          <w:szCs w:val="21"/>
        </w:rPr>
        <w:t>方案分</w:t>
      </w:r>
      <w:r>
        <w:rPr>
          <w:rFonts w:hint="eastAsia" w:ascii="宋体" w:hAnsi="宋体" w:cs="宋体"/>
          <w:b w:val="0"/>
          <w:bCs w:val="0"/>
          <w:color w:val="auto"/>
          <w:szCs w:val="21"/>
          <w:lang w:val="en-US" w:eastAsia="zh-CN"/>
        </w:rPr>
        <w:t>（</w:t>
      </w:r>
      <w:r>
        <w:rPr>
          <w:rFonts w:hint="eastAsia" w:ascii="宋体" w:hAnsi="宋体" w:cs="宋体"/>
          <w:color w:val="auto"/>
          <w:szCs w:val="21"/>
          <w:lang w:val="en-US" w:eastAsia="zh-CN"/>
        </w:rPr>
        <w:t>满分18分）</w:t>
      </w:r>
    </w:p>
    <w:p w14:paraId="050820DE">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szCs w:val="21"/>
          <w:highlight w:val="none"/>
          <w:lang w:val="en-US" w:eastAsia="zh-CN"/>
        </w:rPr>
      </w:pPr>
      <w:r>
        <w:rPr>
          <w:rFonts w:hint="eastAsia" w:hAnsi="宋体" w:cs="宋体"/>
          <w:b w:val="0"/>
          <w:bCs w:val="0"/>
          <w:szCs w:val="21"/>
          <w:highlight w:val="none"/>
          <w:lang w:val="en-US" w:eastAsia="zh-CN"/>
        </w:rPr>
        <w:t>一档（0分）：未提供技术及实施方案的。</w:t>
      </w:r>
    </w:p>
    <w:p w14:paraId="5CC365FB">
      <w:pPr>
        <w:pStyle w:val="12"/>
        <w:spacing w:line="360" w:lineRule="exact"/>
        <w:ind w:firstLine="420" w:firstLineChars="200"/>
        <w:rPr>
          <w:rFonts w:hint="eastAsia" w:ascii="宋体" w:hAnsi="宋体" w:eastAsia="宋体" w:cs="Courier New"/>
          <w:kern w:val="2"/>
          <w:sz w:val="21"/>
          <w:lang w:eastAsia="zh-CN"/>
        </w:rPr>
      </w:pPr>
      <w:r>
        <w:rPr>
          <w:rFonts w:hint="eastAsia" w:ascii="宋体" w:hAnsi="宋体" w:eastAsia="宋体" w:cs="Courier New"/>
          <w:kern w:val="2"/>
          <w:sz w:val="21"/>
          <w:lang w:val="en-US" w:eastAsia="zh-CN"/>
        </w:rPr>
        <w:t>二</w:t>
      </w:r>
      <w:r>
        <w:rPr>
          <w:rFonts w:hint="eastAsia" w:ascii="宋体" w:hAnsi="宋体" w:eastAsia="宋体" w:cs="Courier New"/>
          <w:kern w:val="2"/>
          <w:sz w:val="21"/>
        </w:rPr>
        <w:t>档（</w:t>
      </w:r>
      <w:r>
        <w:rPr>
          <w:rFonts w:hint="eastAsia" w:hAnsi="宋体" w:cs="Courier New"/>
          <w:kern w:val="2"/>
          <w:sz w:val="21"/>
          <w:lang w:val="en-US" w:eastAsia="zh-CN"/>
        </w:rPr>
        <w:t>6</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对教育城域网建设需求理解片面、分析不够透彻、建设思路不够清晰、整体架构不够完整、技术架构不够合理，系统功能描述不够完整，设备性能无法满足要求</w:t>
      </w:r>
      <w:r>
        <w:rPr>
          <w:rFonts w:hint="eastAsia" w:ascii="宋体" w:hAnsi="宋体" w:eastAsia="宋体" w:cs="Courier New"/>
          <w:kern w:val="2"/>
          <w:sz w:val="21"/>
          <w:lang w:eastAsia="zh-CN"/>
        </w:rPr>
        <w:t>；</w:t>
      </w:r>
    </w:p>
    <w:p w14:paraId="13299B49">
      <w:pPr>
        <w:pStyle w:val="12"/>
        <w:spacing w:line="360" w:lineRule="exact"/>
        <w:ind w:firstLine="420" w:firstLineChars="200"/>
        <w:rPr>
          <w:rFonts w:hint="eastAsia" w:ascii="宋体" w:hAnsi="宋体" w:eastAsia="宋体" w:cs="Courier New"/>
          <w:kern w:val="2"/>
          <w:sz w:val="21"/>
          <w:lang w:eastAsia="zh-CN"/>
        </w:rPr>
      </w:pPr>
      <w:r>
        <w:rPr>
          <w:rFonts w:hint="eastAsia" w:ascii="宋体" w:hAnsi="宋体" w:eastAsia="宋体" w:cs="Courier New"/>
          <w:kern w:val="2"/>
          <w:sz w:val="21"/>
          <w:lang w:val="en-US" w:eastAsia="zh-CN"/>
        </w:rPr>
        <w:t>三</w:t>
      </w:r>
      <w:r>
        <w:rPr>
          <w:rFonts w:hint="eastAsia" w:ascii="宋体" w:hAnsi="宋体" w:eastAsia="宋体" w:cs="Courier New"/>
          <w:kern w:val="2"/>
          <w:sz w:val="21"/>
        </w:rPr>
        <w:t>档（</w:t>
      </w:r>
      <w:r>
        <w:rPr>
          <w:rFonts w:hint="eastAsia" w:hAnsi="宋体" w:cs="Courier New"/>
          <w:kern w:val="2"/>
          <w:sz w:val="21"/>
          <w:lang w:val="en-US" w:eastAsia="zh-CN"/>
        </w:rPr>
        <w:t>12</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教育城域网建设项目总体有理解全面、分析透彻、建设思路清晰、整体架构完整、技术架构合理；设备性能满足要求；方案体现整体性、安全性、可靠性、可扩展性，符合广西教育厅颁布教育城域网建设标准要求。并提供符合本项目现状及需求的网络</w:t>
      </w:r>
      <w:r>
        <w:rPr>
          <w:rFonts w:hint="eastAsia" w:ascii="宋体" w:hAnsi="宋体" w:eastAsia="宋体" w:cs="Courier New"/>
          <w:kern w:val="2"/>
          <w:sz w:val="21"/>
          <w:lang w:val="en-US" w:eastAsia="zh-CN"/>
        </w:rPr>
        <w:t>规划</w:t>
      </w:r>
      <w:r>
        <w:rPr>
          <w:rFonts w:hint="eastAsia" w:ascii="宋体" w:hAnsi="宋体" w:eastAsia="宋体" w:cs="Courier New"/>
          <w:kern w:val="2"/>
          <w:sz w:val="21"/>
        </w:rPr>
        <w:t>方案，包含组网规划、IP 地址规划等</w:t>
      </w:r>
      <w:r>
        <w:rPr>
          <w:rFonts w:hint="eastAsia" w:ascii="宋体" w:hAnsi="宋体" w:eastAsia="宋体" w:cs="Courier New"/>
          <w:kern w:val="2"/>
          <w:sz w:val="21"/>
          <w:lang w:eastAsia="zh-CN"/>
        </w:rPr>
        <w:t>；</w:t>
      </w:r>
      <w:r>
        <w:rPr>
          <w:rFonts w:hint="eastAsia" w:ascii="宋体" w:hAnsi="宋体" w:cs="宋体"/>
          <w:szCs w:val="21"/>
          <w:highlight w:val="none"/>
          <w:lang w:val="en-US" w:eastAsia="zh-CN"/>
        </w:rPr>
        <w:t>提供</w:t>
      </w:r>
      <w:r>
        <w:rPr>
          <w:rFonts w:hint="eastAsia" w:ascii="宋体" w:hAnsi="宋体" w:cs="宋体"/>
          <w:szCs w:val="21"/>
          <w:highlight w:val="none"/>
        </w:rPr>
        <w:t>人员管理方案，拟为本项目成立项目</w:t>
      </w:r>
      <w:r>
        <w:rPr>
          <w:rFonts w:hint="eastAsia" w:ascii="宋体" w:hAnsi="宋体" w:cs="宋体"/>
          <w:szCs w:val="21"/>
          <w:highlight w:val="none"/>
          <w:lang w:val="en-US" w:eastAsia="zh-CN"/>
        </w:rPr>
        <w:t>实施团队</w:t>
      </w:r>
      <w:r>
        <w:rPr>
          <w:rFonts w:hint="eastAsia" w:ascii="宋体" w:hAnsi="宋体" w:cs="宋体"/>
          <w:szCs w:val="21"/>
          <w:highlight w:val="none"/>
        </w:rPr>
        <w:t>，拟制定</w:t>
      </w:r>
      <w:r>
        <w:rPr>
          <w:rFonts w:hint="eastAsia" w:ascii="宋体" w:hAnsi="宋体" w:cs="宋体"/>
          <w:szCs w:val="21"/>
          <w:highlight w:val="none"/>
          <w:lang w:val="en-US" w:eastAsia="zh-CN"/>
        </w:rPr>
        <w:t>实施团队</w:t>
      </w:r>
      <w:r>
        <w:rPr>
          <w:rFonts w:hint="eastAsia" w:ascii="宋体" w:hAnsi="宋体" w:cs="宋体"/>
          <w:szCs w:val="21"/>
          <w:highlight w:val="none"/>
        </w:rPr>
        <w:t>管理的相关规章制度符合本项目特点，</w:t>
      </w:r>
      <w:r>
        <w:rPr>
          <w:rFonts w:hint="eastAsia" w:ascii="宋体" w:hAnsi="宋体" w:cs="宋体"/>
          <w:szCs w:val="21"/>
          <w:highlight w:val="none"/>
          <w:lang w:val="en-US" w:eastAsia="zh-CN"/>
        </w:rPr>
        <w:t>制定的人员</w:t>
      </w:r>
      <w:r>
        <w:rPr>
          <w:rFonts w:hint="eastAsia" w:ascii="宋体" w:hAnsi="宋体" w:cs="宋体"/>
          <w:szCs w:val="21"/>
          <w:highlight w:val="none"/>
        </w:rPr>
        <w:t>配备计划合理</w:t>
      </w:r>
      <w:r>
        <w:rPr>
          <w:rFonts w:hint="eastAsia" w:ascii="宋体" w:hAnsi="宋体" w:cs="宋体"/>
          <w:szCs w:val="21"/>
          <w:highlight w:val="none"/>
          <w:lang w:eastAsia="zh-CN"/>
        </w:rPr>
        <w:t>，</w:t>
      </w:r>
      <w:r>
        <w:rPr>
          <w:rFonts w:hint="eastAsia" w:ascii="宋体" w:hAnsi="宋体" w:cs="宋体"/>
          <w:szCs w:val="21"/>
          <w:highlight w:val="none"/>
        </w:rPr>
        <w:t>制定的</w:t>
      </w:r>
      <w:r>
        <w:rPr>
          <w:rFonts w:hint="eastAsia" w:ascii="宋体" w:hAnsi="宋体" w:cs="宋体"/>
          <w:szCs w:val="21"/>
          <w:highlight w:val="none"/>
          <w:lang w:val="en-US" w:eastAsia="zh-CN"/>
        </w:rPr>
        <w:t>人员</w:t>
      </w:r>
      <w:r>
        <w:rPr>
          <w:rFonts w:hint="eastAsia" w:ascii="宋体" w:hAnsi="宋体" w:cs="宋体"/>
          <w:szCs w:val="21"/>
          <w:highlight w:val="none"/>
        </w:rPr>
        <w:t>管理流程可行，制定的</w:t>
      </w:r>
      <w:r>
        <w:rPr>
          <w:rFonts w:hint="eastAsia" w:ascii="宋体" w:hAnsi="宋体" w:cs="宋体"/>
          <w:szCs w:val="21"/>
          <w:highlight w:val="none"/>
          <w:lang w:val="en-US" w:eastAsia="zh-CN"/>
        </w:rPr>
        <w:t>人员</w:t>
      </w:r>
      <w:r>
        <w:rPr>
          <w:rFonts w:hint="eastAsia" w:ascii="宋体" w:hAnsi="宋体" w:cs="宋体"/>
          <w:szCs w:val="21"/>
          <w:highlight w:val="none"/>
        </w:rPr>
        <w:t>管理制度有助于提高项目实施效率</w:t>
      </w:r>
      <w:r>
        <w:rPr>
          <w:rFonts w:hint="eastAsia" w:ascii="宋体" w:hAnsi="宋体" w:cs="宋体"/>
          <w:szCs w:val="21"/>
          <w:highlight w:val="none"/>
          <w:lang w:eastAsia="zh-CN"/>
        </w:rPr>
        <w:t>。</w:t>
      </w:r>
      <w:r>
        <w:rPr>
          <w:rFonts w:hint="eastAsia" w:ascii="宋体" w:hAnsi="宋体" w:cs="宋体"/>
          <w:szCs w:val="21"/>
          <w:highlight w:val="none"/>
        </w:rPr>
        <w:t>拟投入项目实施团队不少于</w:t>
      </w:r>
      <w:r>
        <w:rPr>
          <w:rFonts w:hint="eastAsia" w:ascii="宋体" w:hAnsi="宋体" w:cs="宋体"/>
          <w:szCs w:val="21"/>
          <w:highlight w:val="none"/>
          <w:lang w:val="en-US" w:eastAsia="zh-CN"/>
        </w:rPr>
        <w:t>20</w:t>
      </w:r>
      <w:r>
        <w:rPr>
          <w:rFonts w:hint="eastAsia" w:ascii="宋体" w:hAnsi="宋体" w:cs="宋体"/>
          <w:szCs w:val="21"/>
          <w:highlight w:val="none"/>
        </w:rPr>
        <w:t>人，</w:t>
      </w:r>
      <w:r>
        <w:rPr>
          <w:rFonts w:hint="eastAsia" w:ascii="宋体" w:hAnsi="宋体" w:cs="宋体"/>
          <w:szCs w:val="21"/>
          <w:highlight w:val="none"/>
          <w:lang w:val="en-US" w:eastAsia="zh-CN"/>
        </w:rPr>
        <w:t>其中</w:t>
      </w:r>
      <w:r>
        <w:rPr>
          <w:rFonts w:hint="eastAsia" w:ascii="宋体" w:hAnsi="宋体" w:cs="宋体"/>
          <w:szCs w:val="21"/>
          <w:highlight w:val="none"/>
        </w:rPr>
        <w:t>项目经理和技术负责人</w:t>
      </w:r>
      <w:r>
        <w:rPr>
          <w:rFonts w:hint="eastAsia" w:ascii="宋体" w:hAnsi="宋体" w:cs="宋体"/>
          <w:szCs w:val="21"/>
          <w:highlight w:val="none"/>
          <w:lang w:val="en-US" w:eastAsia="zh-CN"/>
        </w:rPr>
        <w:t>各1人，</w:t>
      </w:r>
      <w:r>
        <w:rPr>
          <w:rFonts w:hint="eastAsia" w:ascii="宋体" w:hAnsi="宋体" w:cs="宋体"/>
          <w:szCs w:val="21"/>
          <w:highlight w:val="none"/>
        </w:rPr>
        <w:t>实施工程师</w:t>
      </w:r>
      <w:r>
        <w:rPr>
          <w:rFonts w:hint="eastAsia" w:ascii="宋体" w:hAnsi="宋体" w:cs="宋体"/>
          <w:szCs w:val="21"/>
          <w:highlight w:val="none"/>
          <w:lang w:val="en-US" w:eastAsia="zh-CN"/>
        </w:rPr>
        <w:t>不少于5</w:t>
      </w:r>
      <w:r>
        <w:rPr>
          <w:rFonts w:hint="eastAsia" w:ascii="宋体" w:hAnsi="宋体" w:cs="宋体"/>
          <w:szCs w:val="21"/>
          <w:highlight w:val="none"/>
        </w:rPr>
        <w:t>人（</w:t>
      </w:r>
      <w:r>
        <w:rPr>
          <w:rFonts w:hint="eastAsia" w:ascii="宋体" w:hAnsi="宋体" w:cs="宋体"/>
          <w:szCs w:val="21"/>
          <w:highlight w:val="none"/>
          <w:lang w:val="en-US" w:eastAsia="zh-CN"/>
        </w:rPr>
        <w:t>其中具备信息系统项目管理师证书</w:t>
      </w:r>
      <w:r>
        <w:rPr>
          <w:rFonts w:hint="eastAsia" w:hAnsi="宋体" w:cs="宋体"/>
          <w:szCs w:val="21"/>
          <w:highlight w:val="none"/>
          <w:lang w:val="en-US" w:eastAsia="zh-CN"/>
        </w:rPr>
        <w:t>不少于</w:t>
      </w:r>
      <w:r>
        <w:rPr>
          <w:rFonts w:hint="eastAsia" w:ascii="宋体" w:hAnsi="宋体" w:cs="宋体"/>
          <w:szCs w:val="21"/>
          <w:highlight w:val="none"/>
          <w:lang w:val="en-US" w:eastAsia="zh-CN"/>
        </w:rPr>
        <w:t>2人、具备网络工程师证书</w:t>
      </w:r>
      <w:r>
        <w:rPr>
          <w:rFonts w:hint="eastAsia" w:hAnsi="宋体" w:cs="宋体"/>
          <w:szCs w:val="21"/>
          <w:highlight w:val="none"/>
          <w:lang w:val="en-US" w:eastAsia="zh-CN"/>
        </w:rPr>
        <w:t>不少于</w:t>
      </w:r>
      <w:r>
        <w:rPr>
          <w:rFonts w:hint="eastAsia" w:ascii="宋体" w:hAnsi="宋体" w:cs="宋体"/>
          <w:szCs w:val="21"/>
          <w:highlight w:val="none"/>
          <w:lang w:val="en-US" w:eastAsia="zh-CN"/>
        </w:rPr>
        <w:t>2人，</w:t>
      </w:r>
      <w:r>
        <w:rPr>
          <w:rFonts w:hint="eastAsia" w:ascii="宋体" w:hAnsi="宋体" w:eastAsia="宋体" w:cs="宋体"/>
          <w:color w:val="auto"/>
          <w:kern w:val="0"/>
          <w:sz w:val="21"/>
          <w:szCs w:val="21"/>
          <w:highlight w:val="none"/>
          <w:lang w:val="en-US" w:eastAsia="zh-CN" w:bidi="ar"/>
        </w:rPr>
        <w:t>具备CISO证书</w:t>
      </w:r>
      <w:r>
        <w:rPr>
          <w:rFonts w:hint="eastAsia" w:hAnsi="宋体" w:cs="宋体"/>
          <w:szCs w:val="21"/>
          <w:highlight w:val="none"/>
          <w:lang w:val="en-US" w:eastAsia="zh-CN"/>
        </w:rPr>
        <w:t>不少于</w:t>
      </w:r>
      <w:r>
        <w:rPr>
          <w:rFonts w:hint="eastAsia" w:ascii="宋体" w:hAnsi="宋体" w:eastAsia="宋体" w:cs="宋体"/>
          <w:color w:val="auto"/>
          <w:kern w:val="0"/>
          <w:sz w:val="21"/>
          <w:szCs w:val="21"/>
          <w:highlight w:val="none"/>
          <w:lang w:val="en-US" w:eastAsia="zh-CN" w:bidi="ar"/>
        </w:rPr>
        <w:t>1人</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施工人员不少于13人</w:t>
      </w:r>
      <w:r>
        <w:rPr>
          <w:rFonts w:hint="eastAsia" w:ascii="宋体" w:hAnsi="宋体" w:cs="宋体"/>
          <w:szCs w:val="21"/>
          <w:highlight w:val="none"/>
        </w:rPr>
        <w:t>；</w:t>
      </w:r>
    </w:p>
    <w:p w14:paraId="66DD99A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Ansi="宋体" w:eastAsia="宋体" w:cs="宋体"/>
          <w:bCs/>
          <w:color w:val="000000" w:themeColor="text1"/>
          <w:szCs w:val="21"/>
          <w:highlight w:val="none"/>
          <w14:textFill>
            <w14:solidFill>
              <w14:schemeClr w14:val="tx1"/>
            </w14:solidFill>
          </w14:textFill>
        </w:rPr>
      </w:pPr>
      <w:r>
        <w:rPr>
          <w:rFonts w:hint="eastAsia" w:ascii="宋体" w:hAnsi="宋体" w:eastAsia="宋体" w:cs="Courier New"/>
          <w:kern w:val="2"/>
          <w:sz w:val="21"/>
          <w:lang w:val="en-US" w:eastAsia="zh-CN"/>
        </w:rPr>
        <w:t>四</w:t>
      </w:r>
      <w:r>
        <w:rPr>
          <w:rFonts w:hint="eastAsia" w:ascii="宋体" w:hAnsi="宋体" w:eastAsia="宋体" w:cs="Courier New"/>
          <w:kern w:val="2"/>
          <w:sz w:val="21"/>
        </w:rPr>
        <w:t>档（</w:t>
      </w:r>
      <w:r>
        <w:rPr>
          <w:rFonts w:hint="eastAsia" w:hAnsi="宋体" w:cs="Courier New"/>
          <w:kern w:val="2"/>
          <w:sz w:val="21"/>
          <w:lang w:val="en-US" w:eastAsia="zh-CN"/>
        </w:rPr>
        <w:t>18</w:t>
      </w:r>
      <w:r>
        <w:rPr>
          <w:rFonts w:hint="eastAsia" w:ascii="宋体" w:hAnsi="宋体" w:eastAsia="宋体" w:cs="Courier New"/>
          <w:kern w:val="2"/>
          <w:sz w:val="21"/>
        </w:rPr>
        <w:t>分）：</w:t>
      </w:r>
      <w:r>
        <w:rPr>
          <w:rFonts w:hint="eastAsia" w:hAnsi="宋体" w:cs="宋体"/>
          <w:b w:val="0"/>
          <w:bCs w:val="0"/>
          <w:szCs w:val="21"/>
          <w:highlight w:val="none"/>
          <w:lang w:val="en-US" w:eastAsia="zh-CN"/>
        </w:rPr>
        <w:t>技术及实施方案</w:t>
      </w:r>
      <w:r>
        <w:rPr>
          <w:rFonts w:hint="eastAsia" w:ascii="宋体" w:hAnsi="宋体" w:eastAsia="宋体" w:cs="Courier New"/>
          <w:kern w:val="2"/>
          <w:sz w:val="21"/>
        </w:rPr>
        <w:t>对教育城域网建设项目总体有理解全面、分析透彻、建设思路清晰、整体架构完整、技术架构合理；设备性能满足要求</w:t>
      </w:r>
      <w:r>
        <w:rPr>
          <w:rFonts w:hint="eastAsia" w:hAnsi="宋体" w:cs="Courier New"/>
          <w:color w:val="auto"/>
          <w:kern w:val="2"/>
          <w:sz w:val="21"/>
          <w:lang w:val="en-US" w:eastAsia="zh-CN"/>
        </w:rPr>
        <w:t>且综合性能优异</w:t>
      </w:r>
      <w:r>
        <w:rPr>
          <w:rFonts w:hint="eastAsia" w:ascii="宋体" w:hAnsi="宋体" w:eastAsia="宋体" w:cs="Courier New"/>
          <w:kern w:val="2"/>
          <w:sz w:val="21"/>
        </w:rPr>
        <w:t>；能根据用户需求进行方案建议规划，表达清晰、说明明确，论述准确，能准确阐述需求分析和建设思路，各子项目系统设计详细可行，并有详细的系统功能设计和功能描述，总体方案符合客户实际需求；设备性能完全满足招标文件要求；方案具有整体性，网络安全系统建设采用同构建设模式，保障系统稳定可靠。方案体现整体性、安全性、可靠性、可扩展性，符合广西教育厅颁布教育城域网建设标准要求。并提供符合本项目现状及需求的网络</w:t>
      </w:r>
      <w:r>
        <w:rPr>
          <w:rFonts w:hint="eastAsia" w:ascii="宋体" w:hAnsi="宋体" w:eastAsia="宋体" w:cs="Courier New"/>
          <w:kern w:val="2"/>
          <w:sz w:val="21"/>
          <w:lang w:val="en-US" w:eastAsia="zh-CN"/>
        </w:rPr>
        <w:t>规划</w:t>
      </w:r>
      <w:r>
        <w:rPr>
          <w:rFonts w:hint="eastAsia" w:ascii="宋体" w:hAnsi="宋体" w:eastAsia="宋体" w:cs="Courier New"/>
          <w:kern w:val="2"/>
          <w:sz w:val="21"/>
        </w:rPr>
        <w:t>方案，包含组网规划、IP 地址规划等。</w:t>
      </w:r>
      <w:r>
        <w:rPr>
          <w:rFonts w:hint="eastAsia" w:ascii="宋体" w:hAnsi="宋体" w:cs="宋体"/>
          <w:szCs w:val="21"/>
          <w:highlight w:val="none"/>
        </w:rPr>
        <w:t>拟为本项目成立项目</w:t>
      </w:r>
      <w:r>
        <w:rPr>
          <w:rFonts w:hint="eastAsia" w:ascii="宋体" w:hAnsi="宋体" w:cs="宋体"/>
          <w:szCs w:val="21"/>
          <w:highlight w:val="none"/>
          <w:lang w:val="en-US" w:eastAsia="zh-CN"/>
        </w:rPr>
        <w:t>实施团队</w:t>
      </w:r>
      <w:r>
        <w:rPr>
          <w:rFonts w:hint="eastAsia" w:ascii="宋体" w:hAnsi="宋体" w:cs="宋体"/>
          <w:szCs w:val="21"/>
          <w:highlight w:val="none"/>
        </w:rPr>
        <w:t>，拟制定</w:t>
      </w:r>
      <w:r>
        <w:rPr>
          <w:rFonts w:hint="eastAsia" w:ascii="宋体" w:hAnsi="宋体" w:cs="宋体"/>
          <w:szCs w:val="21"/>
          <w:highlight w:val="none"/>
          <w:lang w:val="en-US" w:eastAsia="zh-CN"/>
        </w:rPr>
        <w:t>实施团队</w:t>
      </w:r>
      <w:r>
        <w:rPr>
          <w:rFonts w:hint="eastAsia" w:ascii="宋体" w:hAnsi="宋体" w:cs="宋体"/>
          <w:szCs w:val="21"/>
          <w:highlight w:val="none"/>
        </w:rPr>
        <w:t>管理的相关规章制度符合本项目特点，</w:t>
      </w:r>
      <w:r>
        <w:rPr>
          <w:rFonts w:hint="eastAsia" w:ascii="宋体" w:hAnsi="宋体" w:cs="宋体"/>
          <w:szCs w:val="21"/>
          <w:highlight w:val="none"/>
          <w:lang w:val="en-US" w:eastAsia="zh-CN"/>
        </w:rPr>
        <w:t>制定的人员</w:t>
      </w:r>
      <w:r>
        <w:rPr>
          <w:rFonts w:hint="eastAsia" w:ascii="宋体" w:hAnsi="宋体" w:cs="宋体"/>
          <w:szCs w:val="21"/>
          <w:highlight w:val="none"/>
        </w:rPr>
        <w:t>配备计划合理</w:t>
      </w:r>
      <w:r>
        <w:rPr>
          <w:rFonts w:hint="eastAsia" w:ascii="宋体" w:hAnsi="宋体" w:cs="宋体"/>
          <w:szCs w:val="21"/>
          <w:highlight w:val="none"/>
          <w:lang w:eastAsia="zh-CN"/>
        </w:rPr>
        <w:t>，</w:t>
      </w:r>
      <w:r>
        <w:rPr>
          <w:rFonts w:hint="eastAsia" w:ascii="宋体" w:hAnsi="宋体" w:cs="宋体"/>
          <w:szCs w:val="21"/>
          <w:highlight w:val="none"/>
        </w:rPr>
        <w:t>制定的</w:t>
      </w:r>
      <w:r>
        <w:rPr>
          <w:rFonts w:hint="eastAsia" w:ascii="宋体" w:hAnsi="宋体" w:cs="宋体"/>
          <w:szCs w:val="21"/>
          <w:highlight w:val="none"/>
          <w:lang w:val="en-US" w:eastAsia="zh-CN"/>
        </w:rPr>
        <w:t>人员</w:t>
      </w:r>
      <w:r>
        <w:rPr>
          <w:rFonts w:hint="eastAsia" w:ascii="宋体" w:hAnsi="宋体" w:cs="宋体"/>
          <w:szCs w:val="21"/>
          <w:highlight w:val="none"/>
        </w:rPr>
        <w:t>管理流程可行，制定的</w:t>
      </w:r>
      <w:r>
        <w:rPr>
          <w:rFonts w:hint="eastAsia" w:ascii="宋体" w:hAnsi="宋体" w:cs="宋体"/>
          <w:szCs w:val="21"/>
          <w:highlight w:val="none"/>
          <w:lang w:val="en-US" w:eastAsia="zh-CN"/>
        </w:rPr>
        <w:t>人员</w:t>
      </w:r>
      <w:r>
        <w:rPr>
          <w:rFonts w:hint="eastAsia" w:ascii="宋体" w:hAnsi="宋体" w:cs="宋体"/>
          <w:szCs w:val="21"/>
          <w:highlight w:val="none"/>
        </w:rPr>
        <w:t>管理制度有助于提高项目实施效率</w:t>
      </w:r>
      <w:r>
        <w:rPr>
          <w:rFonts w:hint="eastAsia" w:ascii="宋体" w:hAnsi="宋体" w:cs="宋体"/>
          <w:szCs w:val="21"/>
          <w:highlight w:val="none"/>
          <w:lang w:eastAsia="zh-CN"/>
        </w:rPr>
        <w:t>。</w:t>
      </w:r>
      <w:r>
        <w:rPr>
          <w:rFonts w:hint="eastAsia" w:ascii="宋体" w:hAnsi="宋体" w:eastAsia="宋体" w:cs="宋体"/>
          <w:szCs w:val="21"/>
          <w:highlight w:val="none"/>
        </w:rPr>
        <w:t>拟投入项目实施团队不少于</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人，</w:t>
      </w:r>
      <w:r>
        <w:rPr>
          <w:rFonts w:hint="eastAsia" w:ascii="宋体" w:hAnsi="宋体" w:eastAsia="宋体" w:cs="宋体"/>
          <w:szCs w:val="21"/>
          <w:highlight w:val="none"/>
          <w:lang w:val="en-US" w:eastAsia="zh-CN"/>
        </w:rPr>
        <w:t>其中</w:t>
      </w:r>
      <w:r>
        <w:rPr>
          <w:rFonts w:hint="eastAsia" w:ascii="宋体" w:hAnsi="宋体" w:eastAsia="宋体" w:cs="宋体"/>
          <w:szCs w:val="21"/>
          <w:highlight w:val="none"/>
        </w:rPr>
        <w:t>项目经理和技术负责人</w:t>
      </w:r>
      <w:r>
        <w:rPr>
          <w:rFonts w:hint="eastAsia" w:ascii="宋体" w:hAnsi="宋体" w:eastAsia="宋体" w:cs="宋体"/>
          <w:szCs w:val="21"/>
          <w:highlight w:val="none"/>
          <w:lang w:val="en-US" w:eastAsia="zh-CN"/>
        </w:rPr>
        <w:t>各1人，</w:t>
      </w:r>
      <w:r>
        <w:rPr>
          <w:rFonts w:hint="eastAsia" w:ascii="宋体" w:hAnsi="宋体" w:eastAsia="宋体" w:cs="宋体"/>
          <w:szCs w:val="21"/>
          <w:highlight w:val="none"/>
        </w:rPr>
        <w:t>实施工程师</w:t>
      </w:r>
      <w:r>
        <w:rPr>
          <w:rFonts w:hint="eastAsia" w:ascii="宋体" w:hAnsi="宋体" w:eastAsia="宋体" w:cs="宋体"/>
          <w:szCs w:val="21"/>
          <w:highlight w:val="none"/>
          <w:lang w:val="en-US" w:eastAsia="zh-CN"/>
        </w:rPr>
        <w:t>不少于8</w:t>
      </w:r>
      <w:r>
        <w:rPr>
          <w:rFonts w:hint="eastAsia" w:ascii="宋体" w:hAnsi="宋体" w:eastAsia="宋体" w:cs="宋体"/>
          <w:szCs w:val="21"/>
          <w:highlight w:val="none"/>
        </w:rPr>
        <w:t>人（</w:t>
      </w:r>
      <w:r>
        <w:rPr>
          <w:rFonts w:hint="eastAsia" w:ascii="宋体" w:hAnsi="宋体" w:eastAsia="宋体" w:cs="宋体"/>
          <w:color w:val="auto"/>
          <w:kern w:val="0"/>
          <w:sz w:val="21"/>
          <w:szCs w:val="21"/>
          <w:highlight w:val="none"/>
          <w:lang w:val="en-US" w:eastAsia="zh-CN" w:bidi="ar"/>
        </w:rPr>
        <w:t>其中具备信息系统项目管理师证书</w:t>
      </w:r>
      <w:r>
        <w:rPr>
          <w:rFonts w:hint="eastAsia" w:ascii="宋体" w:hAnsi="宋体" w:eastAsia="宋体" w:cs="宋体"/>
          <w:szCs w:val="21"/>
          <w:highlight w:val="none"/>
          <w:lang w:val="en-US" w:eastAsia="zh-CN"/>
        </w:rPr>
        <w:t>不少于</w:t>
      </w:r>
      <w:r>
        <w:rPr>
          <w:rFonts w:hint="eastAsia" w:ascii="宋体" w:hAnsi="宋体" w:eastAsia="宋体" w:cs="宋体"/>
          <w:color w:val="auto"/>
          <w:kern w:val="0"/>
          <w:sz w:val="21"/>
          <w:szCs w:val="21"/>
          <w:highlight w:val="none"/>
          <w:lang w:val="en-US" w:eastAsia="zh-CN" w:bidi="ar"/>
        </w:rPr>
        <w:t>3人、具备网络工程师证书</w:t>
      </w:r>
      <w:r>
        <w:rPr>
          <w:rFonts w:hint="eastAsia" w:ascii="宋体" w:hAnsi="宋体" w:eastAsia="宋体" w:cs="宋体"/>
          <w:szCs w:val="21"/>
          <w:highlight w:val="none"/>
          <w:lang w:val="en-US" w:eastAsia="zh-CN"/>
        </w:rPr>
        <w:t>不少于</w:t>
      </w:r>
      <w:r>
        <w:rPr>
          <w:rFonts w:hint="eastAsia" w:ascii="宋体" w:hAnsi="宋体" w:eastAsia="宋体" w:cs="宋体"/>
          <w:color w:val="auto"/>
          <w:kern w:val="0"/>
          <w:sz w:val="21"/>
          <w:szCs w:val="21"/>
          <w:highlight w:val="none"/>
          <w:lang w:val="en-US" w:eastAsia="zh-CN" w:bidi="ar"/>
        </w:rPr>
        <w:t>4人、具备CISO证书</w:t>
      </w:r>
      <w:r>
        <w:rPr>
          <w:rFonts w:hint="eastAsia" w:ascii="宋体" w:hAnsi="宋体" w:eastAsia="宋体" w:cs="宋体"/>
          <w:szCs w:val="21"/>
          <w:highlight w:val="none"/>
          <w:lang w:val="en-US" w:eastAsia="zh-CN"/>
        </w:rPr>
        <w:t>不少于</w:t>
      </w:r>
      <w:r>
        <w:rPr>
          <w:rFonts w:hint="eastAsia" w:ascii="宋体" w:hAnsi="宋体" w:eastAsia="宋体" w:cs="宋体"/>
          <w:color w:val="auto"/>
          <w:kern w:val="0"/>
          <w:sz w:val="21"/>
          <w:szCs w:val="21"/>
          <w:highlight w:val="none"/>
          <w:lang w:val="en-US" w:eastAsia="zh-CN" w:bidi="ar"/>
        </w:rPr>
        <w:t>1人</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施工人</w:t>
      </w:r>
      <w:r>
        <w:rPr>
          <w:rFonts w:hint="eastAsia" w:ascii="宋体" w:hAnsi="宋体" w:cs="宋体"/>
          <w:szCs w:val="21"/>
          <w:highlight w:val="none"/>
          <w:lang w:val="en-US" w:eastAsia="zh-CN"/>
        </w:rPr>
        <w:t>员不少于19人；</w:t>
      </w:r>
    </w:p>
    <w:p w14:paraId="6DE0937F">
      <w:pPr>
        <w:spacing w:line="360" w:lineRule="auto"/>
        <w:ind w:firstLine="420" w:firstLineChars="200"/>
        <w:jc w:val="left"/>
        <w:rPr>
          <w:rFonts w:ascii="宋体" w:hAnsi="宋体" w:cs="宋体"/>
          <w:b/>
          <w:bCs/>
        </w:rPr>
      </w:pPr>
      <w:r>
        <w:rPr>
          <w:rFonts w:hint="eastAsia" w:ascii="宋体" w:hAnsi="宋体" w:cs="宋体"/>
          <w:b w:val="0"/>
          <w:bCs w:val="0"/>
        </w:rPr>
        <w:t>（</w:t>
      </w:r>
      <w:r>
        <w:rPr>
          <w:rFonts w:hint="eastAsia" w:ascii="宋体" w:hAnsi="宋体" w:cs="宋体"/>
          <w:b w:val="0"/>
          <w:bCs w:val="0"/>
          <w:lang w:val="en-US" w:eastAsia="zh-CN"/>
        </w:rPr>
        <w:t>2</w:t>
      </w:r>
      <w:r>
        <w:rPr>
          <w:rFonts w:hint="eastAsia" w:ascii="宋体" w:hAnsi="宋体" w:cs="宋体"/>
          <w:b w:val="0"/>
          <w:bCs w:val="0"/>
        </w:rPr>
        <w:t>）信誉分（</w:t>
      </w:r>
      <w:r>
        <w:rPr>
          <w:rFonts w:hint="eastAsia" w:ascii="宋体" w:hAnsi="宋体" w:cs="宋体"/>
          <w:b w:val="0"/>
          <w:bCs w:val="0"/>
          <w:lang w:val="en-US" w:eastAsia="zh-CN"/>
        </w:rPr>
        <w:t>6</w:t>
      </w:r>
      <w:r>
        <w:rPr>
          <w:rFonts w:hint="eastAsia" w:ascii="宋体" w:hAnsi="宋体" w:cs="宋体"/>
          <w:b w:val="0"/>
          <w:bCs w:val="0"/>
        </w:rPr>
        <w:t>分）</w:t>
      </w:r>
    </w:p>
    <w:p w14:paraId="5604631A">
      <w:pPr>
        <w:pStyle w:val="12"/>
        <w:spacing w:line="360" w:lineRule="exact"/>
        <w:ind w:firstLine="420" w:firstLineChars="200"/>
        <w:rPr>
          <w:rFonts w:hint="eastAsia" w:ascii="宋体" w:hAnsi="宋体" w:eastAsia="宋体" w:cs="Courier New"/>
          <w:kern w:val="2"/>
          <w:sz w:val="21"/>
          <w:lang w:val="en-US" w:eastAsia="zh-CN"/>
        </w:rPr>
      </w:pPr>
      <w:r>
        <w:rPr>
          <w:rFonts w:hint="eastAsia" w:ascii="宋体" w:hAnsi="宋体" w:eastAsia="宋体" w:cs="Courier New"/>
          <w:kern w:val="2"/>
          <w:sz w:val="21"/>
          <w:lang w:val="en-US" w:eastAsia="zh-CN"/>
        </w:rPr>
        <w:t>1）</w:t>
      </w: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或</w:t>
      </w: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上级单位（直接管理关系或法人关系）具有质量管理体系认证证书（ISO9001）、职业健康安全管理体系认证（ISO45001）、环境管理体系认证（ISO14001），证书通过认证的范围涵盖基础和增值电信业务的，每提供1个得1分，满分3分。</w:t>
      </w:r>
      <w:r>
        <w:rPr>
          <w:rFonts w:hint="eastAsia" w:ascii="宋体" w:hAnsi="宋体" w:eastAsia="宋体" w:cs="宋体"/>
          <w:sz w:val="21"/>
          <w:szCs w:val="21"/>
        </w:rPr>
        <w:t>（须提供</w:t>
      </w:r>
      <w:r>
        <w:rPr>
          <w:rFonts w:hint="eastAsia" w:ascii="宋体" w:hAnsi="宋体" w:eastAsia="宋体" w:cs="宋体"/>
          <w:sz w:val="21"/>
          <w:szCs w:val="21"/>
          <w:lang w:eastAsia="zh-CN"/>
        </w:rPr>
        <w:t>有效期内的</w:t>
      </w:r>
      <w:r>
        <w:rPr>
          <w:rFonts w:hint="eastAsia" w:ascii="宋体" w:hAnsi="宋体" w:eastAsia="宋体" w:cs="宋体"/>
          <w:sz w:val="21"/>
          <w:szCs w:val="21"/>
        </w:rPr>
        <w:t>证明材料扫描件并加盖投标人CA章，否则不得分）</w:t>
      </w:r>
    </w:p>
    <w:p w14:paraId="696B8FA7">
      <w:pPr>
        <w:pStyle w:val="12"/>
        <w:spacing w:line="360" w:lineRule="exact"/>
        <w:ind w:firstLine="420" w:firstLineChars="200"/>
        <w:rPr>
          <w:rFonts w:hint="eastAsia" w:ascii="宋体" w:hAnsi="宋体" w:eastAsia="宋体" w:cs="Courier New"/>
          <w:kern w:val="2"/>
          <w:sz w:val="21"/>
          <w:lang w:val="en-US" w:eastAsia="zh-CN"/>
        </w:rPr>
      </w:pPr>
      <w:r>
        <w:rPr>
          <w:rFonts w:hint="eastAsia" w:ascii="宋体" w:hAnsi="宋体" w:eastAsia="宋体" w:cs="Courier New"/>
          <w:kern w:val="2"/>
          <w:sz w:val="21"/>
          <w:lang w:val="en-US" w:eastAsia="zh-CN"/>
        </w:rPr>
        <w:t>2）</w:t>
      </w: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或</w:t>
      </w: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上级单位（直接管理关系或法人关系）具有GB/T24353-2022/IS031000:2018风险管理体系评价证书，得3分。</w:t>
      </w:r>
      <w:r>
        <w:rPr>
          <w:rFonts w:hint="eastAsia" w:ascii="宋体" w:hAnsi="宋体" w:eastAsia="宋体" w:cs="宋体"/>
          <w:sz w:val="21"/>
          <w:szCs w:val="21"/>
        </w:rPr>
        <w:t>（须提供</w:t>
      </w:r>
      <w:r>
        <w:rPr>
          <w:rFonts w:hint="eastAsia" w:ascii="宋体" w:hAnsi="宋体" w:eastAsia="宋体" w:cs="宋体"/>
          <w:sz w:val="21"/>
          <w:szCs w:val="21"/>
          <w:lang w:eastAsia="zh-CN"/>
        </w:rPr>
        <w:t>有效期内的</w:t>
      </w:r>
      <w:r>
        <w:rPr>
          <w:rFonts w:hint="eastAsia" w:ascii="宋体" w:hAnsi="宋体" w:eastAsia="宋体" w:cs="宋体"/>
          <w:sz w:val="21"/>
          <w:szCs w:val="21"/>
        </w:rPr>
        <w:t>证明材料扫描件并加盖投标人CA章，否则不得分）</w:t>
      </w:r>
    </w:p>
    <w:p w14:paraId="5AFBB545">
      <w:pPr>
        <w:spacing w:line="360" w:lineRule="auto"/>
        <w:ind w:firstLine="420" w:firstLineChars="200"/>
        <w:jc w:val="left"/>
        <w:rPr>
          <w:rFonts w:hint="eastAsia" w:ascii="宋体" w:hAnsi="宋体" w:eastAsia="宋体" w:cs="宋体"/>
          <w:b w:val="0"/>
          <w:bCs w:val="0"/>
          <w:szCs w:val="21"/>
          <w:lang w:eastAsia="zh-CN"/>
        </w:rPr>
      </w:pPr>
      <w:r>
        <w:rPr>
          <w:rFonts w:hint="eastAsia" w:ascii="宋体" w:hAnsi="宋体" w:cs="宋体"/>
          <w:b w:val="0"/>
          <w:bCs w:val="0"/>
          <w:szCs w:val="21"/>
          <w:lang w:val="en-US" w:eastAsia="zh-CN"/>
        </w:rPr>
        <w:t>（3）</w:t>
      </w:r>
      <w:r>
        <w:rPr>
          <w:rFonts w:ascii="宋体" w:hAnsi="宋体" w:cs="宋体"/>
          <w:b w:val="0"/>
          <w:bCs w:val="0"/>
          <w:szCs w:val="21"/>
        </w:rPr>
        <w:t>业绩分</w:t>
      </w:r>
      <w:r>
        <w:rPr>
          <w:rFonts w:hint="eastAsia" w:ascii="宋体" w:hAnsi="宋体" w:cs="宋体"/>
          <w:b w:val="0"/>
          <w:bCs w:val="0"/>
          <w:szCs w:val="21"/>
          <w:lang w:eastAsia="zh-CN"/>
        </w:rPr>
        <w:t>（</w:t>
      </w:r>
      <w:r>
        <w:rPr>
          <w:rFonts w:hint="eastAsia" w:ascii="宋体" w:hAnsi="宋体" w:cs="宋体"/>
          <w:b w:val="0"/>
          <w:bCs w:val="0"/>
          <w:szCs w:val="21"/>
          <w:lang w:val="en-US" w:eastAsia="zh-CN"/>
        </w:rPr>
        <w:t>6分</w:t>
      </w:r>
      <w:r>
        <w:rPr>
          <w:rFonts w:hint="eastAsia" w:ascii="宋体" w:hAnsi="宋体" w:cs="宋体"/>
          <w:b w:val="0"/>
          <w:bCs w:val="0"/>
          <w:szCs w:val="21"/>
          <w:lang w:eastAsia="zh-CN"/>
        </w:rPr>
        <w:t>）</w:t>
      </w:r>
    </w:p>
    <w:p w14:paraId="5D3E07FC">
      <w:pPr>
        <w:pStyle w:val="12"/>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szCs w:val="21"/>
        </w:rPr>
      </w:pP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或</w:t>
      </w:r>
      <w:r>
        <w:rPr>
          <w:rFonts w:hint="eastAsia" w:hAnsi="宋体" w:cs="Courier New"/>
          <w:kern w:val="2"/>
          <w:sz w:val="21"/>
          <w:lang w:val="en-US" w:eastAsia="zh-CN"/>
        </w:rPr>
        <w:t>供应商</w:t>
      </w:r>
      <w:r>
        <w:rPr>
          <w:rFonts w:hint="eastAsia" w:ascii="宋体" w:hAnsi="宋体" w:eastAsia="宋体" w:cs="Courier New"/>
          <w:kern w:val="2"/>
          <w:sz w:val="21"/>
          <w:lang w:val="en-US" w:eastAsia="zh-CN"/>
        </w:rPr>
        <w:t>上级单位（直接管理关系或法人关系） 2022年 1 月 1 日至响应文件提交截止时间止，具有同类项目的业绩</w:t>
      </w:r>
      <w:r>
        <w:rPr>
          <w:rFonts w:hint="eastAsia" w:ascii="宋体" w:hAnsi="宋体" w:cs="宋体"/>
          <w:color w:val="auto"/>
          <w:highlight w:val="none"/>
        </w:rPr>
        <w:t xml:space="preserve"> [无不良记录，</w:t>
      </w:r>
      <w:r>
        <w:rPr>
          <w:rFonts w:hint="eastAsia" w:ascii="宋体" w:hAnsi="宋体" w:cs="宋体"/>
          <w:szCs w:val="21"/>
        </w:rPr>
        <w:t>以中标、成交通知书或</w:t>
      </w:r>
      <w:r>
        <w:rPr>
          <w:rFonts w:hint="eastAsia" w:hAnsi="宋体" w:cs="宋体"/>
          <w:color w:val="auto"/>
          <w:highlight w:val="none"/>
          <w:lang w:eastAsia="zh-CN"/>
        </w:rPr>
        <w:t>签订的</w:t>
      </w:r>
      <w:r>
        <w:rPr>
          <w:rFonts w:hint="eastAsia" w:ascii="宋体" w:hAnsi="宋体" w:cs="宋体"/>
          <w:color w:val="auto"/>
          <w:highlight w:val="none"/>
        </w:rPr>
        <w:t>采购合同</w:t>
      </w:r>
      <w:r>
        <w:rPr>
          <w:rFonts w:hint="eastAsia" w:ascii="宋体" w:hAnsi="宋体" w:eastAsia="宋体" w:cs="宋体"/>
          <w:color w:val="auto"/>
          <w:highlight w:val="none"/>
          <w:lang w:val="en-US" w:eastAsia="zh-CN"/>
        </w:rPr>
        <w:t>彩色扫描件</w:t>
      </w:r>
      <w:r>
        <w:rPr>
          <w:rFonts w:hint="eastAsia" w:ascii="宋体" w:hAnsi="宋体" w:cs="宋体"/>
          <w:color w:val="auto"/>
          <w:highlight w:val="none"/>
        </w:rPr>
        <w:t>为准，否则将不予计分；同一个编号的项目有两个或两个以上的分标中标的只算一次]，每提供一项得</w:t>
      </w:r>
      <w:r>
        <w:rPr>
          <w:rFonts w:hint="eastAsia" w:hAnsi="宋体" w:cs="宋体"/>
          <w:color w:val="auto"/>
          <w:highlight w:val="none"/>
          <w:lang w:val="en-US" w:eastAsia="zh-CN"/>
        </w:rPr>
        <w:t>1</w:t>
      </w:r>
      <w:r>
        <w:rPr>
          <w:rFonts w:hint="eastAsia" w:ascii="宋体" w:hAnsi="宋体" w:cs="宋体"/>
          <w:color w:val="auto"/>
          <w:highlight w:val="none"/>
        </w:rPr>
        <w:t>分，</w:t>
      </w:r>
      <w:r>
        <w:rPr>
          <w:rFonts w:hint="eastAsia" w:ascii="宋体" w:hAnsi="宋体" w:eastAsia="宋体" w:cs="Courier New"/>
          <w:kern w:val="2"/>
          <w:sz w:val="21"/>
          <w:lang w:val="en-US" w:eastAsia="zh-CN"/>
        </w:rPr>
        <w:t>每个得 1分。满分6分。</w:t>
      </w:r>
    </w:p>
    <w:p w14:paraId="04298CFF">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szCs w:val="21"/>
        </w:rPr>
        <w:t>4、</w:t>
      </w:r>
      <w:r>
        <w:rPr>
          <w:rFonts w:hint="eastAsia" w:ascii="宋体" w:hAnsi="宋体" w:cs="宋体"/>
          <w:b/>
          <w:szCs w:val="21"/>
          <w:lang w:eastAsia="zh-CN"/>
        </w:rPr>
        <w:t>运维</w:t>
      </w:r>
      <w:r>
        <w:rPr>
          <w:rFonts w:hint="eastAsia" w:ascii="宋体" w:hAnsi="宋体" w:eastAsia="宋体" w:cs="宋体"/>
          <w:b/>
          <w:szCs w:val="21"/>
        </w:rPr>
        <w:t>服务分……………………………………………………………………………………………</w:t>
      </w:r>
      <w:r>
        <w:rPr>
          <w:rFonts w:hint="eastAsia" w:ascii="宋体" w:hAnsi="宋体" w:eastAsia="宋体" w:cs="宋体"/>
          <w:b/>
          <w:bCs/>
          <w:szCs w:val="21"/>
        </w:rPr>
        <w:t>满分</w:t>
      </w:r>
      <w:r>
        <w:rPr>
          <w:rFonts w:hint="eastAsia" w:ascii="宋体" w:hAnsi="宋体" w:cs="宋体"/>
          <w:b/>
          <w:color w:val="auto"/>
          <w:szCs w:val="21"/>
          <w:highlight w:val="none"/>
          <w:lang w:val="en-US" w:eastAsia="zh-CN"/>
        </w:rPr>
        <w:t>20</w:t>
      </w:r>
      <w:r>
        <w:rPr>
          <w:rFonts w:hint="eastAsia" w:ascii="宋体" w:hAnsi="宋体" w:eastAsia="宋体" w:cs="宋体"/>
          <w:b/>
          <w:color w:val="auto"/>
          <w:szCs w:val="21"/>
          <w:highlight w:val="none"/>
        </w:rPr>
        <w:t>分</w:t>
      </w:r>
    </w:p>
    <w:p w14:paraId="20DFA20B">
      <w:pPr>
        <w:spacing w:line="360" w:lineRule="auto"/>
        <w:ind w:firstLine="420" w:firstLineChars="200"/>
        <w:rPr>
          <w:rFonts w:ascii="宋体" w:hAnsi="宋体" w:cs="宋体"/>
          <w:color w:val="000000"/>
          <w:szCs w:val="21"/>
        </w:rPr>
      </w:pPr>
      <w:r>
        <w:rPr>
          <w:rFonts w:hint="eastAsia" w:ascii="宋体" w:hAnsi="宋体" w:cs="宋体"/>
          <w:color w:val="000000"/>
          <w:szCs w:val="21"/>
        </w:rPr>
        <w:t>（1）服务方案</w:t>
      </w:r>
      <w:r>
        <w:rPr>
          <w:rFonts w:hint="eastAsia" w:ascii="宋体" w:hAnsi="宋体" w:cs="宋体"/>
          <w:color w:val="000000"/>
          <w:szCs w:val="21"/>
          <w:lang w:eastAsia="zh-CN"/>
        </w:rPr>
        <w:t>分（满分</w:t>
      </w:r>
      <w:r>
        <w:rPr>
          <w:rFonts w:hint="eastAsia" w:ascii="宋体" w:hAnsi="宋体" w:cs="宋体"/>
          <w:color w:val="000000"/>
          <w:szCs w:val="21"/>
          <w:lang w:val="en-US" w:eastAsia="zh-CN"/>
        </w:rPr>
        <w:t>20分</w:t>
      </w:r>
      <w:r>
        <w:rPr>
          <w:rFonts w:hint="eastAsia" w:ascii="宋体" w:hAnsi="宋体" w:cs="宋体"/>
          <w:color w:val="000000"/>
          <w:szCs w:val="21"/>
          <w:lang w:eastAsia="zh-CN"/>
        </w:rPr>
        <w:t>）</w:t>
      </w:r>
      <w:r>
        <w:rPr>
          <w:rFonts w:hint="eastAsia" w:ascii="宋体" w:hAnsi="宋体" w:cs="宋体"/>
          <w:color w:val="000000"/>
          <w:szCs w:val="21"/>
        </w:rPr>
        <w:t>。</w:t>
      </w:r>
    </w:p>
    <w:p w14:paraId="5750ACF4">
      <w:pPr>
        <w:pStyle w:val="10"/>
        <w:ind w:firstLine="420" w:firstLineChars="200"/>
        <w:rPr>
          <w:rFonts w:hint="eastAsia" w:ascii="宋体" w:hAnsi="宋体" w:eastAsia="宋体" w:cs="宋体"/>
        </w:rPr>
      </w:pPr>
      <w:r>
        <w:rPr>
          <w:rFonts w:hint="eastAsia" w:ascii="宋体" w:hAnsi="宋体" w:eastAsia="宋体" w:cs="宋体"/>
          <w:bCs/>
          <w:color w:val="000000" w:themeColor="text1"/>
          <w:szCs w:val="21"/>
          <w:highlight w:val="none"/>
          <w14:textFill>
            <w14:solidFill>
              <w14:schemeClr w14:val="tx1"/>
            </w14:solidFill>
          </w14:textFill>
        </w:rPr>
        <w:t>一档（</w:t>
      </w:r>
      <w:r>
        <w:rPr>
          <w:rFonts w:hint="eastAsia" w:ascii="宋体" w:hAnsi="宋体" w:eastAsia="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分）：</w:t>
      </w:r>
      <w:r>
        <w:rPr>
          <w:rFonts w:hint="eastAsia" w:ascii="宋体" w:hAnsi="宋体" w:eastAsia="宋体" w:cs="宋体"/>
          <w:kern w:val="2"/>
          <w:sz w:val="21"/>
          <w:lang w:val="en-US" w:eastAsia="zh-CN"/>
        </w:rPr>
        <w:t>有</w:t>
      </w:r>
      <w:r>
        <w:rPr>
          <w:rFonts w:hint="eastAsia" w:ascii="宋体" w:hAnsi="宋体" w:eastAsia="宋体" w:cs="宋体"/>
          <w:kern w:val="2"/>
          <w:sz w:val="21"/>
        </w:rPr>
        <w:t>实施方案</w:t>
      </w:r>
      <w:r>
        <w:rPr>
          <w:rFonts w:hint="eastAsia" w:ascii="宋体" w:hAnsi="宋体" w:eastAsia="宋体" w:cs="宋体"/>
          <w:kern w:val="2"/>
          <w:sz w:val="21"/>
          <w:lang w:eastAsia="zh-CN"/>
        </w:rPr>
        <w:t>，</w:t>
      </w:r>
      <w:r>
        <w:rPr>
          <w:rFonts w:hint="eastAsia" w:ascii="宋体" w:hAnsi="宋体" w:eastAsia="宋体" w:cs="宋体"/>
          <w:kern w:val="2"/>
          <w:sz w:val="21"/>
          <w:lang w:val="en-US" w:eastAsia="zh-CN"/>
        </w:rPr>
        <w:t>但</w:t>
      </w:r>
      <w:r>
        <w:rPr>
          <w:rFonts w:hint="eastAsia" w:ascii="宋体" w:hAnsi="宋体" w:eastAsia="宋体" w:cs="宋体"/>
          <w:kern w:val="2"/>
          <w:sz w:val="21"/>
        </w:rPr>
        <w:t>方案重点内容不全或不突出，对项目需求分析不全面，针对本项目配备有实施团队、有组织措施及安排。满足采购文件</w:t>
      </w:r>
      <w:r>
        <w:rPr>
          <w:rFonts w:hint="eastAsia" w:ascii="宋体" w:hAnsi="宋体" w:eastAsia="宋体" w:cs="宋体"/>
          <w:szCs w:val="21"/>
        </w:rPr>
        <w:t>运维服务要求</w:t>
      </w:r>
      <w:r>
        <w:rPr>
          <w:rFonts w:hint="eastAsia" w:ascii="宋体" w:hAnsi="宋体" w:eastAsia="宋体" w:cs="宋体"/>
          <w:kern w:val="2"/>
          <w:sz w:val="21"/>
        </w:rPr>
        <w:t>，具备线路专业化日常维护及应急抢修队伍，拟投入的技术支持团队人员</w:t>
      </w:r>
      <w:r>
        <w:rPr>
          <w:rFonts w:hint="eastAsia" w:ascii="宋体" w:hAnsi="宋体" w:eastAsia="宋体" w:cs="宋体"/>
          <w:lang w:val="en-US" w:eastAsia="zh-CN"/>
        </w:rPr>
        <w:t>大于等于10人且小于15人</w:t>
      </w:r>
      <w:r>
        <w:rPr>
          <w:rFonts w:hint="eastAsia" w:ascii="宋体" w:hAnsi="宋体" w:eastAsia="宋体" w:cs="宋体"/>
          <w:color w:val="000000"/>
          <w:szCs w:val="21"/>
        </w:rPr>
        <w:t>。</w:t>
      </w:r>
    </w:p>
    <w:p w14:paraId="0C9F505F">
      <w:pPr>
        <w:spacing w:line="360" w:lineRule="auto"/>
        <w:ind w:firstLine="420" w:firstLineChars="200"/>
        <w:rPr>
          <w:rFonts w:ascii="宋体" w:hAnsi="宋体" w:cs="宋体"/>
          <w:color w:val="000000"/>
          <w:szCs w:val="21"/>
        </w:rPr>
      </w:pPr>
      <w:r>
        <w:rPr>
          <w:rFonts w:hint="eastAsia" w:ascii="宋体" w:hAnsi="宋体" w:eastAsia="宋体" w:cs="宋体"/>
          <w:color w:val="000000"/>
          <w:szCs w:val="21"/>
          <w:lang w:val="en-US" w:eastAsia="zh-CN"/>
        </w:rPr>
        <w:t>二</w:t>
      </w:r>
      <w:r>
        <w:rPr>
          <w:rFonts w:hint="eastAsia" w:ascii="宋体" w:hAnsi="宋体" w:eastAsia="宋体" w:cs="宋体"/>
          <w:color w:val="000000"/>
          <w:szCs w:val="21"/>
        </w:rPr>
        <w:t>档（</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r>
        <w:rPr>
          <w:rFonts w:hint="eastAsia" w:ascii="宋体" w:hAnsi="宋体" w:eastAsia="宋体" w:cs="宋体"/>
          <w:kern w:val="2"/>
          <w:sz w:val="21"/>
        </w:rPr>
        <w:t>实施方案整体构思含糊不明确，项目整体安排形式呆板。且方案重点内容不全或不突出，对项目需求分析不全面，针对本项目配备有实施团队、有组织措施及安排。满足采购文件</w:t>
      </w:r>
      <w:r>
        <w:rPr>
          <w:rFonts w:hint="eastAsia" w:ascii="宋体" w:hAnsi="宋体" w:eastAsia="宋体" w:cs="宋体"/>
          <w:kern w:val="2"/>
          <w:sz w:val="21"/>
          <w:lang w:val="en-US" w:eastAsia="zh-CN"/>
        </w:rPr>
        <w:t>运维</w:t>
      </w:r>
      <w:r>
        <w:rPr>
          <w:rFonts w:hint="eastAsia" w:ascii="宋体" w:hAnsi="宋体" w:eastAsia="宋体" w:cs="宋体"/>
          <w:kern w:val="2"/>
          <w:sz w:val="21"/>
        </w:rPr>
        <w:t>服务要求，具备线路专业化日常维护及应急抢修队伍，且</w:t>
      </w:r>
      <w:r>
        <w:rPr>
          <w:rFonts w:hint="eastAsia" w:ascii="宋体" w:hAnsi="宋体" w:eastAsia="宋体" w:cs="宋体"/>
          <w:kern w:val="2"/>
          <w:sz w:val="21"/>
          <w:lang w:eastAsia="zh-CN"/>
        </w:rPr>
        <w:t>运维</w:t>
      </w:r>
      <w:r>
        <w:rPr>
          <w:rFonts w:hint="eastAsia" w:ascii="宋体" w:hAnsi="宋体" w:eastAsia="宋体" w:cs="宋体"/>
          <w:kern w:val="2"/>
          <w:sz w:val="21"/>
        </w:rPr>
        <w:t>服务人员拥有丰富维护经验，拟投入的技术支持团队人员</w:t>
      </w:r>
      <w:r>
        <w:rPr>
          <w:rFonts w:hint="eastAsia" w:ascii="宋体" w:hAnsi="宋体" w:eastAsia="宋体" w:cs="宋体"/>
          <w:lang w:val="en-US" w:eastAsia="zh-CN"/>
        </w:rPr>
        <w:t>大于等于15人且小于20人</w:t>
      </w:r>
      <w:r>
        <w:rPr>
          <w:rFonts w:hint="eastAsia" w:ascii="宋体" w:hAnsi="宋体" w:eastAsia="宋体" w:cs="宋体"/>
          <w:color w:val="000000"/>
          <w:szCs w:val="21"/>
        </w:rPr>
        <w:t xml:space="preserve">。 </w:t>
      </w:r>
    </w:p>
    <w:p w14:paraId="6693B10A">
      <w:pPr>
        <w:pStyle w:val="12"/>
        <w:spacing w:line="360" w:lineRule="exact"/>
        <w:ind w:firstLine="420" w:firstLineChars="200"/>
        <w:rPr>
          <w:rFonts w:hint="eastAsia" w:ascii="宋体" w:hAnsi="宋体" w:eastAsia="宋体" w:cs="宋体"/>
          <w:kern w:val="2"/>
          <w:sz w:val="21"/>
          <w:lang w:eastAsia="zh-CN"/>
        </w:rPr>
      </w:pPr>
      <w:r>
        <w:rPr>
          <w:rFonts w:hint="eastAsia" w:hAnsi="宋体" w:cs="宋体"/>
          <w:color w:val="000000"/>
          <w:szCs w:val="21"/>
          <w:lang w:val="en-US" w:eastAsia="zh-CN"/>
        </w:rPr>
        <w:t>三</w:t>
      </w:r>
      <w:r>
        <w:rPr>
          <w:rFonts w:hint="eastAsia" w:ascii="宋体" w:hAnsi="宋体" w:cs="宋体"/>
          <w:color w:val="000000"/>
          <w:szCs w:val="21"/>
        </w:rPr>
        <w:t>档（</w:t>
      </w:r>
      <w:r>
        <w:rPr>
          <w:rFonts w:hint="eastAsia" w:hAnsi="宋体" w:cs="宋体"/>
          <w:color w:val="000000"/>
          <w:szCs w:val="21"/>
          <w:lang w:val="en-US" w:eastAsia="zh-CN"/>
        </w:rPr>
        <w:t>15</w:t>
      </w:r>
      <w:r>
        <w:rPr>
          <w:rFonts w:hint="eastAsia" w:ascii="宋体" w:hAnsi="宋体" w:cs="宋体"/>
          <w:color w:val="000000"/>
          <w:szCs w:val="21"/>
        </w:rPr>
        <w:t>分）：</w:t>
      </w:r>
      <w:r>
        <w:rPr>
          <w:rFonts w:hint="eastAsia" w:ascii="宋体" w:hAnsi="宋体" w:eastAsia="宋体" w:cs="Courier New"/>
          <w:kern w:val="2"/>
          <w:sz w:val="21"/>
        </w:rPr>
        <w:t>实施方案较完整，整体构思、项目整体安排符合本项目要求。且方案对项目需求有一定分析，流程规划合理，具有可行性；针对本项目配备的实施团队人员分工明确、组织措施及安排有序、措施较具体，能达到采购方的目的、接入教育骨干网，</w:t>
      </w:r>
      <w:r>
        <w:rPr>
          <w:rFonts w:hint="eastAsia" w:ascii="宋体" w:hAnsi="宋体" w:eastAsia="宋体" w:cs="宋体"/>
          <w:kern w:val="2"/>
          <w:sz w:val="21"/>
        </w:rPr>
        <w:t>服务保证措施简单、有基本的服务流程。满足采购文件</w:t>
      </w:r>
      <w:r>
        <w:rPr>
          <w:rFonts w:hint="eastAsia" w:hAnsi="宋体" w:cs="宋体"/>
          <w:kern w:val="2"/>
          <w:sz w:val="21"/>
          <w:lang w:eastAsia="zh-CN"/>
        </w:rPr>
        <w:t>运维</w:t>
      </w:r>
      <w:r>
        <w:rPr>
          <w:rFonts w:hint="eastAsia" w:ascii="宋体" w:hAnsi="宋体" w:eastAsia="宋体" w:cs="宋体"/>
          <w:kern w:val="2"/>
          <w:sz w:val="21"/>
        </w:rPr>
        <w:t>服务要求的基础上，提供故障处理流程、维护保障流程及组织架构，拟投入的技术支持团队人员</w:t>
      </w:r>
      <w:r>
        <w:rPr>
          <w:rFonts w:hint="eastAsia" w:ascii="宋体" w:hAnsi="宋体" w:eastAsia="宋体" w:cs="宋体"/>
          <w:lang w:val="en-US" w:eastAsia="zh-CN"/>
        </w:rPr>
        <w:t>大于等于20人且小于25人</w:t>
      </w:r>
      <w:r>
        <w:rPr>
          <w:rFonts w:hint="eastAsia" w:ascii="宋体" w:hAnsi="宋体" w:eastAsia="宋体" w:cs="宋体"/>
          <w:kern w:val="2"/>
          <w:sz w:val="21"/>
        </w:rPr>
        <w:t>。</w:t>
      </w:r>
      <w:r>
        <w:rPr>
          <w:rFonts w:hint="eastAsia" w:ascii="宋体" w:hAnsi="宋体" w:eastAsia="宋体" w:cs="宋体"/>
          <w:kern w:val="2"/>
          <w:sz w:val="21"/>
          <w:lang w:val="en-US" w:eastAsia="zh-CN"/>
        </w:rPr>
        <w:t>并</w:t>
      </w:r>
      <w:r>
        <w:rPr>
          <w:rFonts w:hint="eastAsia" w:ascii="宋体" w:hAnsi="宋体" w:eastAsia="宋体" w:cs="宋体"/>
          <w:kern w:val="2"/>
          <w:sz w:val="21"/>
        </w:rPr>
        <w:t>指定专人作为本项目驻点维护服务的联系人，负责本项目工作服务团队与采购人之间的沟通协调工作，设置的专职服务经理具备数据中心专业能力。其他专业技术人员要求：</w:t>
      </w:r>
      <w:r>
        <w:rPr>
          <w:rFonts w:hint="eastAsia" w:ascii="宋体" w:hAnsi="宋体" w:eastAsia="宋体" w:cs="宋体"/>
          <w:szCs w:val="21"/>
          <w:highlight w:val="none"/>
          <w:lang w:val="en-US" w:eastAsia="zh-CN"/>
        </w:rPr>
        <w:t>驻场</w:t>
      </w:r>
      <w:r>
        <w:rPr>
          <w:rStyle w:val="36"/>
          <w:rFonts w:hint="eastAsia" w:ascii="宋体" w:hAnsi="宋体" w:eastAsia="宋体" w:cs="宋体"/>
          <w:b w:val="0"/>
          <w:bCs w:val="0"/>
          <w:color w:val="auto"/>
          <w:szCs w:val="21"/>
          <w:highlight w:val="none"/>
          <w:u w:val="none"/>
        </w:rPr>
        <w:t>运维服务项目经理、技术负责人</w:t>
      </w:r>
      <w:r>
        <w:rPr>
          <w:rStyle w:val="36"/>
          <w:rFonts w:hint="eastAsia" w:ascii="宋体" w:hAnsi="宋体" w:eastAsia="宋体" w:cs="宋体"/>
          <w:b w:val="0"/>
          <w:bCs w:val="0"/>
          <w:color w:val="auto"/>
          <w:szCs w:val="21"/>
          <w:highlight w:val="none"/>
          <w:u w:val="none"/>
          <w:lang w:val="en-US" w:eastAsia="zh-CN"/>
        </w:rPr>
        <w:t>各1人，</w:t>
      </w:r>
      <w:r>
        <w:rPr>
          <w:rFonts w:hint="eastAsia" w:ascii="宋体" w:hAnsi="宋体" w:eastAsia="宋体" w:cs="宋体"/>
          <w:szCs w:val="21"/>
          <w:highlight w:val="none"/>
          <w:lang w:val="en-US" w:eastAsia="zh-CN"/>
        </w:rPr>
        <w:t>驻场</w:t>
      </w:r>
      <w:r>
        <w:rPr>
          <w:rStyle w:val="36"/>
          <w:rFonts w:hint="eastAsia" w:ascii="宋体" w:hAnsi="宋体" w:eastAsia="宋体" w:cs="宋体"/>
          <w:b w:val="0"/>
          <w:bCs w:val="0"/>
          <w:color w:val="auto"/>
          <w:szCs w:val="21"/>
          <w:highlight w:val="none"/>
          <w:u w:val="none"/>
          <w:lang w:val="en-US" w:eastAsia="zh-CN"/>
        </w:rPr>
        <w:t>运维工程师不少于4人(其中具备网络规划设计师和信息系统项目管理师证书不少于1人、具备数据库系统工程师证书不少于1人,具备信息系统项目管理师及CISO证书不少于1人)；服务工程师不少于6人</w:t>
      </w:r>
      <w:r>
        <w:rPr>
          <w:rFonts w:hint="eastAsia" w:ascii="宋体" w:hAnsi="宋体" w:eastAsia="宋体" w:cs="宋体"/>
          <w:kern w:val="2"/>
          <w:sz w:val="21"/>
          <w:lang w:eastAsia="zh-CN"/>
        </w:rPr>
        <w:t>；</w:t>
      </w:r>
    </w:p>
    <w:p w14:paraId="72734BE6">
      <w:pPr>
        <w:pStyle w:val="12"/>
        <w:numPr>
          <w:ilvl w:val="0"/>
          <w:numId w:val="0"/>
        </w:numPr>
        <w:spacing w:line="360" w:lineRule="auto"/>
        <w:ind w:firstLine="400"/>
        <w:rPr>
          <w:rStyle w:val="36"/>
          <w:rFonts w:hint="eastAsia" w:ascii="宋体" w:hAnsi="宋体" w:eastAsia="宋体" w:cs="宋体"/>
          <w:b w:val="0"/>
          <w:bCs w:val="0"/>
          <w:color w:val="auto"/>
          <w:szCs w:val="21"/>
          <w:highlight w:val="none"/>
          <w:u w:val="none"/>
          <w:lang w:val="en-US" w:eastAsia="zh-CN"/>
        </w:rPr>
      </w:pPr>
      <w:r>
        <w:rPr>
          <w:rFonts w:hint="eastAsia" w:hAnsi="宋体" w:cs="Courier New"/>
          <w:kern w:val="2"/>
          <w:sz w:val="21"/>
          <w:lang w:val="en-US" w:eastAsia="zh-CN"/>
        </w:rPr>
        <w:t>四</w:t>
      </w:r>
      <w:r>
        <w:rPr>
          <w:rFonts w:hint="eastAsia" w:ascii="宋体" w:hAnsi="宋体" w:eastAsia="宋体" w:cs="Courier New"/>
          <w:kern w:val="2"/>
          <w:sz w:val="21"/>
        </w:rPr>
        <w:t>档（</w:t>
      </w:r>
      <w:r>
        <w:rPr>
          <w:rFonts w:hint="eastAsia" w:hAnsi="宋体" w:cs="Courier New"/>
          <w:kern w:val="2"/>
          <w:sz w:val="21"/>
          <w:lang w:val="en-US" w:eastAsia="zh-CN"/>
        </w:rPr>
        <w:t>20</w:t>
      </w:r>
      <w:r>
        <w:rPr>
          <w:rFonts w:hint="eastAsia" w:ascii="宋体" w:hAnsi="宋体" w:eastAsia="宋体" w:cs="Courier New"/>
          <w:kern w:val="2"/>
          <w:sz w:val="21"/>
        </w:rPr>
        <w:t>分）：实施方案清晰完整，整体构思新颖、目标明确，充分满足本项目要求。且方案对项目需求分析理解深刻、有延展性，流程规划描述详细、规划合理，内容充分切合本项目特色。针对本项目配备优秀的、经验丰富的策划实施团队；有细化的项目进度计划流程，团队人员分工明确，有丰富的管理、服务经验；组织管理措施有具体的时间、质量、进度控制，科学合理，有针对性且可行性高；项目组织安排合理详细、流程具体；提供有针对性的培训方案。满足采购文件售后服务要求的基础上，方案可行性强，实施保证措施全面、合理，安排详细具体，针对性强，且考虑到项目实际情况的。有明确组织形式及人员构成，明确服务团队中各成员的职责、职能，有明确的服务的规程、流程，拟投入的技术支持团队人员≥25人（符合采购需求的运维团队设置）。</w:t>
      </w:r>
      <w:r>
        <w:rPr>
          <w:rFonts w:hint="eastAsia" w:ascii="宋体" w:hAnsi="宋体" w:eastAsia="宋体" w:cs="宋体"/>
          <w:kern w:val="2"/>
          <w:sz w:val="21"/>
          <w:lang w:val="en-US" w:eastAsia="zh-CN"/>
        </w:rPr>
        <w:t>并</w:t>
      </w:r>
      <w:r>
        <w:rPr>
          <w:rFonts w:hint="eastAsia" w:ascii="宋体" w:hAnsi="宋体" w:eastAsia="宋体" w:cs="宋体"/>
          <w:kern w:val="2"/>
          <w:sz w:val="21"/>
        </w:rPr>
        <w:t>指定专人作为本项目驻点维护服务的联系人，负责本项目工作服务团队与采购人之间的沟通协调工作，设置的专职服务经理具备数据中心专业能力。</w:t>
      </w:r>
      <w:r>
        <w:rPr>
          <w:rFonts w:hint="eastAsia" w:ascii="宋体" w:hAnsi="宋体" w:eastAsia="宋体" w:cs="Courier New"/>
          <w:kern w:val="2"/>
          <w:sz w:val="21"/>
        </w:rPr>
        <w:t>其他专业技术人员要求：</w:t>
      </w:r>
      <w:r>
        <w:rPr>
          <w:rFonts w:hint="eastAsia" w:hAnsi="宋体" w:eastAsia="宋体" w:cs="宋体"/>
          <w:szCs w:val="21"/>
          <w:highlight w:val="none"/>
          <w:lang w:val="en-US" w:eastAsia="zh-CN"/>
        </w:rPr>
        <w:t>驻场</w:t>
      </w:r>
      <w:r>
        <w:rPr>
          <w:rStyle w:val="36"/>
          <w:rFonts w:hint="eastAsia" w:ascii="宋体" w:hAnsi="宋体" w:cs="宋体"/>
          <w:b w:val="0"/>
          <w:bCs w:val="0"/>
          <w:color w:val="auto"/>
          <w:szCs w:val="21"/>
          <w:highlight w:val="none"/>
          <w:u w:val="none"/>
        </w:rPr>
        <w:t>运维服务项目经理、技术负责人</w:t>
      </w:r>
      <w:r>
        <w:rPr>
          <w:rStyle w:val="36"/>
          <w:rFonts w:hint="eastAsia" w:hAnsi="宋体" w:cs="宋体"/>
          <w:b w:val="0"/>
          <w:bCs w:val="0"/>
          <w:color w:val="auto"/>
          <w:szCs w:val="21"/>
          <w:highlight w:val="none"/>
          <w:u w:val="none"/>
          <w:lang w:val="en-US" w:eastAsia="zh-CN"/>
        </w:rPr>
        <w:t>各1人，</w:t>
      </w:r>
      <w:r>
        <w:rPr>
          <w:rFonts w:hint="eastAsia" w:hAnsi="宋体" w:eastAsia="宋体" w:cs="宋体"/>
          <w:szCs w:val="21"/>
          <w:highlight w:val="none"/>
          <w:lang w:val="en-US" w:eastAsia="zh-CN"/>
        </w:rPr>
        <w:t>驻场</w:t>
      </w:r>
      <w:r>
        <w:rPr>
          <w:rStyle w:val="36"/>
          <w:rFonts w:hint="eastAsia" w:hAnsi="宋体" w:cs="宋体"/>
          <w:b w:val="0"/>
          <w:bCs w:val="0"/>
          <w:color w:val="auto"/>
          <w:szCs w:val="21"/>
          <w:highlight w:val="none"/>
          <w:u w:val="none"/>
          <w:lang w:val="en-US" w:eastAsia="zh-CN"/>
        </w:rPr>
        <w:t>运维工程师不少于6人(其中具备网络规划设计师和信息系统项目管理师证书不少于1人</w:t>
      </w:r>
      <w:r>
        <w:rPr>
          <w:rStyle w:val="36"/>
          <w:rFonts w:hint="eastAsia" w:ascii="宋体" w:hAnsi="宋体" w:eastAsia="宋体" w:cs="宋体"/>
          <w:b w:val="0"/>
          <w:bCs w:val="0"/>
          <w:color w:val="auto"/>
          <w:szCs w:val="21"/>
          <w:highlight w:val="none"/>
          <w:u w:val="none"/>
          <w:lang w:val="en-US" w:eastAsia="zh-CN"/>
        </w:rPr>
        <w:t>、具备数据库系统工程师证书</w:t>
      </w:r>
      <w:r>
        <w:rPr>
          <w:rStyle w:val="36"/>
          <w:rFonts w:hint="eastAsia" w:hAnsi="宋体" w:cs="宋体"/>
          <w:b w:val="0"/>
          <w:bCs w:val="0"/>
          <w:color w:val="auto"/>
          <w:szCs w:val="21"/>
          <w:highlight w:val="none"/>
          <w:u w:val="none"/>
          <w:lang w:val="en-US" w:eastAsia="zh-CN"/>
        </w:rPr>
        <w:t>不少于</w:t>
      </w:r>
      <w:r>
        <w:rPr>
          <w:rStyle w:val="36"/>
          <w:rFonts w:hint="eastAsia" w:ascii="宋体" w:hAnsi="宋体" w:eastAsia="宋体" w:cs="宋体"/>
          <w:b w:val="0"/>
          <w:bCs w:val="0"/>
          <w:color w:val="auto"/>
          <w:szCs w:val="21"/>
          <w:highlight w:val="none"/>
          <w:u w:val="none"/>
          <w:lang w:val="en-US" w:eastAsia="zh-CN"/>
        </w:rPr>
        <w:t>1人 、具备信息安全工程师证书</w:t>
      </w:r>
      <w:r>
        <w:rPr>
          <w:rStyle w:val="36"/>
          <w:rFonts w:hint="eastAsia" w:hAnsi="宋体" w:cs="宋体"/>
          <w:b w:val="0"/>
          <w:bCs w:val="0"/>
          <w:color w:val="auto"/>
          <w:szCs w:val="21"/>
          <w:highlight w:val="none"/>
          <w:u w:val="none"/>
          <w:lang w:val="en-US" w:eastAsia="zh-CN"/>
        </w:rPr>
        <w:t>不少于</w:t>
      </w:r>
      <w:r>
        <w:rPr>
          <w:rStyle w:val="36"/>
          <w:rFonts w:hint="eastAsia" w:ascii="宋体" w:hAnsi="宋体" w:eastAsia="宋体" w:cs="宋体"/>
          <w:b w:val="0"/>
          <w:bCs w:val="0"/>
          <w:color w:val="auto"/>
          <w:szCs w:val="21"/>
          <w:highlight w:val="none"/>
          <w:u w:val="none"/>
          <w:lang w:val="en-US" w:eastAsia="zh-CN"/>
        </w:rPr>
        <w:t>1人、具备信息系统项目管理师及CISO证书</w:t>
      </w:r>
      <w:r>
        <w:rPr>
          <w:rStyle w:val="36"/>
          <w:rFonts w:hint="eastAsia" w:hAnsi="宋体" w:cs="宋体"/>
          <w:b w:val="0"/>
          <w:bCs w:val="0"/>
          <w:color w:val="auto"/>
          <w:szCs w:val="21"/>
          <w:highlight w:val="none"/>
          <w:u w:val="none"/>
          <w:lang w:val="en-US" w:eastAsia="zh-CN"/>
        </w:rPr>
        <w:t>不少于</w:t>
      </w:r>
      <w:r>
        <w:rPr>
          <w:rStyle w:val="36"/>
          <w:rFonts w:hint="eastAsia" w:ascii="宋体" w:hAnsi="宋体" w:eastAsia="宋体" w:cs="宋体"/>
          <w:b w:val="0"/>
          <w:bCs w:val="0"/>
          <w:color w:val="auto"/>
          <w:szCs w:val="21"/>
          <w:highlight w:val="none"/>
          <w:u w:val="none"/>
          <w:lang w:val="en-US" w:eastAsia="zh-CN"/>
        </w:rPr>
        <w:t>1人,具备信息系统项目管理师证书</w:t>
      </w:r>
      <w:r>
        <w:rPr>
          <w:rStyle w:val="36"/>
          <w:rFonts w:hint="eastAsia" w:hAnsi="宋体" w:cs="宋体"/>
          <w:b w:val="0"/>
          <w:bCs w:val="0"/>
          <w:color w:val="auto"/>
          <w:szCs w:val="21"/>
          <w:highlight w:val="none"/>
          <w:u w:val="none"/>
          <w:lang w:val="en-US" w:eastAsia="zh-CN"/>
        </w:rPr>
        <w:t>不少于</w:t>
      </w:r>
      <w:r>
        <w:rPr>
          <w:rStyle w:val="36"/>
          <w:rFonts w:hint="eastAsia" w:ascii="宋体" w:hAnsi="宋体" w:eastAsia="宋体" w:cs="宋体"/>
          <w:b w:val="0"/>
          <w:bCs w:val="0"/>
          <w:color w:val="auto"/>
          <w:szCs w:val="21"/>
          <w:highlight w:val="none"/>
          <w:u w:val="none"/>
          <w:lang w:val="en-US" w:eastAsia="zh-CN"/>
        </w:rPr>
        <w:t>2人)；服务工程师不少于12人。</w:t>
      </w:r>
    </w:p>
    <w:p w14:paraId="4B7AE79A">
      <w:pPr>
        <w:pStyle w:val="9"/>
        <w:rPr>
          <w:rFonts w:hint="eastAsia" w:ascii="宋体" w:hAnsi="宋体" w:eastAsia="宋体" w:cs="Courier New"/>
          <w:b/>
          <w:bCs/>
          <w:color w:val="auto"/>
          <w:kern w:val="2"/>
          <w:sz w:val="21"/>
        </w:rPr>
      </w:pPr>
      <w:r>
        <w:rPr>
          <w:rFonts w:hint="eastAsia" w:ascii="宋体" w:hAnsi="宋体" w:eastAsia="宋体" w:cs="Courier New"/>
          <w:b/>
          <w:bCs/>
          <w:color w:val="auto"/>
          <w:kern w:val="2"/>
          <w:sz w:val="21"/>
        </w:rPr>
        <w:t>注：投标文件中涉及的信息系统项目管理师，网络或通信专业高级工程师须提供</w:t>
      </w:r>
      <w:r>
        <w:rPr>
          <w:rFonts w:hint="eastAsia" w:hAnsi="宋体" w:cs="Courier New"/>
          <w:b/>
          <w:bCs/>
          <w:color w:val="auto"/>
          <w:kern w:val="2"/>
          <w:sz w:val="21"/>
          <w:lang w:eastAsia="zh-CN"/>
        </w:rPr>
        <w:t>供应商</w:t>
      </w:r>
      <w:r>
        <w:rPr>
          <w:rFonts w:hint="eastAsia" w:ascii="宋体" w:hAnsi="宋体" w:eastAsia="宋体" w:cs="Courier New"/>
          <w:b/>
          <w:bCs/>
          <w:color w:val="auto"/>
          <w:kern w:val="2"/>
          <w:sz w:val="21"/>
        </w:rPr>
        <w:t>或其上级单位缴纳的</w:t>
      </w:r>
      <w:r>
        <w:rPr>
          <w:rFonts w:hint="eastAsia"/>
          <w:b/>
          <w:bCs/>
          <w:color w:val="auto"/>
          <w:lang w:val="en-US" w:eastAsia="zh-CN"/>
        </w:rPr>
        <w:t>截止投标时间前5个月（含截止投标时间当月）</w:t>
      </w:r>
      <w:r>
        <w:rPr>
          <w:rFonts w:hint="eastAsia" w:ascii="宋体" w:hAnsi="宋体" w:eastAsia="宋体" w:cs="Courier New"/>
          <w:b/>
          <w:bCs/>
          <w:color w:val="auto"/>
          <w:kern w:val="2"/>
          <w:sz w:val="21"/>
        </w:rPr>
        <w:t>的社保证明</w:t>
      </w:r>
      <w:r>
        <w:rPr>
          <w:rFonts w:hint="eastAsia" w:ascii="宋体" w:hAnsi="宋体" w:eastAsia="宋体" w:cs="Courier New"/>
          <w:b/>
          <w:bCs/>
          <w:color w:val="auto"/>
          <w:kern w:val="2"/>
          <w:sz w:val="21"/>
          <w:lang w:eastAsia="zh-CN"/>
        </w:rPr>
        <w:t>彩色扫描</w:t>
      </w:r>
      <w:r>
        <w:rPr>
          <w:rFonts w:hint="eastAsia" w:ascii="宋体" w:hAnsi="宋体" w:eastAsia="宋体" w:cs="Courier New"/>
          <w:b/>
          <w:bCs/>
          <w:color w:val="auto"/>
          <w:kern w:val="2"/>
          <w:sz w:val="21"/>
        </w:rPr>
        <w:t>件</w:t>
      </w:r>
      <w:r>
        <w:rPr>
          <w:rFonts w:hint="eastAsia" w:ascii="宋体" w:hAnsi="宋体" w:eastAsia="宋体" w:cs="Courier New"/>
          <w:b/>
          <w:bCs/>
          <w:color w:val="auto"/>
          <w:kern w:val="2"/>
          <w:sz w:val="21"/>
          <w:lang w:eastAsia="zh-CN"/>
        </w:rPr>
        <w:t>并加盖</w:t>
      </w:r>
      <w:r>
        <w:rPr>
          <w:rFonts w:hint="eastAsia" w:ascii="宋体" w:hAnsi="宋体" w:eastAsia="宋体" w:cs="Courier New"/>
          <w:b/>
          <w:bCs/>
          <w:color w:val="auto"/>
          <w:kern w:val="2"/>
          <w:sz w:val="21"/>
          <w:lang w:val="en-US" w:eastAsia="zh-CN"/>
        </w:rPr>
        <w:t>CA签章</w:t>
      </w:r>
      <w:r>
        <w:rPr>
          <w:rFonts w:hint="eastAsia" w:ascii="宋体" w:hAnsi="宋体" w:eastAsia="宋体" w:cs="Courier New"/>
          <w:b/>
          <w:bCs/>
          <w:color w:val="auto"/>
          <w:kern w:val="2"/>
          <w:sz w:val="21"/>
        </w:rPr>
        <w:t>。</w:t>
      </w:r>
    </w:p>
    <w:p w14:paraId="18AB3D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zCs w:val="21"/>
          <w:lang w:val="en-US" w:eastAsia="zh-CN"/>
        </w:rPr>
      </w:pPr>
      <w:r>
        <w:rPr>
          <w:rFonts w:hint="eastAsia" w:ascii="宋体" w:hAnsi="宋体" w:eastAsia="宋体" w:cs="宋体"/>
          <w:b/>
          <w:bCs/>
          <w:szCs w:val="21"/>
          <w:lang w:val="en-US" w:eastAsia="zh-CN"/>
        </w:rPr>
        <w:t>6</w:t>
      </w:r>
      <w:r>
        <w:rPr>
          <w:rFonts w:hint="eastAsia" w:ascii="宋体" w:hAnsi="宋体" w:eastAsia="宋体" w:cs="宋体"/>
          <w:b/>
          <w:bCs/>
          <w:szCs w:val="21"/>
          <w:lang w:eastAsia="zh-CN"/>
        </w:rPr>
        <w:t>、</w:t>
      </w:r>
      <w:r>
        <w:rPr>
          <w:rFonts w:hint="eastAsia" w:ascii="宋体" w:hAnsi="宋体" w:eastAsia="宋体" w:cs="宋体"/>
          <w:b/>
          <w:bCs/>
          <w:szCs w:val="21"/>
        </w:rPr>
        <w:t xml:space="preserve"> 综合得分＝1+2+3+4</w:t>
      </w:r>
    </w:p>
    <w:p w14:paraId="69B598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宋体" w:hAnsi="宋体" w:eastAsia="宋体" w:cs="宋体"/>
          <w:b/>
          <w:bCs/>
          <w:szCs w:val="21"/>
        </w:rPr>
      </w:pPr>
      <w:bookmarkStart w:id="147" w:name="_Toc29260"/>
      <w:r>
        <w:rPr>
          <w:rFonts w:hint="eastAsia" w:ascii="宋体" w:hAnsi="宋体" w:eastAsia="宋体" w:cs="宋体"/>
          <w:b/>
          <w:bCs/>
          <w:szCs w:val="21"/>
        </w:rPr>
        <w:t>三、成交候选人推荐原则</w:t>
      </w:r>
      <w:bookmarkEnd w:id="147"/>
      <w:bookmarkStart w:id="364" w:name="_GoBack"/>
      <w:bookmarkEnd w:id="364"/>
    </w:p>
    <w:p w14:paraId="2C54CB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磋商小组应当根据综合评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次次序。</w:t>
      </w:r>
    </w:p>
    <w:p w14:paraId="5886AD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（1）磋商小组可推荐前三名为成交候选人，</w:t>
      </w:r>
      <w:r>
        <w:rPr>
          <w:rFonts w:hint="eastAsia" w:ascii="宋体" w:hAnsi="宋体" w:cs="宋体"/>
          <w:szCs w:val="21"/>
          <w:lang w:eastAsia="zh-CN"/>
        </w:rPr>
        <w:t>采购人</w:t>
      </w:r>
      <w:r>
        <w:rPr>
          <w:rFonts w:hint="eastAsia" w:ascii="宋体" w:hAnsi="宋体" w:eastAsia="宋体" w:cs="宋体"/>
          <w:szCs w:val="21"/>
        </w:rPr>
        <w:t>应当确定磋商小组推荐排名第一的成交候选人为成交供应商。</w:t>
      </w:r>
    </w:p>
    <w:p w14:paraId="1A6BA9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排名第一的成交候选人放弃成交、因不可抗力提出不能履行合同，或者竞争性磋商文件规定应当提交履约保证金（本项目无需缴纳履约保证金）而在规定的期限内未能提交的，或因失信行为被取消成交候选人资格的，</w:t>
      </w:r>
      <w:r>
        <w:rPr>
          <w:rFonts w:hint="eastAsia" w:ascii="宋体" w:hAnsi="宋体" w:cs="宋体"/>
          <w:szCs w:val="21"/>
          <w:lang w:eastAsia="zh-CN"/>
        </w:rPr>
        <w:t>采购人</w:t>
      </w:r>
      <w:r>
        <w:rPr>
          <w:rFonts w:hint="eastAsia" w:ascii="宋体" w:hAnsi="宋体" w:eastAsia="宋体" w:cs="宋体"/>
          <w:szCs w:val="21"/>
        </w:rPr>
        <w:t>可以确定排名第二的成交候选人为成交供应商。</w:t>
      </w:r>
    </w:p>
    <w:p w14:paraId="5C9523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（3）排名第二的成交候选人因前款规定的同样原因不能签订合同的，</w:t>
      </w:r>
      <w:r>
        <w:rPr>
          <w:rFonts w:hint="eastAsia" w:ascii="宋体" w:hAnsi="宋体" w:cs="宋体"/>
          <w:szCs w:val="21"/>
          <w:lang w:eastAsia="zh-CN"/>
        </w:rPr>
        <w:t>采购人</w:t>
      </w:r>
      <w:r>
        <w:rPr>
          <w:rFonts w:hint="eastAsia" w:ascii="宋体" w:hAnsi="宋体" w:eastAsia="宋体" w:cs="宋体"/>
          <w:szCs w:val="21"/>
        </w:rPr>
        <w:t>可以确定排名第三的成交候选人为成交供应商。以此类推。</w:t>
      </w:r>
    </w:p>
    <w:p w14:paraId="779A70FD">
      <w:pPr>
        <w:spacing w:line="360" w:lineRule="auto"/>
        <w:ind w:firstLine="424" w:firstLineChars="202"/>
        <w:jc w:val="left"/>
        <w:outlineLvl w:val="1"/>
        <w:rPr>
          <w:rFonts w:ascii="宋体" w:hAnsi="宋体" w:cs="宋体"/>
          <w:b/>
          <w:szCs w:val="21"/>
        </w:rPr>
      </w:pPr>
      <w:bookmarkStart w:id="148" w:name="_Toc26213"/>
      <w:r>
        <w:rPr>
          <w:rFonts w:hint="eastAsia" w:ascii="宋体" w:hAnsi="宋体" w:cs="宋体"/>
          <w:b/>
          <w:szCs w:val="21"/>
          <w:lang w:val="en-US" w:eastAsia="zh-CN"/>
        </w:rPr>
        <w:t>四</w:t>
      </w:r>
      <w:r>
        <w:rPr>
          <w:rFonts w:hint="eastAsia" w:ascii="宋体" w:hAnsi="宋体" w:cs="宋体"/>
          <w:b/>
          <w:szCs w:val="21"/>
        </w:rPr>
        <w:t>、特别说明</w:t>
      </w:r>
      <w:bookmarkEnd w:id="148"/>
    </w:p>
    <w:p w14:paraId="0F3D4B85">
      <w:pPr>
        <w:spacing w:line="340" w:lineRule="exact"/>
        <w:ind w:firstLine="420" w:firstLineChars="200"/>
        <w:rPr>
          <w:rFonts w:hint="eastAsia" w:ascii="宋体" w:hAnsi="宋体" w:eastAsia="宋体" w:cs="宋体"/>
          <w:b/>
          <w:color w:val="auto"/>
          <w:sz w:val="28"/>
          <w:szCs w:val="28"/>
          <w:highlight w:val="none"/>
        </w:rPr>
      </w:pPr>
      <w:r>
        <w:rPr>
          <w:rFonts w:hint="eastAsia" w:ascii="宋体" w:hAnsi="宋体" w:cs="宋体"/>
          <w:b/>
          <w:bCs/>
          <w:szCs w:val="21"/>
          <w:u w:val="double"/>
          <w:lang w:eastAsia="zh-CN"/>
        </w:rPr>
        <w:t>磋商</w:t>
      </w:r>
      <w:r>
        <w:rPr>
          <w:rFonts w:hint="eastAsia" w:ascii="宋体" w:hAnsi="宋体" w:cs="宋体"/>
          <w:b/>
          <w:bCs/>
          <w:szCs w:val="21"/>
          <w:u w:val="double"/>
        </w:rPr>
        <w:t>时，</w:t>
      </w:r>
      <w:r>
        <w:rPr>
          <w:rFonts w:hint="eastAsia" w:ascii="宋体" w:hAnsi="宋体" w:cs="宋体"/>
          <w:b/>
          <w:bCs/>
          <w:szCs w:val="21"/>
          <w:u w:val="double"/>
          <w:lang w:eastAsia="zh-CN"/>
        </w:rPr>
        <w:t>磋商小组</w:t>
      </w:r>
      <w:r>
        <w:rPr>
          <w:rFonts w:hint="eastAsia" w:ascii="宋体" w:hAnsi="宋体" w:cs="宋体"/>
          <w:b/>
          <w:bCs/>
          <w:szCs w:val="21"/>
          <w:u w:val="double"/>
        </w:rPr>
        <w:t>认为</w:t>
      </w:r>
      <w:r>
        <w:rPr>
          <w:rFonts w:hint="eastAsia" w:ascii="宋体" w:hAnsi="宋体" w:cs="宋体"/>
          <w:b/>
          <w:bCs/>
          <w:szCs w:val="21"/>
          <w:u w:val="double"/>
          <w:lang w:eastAsia="zh-CN"/>
        </w:rPr>
        <w:t>供应商</w:t>
      </w:r>
      <w:r>
        <w:rPr>
          <w:rFonts w:hint="eastAsia" w:ascii="宋体" w:hAnsi="宋体" w:cs="宋体"/>
          <w:b/>
          <w:bCs/>
          <w:szCs w:val="21"/>
          <w:u w:val="double"/>
        </w:rPr>
        <w:t>的报价明显低于其他通过符合性审查</w:t>
      </w:r>
      <w:r>
        <w:rPr>
          <w:rFonts w:hint="eastAsia" w:ascii="宋体" w:hAnsi="宋体" w:cs="宋体"/>
          <w:b/>
          <w:bCs/>
          <w:szCs w:val="21"/>
          <w:u w:val="double"/>
          <w:lang w:eastAsia="zh-CN"/>
        </w:rPr>
        <w:t>供应商</w:t>
      </w:r>
      <w:r>
        <w:rPr>
          <w:rFonts w:hint="eastAsia" w:ascii="宋体" w:hAnsi="宋体" w:cs="宋体"/>
          <w:b/>
          <w:bCs/>
          <w:szCs w:val="21"/>
          <w:u w:val="double"/>
        </w:rPr>
        <w:t>的报价，有可能影响产品质量或者不能诚信履约的，应当要求其在</w:t>
      </w:r>
      <w:r>
        <w:rPr>
          <w:rFonts w:hint="eastAsia" w:ascii="宋体" w:hAnsi="宋体" w:cs="宋体"/>
          <w:b/>
          <w:bCs/>
          <w:szCs w:val="21"/>
          <w:u w:val="double"/>
          <w:lang w:eastAsia="zh-CN"/>
        </w:rPr>
        <w:t>磋商</w:t>
      </w:r>
      <w:r>
        <w:rPr>
          <w:rFonts w:hint="eastAsia" w:ascii="宋体" w:hAnsi="宋体" w:cs="宋体"/>
          <w:b/>
          <w:bCs/>
          <w:szCs w:val="21"/>
          <w:u w:val="double"/>
        </w:rPr>
        <w:t>现场合理的时间内提供书面说明，必要时提交相关证明材料；</w:t>
      </w:r>
      <w:r>
        <w:rPr>
          <w:rFonts w:hint="eastAsia" w:ascii="宋体" w:hAnsi="宋体" w:cs="宋体"/>
          <w:b/>
          <w:bCs/>
          <w:szCs w:val="21"/>
          <w:u w:val="double"/>
          <w:lang w:eastAsia="zh-CN"/>
        </w:rPr>
        <w:t>供应商</w:t>
      </w:r>
      <w:r>
        <w:rPr>
          <w:rFonts w:hint="eastAsia" w:ascii="宋体" w:hAnsi="宋体" w:cs="宋体"/>
          <w:b/>
          <w:bCs/>
          <w:szCs w:val="21"/>
          <w:u w:val="double"/>
        </w:rPr>
        <w:t>不能证明其报价合理性的，</w:t>
      </w:r>
      <w:r>
        <w:rPr>
          <w:rFonts w:hint="eastAsia" w:ascii="宋体" w:hAnsi="宋体" w:cs="宋体"/>
          <w:b/>
          <w:bCs/>
          <w:szCs w:val="21"/>
          <w:u w:val="double"/>
          <w:lang w:eastAsia="zh-CN"/>
        </w:rPr>
        <w:t>磋商小组</w:t>
      </w:r>
      <w:r>
        <w:rPr>
          <w:rFonts w:hint="eastAsia" w:ascii="宋体" w:hAnsi="宋体" w:cs="宋体"/>
          <w:b/>
          <w:bCs/>
          <w:szCs w:val="21"/>
          <w:u w:val="double"/>
        </w:rPr>
        <w:t>应当将其作为无效投标处理。</w:t>
      </w:r>
    </w:p>
    <w:p w14:paraId="5FCFE034">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sz w:val="21"/>
          <w:szCs w:val="21"/>
        </w:rPr>
      </w:pPr>
    </w:p>
    <w:p w14:paraId="014D613A">
      <w:pPr>
        <w:pStyle w:val="20"/>
        <w:ind w:firstLine="562"/>
        <w:rPr>
          <w:rFonts w:hint="eastAsia" w:ascii="宋体" w:hAnsi="宋体" w:eastAsia="宋体" w:cs="宋体"/>
          <w:b/>
          <w:color w:val="auto"/>
          <w:sz w:val="28"/>
          <w:szCs w:val="28"/>
          <w:highlight w:val="none"/>
        </w:rPr>
      </w:pPr>
    </w:p>
    <w:p w14:paraId="1AF51217">
      <w:pPr>
        <w:rPr>
          <w:rFonts w:hint="eastAsia" w:ascii="宋体" w:hAnsi="宋体" w:eastAsia="宋体" w:cs="宋体"/>
          <w:b/>
          <w:bCs/>
          <w:color w:val="auto"/>
          <w:sz w:val="24"/>
        </w:rPr>
      </w:pPr>
      <w:r>
        <w:rPr>
          <w:rFonts w:hint="eastAsia" w:ascii="宋体" w:hAnsi="宋体" w:eastAsia="宋体" w:cs="宋体"/>
          <w:b/>
          <w:bCs/>
          <w:color w:val="auto"/>
          <w:sz w:val="24"/>
        </w:rPr>
        <w:br w:type="page"/>
      </w:r>
    </w:p>
    <w:p w14:paraId="0B5B1F04">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附表</w:t>
      </w:r>
    </w:p>
    <w:p w14:paraId="23D2F3E8">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1"/>
        <w:rPr>
          <w:rFonts w:hint="eastAsia" w:ascii="宋体" w:hAnsi="宋体" w:eastAsia="宋体" w:cs="宋体"/>
          <w:b/>
          <w:bCs/>
          <w:color w:val="auto"/>
          <w:kern w:val="0"/>
          <w:sz w:val="30"/>
          <w:szCs w:val="30"/>
        </w:rPr>
      </w:pPr>
      <w:bookmarkStart w:id="149" w:name="_Toc28361_WPSOffice_Level2"/>
      <w:bookmarkStart w:id="150" w:name="_Toc4043"/>
      <w:r>
        <w:rPr>
          <w:rFonts w:hint="eastAsia" w:ascii="宋体" w:hAnsi="宋体" w:eastAsia="宋体" w:cs="宋体"/>
          <w:b/>
          <w:bCs/>
          <w:color w:val="auto"/>
          <w:kern w:val="0"/>
          <w:sz w:val="30"/>
          <w:szCs w:val="30"/>
        </w:rPr>
        <w:t>统计上大中小微型企业划分标准</w:t>
      </w:r>
      <w:bookmarkEnd w:id="149"/>
      <w:bookmarkEnd w:id="15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4F2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41B879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shd w:val="clear" w:color="auto" w:fill="FFFFFF"/>
            <w:noWrap w:val="0"/>
            <w:vAlign w:val="center"/>
          </w:tcPr>
          <w:p w14:paraId="227E27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shd w:val="clear" w:color="auto" w:fill="FFFFFF"/>
            <w:noWrap w:val="0"/>
            <w:vAlign w:val="center"/>
          </w:tcPr>
          <w:p w14:paraId="476FE5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计量</w:t>
            </w:r>
          </w:p>
          <w:p w14:paraId="2F4682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shd w:val="clear" w:color="auto" w:fill="FFFFFF"/>
            <w:noWrap w:val="0"/>
            <w:vAlign w:val="center"/>
          </w:tcPr>
          <w:p w14:paraId="3EA881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shd w:val="clear" w:color="auto" w:fill="FFFFFF"/>
            <w:noWrap w:val="0"/>
            <w:vAlign w:val="center"/>
          </w:tcPr>
          <w:p w14:paraId="6EFD22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shd w:val="clear" w:color="auto" w:fill="FFFFFF"/>
            <w:noWrap w:val="0"/>
            <w:vAlign w:val="center"/>
          </w:tcPr>
          <w:p w14:paraId="55545F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shd w:val="clear" w:color="auto" w:fill="FFFFFF"/>
            <w:noWrap w:val="0"/>
            <w:vAlign w:val="center"/>
          </w:tcPr>
          <w:p w14:paraId="56E784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14:paraId="7932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30605D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noWrap w:val="0"/>
            <w:vAlign w:val="center"/>
          </w:tcPr>
          <w:p w14:paraId="0F0CE87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4FD648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6E4AB2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0"/>
            <w:vAlign w:val="center"/>
          </w:tcPr>
          <w:p w14:paraId="7E6078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0"/>
            <w:vAlign w:val="center"/>
          </w:tcPr>
          <w:p w14:paraId="33B8C4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noWrap w:val="0"/>
            <w:vAlign w:val="center"/>
          </w:tcPr>
          <w:p w14:paraId="34C894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637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EF1D36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noWrap w:val="0"/>
            <w:vAlign w:val="center"/>
          </w:tcPr>
          <w:p w14:paraId="4B281D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3B3C41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5E96DB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14:paraId="4C3225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14:paraId="600ABD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14:paraId="1712AA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9A6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622440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263159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4A7124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5E131B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0"/>
            <w:vAlign w:val="center"/>
          </w:tcPr>
          <w:p w14:paraId="1B7ED8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noWrap w:val="0"/>
            <w:vAlign w:val="center"/>
          </w:tcPr>
          <w:p w14:paraId="07B483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noWrap w:val="0"/>
            <w:vAlign w:val="center"/>
          </w:tcPr>
          <w:p w14:paraId="4D74FA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0F62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572556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noWrap w:val="0"/>
            <w:vAlign w:val="center"/>
          </w:tcPr>
          <w:p w14:paraId="3F6F4F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17D4ED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66A3B3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noWrap w:val="0"/>
            <w:vAlign w:val="center"/>
          </w:tcPr>
          <w:p w14:paraId="179AF2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noWrap w:val="0"/>
            <w:vAlign w:val="center"/>
          </w:tcPr>
          <w:p w14:paraId="61A296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noWrap w:val="0"/>
            <w:vAlign w:val="center"/>
          </w:tcPr>
          <w:p w14:paraId="703689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4AD8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4D19F9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3AFF56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14:paraId="5708BF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0DACDF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noWrap w:val="0"/>
            <w:vAlign w:val="center"/>
          </w:tcPr>
          <w:p w14:paraId="4D3F25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noWrap w:val="0"/>
            <w:vAlign w:val="center"/>
          </w:tcPr>
          <w:p w14:paraId="48BC45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noWrap w:val="0"/>
            <w:vAlign w:val="center"/>
          </w:tcPr>
          <w:p w14:paraId="321D8E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2064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45D6B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noWrap w:val="0"/>
            <w:vAlign w:val="center"/>
          </w:tcPr>
          <w:p w14:paraId="06C823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7DD2C4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390A62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0"/>
            <w:vAlign w:val="center"/>
          </w:tcPr>
          <w:p w14:paraId="736A66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noWrap w:val="0"/>
            <w:vAlign w:val="center"/>
          </w:tcPr>
          <w:p w14:paraId="6FD778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noWrap w:val="0"/>
            <w:vAlign w:val="center"/>
          </w:tcPr>
          <w:p w14:paraId="266325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2781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FBA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582046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2FEC13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347F99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0"/>
            <w:vAlign w:val="center"/>
          </w:tcPr>
          <w:p w14:paraId="2F0BBF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noWrap w:val="0"/>
            <w:vAlign w:val="center"/>
          </w:tcPr>
          <w:p w14:paraId="4428E346">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noWrap w:val="0"/>
            <w:vAlign w:val="center"/>
          </w:tcPr>
          <w:p w14:paraId="17202F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0DB9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6A1743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noWrap w:val="0"/>
            <w:vAlign w:val="center"/>
          </w:tcPr>
          <w:p w14:paraId="2048F1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07FF16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3A804E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089304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noWrap w:val="0"/>
            <w:vAlign w:val="center"/>
          </w:tcPr>
          <w:p w14:paraId="03EC8D16">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noWrap w:val="0"/>
            <w:vAlign w:val="center"/>
          </w:tcPr>
          <w:p w14:paraId="0DD58E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2E90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DFDC7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7A84F8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0AAF4F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6CCD8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0"/>
            <w:vAlign w:val="center"/>
          </w:tcPr>
          <w:p w14:paraId="11EE53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0"/>
            <w:vAlign w:val="center"/>
          </w:tcPr>
          <w:p w14:paraId="6872D610">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noWrap w:val="0"/>
            <w:vAlign w:val="center"/>
          </w:tcPr>
          <w:p w14:paraId="3AD2CB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4A6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0F7D7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noWrap w:val="0"/>
            <w:vAlign w:val="center"/>
          </w:tcPr>
          <w:p w14:paraId="2108E6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226A51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463384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14:paraId="12A57A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14:paraId="412360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14:paraId="366EE0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3F5B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3343B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0CFC37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71C800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264958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14:paraId="6C090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noWrap w:val="0"/>
            <w:vAlign w:val="center"/>
          </w:tcPr>
          <w:p w14:paraId="3A6C83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noWrap w:val="0"/>
            <w:vAlign w:val="center"/>
          </w:tcPr>
          <w:p w14:paraId="00D6D4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79F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8C495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noWrap w:val="0"/>
            <w:vAlign w:val="center"/>
          </w:tcPr>
          <w:p w14:paraId="69CA56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254B6C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0A6D31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0"/>
            <w:vAlign w:val="center"/>
          </w:tcPr>
          <w:p w14:paraId="6350F3F6">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noWrap w:val="0"/>
            <w:vAlign w:val="center"/>
          </w:tcPr>
          <w:p w14:paraId="13D4A7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noWrap w:val="0"/>
            <w:vAlign w:val="center"/>
          </w:tcPr>
          <w:p w14:paraId="52E6C7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441F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4ED76C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3F9BC3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48B9C6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7E4474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14:paraId="1333B6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noWrap w:val="0"/>
            <w:vAlign w:val="center"/>
          </w:tcPr>
          <w:p w14:paraId="6B6DAE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14:paraId="3E5642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D5D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4514BA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noWrap w:val="0"/>
            <w:vAlign w:val="center"/>
          </w:tcPr>
          <w:p w14:paraId="4E7BE0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5EB449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186AC2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14:paraId="341436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14:paraId="538EF6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14:paraId="0E204E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45FD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2A35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692F18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69981F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25F542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14:paraId="5184362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noWrap w:val="0"/>
            <w:vAlign w:val="center"/>
          </w:tcPr>
          <w:p w14:paraId="296AF9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14:paraId="55845A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73C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5FDAF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noWrap w:val="0"/>
            <w:vAlign w:val="center"/>
          </w:tcPr>
          <w:p w14:paraId="45ADCC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4D2237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6E2B4E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534935B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14:paraId="1633C6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6B5283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637D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A94F1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5377F8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1C6E39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1DB63A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14:paraId="5D9B91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0"/>
            <w:vAlign w:val="center"/>
          </w:tcPr>
          <w:p w14:paraId="587ECF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14:paraId="54EC08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EDA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E7538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noWrap w:val="0"/>
            <w:vAlign w:val="center"/>
          </w:tcPr>
          <w:p w14:paraId="4271CA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0D0791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5F0C66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07CAD35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0"/>
            <w:vAlign w:val="center"/>
          </w:tcPr>
          <w:p w14:paraId="6ABED2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7497E0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E5D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70F735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19EC4B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68546F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02472B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14:paraId="6789B2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0"/>
            <w:vAlign w:val="center"/>
          </w:tcPr>
          <w:p w14:paraId="071FFE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14:paraId="1ECC80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75E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FD231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noWrap w:val="0"/>
            <w:vAlign w:val="center"/>
          </w:tcPr>
          <w:p w14:paraId="74CE94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632F34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2A7696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noWrap w:val="0"/>
            <w:vAlign w:val="center"/>
          </w:tcPr>
          <w:p w14:paraId="7A5923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noWrap w:val="0"/>
            <w:vAlign w:val="center"/>
          </w:tcPr>
          <w:p w14:paraId="797BBA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0DF7E9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5F2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C9B2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6998A5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35584F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2454F1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noWrap w:val="0"/>
            <w:vAlign w:val="center"/>
          </w:tcPr>
          <w:p w14:paraId="5A5AEC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noWrap w:val="0"/>
            <w:vAlign w:val="center"/>
          </w:tcPr>
          <w:p w14:paraId="5AC27A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14:paraId="6A604F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C92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16D91F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noWrap w:val="0"/>
            <w:vAlign w:val="center"/>
          </w:tcPr>
          <w:p w14:paraId="051F5C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49F34F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0C2FA4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102699F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0"/>
            <w:vAlign w:val="center"/>
          </w:tcPr>
          <w:p w14:paraId="03F546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53C81C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67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4E72A9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rPr>
            </w:pPr>
          </w:p>
        </w:tc>
        <w:tc>
          <w:tcPr>
            <w:tcW w:w="1369" w:type="dxa"/>
            <w:noWrap w:val="0"/>
            <w:vAlign w:val="center"/>
          </w:tcPr>
          <w:p w14:paraId="4D9625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7312BC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1A0489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14:paraId="0C78AC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noWrap w:val="0"/>
            <w:vAlign w:val="center"/>
          </w:tcPr>
          <w:p w14:paraId="53CAE5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noWrap w:val="0"/>
            <w:vAlign w:val="center"/>
          </w:tcPr>
          <w:p w14:paraId="593B26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4391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93F1F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noWrap w:val="0"/>
            <w:vAlign w:val="center"/>
          </w:tcPr>
          <w:p w14:paraId="595C4F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59329F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018BFE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noWrap w:val="0"/>
            <w:vAlign w:val="center"/>
          </w:tcPr>
          <w:p w14:paraId="166AC6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noWrap w:val="0"/>
            <w:vAlign w:val="center"/>
          </w:tcPr>
          <w:p w14:paraId="7B9F8A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14:paraId="62A1EB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4FE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6E7B7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6FE603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14:paraId="5FC67A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08FF10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noWrap w:val="0"/>
            <w:vAlign w:val="center"/>
          </w:tcPr>
          <w:p w14:paraId="3B5721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noWrap w:val="0"/>
            <w:vAlign w:val="center"/>
          </w:tcPr>
          <w:p w14:paraId="2F9B9F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noWrap w:val="0"/>
            <w:vAlign w:val="center"/>
          </w:tcPr>
          <w:p w14:paraId="408E71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14:paraId="6322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A3A64F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noWrap w:val="0"/>
            <w:vAlign w:val="center"/>
          </w:tcPr>
          <w:p w14:paraId="366788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592AE1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164E33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14:paraId="05D266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14:paraId="238CC9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noWrap w:val="0"/>
            <w:vAlign w:val="center"/>
          </w:tcPr>
          <w:p w14:paraId="5182B4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6328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724CAD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1E6703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14:paraId="527D21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6B6481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noWrap w:val="0"/>
            <w:vAlign w:val="center"/>
          </w:tcPr>
          <w:p w14:paraId="70544661">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noWrap w:val="0"/>
            <w:vAlign w:val="center"/>
          </w:tcPr>
          <w:p w14:paraId="494467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noWrap w:val="0"/>
            <w:vAlign w:val="center"/>
          </w:tcPr>
          <w:p w14:paraId="6D2293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3AF0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DCBAB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noWrap w:val="0"/>
            <w:vAlign w:val="center"/>
          </w:tcPr>
          <w:p w14:paraId="777892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4D7E97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091D2A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0A07A6F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14:paraId="1C5419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7B3B95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C65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9D1E0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14:paraId="71D63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14:paraId="638DB4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14:paraId="47DF31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noWrap w:val="0"/>
            <w:vAlign w:val="center"/>
          </w:tcPr>
          <w:p w14:paraId="631B062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noWrap w:val="0"/>
            <w:vAlign w:val="center"/>
          </w:tcPr>
          <w:p w14:paraId="566837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noWrap w:val="0"/>
            <w:vAlign w:val="center"/>
          </w:tcPr>
          <w:p w14:paraId="3A5AD53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14:paraId="3E25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69C4B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noWrap w:val="0"/>
            <w:vAlign w:val="center"/>
          </w:tcPr>
          <w:p w14:paraId="05E3E3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14:paraId="78EA4E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14:paraId="514940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14:paraId="0A1AAEF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14:paraId="402416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14:paraId="7B9C05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3C3BCE5E">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14:paraId="09C824A7">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14:paraId="40E0B53E">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14:paraId="5BB9256E">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r>
        <w:rPr>
          <w:rFonts w:hint="eastAsia" w:ascii="宋体" w:hAnsi="宋体" w:eastAsia="宋体" w:cs="宋体"/>
          <w:color w:val="auto"/>
          <w:spacing w:val="8"/>
          <w:kern w:val="0"/>
          <w:sz w:val="24"/>
        </w:rPr>
        <w:t>说明：</w:t>
      </w:r>
    </w:p>
    <w:p w14:paraId="01CBCA1A">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1.大型、中型和小型企业须同时满足所列指标的下限，否则下划一档；微型企业只须满足所列指标中的一项即可。</w:t>
      </w:r>
    </w:p>
    <w:p w14:paraId="6B268896">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BE2DEA">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1" w:name="_Toc4774"/>
      <w:bookmarkStart w:id="152" w:name="_Toc8466"/>
    </w:p>
    <w:p w14:paraId="6ABBD2D9">
      <w:pPr>
        <w:pStyle w:val="6"/>
        <w:rPr>
          <w:rFonts w:hint="eastAsia" w:ascii="宋体" w:hAnsi="宋体" w:eastAsia="宋体" w:cs="宋体"/>
          <w:color w:val="auto"/>
          <w:spacing w:val="8"/>
          <w:kern w:val="0"/>
          <w:sz w:val="24"/>
          <w:szCs w:val="24"/>
        </w:rPr>
      </w:pPr>
    </w:p>
    <w:p w14:paraId="33A5D7BB">
      <w:pPr>
        <w:rPr>
          <w:rFonts w:hint="eastAsia" w:ascii="宋体" w:hAnsi="宋体" w:eastAsia="宋体" w:cs="宋体"/>
          <w:color w:val="auto"/>
          <w:spacing w:val="8"/>
          <w:kern w:val="0"/>
          <w:sz w:val="24"/>
          <w:szCs w:val="24"/>
        </w:rPr>
      </w:pPr>
    </w:p>
    <w:p w14:paraId="0D03FD4C">
      <w:pPr>
        <w:pStyle w:val="26"/>
        <w:rPr>
          <w:rFonts w:hint="eastAsia" w:ascii="宋体" w:hAnsi="宋体" w:eastAsia="宋体" w:cs="宋体"/>
        </w:rPr>
      </w:pPr>
    </w:p>
    <w:p w14:paraId="53C63799">
      <w:pPr>
        <w:pStyle w:val="26"/>
        <w:rPr>
          <w:rFonts w:hint="eastAsia" w:ascii="宋体" w:hAnsi="宋体" w:eastAsia="宋体" w:cs="宋体"/>
        </w:rPr>
      </w:pPr>
    </w:p>
    <w:p w14:paraId="081DEE58">
      <w:pPr>
        <w:pStyle w:val="26"/>
        <w:rPr>
          <w:rFonts w:hint="eastAsia" w:ascii="宋体" w:hAnsi="宋体" w:eastAsia="宋体" w:cs="宋体"/>
        </w:rPr>
      </w:pPr>
    </w:p>
    <w:p w14:paraId="48BA1792">
      <w:pPr>
        <w:pStyle w:val="26"/>
        <w:rPr>
          <w:rFonts w:hint="eastAsia" w:ascii="宋体" w:hAnsi="宋体" w:eastAsia="宋体" w:cs="宋体"/>
        </w:rPr>
      </w:pPr>
    </w:p>
    <w:p w14:paraId="785C13C6">
      <w:pPr>
        <w:pStyle w:val="26"/>
        <w:rPr>
          <w:rFonts w:hint="eastAsia" w:ascii="宋体" w:hAnsi="宋体" w:eastAsia="宋体" w:cs="宋体"/>
        </w:rPr>
      </w:pPr>
    </w:p>
    <w:p w14:paraId="1DD214C2">
      <w:pPr>
        <w:pStyle w:val="26"/>
        <w:rPr>
          <w:rFonts w:hint="eastAsia" w:ascii="宋体" w:hAnsi="宋体" w:eastAsia="宋体" w:cs="宋体"/>
        </w:rPr>
      </w:pPr>
    </w:p>
    <w:p w14:paraId="5B522911">
      <w:pPr>
        <w:pStyle w:val="26"/>
        <w:rPr>
          <w:rFonts w:hint="eastAsia" w:ascii="宋体" w:hAnsi="宋体" w:eastAsia="宋体" w:cs="宋体"/>
        </w:rPr>
      </w:pPr>
    </w:p>
    <w:p w14:paraId="7F712B33">
      <w:pPr>
        <w:pStyle w:val="26"/>
        <w:rPr>
          <w:rFonts w:hint="eastAsia" w:ascii="宋体" w:hAnsi="宋体" w:eastAsia="宋体" w:cs="宋体"/>
        </w:rPr>
      </w:pPr>
    </w:p>
    <w:p w14:paraId="3E6ACE61">
      <w:pPr>
        <w:pStyle w:val="26"/>
        <w:rPr>
          <w:rFonts w:hint="eastAsia" w:ascii="宋体" w:hAnsi="宋体" w:eastAsia="宋体" w:cs="宋体"/>
        </w:rPr>
      </w:pPr>
    </w:p>
    <w:p w14:paraId="28F8929B">
      <w:pPr>
        <w:pStyle w:val="26"/>
        <w:rPr>
          <w:rFonts w:hint="eastAsia" w:ascii="宋体" w:hAnsi="宋体" w:eastAsia="宋体" w:cs="宋体"/>
        </w:rPr>
      </w:pPr>
    </w:p>
    <w:p w14:paraId="2557A532">
      <w:pPr>
        <w:pStyle w:val="26"/>
        <w:rPr>
          <w:rFonts w:hint="eastAsia" w:ascii="宋体" w:hAnsi="宋体" w:eastAsia="宋体" w:cs="宋体"/>
        </w:rPr>
      </w:pPr>
    </w:p>
    <w:p w14:paraId="507BA6BC">
      <w:pPr>
        <w:pStyle w:val="26"/>
        <w:rPr>
          <w:rFonts w:hint="eastAsia" w:ascii="宋体" w:hAnsi="宋体" w:eastAsia="宋体" w:cs="宋体"/>
        </w:rPr>
      </w:pPr>
    </w:p>
    <w:p w14:paraId="3A995E32">
      <w:pPr>
        <w:pStyle w:val="26"/>
        <w:rPr>
          <w:rFonts w:hint="eastAsia" w:ascii="宋体" w:hAnsi="宋体" w:eastAsia="宋体" w:cs="宋体"/>
        </w:rPr>
      </w:pPr>
    </w:p>
    <w:p w14:paraId="360403D4">
      <w:pPr>
        <w:pStyle w:val="26"/>
        <w:rPr>
          <w:rFonts w:hint="eastAsia" w:ascii="宋体" w:hAnsi="宋体" w:eastAsia="宋体" w:cs="宋体"/>
        </w:rPr>
      </w:pPr>
    </w:p>
    <w:p w14:paraId="77D52952">
      <w:pPr>
        <w:pStyle w:val="26"/>
        <w:rPr>
          <w:rFonts w:hint="eastAsia" w:ascii="宋体" w:hAnsi="宋体" w:eastAsia="宋体" w:cs="宋体"/>
        </w:rPr>
      </w:pPr>
    </w:p>
    <w:p w14:paraId="0D51197C">
      <w:pPr>
        <w:pStyle w:val="26"/>
        <w:rPr>
          <w:rFonts w:hint="eastAsia" w:ascii="宋体" w:hAnsi="宋体" w:eastAsia="宋体" w:cs="宋体"/>
        </w:rPr>
      </w:pPr>
    </w:p>
    <w:p w14:paraId="11EFE2AC">
      <w:pPr>
        <w:pStyle w:val="26"/>
        <w:rPr>
          <w:rFonts w:hint="eastAsia" w:ascii="宋体" w:hAnsi="宋体" w:eastAsia="宋体" w:cs="宋体"/>
        </w:rPr>
      </w:pPr>
    </w:p>
    <w:p w14:paraId="26584742">
      <w:pPr>
        <w:pStyle w:val="26"/>
        <w:rPr>
          <w:rFonts w:hint="eastAsia" w:ascii="宋体" w:hAnsi="宋体" w:eastAsia="宋体" w:cs="宋体"/>
        </w:rPr>
      </w:pPr>
    </w:p>
    <w:p w14:paraId="6E16CB13">
      <w:pPr>
        <w:pStyle w:val="26"/>
        <w:rPr>
          <w:rFonts w:hint="eastAsia" w:ascii="宋体" w:hAnsi="宋体" w:eastAsia="宋体" w:cs="宋体"/>
        </w:rPr>
      </w:pPr>
    </w:p>
    <w:p w14:paraId="4C9EBBB3">
      <w:pPr>
        <w:pStyle w:val="26"/>
        <w:rPr>
          <w:rFonts w:hint="eastAsia" w:ascii="宋体" w:hAnsi="宋体" w:eastAsia="宋体" w:cs="宋体"/>
        </w:rPr>
      </w:pPr>
    </w:p>
    <w:p w14:paraId="7E3F72C2">
      <w:pPr>
        <w:pStyle w:val="26"/>
        <w:rPr>
          <w:rFonts w:hint="eastAsia" w:ascii="宋体" w:hAnsi="宋体" w:eastAsia="宋体" w:cs="宋体"/>
        </w:rPr>
      </w:pPr>
    </w:p>
    <w:p w14:paraId="6499BD27">
      <w:pPr>
        <w:pStyle w:val="26"/>
        <w:rPr>
          <w:rFonts w:hint="eastAsia" w:ascii="宋体" w:hAnsi="宋体" w:eastAsia="宋体" w:cs="宋体"/>
        </w:rPr>
      </w:pPr>
    </w:p>
    <w:p w14:paraId="27925FB9">
      <w:pPr>
        <w:pStyle w:val="26"/>
        <w:rPr>
          <w:rFonts w:hint="eastAsia" w:ascii="宋体" w:hAnsi="宋体" w:eastAsia="宋体" w:cs="宋体"/>
        </w:rPr>
      </w:pPr>
    </w:p>
    <w:p w14:paraId="375215FB">
      <w:pPr>
        <w:pStyle w:val="26"/>
        <w:rPr>
          <w:rFonts w:hint="eastAsia" w:ascii="宋体" w:hAnsi="宋体" w:eastAsia="宋体" w:cs="宋体"/>
        </w:rPr>
      </w:pPr>
    </w:p>
    <w:p w14:paraId="50189A26">
      <w:pPr>
        <w:rPr>
          <w:rFonts w:hint="eastAsia" w:ascii="宋体" w:hAnsi="宋体" w:eastAsia="宋体" w:cs="宋体"/>
        </w:rPr>
      </w:pPr>
    </w:p>
    <w:p w14:paraId="32107D38">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rPr>
      </w:pPr>
      <w:bookmarkStart w:id="153" w:name="_Toc15732"/>
      <w:r>
        <w:rPr>
          <w:rFonts w:hint="eastAsia" w:ascii="宋体" w:hAnsi="宋体" w:eastAsia="宋体" w:cs="宋体"/>
          <w:color w:val="auto"/>
          <w:sz w:val="32"/>
          <w:szCs w:val="32"/>
          <w:lang w:eastAsia="zh-CN"/>
        </w:rPr>
        <w:t>第五章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采购合同（合同主要条款及格式）</w:t>
      </w:r>
      <w:bookmarkEnd w:id="151"/>
      <w:bookmarkEnd w:id="152"/>
      <w:bookmarkEnd w:id="153"/>
    </w:p>
    <w:p w14:paraId="7661EC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合同编号：GLZC202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HTC</w:t>
      </w:r>
      <w:r>
        <w:rPr>
          <w:rFonts w:hint="eastAsia" w:ascii="宋体" w:hAnsi="宋体" w:eastAsia="宋体" w:cs="宋体"/>
          <w:color w:val="auto"/>
          <w:sz w:val="21"/>
          <w:szCs w:val="21"/>
          <w:lang w:eastAsia="zh-CN"/>
        </w:rPr>
        <w:t>1-</w:t>
      </w:r>
      <w:r>
        <w:rPr>
          <w:rFonts w:hint="eastAsia" w:ascii="宋体" w:hAnsi="宋体" w:cs="宋体"/>
          <w:color w:val="auto"/>
          <w:sz w:val="21"/>
          <w:szCs w:val="21"/>
          <w:lang w:val="en-US" w:eastAsia="zh-CN"/>
        </w:rPr>
        <w:t>990025</w:t>
      </w:r>
      <w:r>
        <w:rPr>
          <w:rFonts w:hint="eastAsia" w:ascii="宋体" w:hAnsi="宋体" w:cs="宋体"/>
          <w:color w:val="auto"/>
          <w:sz w:val="21"/>
          <w:szCs w:val="21"/>
          <w:lang w:eastAsia="zh-CN"/>
        </w:rPr>
        <w:t>-GLSZ</w:t>
      </w:r>
    </w:p>
    <w:p w14:paraId="0815C8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项目名称：</w:t>
      </w:r>
      <w:r>
        <w:rPr>
          <w:rFonts w:hint="eastAsia" w:ascii="宋体" w:hAnsi="宋体" w:cs="宋体"/>
          <w:color w:val="auto"/>
          <w:sz w:val="21"/>
          <w:szCs w:val="21"/>
          <w:lang w:val="en-US" w:eastAsia="zh-CN"/>
        </w:rPr>
        <w:t>桂林市象山区教育局城域网服务采购</w:t>
      </w:r>
    </w:p>
    <w:p w14:paraId="1004027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GLZC2025-C3-990025-GLSZ</w:t>
      </w:r>
    </w:p>
    <w:p w14:paraId="75547697">
      <w:pPr>
        <w:spacing w:line="360" w:lineRule="auto"/>
        <w:rPr>
          <w:rFonts w:hint="eastAsia" w:ascii="宋体" w:hAnsi="宋体" w:eastAsia="宋体" w:cs="宋体"/>
          <w:color w:val="auto"/>
        </w:rPr>
      </w:pPr>
      <w:r>
        <w:rPr>
          <w:rFonts w:hint="eastAsia" w:ascii="宋体" w:hAnsi="宋体" w:eastAsia="宋体" w:cs="宋体"/>
          <w:color w:val="auto"/>
          <w:lang w:eastAsia="zh-CN"/>
        </w:rPr>
        <w:t>甲方</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（采购人）</w:t>
      </w:r>
    </w:p>
    <w:p w14:paraId="165FEC0A">
      <w:pPr>
        <w:spacing w:line="360" w:lineRule="auto"/>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（成交供应商）</w:t>
      </w:r>
    </w:p>
    <w:p w14:paraId="72CD9574">
      <w:pPr>
        <w:keepNext w:val="0"/>
        <w:keepLines w:val="0"/>
        <w:widowControl/>
        <w:suppressLineNumbers w:val="0"/>
        <w:ind w:firstLine="420" w:firstLineChars="200"/>
        <w:jc w:val="left"/>
        <w:rPr>
          <w:rFonts w:hint="eastAsia" w:ascii="宋体" w:hAnsi="宋体" w:eastAsia="宋体" w:cs="宋体"/>
          <w:color w:val="auto"/>
        </w:rPr>
      </w:pPr>
      <w:r>
        <w:rPr>
          <w:rFonts w:hint="eastAsia" w:ascii="宋体" w:hAnsi="宋体" w:eastAsia="宋体" w:cs="宋体"/>
          <w:color w:val="auto"/>
        </w:rPr>
        <w:t>根据《中华人民共和国政府采购法》、</w:t>
      </w:r>
      <w:r>
        <w:rPr>
          <w:rFonts w:hint="eastAsia" w:ascii="宋体" w:hAnsi="宋体" w:eastAsia="宋体" w:cs="宋体"/>
          <w:color w:val="auto"/>
          <w:lang w:val="en-US" w:eastAsia="zh-CN"/>
        </w:rPr>
        <w:t>《中华人民共和国政府采购法实施条例》、</w:t>
      </w:r>
      <w:r>
        <w:rPr>
          <w:rFonts w:hint="eastAsia" w:ascii="宋体" w:hAnsi="宋体" w:eastAsia="宋体" w:cs="宋体"/>
          <w:color w:val="auto"/>
        </w:rPr>
        <w:t>《中华人民共和国</w:t>
      </w:r>
      <w:r>
        <w:rPr>
          <w:rFonts w:hint="eastAsia" w:ascii="宋体" w:hAnsi="宋体" w:eastAsia="宋体" w:cs="宋体"/>
          <w:color w:val="auto"/>
          <w:lang w:val="en-US" w:eastAsia="zh-CN"/>
        </w:rPr>
        <w:t>民法典</w:t>
      </w:r>
      <w:r>
        <w:rPr>
          <w:rFonts w:hint="eastAsia" w:ascii="宋体" w:hAnsi="宋体" w:eastAsia="宋体" w:cs="宋体"/>
          <w:color w:val="auto"/>
        </w:rPr>
        <w:t>》等法律、法规规定，按照竞争性磋商文件（以下简称磋商文件）、竞争性磋商响应文件（以下简称响应文件）规定条款和成交供应商的承诺、甲乙双方签订本合同。</w:t>
      </w:r>
    </w:p>
    <w:p w14:paraId="58697A95">
      <w:pPr>
        <w:pStyle w:val="4"/>
        <w:bidi w:val="0"/>
        <w:ind w:left="567" w:leftChars="200" w:hanging="147" w:hangingChars="70"/>
        <w:rPr>
          <w:rFonts w:hint="eastAsia" w:ascii="宋体" w:hAnsi="宋体" w:eastAsia="宋体" w:cs="宋体"/>
          <w:b/>
          <w:bCs w:val="0"/>
          <w:color w:val="auto"/>
          <w:sz w:val="21"/>
          <w:szCs w:val="21"/>
        </w:rPr>
      </w:pPr>
      <w:bookmarkStart w:id="154" w:name="_Toc30275"/>
      <w:bookmarkStart w:id="155" w:name="_Toc20217"/>
      <w:bookmarkStart w:id="156" w:name="_Toc20420"/>
      <w:bookmarkStart w:id="157" w:name="_Toc5322"/>
      <w:bookmarkStart w:id="158" w:name="_Toc7468"/>
      <w:bookmarkStart w:id="159" w:name="_Toc495841771"/>
      <w:bookmarkStart w:id="160" w:name="_Toc17138"/>
      <w:bookmarkStart w:id="161" w:name="_Toc24662"/>
      <w:r>
        <w:rPr>
          <w:rFonts w:hint="eastAsia" w:ascii="宋体" w:hAnsi="宋体" w:eastAsia="宋体" w:cs="宋体"/>
          <w:b/>
          <w:bCs w:val="0"/>
          <w:color w:val="auto"/>
          <w:sz w:val="21"/>
          <w:szCs w:val="21"/>
        </w:rPr>
        <w:t>第一条 合同文件</w:t>
      </w:r>
      <w:bookmarkEnd w:id="154"/>
      <w:bookmarkEnd w:id="155"/>
      <w:bookmarkEnd w:id="156"/>
    </w:p>
    <w:p w14:paraId="0410FD4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1、本合同所附下列文件是构成本合同不可分割的部分：</w:t>
      </w:r>
    </w:p>
    <w:p w14:paraId="0B6D82B0">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（1）成交供应商提交的</w:t>
      </w:r>
      <w:r>
        <w:rPr>
          <w:rFonts w:hint="eastAsia" w:ascii="宋体" w:hAnsi="宋体" w:eastAsia="宋体" w:cs="宋体"/>
          <w:color w:val="auto"/>
          <w:szCs w:val="21"/>
        </w:rPr>
        <w:t>磋商</w:t>
      </w:r>
      <w:r>
        <w:rPr>
          <w:rFonts w:hint="eastAsia" w:ascii="宋体" w:hAnsi="宋体" w:eastAsia="宋体" w:cs="宋体"/>
          <w:color w:val="auto"/>
        </w:rPr>
        <w:t>报价表、</w:t>
      </w:r>
      <w:r>
        <w:rPr>
          <w:rFonts w:hint="eastAsia" w:ascii="宋体" w:hAnsi="宋体" w:eastAsia="宋体" w:cs="宋体"/>
          <w:color w:val="auto"/>
          <w:szCs w:val="21"/>
        </w:rPr>
        <w:t>针对本项目的服务</w:t>
      </w:r>
      <w:r>
        <w:rPr>
          <w:rFonts w:hint="eastAsia" w:ascii="宋体" w:hAnsi="宋体" w:eastAsia="宋体" w:cs="宋体"/>
          <w:color w:val="auto"/>
          <w:szCs w:val="21"/>
          <w:lang w:eastAsia="zh-CN"/>
        </w:rPr>
        <w:t>承诺书</w:t>
      </w:r>
      <w:r>
        <w:rPr>
          <w:rFonts w:hint="eastAsia" w:ascii="宋体" w:hAnsi="宋体" w:eastAsia="宋体" w:cs="宋体"/>
          <w:color w:val="auto"/>
        </w:rPr>
        <w:t>；</w:t>
      </w:r>
    </w:p>
    <w:p w14:paraId="345D6440">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（2）成交通知书；</w:t>
      </w:r>
    </w:p>
    <w:p w14:paraId="445AE49A">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（3）本合同协议书及有关补充资料；</w:t>
      </w:r>
    </w:p>
    <w:p w14:paraId="6B1996CA">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u w:val="none"/>
          <w:lang w:eastAsia="zh-CN"/>
        </w:rPr>
        <w:t>磋商文件</w:t>
      </w:r>
      <w:r>
        <w:rPr>
          <w:rFonts w:hint="eastAsia" w:ascii="宋体" w:hAnsi="宋体" w:eastAsia="宋体" w:cs="宋体"/>
          <w:color w:val="auto"/>
        </w:rPr>
        <w:t>的条款要求。</w:t>
      </w:r>
    </w:p>
    <w:p w14:paraId="3FA251E4">
      <w:pPr>
        <w:tabs>
          <w:tab w:val="left" w:pos="1305"/>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2、合同价金额包括：服务过程中相关的一切费用。</w:t>
      </w:r>
    </w:p>
    <w:p w14:paraId="75CA4D8D">
      <w:pPr>
        <w:pStyle w:val="4"/>
        <w:bidi w:val="0"/>
        <w:ind w:left="567" w:leftChars="200" w:hanging="147" w:hangingChars="70"/>
        <w:rPr>
          <w:rFonts w:hint="eastAsia" w:ascii="宋体" w:hAnsi="宋体" w:eastAsia="宋体" w:cs="宋体"/>
          <w:b/>
          <w:bCs w:val="0"/>
          <w:color w:val="auto"/>
          <w:sz w:val="21"/>
          <w:szCs w:val="21"/>
        </w:rPr>
      </w:pPr>
      <w:bookmarkStart w:id="162" w:name="_Toc20630"/>
      <w:bookmarkStart w:id="163" w:name="_Toc28710"/>
      <w:bookmarkStart w:id="164" w:name="_Toc6972"/>
      <w:r>
        <w:rPr>
          <w:rFonts w:hint="eastAsia" w:ascii="宋体" w:hAnsi="宋体" w:eastAsia="宋体" w:cs="宋体"/>
          <w:b/>
          <w:bCs w:val="0"/>
          <w:color w:val="auto"/>
          <w:sz w:val="21"/>
          <w:szCs w:val="21"/>
        </w:rPr>
        <w:t>第二条　合同金额</w:t>
      </w:r>
      <w:bookmarkEnd w:id="162"/>
      <w:bookmarkEnd w:id="163"/>
      <w:bookmarkEnd w:id="164"/>
    </w:p>
    <w:p w14:paraId="0B05A0D0">
      <w:pPr>
        <w:spacing w:line="360" w:lineRule="auto"/>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根据《成交通知书》的成交内容，合同的总金额为：（大写）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人民币（</w:t>
      </w:r>
      <w:r>
        <w:rPr>
          <w:rFonts w:hint="eastAsia" w:ascii="宋体" w:hAnsi="宋体" w:eastAsia="宋体" w:cs="宋体"/>
          <w:color w:val="auto"/>
          <w:szCs w:val="21"/>
          <w:lang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14:paraId="4121A4F2">
      <w:pPr>
        <w:pStyle w:val="4"/>
        <w:bidi w:val="0"/>
        <w:ind w:left="567" w:leftChars="200" w:hanging="147" w:hangingChars="70"/>
        <w:rPr>
          <w:rFonts w:hint="eastAsia" w:ascii="宋体" w:hAnsi="宋体" w:eastAsia="宋体" w:cs="宋体"/>
          <w:b/>
          <w:bCs w:val="0"/>
          <w:color w:val="auto"/>
          <w:sz w:val="21"/>
          <w:szCs w:val="21"/>
        </w:rPr>
      </w:pPr>
      <w:bookmarkStart w:id="165" w:name="_Toc16138"/>
      <w:bookmarkStart w:id="166" w:name="_Toc9581"/>
      <w:bookmarkStart w:id="167" w:name="_Toc17284"/>
      <w:r>
        <w:rPr>
          <w:rFonts w:hint="eastAsia" w:ascii="宋体" w:hAnsi="宋体" w:eastAsia="宋体" w:cs="宋体"/>
          <w:b/>
          <w:bCs w:val="0"/>
          <w:color w:val="auto"/>
          <w:sz w:val="21"/>
          <w:szCs w:val="21"/>
        </w:rPr>
        <w:t>第三条  服务保证</w:t>
      </w:r>
      <w:bookmarkEnd w:id="165"/>
      <w:bookmarkEnd w:id="166"/>
      <w:bookmarkEnd w:id="167"/>
    </w:p>
    <w:p w14:paraId="00231BC5">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成交供应商应按</w:t>
      </w:r>
      <w:r>
        <w:rPr>
          <w:rFonts w:hint="eastAsia" w:ascii="宋体" w:hAnsi="宋体" w:cs="宋体"/>
          <w:color w:val="auto"/>
          <w:szCs w:val="21"/>
          <w:u w:val="none"/>
          <w:lang w:eastAsia="zh-CN"/>
        </w:rPr>
        <w:t>磋商文件</w:t>
      </w:r>
      <w:r>
        <w:rPr>
          <w:rFonts w:hint="eastAsia" w:ascii="宋体" w:hAnsi="宋体" w:eastAsia="宋体" w:cs="宋体"/>
          <w:color w:val="auto"/>
          <w:szCs w:val="21"/>
          <w:lang w:eastAsia="zh-CN"/>
        </w:rPr>
        <w:t>、</w:t>
      </w:r>
      <w:r>
        <w:rPr>
          <w:rFonts w:hint="eastAsia" w:ascii="宋体" w:hAnsi="宋体" w:eastAsia="宋体" w:cs="宋体"/>
          <w:color w:val="auto"/>
          <w:szCs w:val="21"/>
        </w:rPr>
        <w:t>响应文件</w:t>
      </w:r>
      <w:r>
        <w:rPr>
          <w:rFonts w:hint="eastAsia" w:ascii="宋体" w:hAnsi="宋体" w:eastAsia="宋体" w:cs="宋体"/>
          <w:color w:val="auto"/>
          <w:szCs w:val="21"/>
          <w:lang w:eastAsia="zh-CN"/>
        </w:rPr>
        <w:t>和承诺</w:t>
      </w:r>
      <w:r>
        <w:rPr>
          <w:rFonts w:hint="eastAsia" w:ascii="宋体" w:hAnsi="宋体" w:eastAsia="宋体" w:cs="宋体"/>
          <w:color w:val="auto"/>
          <w:szCs w:val="21"/>
        </w:rPr>
        <w:t>规定的服务</w:t>
      </w:r>
      <w:r>
        <w:rPr>
          <w:rFonts w:hint="eastAsia" w:ascii="宋体" w:hAnsi="宋体" w:eastAsia="宋体" w:cs="宋体"/>
          <w:color w:val="auto"/>
          <w:szCs w:val="21"/>
          <w:lang w:eastAsia="zh-CN"/>
        </w:rPr>
        <w:t>内容</w:t>
      </w:r>
      <w:r>
        <w:rPr>
          <w:rFonts w:hint="eastAsia" w:ascii="宋体" w:hAnsi="宋体" w:eastAsia="宋体" w:cs="宋体"/>
          <w:color w:val="auto"/>
          <w:szCs w:val="21"/>
        </w:rPr>
        <w:t>向采购人提供相应服务。</w:t>
      </w:r>
    </w:p>
    <w:p w14:paraId="7907CA07">
      <w:pPr>
        <w:pStyle w:val="4"/>
        <w:bidi w:val="0"/>
        <w:ind w:left="567" w:leftChars="200" w:hanging="147" w:hangingChars="70"/>
        <w:rPr>
          <w:rFonts w:hint="eastAsia" w:ascii="宋体" w:hAnsi="宋体" w:eastAsia="宋体" w:cs="宋体"/>
          <w:b/>
          <w:bCs w:val="0"/>
          <w:color w:val="auto"/>
          <w:sz w:val="21"/>
          <w:szCs w:val="21"/>
        </w:rPr>
      </w:pPr>
      <w:bookmarkStart w:id="168" w:name="_Toc7483"/>
      <w:bookmarkStart w:id="169" w:name="_Toc25056"/>
      <w:bookmarkStart w:id="170" w:name="_Toc8669"/>
      <w:r>
        <w:rPr>
          <w:rFonts w:hint="eastAsia" w:ascii="宋体" w:hAnsi="宋体" w:eastAsia="宋体" w:cs="宋体"/>
          <w:b/>
          <w:bCs w:val="0"/>
          <w:color w:val="auto"/>
          <w:sz w:val="21"/>
          <w:szCs w:val="21"/>
        </w:rPr>
        <w:t>第四条  服务期限</w:t>
      </w:r>
      <w:bookmarkEnd w:id="168"/>
      <w:bookmarkEnd w:id="169"/>
      <w:bookmarkEnd w:id="170"/>
    </w:p>
    <w:p w14:paraId="70FCB468">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合同服务期限：三年。</w:t>
      </w:r>
    </w:p>
    <w:bookmarkEnd w:id="157"/>
    <w:bookmarkEnd w:id="158"/>
    <w:bookmarkEnd w:id="159"/>
    <w:bookmarkEnd w:id="160"/>
    <w:bookmarkEnd w:id="161"/>
    <w:p w14:paraId="775D481C">
      <w:pPr>
        <w:spacing w:line="400" w:lineRule="exact"/>
        <w:ind w:firstLine="411" w:firstLineChars="196"/>
        <w:outlineLvl w:val="1"/>
        <w:rPr>
          <w:rFonts w:ascii="宋体" w:hAnsi="宋体" w:cs="宋体"/>
          <w:b/>
          <w:szCs w:val="21"/>
        </w:rPr>
      </w:pPr>
      <w:bookmarkStart w:id="171" w:name="_Toc2705"/>
      <w:bookmarkStart w:id="172" w:name="_Toc6786"/>
      <w:bookmarkStart w:id="173" w:name="_Toc12392"/>
      <w:bookmarkStart w:id="174" w:name="_Toc495841772"/>
      <w:bookmarkStart w:id="175" w:name="_Toc581"/>
      <w:r>
        <w:rPr>
          <w:rFonts w:hint="eastAsia" w:ascii="宋体" w:hAnsi="宋体" w:cs="宋体"/>
          <w:b/>
          <w:szCs w:val="21"/>
        </w:rPr>
        <w:t>第</w:t>
      </w:r>
      <w:r>
        <w:rPr>
          <w:rFonts w:hint="eastAsia" w:ascii="宋体" w:hAnsi="宋体" w:cs="宋体"/>
          <w:b/>
          <w:szCs w:val="21"/>
          <w:lang w:eastAsia="zh-CN"/>
        </w:rPr>
        <w:t>五</w:t>
      </w:r>
      <w:r>
        <w:rPr>
          <w:rFonts w:hint="eastAsia" w:ascii="宋体" w:hAnsi="宋体" w:cs="宋体"/>
          <w:b/>
          <w:szCs w:val="21"/>
        </w:rPr>
        <w:t>条  交付</w:t>
      </w:r>
      <w:bookmarkEnd w:id="171"/>
      <w:bookmarkEnd w:id="172"/>
      <w:bookmarkEnd w:id="173"/>
      <w:bookmarkEnd w:id="174"/>
      <w:bookmarkEnd w:id="175"/>
    </w:p>
    <w:p w14:paraId="7523C723">
      <w:pPr>
        <w:spacing w:line="360" w:lineRule="exact"/>
        <w:ind w:firstLine="420" w:firstLineChars="200"/>
        <w:rPr>
          <w:rFonts w:ascii="宋体" w:hAnsi="宋体"/>
          <w:szCs w:val="21"/>
        </w:rPr>
      </w:pPr>
      <w:bookmarkStart w:id="176" w:name="_Toc495841773"/>
      <w:bookmarkStart w:id="177" w:name="_Toc19482"/>
      <w:bookmarkStart w:id="178" w:name="_Toc2045"/>
      <w:bookmarkStart w:id="179" w:name="_Toc30287"/>
      <w:bookmarkStart w:id="180" w:name="_Toc14073"/>
      <w:r>
        <w:rPr>
          <w:rFonts w:hint="eastAsia" w:ascii="宋体" w:hAnsi="宋体"/>
          <w:szCs w:val="21"/>
        </w:rPr>
        <w:t>1</w:t>
      </w:r>
      <w:r>
        <w:rPr>
          <w:rFonts w:ascii="宋体" w:hAnsi="宋体"/>
          <w:szCs w:val="21"/>
        </w:rPr>
        <w:t>.</w:t>
      </w:r>
      <w:r>
        <w:rPr>
          <w:rFonts w:hint="eastAsia" w:ascii="宋体" w:hAnsi="宋体"/>
          <w:szCs w:val="21"/>
        </w:rPr>
        <w:t>交付期限：</w:t>
      </w:r>
      <w:r>
        <w:rPr>
          <w:rFonts w:hint="eastAsia" w:ascii="宋体" w:hAnsi="宋体"/>
          <w:color w:val="auto"/>
          <w:szCs w:val="21"/>
        </w:rPr>
        <w:t>自合同签订之日起</w:t>
      </w:r>
      <w:r>
        <w:rPr>
          <w:rFonts w:hint="eastAsia" w:ascii="宋体" w:hAnsi="宋体"/>
          <w:color w:val="auto"/>
          <w:szCs w:val="21"/>
          <w:lang w:val="en-US" w:eastAsia="zh-CN"/>
        </w:rPr>
        <w:t>90</w:t>
      </w:r>
      <w:r>
        <w:rPr>
          <w:rFonts w:hint="eastAsia" w:ascii="宋体" w:hAnsi="宋体"/>
          <w:color w:val="auto"/>
          <w:szCs w:val="21"/>
        </w:rPr>
        <w:t>个工作日内完成交付使用并通过验收。</w:t>
      </w:r>
    </w:p>
    <w:p w14:paraId="71875B03">
      <w:pPr>
        <w:spacing w:line="400" w:lineRule="exact"/>
        <w:ind w:firstLine="411" w:firstLineChars="196"/>
        <w:outlineLvl w:val="1"/>
        <w:rPr>
          <w:rFonts w:hint="eastAsia" w:ascii="宋体" w:hAnsi="宋体"/>
          <w:szCs w:val="21"/>
        </w:rPr>
      </w:pPr>
      <w:r>
        <w:rPr>
          <w:rFonts w:hint="eastAsia" w:ascii="宋体" w:hAnsi="宋体"/>
          <w:szCs w:val="21"/>
          <w:lang w:val="en-US" w:eastAsia="zh-CN"/>
        </w:rPr>
        <w:t>2</w:t>
      </w:r>
      <w:r>
        <w:rPr>
          <w:rFonts w:hint="eastAsia" w:ascii="宋体" w:hAnsi="宋体"/>
          <w:szCs w:val="21"/>
        </w:rPr>
        <w:t>交付地点：采购人指定地点。</w:t>
      </w:r>
    </w:p>
    <w:bookmarkEnd w:id="176"/>
    <w:bookmarkEnd w:id="177"/>
    <w:bookmarkEnd w:id="178"/>
    <w:bookmarkEnd w:id="179"/>
    <w:bookmarkEnd w:id="180"/>
    <w:p w14:paraId="23ED3ECA">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181" w:name="_Toc20093"/>
      <w:bookmarkStart w:id="182" w:name="_Toc30545"/>
      <w:bookmarkStart w:id="183" w:name="_Toc27148"/>
      <w:bookmarkStart w:id="184" w:name="_Toc26776"/>
      <w:bookmarkStart w:id="185" w:name="_Toc32055"/>
      <w:bookmarkStart w:id="186" w:name="_Toc739"/>
      <w:bookmarkStart w:id="187" w:name="_Toc30204"/>
      <w:bookmarkStart w:id="188" w:name="_Toc3014"/>
      <w:bookmarkStart w:id="189" w:name="_Toc29670"/>
      <w:bookmarkStart w:id="190" w:name="_Toc4426"/>
      <w:bookmarkStart w:id="191" w:name="_Toc11516"/>
      <w:bookmarkStart w:id="192" w:name="_Toc1376"/>
      <w:bookmarkStart w:id="193" w:name="_Toc3697"/>
      <w:bookmarkStart w:id="194" w:name="_Toc1660"/>
      <w:bookmarkStart w:id="195" w:name="_Toc11427"/>
      <w:bookmarkStart w:id="196" w:name="_Toc27919"/>
      <w:bookmarkStart w:id="197" w:name="_Toc29074"/>
      <w:r>
        <w:rPr>
          <w:rFonts w:hint="eastAsia" w:ascii="宋体" w:hAnsi="宋体" w:eastAsia="宋体" w:cs="宋体"/>
          <w:b/>
          <w:color w:val="000000"/>
          <w:sz w:val="21"/>
          <w:szCs w:val="21"/>
        </w:rPr>
        <w:t>第</w:t>
      </w:r>
      <w:r>
        <w:rPr>
          <w:rFonts w:hint="eastAsia" w:ascii="宋体" w:hAnsi="宋体" w:eastAsia="宋体" w:cs="宋体"/>
          <w:b/>
          <w:color w:val="000000"/>
          <w:sz w:val="21"/>
          <w:szCs w:val="21"/>
          <w:lang w:eastAsia="zh-CN"/>
        </w:rPr>
        <w:t>六</w:t>
      </w:r>
      <w:r>
        <w:rPr>
          <w:rFonts w:hint="eastAsia" w:ascii="宋体" w:hAnsi="宋体" w:eastAsia="宋体" w:cs="宋体"/>
          <w:b/>
          <w:color w:val="000000"/>
          <w:sz w:val="21"/>
          <w:szCs w:val="21"/>
        </w:rPr>
        <w:t>条  税费</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2A452D2">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本合同执行中相关的一切税费均由乙方负担。</w:t>
      </w:r>
    </w:p>
    <w:bookmarkEnd w:id="195"/>
    <w:bookmarkEnd w:id="196"/>
    <w:bookmarkEnd w:id="197"/>
    <w:p w14:paraId="6B560E68">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198" w:name="_Toc7785"/>
      <w:bookmarkStart w:id="199" w:name="_Toc25212"/>
      <w:bookmarkStart w:id="200" w:name="_Toc30852"/>
      <w:bookmarkStart w:id="201" w:name="_Toc413"/>
      <w:bookmarkStart w:id="202" w:name="_Toc13731"/>
      <w:bookmarkStart w:id="203" w:name="_Toc365"/>
      <w:bookmarkStart w:id="204" w:name="_Toc27110"/>
      <w:bookmarkStart w:id="205" w:name="_Toc495841777"/>
      <w:bookmarkStart w:id="206" w:name="_Toc28941"/>
      <w:bookmarkStart w:id="207" w:name="_Toc6069"/>
      <w:bookmarkStart w:id="208" w:name="_Toc9542"/>
      <w:bookmarkStart w:id="209" w:name="_Toc5332"/>
      <w:bookmarkStart w:id="210" w:name="_Toc18828"/>
      <w:bookmarkStart w:id="211" w:name="_Toc15269"/>
      <w:bookmarkStart w:id="212" w:name="_Toc1449"/>
      <w:bookmarkStart w:id="213" w:name="_Toc31303"/>
      <w:r>
        <w:rPr>
          <w:rFonts w:hint="eastAsia" w:ascii="宋体" w:hAnsi="宋体" w:eastAsia="宋体" w:cs="宋体"/>
          <w:b/>
          <w:color w:val="000000"/>
          <w:sz w:val="21"/>
          <w:szCs w:val="21"/>
        </w:rPr>
        <w:t>第</w:t>
      </w:r>
      <w:r>
        <w:rPr>
          <w:rFonts w:hint="eastAsia" w:ascii="宋体" w:hAnsi="宋体" w:eastAsia="宋体" w:cs="宋体"/>
          <w:b/>
          <w:color w:val="000000"/>
          <w:sz w:val="21"/>
          <w:szCs w:val="21"/>
          <w:lang w:eastAsia="zh-CN"/>
        </w:rPr>
        <w:t>七</w:t>
      </w:r>
      <w:r>
        <w:rPr>
          <w:rFonts w:hint="eastAsia" w:ascii="宋体" w:hAnsi="宋体" w:eastAsia="宋体" w:cs="宋体"/>
          <w:b/>
          <w:color w:val="000000"/>
          <w:sz w:val="21"/>
          <w:szCs w:val="21"/>
        </w:rPr>
        <w:t>条  付款方式</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2F49DEA">
      <w:pPr>
        <w:spacing w:line="360" w:lineRule="exact"/>
        <w:ind w:firstLine="420" w:firstLineChars="200"/>
        <w:rPr>
          <w:rFonts w:hint="eastAsia" w:ascii="宋体" w:hAnsi="宋体" w:eastAsia="宋体" w:cs="Times New Roman"/>
          <w:szCs w:val="21"/>
          <w:lang w:val="en-US" w:eastAsia="zh-CN"/>
        </w:rPr>
      </w:pPr>
      <w:bookmarkStart w:id="214" w:name="_Toc6297"/>
      <w:bookmarkStart w:id="215" w:name="_Toc29168"/>
      <w:bookmarkStart w:id="216" w:name="_Toc18880"/>
      <w:bookmarkStart w:id="217" w:name="_Toc20654"/>
      <w:bookmarkStart w:id="218" w:name="_Toc24161"/>
      <w:bookmarkStart w:id="219" w:name="_Toc2830"/>
      <w:bookmarkStart w:id="220" w:name="_Toc23778"/>
      <w:bookmarkStart w:id="221" w:name="_Toc19042"/>
      <w:bookmarkStart w:id="222" w:name="_Toc9369"/>
      <w:bookmarkStart w:id="223" w:name="_Toc9270"/>
      <w:bookmarkStart w:id="224" w:name="_Toc31045"/>
      <w:bookmarkStart w:id="225" w:name="_Toc16945"/>
      <w:bookmarkStart w:id="226" w:name="_Toc495841778"/>
      <w:bookmarkStart w:id="227" w:name="_Toc19392"/>
      <w:bookmarkStart w:id="228" w:name="_Toc9311"/>
      <w:bookmarkStart w:id="229" w:name="_Toc1104"/>
      <w:r>
        <w:rPr>
          <w:rFonts w:hint="eastAsia" w:ascii="宋体" w:hAnsi="宋体" w:eastAsia="宋体" w:cs="宋体"/>
          <w:lang w:val="en-US" w:eastAsia="zh-CN"/>
        </w:rPr>
        <w:t>1.</w:t>
      </w:r>
      <w:r>
        <w:rPr>
          <w:rFonts w:hint="eastAsia" w:ascii="宋体" w:hAnsi="宋体" w:eastAsia="宋体" w:cs="Times New Roman"/>
          <w:szCs w:val="21"/>
          <w:lang w:val="en-US" w:eastAsia="zh-CN"/>
        </w:rPr>
        <w:t>教育局负责服务采购，教育局与成交供应商签定一个总合同，再由学校与成交商签定子合同进行支付；</w:t>
      </w:r>
    </w:p>
    <w:p w14:paraId="024882EF">
      <w:pPr>
        <w:spacing w:line="36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2.合同总价包括成交服务商完成本项目服务要求后所产生的全部费用（含税），采购人不再另行向成交服务商支付其他任何费用。</w:t>
      </w:r>
    </w:p>
    <w:p w14:paraId="55B283D1">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3.本服务项目按成交金额分3年支付，签订采购合同且验收合格后支付合同金额的33%；服务期满一年后进行第二年支付，支付合同金额的33%；第二年服务期满进行第三年支付,支付合同金额的34%。</w:t>
      </w:r>
      <w:r>
        <w:rPr>
          <w:rFonts w:hint="eastAsia" w:ascii="宋体" w:hAnsi="宋体" w:eastAsia="宋体" w:cs="Times New Roman"/>
          <w:szCs w:val="21"/>
        </w:rPr>
        <w:t>合同总价包括</w:t>
      </w:r>
      <w:r>
        <w:rPr>
          <w:rFonts w:hint="eastAsia" w:ascii="宋体" w:hAnsi="宋体" w:eastAsia="宋体" w:cs="Times New Roman"/>
          <w:szCs w:val="21"/>
          <w:lang w:val="en-US" w:eastAsia="zh-CN"/>
        </w:rPr>
        <w:t xml:space="preserve"> 成 交</w:t>
      </w:r>
      <w:r>
        <w:rPr>
          <w:rFonts w:hint="eastAsia" w:ascii="宋体" w:hAnsi="宋体" w:eastAsia="宋体" w:cs="Times New Roman"/>
          <w:szCs w:val="21"/>
        </w:rPr>
        <w:t>服务商完成本项目服务要求后所产生的全部费用（含税），采购人不再另行向</w:t>
      </w:r>
      <w:r>
        <w:rPr>
          <w:rFonts w:hint="eastAsia" w:ascii="宋体" w:hAnsi="宋体" w:eastAsia="宋体" w:cs="Times New Roman"/>
          <w:szCs w:val="21"/>
          <w:lang w:val="en-US" w:eastAsia="zh-CN"/>
        </w:rPr>
        <w:t>成交</w:t>
      </w:r>
      <w:r>
        <w:rPr>
          <w:rFonts w:hint="eastAsia" w:ascii="宋体" w:hAnsi="宋体" w:eastAsia="宋体" w:cs="Times New Roman"/>
          <w:szCs w:val="21"/>
        </w:rPr>
        <w:t>服务商支付其他任何费用。</w:t>
      </w:r>
    </w:p>
    <w:p w14:paraId="3357F5E4">
      <w:pPr>
        <w:widowControl/>
        <w:spacing w:line="400" w:lineRule="exact"/>
        <w:ind w:firstLine="422" w:firstLineChars="201"/>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采购人可根据每年财政拨款情况提前支付或延后支付，若因采购人财政拨款问题导致采购人付款迟延的，采购人不承担责任</w:t>
      </w:r>
      <w:r>
        <w:rPr>
          <w:rFonts w:hint="eastAsia" w:ascii="宋体" w:hAnsi="宋体" w:eastAsia="宋体" w:cs="Times New Roman"/>
          <w:szCs w:val="21"/>
          <w:lang w:eastAsia="zh-CN"/>
        </w:rPr>
        <w:t>；若</w:t>
      </w:r>
      <w:r>
        <w:rPr>
          <w:rFonts w:hint="eastAsia" w:ascii="宋体" w:hAnsi="宋体" w:eastAsia="宋体" w:cs="Times New Roman"/>
          <w:szCs w:val="21"/>
          <w:lang w:val="en-US" w:eastAsia="zh-CN"/>
        </w:rPr>
        <w:t>成交</w:t>
      </w:r>
      <w:r>
        <w:rPr>
          <w:rFonts w:hint="eastAsia" w:ascii="宋体" w:hAnsi="宋体" w:eastAsia="宋体" w:cs="Times New Roman"/>
          <w:szCs w:val="21"/>
          <w:lang w:eastAsia="zh-CN"/>
        </w:rPr>
        <w:t>企业为中小企业，则签订合同后</w:t>
      </w:r>
      <w:r>
        <w:rPr>
          <w:rFonts w:hint="eastAsia" w:ascii="宋体" w:hAnsi="宋体" w:eastAsia="宋体" w:cs="Times New Roman"/>
          <w:szCs w:val="21"/>
          <w:lang w:val="en-US" w:eastAsia="zh-CN"/>
        </w:rPr>
        <w:t>10日内支付总合同价</w:t>
      </w:r>
      <w:r>
        <w:rPr>
          <w:rFonts w:hint="eastAsia" w:ascii="宋体" w:hAnsi="宋体" w:cs="Times New Roman"/>
          <w:szCs w:val="21"/>
          <w:lang w:val="en-US" w:eastAsia="zh-CN"/>
        </w:rPr>
        <w:t>3</w:t>
      </w:r>
      <w:r>
        <w:rPr>
          <w:rFonts w:hint="eastAsia" w:ascii="宋体" w:hAnsi="宋体" w:eastAsia="宋体" w:cs="Times New Roman"/>
          <w:szCs w:val="21"/>
          <w:lang w:val="en-US" w:eastAsia="zh-CN"/>
        </w:rPr>
        <w:t>0%的预付款。</w:t>
      </w:r>
    </w:p>
    <w:p w14:paraId="029A730B">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60887D89">
      <w:pPr>
        <w:keepNext w:val="0"/>
        <w:keepLines w:val="0"/>
        <w:pageBreakBefore w:val="0"/>
        <w:widowControl w:val="0"/>
        <w:kinsoku/>
        <w:wordWrap/>
        <w:overflowPunct/>
        <w:topLinePunct w:val="0"/>
        <w:autoSpaceDE/>
        <w:autoSpaceDN/>
        <w:bidi w:val="0"/>
        <w:adjustRightInd/>
        <w:spacing w:line="380" w:lineRule="exact"/>
        <w:ind w:left="420" w:leftChars="200" w:firstLine="0" w:firstLineChars="0"/>
        <w:textAlignment w:val="auto"/>
        <w:outlineLvl w:val="1"/>
        <w:rPr>
          <w:rFonts w:hint="eastAsia" w:ascii="宋体" w:hAnsi="宋体" w:eastAsia="宋体" w:cs="Times New Roman"/>
          <w:color w:val="auto"/>
          <w:szCs w:val="21"/>
          <w:highlight w:val="none"/>
          <w:lang w:val="en-US" w:eastAsia="zh-CN"/>
        </w:rPr>
      </w:pPr>
      <w:r>
        <w:rPr>
          <w:rFonts w:hint="eastAsia" w:ascii="宋体" w:hAnsi="宋体" w:eastAsia="宋体" w:cs="Times New Roman"/>
          <w:bCs w:val="0"/>
          <w:color w:val="auto"/>
          <w:kern w:val="2"/>
          <w:sz w:val="21"/>
          <w:szCs w:val="21"/>
          <w:highlight w:val="none"/>
          <w:lang w:val="en-US" w:eastAsia="zh-CN" w:bidi="ar-SA"/>
        </w:rPr>
        <w:t>本项目无需缴纳履约保证金。</w:t>
      </w:r>
    </w:p>
    <w:p w14:paraId="33009403">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第</w:t>
      </w:r>
      <w:r>
        <w:rPr>
          <w:rFonts w:hint="eastAsia" w:ascii="宋体" w:hAnsi="宋体" w:eastAsia="宋体" w:cs="宋体"/>
          <w:b/>
          <w:color w:val="000000"/>
          <w:sz w:val="21"/>
          <w:szCs w:val="21"/>
          <w:lang w:eastAsia="zh-CN"/>
        </w:rPr>
        <w:t>九</w:t>
      </w:r>
      <w:r>
        <w:rPr>
          <w:rFonts w:hint="eastAsia" w:ascii="宋体" w:hAnsi="宋体" w:eastAsia="宋体" w:cs="宋体"/>
          <w:b/>
          <w:color w:val="000000"/>
          <w:sz w:val="21"/>
          <w:szCs w:val="21"/>
        </w:rPr>
        <w:t>条  违约责任</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EE4714D">
      <w:pPr>
        <w:keepNext w:val="0"/>
        <w:keepLines w:val="0"/>
        <w:pageBreakBefore w:val="0"/>
        <w:widowControl w:val="0"/>
        <w:kinsoku/>
        <w:wordWrap/>
        <w:overflowPunct/>
        <w:topLinePunct w:val="0"/>
        <w:autoSpaceDE/>
        <w:autoSpaceDN/>
        <w:bidi w:val="0"/>
        <w:adjustRightInd/>
        <w:spacing w:line="380" w:lineRule="exact"/>
        <w:ind w:left="430" w:leftChars="200" w:right="111" w:rightChars="53" w:hanging="1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 乙方所提供的服务质量不合格的，应及时更换，更换不及时的按逾期处罚，乙方应向甲方支付合同金额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违约金并赔偿甲方经济损失。</w:t>
      </w:r>
    </w:p>
    <w:p w14:paraId="3DCA7232">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 乙方提供的服务如果侵犯了第三方合法权益而引发的任何纠纷或诉讼，均由乙方负责交涉并承担全部责任。</w:t>
      </w:r>
    </w:p>
    <w:p w14:paraId="49332A94">
      <w:pPr>
        <w:keepNext w:val="0"/>
        <w:keepLines w:val="0"/>
        <w:pageBreakBefore w:val="0"/>
        <w:widowControl w:val="0"/>
        <w:kinsoku/>
        <w:wordWrap/>
        <w:overflowPunct/>
        <w:topLinePunct w:val="0"/>
        <w:autoSpaceDE/>
        <w:autoSpaceDN/>
        <w:bidi w:val="0"/>
        <w:adjustRightInd/>
        <w:spacing w:line="380" w:lineRule="exact"/>
        <w:ind w:left="210" w:leftChars="100" w:firstLine="201" w:firstLineChars="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 </w:t>
      </w:r>
      <w:r>
        <w:rPr>
          <w:rFonts w:hint="eastAsia" w:ascii="宋体" w:hAnsi="宋体" w:eastAsia="宋体" w:cs="宋体"/>
          <w:color w:val="000000"/>
          <w:sz w:val="21"/>
          <w:szCs w:val="21"/>
          <w:lang w:val="en-US" w:eastAsia="zh-CN"/>
        </w:rPr>
        <w:t>乙</w:t>
      </w:r>
      <w:r>
        <w:rPr>
          <w:rFonts w:hint="eastAsia" w:ascii="宋体" w:hAnsi="宋体" w:eastAsia="宋体" w:cs="宋体"/>
          <w:color w:val="000000"/>
          <w:sz w:val="21"/>
          <w:szCs w:val="21"/>
        </w:rPr>
        <w:t>方无故延期服务交付的，每天向</w:t>
      </w:r>
      <w:r>
        <w:rPr>
          <w:rFonts w:hint="eastAsia" w:ascii="宋体" w:hAnsi="宋体" w:eastAsia="宋体" w:cs="宋体"/>
          <w:color w:val="000000"/>
          <w:sz w:val="21"/>
          <w:szCs w:val="21"/>
          <w:lang w:val="en-US" w:eastAsia="zh-CN"/>
        </w:rPr>
        <w:t>甲</w:t>
      </w:r>
      <w:r>
        <w:rPr>
          <w:rFonts w:hint="eastAsia" w:ascii="宋体" w:hAnsi="宋体" w:eastAsia="宋体" w:cs="宋体"/>
          <w:color w:val="000000"/>
          <w:sz w:val="21"/>
          <w:szCs w:val="21"/>
        </w:rPr>
        <w:t>方偿付违约合同金额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违约金，但违约金累计不得超过合同金额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，超过</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天</w:t>
      </w:r>
      <w:r>
        <w:rPr>
          <w:rFonts w:hint="eastAsia" w:ascii="宋体" w:hAnsi="宋体" w:eastAsia="宋体" w:cs="宋体"/>
          <w:color w:val="000000"/>
          <w:sz w:val="21"/>
          <w:szCs w:val="21"/>
          <w:lang w:val="en-US" w:eastAsia="zh-CN"/>
        </w:rPr>
        <w:t>甲</w:t>
      </w:r>
      <w:r>
        <w:rPr>
          <w:rFonts w:hint="eastAsia" w:ascii="宋体" w:hAnsi="宋体" w:eastAsia="宋体" w:cs="宋体"/>
          <w:color w:val="000000"/>
          <w:sz w:val="21"/>
          <w:szCs w:val="21"/>
        </w:rPr>
        <w:t>方有权解除合同，违约方承担因此给对方造成经济损失；甲方不能按期付款的，每天向乙方偿付延合同金额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滞纳金，但滞纳金累计不得超过合同金额</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14:paraId="1A24DB62">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 乙方未按本合同和投标文件中规定的服务承诺提供服务的，乙方应按本合同金额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向甲方支付违约金。</w:t>
      </w:r>
    </w:p>
    <w:p w14:paraId="273404E8">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 其他违约行为按照合同金额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收取违约金并赔偿经济损失。</w:t>
      </w:r>
    </w:p>
    <w:p w14:paraId="1F4F8D83">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230" w:name="_Toc15595"/>
      <w:bookmarkStart w:id="231" w:name="_Toc415"/>
      <w:bookmarkStart w:id="232" w:name="_Toc495841779"/>
      <w:bookmarkStart w:id="233" w:name="_Toc20057"/>
      <w:bookmarkStart w:id="234" w:name="_Toc28543"/>
      <w:bookmarkStart w:id="235" w:name="_Toc16076"/>
      <w:bookmarkStart w:id="236" w:name="_Toc21774"/>
      <w:bookmarkStart w:id="237" w:name="_Toc26465"/>
      <w:bookmarkStart w:id="238" w:name="_Toc19516"/>
      <w:bookmarkStart w:id="239" w:name="_Toc5808"/>
      <w:bookmarkStart w:id="240" w:name="_Toc16225"/>
      <w:bookmarkStart w:id="241" w:name="_Toc26415"/>
      <w:bookmarkStart w:id="242" w:name="_Toc31351"/>
      <w:bookmarkStart w:id="243" w:name="_Toc3965"/>
      <w:bookmarkStart w:id="244" w:name="_Toc19117"/>
      <w:bookmarkStart w:id="245" w:name="_Toc10840"/>
      <w:r>
        <w:rPr>
          <w:rFonts w:hint="eastAsia" w:ascii="宋体" w:hAnsi="宋体" w:eastAsia="宋体" w:cs="宋体"/>
          <w:b/>
          <w:color w:val="000000"/>
          <w:sz w:val="21"/>
          <w:szCs w:val="21"/>
        </w:rPr>
        <w:t>第</w:t>
      </w:r>
      <w:r>
        <w:rPr>
          <w:rFonts w:hint="eastAsia" w:ascii="宋体" w:hAnsi="宋体" w:eastAsia="宋体" w:cs="宋体"/>
          <w:b/>
          <w:color w:val="000000"/>
          <w:sz w:val="21"/>
          <w:szCs w:val="21"/>
          <w:lang w:eastAsia="zh-CN"/>
        </w:rPr>
        <w:t>十</w:t>
      </w:r>
      <w:r>
        <w:rPr>
          <w:rFonts w:hint="eastAsia" w:ascii="宋体" w:hAnsi="宋体" w:eastAsia="宋体" w:cs="宋体"/>
          <w:b/>
          <w:color w:val="000000"/>
          <w:sz w:val="21"/>
          <w:szCs w:val="21"/>
        </w:rPr>
        <w:t>条  不可抗力事件处理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492DA96">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1.在合同有效期内，乙方因不可抗力事件导致不能履行合同，则合同履行期可延长，其延长期与不可抗力影响期相同。</w:t>
      </w:r>
    </w:p>
    <w:p w14:paraId="532CB14C">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2.不可抗力事件发生后，应立即通知对方，并寄送有关权威机构出具的证明。</w:t>
      </w:r>
    </w:p>
    <w:p w14:paraId="0C79F53A">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3.不可抗力事件延续一百二十天以上，双方应通过友好协商，确定是否继续履行合同。</w:t>
      </w:r>
    </w:p>
    <w:p w14:paraId="2F6FAEC3">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246" w:name="_Toc12091"/>
      <w:bookmarkStart w:id="247" w:name="_Toc22031"/>
      <w:bookmarkStart w:id="248" w:name="_Toc28778"/>
      <w:bookmarkStart w:id="249" w:name="_Toc2850"/>
      <w:bookmarkStart w:id="250" w:name="_Toc6737"/>
      <w:bookmarkStart w:id="251" w:name="_Toc13440"/>
      <w:bookmarkStart w:id="252" w:name="_Toc28369"/>
      <w:bookmarkStart w:id="253" w:name="_Toc26005"/>
      <w:bookmarkStart w:id="254" w:name="_Toc495841780"/>
      <w:bookmarkStart w:id="255" w:name="_Toc20918"/>
      <w:bookmarkStart w:id="256" w:name="_Toc5847"/>
      <w:bookmarkStart w:id="257" w:name="_Toc6977"/>
      <w:bookmarkStart w:id="258" w:name="_Toc11559"/>
      <w:bookmarkStart w:id="259" w:name="_Toc1190"/>
      <w:bookmarkStart w:id="260" w:name="_Toc9"/>
      <w:bookmarkStart w:id="261" w:name="_Toc20796"/>
      <w:r>
        <w:rPr>
          <w:rFonts w:hint="eastAsia" w:ascii="宋体" w:hAnsi="宋体" w:eastAsia="宋体" w:cs="宋体"/>
          <w:b/>
          <w:color w:val="000000"/>
          <w:sz w:val="21"/>
          <w:szCs w:val="21"/>
        </w:rPr>
        <w:t>第</w:t>
      </w:r>
      <w:r>
        <w:rPr>
          <w:rFonts w:hint="eastAsia" w:ascii="宋体" w:hAnsi="宋体" w:eastAsia="宋体" w:cs="宋体"/>
          <w:b/>
          <w:color w:val="000000"/>
          <w:sz w:val="21"/>
          <w:szCs w:val="21"/>
          <w:lang w:eastAsia="zh-CN"/>
        </w:rPr>
        <w:t>十一</w:t>
      </w:r>
      <w:r>
        <w:rPr>
          <w:rFonts w:hint="eastAsia" w:ascii="宋体" w:hAnsi="宋体" w:eastAsia="宋体" w:cs="宋体"/>
          <w:b/>
          <w:color w:val="000000"/>
          <w:sz w:val="21"/>
          <w:szCs w:val="21"/>
        </w:rPr>
        <w:t>条  合同争议解决</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0E400A2">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bookmarkStart w:id="262" w:name="_Toc26915"/>
      <w:bookmarkStart w:id="263" w:name="_Toc495841781"/>
      <w:r>
        <w:rPr>
          <w:rFonts w:hint="eastAsia" w:ascii="宋体" w:hAnsi="宋体" w:eastAsia="宋体" w:cs="宋体"/>
          <w:color w:val="000000"/>
          <w:sz w:val="21"/>
          <w:szCs w:val="21"/>
        </w:rPr>
        <w:t>1、因服务问题发生争议的，应邀请国家认可的相关机构进行鉴定。服务符合要求的，鉴定费由采购人承担；服务不符合要求的，鉴定费由</w:t>
      </w:r>
      <w:r>
        <w:rPr>
          <w:rFonts w:hint="eastAsia" w:ascii="宋体" w:hAnsi="宋体" w:eastAsia="宋体" w:cs="宋体"/>
          <w:color w:val="000000"/>
          <w:sz w:val="21"/>
          <w:szCs w:val="21"/>
          <w:lang w:eastAsia="zh-CN"/>
        </w:rPr>
        <w:t>成交供应商</w:t>
      </w:r>
      <w:r>
        <w:rPr>
          <w:rFonts w:hint="eastAsia" w:ascii="宋体" w:hAnsi="宋体" w:eastAsia="宋体" w:cs="宋体"/>
          <w:color w:val="000000"/>
          <w:sz w:val="21"/>
          <w:szCs w:val="21"/>
        </w:rPr>
        <w:t>承担。</w:t>
      </w:r>
    </w:p>
    <w:p w14:paraId="30252538">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2、因履行本合同引起的或与本合同有关的争议，甲乙双方应首先通过友好协商解决，如果协商不能解决，可向</w:t>
      </w:r>
      <w:r>
        <w:rPr>
          <w:rFonts w:hint="eastAsia" w:ascii="宋体" w:hAnsi="宋体" w:eastAsia="宋体" w:cs="宋体"/>
          <w:color w:val="000000"/>
          <w:sz w:val="21"/>
          <w:szCs w:val="21"/>
          <w:lang w:eastAsia="zh-CN"/>
        </w:rPr>
        <w:t>象山区</w:t>
      </w:r>
      <w:r>
        <w:rPr>
          <w:rFonts w:hint="eastAsia" w:ascii="宋体" w:hAnsi="宋体" w:eastAsia="宋体" w:cs="宋体"/>
          <w:color w:val="000000"/>
          <w:sz w:val="21"/>
          <w:szCs w:val="21"/>
          <w:lang w:val="en-US" w:eastAsia="zh-CN"/>
        </w:rPr>
        <w:t>人民</w:t>
      </w:r>
      <w:r>
        <w:rPr>
          <w:rFonts w:hint="eastAsia" w:ascii="宋体" w:hAnsi="宋体" w:eastAsia="宋体" w:cs="宋体"/>
          <w:color w:val="000000"/>
          <w:sz w:val="21"/>
          <w:szCs w:val="21"/>
        </w:rPr>
        <w:t>法院提起诉讼。</w:t>
      </w:r>
    </w:p>
    <w:p w14:paraId="04D7216F">
      <w:pPr>
        <w:keepNext w:val="0"/>
        <w:keepLines w:val="0"/>
        <w:pageBreakBefore w:val="0"/>
        <w:widowControl w:val="0"/>
        <w:kinsoku/>
        <w:wordWrap/>
        <w:overflowPunct/>
        <w:topLinePunct w:val="0"/>
        <w:autoSpaceDE/>
        <w:autoSpaceDN/>
        <w:bidi w:val="0"/>
        <w:adjustRightInd/>
        <w:spacing w:line="380" w:lineRule="exact"/>
        <w:ind w:left="43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3、诉讼期间，本合同继续履行。</w:t>
      </w:r>
    </w:p>
    <w:p w14:paraId="1CAFF35A">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264" w:name="_Toc21111"/>
      <w:bookmarkStart w:id="265" w:name="_Toc27487"/>
      <w:bookmarkStart w:id="266" w:name="_Toc9426"/>
      <w:bookmarkStart w:id="267" w:name="_Toc16028"/>
      <w:bookmarkStart w:id="268" w:name="_Toc30073"/>
      <w:bookmarkStart w:id="269" w:name="_Toc7636"/>
      <w:bookmarkStart w:id="270" w:name="_Toc6185"/>
      <w:bookmarkStart w:id="271" w:name="_Toc12703"/>
      <w:bookmarkStart w:id="272" w:name="_Toc22717"/>
      <w:bookmarkStart w:id="273" w:name="_Toc29227"/>
      <w:bookmarkStart w:id="274" w:name="_Toc11735"/>
      <w:bookmarkStart w:id="275" w:name="_Toc29835"/>
      <w:bookmarkStart w:id="276" w:name="_Toc26569"/>
      <w:bookmarkStart w:id="277" w:name="_Toc6654"/>
      <w:r>
        <w:rPr>
          <w:rFonts w:hint="eastAsia" w:ascii="宋体" w:hAnsi="宋体" w:eastAsia="宋体" w:cs="宋体"/>
          <w:b/>
          <w:color w:val="000000"/>
          <w:sz w:val="21"/>
          <w:szCs w:val="21"/>
        </w:rPr>
        <w:t>第十</w:t>
      </w: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rPr>
        <w:t>条  合同生效及其它</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ACFC9E3">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1.合同经甲乙双方法定代表人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负责人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自然人或相应的授权代表签字并加盖</w:t>
      </w:r>
      <w:r>
        <w:rPr>
          <w:rFonts w:hint="eastAsia" w:ascii="宋体" w:hAnsi="宋体" w:cs="宋体"/>
          <w:color w:val="000000"/>
          <w:sz w:val="21"/>
          <w:szCs w:val="21"/>
          <w:lang w:eastAsia="zh-CN"/>
        </w:rPr>
        <w:t>供应商</w:t>
      </w:r>
      <w:r>
        <w:rPr>
          <w:rFonts w:hint="eastAsia" w:ascii="宋体" w:hAnsi="宋体" w:eastAsia="宋体" w:cs="宋体"/>
          <w:color w:val="000000"/>
          <w:sz w:val="21"/>
          <w:szCs w:val="21"/>
        </w:rPr>
        <w:t>公章后生效。</w:t>
      </w:r>
    </w:p>
    <w:p w14:paraId="31920B11">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2.合同执行中涉及采购资金和采购内容修改或补充的，需经本级</w:t>
      </w:r>
      <w:r>
        <w:rPr>
          <w:rFonts w:hint="eastAsia" w:ascii="宋体" w:hAnsi="宋体" w:eastAsia="宋体" w:cs="宋体"/>
          <w:color w:val="000000"/>
          <w:sz w:val="21"/>
          <w:szCs w:val="21"/>
          <w:lang w:eastAsia="zh-CN"/>
        </w:rPr>
        <w:t>财</w:t>
      </w:r>
      <w:r>
        <w:rPr>
          <w:rFonts w:hint="eastAsia" w:ascii="宋体" w:hAnsi="宋体" w:eastAsia="宋体" w:cs="宋体"/>
          <w:color w:val="000000"/>
          <w:sz w:val="21"/>
          <w:szCs w:val="21"/>
        </w:rPr>
        <w:t>政部门审批，并签订书面补充协议报本级财政部门备案，方可作为主合同不可分割的一部分。</w:t>
      </w:r>
    </w:p>
    <w:p w14:paraId="421BB0A6">
      <w:pPr>
        <w:keepNext w:val="0"/>
        <w:keepLines w:val="0"/>
        <w:pageBreakBefore w:val="0"/>
        <w:widowControl w:val="0"/>
        <w:kinsoku/>
        <w:wordWrap/>
        <w:overflowPunct/>
        <w:topLinePunct w:val="0"/>
        <w:autoSpaceDE/>
        <w:autoSpaceDN/>
        <w:bidi w:val="0"/>
        <w:adjustRightInd/>
        <w:spacing w:line="380" w:lineRule="exact"/>
        <w:ind w:left="43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3.本合同未尽事宜，遵照</w:t>
      </w:r>
      <w:r>
        <w:rPr>
          <w:rFonts w:hint="eastAsia" w:ascii="宋体" w:hAnsi="宋体" w:eastAsia="宋体" w:cs="宋体"/>
          <w:color w:val="000000"/>
          <w:sz w:val="21"/>
          <w:szCs w:val="21"/>
          <w:lang w:val="en-US" w:eastAsia="zh-CN"/>
        </w:rPr>
        <w:t>《中华人民共和国民法典》</w:t>
      </w:r>
      <w:r>
        <w:rPr>
          <w:rFonts w:hint="eastAsia" w:ascii="宋体" w:hAnsi="宋体" w:eastAsia="宋体" w:cs="宋体"/>
          <w:color w:val="000000"/>
          <w:sz w:val="21"/>
          <w:szCs w:val="21"/>
        </w:rPr>
        <w:t>有关条文执行。</w:t>
      </w:r>
    </w:p>
    <w:p w14:paraId="1BD488B7">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278" w:name="_Toc5670"/>
      <w:bookmarkStart w:id="279" w:name="_Toc495841782"/>
      <w:bookmarkStart w:id="280" w:name="_Toc31869"/>
      <w:bookmarkStart w:id="281" w:name="_Toc20115"/>
      <w:bookmarkStart w:id="282" w:name="_Toc12949"/>
      <w:bookmarkStart w:id="283" w:name="_Toc25677"/>
      <w:bookmarkStart w:id="284" w:name="_Toc2494"/>
      <w:bookmarkStart w:id="285" w:name="_Toc20803"/>
      <w:bookmarkStart w:id="286" w:name="_Toc10983"/>
      <w:bookmarkStart w:id="287" w:name="_Toc7137"/>
      <w:bookmarkStart w:id="288" w:name="_Toc25970"/>
      <w:bookmarkStart w:id="289" w:name="_Toc14733"/>
      <w:bookmarkStart w:id="290" w:name="_Toc10933"/>
      <w:bookmarkStart w:id="291" w:name="_Toc19507"/>
      <w:bookmarkStart w:id="292" w:name="_Toc31589"/>
      <w:bookmarkStart w:id="293" w:name="_Toc16310"/>
      <w:r>
        <w:rPr>
          <w:rFonts w:hint="eastAsia" w:ascii="宋体" w:hAnsi="宋体" w:eastAsia="宋体" w:cs="宋体"/>
          <w:b/>
          <w:color w:val="000000"/>
          <w:sz w:val="21"/>
          <w:szCs w:val="21"/>
        </w:rPr>
        <w:t>第十</w:t>
      </w:r>
      <w:r>
        <w:rPr>
          <w:rFonts w:hint="eastAsia" w:ascii="宋体" w:hAnsi="宋体" w:eastAsia="宋体" w:cs="宋体"/>
          <w:b/>
          <w:color w:val="000000"/>
          <w:sz w:val="21"/>
          <w:szCs w:val="21"/>
          <w:lang w:eastAsia="zh-CN"/>
        </w:rPr>
        <w:t>三</w:t>
      </w:r>
      <w:r>
        <w:rPr>
          <w:rFonts w:hint="eastAsia" w:ascii="宋体" w:hAnsi="宋体" w:eastAsia="宋体" w:cs="宋体"/>
          <w:b/>
          <w:color w:val="000000"/>
          <w:sz w:val="21"/>
          <w:szCs w:val="21"/>
        </w:rPr>
        <w:t>条  合同的变更、终止与转让</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3B8F8F8">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1.除《中华人民共和国政府采购法》第五十条规定的情形外，本合同一经签订，甲乙双方不得擅自变更，中止或终止。</w:t>
      </w:r>
    </w:p>
    <w:p w14:paraId="1F05B878">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2.乙方不得擅自转让(无进口资格的供应商委托进口货物除外)其应履行的合同义务。</w:t>
      </w:r>
    </w:p>
    <w:p w14:paraId="1E805942">
      <w:pPr>
        <w:keepNext w:val="0"/>
        <w:keepLines w:val="0"/>
        <w:pageBreakBefore w:val="0"/>
        <w:widowControl w:val="0"/>
        <w:kinsoku/>
        <w:wordWrap/>
        <w:overflowPunct/>
        <w:topLinePunct w:val="0"/>
        <w:autoSpaceDE/>
        <w:autoSpaceDN/>
        <w:bidi w:val="0"/>
        <w:adjustRightInd/>
        <w:spacing w:line="380" w:lineRule="exact"/>
        <w:ind w:firstLine="411" w:firstLineChars="196"/>
        <w:textAlignment w:val="auto"/>
        <w:outlineLvl w:val="1"/>
        <w:rPr>
          <w:rFonts w:hint="eastAsia" w:ascii="宋体" w:hAnsi="宋体" w:eastAsia="宋体" w:cs="宋体"/>
          <w:b/>
          <w:color w:val="000000"/>
          <w:sz w:val="21"/>
          <w:szCs w:val="21"/>
        </w:rPr>
      </w:pPr>
      <w:bookmarkStart w:id="294" w:name="_Toc23580"/>
      <w:bookmarkStart w:id="295" w:name="_Toc25942"/>
      <w:bookmarkStart w:id="296" w:name="_Toc23572"/>
      <w:bookmarkStart w:id="297" w:name="_Toc28306"/>
      <w:bookmarkStart w:id="298" w:name="_Toc9575"/>
      <w:bookmarkStart w:id="299" w:name="_Toc3766"/>
      <w:bookmarkStart w:id="300" w:name="_Toc495841783"/>
      <w:bookmarkStart w:id="301" w:name="_Toc5360"/>
      <w:bookmarkStart w:id="302" w:name="_Toc17074"/>
      <w:bookmarkStart w:id="303" w:name="_Toc19588"/>
      <w:bookmarkStart w:id="304" w:name="_Toc5468"/>
      <w:bookmarkStart w:id="305" w:name="_Toc27020"/>
      <w:bookmarkStart w:id="306" w:name="_Toc30417"/>
      <w:bookmarkStart w:id="307" w:name="_Toc11079"/>
      <w:bookmarkStart w:id="308" w:name="_Toc19322"/>
      <w:bookmarkStart w:id="309" w:name="_Toc1023"/>
      <w:r>
        <w:rPr>
          <w:rFonts w:hint="eastAsia" w:ascii="宋体" w:hAnsi="宋体" w:eastAsia="宋体" w:cs="宋体"/>
          <w:b/>
          <w:color w:val="000000"/>
          <w:sz w:val="21"/>
          <w:szCs w:val="21"/>
        </w:rPr>
        <w:t>第十</w:t>
      </w:r>
      <w:r>
        <w:rPr>
          <w:rFonts w:hint="eastAsia" w:ascii="宋体" w:hAnsi="宋体" w:eastAsia="宋体" w:cs="宋体"/>
          <w:b/>
          <w:color w:val="000000"/>
          <w:sz w:val="21"/>
          <w:szCs w:val="21"/>
          <w:lang w:eastAsia="zh-CN"/>
        </w:rPr>
        <w:t>四</w:t>
      </w:r>
      <w:r>
        <w:rPr>
          <w:rFonts w:hint="eastAsia" w:ascii="宋体" w:hAnsi="宋体" w:eastAsia="宋体" w:cs="宋体"/>
          <w:b/>
          <w:color w:val="000000"/>
          <w:sz w:val="21"/>
          <w:szCs w:val="21"/>
        </w:rPr>
        <w:t>条  签订本合同依据</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1BD3BCD">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1.招标文件；</w:t>
      </w:r>
    </w:p>
    <w:p w14:paraId="17ECC3AE">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2.乙方提供的投标（或应答）文件；</w:t>
      </w:r>
    </w:p>
    <w:p w14:paraId="235D4E04">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3.服务承诺书；</w:t>
      </w:r>
    </w:p>
    <w:p w14:paraId="1F28189E">
      <w:pPr>
        <w:keepNext w:val="0"/>
        <w:keepLines w:val="0"/>
        <w:pageBreakBefore w:val="0"/>
        <w:widowControl w:val="0"/>
        <w:kinsoku/>
        <w:wordWrap/>
        <w:overflowPunct/>
        <w:topLinePunct w:val="0"/>
        <w:autoSpaceDE/>
        <w:autoSpaceDN/>
        <w:bidi w:val="0"/>
        <w:adjustRightInd/>
        <w:spacing w:line="380" w:lineRule="exact"/>
        <w:ind w:left="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成交</w:t>
      </w:r>
      <w:r>
        <w:rPr>
          <w:rFonts w:hint="eastAsia" w:ascii="宋体" w:hAnsi="宋体" w:eastAsia="宋体" w:cs="宋体"/>
          <w:color w:val="000000"/>
          <w:sz w:val="21"/>
          <w:szCs w:val="21"/>
        </w:rPr>
        <w:t>通知书。</w:t>
      </w:r>
    </w:p>
    <w:p w14:paraId="0B9E8B8C">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Cs w:val="21"/>
        </w:rPr>
        <w:t>政府采购合同双方自签订之日起将自动存档于“</w:t>
      </w:r>
      <w:r>
        <w:rPr>
          <w:rFonts w:hint="eastAsia" w:ascii="宋体" w:hAnsi="宋体" w:cs="宋体"/>
          <w:color w:val="000000"/>
          <w:szCs w:val="21"/>
          <w:lang w:eastAsia="zh-CN"/>
        </w:rPr>
        <w:t>广西政府采购云平台</w:t>
      </w:r>
      <w:r>
        <w:rPr>
          <w:rFonts w:hint="eastAsia" w:ascii="宋体" w:hAnsi="宋体" w:cs="宋体"/>
          <w:color w:val="000000"/>
          <w:szCs w:val="21"/>
        </w:rPr>
        <w:t>”平台上，采购人于合同签订之日起七个工作日内将一份合同原件送本级财政部门备案。</w:t>
      </w:r>
    </w:p>
    <w:p w14:paraId="02A8095E">
      <w:pPr>
        <w:spacing w:line="360" w:lineRule="auto"/>
        <w:rPr>
          <w:rFonts w:hint="eastAsia" w:ascii="宋体" w:hAnsi="宋体" w:eastAsia="宋体" w:cs="宋体"/>
          <w:color w:val="auto"/>
          <w:szCs w:val="21"/>
        </w:rPr>
      </w:pPr>
    </w:p>
    <w:p w14:paraId="67C19A10">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采购人名称（公章）：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成交供应商名称（公章）：</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14D00CC">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p>
    <w:p w14:paraId="3CEA9B47">
      <w:pPr>
        <w:tabs>
          <w:tab w:val="left" w:pos="4680"/>
        </w:tabs>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p>
    <w:p w14:paraId="7514B176">
      <w:pPr>
        <w:tabs>
          <w:tab w:val="left" w:pos="5040"/>
        </w:tabs>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电   话： </w:t>
      </w:r>
      <w:r>
        <w:rPr>
          <w:rFonts w:hint="eastAsia" w:ascii="宋体" w:hAnsi="宋体" w:eastAsia="宋体" w:cs="宋体"/>
          <w:color w:val="auto"/>
          <w:szCs w:val="21"/>
          <w:u w:val="single"/>
        </w:rPr>
        <w:t xml:space="preserve">                                  </w:t>
      </w:r>
    </w:p>
    <w:p w14:paraId="3789003C">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3CD54E6">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77A0941">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D752AC3">
      <w:pPr>
        <w:tabs>
          <w:tab w:val="left" w:pos="5040"/>
        </w:tabs>
        <w:spacing w:line="360" w:lineRule="auto"/>
        <w:rPr>
          <w:rFonts w:hint="eastAsia" w:ascii="宋体" w:hAnsi="宋体" w:eastAsia="宋体" w:cs="宋体"/>
          <w:color w:val="auto"/>
          <w:lang w:val="en-US" w:eastAsia="zh-CN"/>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45F479B">
      <w:pPr>
        <w:rPr>
          <w:rFonts w:hint="eastAsia" w:ascii="宋体" w:hAnsi="宋体" w:eastAsia="宋体" w:cs="宋体"/>
          <w:color w:val="auto"/>
        </w:rPr>
      </w:pPr>
    </w:p>
    <w:p w14:paraId="2E33E6B0">
      <w:pPr>
        <w:pStyle w:val="10"/>
        <w:rPr>
          <w:rFonts w:hint="eastAsia" w:ascii="宋体" w:hAnsi="宋体" w:eastAsia="宋体" w:cs="宋体"/>
          <w:color w:val="auto"/>
        </w:rPr>
      </w:pPr>
    </w:p>
    <w:p w14:paraId="2CE2F777">
      <w:pPr>
        <w:rPr>
          <w:rFonts w:hint="eastAsia" w:ascii="宋体" w:hAnsi="宋体" w:eastAsia="宋体" w:cs="宋体"/>
          <w:color w:val="auto"/>
        </w:rPr>
      </w:pPr>
    </w:p>
    <w:p w14:paraId="0DDF50B0">
      <w:pPr>
        <w:pStyle w:val="26"/>
        <w:rPr>
          <w:rFonts w:hint="eastAsia" w:ascii="宋体" w:hAnsi="宋体" w:eastAsia="宋体" w:cs="宋体"/>
          <w:color w:val="auto"/>
        </w:rPr>
      </w:pPr>
    </w:p>
    <w:p w14:paraId="4C869CDC">
      <w:pPr>
        <w:pStyle w:val="26"/>
        <w:rPr>
          <w:rFonts w:hint="eastAsia" w:ascii="宋体" w:hAnsi="宋体" w:eastAsia="宋体" w:cs="宋体"/>
          <w:color w:val="auto"/>
        </w:rPr>
      </w:pPr>
    </w:p>
    <w:p w14:paraId="5C45427C">
      <w:pPr>
        <w:pStyle w:val="26"/>
        <w:rPr>
          <w:rFonts w:hint="eastAsia" w:ascii="宋体" w:hAnsi="宋体" w:eastAsia="宋体" w:cs="宋体"/>
          <w:color w:val="auto"/>
        </w:rPr>
      </w:pPr>
    </w:p>
    <w:p w14:paraId="62B12A6A">
      <w:pPr>
        <w:pStyle w:val="26"/>
        <w:rPr>
          <w:rFonts w:hint="eastAsia" w:ascii="宋体" w:hAnsi="宋体" w:eastAsia="宋体" w:cs="宋体"/>
          <w:color w:val="auto"/>
        </w:rPr>
      </w:pPr>
    </w:p>
    <w:p w14:paraId="6F3E4887">
      <w:pPr>
        <w:pStyle w:val="26"/>
        <w:rPr>
          <w:rFonts w:hint="eastAsia" w:ascii="宋体" w:hAnsi="宋体" w:eastAsia="宋体" w:cs="宋体"/>
          <w:color w:val="auto"/>
        </w:rPr>
      </w:pPr>
    </w:p>
    <w:p w14:paraId="3F7CD127">
      <w:pPr>
        <w:pStyle w:val="26"/>
        <w:rPr>
          <w:rFonts w:hint="eastAsia" w:ascii="宋体" w:hAnsi="宋体" w:eastAsia="宋体" w:cs="宋体"/>
          <w:color w:val="auto"/>
        </w:rPr>
      </w:pPr>
    </w:p>
    <w:p w14:paraId="00831822">
      <w:pPr>
        <w:pStyle w:val="26"/>
        <w:rPr>
          <w:rFonts w:hint="eastAsia" w:ascii="宋体" w:hAnsi="宋体" w:eastAsia="宋体" w:cs="宋体"/>
          <w:color w:val="auto"/>
        </w:rPr>
      </w:pPr>
    </w:p>
    <w:p w14:paraId="7D7780AF">
      <w:pPr>
        <w:pStyle w:val="26"/>
        <w:rPr>
          <w:rFonts w:hint="eastAsia" w:ascii="宋体" w:hAnsi="宋体" w:eastAsia="宋体" w:cs="宋体"/>
          <w:color w:val="auto"/>
        </w:rPr>
      </w:pPr>
    </w:p>
    <w:p w14:paraId="0F33F1BF">
      <w:pPr>
        <w:pStyle w:val="26"/>
        <w:rPr>
          <w:rFonts w:hint="eastAsia" w:ascii="宋体" w:hAnsi="宋体" w:eastAsia="宋体" w:cs="宋体"/>
          <w:color w:val="auto"/>
        </w:rPr>
      </w:pPr>
    </w:p>
    <w:p w14:paraId="74364F32">
      <w:pPr>
        <w:pStyle w:val="26"/>
        <w:rPr>
          <w:rFonts w:hint="eastAsia" w:ascii="宋体" w:hAnsi="宋体" w:eastAsia="宋体" w:cs="宋体"/>
          <w:color w:val="auto"/>
        </w:rPr>
      </w:pPr>
    </w:p>
    <w:p w14:paraId="08784711">
      <w:pPr>
        <w:pStyle w:val="26"/>
        <w:rPr>
          <w:rFonts w:hint="eastAsia" w:ascii="宋体" w:hAnsi="宋体" w:eastAsia="宋体" w:cs="宋体"/>
          <w:color w:val="auto"/>
        </w:rPr>
      </w:pPr>
    </w:p>
    <w:p w14:paraId="121F63E4">
      <w:pPr>
        <w:pStyle w:val="26"/>
        <w:rPr>
          <w:rFonts w:hint="eastAsia" w:ascii="宋体" w:hAnsi="宋体" w:eastAsia="宋体" w:cs="宋体"/>
          <w:color w:val="auto"/>
        </w:rPr>
      </w:pPr>
    </w:p>
    <w:p w14:paraId="6D9F3874">
      <w:pPr>
        <w:pStyle w:val="26"/>
        <w:rPr>
          <w:rFonts w:hint="eastAsia" w:ascii="宋体" w:hAnsi="宋体" w:eastAsia="宋体" w:cs="宋体"/>
          <w:color w:val="auto"/>
        </w:rPr>
      </w:pPr>
    </w:p>
    <w:p w14:paraId="6A780000">
      <w:pPr>
        <w:pStyle w:val="26"/>
        <w:rPr>
          <w:rFonts w:hint="eastAsia" w:ascii="宋体" w:hAnsi="宋体" w:eastAsia="宋体" w:cs="宋体"/>
          <w:color w:val="auto"/>
        </w:rPr>
      </w:pPr>
    </w:p>
    <w:p w14:paraId="762E8D81">
      <w:pPr>
        <w:pStyle w:val="26"/>
        <w:rPr>
          <w:rFonts w:hint="eastAsia" w:ascii="宋体" w:hAnsi="宋体" w:eastAsia="宋体" w:cs="宋体"/>
          <w:color w:val="auto"/>
        </w:rPr>
      </w:pPr>
    </w:p>
    <w:p w14:paraId="00A3CDD4">
      <w:pPr>
        <w:pStyle w:val="26"/>
        <w:rPr>
          <w:rFonts w:hint="eastAsia" w:ascii="宋体" w:hAnsi="宋体" w:eastAsia="宋体" w:cs="宋体"/>
          <w:color w:val="auto"/>
        </w:rPr>
      </w:pPr>
    </w:p>
    <w:p w14:paraId="4A7D0A68">
      <w:pPr>
        <w:pStyle w:val="26"/>
        <w:rPr>
          <w:rFonts w:hint="eastAsia" w:ascii="宋体" w:hAnsi="宋体" w:eastAsia="宋体" w:cs="宋体"/>
          <w:color w:val="auto"/>
        </w:rPr>
      </w:pPr>
    </w:p>
    <w:p w14:paraId="5C886374">
      <w:pPr>
        <w:pStyle w:val="26"/>
        <w:rPr>
          <w:rFonts w:hint="eastAsia" w:ascii="宋体" w:hAnsi="宋体" w:eastAsia="宋体" w:cs="宋体"/>
          <w:color w:val="auto"/>
        </w:rPr>
      </w:pPr>
    </w:p>
    <w:p w14:paraId="575EDB6C">
      <w:pPr>
        <w:pStyle w:val="4"/>
        <w:ind w:left="0" w:leftChars="0" w:firstLine="0" w:firstLineChars="0"/>
        <w:jc w:val="center"/>
        <w:outlineLvl w:val="0"/>
        <w:rPr>
          <w:rFonts w:hint="eastAsia" w:ascii="宋体" w:hAnsi="宋体" w:eastAsia="宋体" w:cs="宋体"/>
          <w:b/>
          <w:bCs/>
        </w:rPr>
      </w:pPr>
      <w:bookmarkStart w:id="310" w:name="_Toc24269"/>
      <w:bookmarkStart w:id="311" w:name="_Toc10014"/>
      <w:bookmarkStart w:id="312" w:name="_Toc10936"/>
      <w:r>
        <w:rPr>
          <w:rFonts w:hint="eastAsia" w:ascii="宋体" w:hAnsi="宋体" w:eastAsia="宋体" w:cs="宋体"/>
          <w:b/>
          <w:bCs/>
          <w:color w:val="auto"/>
          <w:kern w:val="44"/>
          <w:sz w:val="32"/>
          <w:szCs w:val="32"/>
        </w:rPr>
        <w:t xml:space="preserve">第六章  </w:t>
      </w:r>
      <w:bookmarkEnd w:id="310"/>
      <w:bookmarkEnd w:id="311"/>
      <w:bookmarkStart w:id="313" w:name="_Toc13185"/>
      <w:r>
        <w:rPr>
          <w:rFonts w:hint="eastAsia" w:ascii="宋体" w:hAnsi="宋体" w:eastAsia="宋体" w:cs="宋体"/>
          <w:b/>
          <w:bCs/>
          <w:color w:val="auto"/>
          <w:sz w:val="32"/>
          <w:szCs w:val="32"/>
          <w:highlight w:val="none"/>
        </w:rPr>
        <w:t>响应文件（格式）</w:t>
      </w:r>
      <w:bookmarkEnd w:id="312"/>
      <w:bookmarkEnd w:id="313"/>
    </w:p>
    <w:p w14:paraId="6B325BBC">
      <w:pPr>
        <w:rPr>
          <w:rFonts w:hint="eastAsia" w:ascii="宋体" w:hAnsi="宋体" w:eastAsia="宋体" w:cs="宋体"/>
        </w:rPr>
      </w:pPr>
    </w:p>
    <w:p w14:paraId="40427C3F">
      <w:pPr>
        <w:numPr>
          <w:ilvl w:val="0"/>
          <w:numId w:val="0"/>
        </w:numPr>
        <w:outlineLvl w:val="0"/>
        <w:rPr>
          <w:rFonts w:hint="eastAsia" w:ascii="宋体" w:hAnsi="宋体" w:eastAsia="宋体" w:cs="宋体"/>
          <w:b/>
          <w:bCs/>
          <w:color w:val="auto"/>
          <w:sz w:val="32"/>
          <w:szCs w:val="32"/>
          <w:lang w:eastAsia="zh-CN"/>
        </w:rPr>
      </w:pPr>
      <w:bookmarkStart w:id="314" w:name="_Toc497927069"/>
      <w:bookmarkStart w:id="315" w:name="_Toc21496"/>
      <w:bookmarkStart w:id="316" w:name="_Toc18351"/>
      <w:bookmarkStart w:id="317" w:name="_Toc29652"/>
      <w:r>
        <w:rPr>
          <w:rFonts w:hint="eastAsia" w:ascii="宋体" w:hAnsi="宋体" w:eastAsia="宋体" w:cs="宋体"/>
          <w:b/>
          <w:bCs/>
          <w:color w:val="auto"/>
          <w:sz w:val="32"/>
          <w:szCs w:val="32"/>
          <w:lang w:eastAsia="zh-CN"/>
        </w:rPr>
        <w:t>一、响应文件袋（盒、箱）标记</w:t>
      </w:r>
      <w:bookmarkEnd w:id="314"/>
      <w:bookmarkEnd w:id="315"/>
      <w:bookmarkEnd w:id="316"/>
      <w:bookmarkEnd w:id="317"/>
    </w:p>
    <w:p w14:paraId="4908BD86">
      <w:pPr>
        <w:adjustRightInd w:val="0"/>
        <w:snapToGrid w:val="0"/>
        <w:rPr>
          <w:rFonts w:hint="eastAsia" w:ascii="宋体" w:hAnsi="宋体" w:eastAsia="宋体" w:cs="宋体"/>
          <w:b/>
          <w:color w:val="auto"/>
          <w:sz w:val="44"/>
          <w:szCs w:val="44"/>
        </w:rPr>
      </w:pPr>
    </w:p>
    <w:p w14:paraId="5279A3A4">
      <w:pPr>
        <w:pStyle w:val="26"/>
        <w:rPr>
          <w:rFonts w:hint="eastAsia" w:ascii="宋体" w:hAnsi="宋体" w:eastAsia="宋体" w:cs="宋体"/>
        </w:rPr>
      </w:pPr>
    </w:p>
    <w:p w14:paraId="0F37378D">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771FE3E7">
      <w:pPr>
        <w:snapToGrid w:val="0"/>
        <w:spacing w:before="156" w:beforeLines="50" w:after="50"/>
        <w:ind w:firstLine="480" w:firstLineChars="150"/>
        <w:jc w:val="both"/>
        <w:rPr>
          <w:rFonts w:hint="eastAsia" w:ascii="宋体" w:hAnsi="宋体" w:eastAsia="宋体" w:cs="宋体"/>
          <w:b/>
          <w:color w:val="auto"/>
          <w:sz w:val="28"/>
          <w:szCs w:val="28"/>
        </w:rPr>
      </w:pPr>
      <w:r>
        <w:rPr>
          <w:rFonts w:hint="eastAsia" w:ascii="宋体" w:hAnsi="宋体" w:eastAsia="宋体" w:cs="宋体"/>
          <w:color w:val="auto"/>
          <w:sz w:val="32"/>
          <w:szCs w:val="32"/>
          <w:lang w:val="en-US" w:eastAsia="zh-CN"/>
        </w:rPr>
        <w:t xml:space="preserve">                       </w:t>
      </w:r>
    </w:p>
    <w:p w14:paraId="71363A5C">
      <w:pPr>
        <w:snapToGrid w:val="0"/>
        <w:spacing w:before="156" w:beforeLines="50" w:after="50"/>
        <w:ind w:firstLine="420" w:firstLineChars="150"/>
        <w:rPr>
          <w:rFonts w:hint="eastAsia" w:ascii="宋体" w:hAnsi="宋体" w:eastAsia="宋体" w:cs="宋体"/>
          <w:b/>
          <w:color w:val="auto"/>
          <w:sz w:val="28"/>
          <w:szCs w:val="28"/>
        </w:rPr>
      </w:pPr>
    </w:p>
    <w:p w14:paraId="3D360B6E">
      <w:pPr>
        <w:snapToGrid w:val="0"/>
        <w:spacing w:before="156" w:beforeLines="50" w:after="50"/>
        <w:ind w:firstLine="420" w:firstLineChars="150"/>
        <w:rPr>
          <w:rFonts w:hint="eastAsia" w:ascii="宋体" w:hAnsi="宋体" w:eastAsia="宋体" w:cs="宋体"/>
          <w:b/>
          <w:bCs w:val="0"/>
          <w:color w:val="auto"/>
          <w:sz w:val="28"/>
          <w:szCs w:val="28"/>
        </w:rPr>
      </w:pPr>
    </w:p>
    <w:p w14:paraId="22793B82">
      <w:pPr>
        <w:pStyle w:val="12"/>
        <w:spacing w:line="320" w:lineRule="exact"/>
        <w:ind w:firstLine="420"/>
        <w:jc w:val="center"/>
        <w:rPr>
          <w:rFonts w:hint="eastAsia" w:hAnsi="宋体" w:cs="宋体"/>
          <w:b/>
          <w:bCs w:val="0"/>
          <w:color w:val="auto"/>
          <w:sz w:val="32"/>
          <w:szCs w:val="32"/>
          <w:lang w:val="en-US" w:eastAsia="zh-CN"/>
        </w:rPr>
      </w:pPr>
      <w:r>
        <w:rPr>
          <w:rFonts w:hint="eastAsia" w:ascii="宋体" w:hAnsi="宋体" w:eastAsia="宋体" w:cs="宋体"/>
          <w:b/>
          <w:bCs w:val="0"/>
          <w:color w:val="auto"/>
          <w:sz w:val="32"/>
          <w:szCs w:val="32"/>
        </w:rPr>
        <w:t>项目名称：</w:t>
      </w:r>
      <w:r>
        <w:rPr>
          <w:rFonts w:hint="eastAsia" w:hAnsi="宋体" w:cs="宋体"/>
          <w:b/>
          <w:bCs w:val="0"/>
          <w:color w:val="auto"/>
          <w:sz w:val="32"/>
          <w:szCs w:val="32"/>
          <w:lang w:val="en-US" w:eastAsia="zh-CN"/>
        </w:rPr>
        <w:t>桂林市象山区教育局城域网服务采购</w:t>
      </w:r>
    </w:p>
    <w:p w14:paraId="1B0A146E">
      <w:pPr>
        <w:pStyle w:val="12"/>
        <w:spacing w:line="320" w:lineRule="exact"/>
        <w:ind w:firstLine="420"/>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rPr>
        <w:t>项目编号：</w:t>
      </w:r>
      <w:r>
        <w:rPr>
          <w:rFonts w:hint="eastAsia" w:hAnsi="宋体" w:cs="宋体"/>
          <w:b/>
          <w:bCs w:val="0"/>
          <w:color w:val="auto"/>
          <w:sz w:val="32"/>
          <w:szCs w:val="32"/>
          <w:lang w:eastAsia="zh-CN"/>
        </w:rPr>
        <w:t>GLZC2025-C3-990025-GLSZ</w:t>
      </w:r>
    </w:p>
    <w:p w14:paraId="463E95A5">
      <w:pPr>
        <w:rPr>
          <w:rFonts w:hint="eastAsia" w:ascii="宋体" w:hAnsi="宋体" w:eastAsia="宋体" w:cs="宋体"/>
          <w:b/>
          <w:color w:val="auto"/>
        </w:rPr>
      </w:pPr>
    </w:p>
    <w:p w14:paraId="6744E306">
      <w:pPr>
        <w:spacing w:line="400" w:lineRule="exact"/>
        <w:ind w:firstLine="2693" w:firstLineChars="962"/>
        <w:rPr>
          <w:rFonts w:hint="eastAsia" w:ascii="宋体" w:hAnsi="宋体" w:eastAsia="宋体" w:cs="宋体"/>
          <w:b/>
          <w:color w:val="auto"/>
          <w:sz w:val="28"/>
          <w:szCs w:val="28"/>
        </w:rPr>
      </w:pPr>
    </w:p>
    <w:p w14:paraId="7BC66C15">
      <w:pPr>
        <w:pStyle w:val="26"/>
        <w:rPr>
          <w:rFonts w:hint="eastAsia" w:ascii="宋体" w:hAnsi="宋体" w:eastAsia="宋体" w:cs="宋体"/>
          <w:b/>
          <w:color w:val="auto"/>
          <w:sz w:val="28"/>
          <w:szCs w:val="28"/>
        </w:rPr>
      </w:pPr>
    </w:p>
    <w:p w14:paraId="746C75E3">
      <w:pPr>
        <w:pStyle w:val="26"/>
        <w:rPr>
          <w:rFonts w:hint="eastAsia" w:ascii="宋体" w:hAnsi="宋体" w:eastAsia="宋体" w:cs="宋体"/>
          <w:b/>
          <w:color w:val="auto"/>
          <w:sz w:val="28"/>
          <w:szCs w:val="28"/>
        </w:rPr>
      </w:pPr>
    </w:p>
    <w:p w14:paraId="1BB9C12A">
      <w:pPr>
        <w:pStyle w:val="26"/>
        <w:rPr>
          <w:rFonts w:hint="eastAsia" w:ascii="宋体" w:hAnsi="宋体" w:eastAsia="宋体" w:cs="宋体"/>
          <w:b/>
          <w:color w:val="auto"/>
          <w:sz w:val="28"/>
          <w:szCs w:val="28"/>
        </w:rPr>
      </w:pPr>
    </w:p>
    <w:p w14:paraId="6D4C8E82">
      <w:pPr>
        <w:snapToGrid w:val="0"/>
        <w:spacing w:before="156" w:beforeLines="50" w:after="50"/>
        <w:ind w:firstLine="2693" w:firstLineChars="962"/>
        <w:rPr>
          <w:rFonts w:hint="eastAsia" w:ascii="宋体" w:hAnsi="宋体" w:eastAsia="宋体" w:cs="宋体"/>
          <w:b/>
          <w:color w:val="auto"/>
          <w:sz w:val="28"/>
          <w:szCs w:val="28"/>
          <w:u w:val="single"/>
        </w:rPr>
      </w:pPr>
      <w:r>
        <w:rPr>
          <w:rFonts w:hint="eastAsia" w:ascii="宋体" w:hAnsi="宋体" w:eastAsia="宋体" w:cs="宋体"/>
          <w:b/>
          <w:color w:val="auto"/>
          <w:sz w:val="28"/>
          <w:szCs w:val="28"/>
        </w:rPr>
        <w:t>采购代理机构：</w:t>
      </w:r>
      <w:r>
        <w:rPr>
          <w:rFonts w:hint="eastAsia" w:ascii="宋体" w:hAnsi="宋体" w:eastAsia="宋体" w:cs="宋体"/>
          <w:b/>
          <w:color w:val="auto"/>
          <w:sz w:val="28"/>
          <w:szCs w:val="28"/>
          <w:u w:val="single"/>
        </w:rPr>
        <w:t xml:space="preserve"> 桂林市政府集中采购中心   </w:t>
      </w:r>
    </w:p>
    <w:p w14:paraId="23A0F211">
      <w:pPr>
        <w:pStyle w:val="8"/>
        <w:ind w:left="980" w:hanging="560" w:hangingChars="200"/>
        <w:rPr>
          <w:rFonts w:hint="eastAsia" w:ascii="宋体" w:hAnsi="宋体" w:eastAsia="宋体" w:cs="宋体"/>
          <w:bCs/>
          <w:color w:val="auto"/>
          <w:sz w:val="28"/>
          <w:szCs w:val="28"/>
        </w:rPr>
      </w:pPr>
      <w:bookmarkStart w:id="318" w:name="_Toc4932_WPSOffice_Level2"/>
      <w:bookmarkStart w:id="319" w:name="_Toc20319_WPSOffice_Level2"/>
      <w:r>
        <w:rPr>
          <w:rFonts w:hint="eastAsia" w:ascii="宋体" w:hAnsi="宋体" w:eastAsia="宋体" w:cs="宋体"/>
          <w:bCs/>
          <w:color w:val="auto"/>
          <w:sz w:val="28"/>
          <w:szCs w:val="28"/>
          <w:lang w:eastAsia="zh-CN"/>
        </w:rPr>
        <w:t>磋商供应商</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公章</w:t>
      </w:r>
      <w:r>
        <w:rPr>
          <w:rFonts w:hint="eastAsia" w:ascii="宋体" w:hAnsi="宋体" w:eastAsia="宋体" w:cs="宋体"/>
          <w:bCs/>
          <w:color w:val="auto"/>
          <w:sz w:val="28"/>
          <w:szCs w:val="28"/>
          <w:lang w:val="en-US" w:eastAsia="zh-CN"/>
        </w:rPr>
        <w:t>(CA签章)</w:t>
      </w:r>
      <w:r>
        <w:rPr>
          <w:rFonts w:hint="eastAsia" w:ascii="宋体" w:hAnsi="宋体" w:eastAsia="宋体" w:cs="宋体"/>
          <w:bCs/>
          <w:color w:val="auto"/>
          <w:sz w:val="28"/>
          <w:szCs w:val="28"/>
        </w:rPr>
        <w:t>、自然人除外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w:t>
      </w:r>
      <w:r>
        <w:rPr>
          <w:rFonts w:hint="eastAsia" w:ascii="宋体" w:hAnsi="宋体" w:eastAsia="宋体" w:cs="宋体"/>
          <w:bCs/>
          <w:color w:val="auto"/>
          <w:sz w:val="28"/>
          <w:szCs w:val="28"/>
          <w:u w:val="single"/>
        </w:rPr>
        <w:t xml:space="preserve">                       </w:t>
      </w:r>
      <w:bookmarkEnd w:id="318"/>
      <w:bookmarkEnd w:id="319"/>
      <w:r>
        <w:rPr>
          <w:rFonts w:hint="eastAsia" w:ascii="宋体" w:hAnsi="宋体" w:eastAsia="宋体" w:cs="宋体"/>
          <w:bCs/>
          <w:color w:val="auto"/>
          <w:sz w:val="28"/>
          <w:szCs w:val="28"/>
          <w:u w:val="single"/>
        </w:rPr>
        <w:t xml:space="preserve">       </w:t>
      </w:r>
    </w:p>
    <w:p w14:paraId="0EB4D61D">
      <w:pPr>
        <w:pStyle w:val="12"/>
        <w:spacing w:line="320" w:lineRule="exact"/>
        <w:ind w:firstLine="420"/>
        <w:rPr>
          <w:rFonts w:hint="eastAsia" w:ascii="宋体" w:hAnsi="宋体" w:eastAsia="宋体" w:cs="宋体"/>
          <w:color w:val="auto"/>
          <w:sz w:val="28"/>
          <w:szCs w:val="28"/>
          <w:lang w:val="en-US" w:eastAsia="zh-CN"/>
        </w:rPr>
      </w:pPr>
      <w:bookmarkStart w:id="320" w:name="_Toc9622_WPSOffice_Level2"/>
      <w:bookmarkStart w:id="321" w:name="_Toc32056_WPSOffice_Level2"/>
      <w:r>
        <w:rPr>
          <w:rFonts w:hint="eastAsia" w:ascii="宋体" w:hAnsi="宋体" w:eastAsia="宋体" w:cs="宋体"/>
          <w:color w:val="auto"/>
          <w:sz w:val="28"/>
          <w:szCs w:val="28"/>
        </w:rPr>
        <w:t>法定代表人、负责人、自然人或相应的委托代理人签字</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或盖章</w:t>
      </w:r>
      <w:r>
        <w:rPr>
          <w:rFonts w:hint="eastAsia" w:ascii="宋体" w:hAnsi="宋体" w:eastAsia="宋体" w:cs="宋体"/>
          <w:color w:val="auto"/>
          <w:sz w:val="28"/>
          <w:szCs w:val="28"/>
          <w:lang w:val="en-US" w:eastAsia="zh-CN"/>
        </w:rPr>
        <w:t>(CA签章)]</w:t>
      </w:r>
    </w:p>
    <w:p w14:paraId="2EA82CEF">
      <w:pPr>
        <w:pStyle w:val="8"/>
        <w:ind w:left="980" w:hanging="560" w:hanging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（属自然人的应在签名处加盖大拇指指印</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lang w:val="en-US" w:eastAsia="zh-CN"/>
        </w:rPr>
        <w:t>个人CA签章</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14:paraId="120103CA">
      <w:pPr>
        <w:pStyle w:val="8"/>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联系电话：</w:t>
      </w:r>
      <w:bookmarkEnd w:id="320"/>
      <w:bookmarkEnd w:id="321"/>
      <w:r>
        <w:rPr>
          <w:rFonts w:hint="eastAsia" w:ascii="宋体" w:hAnsi="宋体" w:eastAsia="宋体" w:cs="宋体"/>
          <w:bCs/>
          <w:color w:val="auto"/>
          <w:sz w:val="28"/>
          <w:szCs w:val="28"/>
          <w:u w:val="single"/>
        </w:rPr>
        <w:t xml:space="preserve">                                                </w:t>
      </w:r>
    </w:p>
    <w:p w14:paraId="0445C724">
      <w:pPr>
        <w:pStyle w:val="8"/>
        <w:ind w:left="980" w:hanging="560" w:hangingChars="200"/>
        <w:rPr>
          <w:rFonts w:hint="eastAsia" w:ascii="宋体" w:hAnsi="宋体" w:eastAsia="宋体" w:cs="宋体"/>
          <w:bCs/>
          <w:color w:val="auto"/>
          <w:sz w:val="28"/>
          <w:szCs w:val="28"/>
        </w:rPr>
      </w:pPr>
      <w:bookmarkStart w:id="322" w:name="_Toc15933_WPSOffice_Level2"/>
      <w:bookmarkStart w:id="323" w:name="_Toc26465_WPSOffice_Level2"/>
      <w:r>
        <w:rPr>
          <w:rFonts w:hint="eastAsia" w:ascii="宋体" w:hAnsi="宋体" w:eastAsia="宋体" w:cs="宋体"/>
          <w:bCs/>
          <w:color w:val="auto"/>
          <w:sz w:val="28"/>
          <w:szCs w:val="28"/>
        </w:rPr>
        <w:t>日期：</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bookmarkEnd w:id="322"/>
      <w:bookmarkEnd w:id="323"/>
    </w:p>
    <w:p w14:paraId="2843889D">
      <w:pPr>
        <w:pStyle w:val="8"/>
        <w:ind w:left="980" w:hanging="560" w:hangingChars="200"/>
        <w:rPr>
          <w:rFonts w:hint="eastAsia" w:ascii="宋体" w:hAnsi="宋体" w:eastAsia="宋体" w:cs="宋体"/>
          <w:bCs/>
          <w:color w:val="auto"/>
          <w:sz w:val="28"/>
          <w:szCs w:val="28"/>
        </w:rPr>
      </w:pPr>
    </w:p>
    <w:p w14:paraId="226FF744">
      <w:pPr>
        <w:rPr>
          <w:rFonts w:hint="eastAsia" w:ascii="宋体" w:hAnsi="宋体" w:eastAsia="宋体" w:cs="宋体"/>
          <w:b/>
          <w:bCs/>
          <w:color w:val="auto"/>
          <w:sz w:val="32"/>
          <w:szCs w:val="32"/>
        </w:rPr>
      </w:pPr>
      <w:bookmarkStart w:id="324" w:name="_Toc19430"/>
      <w:bookmarkStart w:id="325" w:name="_Toc21615"/>
      <w:bookmarkStart w:id="326" w:name="_Toc497927070"/>
      <w:r>
        <w:rPr>
          <w:rFonts w:hint="eastAsia" w:ascii="宋体" w:hAnsi="宋体" w:eastAsia="宋体" w:cs="宋体"/>
          <w:b/>
          <w:bCs/>
          <w:color w:val="auto"/>
          <w:sz w:val="32"/>
          <w:szCs w:val="32"/>
        </w:rPr>
        <w:br w:type="page"/>
      </w:r>
    </w:p>
    <w:p w14:paraId="7FA56862">
      <w:pPr>
        <w:numPr>
          <w:ilvl w:val="0"/>
          <w:numId w:val="6"/>
        </w:numPr>
        <w:outlineLvl w:val="0"/>
        <w:rPr>
          <w:rFonts w:hint="eastAsia" w:ascii="宋体" w:hAnsi="宋体" w:eastAsia="宋体" w:cs="宋体"/>
          <w:b/>
          <w:bCs/>
          <w:color w:val="auto"/>
          <w:sz w:val="32"/>
          <w:szCs w:val="32"/>
        </w:rPr>
      </w:pPr>
      <w:bookmarkStart w:id="327" w:name="_Toc9638"/>
      <w:r>
        <w:rPr>
          <w:rFonts w:hint="eastAsia" w:ascii="宋体" w:hAnsi="宋体" w:eastAsia="宋体" w:cs="宋体"/>
          <w:b/>
          <w:bCs/>
          <w:color w:val="auto"/>
          <w:sz w:val="32"/>
          <w:szCs w:val="32"/>
        </w:rPr>
        <w:t>响应文件组成</w:t>
      </w:r>
      <w:bookmarkEnd w:id="324"/>
      <w:bookmarkEnd w:id="325"/>
      <w:bookmarkEnd w:id="326"/>
      <w:bookmarkEnd w:id="327"/>
    </w:p>
    <w:p w14:paraId="52F4AE0A">
      <w:pPr>
        <w:pStyle w:val="10"/>
        <w:numPr>
          <w:ilvl w:val="0"/>
          <w:numId w:val="0"/>
        </w:numPr>
        <w:rPr>
          <w:rFonts w:hint="eastAsia" w:ascii="宋体" w:hAnsi="宋体" w:eastAsia="宋体" w:cs="宋体"/>
          <w:color w:val="auto"/>
        </w:rPr>
      </w:pPr>
    </w:p>
    <w:p w14:paraId="1A3D5965">
      <w:pPr>
        <w:numPr>
          <w:ilvl w:val="0"/>
          <w:numId w:val="7"/>
        </w:numPr>
        <w:spacing w:line="400" w:lineRule="exact"/>
        <w:ind w:firstLine="565" w:firstLineChars="202"/>
        <w:outlineLvl w:val="1"/>
        <w:rPr>
          <w:rFonts w:hint="eastAsia" w:ascii="宋体" w:hAnsi="宋体" w:eastAsia="宋体" w:cs="宋体"/>
          <w:b/>
          <w:bCs/>
          <w:color w:val="auto"/>
          <w:sz w:val="28"/>
          <w:szCs w:val="28"/>
        </w:rPr>
      </w:pPr>
      <w:bookmarkStart w:id="328" w:name="_Toc1405"/>
      <w:r>
        <w:rPr>
          <w:rFonts w:hint="eastAsia" w:ascii="宋体" w:hAnsi="宋体" w:eastAsia="宋体" w:cs="宋体"/>
          <w:b/>
          <w:bCs/>
          <w:color w:val="auto"/>
          <w:sz w:val="28"/>
          <w:szCs w:val="28"/>
        </w:rPr>
        <w:t>资格性响应证明材料</w:t>
      </w:r>
      <w:bookmarkEnd w:id="328"/>
    </w:p>
    <w:p w14:paraId="467DD30F">
      <w:pPr>
        <w:numPr>
          <w:ilvl w:val="0"/>
          <w:numId w:val="0"/>
        </w:numPr>
        <w:jc w:val="left"/>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资格性响应证明材料</w:t>
      </w:r>
      <w:r>
        <w:rPr>
          <w:rFonts w:hint="eastAsia" w:ascii="宋体" w:hAnsi="宋体" w:cs="宋体"/>
          <w:b/>
          <w:bCs/>
          <w:color w:val="auto"/>
          <w:sz w:val="32"/>
          <w:szCs w:val="32"/>
          <w:lang w:val="en-US" w:eastAsia="zh-CN"/>
        </w:rPr>
        <w:t>目录：</w:t>
      </w:r>
    </w:p>
    <w:p w14:paraId="196EA4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.供应商相应的法定代表人、负责人、自然人身份证正反两面</w:t>
      </w:r>
      <w:r>
        <w:rPr>
          <w:rFonts w:hint="eastAsia" w:ascii="宋体" w:hAnsi="宋体" w:cs="宋体"/>
          <w:color w:val="auto"/>
          <w:sz w:val="24"/>
          <w:lang w:eastAsia="zh-CN"/>
        </w:rPr>
        <w:t>彩色扫描件</w:t>
      </w:r>
      <w:r>
        <w:rPr>
          <w:rFonts w:hint="eastAsia" w:ascii="宋体" w:hAnsi="宋体" w:eastAsia="宋体" w:cs="宋体"/>
          <w:b/>
          <w:bCs/>
          <w:color w:val="auto"/>
          <w:sz w:val="24"/>
        </w:rPr>
        <w:t>（必须提供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如为联合体的，联合体各方必须同时提供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w:t>
      </w:r>
      <w:r>
        <w:rPr>
          <w:rFonts w:hint="eastAsia" w:ascii="宋体" w:hAnsi="宋体" w:eastAsia="宋体" w:cs="宋体"/>
          <w:color w:val="auto"/>
          <w:sz w:val="24"/>
        </w:rPr>
        <w:t>；</w:t>
      </w:r>
    </w:p>
    <w:p w14:paraId="31EAC2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.供应商的授权委托书原件、委托代理人身份证正反面</w:t>
      </w:r>
      <w:r>
        <w:rPr>
          <w:rFonts w:hint="eastAsia" w:ascii="宋体" w:hAnsi="宋体" w:cs="宋体"/>
          <w:color w:val="auto"/>
          <w:sz w:val="24"/>
          <w:lang w:eastAsia="zh-CN"/>
        </w:rPr>
        <w:t>彩色扫描件</w:t>
      </w:r>
      <w:r>
        <w:rPr>
          <w:rFonts w:hint="eastAsia" w:ascii="宋体" w:hAnsi="宋体" w:eastAsia="宋体" w:cs="宋体"/>
          <w:color w:val="auto"/>
          <w:sz w:val="24"/>
        </w:rPr>
        <w:t>以及由县级以上（含县级）社会养老保险经办机构出具的供应商为委托代理人交纳的响应文件递交截止时间前</w:t>
      </w:r>
      <w:r>
        <w:rPr>
          <w:rFonts w:hint="eastAsia" w:ascii="宋体" w:hAnsi="宋体" w:cs="宋体"/>
          <w:color w:val="auto"/>
          <w:sz w:val="24"/>
          <w:lang w:eastAsia="zh-CN"/>
        </w:rPr>
        <w:t>三个月内任意一个月</w:t>
      </w:r>
      <w:r>
        <w:rPr>
          <w:rFonts w:hint="eastAsia" w:ascii="宋体" w:hAnsi="宋体" w:cs="宋体"/>
          <w:color w:val="auto"/>
          <w:sz w:val="24"/>
          <w:lang w:val="en-US" w:eastAsia="zh-CN"/>
        </w:rPr>
        <w:t>养老保险</w:t>
      </w:r>
      <w:r>
        <w:rPr>
          <w:rFonts w:hint="eastAsia" w:ascii="宋体" w:hAnsi="宋体" w:eastAsia="宋体" w:cs="宋体"/>
          <w:color w:val="auto"/>
          <w:sz w:val="24"/>
        </w:rPr>
        <w:t>证明</w:t>
      </w:r>
      <w:r>
        <w:rPr>
          <w:rFonts w:hint="eastAsia" w:ascii="宋体" w:hAnsi="宋体" w:cs="宋体"/>
          <w:color w:val="auto"/>
          <w:sz w:val="24"/>
          <w:lang w:eastAsia="zh-CN"/>
        </w:rPr>
        <w:t>彩色扫描件</w:t>
      </w:r>
      <w:r>
        <w:rPr>
          <w:rFonts w:hint="eastAsia" w:ascii="宋体" w:hAnsi="宋体" w:eastAsia="宋体" w:cs="宋体"/>
          <w:color w:val="auto"/>
          <w:sz w:val="24"/>
          <w:lang w:eastAsia="zh-CN"/>
        </w:rPr>
        <w:t>，</w:t>
      </w:r>
      <w:r>
        <w:rPr>
          <w:rFonts w:hint="eastAsia" w:ascii="宋体" w:hAnsi="宋体" w:eastAsia="宋体" w:cs="宋体"/>
          <w:color w:val="auto"/>
          <w:sz w:val="24"/>
        </w:rPr>
        <w:t>除供应商为以下</w:t>
      </w:r>
      <w:r>
        <w:rPr>
          <w:rFonts w:hint="eastAsia" w:ascii="宋体" w:hAnsi="宋体" w:cs="宋体"/>
          <w:color w:val="auto"/>
          <w:sz w:val="24"/>
          <w:lang w:val="en-US" w:eastAsia="zh-CN"/>
        </w:rPr>
        <w:t>四</w:t>
      </w:r>
      <w:r>
        <w:rPr>
          <w:rFonts w:hint="eastAsia" w:ascii="宋体" w:hAnsi="宋体" w:eastAsia="宋体" w:cs="宋体"/>
          <w:color w:val="auto"/>
          <w:sz w:val="24"/>
        </w:rPr>
        <w:t>种情形的：</w:t>
      </w:r>
    </w:p>
    <w:p w14:paraId="3663E4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如供应商为截标时间前60日以内成立的公司，可以提供供应商与委托代理人签订的劳动合同</w:t>
      </w:r>
      <w:r>
        <w:rPr>
          <w:rFonts w:hint="eastAsia" w:ascii="宋体" w:hAnsi="宋体" w:cs="宋体"/>
          <w:color w:val="auto"/>
          <w:sz w:val="24"/>
          <w:lang w:eastAsia="zh-CN"/>
        </w:rPr>
        <w:t>彩色扫描件</w:t>
      </w:r>
      <w:r>
        <w:rPr>
          <w:rFonts w:hint="eastAsia" w:ascii="宋体" w:hAnsi="宋体" w:eastAsia="宋体" w:cs="宋体"/>
          <w:color w:val="auto"/>
          <w:sz w:val="24"/>
        </w:rPr>
        <w:t>代替</w:t>
      </w:r>
      <w:r>
        <w:rPr>
          <w:rFonts w:hint="eastAsia" w:ascii="宋体" w:hAnsi="宋体" w:cs="宋体"/>
          <w:color w:val="auto"/>
          <w:sz w:val="24"/>
          <w:lang w:val="en-US" w:eastAsia="zh-CN"/>
        </w:rPr>
        <w:t>养老保险</w:t>
      </w:r>
      <w:r>
        <w:rPr>
          <w:rFonts w:hint="eastAsia" w:ascii="宋体" w:hAnsi="宋体" w:eastAsia="宋体" w:cs="宋体"/>
          <w:color w:val="auto"/>
          <w:sz w:val="24"/>
        </w:rPr>
        <w:t>证明</w:t>
      </w:r>
      <w:r>
        <w:rPr>
          <w:rFonts w:hint="eastAsia" w:ascii="宋体" w:hAnsi="宋体" w:cs="宋体"/>
          <w:color w:val="auto"/>
          <w:sz w:val="24"/>
          <w:lang w:eastAsia="zh-CN"/>
        </w:rPr>
        <w:t>彩色扫描件</w:t>
      </w:r>
      <w:r>
        <w:rPr>
          <w:rFonts w:hint="eastAsia" w:ascii="宋体" w:hAnsi="宋体" w:eastAsia="宋体" w:cs="宋体"/>
          <w:color w:val="auto"/>
          <w:sz w:val="24"/>
        </w:rPr>
        <w:t>；</w:t>
      </w:r>
    </w:p>
    <w:p w14:paraId="3C7BA3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（2）如供应商为事业单位，可以提供事业单位机构编制管理证</w:t>
      </w:r>
      <w:r>
        <w:rPr>
          <w:rFonts w:hint="eastAsia" w:ascii="宋体" w:hAnsi="宋体" w:cs="宋体"/>
          <w:color w:val="auto"/>
          <w:sz w:val="24"/>
          <w:lang w:eastAsia="zh-CN"/>
        </w:rPr>
        <w:t>彩色扫描件</w:t>
      </w:r>
      <w:r>
        <w:rPr>
          <w:rFonts w:hint="eastAsia" w:ascii="宋体" w:hAnsi="宋体" w:eastAsia="宋体" w:cs="宋体"/>
          <w:color w:val="auto"/>
          <w:sz w:val="24"/>
        </w:rPr>
        <w:t>或事业单位机构为其发放工资的工资条</w:t>
      </w:r>
      <w:r>
        <w:rPr>
          <w:rFonts w:hint="eastAsia" w:ascii="宋体" w:hAnsi="宋体" w:cs="宋体"/>
          <w:color w:val="auto"/>
          <w:sz w:val="24"/>
          <w:lang w:eastAsia="zh-CN"/>
        </w:rPr>
        <w:t>彩色扫描件</w:t>
      </w:r>
      <w:r>
        <w:rPr>
          <w:rFonts w:hint="eastAsia" w:ascii="宋体" w:hAnsi="宋体" w:eastAsia="宋体" w:cs="宋体"/>
          <w:color w:val="auto"/>
          <w:sz w:val="24"/>
        </w:rPr>
        <w:t>代替</w:t>
      </w:r>
      <w:r>
        <w:rPr>
          <w:rFonts w:hint="eastAsia" w:ascii="宋体" w:hAnsi="宋体" w:cs="宋体"/>
          <w:color w:val="auto"/>
          <w:sz w:val="24"/>
          <w:lang w:val="en-US" w:eastAsia="zh-CN"/>
        </w:rPr>
        <w:t>养老保险</w:t>
      </w:r>
      <w:r>
        <w:rPr>
          <w:rFonts w:hint="eastAsia" w:ascii="宋体" w:hAnsi="宋体" w:eastAsia="宋体" w:cs="宋体"/>
          <w:color w:val="auto"/>
          <w:sz w:val="24"/>
        </w:rPr>
        <w:t>证明</w:t>
      </w:r>
      <w:r>
        <w:rPr>
          <w:rFonts w:hint="eastAsia" w:ascii="宋体" w:hAnsi="宋体" w:cs="宋体"/>
          <w:color w:val="auto"/>
          <w:sz w:val="24"/>
          <w:lang w:eastAsia="zh-CN"/>
        </w:rPr>
        <w:t>彩色扫描件</w:t>
      </w:r>
      <w:r>
        <w:rPr>
          <w:rFonts w:hint="eastAsia" w:ascii="宋体" w:hAnsi="宋体" w:eastAsia="宋体" w:cs="宋体"/>
          <w:color w:val="auto"/>
          <w:sz w:val="24"/>
        </w:rPr>
        <w:t>；</w:t>
      </w:r>
    </w:p>
    <w:p w14:paraId="3694EF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如委托代理人为免缴纳养老保险人员，提供免缴纳养老保险的证明材料彩色扫描件</w:t>
      </w:r>
      <w:r>
        <w:rPr>
          <w:rFonts w:hint="eastAsia" w:ascii="宋体" w:hAnsi="宋体" w:eastAsia="宋体" w:cs="宋体"/>
          <w:color w:val="auto"/>
          <w:sz w:val="24"/>
        </w:rPr>
        <w:t>及供应商与委托代理人签订的劳动合同</w:t>
      </w:r>
      <w:r>
        <w:rPr>
          <w:rFonts w:hint="eastAsia" w:ascii="宋体" w:hAnsi="宋体" w:cs="宋体"/>
          <w:color w:val="auto"/>
          <w:sz w:val="24"/>
          <w:lang w:eastAsia="zh-CN"/>
        </w:rPr>
        <w:t>彩色扫描件</w:t>
      </w:r>
      <w:r>
        <w:rPr>
          <w:rFonts w:hint="eastAsia" w:ascii="宋体" w:hAnsi="宋体" w:eastAsia="宋体" w:cs="宋体"/>
          <w:color w:val="auto"/>
          <w:sz w:val="24"/>
        </w:rPr>
        <w:t>代替</w:t>
      </w:r>
      <w:r>
        <w:rPr>
          <w:rFonts w:hint="eastAsia" w:ascii="宋体" w:hAnsi="宋体" w:cs="宋体"/>
          <w:color w:val="auto"/>
          <w:sz w:val="24"/>
          <w:lang w:val="en-US" w:eastAsia="zh-CN"/>
        </w:rPr>
        <w:t>养老保险</w:t>
      </w:r>
      <w:r>
        <w:rPr>
          <w:rFonts w:hint="eastAsia" w:ascii="宋体" w:hAnsi="宋体" w:eastAsia="宋体" w:cs="宋体"/>
          <w:color w:val="auto"/>
          <w:sz w:val="24"/>
        </w:rPr>
        <w:t>证明</w:t>
      </w:r>
      <w:r>
        <w:rPr>
          <w:rFonts w:hint="eastAsia" w:ascii="宋体" w:hAnsi="宋体" w:cs="宋体"/>
          <w:color w:val="auto"/>
          <w:sz w:val="24"/>
          <w:lang w:eastAsia="zh-CN"/>
        </w:rPr>
        <w:t>彩色扫描件</w:t>
      </w:r>
      <w:r>
        <w:rPr>
          <w:rFonts w:hint="eastAsia" w:ascii="宋体" w:hAnsi="宋体" w:eastAsia="宋体" w:cs="宋体"/>
          <w:color w:val="auto"/>
          <w:sz w:val="24"/>
        </w:rPr>
        <w:t>。</w:t>
      </w:r>
    </w:p>
    <w:p w14:paraId="478FEC78">
      <w:pPr>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A26F92B">
      <w:pPr>
        <w:spacing w:beforeLines="0" w:afterLines="0"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【属自然人的应提供由县级以上（含县级）社会养老保险经办机构出具的自然人本人及委托代理人所交纳的响应文件递交截止时间前</w:t>
      </w:r>
      <w:r>
        <w:rPr>
          <w:rFonts w:hint="eastAsia" w:ascii="宋体" w:hAnsi="宋体" w:cs="宋体"/>
          <w:b/>
          <w:bCs/>
          <w:color w:val="auto"/>
          <w:sz w:val="24"/>
          <w:szCs w:val="24"/>
          <w:lang w:eastAsia="zh-CN"/>
        </w:rPr>
        <w:t>三个月内任意一个月养老保险证明彩色扫描件，</w:t>
      </w:r>
      <w:r>
        <w:rPr>
          <w:rFonts w:hint="eastAsia" w:ascii="宋体" w:hAnsi="宋体" w:cs="宋体"/>
          <w:b/>
          <w:bCs/>
          <w:color w:val="auto"/>
          <w:sz w:val="24"/>
          <w:szCs w:val="24"/>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auto"/>
          <w:sz w:val="24"/>
          <w:szCs w:val="24"/>
        </w:rPr>
        <w:t>】（委托代理时必须提供；如为联合体的，授权委托书原件须由牵头人出具）</w:t>
      </w:r>
    </w:p>
    <w:p w14:paraId="2126E4D7">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.供应商参加政府采购活动前3年内在经营活动中没有重大违法记录及有关信用信息的书面声明</w:t>
      </w:r>
      <w:r>
        <w:rPr>
          <w:rFonts w:hint="eastAsia" w:ascii="宋体" w:hAnsi="宋体" w:eastAsia="宋体" w:cs="宋体"/>
          <w:b/>
          <w:bCs/>
          <w:color w:val="auto"/>
          <w:sz w:val="24"/>
        </w:rPr>
        <w:t>（必须提供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如为联合体的，联合体各方必须同时提供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w:t>
      </w:r>
    </w:p>
    <w:p w14:paraId="542B2998">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.供应商的法人或者其他组织营业执照等证明文件</w:t>
      </w:r>
      <w:r>
        <w:rPr>
          <w:rFonts w:hint="eastAsia" w:ascii="宋体" w:hAnsi="宋体" w:cs="宋体"/>
          <w:color w:val="auto"/>
          <w:sz w:val="24"/>
          <w:lang w:eastAsia="zh-CN"/>
        </w:rPr>
        <w:t>彩色扫描件</w:t>
      </w:r>
      <w:r>
        <w:rPr>
          <w:rFonts w:hint="eastAsia" w:ascii="宋体" w:hAnsi="宋体" w:eastAsia="宋体" w:cs="宋体"/>
          <w:b/>
          <w:bCs/>
          <w:color w:val="auto"/>
          <w:sz w:val="24"/>
        </w:rPr>
        <w:t>（必须提供，自然人除外</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如为联合体的，联合体各方必须同时提供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w:t>
      </w:r>
    </w:p>
    <w:p w14:paraId="506FDC29">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5.</w:t>
      </w:r>
      <w:r>
        <w:rPr>
          <w:rFonts w:hint="eastAsia" w:ascii="宋体" w:hAnsi="宋体" w:cs="宋体"/>
          <w:color w:val="auto"/>
          <w:sz w:val="24"/>
          <w:lang w:val="en-US" w:eastAsia="zh-CN"/>
        </w:rPr>
        <w:t>财务状况报告</w:t>
      </w:r>
      <w:r>
        <w:rPr>
          <w:rFonts w:hint="eastAsia" w:ascii="宋体" w:hAnsi="宋体" w:cs="宋体"/>
          <w:b/>
          <w:bCs/>
          <w:color w:val="auto"/>
          <w:sz w:val="24"/>
          <w:lang w:val="en-US" w:eastAsia="zh-CN"/>
        </w:rPr>
        <w:t>（格式自拟，必须提供；如为联合体的，联合体各方必须同时提供。）</w:t>
      </w:r>
      <w:r>
        <w:rPr>
          <w:rFonts w:hint="eastAsia" w:ascii="宋体" w:hAnsi="宋体" w:eastAsia="宋体" w:cs="宋体"/>
          <w:b/>
          <w:bCs/>
          <w:color w:val="auto"/>
          <w:sz w:val="24"/>
          <w:lang w:val="en-US" w:eastAsia="zh-CN"/>
        </w:rPr>
        <w:t>；</w:t>
      </w:r>
    </w:p>
    <w:p w14:paraId="186BEF6A">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auto"/>
          <w:sz w:val="24"/>
          <w:lang w:val="en-US" w:eastAsia="zh-CN"/>
        </w:rPr>
        <w:t>彩色扫描件</w:t>
      </w:r>
      <w:r>
        <w:rPr>
          <w:rFonts w:hint="eastAsia" w:ascii="宋体" w:hAnsi="宋体" w:eastAsia="宋体" w:cs="宋体"/>
          <w:b/>
          <w:bCs/>
          <w:color w:val="auto"/>
          <w:sz w:val="24"/>
          <w:lang w:val="en-US" w:eastAsia="zh-CN"/>
        </w:rPr>
        <w:t>（必须提供；如为联合体的，联合体各方必须同时提供。）。</w:t>
      </w:r>
    </w:p>
    <w:p w14:paraId="5F57113E">
      <w:pPr>
        <w:spacing w:line="360" w:lineRule="auto"/>
        <w:ind w:firstLine="640" w:firstLineChars="200"/>
        <w:rPr>
          <w:rFonts w:hint="eastAsia" w:ascii="宋体" w:hAnsi="宋体" w:cs="宋体"/>
          <w:b/>
          <w:bCs/>
          <w:color w:val="auto"/>
          <w:sz w:val="32"/>
          <w:szCs w:val="32"/>
          <w:lang w:val="en-US" w:eastAsia="zh-CN"/>
        </w:rPr>
      </w:pPr>
    </w:p>
    <w:p w14:paraId="72914BB6">
      <w:pPr>
        <w:spacing w:line="360" w:lineRule="auto"/>
        <w:ind w:firstLine="640" w:firstLineChars="200"/>
        <w:rPr>
          <w:rFonts w:hint="eastAsia" w:ascii="宋体" w:hAnsi="宋体" w:cs="宋体"/>
          <w:b/>
          <w:bCs/>
          <w:color w:val="auto"/>
          <w:sz w:val="32"/>
          <w:szCs w:val="32"/>
          <w:lang w:val="en-US" w:eastAsia="zh-CN"/>
        </w:rPr>
      </w:pPr>
    </w:p>
    <w:p w14:paraId="4FC7F2A5">
      <w:pPr>
        <w:spacing w:line="360" w:lineRule="auto"/>
        <w:ind w:firstLine="640" w:firstLineChars="20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具体要求及格式：</w:t>
      </w:r>
    </w:p>
    <w:p w14:paraId="2D05E7C6">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.供应商相应的法定代表人、负责人、自然人身份证正反两面</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（必须提供</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如为联合体的，联合体各方必须同时提供</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w:t>
      </w:r>
    </w:p>
    <w:p w14:paraId="1FA89C09">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.供应商的授权委托书原件、委托代理人身份证正反面</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以及由县级以上（含县级）社会养老保险经办机构出具的供应商为委托代理人交纳的响应文件递交截止时间前</w:t>
      </w:r>
      <w:r>
        <w:rPr>
          <w:rFonts w:hint="eastAsia" w:ascii="宋体" w:hAnsi="宋体" w:cs="宋体"/>
          <w:b/>
          <w:color w:val="auto"/>
          <w:sz w:val="28"/>
          <w:szCs w:val="28"/>
          <w:lang w:eastAsia="zh-CN"/>
        </w:rPr>
        <w:t>三个月内任意一个月</w:t>
      </w:r>
      <w:r>
        <w:rPr>
          <w:rFonts w:hint="eastAsia" w:ascii="宋体" w:hAnsi="宋体" w:cs="宋体"/>
          <w:b/>
          <w:color w:val="auto"/>
          <w:sz w:val="28"/>
          <w:szCs w:val="28"/>
          <w:lang w:val="en-US" w:eastAsia="zh-CN"/>
        </w:rPr>
        <w:t>养老保险</w:t>
      </w:r>
      <w:r>
        <w:rPr>
          <w:rFonts w:hint="eastAsia" w:ascii="宋体" w:hAnsi="宋体" w:eastAsia="宋体" w:cs="宋体"/>
          <w:b/>
          <w:color w:val="auto"/>
          <w:sz w:val="28"/>
          <w:szCs w:val="28"/>
        </w:rPr>
        <w:t>证明</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除供应商为以下</w:t>
      </w:r>
      <w:r>
        <w:rPr>
          <w:rFonts w:hint="eastAsia" w:ascii="宋体" w:hAnsi="宋体" w:cs="宋体"/>
          <w:b/>
          <w:color w:val="auto"/>
          <w:sz w:val="28"/>
          <w:szCs w:val="28"/>
          <w:lang w:val="en-US" w:eastAsia="zh-CN"/>
        </w:rPr>
        <w:t>四</w:t>
      </w:r>
      <w:r>
        <w:rPr>
          <w:rFonts w:hint="eastAsia" w:ascii="宋体" w:hAnsi="宋体" w:eastAsia="宋体" w:cs="宋体"/>
          <w:b/>
          <w:color w:val="auto"/>
          <w:sz w:val="28"/>
          <w:szCs w:val="28"/>
        </w:rPr>
        <w:t>种情形的：</w:t>
      </w:r>
    </w:p>
    <w:p w14:paraId="540772A3">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 如供应商为截标时间前60日以内成立的公司，可以提供供应商与委托代理人签订的劳动合同</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代替</w:t>
      </w:r>
      <w:r>
        <w:rPr>
          <w:rFonts w:hint="eastAsia" w:ascii="宋体" w:hAnsi="宋体" w:cs="宋体"/>
          <w:b/>
          <w:color w:val="auto"/>
          <w:sz w:val="28"/>
          <w:szCs w:val="28"/>
          <w:lang w:val="en-US" w:eastAsia="zh-CN"/>
        </w:rPr>
        <w:t>养老保险</w:t>
      </w:r>
      <w:r>
        <w:rPr>
          <w:rFonts w:hint="eastAsia" w:ascii="宋体" w:hAnsi="宋体" w:eastAsia="宋体" w:cs="宋体"/>
          <w:b/>
          <w:color w:val="auto"/>
          <w:sz w:val="28"/>
          <w:szCs w:val="28"/>
        </w:rPr>
        <w:t>证明</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w:t>
      </w:r>
    </w:p>
    <w:p w14:paraId="3B7B6F15">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（2）如供应商为事业单位，可以提供事业单位机构编制管理证</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或事业单位机构为其发放工资的工资条</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代替</w:t>
      </w:r>
      <w:r>
        <w:rPr>
          <w:rFonts w:hint="eastAsia" w:ascii="宋体" w:hAnsi="宋体" w:cs="宋体"/>
          <w:b/>
          <w:color w:val="auto"/>
          <w:sz w:val="28"/>
          <w:szCs w:val="28"/>
          <w:lang w:val="en-US" w:eastAsia="zh-CN"/>
        </w:rPr>
        <w:t>养老保险</w:t>
      </w:r>
      <w:r>
        <w:rPr>
          <w:rFonts w:hint="eastAsia" w:ascii="宋体" w:hAnsi="宋体" w:eastAsia="宋体" w:cs="宋体"/>
          <w:b/>
          <w:color w:val="auto"/>
          <w:sz w:val="28"/>
          <w:szCs w:val="28"/>
        </w:rPr>
        <w:t>证明</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w:t>
      </w:r>
    </w:p>
    <w:p w14:paraId="1A549C6E">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（3）</w:t>
      </w:r>
      <w:r>
        <w:rPr>
          <w:rFonts w:hint="eastAsia" w:ascii="宋体" w:hAnsi="宋体" w:cs="宋体"/>
          <w:b/>
          <w:color w:val="auto"/>
          <w:sz w:val="28"/>
          <w:szCs w:val="28"/>
          <w:lang w:eastAsia="zh-CN"/>
        </w:rPr>
        <w:t>如委托代理人为免缴纳养老保险人员，提供免缴纳养老保险的证明材料彩色扫描件</w:t>
      </w:r>
      <w:r>
        <w:rPr>
          <w:rFonts w:hint="eastAsia" w:ascii="宋体" w:hAnsi="宋体" w:eastAsia="宋体" w:cs="宋体"/>
          <w:b/>
          <w:color w:val="auto"/>
          <w:sz w:val="28"/>
          <w:szCs w:val="28"/>
        </w:rPr>
        <w:t>及供应商与委托代理人签订的劳动合同</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代替</w:t>
      </w:r>
      <w:r>
        <w:rPr>
          <w:rFonts w:hint="eastAsia" w:ascii="宋体" w:hAnsi="宋体" w:cs="宋体"/>
          <w:b/>
          <w:color w:val="auto"/>
          <w:sz w:val="28"/>
          <w:szCs w:val="28"/>
          <w:lang w:val="en-US" w:eastAsia="zh-CN"/>
        </w:rPr>
        <w:t>养老保险</w:t>
      </w:r>
      <w:r>
        <w:rPr>
          <w:rFonts w:hint="eastAsia" w:ascii="宋体" w:hAnsi="宋体" w:eastAsia="宋体" w:cs="宋体"/>
          <w:b/>
          <w:color w:val="auto"/>
          <w:sz w:val="28"/>
          <w:szCs w:val="28"/>
        </w:rPr>
        <w:t>证明</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rPr>
        <w:t>。</w:t>
      </w:r>
    </w:p>
    <w:p w14:paraId="049DF0EE">
      <w:pPr>
        <w:spacing w:line="440" w:lineRule="atLeast"/>
        <w:ind w:firstLine="560" w:firstLineChars="200"/>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030F2A1">
      <w:pPr>
        <w:spacing w:line="4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【属自然人的应提供由县级以上（含县级）社会养老保险经办机构出具的自然人本人及委托代理人所交纳的响应文件递交截止时间前</w:t>
      </w:r>
      <w:r>
        <w:rPr>
          <w:rFonts w:hint="eastAsia" w:ascii="宋体" w:hAnsi="宋体" w:eastAsia="宋体" w:cs="宋体"/>
          <w:b/>
          <w:color w:val="auto"/>
          <w:sz w:val="28"/>
          <w:szCs w:val="28"/>
          <w:lang w:eastAsia="zh-CN"/>
        </w:rPr>
        <w:t>三个月内任意一个月养老保险证明</w:t>
      </w:r>
      <w:r>
        <w:rPr>
          <w:rFonts w:hint="eastAsia" w:ascii="宋体" w:hAnsi="宋体" w:cs="宋体"/>
          <w:b/>
          <w:color w:val="auto"/>
          <w:sz w:val="28"/>
          <w:szCs w:val="28"/>
          <w:lang w:eastAsia="zh-CN"/>
        </w:rPr>
        <w:t>彩色扫描件</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8"/>
          <w:szCs w:val="28"/>
        </w:rPr>
        <w:t>】（委托代理时必须提供；如为联合体的，授权委托书原件须由牵头人出具）</w:t>
      </w:r>
    </w:p>
    <w:p w14:paraId="7254C4BE">
      <w:pPr>
        <w:rPr>
          <w:rFonts w:hint="eastAsia" w:ascii="宋体" w:hAnsi="宋体" w:eastAsia="宋体" w:cs="宋体"/>
          <w:color w:val="auto"/>
        </w:rPr>
      </w:pPr>
    </w:p>
    <w:p w14:paraId="575056FB">
      <w:pPr>
        <w:pStyle w:val="12"/>
        <w:rPr>
          <w:rFonts w:hint="eastAsia" w:ascii="宋体" w:hAnsi="宋体" w:eastAsia="宋体" w:cs="宋体"/>
          <w:b/>
          <w:color w:val="auto"/>
          <w:sz w:val="32"/>
        </w:rPr>
      </w:pPr>
      <w:r>
        <w:rPr>
          <w:rFonts w:hint="eastAsia" w:ascii="宋体" w:hAnsi="宋体" w:eastAsia="宋体" w:cs="宋体"/>
          <w:b/>
          <w:color w:val="auto"/>
          <w:sz w:val="32"/>
        </w:rPr>
        <w:t xml:space="preserve">附件：            </w:t>
      </w:r>
    </w:p>
    <w:p w14:paraId="7741ED70">
      <w:pPr>
        <w:pStyle w:val="12"/>
        <w:ind w:firstLine="627" w:firstLineChars="196"/>
        <w:jc w:val="center"/>
        <w:rPr>
          <w:rFonts w:hint="eastAsia" w:ascii="宋体" w:hAnsi="宋体" w:eastAsia="宋体" w:cs="宋体"/>
          <w:b/>
          <w:color w:val="auto"/>
          <w:sz w:val="32"/>
        </w:rPr>
      </w:pPr>
      <w:bookmarkStart w:id="329" w:name="_Toc5420_WPSOffice_Level1"/>
      <w:bookmarkStart w:id="330" w:name="_Toc964_WPSOffice_Level1"/>
      <w:r>
        <w:rPr>
          <w:rFonts w:hint="eastAsia" w:ascii="宋体" w:hAnsi="宋体" w:eastAsia="宋体" w:cs="宋体"/>
          <w:b/>
          <w:color w:val="auto"/>
          <w:sz w:val="32"/>
        </w:rPr>
        <w:t>授权委托书（格式一）</w:t>
      </w:r>
      <w:bookmarkEnd w:id="329"/>
      <w:bookmarkEnd w:id="330"/>
    </w:p>
    <w:p w14:paraId="00F2BE94">
      <w:pPr>
        <w:pStyle w:val="12"/>
        <w:rPr>
          <w:rFonts w:hint="eastAsia" w:ascii="宋体" w:hAnsi="宋体" w:eastAsia="宋体" w:cs="宋体"/>
          <w:color w:val="auto"/>
        </w:rPr>
      </w:pPr>
    </w:p>
    <w:p w14:paraId="31201C6F">
      <w:pPr>
        <w:spacing w:line="400" w:lineRule="exact"/>
        <w:rPr>
          <w:rFonts w:hint="eastAsia" w:ascii="宋体" w:hAnsi="宋体" w:eastAsia="宋体" w:cs="宋体"/>
          <w:color w:val="auto"/>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桂林市政府集中采购中心 </w:t>
      </w:r>
    </w:p>
    <w:p w14:paraId="659409C6">
      <w:pPr>
        <w:spacing w:line="400" w:lineRule="exact"/>
        <w:rPr>
          <w:rFonts w:hint="eastAsia" w:ascii="宋体" w:hAnsi="宋体" w:eastAsia="宋体" w:cs="宋体"/>
          <w:color w:val="auto"/>
          <w:szCs w:val="21"/>
        </w:rPr>
      </w:pPr>
    </w:p>
    <w:p w14:paraId="65590AE4">
      <w:pPr>
        <w:pStyle w:val="12"/>
        <w:spacing w:line="40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w:t>
      </w:r>
      <w:r>
        <w:rPr>
          <w:rFonts w:hint="eastAsia" w:ascii="宋体" w:hAnsi="宋体" w:eastAsia="宋体" w:cs="宋体"/>
          <w:color w:val="auto"/>
          <w:kern w:val="0"/>
          <w:u w:val="single"/>
        </w:rPr>
        <w:t xml:space="preserve">                              </w:t>
      </w:r>
      <w:r>
        <w:rPr>
          <w:rFonts w:hint="eastAsia" w:ascii="宋体" w:hAnsi="宋体" w:eastAsia="宋体" w:cs="宋体"/>
          <w:color w:val="auto"/>
          <w:kern w:val="0"/>
        </w:rPr>
        <w:t>（供应商名称）的法定代表人（负责人），现授权委托本单位在职职工</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名）以我公司名义参加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项目的磋商活动，并代表我方全权办理针对上述项目的磋商、签约等具体事务和签署相关文件。</w:t>
      </w:r>
    </w:p>
    <w:p w14:paraId="1882AE52">
      <w:pPr>
        <w:pStyle w:val="12"/>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14:paraId="5D132F3A">
      <w:pPr>
        <w:pStyle w:val="12"/>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 xml:space="preserve"> 日起至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日止。</w:t>
      </w:r>
    </w:p>
    <w:p w14:paraId="575F24BA">
      <w:pPr>
        <w:pStyle w:val="12"/>
        <w:spacing w:line="400" w:lineRule="exact"/>
        <w:rPr>
          <w:rFonts w:hint="eastAsia" w:ascii="宋体" w:hAnsi="宋体" w:eastAsia="宋体" w:cs="宋体"/>
          <w:color w:val="auto"/>
          <w:u w:val="single"/>
        </w:rPr>
      </w:pPr>
      <w:r>
        <w:rPr>
          <w:rFonts w:hint="eastAsia" w:ascii="宋体" w:hAnsi="宋体" w:eastAsia="宋体" w:cs="宋体"/>
          <w:color w:val="auto"/>
        </w:rPr>
        <w:t xml:space="preserve">                                                                                             </w:t>
      </w:r>
    </w:p>
    <w:p w14:paraId="3DE1BE62">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7BA6D043">
      <w:pPr>
        <w:spacing w:line="400" w:lineRule="exact"/>
        <w:ind w:firstLine="420" w:firstLineChars="200"/>
        <w:rPr>
          <w:rFonts w:hint="eastAsia" w:ascii="宋体" w:hAnsi="宋体" w:eastAsia="宋体" w:cs="宋体"/>
          <w:color w:val="auto"/>
          <w:kern w:val="0"/>
        </w:rPr>
      </w:pPr>
    </w:p>
    <w:p w14:paraId="6E35CAA6">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4DF5F78D">
      <w:pPr>
        <w:spacing w:line="400" w:lineRule="exact"/>
        <w:ind w:firstLine="420" w:firstLineChars="200"/>
        <w:rPr>
          <w:rFonts w:hint="eastAsia" w:ascii="宋体" w:hAnsi="宋体" w:eastAsia="宋体" w:cs="宋体"/>
          <w:color w:val="auto"/>
          <w:szCs w:val="21"/>
        </w:rPr>
      </w:pPr>
    </w:p>
    <w:p w14:paraId="43DDFE94">
      <w:pPr>
        <w:spacing w:line="400" w:lineRule="exact"/>
        <w:ind w:firstLine="420" w:firstLineChars="200"/>
        <w:rPr>
          <w:rFonts w:hint="eastAsia" w:ascii="宋体" w:hAnsi="宋体" w:eastAsia="宋体" w:cs="宋体"/>
          <w:color w:val="auto"/>
          <w:szCs w:val="21"/>
        </w:rPr>
      </w:pPr>
    </w:p>
    <w:p w14:paraId="09B64822">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[公章</w:t>
      </w:r>
      <w:r>
        <w:rPr>
          <w:rFonts w:hint="eastAsia" w:ascii="宋体" w:hAnsi="宋体" w:eastAsia="宋体" w:cs="宋体"/>
          <w:color w:val="auto"/>
          <w:szCs w:val="21"/>
        </w:rPr>
        <w:t>（</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lang w:val="en-US"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204B7453">
      <w:pPr>
        <w:snapToGrid w:val="0"/>
        <w:spacing w:line="400" w:lineRule="exact"/>
        <w:ind w:firstLine="420"/>
        <w:rPr>
          <w:rFonts w:hint="eastAsia" w:ascii="宋体" w:hAnsi="宋体" w:eastAsia="宋体" w:cs="宋体"/>
          <w:color w:val="auto"/>
          <w:szCs w:val="21"/>
        </w:rPr>
      </w:pPr>
    </w:p>
    <w:p w14:paraId="7C46C501">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法定代表人（负责人）签字（或</w:t>
      </w:r>
      <w:r>
        <w:rPr>
          <w:rFonts w:hint="eastAsia" w:ascii="宋体" w:hAnsi="宋体" w:eastAsia="宋体" w:cs="宋体"/>
          <w:color w:val="auto"/>
          <w:szCs w:val="21"/>
          <w:lang w:eastAsia="zh-CN"/>
        </w:rPr>
        <w:t>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E90CE27">
      <w:pPr>
        <w:snapToGrid w:val="0"/>
        <w:spacing w:line="400" w:lineRule="exact"/>
        <w:ind w:firstLine="420"/>
        <w:rPr>
          <w:rFonts w:hint="eastAsia" w:ascii="宋体" w:hAnsi="宋体" w:eastAsia="宋体" w:cs="宋体"/>
          <w:color w:val="auto"/>
          <w:szCs w:val="21"/>
        </w:rPr>
      </w:pPr>
    </w:p>
    <w:p w14:paraId="34268509">
      <w:pPr>
        <w:pStyle w:val="10"/>
        <w:rPr>
          <w:rFonts w:hint="eastAsia" w:ascii="宋体" w:hAnsi="宋体" w:eastAsia="宋体" w:cs="宋体"/>
          <w:color w:val="auto"/>
        </w:rPr>
      </w:pPr>
    </w:p>
    <w:p w14:paraId="7D262D55">
      <w:pPr>
        <w:pStyle w:val="12"/>
        <w:spacing w:line="340" w:lineRule="exact"/>
        <w:ind w:firstLine="480" w:firstLineChars="200"/>
        <w:rPr>
          <w:rFonts w:hint="eastAsia" w:hAnsi="宋体" w:cs="宋体"/>
          <w:b/>
          <w:color w:val="000000"/>
          <w:sz w:val="24"/>
          <w:lang w:val="en-US" w:eastAsia="zh-CN"/>
        </w:rPr>
      </w:pPr>
      <w:r>
        <w:rPr>
          <w:rFonts w:hint="eastAsia" w:ascii="宋体" w:hAnsi="宋体" w:eastAsia="宋体" w:cs="宋体"/>
          <w:b/>
          <w:color w:val="000000"/>
          <w:sz w:val="24"/>
          <w:lang w:val="en-US" w:eastAsia="zh-CN"/>
        </w:rPr>
        <w:t>注：</w:t>
      </w:r>
      <w:r>
        <w:rPr>
          <w:rFonts w:hint="eastAsia" w:hAnsi="宋体" w:cs="宋体"/>
          <w:b/>
          <w:color w:val="000000"/>
          <w:sz w:val="24"/>
          <w:lang w:val="en-US" w:eastAsia="zh-CN"/>
        </w:rPr>
        <w:t>供应商</w:t>
      </w:r>
      <w:r>
        <w:rPr>
          <w:rFonts w:hint="eastAsia" w:ascii="宋体" w:hAnsi="宋体" w:eastAsia="宋体" w:cs="宋体"/>
          <w:b/>
          <w:color w:val="000000"/>
          <w:sz w:val="24"/>
          <w:lang w:val="en-US" w:eastAsia="zh-CN"/>
        </w:rPr>
        <w:t>的授权委托书原件、委托代理人身份证正反面</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以及由县级以上（含县级）社会养老保险经办机构出具的</w:t>
      </w:r>
      <w:r>
        <w:rPr>
          <w:rFonts w:hint="eastAsia" w:hAnsi="宋体" w:cs="宋体"/>
          <w:b/>
          <w:color w:val="000000"/>
          <w:sz w:val="24"/>
          <w:lang w:val="en-US" w:eastAsia="zh-CN"/>
        </w:rPr>
        <w:t>供应商</w:t>
      </w:r>
      <w:r>
        <w:rPr>
          <w:rFonts w:hint="eastAsia" w:ascii="宋体" w:hAnsi="宋体" w:eastAsia="宋体" w:cs="宋体"/>
          <w:b/>
          <w:color w:val="000000"/>
          <w:sz w:val="24"/>
          <w:lang w:val="en-US" w:eastAsia="zh-CN"/>
        </w:rPr>
        <w:t>为委托代理人交纳的开标截止时间前</w:t>
      </w:r>
      <w:r>
        <w:rPr>
          <w:rFonts w:hint="eastAsia" w:hAnsi="宋体" w:cs="宋体"/>
          <w:b/>
          <w:color w:val="000000"/>
          <w:sz w:val="24"/>
          <w:lang w:val="en-US" w:eastAsia="zh-CN"/>
        </w:rPr>
        <w:t>三个月内任意一个月养老保险</w:t>
      </w:r>
      <w:r>
        <w:rPr>
          <w:rFonts w:hint="eastAsia" w:ascii="宋体" w:hAnsi="宋体" w:eastAsia="宋体" w:cs="宋体"/>
          <w:b/>
          <w:color w:val="000000"/>
          <w:sz w:val="24"/>
          <w:lang w:val="en-US" w:eastAsia="zh-CN"/>
        </w:rPr>
        <w:t>证明</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（如</w:t>
      </w:r>
      <w:r>
        <w:rPr>
          <w:rFonts w:hint="eastAsia" w:hAnsi="宋体" w:cs="宋体"/>
          <w:b/>
          <w:color w:val="000000"/>
          <w:sz w:val="24"/>
          <w:lang w:val="en-US" w:eastAsia="zh-CN"/>
        </w:rPr>
        <w:t>供应商</w:t>
      </w:r>
      <w:r>
        <w:rPr>
          <w:rFonts w:hint="eastAsia" w:ascii="宋体" w:hAnsi="宋体" w:eastAsia="宋体" w:cs="宋体"/>
          <w:b/>
          <w:color w:val="000000"/>
          <w:sz w:val="24"/>
          <w:lang w:val="en-US" w:eastAsia="zh-CN"/>
        </w:rPr>
        <w:t>为截标时间前60日以内成立的公司，可以提供</w:t>
      </w:r>
      <w:r>
        <w:rPr>
          <w:rFonts w:hint="eastAsia" w:hAnsi="宋体" w:cs="宋体"/>
          <w:b/>
          <w:color w:val="000000"/>
          <w:sz w:val="24"/>
          <w:lang w:val="en-US" w:eastAsia="zh-CN"/>
        </w:rPr>
        <w:t>供应商</w:t>
      </w:r>
      <w:r>
        <w:rPr>
          <w:rFonts w:hint="eastAsia" w:ascii="宋体" w:hAnsi="宋体" w:eastAsia="宋体" w:cs="宋体"/>
          <w:b/>
          <w:color w:val="000000"/>
          <w:sz w:val="24"/>
          <w:lang w:val="en-US" w:eastAsia="zh-CN"/>
        </w:rPr>
        <w:t>与委托代理人签订的劳动合同</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代替</w:t>
      </w:r>
      <w:r>
        <w:rPr>
          <w:rFonts w:hint="eastAsia" w:hAnsi="宋体" w:cs="宋体"/>
          <w:b/>
          <w:color w:val="000000"/>
          <w:sz w:val="24"/>
          <w:lang w:val="en-US" w:eastAsia="zh-CN"/>
        </w:rPr>
        <w:t>养老保险</w:t>
      </w:r>
      <w:r>
        <w:rPr>
          <w:rFonts w:hint="eastAsia" w:ascii="宋体" w:hAnsi="宋体" w:eastAsia="宋体" w:cs="宋体"/>
          <w:b/>
          <w:color w:val="000000"/>
          <w:sz w:val="24"/>
          <w:lang w:val="en-US" w:eastAsia="zh-CN"/>
        </w:rPr>
        <w:t>证明</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；如</w:t>
      </w:r>
      <w:r>
        <w:rPr>
          <w:rFonts w:hint="eastAsia" w:hAnsi="宋体" w:cs="宋体"/>
          <w:b/>
          <w:color w:val="000000"/>
          <w:sz w:val="24"/>
          <w:lang w:val="en-US" w:eastAsia="zh-CN"/>
        </w:rPr>
        <w:t>供应商</w:t>
      </w:r>
      <w:r>
        <w:rPr>
          <w:rFonts w:hint="eastAsia" w:ascii="宋体" w:hAnsi="宋体" w:eastAsia="宋体" w:cs="宋体"/>
          <w:b/>
          <w:color w:val="000000"/>
          <w:sz w:val="24"/>
          <w:lang w:val="en-US" w:eastAsia="zh-CN"/>
        </w:rPr>
        <w:t>为事业单位，可以提供事业单位机构编制管理证</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或事业单位机构为其发放工资的工资条</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代替</w:t>
      </w:r>
      <w:r>
        <w:rPr>
          <w:rFonts w:hint="eastAsia" w:hAnsi="宋体" w:cs="宋体"/>
          <w:b/>
          <w:color w:val="000000"/>
          <w:sz w:val="24"/>
          <w:lang w:val="en-US" w:eastAsia="zh-CN"/>
        </w:rPr>
        <w:t>养老保险</w:t>
      </w:r>
      <w:r>
        <w:rPr>
          <w:rFonts w:hint="eastAsia" w:ascii="宋体" w:hAnsi="宋体" w:eastAsia="宋体" w:cs="宋体"/>
          <w:b/>
          <w:color w:val="000000"/>
          <w:sz w:val="24"/>
          <w:lang w:val="en-US" w:eastAsia="zh-CN"/>
        </w:rPr>
        <w:t>证明</w:t>
      </w:r>
      <w:r>
        <w:rPr>
          <w:rFonts w:hint="eastAsia" w:hAnsi="宋体" w:cs="宋体"/>
          <w:b/>
          <w:color w:val="000000"/>
          <w:sz w:val="24"/>
          <w:lang w:val="en-US" w:eastAsia="zh-CN"/>
        </w:rPr>
        <w:t>彩色扫描件</w:t>
      </w:r>
      <w:r>
        <w:rPr>
          <w:rFonts w:hint="eastAsia" w:ascii="宋体" w:hAnsi="宋体" w:eastAsia="宋体" w:cs="宋体"/>
          <w:b/>
          <w:color w:val="000000"/>
          <w:sz w:val="24"/>
          <w:lang w:val="en-US" w:eastAsia="zh-CN"/>
        </w:rPr>
        <w:t>；</w:t>
      </w:r>
      <w:r>
        <w:rPr>
          <w:rFonts w:hint="eastAsia" w:hAnsi="宋体" w:cs="宋体"/>
          <w:b/>
          <w:color w:val="000000"/>
          <w:sz w:val="24"/>
          <w:lang w:val="en-US" w:eastAsia="zh-CN"/>
        </w:rPr>
        <w:t>如委托代理人为免缴纳养老保险人员，提供免缴纳养老保险的证明材料彩色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702E98DE">
      <w:pPr>
        <w:pStyle w:val="10"/>
        <w:rPr>
          <w:rFonts w:hint="eastAsia" w:ascii="宋体" w:hAnsi="宋体" w:eastAsia="宋体" w:cs="宋体"/>
          <w:color w:val="auto"/>
        </w:rPr>
      </w:pPr>
    </w:p>
    <w:p w14:paraId="49A0F4E0">
      <w:pPr>
        <w:pStyle w:val="12"/>
        <w:jc w:val="center"/>
        <w:rPr>
          <w:rFonts w:hint="eastAsia" w:ascii="宋体" w:hAnsi="宋体" w:eastAsia="宋体" w:cs="宋体"/>
          <w:b/>
          <w:color w:val="auto"/>
          <w:sz w:val="32"/>
        </w:rPr>
      </w:pPr>
      <w:bookmarkStart w:id="331" w:name="_Toc6975_WPSOffice_Level1"/>
      <w:bookmarkStart w:id="332" w:name="_Toc21370_WPSOffice_Level1"/>
      <w:r>
        <w:rPr>
          <w:rFonts w:hint="eastAsia" w:ascii="宋体" w:hAnsi="宋体" w:eastAsia="宋体" w:cs="宋体"/>
          <w:b/>
          <w:color w:val="auto"/>
          <w:sz w:val="32"/>
        </w:rPr>
        <w:t>授权委托书（格式二）</w:t>
      </w:r>
      <w:bookmarkEnd w:id="331"/>
      <w:bookmarkEnd w:id="332"/>
    </w:p>
    <w:p w14:paraId="1387E858">
      <w:pPr>
        <w:pStyle w:val="12"/>
        <w:jc w:val="both"/>
        <w:rPr>
          <w:rFonts w:hint="eastAsia" w:ascii="宋体" w:hAnsi="宋体" w:eastAsia="宋体" w:cs="宋体"/>
          <w:b/>
          <w:color w:val="auto"/>
          <w:sz w:val="32"/>
        </w:rPr>
      </w:pPr>
    </w:p>
    <w:p w14:paraId="26B047EB">
      <w:pPr>
        <w:pStyle w:val="12"/>
        <w:jc w:val="both"/>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桂林市政府集中采购中心 </w:t>
      </w:r>
    </w:p>
    <w:p w14:paraId="598DFCA3">
      <w:pPr>
        <w:rPr>
          <w:rFonts w:hint="eastAsia" w:ascii="宋体" w:hAnsi="宋体" w:eastAsia="宋体" w:cs="宋体"/>
          <w:color w:val="auto"/>
        </w:rPr>
      </w:pPr>
    </w:p>
    <w:p w14:paraId="764C85DF">
      <w:pPr>
        <w:pStyle w:val="12"/>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（姓名）系自然人，现授权委托</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名）以本人名义参加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项目的磋商活动，并代表本人全权办理针对上述项目的磋商、签约等具体事务和签署相关文件。</w:t>
      </w:r>
    </w:p>
    <w:p w14:paraId="5E5C1628">
      <w:pPr>
        <w:pStyle w:val="12"/>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14:paraId="33EAD620">
      <w:pPr>
        <w:pStyle w:val="12"/>
        <w:spacing w:line="34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 xml:space="preserve"> 日起至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日止。</w:t>
      </w:r>
    </w:p>
    <w:p w14:paraId="5CF7F663">
      <w:pPr>
        <w:pStyle w:val="12"/>
        <w:spacing w:line="340" w:lineRule="exact"/>
        <w:rPr>
          <w:rFonts w:hint="eastAsia" w:ascii="宋体" w:hAnsi="宋体" w:eastAsia="宋体" w:cs="宋体"/>
          <w:color w:val="auto"/>
          <w:u w:val="single"/>
        </w:rPr>
      </w:pPr>
      <w:r>
        <w:rPr>
          <w:rFonts w:hint="eastAsia" w:ascii="宋体" w:hAnsi="宋体" w:eastAsia="宋体" w:cs="宋体"/>
          <w:color w:val="auto"/>
        </w:rPr>
        <w:t xml:space="preserve">                                                                                             </w:t>
      </w:r>
    </w:p>
    <w:p w14:paraId="6AFA2593">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14:paraId="59F28873">
      <w:pPr>
        <w:spacing w:line="340" w:lineRule="exact"/>
        <w:ind w:firstLine="420" w:firstLineChars="200"/>
        <w:rPr>
          <w:rFonts w:hint="eastAsia" w:ascii="宋体" w:hAnsi="宋体" w:eastAsia="宋体" w:cs="宋体"/>
          <w:color w:val="auto"/>
          <w:kern w:val="0"/>
        </w:rPr>
      </w:pPr>
    </w:p>
    <w:p w14:paraId="03E74EA2">
      <w:pPr>
        <w:spacing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14:paraId="4C6C15AE">
      <w:pPr>
        <w:spacing w:line="340" w:lineRule="exact"/>
        <w:ind w:firstLine="420" w:firstLineChars="200"/>
        <w:rPr>
          <w:rFonts w:hint="eastAsia" w:ascii="宋体" w:hAnsi="宋体" w:eastAsia="宋体" w:cs="宋体"/>
          <w:color w:val="auto"/>
          <w:szCs w:val="21"/>
        </w:rPr>
      </w:pPr>
    </w:p>
    <w:p w14:paraId="0FA65CCA">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w:t>
      </w:r>
      <w:r>
        <w:rPr>
          <w:rFonts w:hint="eastAsia" w:ascii="宋体" w:hAnsi="宋体" w:eastAsia="宋体" w:cs="宋体"/>
          <w:color w:val="auto"/>
          <w:szCs w:val="21"/>
          <w:lang w:eastAsia="zh-CN"/>
        </w:rPr>
        <w:t>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EB0F0E8">
      <w:pPr>
        <w:pStyle w:val="12"/>
        <w:spacing w:line="400" w:lineRule="exact"/>
        <w:ind w:left="420" w:leftChars="200"/>
        <w:rPr>
          <w:rFonts w:hint="eastAsia" w:ascii="宋体" w:hAnsi="宋体" w:eastAsia="宋体" w:cs="宋体"/>
          <w:color w:val="auto"/>
          <w:szCs w:val="21"/>
        </w:rPr>
      </w:pPr>
    </w:p>
    <w:p w14:paraId="140C29A2">
      <w:pPr>
        <w:pStyle w:val="12"/>
        <w:spacing w:line="400" w:lineRule="exact"/>
        <w:rPr>
          <w:rFonts w:hint="eastAsia" w:ascii="宋体" w:hAnsi="宋体" w:eastAsia="宋体" w:cs="宋体"/>
          <w:b/>
          <w:color w:val="auto"/>
          <w:szCs w:val="21"/>
          <w:lang w:eastAsia="zh-CN"/>
        </w:rPr>
      </w:pPr>
      <w:r>
        <w:rPr>
          <w:rFonts w:hint="eastAsia" w:ascii="宋体" w:hAnsi="宋体" w:eastAsia="宋体" w:cs="宋体"/>
          <w:b/>
          <w:color w:val="auto"/>
          <w:szCs w:val="21"/>
        </w:rPr>
        <w:t>附：委托代理人身份证正反面</w:t>
      </w:r>
      <w:r>
        <w:rPr>
          <w:rFonts w:hint="eastAsia" w:hAnsi="宋体" w:cs="宋体"/>
          <w:b/>
          <w:color w:val="auto"/>
          <w:szCs w:val="21"/>
          <w:lang w:eastAsia="zh-CN"/>
        </w:rPr>
        <w:t>彩色扫描件</w:t>
      </w:r>
    </w:p>
    <w:p w14:paraId="66951680">
      <w:pPr>
        <w:rPr>
          <w:rFonts w:hint="eastAsia" w:ascii="宋体" w:hAnsi="宋体" w:eastAsia="宋体" w:cs="宋体"/>
          <w:b/>
          <w:color w:val="auto"/>
          <w:szCs w:val="21"/>
        </w:rPr>
      </w:pPr>
    </w:p>
    <w:p w14:paraId="4A18CAF1">
      <w:pPr>
        <w:rPr>
          <w:rFonts w:hint="eastAsia" w:ascii="宋体" w:hAnsi="宋体" w:eastAsia="宋体" w:cs="宋体"/>
          <w:color w:val="auto"/>
        </w:rPr>
      </w:pPr>
    </w:p>
    <w:p w14:paraId="230DC76C">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.供应商参加政府采购活动前3年内在经营活动中没有重大违法记录及有关信用信息的书面声明（必须提供</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如为联合体的，联合体各方必须同时提供</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w:t>
      </w:r>
    </w:p>
    <w:p w14:paraId="02C954BB">
      <w:pPr>
        <w:pStyle w:val="12"/>
        <w:spacing w:line="400" w:lineRule="exact"/>
        <w:ind w:left="420" w:leftChars="200" w:firstLine="156" w:firstLineChars="49"/>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14:paraId="0294AE6A">
      <w:pPr>
        <w:pStyle w:val="12"/>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附件：</w:t>
      </w:r>
    </w:p>
    <w:p w14:paraId="5C8839A2">
      <w:pPr>
        <w:pStyle w:val="12"/>
        <w:spacing w:line="400" w:lineRule="exact"/>
        <w:jc w:val="center"/>
        <w:rPr>
          <w:rFonts w:hint="eastAsia" w:ascii="宋体" w:hAnsi="宋体" w:eastAsia="宋体" w:cs="宋体"/>
          <w:b/>
          <w:color w:val="auto"/>
          <w:sz w:val="32"/>
          <w:szCs w:val="32"/>
        </w:rPr>
      </w:pPr>
      <w:bookmarkStart w:id="333" w:name="_Toc30304_WPSOffice_Level1"/>
      <w:bookmarkStart w:id="334" w:name="_Toc30890_WPSOffice_Level1"/>
      <w:r>
        <w:rPr>
          <w:rFonts w:hint="eastAsia" w:ascii="宋体" w:hAnsi="宋体" w:eastAsia="宋体" w:cs="宋体"/>
          <w:b/>
          <w:color w:val="auto"/>
          <w:sz w:val="32"/>
          <w:szCs w:val="32"/>
        </w:rPr>
        <w:t>声   明</w:t>
      </w:r>
      <w:bookmarkEnd w:id="333"/>
      <w:bookmarkEnd w:id="334"/>
    </w:p>
    <w:p w14:paraId="3322CB6E">
      <w:pPr>
        <w:pStyle w:val="12"/>
        <w:spacing w:line="400" w:lineRule="exact"/>
        <w:jc w:val="both"/>
        <w:rPr>
          <w:rFonts w:hint="eastAsia" w:ascii="宋体" w:hAnsi="宋体" w:eastAsia="宋体" w:cs="宋体"/>
          <w:b/>
          <w:color w:val="auto"/>
          <w:sz w:val="32"/>
          <w:szCs w:val="32"/>
        </w:rPr>
      </w:pPr>
    </w:p>
    <w:p w14:paraId="3AFABD03">
      <w:pPr>
        <w:pStyle w:val="12"/>
        <w:spacing w:line="400" w:lineRule="exact"/>
        <w:jc w:val="both"/>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桂林市政府集中采购中心 </w:t>
      </w:r>
    </w:p>
    <w:p w14:paraId="2ABC3E72">
      <w:pPr>
        <w:pStyle w:val="10"/>
        <w:rPr>
          <w:rFonts w:hint="eastAsia" w:ascii="宋体" w:hAnsi="宋体" w:eastAsia="宋体" w:cs="宋体"/>
          <w:color w:val="auto"/>
        </w:rPr>
      </w:pPr>
    </w:p>
    <w:p w14:paraId="6539D1CD">
      <w:pPr>
        <w:pStyle w:val="12"/>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CFDF19C">
      <w:pPr>
        <w:rPr>
          <w:rFonts w:hint="eastAsia" w:ascii="宋体" w:hAnsi="宋体" w:eastAsia="宋体" w:cs="宋体"/>
          <w:color w:val="auto"/>
        </w:rPr>
      </w:pPr>
    </w:p>
    <w:p w14:paraId="6C712935">
      <w:pPr>
        <w:snapToGrid w:val="0"/>
        <w:spacing w:line="400" w:lineRule="exact"/>
        <w:ind w:firstLine="1890" w:firstLineChars="900"/>
        <w:rPr>
          <w:rFonts w:hint="eastAsia" w:ascii="宋体" w:hAnsi="宋体" w:eastAsia="宋体" w:cs="宋体"/>
          <w:color w:val="auto"/>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4D9C47B0">
      <w:pPr>
        <w:pStyle w:val="12"/>
        <w:ind w:firstLine="3990" w:firstLineChars="19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14:paraId="3DDC5811">
      <w:pPr>
        <w:pStyle w:val="12"/>
        <w:spacing w:line="340" w:lineRule="exact"/>
        <w:rPr>
          <w:rFonts w:hint="eastAsia" w:ascii="宋体" w:hAnsi="宋体" w:eastAsia="宋体" w:cs="宋体"/>
          <w:b/>
          <w:color w:val="auto"/>
          <w:sz w:val="28"/>
          <w:szCs w:val="28"/>
        </w:rPr>
      </w:pPr>
    </w:p>
    <w:p w14:paraId="6AEFF5E7">
      <w:pPr>
        <w:pStyle w:val="12"/>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.供应商的法人或者其他组织营业执照等证明文件</w:t>
      </w:r>
      <w:r>
        <w:rPr>
          <w:rFonts w:hint="eastAsia" w:hAnsi="宋体" w:cs="宋体"/>
          <w:b/>
          <w:color w:val="auto"/>
          <w:sz w:val="28"/>
          <w:szCs w:val="28"/>
          <w:lang w:eastAsia="zh-CN"/>
        </w:rPr>
        <w:t>彩色扫描件</w:t>
      </w:r>
      <w:r>
        <w:rPr>
          <w:rFonts w:hint="eastAsia" w:ascii="宋体" w:hAnsi="宋体" w:eastAsia="宋体" w:cs="宋体"/>
          <w:b/>
          <w:color w:val="auto"/>
          <w:sz w:val="28"/>
          <w:szCs w:val="28"/>
        </w:rPr>
        <w:t>（必须提供，自然人除外</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如为联合体的，联合体各方必须同时提供</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w:t>
      </w:r>
    </w:p>
    <w:p w14:paraId="2521B720">
      <w:pPr>
        <w:tabs>
          <w:tab w:val="left" w:pos="1305"/>
        </w:tabs>
        <w:spacing w:line="340" w:lineRule="exact"/>
        <w:rPr>
          <w:rFonts w:hint="eastAsia" w:ascii="宋体" w:hAnsi="宋体" w:eastAsia="宋体" w:cs="宋体"/>
          <w:b/>
          <w:color w:val="auto"/>
          <w:szCs w:val="21"/>
        </w:rPr>
      </w:pPr>
    </w:p>
    <w:p w14:paraId="784E04DC">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lang w:eastAsia="zh-CN"/>
        </w:rPr>
        <w:t>”</w:t>
      </w:r>
      <w:r>
        <w:rPr>
          <w:rFonts w:hint="eastAsia" w:ascii="宋体" w:hAnsi="宋体" w:eastAsia="宋体" w:cs="宋体"/>
          <w:b/>
          <w:color w:val="auto"/>
          <w:szCs w:val="21"/>
        </w:rPr>
        <w:t>；供应商为事业单位，应提供有效的“事业单位法人证书”；供应商为非企业专业服务机构的，应提供执业许可证等证明文件；供应商为个体工商户，应提供有效的“个体工商户营业执照”。</w:t>
      </w:r>
    </w:p>
    <w:p w14:paraId="4806B739">
      <w:pPr>
        <w:rPr>
          <w:rFonts w:hint="eastAsia" w:ascii="宋体" w:hAnsi="宋体" w:eastAsia="宋体" w:cs="宋体"/>
          <w:b/>
          <w:bCs/>
          <w:color w:val="auto"/>
          <w:sz w:val="28"/>
          <w:szCs w:val="28"/>
        </w:rPr>
      </w:pPr>
    </w:p>
    <w:p w14:paraId="1561B442">
      <w:pPr>
        <w:pStyle w:val="12"/>
        <w:spacing w:line="340" w:lineRule="exact"/>
        <w:rPr>
          <w:rFonts w:hint="eastAsia" w:ascii="宋体" w:hAnsi="宋体" w:eastAsia="宋体" w:cs="宋体"/>
          <w:b/>
          <w:color w:val="auto"/>
          <w:sz w:val="28"/>
          <w:szCs w:val="28"/>
          <w:lang w:val="en-US" w:eastAsia="zh-CN"/>
        </w:rPr>
      </w:pPr>
    </w:p>
    <w:p w14:paraId="46053091">
      <w:pPr>
        <w:pStyle w:val="12"/>
        <w:spacing w:line="340" w:lineRule="exac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w:t>
      </w:r>
      <w:r>
        <w:rPr>
          <w:rFonts w:hint="eastAsia" w:hAnsi="宋体" w:cs="宋体"/>
          <w:b/>
          <w:color w:val="auto"/>
          <w:sz w:val="28"/>
          <w:szCs w:val="28"/>
          <w:lang w:val="en-US" w:eastAsia="zh-CN"/>
        </w:rPr>
        <w:t>财务状况报告（格式自拟，必须提供；如为联合体的，联合体各方必须同时提供。）</w:t>
      </w:r>
      <w:r>
        <w:rPr>
          <w:rFonts w:hint="eastAsia" w:ascii="宋体" w:hAnsi="宋体" w:eastAsia="宋体" w:cs="宋体"/>
          <w:b/>
          <w:color w:val="auto"/>
          <w:sz w:val="28"/>
          <w:szCs w:val="28"/>
          <w:lang w:val="en-US" w:eastAsia="zh-CN"/>
        </w:rPr>
        <w:t>；</w:t>
      </w:r>
    </w:p>
    <w:p w14:paraId="3E64BC2F">
      <w:pPr>
        <w:pStyle w:val="12"/>
        <w:spacing w:line="340" w:lineRule="exact"/>
        <w:rPr>
          <w:rFonts w:hint="eastAsia" w:ascii="宋体" w:hAnsi="宋体" w:eastAsia="宋体" w:cs="宋体"/>
          <w:b/>
          <w:color w:val="auto"/>
          <w:sz w:val="28"/>
          <w:szCs w:val="28"/>
        </w:rPr>
      </w:pPr>
    </w:p>
    <w:p w14:paraId="1085C4AC">
      <w:pPr>
        <w:pStyle w:val="6"/>
        <w:rPr>
          <w:rFonts w:hint="eastAsia" w:ascii="宋体" w:hAnsi="宋体" w:eastAsia="宋体" w:cs="宋体"/>
          <w:color w:val="auto"/>
        </w:rPr>
      </w:pPr>
    </w:p>
    <w:p w14:paraId="78E10F62">
      <w:pPr>
        <w:pStyle w:val="6"/>
        <w:numPr>
          <w:ilvl w:val="0"/>
          <w:numId w:val="0"/>
        </w:numPr>
        <w:rPr>
          <w:rFonts w:hint="eastAsia" w:ascii="宋体" w:hAnsi="宋体" w:eastAsia="宋体" w:cs="宋体"/>
          <w:b/>
          <w:color w:val="auto"/>
          <w:sz w:val="28"/>
          <w:szCs w:val="28"/>
          <w:lang w:val="en-US" w:eastAsia="zh-CN"/>
        </w:rPr>
      </w:pPr>
    </w:p>
    <w:p w14:paraId="0B3463B2">
      <w:pPr>
        <w:pStyle w:val="6"/>
        <w:numPr>
          <w:ilvl w:val="0"/>
          <w:numId w:val="0"/>
        </w:num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auto"/>
          <w:sz w:val="28"/>
          <w:szCs w:val="28"/>
          <w:lang w:val="en-US" w:eastAsia="zh-CN"/>
        </w:rPr>
        <w:t>彩色扫描件</w:t>
      </w:r>
      <w:r>
        <w:rPr>
          <w:rFonts w:hint="eastAsia" w:ascii="宋体" w:hAnsi="宋体" w:eastAsia="宋体" w:cs="宋体"/>
          <w:b/>
          <w:color w:val="auto"/>
          <w:sz w:val="28"/>
          <w:szCs w:val="28"/>
          <w:lang w:val="en-US" w:eastAsia="zh-CN"/>
        </w:rPr>
        <w:t>（必须提供；如为联合体的，联合体各方必须同时提供。）。</w:t>
      </w:r>
    </w:p>
    <w:p w14:paraId="60C6C31C">
      <w:pPr>
        <w:spacing w:line="360" w:lineRule="auto"/>
        <w:ind w:firstLine="480" w:firstLineChars="200"/>
        <w:rPr>
          <w:rFonts w:hint="eastAsia" w:ascii="宋体" w:hAnsi="宋体" w:eastAsia="宋体" w:cs="宋体"/>
          <w:b/>
          <w:bCs/>
          <w:color w:val="auto"/>
          <w:sz w:val="24"/>
          <w:lang w:val="en-US" w:eastAsia="zh-CN"/>
        </w:rPr>
      </w:pPr>
    </w:p>
    <w:p w14:paraId="6449051F">
      <w:pPr>
        <w:pStyle w:val="10"/>
        <w:rPr>
          <w:rFonts w:hint="eastAsia" w:ascii="宋体" w:hAnsi="宋体" w:eastAsia="宋体" w:cs="宋体"/>
          <w:b/>
          <w:bCs/>
          <w:color w:val="auto"/>
          <w:sz w:val="28"/>
          <w:szCs w:val="28"/>
        </w:rPr>
      </w:pPr>
    </w:p>
    <w:p w14:paraId="47950D70">
      <w:pPr>
        <w:numPr>
          <w:ilvl w:val="0"/>
          <w:numId w:val="7"/>
        </w:numPr>
        <w:spacing w:line="400" w:lineRule="exact"/>
        <w:ind w:firstLine="565" w:firstLineChars="202"/>
        <w:outlineLvl w:val="1"/>
        <w:rPr>
          <w:rFonts w:hint="eastAsia" w:ascii="宋体" w:hAnsi="宋体" w:eastAsia="宋体" w:cs="宋体"/>
          <w:b/>
          <w:bCs/>
          <w:color w:val="auto"/>
          <w:sz w:val="28"/>
          <w:szCs w:val="28"/>
        </w:rPr>
      </w:pPr>
      <w:bookmarkStart w:id="335" w:name="_Toc17485"/>
      <w:r>
        <w:rPr>
          <w:rFonts w:hint="eastAsia" w:ascii="宋体" w:hAnsi="宋体" w:eastAsia="宋体" w:cs="宋体"/>
          <w:b/>
          <w:bCs/>
          <w:color w:val="auto"/>
          <w:sz w:val="28"/>
          <w:szCs w:val="28"/>
        </w:rPr>
        <w:t>符合性响应证明材料</w:t>
      </w:r>
      <w:bookmarkEnd w:id="335"/>
    </w:p>
    <w:p w14:paraId="4BBAB7D0">
      <w:pPr>
        <w:numPr>
          <w:ilvl w:val="0"/>
          <w:numId w:val="0"/>
        </w:numPr>
        <w:ind w:left="420" w:leftChars="0"/>
        <w:jc w:val="both"/>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符合性响应证明材料目录</w:t>
      </w:r>
      <w:r>
        <w:rPr>
          <w:rFonts w:hint="eastAsia" w:ascii="宋体" w:hAnsi="宋体" w:cs="宋体"/>
          <w:b/>
          <w:bCs/>
          <w:color w:val="auto"/>
          <w:sz w:val="28"/>
          <w:szCs w:val="28"/>
          <w:lang w:eastAsia="zh-CN"/>
        </w:rPr>
        <w:t>：</w:t>
      </w:r>
    </w:p>
    <w:p w14:paraId="69C3F24E">
      <w:pPr>
        <w:numPr>
          <w:ilvl w:val="0"/>
          <w:numId w:val="8"/>
        </w:numPr>
        <w:spacing w:line="360" w:lineRule="auto"/>
        <w:ind w:left="-60" w:leftChars="0" w:firstLine="480" w:firstLineChars="0"/>
        <w:rPr>
          <w:rFonts w:hint="default" w:ascii="宋体" w:hAnsi="宋体" w:eastAsia="宋体" w:cs="宋体"/>
          <w:color w:val="auto"/>
          <w:sz w:val="24"/>
          <w:lang w:val="en-US" w:eastAsia="zh-CN"/>
        </w:rPr>
      </w:pPr>
      <w:r>
        <w:rPr>
          <w:rFonts w:hint="eastAsia" w:ascii="宋体" w:hAnsi="宋体" w:eastAsia="宋体" w:cs="宋体"/>
          <w:color w:val="auto"/>
          <w:sz w:val="24"/>
        </w:rPr>
        <w:t>响应函</w:t>
      </w:r>
      <w:r>
        <w:rPr>
          <w:rFonts w:hint="eastAsia" w:ascii="宋体" w:hAnsi="宋体" w:eastAsia="宋体" w:cs="宋体"/>
          <w:b/>
          <w:bCs/>
          <w:color w:val="auto"/>
          <w:sz w:val="24"/>
        </w:rPr>
        <w:t>（格式见附件）（必须提供</w:t>
      </w:r>
      <w:r>
        <w:rPr>
          <w:color w:val="auto"/>
          <w:highlight w:val="none"/>
        </w:rPr>
        <w:t>）</w:t>
      </w:r>
      <w:r>
        <w:rPr>
          <w:rFonts w:hint="eastAsia" w:ascii="宋体" w:hAnsi="宋体" w:eastAsia="宋体" w:cs="宋体"/>
          <w:b/>
          <w:bCs/>
          <w:color w:val="auto"/>
          <w:sz w:val="24"/>
          <w:lang w:eastAsia="zh-CN"/>
        </w:rPr>
        <w:t>；</w:t>
      </w:r>
    </w:p>
    <w:p w14:paraId="06660010">
      <w:pPr>
        <w:numPr>
          <w:ilvl w:val="0"/>
          <w:numId w:val="8"/>
        </w:numPr>
        <w:spacing w:line="360" w:lineRule="auto"/>
        <w:ind w:left="-60" w:leftChars="0" w:firstLine="480" w:firstLineChars="0"/>
        <w:rPr>
          <w:rFonts w:hint="eastAsia" w:ascii="宋体" w:hAnsi="宋体" w:eastAsia="宋体" w:cs="宋体"/>
          <w:color w:val="auto"/>
        </w:rPr>
      </w:pPr>
      <w:r>
        <w:rPr>
          <w:rFonts w:hint="eastAsia" w:ascii="宋体" w:hAnsi="宋体" w:eastAsia="宋体" w:cs="宋体"/>
          <w:color w:val="auto"/>
          <w:sz w:val="24"/>
        </w:rPr>
        <w:t>磋商报价表</w:t>
      </w:r>
      <w:r>
        <w:rPr>
          <w:rFonts w:hint="eastAsia" w:ascii="宋体" w:hAnsi="宋体" w:eastAsia="宋体" w:cs="宋体"/>
          <w:b/>
          <w:bCs/>
          <w:color w:val="auto"/>
          <w:sz w:val="24"/>
        </w:rPr>
        <w:t>（格式见附件）（必须提供）；</w:t>
      </w:r>
    </w:p>
    <w:p w14:paraId="335D074C">
      <w:pPr>
        <w:numPr>
          <w:ilvl w:val="0"/>
          <w:numId w:val="8"/>
        </w:numPr>
        <w:spacing w:line="360" w:lineRule="auto"/>
        <w:ind w:left="-60" w:leftChars="0" w:firstLine="480" w:firstLineChars="0"/>
        <w:rPr>
          <w:rFonts w:hint="eastAsia" w:ascii="宋体" w:hAnsi="宋体" w:eastAsia="宋体" w:cs="宋体"/>
          <w:color w:val="auto"/>
        </w:rPr>
      </w:pPr>
      <w:r>
        <w:rPr>
          <w:rFonts w:hint="eastAsia" w:ascii="宋体" w:hAnsi="宋体" w:eastAsia="宋体" w:cs="宋体"/>
          <w:color w:val="auto"/>
          <w:sz w:val="24"/>
        </w:rPr>
        <w:t>商务偏离情况说明表</w:t>
      </w:r>
      <w:r>
        <w:rPr>
          <w:rFonts w:hint="eastAsia" w:ascii="宋体" w:hAnsi="宋体" w:eastAsia="宋体" w:cs="宋体"/>
          <w:b/>
          <w:bCs/>
          <w:color w:val="auto"/>
          <w:sz w:val="24"/>
        </w:rPr>
        <w:t>（格式见附件）（必须提供）；</w:t>
      </w:r>
    </w:p>
    <w:p w14:paraId="3FC2C6B9">
      <w:pPr>
        <w:numPr>
          <w:ilvl w:val="0"/>
          <w:numId w:val="8"/>
        </w:numPr>
        <w:spacing w:line="360" w:lineRule="auto"/>
        <w:ind w:left="-60" w:leftChars="0" w:firstLine="480" w:firstLineChars="0"/>
        <w:rPr>
          <w:rFonts w:hint="eastAsia" w:ascii="宋体" w:hAnsi="宋体" w:eastAsia="宋体" w:cs="宋体"/>
          <w:b/>
          <w:bCs/>
          <w:color w:val="auto"/>
          <w:sz w:val="24"/>
        </w:rPr>
      </w:pPr>
      <w:r>
        <w:rPr>
          <w:rFonts w:hint="eastAsia" w:ascii="宋体" w:hAnsi="宋体" w:eastAsia="宋体" w:cs="宋体"/>
          <w:color w:val="auto"/>
          <w:sz w:val="24"/>
          <w:lang w:eastAsia="zh-CN"/>
        </w:rPr>
        <w:t>服务承诺书</w:t>
      </w:r>
      <w:r>
        <w:rPr>
          <w:rFonts w:hint="eastAsia" w:ascii="宋体" w:hAnsi="宋体" w:eastAsia="宋体" w:cs="宋体"/>
          <w:color w:val="auto"/>
          <w:sz w:val="24"/>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rPr>
        <w:t>（格式见附件）（必须提供）；</w:t>
      </w:r>
    </w:p>
    <w:p w14:paraId="1B150599">
      <w:pPr>
        <w:numPr>
          <w:ilvl w:val="0"/>
          <w:numId w:val="8"/>
        </w:numPr>
        <w:spacing w:line="360" w:lineRule="auto"/>
        <w:ind w:left="-60" w:leftChars="0" w:firstLine="48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针对本项目的</w:t>
      </w:r>
      <w:r>
        <w:rPr>
          <w:rFonts w:hint="eastAsia" w:ascii="宋体" w:hAnsi="宋体" w:eastAsia="宋体" w:cs="宋体"/>
          <w:color w:val="auto"/>
          <w:sz w:val="24"/>
          <w:lang w:eastAsia="zh-CN"/>
        </w:rPr>
        <w:t>服务</w:t>
      </w:r>
      <w:r>
        <w:rPr>
          <w:rFonts w:hint="eastAsia" w:ascii="宋体" w:hAnsi="宋体" w:eastAsia="宋体" w:cs="宋体"/>
          <w:color w:val="auto"/>
          <w:sz w:val="24"/>
        </w:rPr>
        <w:t>方案</w:t>
      </w:r>
      <w:r>
        <w:rPr>
          <w:rFonts w:hint="eastAsia" w:ascii="宋体" w:hAnsi="宋体" w:eastAsia="宋体" w:cs="宋体"/>
          <w:b/>
          <w:bCs/>
          <w:color w:val="auto"/>
          <w:sz w:val="24"/>
        </w:rPr>
        <w:t>（格式见附件）（</w:t>
      </w:r>
      <w:r>
        <w:rPr>
          <w:rFonts w:hint="eastAsia" w:ascii="宋体" w:hAnsi="宋体" w:eastAsia="宋体" w:cs="宋体"/>
          <w:b/>
          <w:bCs/>
          <w:color w:val="auto"/>
          <w:sz w:val="24"/>
          <w:lang w:eastAsia="zh-CN"/>
        </w:rPr>
        <w:t>必须提供</w:t>
      </w:r>
      <w:r>
        <w:rPr>
          <w:rFonts w:hint="eastAsia" w:ascii="宋体" w:hAnsi="宋体" w:eastAsia="宋体" w:cs="宋体"/>
          <w:b/>
          <w:bCs/>
          <w:color w:val="auto"/>
          <w:sz w:val="24"/>
        </w:rPr>
        <w:t>）</w:t>
      </w:r>
      <w:r>
        <w:rPr>
          <w:rFonts w:hint="eastAsia" w:ascii="宋体" w:hAnsi="宋体" w:cs="宋体"/>
          <w:b/>
          <w:bCs/>
          <w:color w:val="auto"/>
          <w:sz w:val="24"/>
          <w:lang w:eastAsia="zh-CN"/>
        </w:rPr>
        <w:t>；</w:t>
      </w:r>
    </w:p>
    <w:p w14:paraId="585F0A92">
      <w:pPr>
        <w:pStyle w:val="10"/>
        <w:rPr>
          <w:rFonts w:hint="eastAsia" w:ascii="宋体" w:hAnsi="宋体" w:eastAsia="宋体" w:cs="宋体"/>
          <w:color w:val="auto"/>
          <w:szCs w:val="21"/>
        </w:rPr>
      </w:pPr>
    </w:p>
    <w:p w14:paraId="1418BD98">
      <w:pPr>
        <w:pStyle w:val="10"/>
        <w:ind w:firstLine="560"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符合性响应证明材料要求及格式：</w:t>
      </w:r>
    </w:p>
    <w:p w14:paraId="3F496B60">
      <w:pPr>
        <w:rPr>
          <w:rFonts w:hint="eastAsia" w:ascii="宋体" w:hAnsi="宋体" w:eastAsia="宋体" w:cs="宋体"/>
          <w:color w:val="auto"/>
          <w:szCs w:val="21"/>
        </w:rPr>
      </w:pPr>
    </w:p>
    <w:p w14:paraId="640FF9A3">
      <w:pPr>
        <w:pStyle w:val="26"/>
        <w:rPr>
          <w:rFonts w:hint="eastAsia" w:ascii="宋体" w:hAnsi="宋体" w:eastAsia="宋体" w:cs="宋体"/>
          <w:color w:val="auto"/>
          <w:szCs w:val="21"/>
        </w:rPr>
      </w:pPr>
    </w:p>
    <w:p w14:paraId="6F970F0E">
      <w:pPr>
        <w:pStyle w:val="26"/>
        <w:rPr>
          <w:rFonts w:hint="eastAsia" w:ascii="宋体" w:hAnsi="宋体" w:eastAsia="宋体" w:cs="宋体"/>
          <w:color w:val="auto"/>
          <w:szCs w:val="21"/>
        </w:rPr>
      </w:pPr>
    </w:p>
    <w:p w14:paraId="21A53F3B">
      <w:pPr>
        <w:numPr>
          <w:ilvl w:val="0"/>
          <w:numId w:val="0"/>
        </w:numPr>
        <w:spacing w:line="400" w:lineRule="exact"/>
        <w:rPr>
          <w:rFonts w:hint="eastAsia" w:ascii="宋体" w:hAnsi="宋体" w:eastAsia="宋体" w:cs="宋体"/>
          <w:b/>
          <w:bCs/>
          <w:color w:val="auto"/>
          <w:sz w:val="28"/>
          <w:szCs w:val="28"/>
          <w:highlight w:val="none"/>
        </w:rPr>
      </w:pPr>
      <w:bookmarkStart w:id="336" w:name="_Toc12920"/>
      <w:bookmarkStart w:id="337" w:name="_Toc17617"/>
      <w:bookmarkStart w:id="338" w:name="_Toc497927072"/>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336"/>
      <w:bookmarkEnd w:id="337"/>
      <w:bookmarkEnd w:id="338"/>
    </w:p>
    <w:p w14:paraId="2DBA3736">
      <w:pPr>
        <w:pStyle w:val="26"/>
        <w:rPr>
          <w:rFonts w:hint="eastAsia" w:ascii="宋体" w:hAnsi="宋体" w:eastAsia="宋体" w:cs="宋体"/>
        </w:rPr>
      </w:pPr>
    </w:p>
    <w:p w14:paraId="5188FDD1">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1E5DE550">
      <w:pPr>
        <w:pStyle w:val="12"/>
        <w:ind w:firstLine="800" w:firstLineChars="250"/>
        <w:jc w:val="center"/>
        <w:rPr>
          <w:rFonts w:hint="eastAsia" w:ascii="宋体" w:hAnsi="宋体" w:eastAsia="宋体" w:cs="宋体"/>
          <w:b/>
          <w:color w:val="auto"/>
          <w:sz w:val="32"/>
          <w:highlight w:val="none"/>
        </w:rPr>
      </w:pPr>
      <w:bookmarkStart w:id="339" w:name="_Toc17832_WPSOffice_Level1"/>
      <w:bookmarkStart w:id="340" w:name="_Toc7273_WPSOffice_Level1"/>
      <w:r>
        <w:rPr>
          <w:rFonts w:hint="eastAsia" w:ascii="宋体" w:hAnsi="宋体" w:eastAsia="宋体" w:cs="宋体"/>
          <w:b/>
          <w:color w:val="auto"/>
          <w:sz w:val="32"/>
          <w:highlight w:val="none"/>
        </w:rPr>
        <w:t>响 应 函 （格 式）</w:t>
      </w:r>
      <w:bookmarkEnd w:id="339"/>
      <w:bookmarkEnd w:id="340"/>
    </w:p>
    <w:p w14:paraId="6205CC32">
      <w:pPr>
        <w:spacing w:line="240" w:lineRule="exact"/>
        <w:jc w:val="center"/>
        <w:rPr>
          <w:rFonts w:hint="eastAsia" w:ascii="宋体" w:hAnsi="宋体" w:eastAsia="宋体" w:cs="宋体"/>
          <w:color w:val="auto"/>
          <w:sz w:val="32"/>
          <w:highlight w:val="none"/>
        </w:rPr>
      </w:pPr>
    </w:p>
    <w:p w14:paraId="7B1ED89C">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14:paraId="55002643">
      <w:pPr>
        <w:spacing w:line="400" w:lineRule="exact"/>
        <w:rPr>
          <w:rFonts w:hint="eastAsia" w:ascii="宋体" w:hAnsi="宋体" w:eastAsia="宋体" w:cs="宋体"/>
          <w:color w:val="auto"/>
          <w:szCs w:val="21"/>
          <w:highlight w:val="none"/>
        </w:rPr>
      </w:pPr>
    </w:p>
    <w:p w14:paraId="09C2FC00">
      <w:pPr>
        <w:pStyle w:val="12"/>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w:t>
      </w:r>
      <w:r>
        <w:rPr>
          <w:rFonts w:hint="eastAsia" w:hAnsi="宋体" w:cs="宋体"/>
          <w:color w:val="auto"/>
          <w:highlight w:val="none"/>
          <w:u w:val="none"/>
          <w:lang w:eastAsia="zh-CN"/>
        </w:rPr>
        <w:t>磋商文件</w:t>
      </w:r>
      <w:r>
        <w:rPr>
          <w:rFonts w:hint="eastAsia" w:ascii="宋体" w:hAnsi="宋体" w:eastAsia="宋体" w:cs="宋体"/>
          <w:color w:val="auto"/>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4E3C2B0A">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58DDEE28">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w:t>
      </w:r>
      <w:r>
        <w:rPr>
          <w:rFonts w:hint="eastAsia" w:hAnsi="宋体" w:cs="宋体"/>
          <w:color w:val="auto"/>
          <w:highlight w:val="none"/>
          <w:u w:val="none"/>
          <w:lang w:eastAsia="zh-CN"/>
        </w:rPr>
        <w:t>磋商文件</w:t>
      </w:r>
      <w:r>
        <w:rPr>
          <w:rFonts w:hint="eastAsia" w:ascii="宋体" w:hAnsi="宋体" w:eastAsia="宋体" w:cs="宋体"/>
          <w:color w:val="auto"/>
          <w:highlight w:val="none"/>
        </w:rPr>
        <w:t>采购需求和磋商报价表：</w:t>
      </w:r>
    </w:p>
    <w:p w14:paraId="4BB36424">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6B8DD2">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w:t>
      </w:r>
      <w:r>
        <w:rPr>
          <w:rFonts w:hint="eastAsia" w:hAnsi="宋体" w:cs="宋体"/>
          <w:color w:val="auto"/>
          <w:highlight w:val="none"/>
          <w:u w:val="none"/>
          <w:lang w:eastAsia="zh-CN"/>
        </w:rPr>
        <w:t>磋商文件</w:t>
      </w:r>
      <w:r>
        <w:rPr>
          <w:rFonts w:hint="eastAsia" w:ascii="宋体" w:hAnsi="宋体" w:eastAsia="宋体" w:cs="宋体"/>
          <w:color w:val="auto"/>
          <w:highlight w:val="none"/>
        </w:rPr>
        <w:t>规定的供应商资格条件。</w:t>
      </w:r>
    </w:p>
    <w:p w14:paraId="12D1692A">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w:t>
      </w:r>
      <w:r>
        <w:rPr>
          <w:rFonts w:hint="eastAsia" w:hAnsi="宋体" w:cs="宋体"/>
          <w:color w:val="auto"/>
          <w:highlight w:val="none"/>
          <w:u w:val="none"/>
          <w:lang w:eastAsia="zh-CN"/>
        </w:rPr>
        <w:t>磋商文件</w:t>
      </w:r>
      <w:r>
        <w:rPr>
          <w:rFonts w:hint="eastAsia" w:ascii="宋体" w:hAnsi="宋体" w:eastAsia="宋体" w:cs="宋体"/>
          <w:color w:val="auto"/>
          <w:highlight w:val="none"/>
        </w:rPr>
        <w:t>，包括修改文件（如有的话）和有关附件，将自行承担因对全部</w:t>
      </w:r>
      <w:r>
        <w:rPr>
          <w:rFonts w:hint="eastAsia" w:hAnsi="宋体" w:cs="宋体"/>
          <w:color w:val="auto"/>
          <w:highlight w:val="none"/>
          <w:u w:val="none"/>
          <w:lang w:eastAsia="zh-CN"/>
        </w:rPr>
        <w:t>磋商文件</w:t>
      </w:r>
      <w:r>
        <w:rPr>
          <w:rFonts w:hint="eastAsia" w:ascii="宋体" w:hAnsi="宋体" w:eastAsia="宋体" w:cs="宋体"/>
          <w:color w:val="auto"/>
          <w:highlight w:val="none"/>
        </w:rPr>
        <w:t>理解不正确或误解而产生的相应后果。</w:t>
      </w:r>
    </w:p>
    <w:p w14:paraId="01671600">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2513A0F8">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75264361">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1BFED48A">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w:t>
      </w:r>
      <w:r>
        <w:rPr>
          <w:rFonts w:hint="eastAsia" w:hAnsi="宋体" w:cs="宋体"/>
          <w:color w:val="auto"/>
          <w:sz w:val="21"/>
          <w:szCs w:val="21"/>
          <w:highlight w:val="none"/>
          <w:u w:val="none"/>
          <w:lang w:eastAsia="zh-CN"/>
        </w:rPr>
        <w:t>磋商文件</w:t>
      </w:r>
      <w:r>
        <w:rPr>
          <w:rFonts w:hint="eastAsia" w:ascii="宋体" w:hAnsi="宋体" w:eastAsia="宋体" w:cs="宋体"/>
          <w:color w:val="auto"/>
          <w:sz w:val="21"/>
          <w:szCs w:val="21"/>
          <w:highlight w:val="none"/>
        </w:rPr>
        <w:t>规定递交履约担保。</w:t>
      </w:r>
    </w:p>
    <w:p w14:paraId="1D899297">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w:t>
      </w:r>
      <w:r>
        <w:rPr>
          <w:rFonts w:hint="eastAsia" w:hAnsi="宋体" w:cs="宋体"/>
          <w:color w:val="auto"/>
          <w:sz w:val="21"/>
          <w:szCs w:val="21"/>
          <w:highlight w:val="none"/>
          <w:u w:val="none"/>
          <w:lang w:eastAsia="zh-CN"/>
        </w:rPr>
        <w:t>磋商文件</w:t>
      </w:r>
      <w:r>
        <w:rPr>
          <w:rFonts w:hint="eastAsia" w:ascii="宋体" w:hAnsi="宋体" w:eastAsia="宋体" w:cs="宋体"/>
          <w:color w:val="auto"/>
          <w:sz w:val="21"/>
          <w:szCs w:val="21"/>
          <w:highlight w:val="none"/>
        </w:rPr>
        <w:t>及政府采购法律、法规的规定履行合同责任和义务。</w:t>
      </w:r>
    </w:p>
    <w:p w14:paraId="553827E5">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2B006F44">
      <w:pPr>
        <w:rPr>
          <w:rFonts w:hint="eastAsia" w:ascii="宋体" w:hAnsi="宋体" w:eastAsia="宋体" w:cs="宋体"/>
          <w:color w:val="auto"/>
          <w:sz w:val="21"/>
          <w:szCs w:val="21"/>
          <w:highlight w:val="none"/>
        </w:rPr>
      </w:pPr>
    </w:p>
    <w:p w14:paraId="7082D8BD">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435869EA">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478A8F53">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BAD04E3">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6ABD2ED2">
      <w:pPr>
        <w:pStyle w:val="12"/>
        <w:spacing w:line="320" w:lineRule="exact"/>
        <w:ind w:firstLine="420"/>
        <w:rPr>
          <w:rFonts w:hint="eastAsia" w:ascii="宋体" w:hAnsi="宋体" w:eastAsia="宋体" w:cs="宋体"/>
          <w:bCs/>
          <w:color w:val="auto"/>
          <w:sz w:val="21"/>
          <w:szCs w:val="21"/>
          <w:u w:val="single"/>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公章</w:t>
      </w:r>
      <w:r>
        <w:rPr>
          <w:rFonts w:hint="eastAsia" w:ascii="宋体" w:hAnsi="宋体" w:eastAsia="宋体" w:cs="宋体"/>
          <w:bCs/>
          <w:color w:val="auto"/>
          <w:sz w:val="21"/>
          <w:szCs w:val="21"/>
          <w:lang w:val="en-US" w:eastAsia="zh-CN"/>
        </w:rPr>
        <w:t>(CA签章)</w:t>
      </w:r>
      <w:r>
        <w:rPr>
          <w:rFonts w:hint="eastAsia" w:ascii="宋体" w:hAnsi="宋体" w:eastAsia="宋体" w:cs="宋体"/>
          <w:bCs/>
          <w:color w:val="auto"/>
          <w:sz w:val="21"/>
          <w:szCs w:val="21"/>
        </w:rPr>
        <w:t>、自然人除外</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p>
    <w:p w14:paraId="151EAB8B">
      <w:pPr>
        <w:pStyle w:val="12"/>
        <w:spacing w:line="320" w:lineRule="exact"/>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法定代表人、负责人、自然人或相应的委托代理人签字</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或盖章</w:t>
      </w:r>
      <w:r>
        <w:rPr>
          <w:rFonts w:hint="eastAsia" w:ascii="宋体" w:hAnsi="宋体" w:eastAsia="宋体" w:cs="宋体"/>
          <w:color w:val="auto"/>
          <w:sz w:val="21"/>
          <w:szCs w:val="21"/>
          <w:lang w:val="en-US" w:eastAsia="zh-CN"/>
        </w:rPr>
        <w:t>(CA签章)]</w:t>
      </w:r>
      <w:r>
        <w:rPr>
          <w:rFonts w:hint="eastAsia" w:ascii="宋体" w:hAnsi="宋体" w:eastAsia="宋体" w:cs="宋体"/>
          <w:color w:val="auto"/>
          <w:sz w:val="21"/>
          <w:szCs w:val="21"/>
        </w:rPr>
        <w:t>（属自然人的应在签名处加盖大拇指指印</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个人CA签章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14:paraId="0E82154A">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FD26FD5">
      <w:pPr>
        <w:pStyle w:val="12"/>
        <w:spacing w:line="320" w:lineRule="exact"/>
        <w:ind w:firstLine="420"/>
        <w:rPr>
          <w:rFonts w:hint="eastAsia" w:ascii="宋体" w:hAnsi="宋体" w:eastAsia="宋体" w:cs="宋体"/>
          <w:color w:val="auto"/>
          <w:sz w:val="21"/>
          <w:szCs w:val="21"/>
        </w:rPr>
      </w:pPr>
    </w:p>
    <w:p w14:paraId="3780E2BB">
      <w:pPr>
        <w:pStyle w:val="12"/>
        <w:spacing w:line="320" w:lineRule="exact"/>
        <w:ind w:firstLine="420"/>
        <w:rPr>
          <w:rFonts w:hint="eastAsia" w:ascii="宋体" w:hAnsi="宋体" w:eastAsia="宋体" w:cs="宋体"/>
          <w:color w:val="auto"/>
          <w:sz w:val="21"/>
          <w:szCs w:val="21"/>
        </w:rPr>
      </w:pPr>
    </w:p>
    <w:p w14:paraId="0B06D6B7">
      <w:pPr>
        <w:pStyle w:val="12"/>
        <w:spacing w:line="320" w:lineRule="exact"/>
        <w:ind w:firstLine="420"/>
        <w:rPr>
          <w:rFonts w:hint="eastAsia" w:ascii="宋体" w:hAnsi="宋体" w:eastAsia="宋体" w:cs="宋体"/>
          <w:color w:val="auto"/>
          <w:sz w:val="21"/>
          <w:szCs w:val="21"/>
        </w:rPr>
      </w:pPr>
    </w:p>
    <w:p w14:paraId="351E977D">
      <w:pPr>
        <w:pStyle w:val="12"/>
        <w:spacing w:line="320" w:lineRule="exact"/>
        <w:ind w:firstLine="420"/>
        <w:rPr>
          <w:rFonts w:hint="eastAsia" w:ascii="宋体" w:hAnsi="宋体" w:eastAsia="宋体" w:cs="宋体"/>
          <w:color w:val="auto"/>
          <w:sz w:val="21"/>
          <w:szCs w:val="21"/>
        </w:rPr>
      </w:pPr>
    </w:p>
    <w:p w14:paraId="4164A1EB">
      <w:pPr>
        <w:pStyle w:val="12"/>
        <w:spacing w:line="320" w:lineRule="exact"/>
        <w:ind w:firstLine="420"/>
        <w:rPr>
          <w:rFonts w:hint="eastAsia" w:ascii="宋体" w:hAnsi="宋体" w:eastAsia="宋体" w:cs="宋体"/>
          <w:color w:val="auto"/>
          <w:sz w:val="21"/>
          <w:szCs w:val="21"/>
        </w:rPr>
      </w:pPr>
    </w:p>
    <w:p w14:paraId="7B01A193">
      <w:pPr>
        <w:pStyle w:val="12"/>
        <w:spacing w:line="320" w:lineRule="exact"/>
        <w:ind w:firstLine="420"/>
        <w:rPr>
          <w:rFonts w:hint="eastAsia" w:ascii="宋体" w:hAnsi="宋体" w:eastAsia="宋体" w:cs="宋体"/>
          <w:color w:val="auto"/>
          <w:sz w:val="21"/>
          <w:szCs w:val="21"/>
        </w:rPr>
      </w:pPr>
    </w:p>
    <w:p w14:paraId="03AC1855">
      <w:pPr>
        <w:pStyle w:val="12"/>
        <w:spacing w:line="320" w:lineRule="exact"/>
        <w:ind w:firstLine="420"/>
        <w:rPr>
          <w:rFonts w:hint="eastAsia" w:ascii="宋体" w:hAnsi="宋体" w:eastAsia="宋体" w:cs="宋体"/>
          <w:color w:val="auto"/>
          <w:sz w:val="21"/>
          <w:szCs w:val="21"/>
        </w:rPr>
      </w:pPr>
    </w:p>
    <w:p w14:paraId="15F447F2">
      <w:pPr>
        <w:pStyle w:val="12"/>
        <w:spacing w:line="320" w:lineRule="exact"/>
        <w:ind w:firstLine="420"/>
        <w:rPr>
          <w:rFonts w:hint="eastAsia" w:ascii="宋体" w:hAnsi="宋体" w:eastAsia="宋体" w:cs="宋体"/>
          <w:color w:val="auto"/>
          <w:sz w:val="21"/>
          <w:szCs w:val="21"/>
          <w:lang w:val="en-US" w:eastAsia="zh-CN"/>
        </w:rPr>
      </w:pPr>
    </w:p>
    <w:p w14:paraId="7AA3A310">
      <w:pPr>
        <w:pStyle w:val="12"/>
        <w:numPr>
          <w:ilvl w:val="0"/>
          <w:numId w:val="0"/>
        </w:numPr>
        <w:spacing w:line="340" w:lineRule="exact"/>
        <w:rPr>
          <w:rFonts w:hint="eastAsia" w:ascii="宋体" w:hAnsi="宋体" w:eastAsia="宋体" w:cs="宋体"/>
          <w:color w:val="auto"/>
        </w:rPr>
      </w:pPr>
      <w:r>
        <w:rPr>
          <w:rFonts w:hint="eastAsia" w:hAnsi="宋体" w:cs="宋体"/>
          <w:b/>
          <w:color w:val="auto"/>
          <w:sz w:val="28"/>
          <w:szCs w:val="28"/>
          <w:lang w:val="en-US" w:eastAsia="zh-CN"/>
        </w:rPr>
        <w:t>2</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磋商报价表（必须提供）；</w:t>
      </w:r>
    </w:p>
    <w:p w14:paraId="6D12D95F">
      <w:pPr>
        <w:pStyle w:val="12"/>
        <w:spacing w:line="320" w:lineRule="exact"/>
        <w:jc w:val="left"/>
        <w:rPr>
          <w:rFonts w:hint="eastAsia" w:ascii="宋体" w:hAnsi="宋体" w:eastAsia="宋体" w:cs="宋体"/>
          <w:b/>
          <w:color w:val="auto"/>
          <w:sz w:val="28"/>
          <w:szCs w:val="28"/>
        </w:rPr>
      </w:pPr>
    </w:p>
    <w:p w14:paraId="59B63110">
      <w:pPr>
        <w:pStyle w:val="6"/>
        <w:ind w:left="0" w:leftChars="0" w:firstLine="0" w:firstLineChars="0"/>
        <w:rPr>
          <w:rFonts w:hint="eastAsia" w:ascii="宋体" w:hAnsi="宋体" w:eastAsia="宋体" w:cs="宋体"/>
          <w:color w:val="000000"/>
          <w:lang w:val="en-US" w:eastAsia="zh-CN"/>
        </w:rPr>
      </w:pPr>
      <w:r>
        <w:rPr>
          <w:rFonts w:hint="eastAsia" w:ascii="宋体" w:hAnsi="宋体" w:eastAsia="宋体" w:cs="宋体"/>
          <w:b/>
          <w:bCs/>
          <w:color w:val="000000"/>
          <w:sz w:val="30"/>
          <w:szCs w:val="30"/>
        </w:rPr>
        <w:t>附件：</w:t>
      </w:r>
    </w:p>
    <w:p w14:paraId="0C68C66D">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sz w:val="21"/>
          <w:szCs w:val="21"/>
        </w:rPr>
      </w:pPr>
      <w:r>
        <w:rPr>
          <w:rFonts w:hint="eastAsia" w:ascii="宋体" w:hAnsi="宋体" w:eastAsia="宋体" w:cs="宋体"/>
          <w:b/>
          <w:color w:val="000000"/>
          <w:kern w:val="2"/>
          <w:sz w:val="21"/>
          <w:szCs w:val="21"/>
          <w:lang w:val="en-US" w:eastAsia="zh-CN" w:bidi="ar-SA"/>
        </w:rPr>
        <w:t>磋商报价表（格式）</w:t>
      </w:r>
    </w:p>
    <w:tbl>
      <w:tblPr>
        <w:tblStyle w:val="21"/>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7E7E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14:paraId="26008DFB">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6A2361C">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0D826F3">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CCE254F">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4235E72">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E3DBD1">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E676145">
            <w:pPr>
              <w:spacing w:line="300" w:lineRule="exact"/>
              <w:jc w:val="center"/>
              <w:rPr>
                <w:rFonts w:hint="eastAsia" w:ascii="宋体" w:hAnsi="宋体" w:eastAsia="宋体" w:cs="宋体"/>
                <w:lang w:val="en-US" w:eastAsia="zh-CN"/>
              </w:rPr>
            </w:pPr>
            <w:r>
              <w:rPr>
                <w:rFonts w:hint="eastAsia" w:ascii="宋体" w:hAnsi="宋体" w:eastAsia="宋体" w:cs="宋体"/>
                <w:lang w:eastAsia="zh-CN"/>
              </w:rPr>
              <w:t>单项合计</w:t>
            </w:r>
            <w:r>
              <w:rPr>
                <w:rFonts w:hint="eastAsia" w:ascii="宋体" w:hAnsi="宋体" w:eastAsia="宋体" w:cs="宋体"/>
                <w:lang w:val="en-US" w:eastAsia="zh-CN"/>
              </w:rPr>
              <w:t>=数量×单价</w:t>
            </w:r>
          </w:p>
          <w:p w14:paraId="3E82B75B">
            <w:pPr>
              <w:jc w:val="center"/>
              <w:rPr>
                <w:rFonts w:hint="eastAsia" w:ascii="宋体" w:hAnsi="宋体" w:eastAsia="宋体" w:cs="宋体"/>
                <w:lang w:val="en-US" w:eastAsia="zh-CN"/>
              </w:rPr>
            </w:pPr>
            <w:r>
              <w:rPr>
                <w:rFonts w:hint="eastAsia" w:ascii="宋体" w:hAnsi="宋体" w:eastAsia="宋体" w:cs="宋体"/>
                <w:lang w:val="en-US" w:eastAsia="zh-CN"/>
              </w:rPr>
              <w:t>③=</w:t>
            </w:r>
            <w:r>
              <w:rPr>
                <w:rFonts w:hint="eastAsia" w:ascii="宋体" w:hAnsi="宋体" w:eastAsia="宋体" w:cs="宋体"/>
                <w:color w:val="000000"/>
                <w:sz w:val="21"/>
                <w:szCs w:val="21"/>
              </w:rPr>
              <w:t>①</w:t>
            </w:r>
            <w:r>
              <w:rPr>
                <w:rFonts w:hint="eastAsia" w:ascii="宋体" w:hAnsi="宋体" w:eastAsia="宋体" w:cs="宋体"/>
                <w:lang w:val="en-US" w:eastAsia="zh-CN"/>
              </w:rPr>
              <w:t>×</w:t>
            </w:r>
            <w:r>
              <w:rPr>
                <w:rFonts w:hint="eastAsia" w:ascii="宋体" w:hAnsi="宋体" w:eastAsia="宋体" w:cs="宋体"/>
                <w:color w:val="000000"/>
                <w:sz w:val="21"/>
                <w:szCs w:val="21"/>
                <w:lang w:val="en-US" w:eastAsia="zh-CN"/>
              </w:rPr>
              <w:t>②</w:t>
            </w:r>
          </w:p>
        </w:tc>
        <w:tc>
          <w:tcPr>
            <w:tcW w:w="1710" w:type="dxa"/>
            <w:tcBorders>
              <w:top w:val="single" w:color="auto" w:sz="4" w:space="0"/>
              <w:bottom w:val="single" w:color="auto" w:sz="4" w:space="0"/>
            </w:tcBorders>
            <w:noWrap w:val="0"/>
            <w:vAlign w:val="center"/>
          </w:tcPr>
          <w:p w14:paraId="4FF15568">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3170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478480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F823A8C">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EB2D0AD">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491DD4D">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47E0D1C">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79EABA2">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19BED6C">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14:paraId="2CF2AD65">
            <w:pPr>
              <w:spacing w:line="300" w:lineRule="exact"/>
              <w:jc w:val="center"/>
              <w:rPr>
                <w:rFonts w:hint="eastAsia" w:ascii="宋体" w:hAnsi="宋体" w:eastAsia="宋体" w:cs="宋体"/>
                <w:b/>
                <w:bCs/>
                <w:color w:val="000000"/>
                <w:sz w:val="21"/>
                <w:szCs w:val="21"/>
              </w:rPr>
            </w:pPr>
          </w:p>
        </w:tc>
      </w:tr>
      <w:tr w14:paraId="49C28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6F20CFA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DD567D7">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3EADC8D">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656983F">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A019B67">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D71DC54">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122D529">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14:paraId="5E6B99EE">
            <w:pPr>
              <w:spacing w:line="300" w:lineRule="exact"/>
              <w:jc w:val="center"/>
              <w:rPr>
                <w:rFonts w:hint="eastAsia" w:ascii="宋体" w:hAnsi="宋体" w:eastAsia="宋体" w:cs="宋体"/>
                <w:b/>
                <w:bCs/>
                <w:color w:val="000000"/>
                <w:sz w:val="21"/>
                <w:szCs w:val="21"/>
              </w:rPr>
            </w:pPr>
          </w:p>
        </w:tc>
      </w:tr>
      <w:tr w14:paraId="29327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F20FE3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3B486EC">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D68520">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1354B47">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2BFFCE">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2DF779C">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31FEBFE">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14:paraId="4932940E">
            <w:pPr>
              <w:spacing w:line="300" w:lineRule="exact"/>
              <w:jc w:val="center"/>
              <w:rPr>
                <w:rFonts w:hint="eastAsia" w:ascii="宋体" w:hAnsi="宋体" w:eastAsia="宋体" w:cs="宋体"/>
                <w:b/>
                <w:bCs/>
                <w:color w:val="000000"/>
                <w:sz w:val="21"/>
                <w:szCs w:val="21"/>
              </w:rPr>
            </w:pPr>
          </w:p>
        </w:tc>
      </w:tr>
      <w:tr w14:paraId="3896E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BDF5CA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51849D4A">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85F0993">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B96EDEB">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A1402B5">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F148A33">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D370F6B">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14:paraId="09027666">
            <w:pPr>
              <w:spacing w:line="300" w:lineRule="exact"/>
              <w:jc w:val="center"/>
              <w:rPr>
                <w:rFonts w:hint="eastAsia" w:ascii="宋体" w:hAnsi="宋体" w:eastAsia="宋体" w:cs="宋体"/>
                <w:b/>
                <w:bCs/>
                <w:color w:val="000000"/>
                <w:sz w:val="21"/>
                <w:szCs w:val="21"/>
              </w:rPr>
            </w:pPr>
          </w:p>
        </w:tc>
      </w:tr>
      <w:tr w14:paraId="793AC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14:paraId="0A5502F7">
            <w:pPr>
              <w:spacing w:line="300" w:lineRule="exact"/>
              <w:rPr>
                <w:rFonts w:hint="eastAsia" w:ascii="宋体" w:hAnsi="宋体" w:eastAsia="宋体" w:cs="宋体"/>
                <w:color w:val="000000"/>
                <w:spacing w:val="-6"/>
                <w:sz w:val="21"/>
                <w:szCs w:val="21"/>
              </w:rPr>
            </w:pPr>
            <w:r>
              <w:rPr>
                <w:rFonts w:hint="eastAsia" w:ascii="宋体" w:hAnsi="宋体" w:cs="宋体"/>
                <w:color w:val="000000"/>
                <w:spacing w:val="-6"/>
                <w:sz w:val="21"/>
                <w:szCs w:val="21"/>
                <w:lang w:eastAsia="zh-CN"/>
              </w:rPr>
              <w:t>磋商</w:t>
            </w:r>
            <w:r>
              <w:rPr>
                <w:rFonts w:hint="eastAsia" w:ascii="宋体" w:hAnsi="宋体" w:eastAsia="宋体" w:cs="宋体"/>
                <w:color w:val="000000"/>
                <w:spacing w:val="-6"/>
                <w:sz w:val="21"/>
                <w:szCs w:val="21"/>
              </w:rPr>
              <w:t xml:space="preserve">总报价（大写）：人民币               </w:t>
            </w:r>
            <w:r>
              <w:rPr>
                <w:rFonts w:hint="eastAsia" w:ascii="宋体" w:hAnsi="宋体" w:eastAsia="宋体" w:cs="宋体"/>
                <w:color w:val="000000"/>
                <w:spacing w:val="-6"/>
                <w:sz w:val="21"/>
                <w:szCs w:val="21"/>
                <w:lang w:val="en-US" w:eastAsia="zh-CN"/>
              </w:rPr>
              <w:t xml:space="preserve">               </w:t>
            </w:r>
            <w:r>
              <w:rPr>
                <w:rFonts w:hint="eastAsia" w:ascii="宋体" w:hAnsi="宋体" w:eastAsia="宋体" w:cs="宋体"/>
                <w:color w:val="000000"/>
                <w:spacing w:val="-6"/>
                <w:sz w:val="21"/>
                <w:szCs w:val="21"/>
              </w:rPr>
              <w:t xml:space="preserve">                   （</w:t>
            </w:r>
            <w:r>
              <w:rPr>
                <w:rFonts w:hint="eastAsia" w:ascii="宋体" w:hAnsi="宋体" w:eastAsia="宋体" w:cs="宋体"/>
                <w:color w:val="000000"/>
                <w:spacing w:val="-6"/>
                <w:sz w:val="21"/>
                <w:szCs w:val="21"/>
                <w:lang w:val="en-US" w:eastAsia="zh-CN"/>
              </w:rPr>
              <w:t>¥</w:t>
            </w:r>
            <w:r>
              <w:rPr>
                <w:rFonts w:hint="eastAsia" w:ascii="宋体" w:hAnsi="宋体" w:eastAsia="宋体" w:cs="宋体"/>
                <w:color w:val="000000"/>
                <w:spacing w:val="-6"/>
                <w:sz w:val="21"/>
                <w:szCs w:val="21"/>
              </w:rPr>
              <w:t xml:space="preserve">                   ）</w:t>
            </w:r>
          </w:p>
        </w:tc>
      </w:tr>
      <w:tr w14:paraId="37F74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14:paraId="5AEAF78E">
            <w:pPr>
              <w:spacing w:line="300" w:lineRule="exact"/>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服务时间：</w:t>
            </w:r>
          </w:p>
        </w:tc>
      </w:tr>
      <w:tr w14:paraId="27988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14:paraId="742E9608">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说明：</w:t>
            </w:r>
            <w:r>
              <w:rPr>
                <w:rFonts w:hint="eastAsia" w:ascii="宋体" w:hAnsi="宋体" w:cs="宋体"/>
                <w:color w:val="000000"/>
                <w:spacing w:val="-6"/>
                <w:sz w:val="21"/>
                <w:szCs w:val="21"/>
                <w:lang w:eastAsia="zh-CN"/>
              </w:rPr>
              <w:t>磋商</w:t>
            </w:r>
            <w:r>
              <w:rPr>
                <w:rFonts w:hint="eastAsia" w:ascii="宋体" w:hAnsi="宋体" w:eastAsia="宋体" w:cs="宋体"/>
                <w:color w:val="000000"/>
                <w:sz w:val="21"/>
                <w:szCs w:val="21"/>
              </w:rPr>
              <w:t>报价指本次招标采购范围内</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价款、</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随配标准附件、包装、运输、装卸、保险、税金、及其他所有成本费用的总和；</w:t>
            </w:r>
            <w:r>
              <w:rPr>
                <w:rFonts w:hint="eastAsia" w:ascii="宋体" w:hAnsi="宋体" w:cs="宋体"/>
                <w:color w:val="000000"/>
                <w:sz w:val="21"/>
                <w:szCs w:val="21"/>
                <w:lang w:eastAsia="zh-CN"/>
              </w:rPr>
              <w:t>供应商</w:t>
            </w:r>
            <w:r>
              <w:rPr>
                <w:rFonts w:hint="eastAsia" w:ascii="宋体" w:hAnsi="宋体" w:eastAsia="宋体" w:cs="宋体"/>
                <w:color w:val="000000"/>
                <w:sz w:val="21"/>
                <w:szCs w:val="21"/>
              </w:rPr>
              <w:t>综合考虑在报价中。</w:t>
            </w:r>
          </w:p>
        </w:tc>
      </w:tr>
    </w:tbl>
    <w:p w14:paraId="1CB3FB4E">
      <w:pPr>
        <w:spacing w:line="340" w:lineRule="exact"/>
        <w:rPr>
          <w:rFonts w:hint="eastAsia" w:ascii="宋体" w:hAnsi="宋体" w:eastAsia="宋体" w:cs="宋体"/>
          <w:color w:val="000000"/>
          <w:szCs w:val="21"/>
        </w:rPr>
      </w:pPr>
    </w:p>
    <w:p w14:paraId="12060D0D">
      <w:pPr>
        <w:spacing w:line="340" w:lineRule="exact"/>
        <w:rPr>
          <w:rFonts w:hint="eastAsia" w:ascii="宋体" w:hAnsi="宋体" w:eastAsia="宋体" w:cs="宋体"/>
          <w:color w:val="000000"/>
          <w:szCs w:val="21"/>
          <w:u w:val="single"/>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CA签章</w:t>
      </w:r>
      <w:r>
        <w:rPr>
          <w:rFonts w:hint="eastAsia" w:ascii="宋体" w:hAnsi="宋体" w:eastAsia="宋体" w:cs="宋体"/>
          <w:color w:val="000000"/>
          <w:szCs w:val="21"/>
        </w:rPr>
        <w:t>，自然人除外）：</w:t>
      </w:r>
      <w:r>
        <w:rPr>
          <w:rFonts w:hint="eastAsia" w:ascii="宋体" w:hAnsi="宋体" w:eastAsia="宋体" w:cs="宋体"/>
          <w:color w:val="000000"/>
          <w:szCs w:val="21"/>
          <w:u w:val="single"/>
        </w:rPr>
        <w:t xml:space="preserve">                                        </w:t>
      </w:r>
    </w:p>
    <w:p w14:paraId="03FD762A">
      <w:pPr>
        <w:spacing w:line="340" w:lineRule="exact"/>
        <w:rPr>
          <w:rFonts w:hint="eastAsia" w:ascii="宋体" w:hAnsi="宋体" w:eastAsia="宋体" w:cs="宋体"/>
          <w:color w:val="000000"/>
          <w:szCs w:val="21"/>
          <w:u w:val="single"/>
        </w:rPr>
      </w:pPr>
      <w:r>
        <w:rPr>
          <w:rFonts w:hint="eastAsia" w:ascii="宋体" w:hAnsi="宋体" w:eastAsia="宋体" w:cs="宋体"/>
          <w:color w:val="000000"/>
        </w:rPr>
        <w:t>法定代表人、负责人、自然人或相应的委托代理人签字或</w:t>
      </w:r>
      <w:r>
        <w:rPr>
          <w:rFonts w:hint="eastAsia" w:ascii="宋体" w:hAnsi="宋体" w:eastAsia="宋体" w:cs="宋体"/>
          <w:color w:val="000000"/>
          <w:lang w:eastAsia="zh-CN"/>
        </w:rPr>
        <w:t>个人</w:t>
      </w:r>
      <w:r>
        <w:rPr>
          <w:rFonts w:hint="eastAsia" w:ascii="宋体" w:hAnsi="宋体" w:eastAsia="宋体" w:cs="宋体"/>
          <w:color w:val="000000"/>
          <w:lang w:val="en-US" w:eastAsia="zh-CN"/>
        </w:rPr>
        <w:t>CA签章</w:t>
      </w:r>
      <w:r>
        <w:rPr>
          <w:rFonts w:hint="eastAsia" w:ascii="宋体" w:hAnsi="宋体" w:eastAsia="宋体" w:cs="宋体"/>
          <w:color w:val="000000"/>
        </w:rPr>
        <w:t>（属自然人的应在签名处加盖食指指印</w:t>
      </w:r>
      <w:r>
        <w:rPr>
          <w:rFonts w:hint="eastAsia" w:ascii="宋体" w:hAnsi="宋体" w:eastAsia="宋体" w:cs="宋体"/>
          <w:color w:val="000000"/>
          <w:lang w:eastAsia="zh-CN"/>
        </w:rPr>
        <w:t>或个人</w:t>
      </w:r>
      <w:r>
        <w:rPr>
          <w:rFonts w:hint="eastAsia" w:ascii="宋体" w:hAnsi="宋体" w:eastAsia="宋体" w:cs="宋体"/>
          <w:color w:val="000000"/>
          <w:lang w:val="en-US" w:eastAsia="zh-CN"/>
        </w:rPr>
        <w:t>CA签章</w:t>
      </w:r>
      <w:r>
        <w:rPr>
          <w:rFonts w:hint="eastAsia" w:ascii="宋体" w:hAnsi="宋体" w:eastAsia="宋体" w:cs="宋体"/>
          <w:color w:val="000000"/>
        </w:rPr>
        <w:t>）：</w:t>
      </w:r>
      <w:r>
        <w:rPr>
          <w:rFonts w:hint="eastAsia" w:ascii="宋体" w:hAnsi="宋体" w:eastAsia="宋体" w:cs="宋体"/>
          <w:color w:val="000000"/>
          <w:szCs w:val="21"/>
          <w:u w:val="single"/>
        </w:rPr>
        <w:t xml:space="preserve">                                    </w:t>
      </w:r>
    </w:p>
    <w:p w14:paraId="3183A84F">
      <w:pPr>
        <w:tabs>
          <w:tab w:val="left" w:pos="1305"/>
        </w:tabs>
        <w:spacing w:line="340" w:lineRule="exact"/>
        <w:rPr>
          <w:rFonts w:hint="eastAsia" w:ascii="宋体" w:hAnsi="宋体" w:eastAsia="宋体" w:cs="宋体"/>
          <w:bCs/>
          <w:color w:val="000000"/>
          <w:sz w:val="21"/>
          <w:szCs w:val="21"/>
        </w:rPr>
      </w:pPr>
    </w:p>
    <w:p w14:paraId="5F7C0361">
      <w:pPr>
        <w:tabs>
          <w:tab w:val="left" w:pos="1305"/>
        </w:tabs>
        <w:spacing w:line="34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注</w:t>
      </w:r>
      <w:r>
        <w:rPr>
          <w:rFonts w:hint="eastAsia" w:ascii="宋体" w:hAnsi="宋体" w:eastAsia="宋体" w:cs="宋体"/>
          <w:b/>
          <w:bCs/>
          <w:color w:val="000000"/>
          <w:sz w:val="21"/>
          <w:szCs w:val="21"/>
        </w:rPr>
        <w:t>：</w:t>
      </w:r>
      <w:r>
        <w:rPr>
          <w:rFonts w:hint="eastAsia" w:ascii="宋体" w:hAnsi="宋体" w:eastAsia="宋体" w:cs="宋体"/>
          <w:bCs/>
          <w:color w:val="000000"/>
          <w:sz w:val="21"/>
          <w:szCs w:val="21"/>
        </w:rPr>
        <w:t>1.各</w:t>
      </w:r>
      <w:r>
        <w:rPr>
          <w:rFonts w:hint="eastAsia" w:ascii="宋体" w:hAnsi="宋体" w:cs="宋体"/>
          <w:color w:val="000000"/>
          <w:szCs w:val="21"/>
          <w:lang w:eastAsia="zh-CN"/>
        </w:rPr>
        <w:t>供应商</w:t>
      </w:r>
      <w:r>
        <w:rPr>
          <w:rFonts w:hint="eastAsia" w:ascii="宋体" w:hAnsi="宋体" w:eastAsia="宋体" w:cs="宋体"/>
          <w:color w:val="000000"/>
          <w:sz w:val="21"/>
          <w:szCs w:val="21"/>
        </w:rPr>
        <w:t>必须就“采购需求”中所投分标的所有内容作完整唯一报价，否则，其投标将被拒绝。投标文件只允许有一个报价。</w:t>
      </w:r>
    </w:p>
    <w:p w14:paraId="56A787A2">
      <w:pPr>
        <w:pStyle w:val="12"/>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Cs w:val="21"/>
          <w:lang w:eastAsia="zh-CN"/>
        </w:rPr>
        <w:t>供应商</w:t>
      </w:r>
      <w:r>
        <w:rPr>
          <w:rFonts w:hint="eastAsia" w:ascii="宋体" w:hAnsi="宋体" w:eastAsia="宋体" w:cs="宋体"/>
          <w:color w:val="000000"/>
          <w:sz w:val="21"/>
          <w:szCs w:val="21"/>
        </w:rPr>
        <w:t>应根据所投</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如实填写投标报价表</w:t>
      </w:r>
      <w:r>
        <w:rPr>
          <w:rFonts w:hint="eastAsia" w:ascii="宋体" w:hAnsi="宋体" w:eastAsia="宋体" w:cs="宋体"/>
          <w:bCs/>
          <w:color w:val="000000"/>
          <w:sz w:val="21"/>
          <w:szCs w:val="21"/>
        </w:rPr>
        <w:t>的各项内容。</w:t>
      </w:r>
    </w:p>
    <w:p w14:paraId="3327F8AA">
      <w:pPr>
        <w:ind w:firstLine="420" w:firstLineChars="200"/>
        <w:rPr>
          <w:rFonts w:hint="eastAsia" w:ascii="宋体" w:hAnsi="宋体" w:eastAsia="宋体" w:cs="宋体"/>
          <w:b/>
          <w:bCs/>
          <w:color w:val="000000"/>
          <w:sz w:val="32"/>
          <w:szCs w:val="32"/>
          <w:lang w:val="en-US" w:eastAsia="zh-CN"/>
        </w:rPr>
      </w:pPr>
      <w:r>
        <w:rPr>
          <w:rFonts w:hint="eastAsia" w:ascii="宋体" w:hAnsi="宋体" w:eastAsia="宋体" w:cs="宋体"/>
          <w:color w:val="000000"/>
          <w:sz w:val="21"/>
          <w:szCs w:val="21"/>
        </w:rPr>
        <w:t>3.</w:t>
      </w:r>
      <w:r>
        <w:rPr>
          <w:rFonts w:hint="eastAsia" w:ascii="宋体" w:hAnsi="宋体" w:cs="宋体"/>
          <w:color w:val="000000"/>
          <w:lang w:eastAsia="zh-CN"/>
        </w:rPr>
        <w:t>磋商</w:t>
      </w:r>
      <w:r>
        <w:rPr>
          <w:rFonts w:hint="eastAsia" w:ascii="宋体" w:hAnsi="宋体" w:eastAsia="宋体" w:cs="宋体"/>
          <w:color w:val="000000"/>
        </w:rPr>
        <w:t>报价表须由法定代表人负责人、自然人或相应的委托代理人签字或</w:t>
      </w:r>
      <w:r>
        <w:rPr>
          <w:rFonts w:hint="eastAsia" w:ascii="宋体" w:hAnsi="宋体" w:eastAsia="宋体" w:cs="宋体"/>
          <w:color w:val="000000"/>
          <w:lang w:eastAsia="zh-CN"/>
        </w:rPr>
        <w:t>个人</w:t>
      </w:r>
      <w:r>
        <w:rPr>
          <w:rFonts w:hint="eastAsia" w:ascii="宋体" w:hAnsi="宋体" w:eastAsia="宋体" w:cs="宋体"/>
          <w:color w:val="000000"/>
          <w:lang w:val="en-US" w:eastAsia="zh-CN"/>
        </w:rPr>
        <w:t>CA签章</w:t>
      </w:r>
      <w:r>
        <w:rPr>
          <w:rFonts w:hint="eastAsia" w:ascii="宋体" w:hAnsi="宋体" w:eastAsia="宋体" w:cs="宋体"/>
          <w:color w:val="000000"/>
        </w:rPr>
        <w:t>（属自然人的应在签名处加盖食指指印</w:t>
      </w:r>
      <w:r>
        <w:rPr>
          <w:rFonts w:hint="eastAsia" w:ascii="宋体" w:hAnsi="宋体" w:eastAsia="宋体" w:cs="宋体"/>
          <w:color w:val="000000"/>
          <w:lang w:eastAsia="zh-CN"/>
        </w:rPr>
        <w:t>或个人</w:t>
      </w:r>
      <w:r>
        <w:rPr>
          <w:rFonts w:hint="eastAsia" w:ascii="宋体" w:hAnsi="宋体" w:eastAsia="宋体" w:cs="宋体"/>
          <w:color w:val="000000"/>
          <w:lang w:val="en-US" w:eastAsia="zh-CN"/>
        </w:rPr>
        <w:t>CA签章</w:t>
      </w:r>
      <w:r>
        <w:rPr>
          <w:rFonts w:hint="eastAsia" w:ascii="宋体" w:hAnsi="宋体" w:eastAsia="宋体" w:cs="宋体"/>
          <w:color w:val="000000"/>
        </w:rPr>
        <w:t>）并加盖</w:t>
      </w:r>
      <w:r>
        <w:rPr>
          <w:rFonts w:hint="eastAsia" w:ascii="宋体" w:hAnsi="宋体" w:cs="宋体"/>
          <w:color w:val="000000"/>
          <w:lang w:eastAsia="zh-CN"/>
        </w:rPr>
        <w:t>供应商</w:t>
      </w:r>
      <w:r>
        <w:rPr>
          <w:rFonts w:hint="eastAsia" w:ascii="宋体" w:hAnsi="宋体" w:eastAsia="宋体" w:cs="宋体"/>
          <w:color w:val="000000"/>
          <w:lang w:val="en-US" w:eastAsia="zh-CN"/>
        </w:rPr>
        <w:t>CA签章</w:t>
      </w:r>
      <w:r>
        <w:rPr>
          <w:rFonts w:hint="eastAsia" w:ascii="宋体" w:hAnsi="宋体" w:eastAsia="宋体" w:cs="宋体"/>
          <w:color w:val="000000"/>
        </w:rPr>
        <w:t>（自然人除外）。</w:t>
      </w:r>
      <w:r>
        <w:rPr>
          <w:rFonts w:hint="eastAsia" w:ascii="宋体" w:hAnsi="宋体" w:eastAsia="宋体" w:cs="宋体"/>
          <w:b/>
          <w:color w:val="000000"/>
        </w:rPr>
        <w:t>当本表由多页构成时，需逐页加盖</w:t>
      </w:r>
      <w:r>
        <w:rPr>
          <w:rFonts w:hint="eastAsia" w:ascii="宋体" w:hAnsi="宋体" w:cs="宋体"/>
          <w:b/>
          <w:color w:val="000000"/>
          <w:lang w:eastAsia="zh-CN"/>
        </w:rPr>
        <w:t>供应商</w:t>
      </w:r>
      <w:r>
        <w:rPr>
          <w:rFonts w:hint="eastAsia" w:ascii="宋体" w:hAnsi="宋体" w:eastAsia="宋体" w:cs="宋体"/>
          <w:b/>
          <w:color w:val="000000"/>
        </w:rPr>
        <w:t>公章（属自然人的须逐页签字</w:t>
      </w:r>
      <w:r>
        <w:rPr>
          <w:rFonts w:hint="eastAsia" w:ascii="宋体" w:hAnsi="宋体" w:eastAsia="宋体" w:cs="宋体"/>
          <w:b/>
          <w:color w:val="000000"/>
          <w:lang w:eastAsia="zh-CN"/>
        </w:rPr>
        <w:t>或个人</w:t>
      </w:r>
      <w:r>
        <w:rPr>
          <w:rFonts w:hint="eastAsia" w:ascii="宋体" w:hAnsi="宋体" w:eastAsia="宋体" w:cs="宋体"/>
          <w:b/>
          <w:color w:val="000000"/>
          <w:lang w:val="en-US" w:eastAsia="zh-CN"/>
        </w:rPr>
        <w:t>CA签章</w:t>
      </w:r>
      <w:r>
        <w:rPr>
          <w:rFonts w:hint="eastAsia" w:ascii="宋体" w:hAnsi="宋体" w:eastAsia="宋体" w:cs="宋体"/>
          <w:b/>
          <w:color w:val="000000"/>
        </w:rPr>
        <w:t>）</w:t>
      </w:r>
    </w:p>
    <w:p w14:paraId="4F365A63">
      <w:pPr>
        <w:rPr>
          <w:rFonts w:hint="eastAsia" w:ascii="宋体" w:hAnsi="宋体" w:eastAsia="宋体" w:cs="宋体"/>
          <w:b/>
          <w:bCs/>
          <w:color w:val="000000"/>
          <w:sz w:val="32"/>
          <w:szCs w:val="32"/>
        </w:rPr>
      </w:pPr>
    </w:p>
    <w:p w14:paraId="2DB3722D">
      <w:pPr>
        <w:pStyle w:val="9"/>
        <w:rPr>
          <w:rFonts w:hint="eastAsia" w:ascii="宋体" w:hAnsi="宋体" w:eastAsia="宋体" w:cs="宋体"/>
          <w:color w:val="auto"/>
        </w:rPr>
        <w:sectPr>
          <w:pgSz w:w="11906" w:h="16838"/>
          <w:pgMar w:top="1440" w:right="935" w:bottom="1440" w:left="777" w:header="851" w:footer="992" w:gutter="0"/>
          <w:pgNumType w:fmt="numberInDash" w:start="1"/>
          <w:cols w:space="720" w:num="1"/>
          <w:rtlGutter w:val="0"/>
          <w:docGrid w:type="linesAndChars" w:linePitch="312" w:charSpace="0"/>
        </w:sectPr>
      </w:pPr>
    </w:p>
    <w:p w14:paraId="67715EAE">
      <w:pPr>
        <w:pStyle w:val="12"/>
        <w:numPr>
          <w:ilvl w:val="0"/>
          <w:numId w:val="0"/>
        </w:numPr>
        <w:spacing w:line="340" w:lineRule="exact"/>
        <w:rPr>
          <w:rFonts w:hint="eastAsia" w:ascii="宋体" w:hAnsi="宋体" w:eastAsia="宋体" w:cs="宋体"/>
          <w:b/>
          <w:color w:val="auto"/>
          <w:sz w:val="28"/>
          <w:szCs w:val="28"/>
        </w:rPr>
      </w:pPr>
      <w:r>
        <w:rPr>
          <w:rFonts w:hint="eastAsia" w:hAnsi="宋体" w:cs="宋体"/>
          <w:b/>
          <w:color w:val="auto"/>
          <w:sz w:val="28"/>
          <w:szCs w:val="28"/>
          <w:lang w:val="en-US" w:eastAsia="zh-CN"/>
        </w:rPr>
        <w:t>3.服务(技术)响应、</w:t>
      </w:r>
      <w:r>
        <w:rPr>
          <w:rFonts w:hint="eastAsia" w:ascii="宋体" w:hAnsi="宋体" w:eastAsia="宋体" w:cs="宋体"/>
          <w:b/>
          <w:color w:val="auto"/>
          <w:sz w:val="28"/>
          <w:szCs w:val="28"/>
        </w:rPr>
        <w:t>商务偏离情况说明表</w:t>
      </w:r>
      <w:r>
        <w:rPr>
          <w:rFonts w:hint="eastAsia" w:ascii="宋体" w:hAnsi="宋体" w:eastAsia="宋体" w:cs="宋体"/>
          <w:b/>
          <w:color w:val="auto"/>
          <w:sz w:val="28"/>
          <w:szCs w:val="28"/>
          <w:lang w:eastAsia="zh-CN"/>
        </w:rPr>
        <w:t>（格式见附件）</w:t>
      </w:r>
      <w:r>
        <w:rPr>
          <w:rFonts w:hint="eastAsia" w:ascii="宋体" w:hAnsi="宋体" w:eastAsia="宋体" w:cs="宋体"/>
          <w:b/>
          <w:color w:val="auto"/>
          <w:sz w:val="28"/>
          <w:szCs w:val="28"/>
        </w:rPr>
        <w:t>(必须提供)；</w:t>
      </w:r>
    </w:p>
    <w:p w14:paraId="04B48EF1">
      <w:pPr>
        <w:rPr>
          <w:rFonts w:hint="eastAsia" w:ascii="宋体" w:hAnsi="宋体" w:eastAsia="宋体" w:cs="宋体"/>
          <w:color w:val="auto"/>
        </w:rPr>
      </w:pPr>
    </w:p>
    <w:p w14:paraId="49B1057A">
      <w:pPr>
        <w:pStyle w:val="12"/>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14:paraId="31C8395A">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14:paraId="54D90CEE">
      <w:pPr>
        <w:spacing w:line="500" w:lineRule="exact"/>
        <w:rPr>
          <w:rFonts w:hint="eastAsia" w:ascii="宋体" w:hAnsi="宋体" w:eastAsia="宋体" w:cs="宋体"/>
          <w:color w:val="auto"/>
          <w:szCs w:val="21"/>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tbl>
      <w:tblPr>
        <w:tblStyle w:val="21"/>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60B60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0934C542">
            <w:pPr>
              <w:jc w:val="center"/>
              <w:rPr>
                <w:rFonts w:hint="eastAsia" w:ascii="宋体" w:hAnsi="宋体" w:eastAsia="宋体" w:cs="宋体"/>
                <w:color w:val="auto"/>
              </w:rPr>
            </w:pPr>
            <w:r>
              <w:rPr>
                <w:rFonts w:hint="eastAsia" w:ascii="宋体" w:hAnsi="宋体" w:eastAsia="宋体" w:cs="宋体"/>
                <w:color w:val="auto"/>
              </w:rPr>
              <w:t>序号</w:t>
            </w:r>
          </w:p>
        </w:tc>
        <w:tc>
          <w:tcPr>
            <w:tcW w:w="2251" w:type="dxa"/>
            <w:noWrap w:val="0"/>
            <w:vAlign w:val="center"/>
          </w:tcPr>
          <w:p w14:paraId="6A8531F6">
            <w:pPr>
              <w:jc w:val="center"/>
              <w:rPr>
                <w:rFonts w:hint="eastAsia" w:ascii="宋体" w:hAnsi="宋体" w:eastAsia="宋体" w:cs="宋体"/>
                <w:color w:val="auto"/>
              </w:rPr>
            </w:pPr>
            <w:bookmarkStart w:id="341" w:name="_Toc254970730"/>
            <w:bookmarkStart w:id="342" w:name="_Toc173211901"/>
            <w:bookmarkStart w:id="343" w:name="_Toc254970589"/>
            <w:bookmarkStart w:id="344" w:name="_Toc173066402"/>
            <w:r>
              <w:rPr>
                <w:rFonts w:hint="eastAsia" w:ascii="宋体" w:hAnsi="宋体" w:eastAsia="宋体" w:cs="宋体"/>
                <w:color w:val="auto"/>
              </w:rPr>
              <w:t>竞争性</w:t>
            </w:r>
            <w:r>
              <w:rPr>
                <w:rFonts w:hint="eastAsia" w:ascii="宋体" w:hAnsi="宋体" w:cs="宋体"/>
                <w:color w:val="auto"/>
                <w:u w:val="none"/>
                <w:lang w:eastAsia="zh-CN"/>
              </w:rPr>
              <w:t>磋商文件</w:t>
            </w:r>
            <w:r>
              <w:rPr>
                <w:rFonts w:hint="eastAsia" w:ascii="宋体" w:hAnsi="宋体" w:eastAsia="宋体" w:cs="宋体"/>
                <w:color w:val="auto"/>
              </w:rPr>
              <w:t>要求</w:t>
            </w:r>
            <w:bookmarkEnd w:id="341"/>
            <w:bookmarkEnd w:id="342"/>
            <w:bookmarkEnd w:id="343"/>
            <w:bookmarkEnd w:id="344"/>
          </w:p>
        </w:tc>
        <w:tc>
          <w:tcPr>
            <w:tcW w:w="3195" w:type="dxa"/>
            <w:noWrap w:val="0"/>
            <w:vAlign w:val="center"/>
          </w:tcPr>
          <w:p w14:paraId="55E358E8">
            <w:pPr>
              <w:jc w:val="center"/>
              <w:rPr>
                <w:rFonts w:hint="eastAsia" w:ascii="宋体" w:hAnsi="宋体" w:eastAsia="宋体" w:cs="宋体"/>
                <w:color w:val="auto"/>
              </w:rPr>
            </w:pPr>
            <w:bookmarkStart w:id="345" w:name="_Toc254970590"/>
            <w:bookmarkStart w:id="346" w:name="_Toc173211902"/>
            <w:bookmarkStart w:id="347" w:name="_Toc173066403"/>
            <w:bookmarkStart w:id="348" w:name="_Toc254970731"/>
            <w:r>
              <w:rPr>
                <w:rFonts w:hint="eastAsia" w:ascii="宋体" w:hAnsi="宋体" w:eastAsia="宋体" w:cs="宋体"/>
                <w:color w:val="auto"/>
              </w:rPr>
              <w:t>竞争性磋商响应文件具体响应</w:t>
            </w:r>
            <w:bookmarkEnd w:id="345"/>
            <w:bookmarkEnd w:id="346"/>
            <w:bookmarkEnd w:id="347"/>
            <w:bookmarkEnd w:id="348"/>
          </w:p>
        </w:tc>
        <w:tc>
          <w:tcPr>
            <w:tcW w:w="1920" w:type="dxa"/>
            <w:noWrap w:val="0"/>
            <w:vAlign w:val="center"/>
          </w:tcPr>
          <w:p w14:paraId="2D8781BF">
            <w:pPr>
              <w:jc w:val="center"/>
              <w:rPr>
                <w:rFonts w:hint="eastAsia" w:ascii="宋体" w:hAnsi="宋体" w:eastAsia="宋体" w:cs="宋体"/>
                <w:color w:val="auto"/>
              </w:rPr>
            </w:pPr>
            <w:bookmarkStart w:id="349" w:name="_Toc173211903"/>
            <w:bookmarkStart w:id="350" w:name="_Toc254970732"/>
            <w:bookmarkStart w:id="351" w:name="_Toc173066404"/>
            <w:bookmarkStart w:id="352" w:name="_Toc254970591"/>
            <w:r>
              <w:rPr>
                <w:rFonts w:hint="eastAsia" w:ascii="宋体" w:hAnsi="宋体" w:eastAsia="宋体" w:cs="宋体"/>
                <w:color w:val="auto"/>
              </w:rPr>
              <w:t>响应/偏离</w:t>
            </w:r>
            <w:bookmarkEnd w:id="349"/>
            <w:bookmarkEnd w:id="350"/>
            <w:bookmarkEnd w:id="351"/>
            <w:bookmarkEnd w:id="352"/>
          </w:p>
        </w:tc>
        <w:tc>
          <w:tcPr>
            <w:tcW w:w="1920" w:type="dxa"/>
            <w:noWrap w:val="0"/>
            <w:vAlign w:val="center"/>
          </w:tcPr>
          <w:p w14:paraId="67493786">
            <w:pPr>
              <w:jc w:val="center"/>
              <w:rPr>
                <w:rFonts w:hint="eastAsia" w:ascii="宋体" w:hAnsi="宋体" w:eastAsia="宋体" w:cs="宋体"/>
                <w:color w:val="auto"/>
              </w:rPr>
            </w:pPr>
            <w:bookmarkStart w:id="353" w:name="_Toc254970733"/>
            <w:bookmarkStart w:id="354" w:name="_Toc254970592"/>
            <w:bookmarkStart w:id="355" w:name="_Toc173066405"/>
            <w:bookmarkStart w:id="356" w:name="_Toc173211904"/>
            <w:r>
              <w:rPr>
                <w:rFonts w:hint="eastAsia" w:ascii="宋体" w:hAnsi="宋体" w:eastAsia="宋体" w:cs="宋体"/>
                <w:color w:val="auto"/>
              </w:rPr>
              <w:t>说明</w:t>
            </w:r>
            <w:bookmarkEnd w:id="353"/>
            <w:bookmarkEnd w:id="354"/>
            <w:bookmarkEnd w:id="355"/>
            <w:bookmarkEnd w:id="356"/>
          </w:p>
        </w:tc>
      </w:tr>
      <w:tr w14:paraId="66416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noWrap w:val="0"/>
            <w:vAlign w:val="center"/>
          </w:tcPr>
          <w:p w14:paraId="76883221">
            <w:pPr>
              <w:jc w:val="center"/>
              <w:rPr>
                <w:rFonts w:hint="eastAsia" w:ascii="宋体" w:hAnsi="宋体" w:eastAsia="宋体" w:cs="宋体"/>
                <w:color w:val="auto"/>
              </w:rPr>
            </w:pPr>
            <w:r>
              <w:rPr>
                <w:rFonts w:hint="eastAsia" w:ascii="宋体" w:hAnsi="宋体" w:eastAsia="宋体" w:cs="宋体"/>
                <w:color w:val="auto"/>
              </w:rPr>
              <w:t>服务</w:t>
            </w:r>
            <w:r>
              <w:rPr>
                <w:rFonts w:hint="eastAsia" w:ascii="宋体" w:hAnsi="宋体" w:cs="宋体"/>
                <w:color w:val="auto"/>
                <w:lang w:eastAsia="zh-CN"/>
              </w:rPr>
              <w:t>（</w:t>
            </w:r>
            <w:r>
              <w:rPr>
                <w:rFonts w:hint="eastAsia" w:ascii="宋体" w:hAnsi="宋体" w:eastAsia="宋体" w:cs="宋体"/>
                <w:color w:val="auto"/>
              </w:rPr>
              <w:t>技术)响应、商务部分</w:t>
            </w:r>
          </w:p>
        </w:tc>
      </w:tr>
      <w:tr w14:paraId="0BE054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05702EB9">
            <w:pPr>
              <w:jc w:val="center"/>
              <w:rPr>
                <w:rFonts w:hint="eastAsia" w:ascii="宋体" w:hAnsi="宋体" w:eastAsia="宋体" w:cs="宋体"/>
                <w:color w:val="auto"/>
              </w:rPr>
            </w:pPr>
            <w:r>
              <w:rPr>
                <w:rFonts w:hint="eastAsia" w:ascii="宋体" w:hAnsi="宋体" w:eastAsia="宋体" w:cs="宋体"/>
                <w:color w:val="auto"/>
              </w:rPr>
              <w:t>1</w:t>
            </w:r>
          </w:p>
        </w:tc>
        <w:tc>
          <w:tcPr>
            <w:tcW w:w="2251" w:type="dxa"/>
            <w:noWrap w:val="0"/>
            <w:vAlign w:val="center"/>
          </w:tcPr>
          <w:p w14:paraId="5812AF78">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14:paraId="5F1B5DDE">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3EE33EC9">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20CC3A0F">
            <w:pPr>
              <w:adjustRightInd w:val="0"/>
              <w:snapToGrid w:val="0"/>
              <w:spacing w:line="300" w:lineRule="auto"/>
              <w:jc w:val="center"/>
              <w:outlineLvl w:val="0"/>
              <w:rPr>
                <w:rFonts w:hint="eastAsia" w:ascii="宋体" w:hAnsi="宋体" w:eastAsia="宋体" w:cs="宋体"/>
                <w:color w:val="auto"/>
                <w:szCs w:val="21"/>
              </w:rPr>
            </w:pPr>
          </w:p>
        </w:tc>
      </w:tr>
      <w:tr w14:paraId="6D243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6E8019A4">
            <w:pPr>
              <w:jc w:val="center"/>
              <w:rPr>
                <w:rFonts w:hint="eastAsia" w:ascii="宋体" w:hAnsi="宋体" w:eastAsia="宋体" w:cs="宋体"/>
                <w:color w:val="auto"/>
              </w:rPr>
            </w:pPr>
            <w:r>
              <w:rPr>
                <w:rFonts w:hint="eastAsia" w:ascii="宋体" w:hAnsi="宋体" w:eastAsia="宋体" w:cs="宋体"/>
                <w:color w:val="auto"/>
              </w:rPr>
              <w:t>2</w:t>
            </w:r>
          </w:p>
        </w:tc>
        <w:tc>
          <w:tcPr>
            <w:tcW w:w="2251" w:type="dxa"/>
            <w:noWrap w:val="0"/>
            <w:vAlign w:val="center"/>
          </w:tcPr>
          <w:p w14:paraId="307EEC0D">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14:paraId="3985849A">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21FA21E2">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66EB8621">
            <w:pPr>
              <w:adjustRightInd w:val="0"/>
              <w:snapToGrid w:val="0"/>
              <w:spacing w:line="300" w:lineRule="auto"/>
              <w:jc w:val="center"/>
              <w:outlineLvl w:val="0"/>
              <w:rPr>
                <w:rFonts w:hint="eastAsia" w:ascii="宋体" w:hAnsi="宋体" w:eastAsia="宋体" w:cs="宋体"/>
                <w:color w:val="auto"/>
                <w:szCs w:val="21"/>
              </w:rPr>
            </w:pPr>
          </w:p>
        </w:tc>
      </w:tr>
      <w:tr w14:paraId="52114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431B9AA1">
            <w:pPr>
              <w:jc w:val="center"/>
              <w:rPr>
                <w:rFonts w:hint="eastAsia" w:ascii="宋体" w:hAnsi="宋体" w:eastAsia="宋体" w:cs="宋体"/>
                <w:color w:val="auto"/>
              </w:rPr>
            </w:pPr>
            <w:r>
              <w:rPr>
                <w:rFonts w:hint="eastAsia" w:ascii="宋体" w:hAnsi="宋体" w:eastAsia="宋体" w:cs="宋体"/>
                <w:color w:val="auto"/>
              </w:rPr>
              <w:t>3</w:t>
            </w:r>
          </w:p>
        </w:tc>
        <w:tc>
          <w:tcPr>
            <w:tcW w:w="2251" w:type="dxa"/>
            <w:noWrap w:val="0"/>
            <w:vAlign w:val="center"/>
          </w:tcPr>
          <w:p w14:paraId="41EDE422">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14:paraId="1A5AC277">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68CED3A5">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14:paraId="48D6271B">
            <w:pPr>
              <w:adjustRightInd w:val="0"/>
              <w:snapToGrid w:val="0"/>
              <w:spacing w:line="300" w:lineRule="auto"/>
              <w:jc w:val="center"/>
              <w:outlineLvl w:val="0"/>
              <w:rPr>
                <w:rFonts w:hint="eastAsia" w:ascii="宋体" w:hAnsi="宋体" w:eastAsia="宋体" w:cs="宋体"/>
                <w:color w:val="auto"/>
                <w:szCs w:val="21"/>
              </w:rPr>
            </w:pPr>
          </w:p>
        </w:tc>
      </w:tr>
      <w:tr w14:paraId="050D7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noWrap w:val="0"/>
            <w:vAlign w:val="center"/>
          </w:tcPr>
          <w:p w14:paraId="2714F9DB">
            <w:pPr>
              <w:jc w:val="center"/>
              <w:rPr>
                <w:rFonts w:hint="eastAsia" w:ascii="宋体" w:hAnsi="宋体" w:eastAsia="宋体" w:cs="宋体"/>
                <w:color w:val="auto"/>
              </w:rPr>
            </w:pPr>
            <w:r>
              <w:rPr>
                <w:rFonts w:hint="eastAsia" w:ascii="宋体" w:hAnsi="宋体" w:eastAsia="宋体" w:cs="宋体"/>
                <w:color w:val="auto"/>
              </w:rPr>
              <w:t>…</w:t>
            </w:r>
          </w:p>
        </w:tc>
        <w:tc>
          <w:tcPr>
            <w:tcW w:w="2251" w:type="dxa"/>
            <w:noWrap w:val="0"/>
            <w:vAlign w:val="center"/>
          </w:tcPr>
          <w:p w14:paraId="2C7A7E68">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14:paraId="1C9153C7">
            <w:pPr>
              <w:adjustRightInd w:val="0"/>
              <w:snapToGrid w:val="0"/>
              <w:spacing w:line="300" w:lineRule="auto"/>
              <w:jc w:val="center"/>
              <w:outlineLvl w:val="0"/>
              <w:rPr>
                <w:rFonts w:hint="eastAsia" w:ascii="宋体" w:hAnsi="宋体" w:eastAsia="宋体" w:cs="宋体"/>
                <w:color w:val="auto"/>
                <w:szCs w:val="21"/>
              </w:rPr>
            </w:pPr>
          </w:p>
        </w:tc>
        <w:tc>
          <w:tcPr>
            <w:tcW w:w="1920" w:type="dxa"/>
            <w:tcBorders>
              <w:right w:val="single" w:color="auto" w:sz="4" w:space="0"/>
            </w:tcBorders>
            <w:noWrap w:val="0"/>
            <w:vAlign w:val="center"/>
          </w:tcPr>
          <w:p w14:paraId="088B8D74">
            <w:pPr>
              <w:adjustRightInd w:val="0"/>
              <w:snapToGrid w:val="0"/>
              <w:spacing w:line="300" w:lineRule="auto"/>
              <w:jc w:val="center"/>
              <w:outlineLvl w:val="0"/>
              <w:rPr>
                <w:rFonts w:hint="eastAsia" w:ascii="宋体" w:hAnsi="宋体" w:eastAsia="宋体" w:cs="宋体"/>
                <w:color w:val="auto"/>
                <w:szCs w:val="21"/>
              </w:rPr>
            </w:pPr>
          </w:p>
        </w:tc>
        <w:tc>
          <w:tcPr>
            <w:tcW w:w="1920" w:type="dxa"/>
            <w:tcBorders>
              <w:left w:val="single" w:color="auto" w:sz="4" w:space="0"/>
            </w:tcBorders>
            <w:noWrap w:val="0"/>
            <w:vAlign w:val="center"/>
          </w:tcPr>
          <w:p w14:paraId="484E1596">
            <w:pPr>
              <w:adjustRightInd w:val="0"/>
              <w:snapToGrid w:val="0"/>
              <w:spacing w:line="300" w:lineRule="auto"/>
              <w:jc w:val="center"/>
              <w:outlineLvl w:val="0"/>
              <w:rPr>
                <w:rFonts w:hint="eastAsia" w:ascii="宋体" w:hAnsi="宋体" w:eastAsia="宋体" w:cs="宋体"/>
                <w:color w:val="auto"/>
                <w:szCs w:val="21"/>
              </w:rPr>
            </w:pPr>
          </w:p>
        </w:tc>
      </w:tr>
    </w:tbl>
    <w:p w14:paraId="16A94D83">
      <w:pPr>
        <w:spacing w:line="340" w:lineRule="exact"/>
        <w:rPr>
          <w:rFonts w:hint="eastAsia" w:ascii="宋体" w:hAnsi="宋体" w:eastAsia="宋体" w:cs="宋体"/>
          <w:color w:val="auto"/>
          <w:szCs w:val="21"/>
        </w:rPr>
      </w:pPr>
    </w:p>
    <w:p w14:paraId="759747C7">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09C1FDF9">
      <w:pPr>
        <w:spacing w:line="340" w:lineRule="exact"/>
        <w:rPr>
          <w:rFonts w:hint="eastAsia" w:ascii="宋体" w:hAnsi="宋体" w:eastAsia="宋体" w:cs="宋体"/>
        </w:rPr>
      </w:pPr>
    </w:p>
    <w:p w14:paraId="4CBB547B">
      <w:pPr>
        <w:snapToGrid w:val="0"/>
        <w:spacing w:line="400" w:lineRule="exact"/>
        <w:ind w:firstLine="1680" w:firstLineChars="800"/>
        <w:rPr>
          <w:rFonts w:hint="eastAsia" w:ascii="宋体" w:hAnsi="宋体" w:eastAsia="宋体" w:cs="宋体"/>
          <w:color w:val="auto"/>
        </w:rPr>
      </w:pPr>
    </w:p>
    <w:p w14:paraId="31A599F0">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14:paraId="7C973AE9">
      <w:pPr>
        <w:ind w:firstLine="1890" w:firstLineChars="900"/>
        <w:rPr>
          <w:rFonts w:hint="eastAsia" w:ascii="宋体" w:hAnsi="宋体" w:eastAsia="宋体" w:cs="宋体"/>
          <w:color w:val="auto"/>
          <w:u w:val="single"/>
        </w:rPr>
      </w:pPr>
    </w:p>
    <w:p w14:paraId="46DD769D">
      <w:pPr>
        <w:ind w:firstLine="1890" w:firstLineChars="900"/>
        <w:rPr>
          <w:rFonts w:hint="eastAsia" w:ascii="宋体" w:hAnsi="宋体" w:eastAsia="宋体" w:cs="宋体"/>
          <w:color w:val="auto"/>
          <w:u w:val="single"/>
        </w:rPr>
      </w:pPr>
    </w:p>
    <w:p w14:paraId="5E60EC72">
      <w:pPr>
        <w:spacing w:line="400" w:lineRule="exact"/>
        <w:ind w:left="980" w:leftChars="200" w:hanging="560" w:hanging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b/>
          <w:color w:val="auto"/>
          <w:sz w:val="24"/>
        </w:rPr>
        <w:t>1.“商务响应表”各项内容必须如实填写。</w:t>
      </w:r>
    </w:p>
    <w:p w14:paraId="460404BD">
      <w:pPr>
        <w:spacing w:line="400" w:lineRule="exact"/>
        <w:ind w:firstLine="960" w:firstLineChars="400"/>
        <w:rPr>
          <w:rFonts w:hint="eastAsia" w:ascii="宋体" w:hAnsi="宋体" w:eastAsia="宋体" w:cs="宋体"/>
          <w:b/>
          <w:bCs/>
          <w:color w:val="auto"/>
          <w:sz w:val="28"/>
          <w:szCs w:val="28"/>
        </w:rPr>
      </w:pPr>
      <w:r>
        <w:rPr>
          <w:rFonts w:hint="eastAsia" w:ascii="宋体" w:hAnsi="宋体" w:eastAsia="宋体" w:cs="宋体"/>
          <w:b/>
          <w:color w:val="auto"/>
          <w:sz w:val="24"/>
        </w:rPr>
        <w:t>2.当本表由多页构成时，需逐页加盖</w:t>
      </w:r>
      <w:r>
        <w:rPr>
          <w:rFonts w:hint="eastAsia" w:ascii="宋体" w:hAnsi="宋体" w:eastAsia="宋体" w:cs="宋体"/>
          <w:b/>
          <w:color w:val="auto"/>
          <w:sz w:val="24"/>
          <w:lang w:eastAsia="zh-CN"/>
        </w:rPr>
        <w:t>磋商供应商</w:t>
      </w:r>
      <w:r>
        <w:rPr>
          <w:rFonts w:hint="eastAsia" w:ascii="宋体" w:hAnsi="宋体" w:eastAsia="宋体" w:cs="宋体"/>
          <w:b/>
          <w:color w:val="auto"/>
          <w:sz w:val="24"/>
        </w:rPr>
        <w:t>公章</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CA签章</w:t>
      </w:r>
      <w:r>
        <w:rPr>
          <w:rFonts w:hint="eastAsia" w:ascii="宋体" w:hAnsi="宋体" w:eastAsia="宋体" w:cs="宋体"/>
          <w:b/>
          <w:color w:val="auto"/>
          <w:sz w:val="24"/>
          <w:lang w:eastAsia="zh-CN"/>
        </w:rPr>
        <w:t>）</w:t>
      </w:r>
      <w:r>
        <w:rPr>
          <w:rFonts w:hint="eastAsia" w:ascii="宋体" w:hAnsi="宋体" w:eastAsia="宋体" w:cs="宋体"/>
          <w:b/>
          <w:color w:val="auto"/>
          <w:sz w:val="24"/>
        </w:rPr>
        <w:t>（属自然人的须逐页签字</w:t>
      </w:r>
      <w:r>
        <w:rPr>
          <w:rFonts w:hint="eastAsia" w:ascii="宋体" w:hAnsi="宋体" w:eastAsia="宋体" w:cs="宋体"/>
          <w:b/>
          <w:color w:val="auto"/>
          <w:sz w:val="24"/>
          <w:lang w:eastAsia="zh-CN"/>
        </w:rPr>
        <w:t>或</w:t>
      </w:r>
      <w:r>
        <w:rPr>
          <w:rFonts w:hint="eastAsia" w:ascii="宋体" w:hAnsi="宋体" w:eastAsia="宋体" w:cs="宋体"/>
          <w:b/>
          <w:color w:val="auto"/>
          <w:sz w:val="24"/>
          <w:lang w:val="en-US" w:eastAsia="zh-CN"/>
        </w:rPr>
        <w:t>个人CA签章</w:t>
      </w:r>
      <w:r>
        <w:rPr>
          <w:rFonts w:hint="eastAsia" w:ascii="宋体" w:hAnsi="宋体" w:eastAsia="宋体" w:cs="宋体"/>
          <w:b/>
          <w:color w:val="auto"/>
          <w:sz w:val="24"/>
        </w:rPr>
        <w:t>）。</w:t>
      </w:r>
    </w:p>
    <w:p w14:paraId="245D406C">
      <w:pPr>
        <w:pStyle w:val="10"/>
        <w:rPr>
          <w:rFonts w:hint="eastAsia" w:ascii="宋体" w:hAnsi="宋体" w:eastAsia="宋体" w:cs="宋体"/>
          <w:color w:val="auto"/>
        </w:rPr>
      </w:pPr>
    </w:p>
    <w:p w14:paraId="63C1E44B">
      <w:pPr>
        <w:pStyle w:val="10"/>
        <w:rPr>
          <w:rFonts w:hint="eastAsia" w:ascii="宋体" w:hAnsi="宋体" w:eastAsia="宋体" w:cs="宋体"/>
          <w:color w:val="auto"/>
        </w:rPr>
      </w:pPr>
    </w:p>
    <w:p w14:paraId="5EE5E533">
      <w:pPr>
        <w:pStyle w:val="10"/>
        <w:rPr>
          <w:rFonts w:hint="eastAsia" w:ascii="宋体" w:hAnsi="宋体" w:eastAsia="宋体" w:cs="宋体"/>
          <w:color w:val="auto"/>
        </w:rPr>
      </w:pPr>
    </w:p>
    <w:p w14:paraId="1B055D45">
      <w:pPr>
        <w:pStyle w:val="10"/>
        <w:rPr>
          <w:rFonts w:hint="eastAsia" w:ascii="宋体" w:hAnsi="宋体" w:eastAsia="宋体" w:cs="宋体"/>
          <w:color w:val="auto"/>
        </w:rPr>
      </w:pPr>
    </w:p>
    <w:p w14:paraId="3F044843">
      <w:pPr>
        <w:pStyle w:val="10"/>
        <w:rPr>
          <w:rFonts w:hint="eastAsia" w:ascii="宋体" w:hAnsi="宋体" w:eastAsia="宋体" w:cs="宋体"/>
          <w:color w:val="auto"/>
        </w:rPr>
      </w:pPr>
    </w:p>
    <w:p w14:paraId="607912C1">
      <w:pPr>
        <w:pStyle w:val="10"/>
        <w:rPr>
          <w:rFonts w:hint="eastAsia" w:ascii="宋体" w:hAnsi="宋体" w:eastAsia="宋体" w:cs="宋体"/>
          <w:color w:val="auto"/>
        </w:rPr>
      </w:pPr>
    </w:p>
    <w:p w14:paraId="722776E1">
      <w:pPr>
        <w:pStyle w:val="10"/>
        <w:rPr>
          <w:rFonts w:hint="eastAsia" w:ascii="宋体" w:hAnsi="宋体" w:eastAsia="宋体" w:cs="宋体"/>
          <w:color w:val="auto"/>
        </w:rPr>
      </w:pPr>
    </w:p>
    <w:p w14:paraId="2D6F6065">
      <w:pPr>
        <w:rPr>
          <w:rFonts w:hint="eastAsia" w:ascii="宋体" w:hAnsi="宋体" w:eastAsia="宋体" w:cs="宋体"/>
          <w:color w:val="auto"/>
        </w:rPr>
      </w:pPr>
    </w:p>
    <w:p w14:paraId="4E4FA570">
      <w:pPr>
        <w:pStyle w:val="26"/>
        <w:rPr>
          <w:rFonts w:hint="eastAsia" w:ascii="宋体" w:hAnsi="宋体" w:eastAsia="宋体" w:cs="宋体"/>
          <w:color w:val="auto"/>
        </w:rPr>
      </w:pPr>
    </w:p>
    <w:p w14:paraId="2D54CD85">
      <w:pPr>
        <w:pStyle w:val="26"/>
        <w:rPr>
          <w:rFonts w:hint="eastAsia" w:ascii="宋体" w:hAnsi="宋体" w:eastAsia="宋体" w:cs="宋体"/>
          <w:color w:val="auto"/>
        </w:rPr>
      </w:pPr>
    </w:p>
    <w:p w14:paraId="167601F5">
      <w:pPr>
        <w:pStyle w:val="26"/>
        <w:rPr>
          <w:rFonts w:hint="eastAsia" w:ascii="宋体" w:hAnsi="宋体" w:eastAsia="宋体" w:cs="宋体"/>
          <w:color w:val="auto"/>
        </w:rPr>
      </w:pPr>
    </w:p>
    <w:p w14:paraId="7AE43F2D">
      <w:pPr>
        <w:pStyle w:val="26"/>
        <w:rPr>
          <w:rFonts w:hint="eastAsia" w:ascii="宋体" w:hAnsi="宋体" w:eastAsia="宋体" w:cs="宋体"/>
          <w:color w:val="auto"/>
        </w:rPr>
      </w:pPr>
    </w:p>
    <w:p w14:paraId="00A9DBFD">
      <w:pPr>
        <w:pStyle w:val="26"/>
        <w:rPr>
          <w:rFonts w:hint="eastAsia" w:ascii="宋体" w:hAnsi="宋体" w:eastAsia="宋体" w:cs="宋体"/>
          <w:color w:val="auto"/>
        </w:rPr>
      </w:pPr>
    </w:p>
    <w:p w14:paraId="73FA81ED">
      <w:pPr>
        <w:pStyle w:val="26"/>
        <w:rPr>
          <w:rFonts w:hint="eastAsia" w:ascii="宋体" w:hAnsi="宋体" w:eastAsia="宋体" w:cs="宋体"/>
          <w:color w:val="auto"/>
        </w:rPr>
      </w:pPr>
    </w:p>
    <w:p w14:paraId="6982CB02">
      <w:pPr>
        <w:pStyle w:val="26"/>
        <w:rPr>
          <w:rFonts w:hint="eastAsia" w:ascii="宋体" w:hAnsi="宋体" w:eastAsia="宋体" w:cs="宋体"/>
          <w:color w:val="auto"/>
        </w:rPr>
      </w:pPr>
    </w:p>
    <w:p w14:paraId="16D04BF9">
      <w:pPr>
        <w:pStyle w:val="10"/>
        <w:rPr>
          <w:rFonts w:hint="eastAsia" w:ascii="宋体" w:hAnsi="宋体" w:eastAsia="宋体" w:cs="宋体"/>
          <w:color w:val="auto"/>
        </w:rPr>
      </w:pPr>
    </w:p>
    <w:p w14:paraId="4F15D65A">
      <w:pPr>
        <w:pStyle w:val="10"/>
        <w:rPr>
          <w:rFonts w:hint="eastAsia" w:ascii="宋体" w:hAnsi="宋体" w:eastAsia="宋体" w:cs="宋体"/>
          <w:color w:val="auto"/>
        </w:rPr>
      </w:pPr>
    </w:p>
    <w:p w14:paraId="7EA7A810">
      <w:pPr>
        <w:pStyle w:val="10"/>
        <w:rPr>
          <w:rFonts w:hint="eastAsia" w:ascii="宋体" w:hAnsi="宋体" w:eastAsia="宋体" w:cs="宋体"/>
          <w:color w:val="auto"/>
        </w:rPr>
      </w:pPr>
    </w:p>
    <w:p w14:paraId="6B751AF3">
      <w:pPr>
        <w:pStyle w:val="12"/>
        <w:numPr>
          <w:ilvl w:val="0"/>
          <w:numId w:val="0"/>
        </w:numPr>
        <w:spacing w:line="340" w:lineRule="exact"/>
        <w:ind w:leftChars="0"/>
        <w:rPr>
          <w:rFonts w:hint="eastAsia" w:ascii="宋体" w:hAnsi="宋体" w:eastAsia="宋体" w:cs="宋体"/>
          <w:b/>
          <w:color w:val="auto"/>
          <w:sz w:val="28"/>
          <w:szCs w:val="28"/>
        </w:rPr>
      </w:pPr>
      <w:r>
        <w:rPr>
          <w:rFonts w:hint="eastAsia" w:hAnsi="宋体" w:cs="宋体"/>
          <w:b/>
          <w:color w:val="auto"/>
          <w:sz w:val="28"/>
          <w:szCs w:val="28"/>
          <w:lang w:val="en-US" w:eastAsia="zh-CN"/>
        </w:rPr>
        <w:t>4</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服务承诺书</w:t>
      </w:r>
      <w:r>
        <w:rPr>
          <w:rFonts w:hint="eastAsia" w:ascii="宋体" w:hAnsi="宋体" w:eastAsia="宋体" w:cs="宋体"/>
          <w:b/>
          <w:color w:val="auto"/>
          <w:sz w:val="28"/>
          <w:szCs w:val="28"/>
        </w:rPr>
        <w:t>（由供应商根据本项目采购需求、特点及供应商自身的处理能力自行编写，承诺书内容至少应包括“采购需求”的所有服务条款）（必须提供）；</w:t>
      </w:r>
    </w:p>
    <w:p w14:paraId="0136398E">
      <w:pPr>
        <w:rPr>
          <w:rFonts w:hint="eastAsia" w:ascii="宋体" w:hAnsi="宋体" w:eastAsia="宋体" w:cs="宋体"/>
          <w:color w:val="auto"/>
        </w:rPr>
      </w:pPr>
    </w:p>
    <w:p w14:paraId="307A69BB">
      <w:pPr>
        <w:pStyle w:val="12"/>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14:paraId="00726236">
      <w:pPr>
        <w:rPr>
          <w:rFonts w:hint="eastAsia" w:ascii="宋体" w:hAnsi="宋体" w:eastAsia="宋体" w:cs="宋体"/>
          <w:color w:val="auto"/>
        </w:rPr>
      </w:pPr>
    </w:p>
    <w:p w14:paraId="078F7CB9">
      <w:pPr>
        <w:pStyle w:val="10"/>
        <w:rPr>
          <w:rFonts w:hint="eastAsia" w:ascii="宋体" w:hAnsi="宋体" w:eastAsia="宋体" w:cs="宋体"/>
          <w:color w:val="auto"/>
        </w:rPr>
      </w:pPr>
    </w:p>
    <w:p w14:paraId="1ED0207B">
      <w:pPr>
        <w:pStyle w:val="10"/>
        <w:rPr>
          <w:rFonts w:hint="eastAsia" w:ascii="宋体" w:hAnsi="宋体" w:eastAsia="宋体" w:cs="宋体"/>
          <w:color w:val="auto"/>
        </w:rPr>
      </w:pPr>
    </w:p>
    <w:p w14:paraId="30D51C6D">
      <w:pPr>
        <w:pStyle w:val="10"/>
        <w:rPr>
          <w:rFonts w:hint="eastAsia" w:ascii="宋体" w:hAnsi="宋体" w:eastAsia="宋体" w:cs="宋体"/>
          <w:color w:val="auto"/>
        </w:rPr>
      </w:pPr>
    </w:p>
    <w:p w14:paraId="6C0D016F">
      <w:pPr>
        <w:pStyle w:val="12"/>
        <w:spacing w:line="3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服务承诺书（格式）</w:t>
      </w:r>
    </w:p>
    <w:p w14:paraId="12A0C333">
      <w:pPr>
        <w:pStyle w:val="12"/>
        <w:spacing w:line="340" w:lineRule="exact"/>
        <w:jc w:val="center"/>
        <w:rPr>
          <w:rFonts w:hint="eastAsia" w:ascii="宋体" w:hAnsi="宋体" w:eastAsia="宋体" w:cs="宋体"/>
          <w:b/>
          <w:color w:val="auto"/>
          <w:sz w:val="32"/>
          <w:szCs w:val="32"/>
        </w:rPr>
      </w:pPr>
    </w:p>
    <w:p w14:paraId="5BE69D45">
      <w:pPr>
        <w:pStyle w:val="12"/>
        <w:spacing w:line="340" w:lineRule="exact"/>
        <w:jc w:val="center"/>
        <w:rPr>
          <w:rFonts w:hint="eastAsia" w:ascii="宋体" w:hAnsi="宋体" w:eastAsia="宋体" w:cs="宋体"/>
          <w:b/>
          <w:color w:val="auto"/>
          <w:sz w:val="32"/>
          <w:szCs w:val="32"/>
        </w:rPr>
      </w:pPr>
    </w:p>
    <w:p w14:paraId="1D2FA1EE">
      <w:pPr>
        <w:pStyle w:val="12"/>
        <w:spacing w:line="340" w:lineRule="exact"/>
        <w:jc w:val="center"/>
        <w:rPr>
          <w:rFonts w:hint="eastAsia" w:ascii="宋体" w:hAnsi="宋体" w:eastAsia="宋体" w:cs="宋体"/>
          <w:b/>
          <w:color w:val="auto"/>
          <w:sz w:val="32"/>
          <w:szCs w:val="32"/>
        </w:rPr>
      </w:pPr>
    </w:p>
    <w:p w14:paraId="5C085EE3">
      <w:pPr>
        <w:rPr>
          <w:rFonts w:hint="eastAsia" w:ascii="宋体" w:hAnsi="宋体" w:eastAsia="宋体" w:cs="宋体"/>
          <w:b/>
          <w:color w:val="auto"/>
          <w:sz w:val="32"/>
          <w:szCs w:val="32"/>
        </w:rPr>
      </w:pPr>
    </w:p>
    <w:p w14:paraId="6AACA3A1">
      <w:pPr>
        <w:pStyle w:val="10"/>
        <w:rPr>
          <w:rFonts w:hint="eastAsia" w:ascii="宋体" w:hAnsi="宋体" w:eastAsia="宋体" w:cs="宋体"/>
          <w:color w:val="auto"/>
        </w:rPr>
      </w:pPr>
    </w:p>
    <w:p w14:paraId="3CF8EC11">
      <w:pPr>
        <w:pStyle w:val="10"/>
        <w:rPr>
          <w:rFonts w:hint="eastAsia" w:ascii="宋体" w:hAnsi="宋体" w:eastAsia="宋体" w:cs="宋体"/>
          <w:b/>
          <w:color w:val="auto"/>
          <w:sz w:val="32"/>
          <w:szCs w:val="32"/>
        </w:rPr>
      </w:pPr>
    </w:p>
    <w:p w14:paraId="1C48F1A9">
      <w:pPr>
        <w:pStyle w:val="12"/>
        <w:spacing w:line="340" w:lineRule="exact"/>
        <w:jc w:val="center"/>
        <w:rPr>
          <w:rFonts w:hint="eastAsia" w:ascii="宋体" w:hAnsi="宋体" w:eastAsia="宋体" w:cs="宋体"/>
          <w:b/>
          <w:color w:val="auto"/>
          <w:sz w:val="32"/>
          <w:szCs w:val="32"/>
        </w:rPr>
      </w:pPr>
    </w:p>
    <w:p w14:paraId="1FAA983C">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74239BC7">
      <w:pPr>
        <w:snapToGrid w:val="0"/>
        <w:spacing w:line="400" w:lineRule="exact"/>
        <w:ind w:firstLine="1890" w:firstLineChars="900"/>
        <w:rPr>
          <w:rFonts w:hint="eastAsia" w:ascii="宋体" w:hAnsi="宋体" w:eastAsia="宋体" w:cs="宋体"/>
        </w:rPr>
      </w:pPr>
    </w:p>
    <w:p w14:paraId="2AA819B4">
      <w:pPr>
        <w:snapToGrid w:val="0"/>
        <w:spacing w:line="400" w:lineRule="exact"/>
        <w:ind w:firstLine="1680" w:firstLineChars="800"/>
        <w:rPr>
          <w:rFonts w:hint="eastAsia" w:ascii="宋体" w:hAnsi="宋体" w:eastAsia="宋体" w:cs="宋体"/>
          <w:b/>
          <w:bCs/>
          <w:color w:val="auto"/>
          <w:szCs w:val="21"/>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14:paraId="2474BEDC">
      <w:pPr>
        <w:pStyle w:val="10"/>
        <w:rPr>
          <w:rFonts w:hint="eastAsia" w:ascii="宋体" w:hAnsi="宋体" w:eastAsia="宋体" w:cs="宋体"/>
          <w:b/>
          <w:bCs/>
          <w:color w:val="auto"/>
          <w:szCs w:val="21"/>
        </w:rPr>
      </w:pPr>
    </w:p>
    <w:p w14:paraId="60312CF4">
      <w:pPr>
        <w:pStyle w:val="10"/>
        <w:rPr>
          <w:rFonts w:hint="eastAsia" w:ascii="宋体" w:hAnsi="宋体" w:eastAsia="宋体" w:cs="宋体"/>
          <w:b/>
          <w:bCs/>
          <w:color w:val="auto"/>
          <w:szCs w:val="21"/>
        </w:rPr>
      </w:pPr>
    </w:p>
    <w:p w14:paraId="05D482CA">
      <w:pPr>
        <w:pStyle w:val="10"/>
        <w:rPr>
          <w:rFonts w:hint="eastAsia" w:ascii="宋体" w:hAnsi="宋体" w:eastAsia="宋体" w:cs="宋体"/>
          <w:b/>
          <w:bCs/>
          <w:color w:val="auto"/>
          <w:szCs w:val="21"/>
        </w:rPr>
      </w:pPr>
    </w:p>
    <w:p w14:paraId="58E8C151">
      <w:pPr>
        <w:pStyle w:val="10"/>
        <w:rPr>
          <w:rFonts w:hint="eastAsia" w:ascii="宋体" w:hAnsi="宋体" w:eastAsia="宋体" w:cs="宋体"/>
          <w:b/>
          <w:bCs/>
          <w:color w:val="auto"/>
          <w:szCs w:val="21"/>
        </w:rPr>
      </w:pPr>
    </w:p>
    <w:p w14:paraId="44603555">
      <w:pPr>
        <w:pStyle w:val="10"/>
        <w:rPr>
          <w:rFonts w:hint="eastAsia" w:ascii="宋体" w:hAnsi="宋体" w:eastAsia="宋体" w:cs="宋体"/>
          <w:b/>
          <w:bCs/>
          <w:color w:val="auto"/>
          <w:szCs w:val="21"/>
        </w:rPr>
      </w:pPr>
    </w:p>
    <w:p w14:paraId="483514BE">
      <w:pPr>
        <w:rPr>
          <w:rFonts w:hint="eastAsia" w:ascii="宋体" w:hAnsi="宋体" w:eastAsia="宋体" w:cs="宋体"/>
          <w:b/>
          <w:bCs/>
          <w:color w:val="auto"/>
          <w:szCs w:val="21"/>
        </w:rPr>
      </w:pPr>
    </w:p>
    <w:p w14:paraId="45F857BA">
      <w:pPr>
        <w:pStyle w:val="26"/>
        <w:rPr>
          <w:rFonts w:hint="eastAsia" w:ascii="宋体" w:hAnsi="宋体" w:eastAsia="宋体" w:cs="宋体"/>
          <w:b/>
          <w:bCs/>
          <w:color w:val="auto"/>
          <w:szCs w:val="21"/>
        </w:rPr>
      </w:pPr>
    </w:p>
    <w:p w14:paraId="2C331D68">
      <w:pPr>
        <w:pStyle w:val="26"/>
        <w:rPr>
          <w:rFonts w:hint="eastAsia" w:ascii="宋体" w:hAnsi="宋体" w:eastAsia="宋体" w:cs="宋体"/>
          <w:b/>
          <w:bCs/>
          <w:color w:val="auto"/>
          <w:szCs w:val="21"/>
        </w:rPr>
      </w:pPr>
    </w:p>
    <w:p w14:paraId="3D72264D">
      <w:pPr>
        <w:pStyle w:val="26"/>
        <w:rPr>
          <w:rFonts w:hint="eastAsia" w:ascii="宋体" w:hAnsi="宋体" w:eastAsia="宋体" w:cs="宋体"/>
          <w:b/>
          <w:bCs/>
          <w:color w:val="auto"/>
          <w:szCs w:val="21"/>
        </w:rPr>
      </w:pPr>
    </w:p>
    <w:p w14:paraId="53BE824E">
      <w:pPr>
        <w:pStyle w:val="26"/>
        <w:rPr>
          <w:rFonts w:hint="eastAsia" w:ascii="宋体" w:hAnsi="宋体" w:eastAsia="宋体" w:cs="宋体"/>
          <w:b/>
          <w:bCs/>
          <w:color w:val="auto"/>
          <w:szCs w:val="21"/>
        </w:rPr>
      </w:pPr>
    </w:p>
    <w:p w14:paraId="7261A76D">
      <w:pPr>
        <w:pStyle w:val="26"/>
        <w:rPr>
          <w:rFonts w:hint="eastAsia" w:ascii="宋体" w:hAnsi="宋体" w:eastAsia="宋体" w:cs="宋体"/>
          <w:b/>
          <w:bCs/>
          <w:color w:val="auto"/>
          <w:szCs w:val="21"/>
        </w:rPr>
      </w:pPr>
    </w:p>
    <w:p w14:paraId="1B14DD58">
      <w:pPr>
        <w:pStyle w:val="26"/>
        <w:rPr>
          <w:rFonts w:hint="eastAsia" w:ascii="宋体" w:hAnsi="宋体" w:eastAsia="宋体" w:cs="宋体"/>
          <w:b/>
          <w:bCs/>
          <w:color w:val="auto"/>
          <w:szCs w:val="21"/>
        </w:rPr>
      </w:pPr>
    </w:p>
    <w:p w14:paraId="06732074">
      <w:pPr>
        <w:pStyle w:val="26"/>
        <w:rPr>
          <w:rFonts w:hint="eastAsia" w:ascii="宋体" w:hAnsi="宋体" w:eastAsia="宋体" w:cs="宋体"/>
          <w:b/>
          <w:bCs/>
          <w:color w:val="auto"/>
          <w:szCs w:val="21"/>
        </w:rPr>
      </w:pPr>
    </w:p>
    <w:p w14:paraId="0E9A1789">
      <w:pPr>
        <w:pStyle w:val="26"/>
        <w:rPr>
          <w:rFonts w:hint="eastAsia" w:ascii="宋体" w:hAnsi="宋体" w:eastAsia="宋体" w:cs="宋体"/>
          <w:b/>
          <w:bCs/>
          <w:color w:val="auto"/>
          <w:szCs w:val="21"/>
        </w:rPr>
      </w:pPr>
    </w:p>
    <w:p w14:paraId="1BF1B943">
      <w:pPr>
        <w:pStyle w:val="26"/>
        <w:rPr>
          <w:rFonts w:hint="eastAsia" w:ascii="宋体" w:hAnsi="宋体" w:eastAsia="宋体" w:cs="宋体"/>
          <w:b/>
          <w:bCs/>
          <w:color w:val="auto"/>
          <w:szCs w:val="21"/>
        </w:rPr>
      </w:pPr>
    </w:p>
    <w:p w14:paraId="1ECD9089">
      <w:pPr>
        <w:pStyle w:val="10"/>
        <w:rPr>
          <w:rFonts w:hint="eastAsia" w:ascii="宋体" w:hAnsi="宋体" w:eastAsia="宋体" w:cs="宋体"/>
          <w:b/>
          <w:bCs/>
          <w:color w:val="auto"/>
          <w:szCs w:val="21"/>
        </w:rPr>
      </w:pPr>
    </w:p>
    <w:p w14:paraId="23E8DB55">
      <w:pPr>
        <w:rPr>
          <w:rFonts w:hint="eastAsia" w:ascii="宋体" w:hAnsi="宋体" w:eastAsia="宋体" w:cs="宋体"/>
        </w:rPr>
      </w:pPr>
    </w:p>
    <w:p w14:paraId="4F7C1A39">
      <w:pPr>
        <w:pStyle w:val="10"/>
        <w:rPr>
          <w:rFonts w:hint="eastAsia" w:ascii="宋体" w:hAnsi="宋体" w:eastAsia="宋体" w:cs="宋体"/>
          <w:b/>
          <w:bCs/>
          <w:color w:val="auto"/>
          <w:szCs w:val="21"/>
        </w:rPr>
      </w:pPr>
    </w:p>
    <w:p w14:paraId="7633C0C6">
      <w:pPr>
        <w:pStyle w:val="10"/>
        <w:rPr>
          <w:rFonts w:hint="eastAsia" w:ascii="宋体" w:hAnsi="宋体" w:eastAsia="宋体" w:cs="宋体"/>
          <w:b/>
          <w:bCs/>
          <w:color w:val="auto"/>
          <w:szCs w:val="21"/>
        </w:rPr>
      </w:pPr>
    </w:p>
    <w:p w14:paraId="5D3157EE">
      <w:pPr>
        <w:rPr>
          <w:rFonts w:hint="eastAsia" w:ascii="宋体" w:hAnsi="宋体" w:eastAsia="宋体" w:cs="宋体"/>
        </w:rPr>
      </w:pPr>
    </w:p>
    <w:p w14:paraId="2E46740A">
      <w:pPr>
        <w:rPr>
          <w:rFonts w:hint="eastAsia" w:ascii="宋体" w:hAnsi="宋体" w:eastAsia="宋体" w:cs="宋体"/>
        </w:rPr>
      </w:pPr>
    </w:p>
    <w:p w14:paraId="5C93CC06">
      <w:pPr>
        <w:pStyle w:val="10"/>
        <w:rPr>
          <w:rFonts w:hint="eastAsia" w:ascii="宋体" w:hAnsi="宋体" w:eastAsia="宋体" w:cs="宋体"/>
          <w:b/>
          <w:bCs/>
          <w:color w:val="auto"/>
          <w:szCs w:val="21"/>
        </w:rPr>
      </w:pPr>
    </w:p>
    <w:p w14:paraId="57EA46C1">
      <w:pPr>
        <w:pStyle w:val="12"/>
        <w:numPr>
          <w:ilvl w:val="0"/>
          <w:numId w:val="0"/>
        </w:numPr>
        <w:spacing w:line="340" w:lineRule="exact"/>
        <w:ind w:left="0" w:firstLine="0"/>
        <w:rPr>
          <w:rFonts w:hint="eastAsia" w:ascii="宋体" w:hAnsi="宋体" w:eastAsia="宋体" w:cs="宋体"/>
          <w:b/>
          <w:color w:val="auto"/>
          <w:sz w:val="28"/>
          <w:szCs w:val="28"/>
        </w:rPr>
      </w:pPr>
      <w:r>
        <w:rPr>
          <w:rFonts w:hint="eastAsia" w:hAnsi="宋体" w:cs="宋体"/>
          <w:b/>
          <w:color w:val="auto"/>
          <w:sz w:val="28"/>
          <w:szCs w:val="28"/>
          <w:lang w:val="en-US" w:eastAsia="zh-CN"/>
        </w:rPr>
        <w:t>5</w:t>
      </w:r>
      <w:r>
        <w:rPr>
          <w:rFonts w:hint="eastAsia" w:ascii="宋体" w:hAnsi="宋体" w:eastAsia="宋体" w:cs="宋体"/>
          <w:b/>
          <w:color w:val="auto"/>
          <w:sz w:val="28"/>
          <w:szCs w:val="28"/>
          <w:lang w:val="en-US" w:eastAsia="zh-CN"/>
        </w:rPr>
        <w:t>. 针对本项目的</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方案（</w:t>
      </w:r>
      <w:r>
        <w:rPr>
          <w:rFonts w:hint="eastAsia" w:ascii="宋体" w:hAnsi="宋体" w:eastAsia="宋体" w:cs="宋体"/>
          <w:b/>
          <w:color w:val="auto"/>
          <w:sz w:val="28"/>
          <w:szCs w:val="28"/>
          <w:lang w:eastAsia="zh-CN"/>
        </w:rPr>
        <w:t>必须提供</w:t>
      </w:r>
      <w:r>
        <w:rPr>
          <w:rFonts w:hint="eastAsia" w:ascii="宋体" w:hAnsi="宋体" w:eastAsia="宋体" w:cs="宋体"/>
          <w:b/>
          <w:color w:val="auto"/>
          <w:sz w:val="28"/>
          <w:szCs w:val="28"/>
        </w:rPr>
        <w:t>）；</w:t>
      </w:r>
    </w:p>
    <w:p w14:paraId="54E2AB55">
      <w:pPr>
        <w:rPr>
          <w:rFonts w:hint="eastAsia" w:ascii="宋体" w:hAnsi="宋体" w:eastAsia="宋体" w:cs="宋体"/>
          <w:color w:val="auto"/>
        </w:rPr>
      </w:pPr>
    </w:p>
    <w:p w14:paraId="7A07175A">
      <w:pPr>
        <w:pStyle w:val="12"/>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14:paraId="77AC80D2">
      <w:pPr>
        <w:rPr>
          <w:rFonts w:hint="eastAsia" w:ascii="宋体" w:hAnsi="宋体" w:eastAsia="宋体" w:cs="宋体"/>
          <w:color w:val="auto"/>
        </w:rPr>
      </w:pPr>
    </w:p>
    <w:p w14:paraId="0639BB6B">
      <w:pPr>
        <w:pStyle w:val="10"/>
        <w:rPr>
          <w:rFonts w:hint="eastAsia" w:ascii="宋体" w:hAnsi="宋体" w:eastAsia="宋体" w:cs="宋体"/>
          <w:color w:val="auto"/>
        </w:rPr>
      </w:pPr>
    </w:p>
    <w:p w14:paraId="11E79B85">
      <w:pPr>
        <w:rPr>
          <w:rFonts w:hint="eastAsia" w:ascii="宋体" w:hAnsi="宋体" w:eastAsia="宋体" w:cs="宋体"/>
          <w:color w:val="auto"/>
        </w:rPr>
      </w:pPr>
    </w:p>
    <w:p w14:paraId="2C31FED4">
      <w:pPr>
        <w:pStyle w:val="12"/>
        <w:spacing w:line="3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服务</w:t>
      </w:r>
      <w:r>
        <w:rPr>
          <w:rFonts w:hint="eastAsia" w:ascii="宋体" w:hAnsi="宋体" w:eastAsia="宋体" w:cs="宋体"/>
          <w:b/>
          <w:color w:val="auto"/>
          <w:sz w:val="32"/>
          <w:szCs w:val="32"/>
        </w:rPr>
        <w:t>方案 （格式）</w:t>
      </w:r>
    </w:p>
    <w:p w14:paraId="5B73685D">
      <w:pPr>
        <w:rPr>
          <w:rFonts w:hint="eastAsia" w:ascii="宋体" w:hAnsi="宋体" w:eastAsia="宋体" w:cs="宋体"/>
          <w:b/>
          <w:color w:val="auto"/>
          <w:sz w:val="32"/>
          <w:szCs w:val="32"/>
        </w:rPr>
      </w:pPr>
    </w:p>
    <w:p w14:paraId="197C895D">
      <w:pPr>
        <w:pStyle w:val="10"/>
        <w:rPr>
          <w:rFonts w:hint="eastAsia" w:ascii="宋体" w:hAnsi="宋体" w:eastAsia="宋体" w:cs="宋体"/>
          <w:color w:val="auto"/>
        </w:rPr>
      </w:pPr>
    </w:p>
    <w:p w14:paraId="537E879F">
      <w:pPr>
        <w:widowControl/>
        <w:ind w:firstLine="3080" w:firstLineChars="1100"/>
        <w:jc w:val="left"/>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（根据采购需求自行编制）</w:t>
      </w:r>
    </w:p>
    <w:p w14:paraId="7807B58D">
      <w:pPr>
        <w:widowControl/>
        <w:ind w:firstLine="3080" w:firstLineChars="1100"/>
        <w:jc w:val="left"/>
        <w:rPr>
          <w:rFonts w:hint="eastAsia" w:ascii="宋体" w:hAnsi="宋体" w:eastAsia="宋体" w:cs="宋体"/>
          <w:b/>
          <w:color w:val="auto"/>
          <w:kern w:val="0"/>
          <w:sz w:val="28"/>
          <w:szCs w:val="28"/>
          <w:lang w:bidi="ar"/>
        </w:rPr>
      </w:pPr>
    </w:p>
    <w:p w14:paraId="4BFA4851">
      <w:pPr>
        <w:widowControl/>
        <w:ind w:firstLine="3080" w:firstLineChars="1100"/>
        <w:jc w:val="left"/>
        <w:rPr>
          <w:rFonts w:hint="eastAsia" w:ascii="宋体" w:hAnsi="宋体" w:eastAsia="宋体" w:cs="宋体"/>
          <w:b/>
          <w:color w:val="auto"/>
          <w:kern w:val="0"/>
          <w:sz w:val="28"/>
          <w:szCs w:val="28"/>
          <w:lang w:bidi="ar"/>
        </w:rPr>
      </w:pPr>
    </w:p>
    <w:p w14:paraId="12061104">
      <w:pPr>
        <w:widowControl/>
        <w:ind w:firstLine="3080" w:firstLineChars="1100"/>
        <w:jc w:val="left"/>
        <w:rPr>
          <w:rFonts w:hint="eastAsia" w:ascii="宋体" w:hAnsi="宋体" w:eastAsia="宋体" w:cs="宋体"/>
          <w:b/>
          <w:color w:val="auto"/>
          <w:kern w:val="0"/>
          <w:sz w:val="28"/>
          <w:szCs w:val="28"/>
          <w:lang w:bidi="ar"/>
        </w:rPr>
      </w:pPr>
    </w:p>
    <w:p w14:paraId="0E381B06">
      <w:pPr>
        <w:widowControl/>
        <w:ind w:firstLine="3080" w:firstLineChars="1100"/>
        <w:jc w:val="left"/>
        <w:rPr>
          <w:rFonts w:hint="eastAsia" w:ascii="宋体" w:hAnsi="宋体" w:eastAsia="宋体" w:cs="宋体"/>
          <w:b/>
          <w:color w:val="auto"/>
          <w:kern w:val="0"/>
          <w:sz w:val="28"/>
          <w:szCs w:val="28"/>
          <w:lang w:bidi="ar"/>
        </w:rPr>
      </w:pPr>
    </w:p>
    <w:p w14:paraId="2D25CFFB">
      <w:pPr>
        <w:widowControl/>
        <w:ind w:firstLine="3080" w:firstLineChars="1100"/>
        <w:jc w:val="left"/>
        <w:rPr>
          <w:rFonts w:hint="eastAsia" w:ascii="宋体" w:hAnsi="宋体" w:eastAsia="宋体" w:cs="宋体"/>
          <w:b/>
          <w:color w:val="auto"/>
          <w:kern w:val="0"/>
          <w:sz w:val="28"/>
          <w:szCs w:val="28"/>
          <w:lang w:bidi="ar"/>
        </w:rPr>
      </w:pPr>
    </w:p>
    <w:p w14:paraId="76FD19FD">
      <w:pPr>
        <w:widowControl/>
        <w:ind w:firstLine="3080" w:firstLineChars="1100"/>
        <w:jc w:val="left"/>
        <w:rPr>
          <w:rFonts w:hint="eastAsia" w:ascii="宋体" w:hAnsi="宋体" w:eastAsia="宋体" w:cs="宋体"/>
          <w:b/>
          <w:color w:val="auto"/>
          <w:kern w:val="0"/>
          <w:sz w:val="28"/>
          <w:szCs w:val="28"/>
          <w:lang w:bidi="ar"/>
        </w:rPr>
      </w:pPr>
    </w:p>
    <w:p w14:paraId="03F6394B">
      <w:pPr>
        <w:widowControl/>
        <w:ind w:firstLine="3080" w:firstLineChars="1100"/>
        <w:jc w:val="left"/>
        <w:rPr>
          <w:rFonts w:hint="eastAsia" w:ascii="宋体" w:hAnsi="宋体" w:eastAsia="宋体" w:cs="宋体"/>
          <w:b/>
          <w:color w:val="auto"/>
          <w:kern w:val="0"/>
          <w:sz w:val="28"/>
          <w:szCs w:val="28"/>
          <w:lang w:bidi="ar"/>
        </w:rPr>
      </w:pPr>
    </w:p>
    <w:p w14:paraId="135357EF">
      <w:pPr>
        <w:widowControl/>
        <w:ind w:firstLine="3080" w:firstLineChars="1100"/>
        <w:jc w:val="left"/>
        <w:rPr>
          <w:rFonts w:hint="eastAsia" w:ascii="宋体" w:hAnsi="宋体" w:eastAsia="宋体" w:cs="宋体"/>
          <w:b/>
          <w:color w:val="auto"/>
          <w:kern w:val="0"/>
          <w:sz w:val="28"/>
          <w:szCs w:val="28"/>
          <w:lang w:bidi="ar"/>
        </w:rPr>
      </w:pPr>
    </w:p>
    <w:p w14:paraId="705BE96A">
      <w:pPr>
        <w:widowControl/>
        <w:ind w:firstLine="3080" w:firstLineChars="1100"/>
        <w:jc w:val="left"/>
        <w:rPr>
          <w:rFonts w:hint="eastAsia" w:ascii="宋体" w:hAnsi="宋体" w:eastAsia="宋体" w:cs="宋体"/>
          <w:b/>
          <w:color w:val="auto"/>
          <w:kern w:val="0"/>
          <w:sz w:val="28"/>
          <w:szCs w:val="28"/>
          <w:lang w:bidi="ar"/>
        </w:rPr>
      </w:pPr>
    </w:p>
    <w:p w14:paraId="5D1C2B36">
      <w:pPr>
        <w:widowControl/>
        <w:ind w:firstLine="3080" w:firstLineChars="1100"/>
        <w:jc w:val="left"/>
        <w:rPr>
          <w:rFonts w:hint="eastAsia" w:ascii="宋体" w:hAnsi="宋体" w:eastAsia="宋体" w:cs="宋体"/>
          <w:b/>
          <w:color w:val="auto"/>
          <w:kern w:val="0"/>
          <w:sz w:val="28"/>
          <w:szCs w:val="28"/>
          <w:lang w:bidi="ar"/>
        </w:rPr>
      </w:pPr>
    </w:p>
    <w:p w14:paraId="2FBDDD94">
      <w:pPr>
        <w:widowControl/>
        <w:ind w:firstLine="3080" w:firstLineChars="1100"/>
        <w:jc w:val="left"/>
        <w:rPr>
          <w:rFonts w:hint="eastAsia" w:ascii="宋体" w:hAnsi="宋体" w:eastAsia="宋体" w:cs="宋体"/>
          <w:b/>
          <w:color w:val="auto"/>
          <w:kern w:val="0"/>
          <w:sz w:val="28"/>
          <w:szCs w:val="28"/>
          <w:lang w:bidi="ar"/>
        </w:rPr>
      </w:pPr>
    </w:p>
    <w:p w14:paraId="27E22C79">
      <w:pPr>
        <w:widowControl/>
        <w:ind w:firstLine="3080" w:firstLineChars="1100"/>
        <w:jc w:val="left"/>
        <w:rPr>
          <w:rFonts w:hint="eastAsia" w:ascii="宋体" w:hAnsi="宋体" w:eastAsia="宋体" w:cs="宋体"/>
          <w:b/>
          <w:color w:val="auto"/>
          <w:kern w:val="0"/>
          <w:sz w:val="28"/>
          <w:szCs w:val="28"/>
          <w:lang w:bidi="ar"/>
        </w:rPr>
      </w:pPr>
    </w:p>
    <w:p w14:paraId="544B5062">
      <w:pPr>
        <w:widowControl/>
        <w:ind w:firstLine="1470" w:firstLineChars="700"/>
        <w:jc w:val="left"/>
        <w:rPr>
          <w:rFonts w:hint="eastAsia" w:ascii="宋体" w:hAnsi="宋体" w:eastAsia="宋体" w:cs="宋体"/>
          <w:color w:val="auto"/>
          <w:szCs w:val="21"/>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262E78C5">
      <w:pPr>
        <w:pStyle w:val="12"/>
        <w:spacing w:line="300" w:lineRule="exact"/>
        <w:ind w:left="2940" w:leftChars="1400" w:firstLine="630" w:firstLineChars="300"/>
        <w:rPr>
          <w:rFonts w:hint="eastAsia" w:ascii="宋体" w:hAnsi="宋体" w:eastAsia="宋体" w:cs="宋体"/>
          <w:color w:val="auto"/>
        </w:rPr>
      </w:pPr>
    </w:p>
    <w:p w14:paraId="3B8D5296">
      <w:pPr>
        <w:pStyle w:val="12"/>
        <w:spacing w:line="300" w:lineRule="exact"/>
        <w:ind w:firstLine="4620" w:firstLineChars="165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727B423D">
      <w:pPr>
        <w:pStyle w:val="12"/>
        <w:spacing w:line="300" w:lineRule="exact"/>
        <w:rPr>
          <w:rFonts w:hint="eastAsia" w:ascii="宋体" w:hAnsi="宋体" w:eastAsia="宋体" w:cs="宋体"/>
          <w:b/>
          <w:color w:val="auto"/>
          <w:sz w:val="28"/>
          <w:szCs w:val="28"/>
        </w:rPr>
      </w:pPr>
    </w:p>
    <w:p w14:paraId="45BE5732">
      <w:pPr>
        <w:snapToGrid w:val="0"/>
        <w:spacing w:line="300" w:lineRule="exact"/>
        <w:ind w:firstLine="4830" w:firstLineChars="23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14:paraId="3B496218">
      <w:pPr>
        <w:snapToGrid w:val="0"/>
        <w:spacing w:line="300" w:lineRule="exact"/>
        <w:ind w:firstLine="3570" w:firstLineChars="1700"/>
        <w:rPr>
          <w:rFonts w:hint="eastAsia" w:ascii="宋体" w:hAnsi="宋体" w:eastAsia="宋体" w:cs="宋体"/>
          <w:color w:val="auto"/>
          <w:u w:val="single"/>
        </w:rPr>
      </w:pPr>
    </w:p>
    <w:p w14:paraId="36253F2A">
      <w:pPr>
        <w:pStyle w:val="10"/>
        <w:rPr>
          <w:rFonts w:hint="eastAsia" w:ascii="宋体" w:hAnsi="宋体" w:eastAsia="宋体" w:cs="宋体"/>
          <w:color w:val="auto"/>
          <w:u w:val="single"/>
        </w:rPr>
      </w:pPr>
    </w:p>
    <w:p w14:paraId="785029C2">
      <w:pPr>
        <w:pStyle w:val="10"/>
        <w:rPr>
          <w:rFonts w:hint="eastAsia" w:ascii="宋体" w:hAnsi="宋体" w:eastAsia="宋体" w:cs="宋体"/>
          <w:color w:val="auto"/>
          <w:u w:val="single"/>
        </w:rPr>
      </w:pPr>
    </w:p>
    <w:p w14:paraId="6F81B7E7">
      <w:pPr>
        <w:pStyle w:val="10"/>
        <w:rPr>
          <w:rFonts w:hint="eastAsia" w:ascii="宋体" w:hAnsi="宋体" w:eastAsia="宋体" w:cs="宋体"/>
          <w:b/>
          <w:bCs/>
          <w:color w:val="auto"/>
          <w:szCs w:val="21"/>
        </w:rPr>
      </w:pPr>
    </w:p>
    <w:p w14:paraId="38C7AD99">
      <w:pPr>
        <w:pStyle w:val="10"/>
        <w:rPr>
          <w:rFonts w:hint="eastAsia" w:ascii="宋体" w:hAnsi="宋体" w:eastAsia="宋体" w:cs="宋体"/>
          <w:b/>
          <w:bCs/>
          <w:color w:val="auto"/>
          <w:szCs w:val="21"/>
        </w:rPr>
      </w:pPr>
    </w:p>
    <w:p w14:paraId="56EF77E5"/>
    <w:p w14:paraId="24EE97DA">
      <w:pPr>
        <w:pStyle w:val="10"/>
        <w:rPr>
          <w:rFonts w:hint="eastAsia" w:ascii="宋体" w:hAnsi="宋体" w:eastAsia="宋体" w:cs="宋体"/>
          <w:b/>
          <w:bCs/>
          <w:color w:val="auto"/>
          <w:szCs w:val="21"/>
        </w:rPr>
      </w:pPr>
    </w:p>
    <w:p w14:paraId="023098B6">
      <w:pPr>
        <w:pStyle w:val="10"/>
        <w:rPr>
          <w:rFonts w:hint="eastAsia" w:ascii="宋体" w:hAnsi="宋体" w:eastAsia="宋体" w:cs="宋体"/>
          <w:b/>
          <w:bCs/>
          <w:color w:val="auto"/>
          <w:szCs w:val="21"/>
        </w:rPr>
      </w:pPr>
    </w:p>
    <w:p w14:paraId="5059BC40">
      <w:pPr>
        <w:numPr>
          <w:ilvl w:val="0"/>
          <w:numId w:val="7"/>
        </w:numPr>
        <w:spacing w:line="400" w:lineRule="exact"/>
        <w:ind w:firstLine="565" w:firstLineChars="202"/>
        <w:outlineLvl w:val="1"/>
        <w:rPr>
          <w:rFonts w:hint="eastAsia" w:ascii="宋体" w:hAnsi="宋体" w:eastAsia="宋体" w:cs="宋体"/>
          <w:b/>
          <w:bCs/>
          <w:color w:val="auto"/>
          <w:sz w:val="28"/>
          <w:szCs w:val="28"/>
        </w:rPr>
      </w:pPr>
      <w:bookmarkStart w:id="357" w:name="_Toc5397"/>
      <w:r>
        <w:rPr>
          <w:rFonts w:hint="eastAsia" w:ascii="宋体" w:hAnsi="宋体" w:eastAsia="宋体" w:cs="宋体"/>
          <w:b/>
          <w:bCs/>
          <w:color w:val="auto"/>
          <w:sz w:val="28"/>
          <w:szCs w:val="28"/>
        </w:rPr>
        <w:t>其</w:t>
      </w:r>
      <w:r>
        <w:rPr>
          <w:rFonts w:hint="eastAsia" w:ascii="宋体" w:hAnsi="宋体" w:eastAsia="宋体" w:cs="宋体"/>
          <w:b/>
          <w:bCs/>
          <w:color w:val="auto"/>
          <w:sz w:val="28"/>
          <w:szCs w:val="28"/>
          <w:lang w:eastAsia="zh-CN"/>
        </w:rPr>
        <w:t>他</w:t>
      </w:r>
      <w:r>
        <w:rPr>
          <w:rFonts w:hint="eastAsia" w:ascii="宋体" w:hAnsi="宋体" w:eastAsia="宋体" w:cs="宋体"/>
          <w:b/>
          <w:bCs/>
          <w:color w:val="auto"/>
          <w:sz w:val="28"/>
          <w:szCs w:val="28"/>
        </w:rPr>
        <w:t>有效证明材料</w:t>
      </w:r>
      <w:bookmarkEnd w:id="357"/>
    </w:p>
    <w:p w14:paraId="44D4E643">
      <w:pPr>
        <w:pStyle w:val="10"/>
        <w:rPr>
          <w:rFonts w:hint="eastAsia" w:ascii="宋体" w:hAnsi="宋体" w:eastAsia="宋体" w:cs="宋体"/>
          <w:b/>
          <w:bCs/>
          <w:color w:val="auto"/>
          <w:szCs w:val="21"/>
        </w:rPr>
      </w:pPr>
    </w:p>
    <w:p w14:paraId="62E2292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rPr>
      </w:pPr>
      <w:bookmarkStart w:id="358" w:name="_Toc9339"/>
      <w:bookmarkStart w:id="359" w:name="_Toc28672"/>
      <w:bookmarkStart w:id="360" w:name="_Toc497927084"/>
    </w:p>
    <w:p w14:paraId="5DAE4D6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20" w:firstLineChars="1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 w:val="32"/>
          <w:szCs w:val="32"/>
        </w:rPr>
        <w:t>其</w:t>
      </w:r>
      <w:r>
        <w:rPr>
          <w:rFonts w:hint="eastAsia" w:ascii="宋体" w:hAnsi="宋体" w:eastAsia="宋体" w:cs="宋体"/>
          <w:b/>
          <w:bCs/>
          <w:color w:val="auto"/>
          <w:sz w:val="32"/>
          <w:szCs w:val="32"/>
          <w:lang w:eastAsia="zh-CN"/>
        </w:rPr>
        <w:t>他</w:t>
      </w:r>
      <w:r>
        <w:rPr>
          <w:rFonts w:hint="eastAsia" w:ascii="宋体" w:hAnsi="宋体" w:eastAsia="宋体" w:cs="宋体"/>
          <w:b/>
          <w:bCs/>
          <w:color w:val="auto"/>
          <w:sz w:val="32"/>
          <w:szCs w:val="32"/>
        </w:rPr>
        <w:t>有</w:t>
      </w:r>
      <w:r>
        <w:rPr>
          <w:rFonts w:hint="eastAsia" w:ascii="宋体" w:hAnsi="宋体" w:eastAsia="宋体" w:cs="宋体"/>
          <w:b/>
          <w:bCs/>
          <w:color w:val="auto"/>
          <w:sz w:val="32"/>
          <w:szCs w:val="32"/>
          <w:highlight w:val="none"/>
        </w:rPr>
        <w:t>效证明材料目录</w:t>
      </w:r>
      <w:bookmarkEnd w:id="358"/>
      <w:bookmarkEnd w:id="359"/>
      <w:bookmarkEnd w:id="360"/>
      <w:r>
        <w:rPr>
          <w:rFonts w:hint="eastAsia" w:ascii="宋体" w:hAnsi="宋体" w:cs="宋体"/>
          <w:b/>
          <w:bCs/>
          <w:color w:val="auto"/>
          <w:sz w:val="32"/>
          <w:szCs w:val="32"/>
          <w:highlight w:val="none"/>
          <w:lang w:eastAsia="zh-CN"/>
        </w:rPr>
        <w:t>：</w:t>
      </w:r>
    </w:p>
    <w:p w14:paraId="6E1014E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如有，请提供</w:t>
      </w:r>
      <w:r>
        <w:rPr>
          <w:rFonts w:hint="eastAsia" w:ascii="宋体" w:hAnsi="宋体" w:cs="宋体"/>
          <w:b/>
          <w:bCs/>
          <w:color w:val="auto"/>
          <w:sz w:val="24"/>
          <w:highlight w:val="none"/>
          <w:lang w:val="en-US" w:eastAsia="zh-CN"/>
        </w:rPr>
        <w:t>）；</w:t>
      </w:r>
    </w:p>
    <w:p w14:paraId="29346BD9">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14:paraId="084B4F49">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1月1日</w:t>
      </w:r>
      <w:r>
        <w:rPr>
          <w:rFonts w:hint="eastAsia" w:ascii="宋体" w:hAnsi="宋体" w:eastAsia="宋体" w:cs="宋体"/>
          <w:color w:val="auto"/>
          <w:sz w:val="24"/>
          <w:highlight w:val="none"/>
        </w:rPr>
        <w:t>以来具有同类</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业绩相关证明材料（无不良记录，以</w:t>
      </w:r>
      <w:r>
        <w:rPr>
          <w:rFonts w:hint="eastAsia" w:ascii="宋体" w:hAnsi="宋体" w:cs="宋体"/>
          <w:color w:val="auto"/>
          <w:sz w:val="24"/>
          <w:highlight w:val="none"/>
          <w:lang w:eastAsia="zh-CN"/>
        </w:rPr>
        <w:t>中标</w:t>
      </w:r>
      <w:r>
        <w:rPr>
          <w:rFonts w:hint="eastAsia" w:ascii="宋体" w:hAnsi="宋体" w:eastAsia="宋体" w:cs="宋体"/>
          <w:color w:val="auto"/>
          <w:sz w:val="24"/>
          <w:highlight w:val="none"/>
        </w:rPr>
        <w:t>、成交通知书或签订的合同为准，并能清晰反映</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的名称、</w:t>
      </w:r>
      <w:r>
        <w:rPr>
          <w:rFonts w:hint="eastAsia" w:ascii="宋体" w:hAnsi="宋体" w:eastAsia="宋体" w:cs="宋体"/>
          <w:color w:val="auto"/>
          <w:sz w:val="24"/>
          <w:highlight w:val="none"/>
          <w:lang w:eastAsia="zh-CN"/>
        </w:rPr>
        <w:t>采购内容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金额</w:t>
      </w:r>
      <w:r>
        <w:rPr>
          <w:rFonts w:hint="eastAsia" w:ascii="宋体" w:hAnsi="宋体" w:eastAsia="宋体" w:cs="宋体"/>
          <w:color w:val="auto"/>
          <w:sz w:val="24"/>
          <w:highlight w:val="none"/>
          <w:lang w:eastAsia="zh-CN"/>
        </w:rPr>
        <w:t>、采购时间</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（如有，请提供）；</w:t>
      </w:r>
    </w:p>
    <w:p w14:paraId="7D72895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.《中小企业声明函》（见附件）</w:t>
      </w:r>
      <w:r>
        <w:rPr>
          <w:rFonts w:hint="eastAsia" w:ascii="宋体" w:hAnsi="宋体" w:eastAsia="宋体" w:cs="宋体"/>
          <w:b/>
          <w:bCs/>
          <w:color w:val="auto"/>
          <w:sz w:val="24"/>
          <w:highlight w:val="none"/>
        </w:rPr>
        <w:t>（如有，请提供）；</w:t>
      </w:r>
    </w:p>
    <w:p w14:paraId="1EEF31ED">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.如提供服务的供应商属于监狱企业的，应当提供由省级以上监狱管理局、</w:t>
      </w:r>
      <w:r>
        <w:rPr>
          <w:rFonts w:hint="eastAsia" w:ascii="宋体" w:hAnsi="宋体" w:eastAsia="宋体" w:cs="宋体"/>
          <w:color w:val="auto"/>
          <w:sz w:val="24"/>
          <w:lang w:val="en-US" w:eastAsia="zh-CN"/>
        </w:rPr>
        <w:t>戒毒管理局等（含新疆生产建设兵团）出具的属于监狱企业的证明文件</w:t>
      </w:r>
      <w:r>
        <w:rPr>
          <w:rFonts w:hint="eastAsia" w:ascii="宋体" w:hAnsi="宋体" w:eastAsia="宋体" w:cs="宋体"/>
          <w:b/>
          <w:bCs/>
          <w:color w:val="auto"/>
          <w:sz w:val="24"/>
        </w:rPr>
        <w:t>（如有，请提供）</w:t>
      </w:r>
      <w:r>
        <w:rPr>
          <w:rFonts w:hint="eastAsia" w:ascii="宋体" w:hAnsi="宋体" w:eastAsia="宋体" w:cs="宋体"/>
          <w:color w:val="auto"/>
          <w:sz w:val="24"/>
          <w:lang w:val="en-US" w:eastAsia="zh-CN"/>
        </w:rPr>
        <w:t>；</w:t>
      </w:r>
    </w:p>
    <w:p w14:paraId="0667FD13">
      <w:pPr>
        <w:spacing w:line="360" w:lineRule="auto"/>
        <w:ind w:firstLine="480" w:firstLineChars="200"/>
        <w:rPr>
          <w:rFonts w:hint="eastAsia" w:ascii="宋体" w:hAnsi="宋体" w:eastAsia="宋体" w:cs="宋体"/>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.符合条件的残疾人福利性单位在参加政府采购活动时，应当提供《残疾人福利性单位声明函》（见附件），并对声明的真实性负责；</w:t>
      </w:r>
      <w:r>
        <w:rPr>
          <w:rFonts w:hint="eastAsia" w:ascii="宋体" w:hAnsi="宋体" w:eastAsia="宋体" w:cs="宋体"/>
          <w:b/>
          <w:bCs/>
          <w:color w:val="auto"/>
          <w:sz w:val="24"/>
        </w:rPr>
        <w:t>（如有，请提供）</w:t>
      </w:r>
      <w:r>
        <w:rPr>
          <w:rFonts w:hint="eastAsia" w:ascii="宋体" w:hAnsi="宋体" w:eastAsia="宋体" w:cs="宋体"/>
          <w:color w:val="auto"/>
          <w:sz w:val="24"/>
          <w:lang w:val="en-US" w:eastAsia="zh-CN"/>
        </w:rPr>
        <w:t>；</w:t>
      </w:r>
    </w:p>
    <w:p w14:paraId="3F7F036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7.供应商</w:t>
      </w:r>
      <w:r>
        <w:rPr>
          <w:rFonts w:hint="eastAsia" w:ascii="宋体" w:hAnsi="宋体" w:eastAsia="宋体" w:cs="宋体"/>
          <w:color w:val="auto"/>
          <w:sz w:val="24"/>
          <w:highlight w:val="none"/>
          <w:lang w:val="en-US" w:eastAsia="zh-CN"/>
        </w:rPr>
        <w:t>可结合本项目的评审办法视自身情况自行提交其它相关证明材料。</w:t>
      </w:r>
    </w:p>
    <w:p w14:paraId="5FAB2C12">
      <w:pPr>
        <w:spacing w:line="360" w:lineRule="auto"/>
        <w:ind w:firstLine="480" w:firstLineChars="200"/>
        <w:rPr>
          <w:rFonts w:hint="eastAsia" w:ascii="宋体" w:hAnsi="宋体" w:eastAsia="宋体" w:cs="宋体"/>
          <w:color w:val="auto"/>
          <w:sz w:val="24"/>
          <w:highlight w:val="none"/>
        </w:rPr>
      </w:pPr>
    </w:p>
    <w:p w14:paraId="2D524EA6">
      <w:pPr>
        <w:pStyle w:val="10"/>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w:t>
      </w:r>
      <w:r>
        <w:rPr>
          <w:rFonts w:hint="eastAsia" w:ascii="宋体" w:hAnsi="宋体" w:cs="宋体"/>
          <w:b/>
          <w:bCs/>
          <w:color w:val="auto"/>
          <w:sz w:val="32"/>
          <w:szCs w:val="32"/>
          <w:highlight w:val="none"/>
          <w:lang w:val="en-US" w:eastAsia="zh-CN"/>
        </w:rPr>
        <w:t>要求及格式：</w:t>
      </w:r>
    </w:p>
    <w:p w14:paraId="282EBD7C">
      <w:pPr>
        <w:pStyle w:val="12"/>
        <w:numPr>
          <w:ilvl w:val="0"/>
          <w:numId w:val="9"/>
        </w:numPr>
        <w:rPr>
          <w:rFonts w:hint="eastAsia" w:hAnsi="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项目实施人员一览表 （如有，请提供</w:t>
      </w:r>
      <w:r>
        <w:rPr>
          <w:rFonts w:hint="eastAsia" w:hAnsi="宋体" w:cs="宋体"/>
          <w:b/>
          <w:color w:val="auto"/>
          <w:kern w:val="2"/>
          <w:sz w:val="28"/>
          <w:szCs w:val="28"/>
          <w:highlight w:val="none"/>
          <w:lang w:val="en-US" w:eastAsia="zh-CN" w:bidi="ar-SA"/>
        </w:rPr>
        <w:t>）</w:t>
      </w:r>
    </w:p>
    <w:p w14:paraId="3AA43F3B">
      <w:pPr>
        <w:pStyle w:val="12"/>
        <w:numPr>
          <w:ilvl w:val="0"/>
          <w:numId w:val="0"/>
        </w:numPr>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14:paraId="0D6F8920">
      <w:pPr>
        <w:pStyle w:val="12"/>
        <w:ind w:firstLine="470" w:firstLineChars="147"/>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项目实施人员一览表（格式）</w:t>
      </w:r>
    </w:p>
    <w:tbl>
      <w:tblPr>
        <w:tblStyle w:val="2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4887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27D1E72B">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050" w:type="dxa"/>
            <w:noWrap w:val="0"/>
            <w:vAlign w:val="center"/>
          </w:tcPr>
          <w:p w14:paraId="2644455F">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665" w:type="dxa"/>
            <w:noWrap w:val="0"/>
            <w:vAlign w:val="center"/>
          </w:tcPr>
          <w:p w14:paraId="0FA1167B">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专业技术资格</w:t>
            </w:r>
          </w:p>
        </w:tc>
        <w:tc>
          <w:tcPr>
            <w:tcW w:w="1200" w:type="dxa"/>
            <w:noWrap w:val="0"/>
            <w:vAlign w:val="center"/>
          </w:tcPr>
          <w:p w14:paraId="09DD3742">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证书编号</w:t>
            </w:r>
          </w:p>
        </w:tc>
        <w:tc>
          <w:tcPr>
            <w:tcW w:w="2550" w:type="dxa"/>
            <w:noWrap w:val="0"/>
            <w:vAlign w:val="center"/>
          </w:tcPr>
          <w:p w14:paraId="4CCC90D7">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参加本单位工作时间</w:t>
            </w:r>
          </w:p>
        </w:tc>
        <w:tc>
          <w:tcPr>
            <w:tcW w:w="2610" w:type="dxa"/>
            <w:noWrap w:val="0"/>
            <w:vAlign w:val="center"/>
          </w:tcPr>
          <w:p w14:paraId="36F0AB33">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劳动合同编号</w:t>
            </w:r>
          </w:p>
        </w:tc>
      </w:tr>
      <w:tr w14:paraId="4296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6B62B976">
            <w:pPr>
              <w:spacing w:line="400" w:lineRule="exact"/>
              <w:rPr>
                <w:rFonts w:hint="eastAsia" w:ascii="宋体" w:hAnsi="宋体" w:eastAsia="宋体" w:cs="宋体"/>
                <w:color w:val="auto"/>
                <w:szCs w:val="21"/>
              </w:rPr>
            </w:pPr>
          </w:p>
        </w:tc>
        <w:tc>
          <w:tcPr>
            <w:tcW w:w="1050" w:type="dxa"/>
            <w:noWrap w:val="0"/>
            <w:vAlign w:val="top"/>
          </w:tcPr>
          <w:p w14:paraId="6599BB77">
            <w:pPr>
              <w:spacing w:line="400" w:lineRule="exact"/>
              <w:rPr>
                <w:rFonts w:hint="eastAsia" w:ascii="宋体" w:hAnsi="宋体" w:eastAsia="宋体" w:cs="宋体"/>
                <w:color w:val="auto"/>
                <w:szCs w:val="21"/>
              </w:rPr>
            </w:pPr>
          </w:p>
        </w:tc>
        <w:tc>
          <w:tcPr>
            <w:tcW w:w="1665" w:type="dxa"/>
            <w:noWrap w:val="0"/>
            <w:vAlign w:val="top"/>
          </w:tcPr>
          <w:p w14:paraId="777C3F6E">
            <w:pPr>
              <w:spacing w:line="400" w:lineRule="exact"/>
              <w:rPr>
                <w:rFonts w:hint="eastAsia" w:ascii="宋体" w:hAnsi="宋体" w:eastAsia="宋体" w:cs="宋体"/>
                <w:color w:val="auto"/>
                <w:szCs w:val="21"/>
              </w:rPr>
            </w:pPr>
          </w:p>
        </w:tc>
        <w:tc>
          <w:tcPr>
            <w:tcW w:w="1200" w:type="dxa"/>
            <w:noWrap w:val="0"/>
            <w:vAlign w:val="top"/>
          </w:tcPr>
          <w:p w14:paraId="179A1B9B">
            <w:pPr>
              <w:spacing w:line="400" w:lineRule="exact"/>
              <w:rPr>
                <w:rFonts w:hint="eastAsia" w:ascii="宋体" w:hAnsi="宋体" w:eastAsia="宋体" w:cs="宋体"/>
                <w:color w:val="auto"/>
                <w:szCs w:val="21"/>
              </w:rPr>
            </w:pPr>
          </w:p>
        </w:tc>
        <w:tc>
          <w:tcPr>
            <w:tcW w:w="2550" w:type="dxa"/>
            <w:noWrap w:val="0"/>
            <w:vAlign w:val="top"/>
          </w:tcPr>
          <w:p w14:paraId="395E2482">
            <w:pPr>
              <w:spacing w:line="400" w:lineRule="exact"/>
              <w:rPr>
                <w:rFonts w:hint="eastAsia" w:ascii="宋体" w:hAnsi="宋体" w:eastAsia="宋体" w:cs="宋体"/>
                <w:color w:val="auto"/>
                <w:szCs w:val="21"/>
              </w:rPr>
            </w:pPr>
          </w:p>
        </w:tc>
        <w:tc>
          <w:tcPr>
            <w:tcW w:w="2610" w:type="dxa"/>
            <w:noWrap w:val="0"/>
            <w:vAlign w:val="top"/>
          </w:tcPr>
          <w:p w14:paraId="0EE9DE86">
            <w:pPr>
              <w:spacing w:line="400" w:lineRule="exact"/>
              <w:rPr>
                <w:rFonts w:hint="eastAsia" w:ascii="宋体" w:hAnsi="宋体" w:eastAsia="宋体" w:cs="宋体"/>
                <w:color w:val="auto"/>
                <w:szCs w:val="21"/>
              </w:rPr>
            </w:pPr>
          </w:p>
        </w:tc>
      </w:tr>
      <w:tr w14:paraId="2014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553A3642">
            <w:pPr>
              <w:spacing w:line="400" w:lineRule="exact"/>
              <w:rPr>
                <w:rFonts w:hint="eastAsia" w:ascii="宋体" w:hAnsi="宋体" w:eastAsia="宋体" w:cs="宋体"/>
                <w:color w:val="auto"/>
                <w:szCs w:val="21"/>
              </w:rPr>
            </w:pPr>
          </w:p>
        </w:tc>
        <w:tc>
          <w:tcPr>
            <w:tcW w:w="1050" w:type="dxa"/>
            <w:noWrap w:val="0"/>
            <w:vAlign w:val="top"/>
          </w:tcPr>
          <w:p w14:paraId="73F317B3">
            <w:pPr>
              <w:spacing w:line="400" w:lineRule="exact"/>
              <w:rPr>
                <w:rFonts w:hint="eastAsia" w:ascii="宋体" w:hAnsi="宋体" w:eastAsia="宋体" w:cs="宋体"/>
                <w:color w:val="auto"/>
                <w:szCs w:val="21"/>
              </w:rPr>
            </w:pPr>
          </w:p>
        </w:tc>
        <w:tc>
          <w:tcPr>
            <w:tcW w:w="1665" w:type="dxa"/>
            <w:noWrap w:val="0"/>
            <w:vAlign w:val="top"/>
          </w:tcPr>
          <w:p w14:paraId="6F2DF451">
            <w:pPr>
              <w:spacing w:line="400" w:lineRule="exact"/>
              <w:rPr>
                <w:rFonts w:hint="eastAsia" w:ascii="宋体" w:hAnsi="宋体" w:eastAsia="宋体" w:cs="宋体"/>
                <w:color w:val="auto"/>
                <w:szCs w:val="21"/>
              </w:rPr>
            </w:pPr>
          </w:p>
        </w:tc>
        <w:tc>
          <w:tcPr>
            <w:tcW w:w="1200" w:type="dxa"/>
            <w:noWrap w:val="0"/>
            <w:vAlign w:val="top"/>
          </w:tcPr>
          <w:p w14:paraId="6AA4DA35">
            <w:pPr>
              <w:spacing w:line="400" w:lineRule="exact"/>
              <w:rPr>
                <w:rFonts w:hint="eastAsia" w:ascii="宋体" w:hAnsi="宋体" w:eastAsia="宋体" w:cs="宋体"/>
                <w:color w:val="auto"/>
                <w:szCs w:val="21"/>
              </w:rPr>
            </w:pPr>
          </w:p>
        </w:tc>
        <w:tc>
          <w:tcPr>
            <w:tcW w:w="2550" w:type="dxa"/>
            <w:noWrap w:val="0"/>
            <w:vAlign w:val="top"/>
          </w:tcPr>
          <w:p w14:paraId="0230BCB5">
            <w:pPr>
              <w:spacing w:line="400" w:lineRule="exact"/>
              <w:rPr>
                <w:rFonts w:hint="eastAsia" w:ascii="宋体" w:hAnsi="宋体" w:eastAsia="宋体" w:cs="宋体"/>
                <w:color w:val="auto"/>
                <w:szCs w:val="21"/>
              </w:rPr>
            </w:pPr>
          </w:p>
        </w:tc>
        <w:tc>
          <w:tcPr>
            <w:tcW w:w="2610" w:type="dxa"/>
            <w:noWrap w:val="0"/>
            <w:vAlign w:val="top"/>
          </w:tcPr>
          <w:p w14:paraId="51D2CA3E">
            <w:pPr>
              <w:spacing w:line="400" w:lineRule="exact"/>
              <w:rPr>
                <w:rFonts w:hint="eastAsia" w:ascii="宋体" w:hAnsi="宋体" w:eastAsia="宋体" w:cs="宋体"/>
                <w:color w:val="auto"/>
                <w:szCs w:val="21"/>
              </w:rPr>
            </w:pPr>
          </w:p>
        </w:tc>
      </w:tr>
    </w:tbl>
    <w:p w14:paraId="0A52928B">
      <w:pPr>
        <w:spacing w:line="400" w:lineRule="exact"/>
        <w:rPr>
          <w:rFonts w:hint="eastAsia" w:ascii="宋体" w:hAnsi="宋体" w:eastAsia="宋体" w:cs="宋体"/>
          <w:color w:val="auto"/>
          <w:szCs w:val="21"/>
        </w:rPr>
      </w:pPr>
    </w:p>
    <w:p w14:paraId="2A7E9F8C">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174E8032">
      <w:pPr>
        <w:spacing w:line="360" w:lineRule="auto"/>
        <w:rPr>
          <w:rFonts w:hint="eastAsia" w:ascii="宋体" w:hAnsi="宋体" w:eastAsia="宋体" w:cs="宋体"/>
        </w:rPr>
      </w:pPr>
    </w:p>
    <w:p w14:paraId="2ED22906">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14:paraId="2ACE7AB8">
      <w:pPr>
        <w:pStyle w:val="10"/>
        <w:rPr>
          <w:rFonts w:hint="eastAsia" w:ascii="宋体" w:hAnsi="宋体" w:eastAsia="宋体" w:cs="宋体"/>
          <w:color w:val="auto"/>
        </w:rPr>
      </w:pPr>
    </w:p>
    <w:p w14:paraId="2B4B19CE">
      <w:pPr>
        <w:spacing w:line="360" w:lineRule="auto"/>
        <w:rPr>
          <w:rFonts w:hint="eastAsia" w:ascii="宋体" w:hAnsi="宋体" w:eastAsia="宋体" w:cs="宋体"/>
          <w:color w:val="auto"/>
          <w:u w:val="single"/>
        </w:rPr>
      </w:pPr>
      <w:r>
        <w:rPr>
          <w:rFonts w:hint="eastAsia" w:ascii="宋体" w:hAnsi="宋体" w:eastAsia="宋体" w:cs="宋体"/>
          <w:b/>
          <w:bCs/>
          <w:color w:val="auto"/>
          <w:sz w:val="24"/>
        </w:rPr>
        <w:t>注：供应商根据自身情况结合本项目自行制定</w:t>
      </w:r>
    </w:p>
    <w:p w14:paraId="3CE63FEE">
      <w:pPr>
        <w:pStyle w:val="12"/>
        <w:spacing w:line="340" w:lineRule="exact"/>
        <w:rPr>
          <w:rFonts w:hint="eastAsia" w:ascii="宋体" w:hAnsi="宋体" w:eastAsia="宋体" w:cs="宋体"/>
          <w:b/>
          <w:bCs w:val="0"/>
          <w:color w:val="auto"/>
          <w:sz w:val="28"/>
          <w:szCs w:val="28"/>
        </w:rPr>
      </w:pPr>
    </w:p>
    <w:p w14:paraId="6BA371EB">
      <w:pPr>
        <w:pStyle w:val="6"/>
        <w:rPr>
          <w:rFonts w:hint="eastAsia"/>
        </w:rPr>
      </w:pPr>
    </w:p>
    <w:p w14:paraId="746055C2">
      <w:pPr>
        <w:pStyle w:val="12"/>
        <w:numPr>
          <w:ilvl w:val="0"/>
          <w:numId w:val="0"/>
        </w:numPr>
        <w:spacing w:line="340" w:lineRule="exact"/>
        <w:ind w:left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2.</w:t>
      </w:r>
      <w:r>
        <w:rPr>
          <w:rFonts w:hint="eastAsia" w:ascii="宋体" w:hAnsi="宋体" w:eastAsia="宋体" w:cs="宋体"/>
          <w:b/>
          <w:bCs w:val="0"/>
          <w:color w:val="auto"/>
          <w:sz w:val="28"/>
          <w:szCs w:val="28"/>
        </w:rPr>
        <w:t>“采购需求”需提供的有效证明文件（如有，请提供）；</w:t>
      </w:r>
    </w:p>
    <w:p w14:paraId="4F2C53F7">
      <w:pPr>
        <w:pStyle w:val="10"/>
        <w:rPr>
          <w:rFonts w:hint="eastAsia" w:ascii="宋体" w:hAnsi="宋体" w:eastAsia="宋体" w:cs="宋体"/>
          <w:b/>
          <w:bCs w:val="0"/>
          <w:color w:val="auto"/>
        </w:rPr>
      </w:pPr>
    </w:p>
    <w:p w14:paraId="11B52F07">
      <w:pPr>
        <w:pStyle w:val="12"/>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361" w:name="_Toc497927090"/>
      <w:bookmarkStart w:id="362" w:name="_Toc3052"/>
      <w:bookmarkStart w:id="363" w:name="_Toc10161"/>
    </w:p>
    <w:p w14:paraId="3086F95F">
      <w:pPr>
        <w:pStyle w:val="12"/>
        <w:numPr>
          <w:ilvl w:val="0"/>
          <w:numId w:val="0"/>
        </w:numPr>
        <w:spacing w:line="340" w:lineRule="exact"/>
        <w:ind w:left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rPr>
        <w:t>供应商</w:t>
      </w:r>
      <w:r>
        <w:rPr>
          <w:rFonts w:hint="eastAsia" w:hAnsi="宋体" w:cs="宋体"/>
          <w:b/>
          <w:bCs w:val="0"/>
          <w:color w:val="auto"/>
          <w:sz w:val="28"/>
          <w:szCs w:val="28"/>
          <w:highlight w:val="none"/>
          <w:lang w:eastAsia="zh-CN"/>
        </w:rPr>
        <w:t>202</w:t>
      </w:r>
      <w:r>
        <w:rPr>
          <w:rFonts w:hint="eastAsia" w:hAnsi="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年</w:t>
      </w:r>
      <w:r>
        <w:rPr>
          <w:rFonts w:hint="eastAsia" w:hAnsi="宋体" w:cs="宋体"/>
          <w:b/>
          <w:bCs w:val="0"/>
          <w:color w:val="auto"/>
          <w:sz w:val="28"/>
          <w:szCs w:val="28"/>
          <w:highlight w:val="none"/>
          <w:lang w:val="en-US" w:eastAsia="zh-CN"/>
        </w:rPr>
        <w:t>1月1日</w:t>
      </w:r>
      <w:r>
        <w:rPr>
          <w:rFonts w:hint="eastAsia" w:ascii="宋体" w:hAnsi="宋体" w:eastAsia="宋体" w:cs="宋体"/>
          <w:b/>
          <w:bCs w:val="0"/>
          <w:color w:val="auto"/>
          <w:sz w:val="28"/>
          <w:szCs w:val="28"/>
          <w:highlight w:val="none"/>
        </w:rPr>
        <w:t>以来</w:t>
      </w:r>
      <w:r>
        <w:rPr>
          <w:rFonts w:hint="eastAsia" w:ascii="宋体" w:hAnsi="宋体" w:eastAsia="宋体" w:cs="宋体"/>
          <w:b/>
          <w:bCs w:val="0"/>
          <w:color w:val="auto"/>
          <w:sz w:val="28"/>
          <w:szCs w:val="28"/>
        </w:rPr>
        <w:t>具有同类</w:t>
      </w:r>
      <w:r>
        <w:rPr>
          <w:rFonts w:hint="eastAsia" w:hAnsi="宋体" w:cs="宋体"/>
          <w:b/>
          <w:bCs w:val="0"/>
          <w:color w:val="auto"/>
          <w:sz w:val="28"/>
          <w:szCs w:val="28"/>
          <w:lang w:eastAsia="zh-CN"/>
        </w:rPr>
        <w:t>项目</w:t>
      </w:r>
      <w:r>
        <w:rPr>
          <w:rFonts w:hint="eastAsia" w:ascii="宋体" w:hAnsi="宋体" w:eastAsia="宋体" w:cs="宋体"/>
          <w:b/>
          <w:bCs w:val="0"/>
          <w:color w:val="auto"/>
          <w:sz w:val="28"/>
          <w:szCs w:val="28"/>
        </w:rPr>
        <w:t>业绩相关证明材料（无不良记录，以</w:t>
      </w:r>
      <w:r>
        <w:rPr>
          <w:rFonts w:hint="eastAsia" w:hAnsi="宋体" w:cs="宋体"/>
          <w:b/>
          <w:bCs w:val="0"/>
          <w:color w:val="auto"/>
          <w:sz w:val="28"/>
          <w:szCs w:val="28"/>
          <w:lang w:eastAsia="zh-CN"/>
        </w:rPr>
        <w:t>中标</w:t>
      </w:r>
      <w:r>
        <w:rPr>
          <w:rFonts w:hint="eastAsia" w:ascii="宋体" w:hAnsi="宋体" w:eastAsia="宋体" w:cs="宋体"/>
          <w:b/>
          <w:bCs w:val="0"/>
          <w:color w:val="auto"/>
          <w:sz w:val="28"/>
          <w:szCs w:val="28"/>
        </w:rPr>
        <w:t>、成交通知书或签订的合同为准，并能清晰反映</w:t>
      </w:r>
      <w:r>
        <w:rPr>
          <w:rFonts w:hint="eastAsia" w:ascii="宋体" w:hAnsi="宋体" w:eastAsia="宋体" w:cs="宋体"/>
          <w:b/>
          <w:bCs w:val="0"/>
          <w:color w:val="auto"/>
          <w:sz w:val="28"/>
          <w:szCs w:val="28"/>
          <w:lang w:eastAsia="zh-CN"/>
        </w:rPr>
        <w:t>项目</w:t>
      </w:r>
      <w:r>
        <w:rPr>
          <w:rFonts w:hint="eastAsia" w:ascii="宋体" w:hAnsi="宋体" w:eastAsia="宋体" w:cs="宋体"/>
          <w:b/>
          <w:bCs w:val="0"/>
          <w:color w:val="auto"/>
          <w:sz w:val="28"/>
          <w:szCs w:val="28"/>
        </w:rPr>
        <w:t>的名称、</w:t>
      </w:r>
      <w:r>
        <w:rPr>
          <w:rFonts w:hint="eastAsia" w:ascii="宋体" w:hAnsi="宋体" w:eastAsia="宋体" w:cs="宋体"/>
          <w:b/>
          <w:bCs w:val="0"/>
          <w:color w:val="auto"/>
          <w:sz w:val="28"/>
          <w:szCs w:val="28"/>
          <w:lang w:eastAsia="zh-CN"/>
        </w:rPr>
        <w:t>采购内容</w:t>
      </w:r>
      <w:r>
        <w:rPr>
          <w:rFonts w:hint="eastAsia" w:ascii="宋体" w:hAnsi="宋体" w:eastAsia="宋体" w:cs="宋体"/>
          <w:b/>
          <w:bCs w:val="0"/>
          <w:color w:val="auto"/>
          <w:sz w:val="28"/>
          <w:szCs w:val="28"/>
        </w:rPr>
        <w:t>、</w:t>
      </w:r>
      <w:r>
        <w:rPr>
          <w:rFonts w:hint="eastAsia" w:ascii="宋体" w:hAnsi="宋体" w:eastAsia="宋体" w:cs="宋体"/>
          <w:b/>
          <w:bCs w:val="0"/>
          <w:color w:val="auto"/>
          <w:sz w:val="28"/>
          <w:szCs w:val="28"/>
          <w:lang w:eastAsia="zh-CN"/>
        </w:rPr>
        <w:t>采购</w:t>
      </w:r>
      <w:r>
        <w:rPr>
          <w:rFonts w:hint="eastAsia" w:ascii="宋体" w:hAnsi="宋体" w:eastAsia="宋体" w:cs="宋体"/>
          <w:b/>
          <w:bCs w:val="0"/>
          <w:color w:val="auto"/>
          <w:sz w:val="28"/>
          <w:szCs w:val="28"/>
        </w:rPr>
        <w:t>金额</w:t>
      </w:r>
      <w:r>
        <w:rPr>
          <w:rFonts w:hint="eastAsia" w:ascii="宋体" w:hAnsi="宋体" w:eastAsia="宋体" w:cs="宋体"/>
          <w:b/>
          <w:bCs w:val="0"/>
          <w:color w:val="auto"/>
          <w:sz w:val="28"/>
          <w:szCs w:val="28"/>
          <w:lang w:eastAsia="zh-CN"/>
        </w:rPr>
        <w:t>、采购时间</w:t>
      </w:r>
      <w:r>
        <w:rPr>
          <w:rFonts w:hint="eastAsia" w:ascii="宋体" w:hAnsi="宋体" w:eastAsia="宋体" w:cs="宋体"/>
          <w:b/>
          <w:bCs w:val="0"/>
          <w:color w:val="auto"/>
          <w:sz w:val="28"/>
          <w:szCs w:val="28"/>
        </w:rPr>
        <w:t>）（如有，请提供）；</w:t>
      </w:r>
      <w:bookmarkEnd w:id="361"/>
      <w:bookmarkEnd w:id="362"/>
      <w:bookmarkEnd w:id="363"/>
    </w:p>
    <w:p w14:paraId="59D2F7A2">
      <w:pPr>
        <w:pStyle w:val="12"/>
        <w:numPr>
          <w:ilvl w:val="0"/>
          <w:numId w:val="0"/>
        </w:numPr>
        <w:spacing w:line="340" w:lineRule="exact"/>
        <w:ind w:leftChars="0"/>
        <w:rPr>
          <w:rFonts w:hint="eastAsia" w:ascii="宋体" w:hAnsi="宋体" w:eastAsia="宋体" w:cs="宋体"/>
          <w:b/>
          <w:color w:val="auto"/>
          <w:sz w:val="28"/>
          <w:szCs w:val="28"/>
          <w:lang w:val="en-US" w:eastAsia="zh-CN"/>
        </w:rPr>
      </w:pPr>
    </w:p>
    <w:p w14:paraId="764C980A">
      <w:pPr>
        <w:pStyle w:val="12"/>
        <w:numPr>
          <w:ilvl w:val="0"/>
          <w:numId w:val="0"/>
        </w:numPr>
        <w:spacing w:line="340" w:lineRule="exact"/>
        <w:ind w:leftChars="0"/>
        <w:rPr>
          <w:rFonts w:hint="eastAsia" w:ascii="宋体" w:hAnsi="宋体" w:eastAsia="宋体" w:cs="宋体"/>
          <w:b/>
          <w:color w:val="auto"/>
          <w:sz w:val="28"/>
          <w:szCs w:val="28"/>
        </w:rPr>
      </w:pPr>
      <w:r>
        <w:rPr>
          <w:rFonts w:hint="eastAsia" w:hAnsi="宋体" w:cs="宋体"/>
          <w:b/>
          <w:color w:val="auto"/>
          <w:sz w:val="28"/>
          <w:szCs w:val="28"/>
          <w:lang w:val="en-US" w:eastAsia="zh-CN"/>
        </w:rPr>
        <w:t>4</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rPr>
        <w:t>《中小企业声明函》（见附件）（</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14:paraId="31E31D1E">
      <w:pPr>
        <w:rPr>
          <w:rFonts w:hint="eastAsia" w:ascii="宋体" w:hAnsi="宋体" w:eastAsia="宋体" w:cs="宋体"/>
          <w:color w:val="auto"/>
        </w:rPr>
      </w:pPr>
    </w:p>
    <w:p w14:paraId="653D5F9F">
      <w:pPr>
        <w:pStyle w:val="10"/>
        <w:rPr>
          <w:rFonts w:hint="eastAsia" w:ascii="宋体" w:hAnsi="宋体" w:eastAsia="宋体" w:cs="宋体"/>
          <w:color w:val="auto"/>
        </w:rPr>
      </w:pPr>
    </w:p>
    <w:p w14:paraId="464C5015">
      <w:pPr>
        <w:pStyle w:val="12"/>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14:paraId="79DA2BAB">
      <w:pPr>
        <w:pStyle w:val="12"/>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14:paraId="132639E1">
      <w:pPr>
        <w:pStyle w:val="12"/>
        <w:spacing w:line="440" w:lineRule="exact"/>
        <w:ind w:firstLine="504" w:firstLineChars="200"/>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24"/>
          <w:u w:val="single"/>
          <w:lang w:val="en-US" w:eastAsia="zh-CN" w:bidi="ar-SA"/>
        </w:rPr>
        <w:t>单位名称</w:t>
      </w:r>
      <w:r>
        <w:rPr>
          <w:rFonts w:hint="eastAsia" w:ascii="宋体" w:hAnsi="宋体" w:eastAsia="宋体" w:cs="宋体"/>
          <w:color w:val="auto"/>
          <w:spacing w:val="6"/>
          <w:kern w:val="2"/>
          <w:sz w:val="24"/>
          <w:szCs w:val="24"/>
          <w:lang w:val="en-US" w:eastAsia="zh-CN" w:bidi="ar-SA"/>
        </w:rPr>
        <w:t>）的（</w:t>
      </w:r>
      <w:r>
        <w:rPr>
          <w:rFonts w:hint="eastAsia" w:ascii="宋体" w:hAnsi="宋体" w:eastAsia="宋体" w:cs="宋体"/>
          <w:color w:val="auto"/>
          <w:spacing w:val="6"/>
          <w:kern w:val="2"/>
          <w:sz w:val="24"/>
          <w:szCs w:val="24"/>
          <w:u w:val="single"/>
          <w:lang w:val="en-US" w:eastAsia="zh-CN" w:bidi="ar-SA"/>
        </w:rPr>
        <w:t>项目名称</w:t>
      </w:r>
      <w:r>
        <w:rPr>
          <w:rFonts w:hint="eastAsia" w:ascii="宋体" w:hAnsi="宋体" w:eastAsia="宋体" w:cs="宋体"/>
          <w:color w:val="auto"/>
          <w:spacing w:val="6"/>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009DB094">
      <w:pPr>
        <w:pStyle w:val="12"/>
        <w:numPr>
          <w:ilvl w:val="0"/>
          <w:numId w:val="0"/>
        </w:numPr>
        <w:spacing w:line="440" w:lineRule="exact"/>
        <w:ind w:firstLine="504" w:firstLineChars="200"/>
        <w:rPr>
          <w:rFonts w:hint="eastAsia" w:ascii="宋体" w:hAnsi="宋体" w:eastAsia="宋体" w:cs="宋体"/>
          <w:lang w:val="en-US" w:eastAsia="zh-CN"/>
        </w:rPr>
      </w:pPr>
      <w:r>
        <w:rPr>
          <w:rFonts w:hint="eastAsia" w:ascii="宋体" w:hAnsi="宋体" w:eastAsia="宋体" w:cs="宋体"/>
          <w:color w:val="auto"/>
          <w:spacing w:val="6"/>
          <w:kern w:val="2"/>
          <w:sz w:val="24"/>
          <w:szCs w:val="24"/>
          <w:u w:val="none"/>
          <w:lang w:val="en-US" w:eastAsia="zh-CN" w:bidi="ar-SA"/>
        </w:rPr>
        <w:t>1.</w:t>
      </w:r>
      <w:r>
        <w:rPr>
          <w:rFonts w:hint="eastAsia" w:ascii="宋体" w:hAnsi="宋体" w:eastAsia="宋体" w:cs="宋体"/>
          <w:color w:val="auto"/>
          <w:spacing w:val="6"/>
          <w:kern w:val="2"/>
          <w:sz w:val="24"/>
          <w:szCs w:val="24"/>
          <w:u w:val="single"/>
          <w:lang w:val="en-US" w:eastAsia="zh-CN" w:bidi="ar-SA"/>
        </w:rPr>
        <w:t xml:space="preserve">（标的名称） </w:t>
      </w:r>
      <w:r>
        <w:rPr>
          <w:rFonts w:hint="eastAsia" w:ascii="宋体" w:hAnsi="宋体" w:eastAsia="宋体" w:cs="宋体"/>
          <w:color w:val="auto"/>
          <w:spacing w:val="6"/>
          <w:kern w:val="2"/>
          <w:sz w:val="24"/>
          <w:szCs w:val="24"/>
          <w:lang w:val="en-US" w:eastAsia="zh-CN" w:bidi="ar-SA"/>
        </w:rPr>
        <w:t>，属于</w:t>
      </w:r>
      <w:r>
        <w:rPr>
          <w:rFonts w:hint="eastAsia" w:ascii="宋体" w:hAnsi="宋体" w:eastAsia="宋体" w:cs="宋体"/>
          <w:color w:val="auto"/>
          <w:spacing w:val="6"/>
          <w:kern w:val="2"/>
          <w:sz w:val="24"/>
          <w:szCs w:val="24"/>
          <w:u w:val="single"/>
          <w:lang w:val="en-US" w:eastAsia="zh-CN" w:bidi="ar-SA"/>
        </w:rPr>
        <w:t>（采购文件中明确的所属行业）</w:t>
      </w:r>
      <w:r>
        <w:rPr>
          <w:rFonts w:hint="eastAsia" w:ascii="宋体" w:hAnsi="宋体" w:eastAsia="宋体" w:cs="宋体"/>
          <w:color w:val="auto"/>
          <w:spacing w:val="6"/>
          <w:kern w:val="2"/>
          <w:sz w:val="24"/>
          <w:szCs w:val="24"/>
          <w:lang w:val="en-US" w:eastAsia="zh-CN" w:bidi="ar-SA"/>
        </w:rPr>
        <w:t>； 承建（承接）企业为（</w:t>
      </w:r>
      <w:r>
        <w:rPr>
          <w:rFonts w:hint="eastAsia" w:ascii="宋体" w:hAnsi="宋体" w:eastAsia="宋体" w:cs="宋体"/>
          <w:color w:val="auto"/>
          <w:spacing w:val="6"/>
          <w:kern w:val="2"/>
          <w:sz w:val="24"/>
          <w:szCs w:val="24"/>
          <w:u w:val="single"/>
          <w:lang w:val="en-US" w:eastAsia="zh-CN" w:bidi="ar-SA"/>
        </w:rPr>
        <w:t>企业名称</w:t>
      </w:r>
      <w:r>
        <w:rPr>
          <w:rFonts w:hint="eastAsia" w:ascii="宋体" w:hAnsi="宋体" w:eastAsia="宋体" w:cs="宋体"/>
          <w:color w:val="auto"/>
          <w:spacing w:val="6"/>
          <w:kern w:val="2"/>
          <w:sz w:val="24"/>
          <w:szCs w:val="24"/>
          <w:lang w:val="en-US" w:eastAsia="zh-CN" w:bidi="ar-SA"/>
        </w:rPr>
        <w:t>），从业人员</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lang w:val="en-US" w:eastAsia="zh-CN" w:bidi="ar-SA"/>
        </w:rPr>
        <w:t>人，营业 收入为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lang w:val="en-US" w:eastAsia="zh-CN" w:bidi="ar-SA"/>
        </w:rPr>
        <w:t>万元，资产总额为 万元，属于（</w:t>
      </w:r>
      <w:r>
        <w:rPr>
          <w:rFonts w:hint="eastAsia" w:ascii="宋体" w:hAnsi="宋体" w:eastAsia="宋体" w:cs="宋体"/>
          <w:color w:val="auto"/>
          <w:spacing w:val="6"/>
          <w:kern w:val="2"/>
          <w:sz w:val="24"/>
          <w:szCs w:val="24"/>
          <w:u w:val="single"/>
          <w:lang w:val="en-US" w:eastAsia="zh-CN" w:bidi="ar-SA"/>
        </w:rPr>
        <w:t>中型企业、 小型企业、微型企业</w:t>
      </w:r>
      <w:r>
        <w:rPr>
          <w:rFonts w:hint="eastAsia" w:ascii="宋体" w:hAnsi="宋体" w:eastAsia="宋体" w:cs="宋体"/>
          <w:color w:val="auto"/>
          <w:spacing w:val="6"/>
          <w:kern w:val="2"/>
          <w:sz w:val="24"/>
          <w:szCs w:val="24"/>
          <w:lang w:val="en-US" w:eastAsia="zh-CN" w:bidi="ar-SA"/>
        </w:rPr>
        <w:t>）</w:t>
      </w:r>
    </w:p>
    <w:p w14:paraId="7890E09A">
      <w:pPr>
        <w:keepNext w:val="0"/>
        <w:keepLines w:val="0"/>
        <w:widowControl/>
        <w:suppressLineNumbers w:val="0"/>
        <w:ind w:firstLine="504" w:firstLineChars="200"/>
        <w:jc w:val="left"/>
        <w:rPr>
          <w:rFonts w:hint="eastAsia" w:ascii="宋体" w:hAnsi="宋体" w:eastAsia="宋体" w:cs="宋体"/>
          <w:color w:val="auto"/>
          <w:spacing w:val="6"/>
          <w:kern w:val="2"/>
          <w:sz w:val="24"/>
          <w:szCs w:val="24"/>
          <w:u w:val="none"/>
          <w:lang w:val="en-US" w:eastAsia="zh-CN" w:bidi="ar-SA"/>
        </w:rPr>
      </w:pPr>
      <w:r>
        <w:rPr>
          <w:rFonts w:hint="eastAsia" w:ascii="宋体" w:hAnsi="宋体" w:eastAsia="宋体" w:cs="宋体"/>
          <w:color w:val="auto"/>
          <w:spacing w:val="6"/>
          <w:kern w:val="2"/>
          <w:sz w:val="24"/>
          <w:szCs w:val="24"/>
          <w:u w:val="none"/>
          <w:lang w:val="en-US" w:eastAsia="zh-CN" w:bidi="ar-SA"/>
        </w:rPr>
        <w:t>2.</w:t>
      </w:r>
      <w:r>
        <w:rPr>
          <w:rFonts w:hint="eastAsia" w:ascii="宋体" w:hAnsi="宋体" w:eastAsia="宋体" w:cs="宋体"/>
          <w:color w:val="auto"/>
          <w:spacing w:val="6"/>
          <w:kern w:val="2"/>
          <w:sz w:val="24"/>
          <w:szCs w:val="24"/>
          <w:u w:val="single"/>
          <w:lang w:val="en-US" w:eastAsia="zh-CN" w:bidi="ar-SA"/>
        </w:rPr>
        <w:t xml:space="preserve">（标的名称） </w:t>
      </w:r>
      <w:r>
        <w:rPr>
          <w:rFonts w:hint="eastAsia" w:ascii="宋体" w:hAnsi="宋体" w:eastAsia="宋体" w:cs="宋体"/>
          <w:color w:val="auto"/>
          <w:spacing w:val="6"/>
          <w:kern w:val="2"/>
          <w:sz w:val="24"/>
          <w:szCs w:val="24"/>
          <w:u w:val="none"/>
          <w:lang w:val="en-US" w:eastAsia="zh-CN" w:bidi="ar-SA"/>
        </w:rPr>
        <w:t>，属于</w:t>
      </w:r>
      <w:r>
        <w:rPr>
          <w:rFonts w:hint="eastAsia" w:ascii="宋体" w:hAnsi="宋体" w:eastAsia="宋体" w:cs="宋体"/>
          <w:color w:val="auto"/>
          <w:spacing w:val="6"/>
          <w:kern w:val="2"/>
          <w:sz w:val="24"/>
          <w:szCs w:val="24"/>
          <w:u w:val="single"/>
          <w:lang w:val="en-US" w:eastAsia="zh-CN" w:bidi="ar-SA"/>
        </w:rPr>
        <w:t>（采购文件中明确的所属行业）</w:t>
      </w:r>
      <w:r>
        <w:rPr>
          <w:rFonts w:hint="eastAsia" w:ascii="宋体" w:hAnsi="宋体" w:eastAsia="宋体" w:cs="宋体"/>
          <w:color w:val="auto"/>
          <w:spacing w:val="6"/>
          <w:kern w:val="2"/>
          <w:sz w:val="24"/>
          <w:szCs w:val="24"/>
          <w:u w:val="none"/>
          <w:lang w:val="en-US" w:eastAsia="zh-CN" w:bidi="ar-SA"/>
        </w:rPr>
        <w:t>；承建（承接）企业为（</w:t>
      </w:r>
      <w:r>
        <w:rPr>
          <w:rFonts w:hint="eastAsia" w:ascii="宋体" w:hAnsi="宋体" w:eastAsia="宋体" w:cs="宋体"/>
          <w:color w:val="auto"/>
          <w:spacing w:val="6"/>
          <w:kern w:val="2"/>
          <w:sz w:val="24"/>
          <w:szCs w:val="24"/>
          <w:u w:val="single"/>
          <w:lang w:val="en-US" w:eastAsia="zh-CN" w:bidi="ar-SA"/>
        </w:rPr>
        <w:t>企业名称</w:t>
      </w:r>
      <w:r>
        <w:rPr>
          <w:rFonts w:hint="eastAsia" w:ascii="宋体" w:hAnsi="宋体" w:eastAsia="宋体" w:cs="宋体"/>
          <w:color w:val="auto"/>
          <w:spacing w:val="6"/>
          <w:kern w:val="2"/>
          <w:sz w:val="24"/>
          <w:szCs w:val="24"/>
          <w:u w:val="none"/>
          <w:lang w:val="en-US" w:eastAsia="zh-CN" w:bidi="ar-SA"/>
        </w:rPr>
        <w:t>），从业人员</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人，营业收入为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万元，资产总额为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万元，属于（</w:t>
      </w:r>
      <w:r>
        <w:rPr>
          <w:rFonts w:hint="eastAsia" w:ascii="宋体" w:hAnsi="宋体" w:eastAsia="宋体" w:cs="宋体"/>
          <w:color w:val="auto"/>
          <w:spacing w:val="6"/>
          <w:kern w:val="2"/>
          <w:sz w:val="24"/>
          <w:szCs w:val="24"/>
          <w:u w:val="single"/>
          <w:lang w:val="en-US" w:eastAsia="zh-CN" w:bidi="ar-SA"/>
        </w:rPr>
        <w:t>中型企业、 小型企业、微型企业</w:t>
      </w:r>
      <w:r>
        <w:rPr>
          <w:rFonts w:hint="eastAsia" w:ascii="宋体" w:hAnsi="宋体" w:eastAsia="宋体" w:cs="宋体"/>
          <w:color w:val="auto"/>
          <w:spacing w:val="6"/>
          <w:kern w:val="2"/>
          <w:sz w:val="24"/>
          <w:szCs w:val="24"/>
          <w:u w:val="none"/>
          <w:lang w:val="en-US" w:eastAsia="zh-CN" w:bidi="ar-SA"/>
        </w:rPr>
        <w:t>）；</w:t>
      </w:r>
    </w:p>
    <w:p w14:paraId="186BF844">
      <w:pPr>
        <w:pStyle w:val="6"/>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w:t>
      </w:r>
    </w:p>
    <w:p w14:paraId="7F4A5BF4">
      <w:pPr>
        <w:keepNext w:val="0"/>
        <w:keepLines w:val="0"/>
        <w:widowControl/>
        <w:suppressLineNumbers w:val="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以上企业，不属于大企业的分支机构，不存在控股股东为大企业的情形，也不存在与大企业的负责人为同一人的情形。</w:t>
      </w:r>
    </w:p>
    <w:p w14:paraId="7DD4DE18">
      <w:pPr>
        <w:keepNext w:val="0"/>
        <w:keepLines w:val="0"/>
        <w:widowControl/>
        <w:suppressLineNumbers w:val="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 xml:space="preserve">本企业对上述声明内容的真实性负责。如有虚假，将依法承担相应责任。 </w:t>
      </w:r>
    </w:p>
    <w:p w14:paraId="3979CBA4">
      <w:pPr>
        <w:pStyle w:val="9"/>
        <w:ind w:firstLine="5796" w:firstLineChars="2300"/>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企业名称（</w:t>
      </w:r>
      <w:r>
        <w:rPr>
          <w:rFonts w:hint="eastAsia" w:ascii="宋体" w:hAnsi="宋体" w:eastAsia="宋体" w:cs="宋体"/>
          <w:sz w:val="24"/>
          <w:szCs w:val="24"/>
          <w:lang w:val="en-US" w:eastAsia="zh-CN"/>
        </w:rPr>
        <w:t>CA签章</w:t>
      </w:r>
      <w:r>
        <w:rPr>
          <w:rFonts w:hint="eastAsia" w:ascii="宋体" w:hAnsi="宋体" w:eastAsia="宋体" w:cs="宋体"/>
          <w:color w:val="auto"/>
          <w:spacing w:val="6"/>
          <w:kern w:val="2"/>
          <w:sz w:val="24"/>
          <w:szCs w:val="24"/>
          <w:lang w:val="en-US" w:eastAsia="zh-CN" w:bidi="ar-SA"/>
        </w:rPr>
        <w:t xml:space="preserve">）： </w:t>
      </w:r>
    </w:p>
    <w:p w14:paraId="2D05D23D">
      <w:pPr>
        <w:keepNext w:val="0"/>
        <w:keepLines w:val="0"/>
        <w:widowControl/>
        <w:suppressLineNumbers w:val="0"/>
        <w:ind w:firstLine="5796" w:firstLineChars="230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日 期：</w:t>
      </w:r>
    </w:p>
    <w:p w14:paraId="2CB3B953">
      <w:pPr>
        <w:pStyle w:val="6"/>
        <w:ind w:left="0" w:leftChars="0" w:firstLine="0" w:firstLineChars="0"/>
        <w:rPr>
          <w:rFonts w:hint="eastAsia" w:ascii="宋体" w:hAnsi="宋体" w:eastAsia="宋体" w:cs="宋体"/>
          <w:lang w:val="en-US" w:eastAsia="zh-CN"/>
        </w:rPr>
      </w:pPr>
    </w:p>
    <w:p w14:paraId="0BAE2607">
      <w:pPr>
        <w:keepNext w:val="0"/>
        <w:keepLines w:val="0"/>
        <w:widowControl/>
        <w:suppressLineNumbers w:val="0"/>
        <w:jc w:val="left"/>
        <w:rPr>
          <w:rFonts w:hint="eastAsia" w:ascii="宋体" w:hAnsi="宋体" w:eastAsia="宋体" w:cs="宋体"/>
        </w:rPr>
      </w:pPr>
    </w:p>
    <w:p w14:paraId="026EE31D">
      <w:pPr>
        <w:keepNext w:val="0"/>
        <w:keepLines w:val="0"/>
        <w:widowControl/>
        <w:suppressLineNumbers w:val="0"/>
        <w:jc w:val="left"/>
        <w:rPr>
          <w:rFonts w:hint="eastAsia" w:ascii="宋体" w:hAnsi="宋体" w:eastAsia="宋体" w:cs="宋体"/>
          <w:b/>
          <w:bCs/>
          <w:sz w:val="21"/>
          <w:szCs w:val="21"/>
        </w:rPr>
      </w:pPr>
      <w:r>
        <w:rPr>
          <w:rFonts w:hint="eastAsia" w:ascii="宋体" w:hAnsi="宋体" w:cs="宋体"/>
          <w:b/>
          <w:bCs/>
          <w:color w:val="000000"/>
          <w:kern w:val="0"/>
          <w:sz w:val="21"/>
          <w:szCs w:val="21"/>
          <w:lang w:val="en-US" w:eastAsia="zh-CN" w:bidi="ar"/>
        </w:rPr>
        <w:t>备注：</w:t>
      </w:r>
      <w:r>
        <w:rPr>
          <w:rFonts w:hint="eastAsia" w:ascii="宋体" w:hAnsi="宋体" w:eastAsia="宋体" w:cs="宋体"/>
          <w:b/>
          <w:bCs/>
          <w:color w:val="000000"/>
          <w:kern w:val="0"/>
          <w:sz w:val="21"/>
          <w:szCs w:val="21"/>
          <w:lang w:val="en-US" w:eastAsia="zh-CN" w:bidi="ar"/>
        </w:rPr>
        <w:t>从业人员、营业收入、资产总额填报上一年度数据，无上一年度数据的新成立企业可不填报。</w:t>
      </w:r>
    </w:p>
    <w:p w14:paraId="53CB1ECC">
      <w:pPr>
        <w:pStyle w:val="12"/>
        <w:spacing w:line="440" w:lineRule="exact"/>
        <w:ind w:firstLine="504" w:firstLineChars="200"/>
        <w:rPr>
          <w:rFonts w:hint="eastAsia" w:ascii="宋体" w:hAnsi="宋体" w:eastAsia="宋体" w:cs="宋体"/>
          <w:color w:val="auto"/>
          <w:spacing w:val="6"/>
          <w:kern w:val="2"/>
          <w:sz w:val="24"/>
          <w:szCs w:val="24"/>
          <w:lang w:val="en-US" w:eastAsia="zh-CN" w:bidi="ar-SA"/>
        </w:rPr>
      </w:pPr>
    </w:p>
    <w:p w14:paraId="32127C6B">
      <w:pPr>
        <w:pStyle w:val="12"/>
        <w:spacing w:line="440" w:lineRule="exact"/>
        <w:rPr>
          <w:rFonts w:hint="eastAsia" w:ascii="宋体" w:hAnsi="宋体" w:eastAsia="宋体" w:cs="宋体"/>
          <w:lang w:val="en-US" w:eastAsia="zh-CN"/>
        </w:rPr>
      </w:pPr>
      <w:r>
        <w:rPr>
          <w:rFonts w:hint="eastAsia" w:ascii="宋体" w:hAnsi="宋体" w:eastAsia="宋体" w:cs="宋体"/>
          <w:b/>
          <w:bCs/>
          <w:color w:val="auto"/>
          <w:sz w:val="24"/>
          <w:szCs w:val="24"/>
          <w:lang w:val="en-US" w:eastAsia="zh-CN"/>
        </w:rPr>
        <w:t xml:space="preserve"> </w:t>
      </w:r>
    </w:p>
    <w:p w14:paraId="7EE3BB4B">
      <w:pPr>
        <w:pStyle w:val="12"/>
        <w:numPr>
          <w:ilvl w:val="0"/>
          <w:numId w:val="0"/>
        </w:numPr>
        <w:spacing w:line="340" w:lineRule="exact"/>
        <w:rPr>
          <w:rFonts w:hint="eastAsia" w:ascii="宋体" w:hAnsi="宋体" w:eastAsia="宋体" w:cs="宋体"/>
          <w:lang w:val="en-US" w:eastAsia="zh-CN"/>
        </w:rPr>
      </w:pPr>
      <w:r>
        <w:rPr>
          <w:rFonts w:hint="eastAsia" w:hAnsi="宋体" w:cs="宋体"/>
          <w:b/>
          <w:color w:val="auto"/>
          <w:sz w:val="28"/>
          <w:szCs w:val="28"/>
          <w:lang w:val="en-US" w:eastAsia="zh-CN"/>
        </w:rPr>
        <w:t>5.</w:t>
      </w:r>
      <w:r>
        <w:rPr>
          <w:rFonts w:hint="eastAsia" w:ascii="宋体" w:hAnsi="宋体" w:eastAsia="宋体" w:cs="宋体"/>
          <w:b/>
          <w:color w:val="auto"/>
          <w:sz w:val="28"/>
          <w:szCs w:val="28"/>
          <w:lang w:val="en-US" w:eastAsia="zh-CN"/>
        </w:rPr>
        <w:t>如提供服务的供应商属于监狱企业的，应当提供由省级以上监狱管理局、戒毒管理局等（含新疆生产建设兵团）</w:t>
      </w:r>
      <w:r>
        <w:rPr>
          <w:rFonts w:hint="eastAsia" w:ascii="宋体" w:hAnsi="宋体" w:eastAsia="宋体" w:cs="宋体"/>
          <w:b/>
          <w:color w:val="auto"/>
          <w:sz w:val="28"/>
          <w:szCs w:val="28"/>
        </w:rPr>
        <w:t>出具的属于监狱企业的证明文件（</w:t>
      </w:r>
      <w:r>
        <w:rPr>
          <w:rFonts w:hint="eastAsia" w:ascii="宋体" w:hAnsi="宋体" w:eastAsia="宋体" w:cs="宋体"/>
          <w:b/>
          <w:color w:val="auto"/>
          <w:sz w:val="28"/>
          <w:szCs w:val="28"/>
          <w:lang w:val="en-US" w:eastAsia="zh-CN"/>
        </w:rPr>
        <w:t>如供应商属于监狱企业的，</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14:paraId="6BABDC31">
      <w:pPr>
        <w:pStyle w:val="12"/>
        <w:numPr>
          <w:ilvl w:val="0"/>
          <w:numId w:val="0"/>
        </w:numPr>
        <w:spacing w:line="340" w:lineRule="exact"/>
        <w:ind w:leftChars="0"/>
        <w:rPr>
          <w:rFonts w:hint="eastAsia" w:ascii="宋体" w:hAnsi="宋体" w:eastAsia="宋体" w:cs="宋体"/>
          <w:b/>
          <w:color w:val="auto"/>
          <w:sz w:val="28"/>
          <w:szCs w:val="28"/>
          <w:lang w:val="en-US" w:eastAsia="zh-CN"/>
        </w:rPr>
      </w:pPr>
    </w:p>
    <w:p w14:paraId="79B8E6C0">
      <w:pPr>
        <w:pStyle w:val="12"/>
        <w:numPr>
          <w:ilvl w:val="0"/>
          <w:numId w:val="0"/>
        </w:numPr>
        <w:spacing w:line="340" w:lineRule="exact"/>
        <w:ind w:leftChars="0"/>
        <w:rPr>
          <w:rFonts w:hint="eastAsia" w:ascii="宋体" w:hAnsi="宋体" w:eastAsia="宋体" w:cs="宋体"/>
          <w:b/>
          <w:color w:val="auto"/>
          <w:spacing w:val="6"/>
          <w:sz w:val="28"/>
          <w:szCs w:val="28"/>
        </w:rPr>
      </w:pPr>
      <w:r>
        <w:rPr>
          <w:rFonts w:hint="eastAsia" w:hAnsi="宋体" w:cs="宋体"/>
          <w:b/>
          <w:color w:val="auto"/>
          <w:sz w:val="28"/>
          <w:szCs w:val="28"/>
          <w:lang w:val="en-US" w:eastAsia="zh-CN"/>
        </w:rPr>
        <w:t>6.</w:t>
      </w:r>
      <w:r>
        <w:rPr>
          <w:rFonts w:hint="eastAsia" w:ascii="宋体" w:hAnsi="宋体" w:eastAsia="宋体" w:cs="宋体"/>
          <w:b/>
          <w:color w:val="auto"/>
          <w:sz w:val="28"/>
          <w:szCs w:val="28"/>
        </w:rPr>
        <w:t>《残疾人福利性单位声明函》（见附件）（</w:t>
      </w:r>
      <w:r>
        <w:rPr>
          <w:rFonts w:hint="eastAsia" w:ascii="宋体" w:hAnsi="宋体" w:eastAsia="宋体" w:cs="宋体"/>
          <w:b/>
          <w:color w:val="auto"/>
          <w:sz w:val="28"/>
          <w:szCs w:val="28"/>
          <w:lang w:val="en-US" w:eastAsia="zh-CN"/>
        </w:rPr>
        <w:t>如供应商属于残疾人福利性单位的，</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14:paraId="3BC2AC3C">
      <w:pPr>
        <w:spacing w:line="588" w:lineRule="exact"/>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残疾人福利性单位声明函</w:t>
      </w:r>
    </w:p>
    <w:p w14:paraId="5F670AB7">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〔2017〕141</w:t>
      </w:r>
      <w:r>
        <w:rPr>
          <w:rFonts w:hint="eastAsia" w:ascii="宋体" w:hAnsi="宋体" w:eastAsia="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5436D">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082F3F23">
      <w:pPr>
        <w:rPr>
          <w:rFonts w:hint="eastAsia" w:ascii="宋体" w:hAnsi="宋体" w:eastAsia="宋体" w:cs="宋体"/>
          <w:color w:val="auto"/>
        </w:rPr>
      </w:pPr>
    </w:p>
    <w:p w14:paraId="1A8CE335">
      <w:pPr>
        <w:tabs>
          <w:tab w:val="left" w:pos="4860"/>
        </w:tabs>
        <w:spacing w:line="588" w:lineRule="exact"/>
        <w:ind w:right="1560" w:firstLine="58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6"/>
          <w:sz w:val="24"/>
        </w:rPr>
        <w:t xml:space="preserve">  单位名称</w:t>
      </w:r>
      <w:r>
        <w:rPr>
          <w:rFonts w:hint="eastAsia" w:ascii="宋体" w:hAnsi="宋体" w:eastAsia="宋体" w:cs="宋体"/>
          <w:color w:val="auto"/>
          <w:spacing w:val="6"/>
          <w:kern w:val="2"/>
          <w:sz w:val="24"/>
          <w:szCs w:val="24"/>
          <w:lang w:val="en-US" w:eastAsia="zh-CN" w:bidi="ar-SA"/>
        </w:rPr>
        <w:t>（</w:t>
      </w:r>
      <w:r>
        <w:rPr>
          <w:rFonts w:hint="eastAsia" w:ascii="宋体" w:hAnsi="宋体" w:eastAsia="宋体" w:cs="宋体"/>
          <w:sz w:val="24"/>
          <w:szCs w:val="24"/>
          <w:lang w:val="en-US" w:eastAsia="zh-CN"/>
        </w:rPr>
        <w:t>CA签章</w:t>
      </w:r>
      <w:r>
        <w:rPr>
          <w:rFonts w:hint="eastAsia" w:ascii="宋体" w:hAnsi="宋体" w:eastAsia="宋体" w:cs="宋体"/>
          <w:color w:val="auto"/>
          <w:spacing w:val="6"/>
          <w:kern w:val="2"/>
          <w:sz w:val="24"/>
          <w:szCs w:val="24"/>
          <w:lang w:val="en-US" w:eastAsia="zh-CN" w:bidi="ar-SA"/>
        </w:rPr>
        <w:t>）：</w:t>
      </w:r>
    </w:p>
    <w:p w14:paraId="57920AF2">
      <w:pPr>
        <w:pStyle w:val="12"/>
        <w:ind w:firstLine="4032" w:firstLineChars="16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日    期：  年  月  日</w:t>
      </w:r>
    </w:p>
    <w:p w14:paraId="4E7451BA">
      <w:pPr>
        <w:rPr>
          <w:rFonts w:hint="eastAsia" w:ascii="宋体" w:hAnsi="宋体" w:eastAsia="宋体" w:cs="宋体"/>
          <w:color w:val="auto"/>
          <w:spacing w:val="6"/>
          <w:sz w:val="24"/>
          <w:szCs w:val="24"/>
        </w:rPr>
      </w:pPr>
    </w:p>
    <w:p w14:paraId="61837966">
      <w:pPr>
        <w:pStyle w:val="10"/>
        <w:rPr>
          <w:rFonts w:hint="eastAsia" w:ascii="宋体" w:hAnsi="宋体" w:eastAsia="宋体" w:cs="宋体"/>
          <w:color w:val="auto"/>
        </w:rPr>
      </w:pPr>
    </w:p>
    <w:p w14:paraId="085EFD41">
      <w:pPr>
        <w:pStyle w:val="10"/>
        <w:rPr>
          <w:rFonts w:hint="eastAsia" w:ascii="宋体" w:hAnsi="宋体" w:eastAsia="宋体" w:cs="宋体"/>
          <w:color w:val="auto"/>
        </w:rPr>
      </w:pPr>
    </w:p>
    <w:p w14:paraId="55F8E917">
      <w:pPr>
        <w:pStyle w:val="10"/>
        <w:rPr>
          <w:rFonts w:hint="eastAsia" w:ascii="宋体" w:hAnsi="宋体" w:eastAsia="宋体" w:cs="宋体"/>
          <w:color w:val="auto"/>
        </w:rPr>
      </w:pPr>
    </w:p>
    <w:p w14:paraId="3E7327AB">
      <w:pPr>
        <w:tabs>
          <w:tab w:val="left" w:pos="1305"/>
        </w:tabs>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cs="宋体"/>
          <w:b/>
          <w:color w:val="auto"/>
          <w:szCs w:val="21"/>
          <w:lang w:eastAsia="zh-CN"/>
        </w:rPr>
        <w:t>中标</w:t>
      </w:r>
      <w:r>
        <w:rPr>
          <w:rFonts w:hint="eastAsia" w:ascii="宋体" w:hAnsi="宋体" w:eastAsia="宋体" w:cs="宋体"/>
          <w:b/>
          <w:color w:val="auto"/>
          <w:szCs w:val="21"/>
        </w:rPr>
        <w:t>、成交供应商为残疾人福利性单位的，采购人或者其委托的采购代理机构应当随</w:t>
      </w:r>
      <w:r>
        <w:rPr>
          <w:rFonts w:hint="eastAsia" w:ascii="宋体" w:hAnsi="宋体" w:cs="宋体"/>
          <w:b/>
          <w:color w:val="auto"/>
          <w:szCs w:val="21"/>
          <w:lang w:eastAsia="zh-CN"/>
        </w:rPr>
        <w:t>中标</w:t>
      </w:r>
      <w:r>
        <w:rPr>
          <w:rFonts w:hint="eastAsia" w:ascii="宋体" w:hAnsi="宋体" w:eastAsia="宋体" w:cs="宋体"/>
          <w:b/>
          <w:color w:val="auto"/>
          <w:szCs w:val="21"/>
        </w:rPr>
        <w:t>、成交结果同时公告其《残疾人福利性单位声明函》，接受社会监督</w:t>
      </w:r>
      <w:r>
        <w:rPr>
          <w:rFonts w:hint="eastAsia" w:ascii="宋体" w:hAnsi="宋体" w:eastAsia="宋体" w:cs="宋体"/>
          <w:color w:val="auto"/>
          <w:sz w:val="24"/>
        </w:rPr>
        <w:t>。</w:t>
      </w:r>
    </w:p>
    <w:p w14:paraId="1789B76C">
      <w:pPr>
        <w:pStyle w:val="26"/>
        <w:rPr>
          <w:rFonts w:hint="eastAsia" w:ascii="宋体" w:hAnsi="宋体" w:eastAsia="宋体" w:cs="宋体"/>
          <w:b/>
          <w:bCs w:val="0"/>
          <w:color w:val="auto"/>
          <w:sz w:val="28"/>
          <w:szCs w:val="28"/>
        </w:rPr>
      </w:pPr>
    </w:p>
    <w:p w14:paraId="028DD09B">
      <w:pPr>
        <w:pStyle w:val="12"/>
        <w:numPr>
          <w:ilvl w:val="0"/>
          <w:numId w:val="0"/>
        </w:numPr>
        <w:spacing w:line="340" w:lineRule="exact"/>
        <w:ind w:leftChars="0"/>
        <w:rPr>
          <w:rFonts w:hint="eastAsia" w:ascii="宋体" w:hAnsi="宋体" w:eastAsia="宋体" w:cs="宋体"/>
        </w:rPr>
      </w:pPr>
      <w:r>
        <w:rPr>
          <w:rFonts w:hint="eastAsia" w:hAnsi="宋体" w:cs="宋体"/>
          <w:b/>
          <w:bCs w:val="0"/>
          <w:color w:val="auto"/>
          <w:sz w:val="28"/>
          <w:szCs w:val="28"/>
          <w:lang w:val="en-US" w:eastAsia="zh-CN"/>
        </w:rPr>
        <w:t>7</w:t>
      </w:r>
      <w:r>
        <w:rPr>
          <w:rFonts w:hint="eastAsia" w:ascii="宋体" w:hAnsi="宋体" w:eastAsia="宋体" w:cs="宋体"/>
          <w:b/>
          <w:bCs w:val="0"/>
          <w:color w:val="auto"/>
          <w:sz w:val="28"/>
          <w:szCs w:val="28"/>
          <w:lang w:val="en-US" w:eastAsia="zh-CN"/>
        </w:rPr>
        <w:t>.</w:t>
      </w:r>
      <w:r>
        <w:rPr>
          <w:rFonts w:hint="eastAsia" w:ascii="宋体" w:hAnsi="宋体" w:eastAsia="宋体" w:cs="宋体"/>
          <w:b/>
          <w:bCs w:val="0"/>
          <w:color w:val="auto"/>
          <w:sz w:val="28"/>
          <w:szCs w:val="28"/>
        </w:rPr>
        <w:t>供应商可结合本项目的评审办法视自身情况自行提交其它相关证明材料。</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lang w:val="en-US" w:eastAsia="zh-CN"/>
        </w:rPr>
        <w:t xml:space="preserve">      </w:t>
      </w:r>
    </w:p>
    <w:p w14:paraId="272165D2">
      <w:pPr>
        <w:rPr>
          <w:rFonts w:hint="eastAsia" w:ascii="宋体" w:hAnsi="宋体" w:eastAsia="宋体" w:cs="宋体"/>
        </w:rPr>
      </w:pPr>
    </w:p>
    <w:p w14:paraId="2785995B">
      <w:pPr>
        <w:spacing w:line="360" w:lineRule="auto"/>
        <w:ind w:firstLine="480" w:firstLineChars="200"/>
        <w:rPr>
          <w:rFonts w:hint="eastAsia" w:ascii="宋体" w:hAnsi="宋体" w:eastAsia="宋体" w:cs="宋体"/>
          <w:b/>
          <w:bCs/>
          <w:color w:val="auto"/>
          <w:sz w:val="24"/>
          <w:lang w:val="en-US" w:eastAsia="zh-CN"/>
        </w:rPr>
        <w:sectPr>
          <w:pgSz w:w="11906" w:h="16838"/>
          <w:pgMar w:top="1440" w:right="935" w:bottom="1440" w:left="777" w:header="851" w:footer="992" w:gutter="0"/>
          <w:pgNumType w:fmt="numberInDash" w:start="1"/>
          <w:cols w:space="720" w:num="1"/>
          <w:rtlGutter w:val="0"/>
          <w:docGrid w:type="linesAndChars" w:linePitch="312" w:charSpace="0"/>
        </w:sectPr>
      </w:pPr>
    </w:p>
    <w:p w14:paraId="25B5E91E">
      <w:pPr>
        <w:rPr>
          <w:rFonts w:hint="eastAsia" w:ascii="宋体" w:hAnsi="宋体" w:eastAsia="宋体" w:cs="宋体"/>
        </w:rPr>
      </w:pPr>
    </w:p>
    <w:sectPr>
      <w:headerReference r:id="rId7" w:type="default"/>
      <w:footerReference r:id="rId8" w:type="default"/>
      <w:pgSz w:w="11906" w:h="16838"/>
      <w:pgMar w:top="1440" w:right="935" w:bottom="1440" w:left="77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C37B">
    <w:pPr>
      <w:pStyle w:val="13"/>
      <w:pBdr>
        <w:bottom w:val="single" w:color="auto" w:sz="4" w:space="0"/>
      </w:pBdr>
      <w:rPr>
        <w:rFonts w:hint="eastAsia"/>
      </w:rPr>
    </w:pPr>
  </w:p>
  <w:p w14:paraId="26EC296E">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1F5D">
    <w:pPr>
      <w:pStyle w:val="13"/>
      <w:pBdr>
        <w:bottom w:val="single" w:color="auto" w:sz="4" w:space="0"/>
      </w:pBdr>
      <w:rPr>
        <w:rFonts w:hint="eastAsia"/>
      </w:rPr>
    </w:pPr>
  </w:p>
  <w:p w14:paraId="22EBDB63">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DD2F">
    <w:pPr>
      <w:pStyle w:val="13"/>
      <w:pBdr>
        <w:bottom w:val="single" w:color="auto" w:sz="4" w:space="0"/>
      </w:pBd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E1D2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14:paraId="747E1D2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5931F84E">
    <w:pPr>
      <w:pStyle w:val="13"/>
    </w:pPr>
    <w:r>
      <w:rPr>
        <w:rFonts w:hint="eastAsia"/>
      </w:rPr>
      <w:t>桂林市政府集中采购中心                                                                                 竞争性谈判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E0ED">
    <w:pPr>
      <w:pStyle w:val="13"/>
      <w:pBdr>
        <w:bottom w:val="single" w:color="auto" w:sz="4"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3AB24E">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vsLsw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C+wuzAEAAKcDAAAOAAAAAAAAAAEAIAAAAB4BAABkcnMvZTJv&#10;RG9jLnhtbFBLBQYAAAAABgAGAFkBAABcBQAAAAA=&#10;">
              <v:fill on="f" focussize="0,0"/>
              <v:stroke on="f"/>
              <v:imagedata o:title=""/>
              <o:lock v:ext="edit" aspectratio="f"/>
              <v:textbox inset="0mm,0mm,0mm,0mm" style="mso-fit-shape-to-text:t;">
                <w:txbxContent>
                  <w:p w14:paraId="3F3AB24E">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p w14:paraId="65536277">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A1B4">
    <w:pPr>
      <w:pStyle w:val="14"/>
      <w:ind w:firstLine="180" w:firstLineChars="100"/>
      <w:jc w:val="left"/>
      <w:rPr>
        <w:rFonts w:hint="eastAsia" w:eastAsia="宋体"/>
        <w:color w:val="auto"/>
        <w:highlight w:val="none"/>
        <w:shd w:val="clear" w:color="auto" w:fill="auto"/>
        <w:lang w:eastAsia="zh-CN"/>
      </w:rPr>
    </w:pPr>
    <w:r>
      <w:rPr>
        <w:rFonts w:hint="eastAsia" w:ascii="宋体" w:hAnsi="宋体" w:cs="宋体"/>
        <w:color w:val="auto"/>
        <w:highlight w:val="none"/>
        <w:lang w:val="en-US" w:eastAsia="zh-CN"/>
      </w:rPr>
      <w:t>桂林市象山区教育局城域网服务采购</w:t>
    </w:r>
    <w:r>
      <w:rPr>
        <w:rFonts w:hint="eastAsia" w:ascii="宋体" w:hAnsi="宋体" w:cs="宋体"/>
        <w:color w:val="auto"/>
        <w:highlight w:val="none"/>
      </w:rPr>
      <w:t xml:space="preserve">     </w:t>
    </w:r>
    <w:r>
      <w:rPr>
        <w:rFonts w:hint="eastAsia" w:ascii="宋体" w:hAnsi="宋体" w:cs="宋体"/>
        <w:lang w:val="en-US" w:eastAsia="zh-CN"/>
      </w:rPr>
      <w:t xml:space="preserve">                 </w:t>
    </w:r>
    <w:r>
      <w:rPr>
        <w:rFonts w:hint="eastAsia" w:ascii="宋体" w:hAnsi="宋体" w:cs="宋体"/>
        <w:color w:val="auto"/>
        <w:highlight w:val="none"/>
        <w:shd w:val="clear" w:color="auto" w:fill="auto"/>
        <w:lang w:val="en-US" w:eastAsia="zh-CN"/>
      </w:rPr>
      <w:t xml:space="preserve">                            </w:t>
    </w:r>
    <w:r>
      <w:rPr>
        <w:rFonts w:hint="eastAsia" w:ascii="宋体" w:hAnsi="宋体" w:cs="宋体"/>
        <w:color w:val="auto"/>
        <w:highlight w:val="none"/>
        <w:shd w:val="clear" w:color="auto" w:fill="auto"/>
        <w:lang w:eastAsia="zh-CN"/>
      </w:rPr>
      <w:t>GLZC2025-C3-990025-GLSZ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DAC2">
    <w:pPr>
      <w:pStyle w:val="14"/>
      <w:ind w:left="5580" w:hanging="5580" w:hangingChars="3100"/>
      <w:jc w:val="left"/>
      <w:rPr>
        <w:rFonts w:hint="eastAsia" w:eastAsia="宋体"/>
        <w:color w:val="auto"/>
        <w:highlight w:val="none"/>
        <w:lang w:eastAsia="zh-CN"/>
      </w:rPr>
    </w:pPr>
    <w:r>
      <w:rPr>
        <w:rFonts w:hint="eastAsia" w:ascii="宋体" w:hAnsi="宋体" w:cs="宋体"/>
        <w:color w:val="auto"/>
        <w:highlight w:val="none"/>
        <w:lang w:val="en-US" w:eastAsia="zh-CN"/>
      </w:rPr>
      <w:t>桂林市象山区教育局城域网服务采购</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GLZC2025-C3-990025-GLSZ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C741C"/>
    <w:multiLevelType w:val="singleLevel"/>
    <w:tmpl w:val="845C741C"/>
    <w:lvl w:ilvl="0" w:tentative="0">
      <w:start w:val="9"/>
      <w:numFmt w:val="decimal"/>
      <w:suff w:val="nothing"/>
      <w:lvlText w:val="（%1）"/>
      <w:lvlJc w:val="left"/>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rPr>
        <w:rFonts w:hint="default"/>
        <w:b w:val="0"/>
        <w:bCs w:val="0"/>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A64B513"/>
    <w:multiLevelType w:val="singleLevel"/>
    <w:tmpl w:val="4A64B513"/>
    <w:lvl w:ilvl="0" w:tentative="0">
      <w:start w:val="1"/>
      <w:numFmt w:val="decimal"/>
      <w:lvlText w:val="%1."/>
      <w:lvlJc w:val="left"/>
      <w:pPr>
        <w:tabs>
          <w:tab w:val="left" w:pos="312"/>
        </w:tabs>
      </w:pPr>
    </w:lvl>
  </w:abstractNum>
  <w:abstractNum w:abstractNumId="7">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8">
    <w:nsid w:val="6AD43707"/>
    <w:multiLevelType w:val="singleLevel"/>
    <w:tmpl w:val="6AD43707"/>
    <w:lvl w:ilvl="0" w:tentative="0">
      <w:start w:val="5"/>
      <w:numFmt w:val="decimal"/>
      <w:suff w:val="space"/>
      <w:lvlText w:val="%1."/>
      <w:lvlJc w:val="left"/>
    </w:lvl>
  </w:abstractNum>
  <w:num w:numId="1">
    <w:abstractNumId w:val="8"/>
  </w:num>
  <w:num w:numId="2">
    <w:abstractNumId w:val="3"/>
  </w:num>
  <w:num w:numId="3">
    <w:abstractNumId w:val="2"/>
  </w:num>
  <w:num w:numId="4">
    <w:abstractNumId w:val="5"/>
  </w:num>
  <w:num w:numId="5">
    <w:abstractNumId w:val="0"/>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GU2MDBmZDRiYWIyN2YwMzAxMzE1ZGFiZDg5MDIifQ=="/>
  </w:docVars>
  <w:rsids>
    <w:rsidRoot w:val="00000000"/>
    <w:rsid w:val="00042858"/>
    <w:rsid w:val="00A77464"/>
    <w:rsid w:val="01917D45"/>
    <w:rsid w:val="022B296F"/>
    <w:rsid w:val="02B95509"/>
    <w:rsid w:val="032E1E1F"/>
    <w:rsid w:val="03855756"/>
    <w:rsid w:val="038C7921"/>
    <w:rsid w:val="058B7C4F"/>
    <w:rsid w:val="0599432F"/>
    <w:rsid w:val="05A30FC7"/>
    <w:rsid w:val="06BD404D"/>
    <w:rsid w:val="075A763D"/>
    <w:rsid w:val="086A3D60"/>
    <w:rsid w:val="087D3A94"/>
    <w:rsid w:val="08E76FC9"/>
    <w:rsid w:val="09E909DC"/>
    <w:rsid w:val="0B1F7084"/>
    <w:rsid w:val="0D1A5D55"/>
    <w:rsid w:val="0FAF717E"/>
    <w:rsid w:val="110660A6"/>
    <w:rsid w:val="111B3927"/>
    <w:rsid w:val="11762739"/>
    <w:rsid w:val="125910CE"/>
    <w:rsid w:val="1307212D"/>
    <w:rsid w:val="1342744F"/>
    <w:rsid w:val="15593DCE"/>
    <w:rsid w:val="157E1FF8"/>
    <w:rsid w:val="15B91F33"/>
    <w:rsid w:val="15D44506"/>
    <w:rsid w:val="15F26750"/>
    <w:rsid w:val="166C7253"/>
    <w:rsid w:val="16AD72D0"/>
    <w:rsid w:val="1773097C"/>
    <w:rsid w:val="17C61A96"/>
    <w:rsid w:val="184F13F4"/>
    <w:rsid w:val="19C01A32"/>
    <w:rsid w:val="19DB4CEC"/>
    <w:rsid w:val="1A366198"/>
    <w:rsid w:val="1A41745E"/>
    <w:rsid w:val="1ADD6614"/>
    <w:rsid w:val="1B196C01"/>
    <w:rsid w:val="1BFC6695"/>
    <w:rsid w:val="1C84143D"/>
    <w:rsid w:val="1CED6FE2"/>
    <w:rsid w:val="1CF045EE"/>
    <w:rsid w:val="1D85293E"/>
    <w:rsid w:val="1E00629F"/>
    <w:rsid w:val="1EDB2E6A"/>
    <w:rsid w:val="1EE2244B"/>
    <w:rsid w:val="1F5A4273"/>
    <w:rsid w:val="20062169"/>
    <w:rsid w:val="20322872"/>
    <w:rsid w:val="206C64E7"/>
    <w:rsid w:val="20A20B88"/>
    <w:rsid w:val="21827F03"/>
    <w:rsid w:val="225E5DAE"/>
    <w:rsid w:val="22910410"/>
    <w:rsid w:val="22B32DEF"/>
    <w:rsid w:val="22CF6720"/>
    <w:rsid w:val="23574332"/>
    <w:rsid w:val="23671171"/>
    <w:rsid w:val="238C6352"/>
    <w:rsid w:val="23BC2D26"/>
    <w:rsid w:val="24085AB7"/>
    <w:rsid w:val="245A4328"/>
    <w:rsid w:val="24875131"/>
    <w:rsid w:val="24C525F3"/>
    <w:rsid w:val="261B653E"/>
    <w:rsid w:val="2679593C"/>
    <w:rsid w:val="26D1527F"/>
    <w:rsid w:val="274A0218"/>
    <w:rsid w:val="274C0DA9"/>
    <w:rsid w:val="277F2F2D"/>
    <w:rsid w:val="27A7649B"/>
    <w:rsid w:val="287C62BD"/>
    <w:rsid w:val="28BE7A85"/>
    <w:rsid w:val="28D7264F"/>
    <w:rsid w:val="297F03BC"/>
    <w:rsid w:val="29A22B03"/>
    <w:rsid w:val="2B4B1FAC"/>
    <w:rsid w:val="2B9B40AD"/>
    <w:rsid w:val="2BAE2033"/>
    <w:rsid w:val="2C3A399C"/>
    <w:rsid w:val="2C576226"/>
    <w:rsid w:val="2C7D2A39"/>
    <w:rsid w:val="2CCB0D55"/>
    <w:rsid w:val="2E243B6B"/>
    <w:rsid w:val="2F4131BE"/>
    <w:rsid w:val="305A2CE0"/>
    <w:rsid w:val="30B8125D"/>
    <w:rsid w:val="31012C04"/>
    <w:rsid w:val="31E7004C"/>
    <w:rsid w:val="32EB2A4F"/>
    <w:rsid w:val="3416124F"/>
    <w:rsid w:val="34FD7554"/>
    <w:rsid w:val="35366BF5"/>
    <w:rsid w:val="354A6259"/>
    <w:rsid w:val="362E0310"/>
    <w:rsid w:val="36A8539A"/>
    <w:rsid w:val="377834F5"/>
    <w:rsid w:val="37A40EC5"/>
    <w:rsid w:val="37D03331"/>
    <w:rsid w:val="37F75273"/>
    <w:rsid w:val="387C4888"/>
    <w:rsid w:val="392C68CC"/>
    <w:rsid w:val="396861A3"/>
    <w:rsid w:val="3B721655"/>
    <w:rsid w:val="3B8B1D01"/>
    <w:rsid w:val="3C0609D2"/>
    <w:rsid w:val="3C306A4A"/>
    <w:rsid w:val="3C85547E"/>
    <w:rsid w:val="3D494EAE"/>
    <w:rsid w:val="3DB4257E"/>
    <w:rsid w:val="3F966C0E"/>
    <w:rsid w:val="408879DD"/>
    <w:rsid w:val="40EB2E80"/>
    <w:rsid w:val="41CC6E5C"/>
    <w:rsid w:val="420D6A5C"/>
    <w:rsid w:val="425815C7"/>
    <w:rsid w:val="425F037E"/>
    <w:rsid w:val="42C85330"/>
    <w:rsid w:val="432C0B70"/>
    <w:rsid w:val="448E07FB"/>
    <w:rsid w:val="44C05313"/>
    <w:rsid w:val="45F620DD"/>
    <w:rsid w:val="47A9111B"/>
    <w:rsid w:val="48AD4CBD"/>
    <w:rsid w:val="48D56D30"/>
    <w:rsid w:val="49697141"/>
    <w:rsid w:val="4A7C7CC7"/>
    <w:rsid w:val="4AE6462E"/>
    <w:rsid w:val="4BA30F59"/>
    <w:rsid w:val="4BE60F1D"/>
    <w:rsid w:val="4C5E735F"/>
    <w:rsid w:val="4E3717A4"/>
    <w:rsid w:val="4ED17C62"/>
    <w:rsid w:val="4F59695F"/>
    <w:rsid w:val="4FB50EC3"/>
    <w:rsid w:val="4FF4611E"/>
    <w:rsid w:val="50AC0BAB"/>
    <w:rsid w:val="51C66554"/>
    <w:rsid w:val="527350D1"/>
    <w:rsid w:val="52B42186"/>
    <w:rsid w:val="531D035D"/>
    <w:rsid w:val="53690469"/>
    <w:rsid w:val="541D0A97"/>
    <w:rsid w:val="54ED2D96"/>
    <w:rsid w:val="54F839CA"/>
    <w:rsid w:val="55323593"/>
    <w:rsid w:val="55CB2020"/>
    <w:rsid w:val="55E41257"/>
    <w:rsid w:val="56476E5F"/>
    <w:rsid w:val="568D39E4"/>
    <w:rsid w:val="56FC4D02"/>
    <w:rsid w:val="572318B8"/>
    <w:rsid w:val="57243F04"/>
    <w:rsid w:val="575E5568"/>
    <w:rsid w:val="57925A39"/>
    <w:rsid w:val="58DB5A41"/>
    <w:rsid w:val="59232E69"/>
    <w:rsid w:val="5A353BD0"/>
    <w:rsid w:val="5A4415BA"/>
    <w:rsid w:val="5A47702B"/>
    <w:rsid w:val="5A4A38D2"/>
    <w:rsid w:val="5A600400"/>
    <w:rsid w:val="5B5C3B5A"/>
    <w:rsid w:val="5B8C16DB"/>
    <w:rsid w:val="5BC16A98"/>
    <w:rsid w:val="5BC966AA"/>
    <w:rsid w:val="5C1F4073"/>
    <w:rsid w:val="5C6C2055"/>
    <w:rsid w:val="5CA238FC"/>
    <w:rsid w:val="5D043481"/>
    <w:rsid w:val="5D336FCE"/>
    <w:rsid w:val="5DB55DE9"/>
    <w:rsid w:val="5E655CD1"/>
    <w:rsid w:val="611A0118"/>
    <w:rsid w:val="613419B6"/>
    <w:rsid w:val="623E794D"/>
    <w:rsid w:val="634A7B5F"/>
    <w:rsid w:val="640B2E77"/>
    <w:rsid w:val="642D4675"/>
    <w:rsid w:val="64993B83"/>
    <w:rsid w:val="64B74DAD"/>
    <w:rsid w:val="654A5379"/>
    <w:rsid w:val="65675A00"/>
    <w:rsid w:val="660119B9"/>
    <w:rsid w:val="660E4EA0"/>
    <w:rsid w:val="66285F62"/>
    <w:rsid w:val="6704369E"/>
    <w:rsid w:val="67571130"/>
    <w:rsid w:val="678E0064"/>
    <w:rsid w:val="67C01FD9"/>
    <w:rsid w:val="67F3580C"/>
    <w:rsid w:val="67F53348"/>
    <w:rsid w:val="68441A89"/>
    <w:rsid w:val="688B58F8"/>
    <w:rsid w:val="689C63C4"/>
    <w:rsid w:val="68F95A36"/>
    <w:rsid w:val="69027E30"/>
    <w:rsid w:val="69085BD7"/>
    <w:rsid w:val="690A0C77"/>
    <w:rsid w:val="690F4C8C"/>
    <w:rsid w:val="698E5D07"/>
    <w:rsid w:val="69D342FB"/>
    <w:rsid w:val="69E73297"/>
    <w:rsid w:val="69F635BB"/>
    <w:rsid w:val="6A33246A"/>
    <w:rsid w:val="6A4B7D7B"/>
    <w:rsid w:val="6B454EC0"/>
    <w:rsid w:val="6B596BBE"/>
    <w:rsid w:val="6B7439F8"/>
    <w:rsid w:val="6C9C7F3A"/>
    <w:rsid w:val="6D2A0A99"/>
    <w:rsid w:val="6D3909BE"/>
    <w:rsid w:val="6DCC18C9"/>
    <w:rsid w:val="6EBC1BE8"/>
    <w:rsid w:val="6F011A46"/>
    <w:rsid w:val="6F683B8E"/>
    <w:rsid w:val="6FA128E1"/>
    <w:rsid w:val="6FFF0F3F"/>
    <w:rsid w:val="701A2DBF"/>
    <w:rsid w:val="70625EAA"/>
    <w:rsid w:val="709267DC"/>
    <w:rsid w:val="71184C0B"/>
    <w:rsid w:val="71A5490B"/>
    <w:rsid w:val="731F249B"/>
    <w:rsid w:val="738B7B30"/>
    <w:rsid w:val="73920CFA"/>
    <w:rsid w:val="73F25301"/>
    <w:rsid w:val="74210849"/>
    <w:rsid w:val="7447614D"/>
    <w:rsid w:val="74BB2A34"/>
    <w:rsid w:val="74CE4179"/>
    <w:rsid w:val="755D7884"/>
    <w:rsid w:val="765E6FC2"/>
    <w:rsid w:val="76AA3E86"/>
    <w:rsid w:val="76D637B8"/>
    <w:rsid w:val="76F37EC6"/>
    <w:rsid w:val="76FA30F1"/>
    <w:rsid w:val="77071BC4"/>
    <w:rsid w:val="7746509C"/>
    <w:rsid w:val="77FC0FFD"/>
    <w:rsid w:val="7872306D"/>
    <w:rsid w:val="799F7E92"/>
    <w:rsid w:val="79B03B0E"/>
    <w:rsid w:val="7A644ADC"/>
    <w:rsid w:val="7A6A66F1"/>
    <w:rsid w:val="7A9E415C"/>
    <w:rsid w:val="7BA671DA"/>
    <w:rsid w:val="7CFE75C5"/>
    <w:rsid w:val="7D8911C2"/>
    <w:rsid w:val="7DA81182"/>
    <w:rsid w:val="7DE00419"/>
    <w:rsid w:val="7E5334CE"/>
    <w:rsid w:val="7E926217"/>
    <w:rsid w:val="7E9C31F6"/>
    <w:rsid w:val="7EF6753B"/>
    <w:rsid w:val="7F961D37"/>
    <w:rsid w:val="7F9B1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9"/>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2">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spacing w:after="120"/>
      <w:ind w:left="420" w:leftChars="200"/>
    </w:pPr>
  </w:style>
  <w:style w:type="paragraph" w:styleId="9">
    <w:name w:val="annotation text"/>
    <w:basedOn w:val="1"/>
    <w:qFormat/>
    <w:uiPriority w:val="0"/>
    <w:pPr>
      <w:jc w:val="left"/>
    </w:pPr>
  </w:style>
  <w:style w:type="paragraph" w:styleId="10">
    <w:name w:val="Body Text"/>
    <w:basedOn w:val="1"/>
    <w:next w:val="1"/>
    <w:qFormat/>
    <w:uiPriority w:val="0"/>
  </w:style>
  <w:style w:type="paragraph" w:styleId="11">
    <w:name w:val="toc 3"/>
    <w:basedOn w:val="1"/>
    <w:next w:val="1"/>
    <w:unhideWhenUsed/>
    <w:qFormat/>
    <w:uiPriority w:val="39"/>
    <w:pPr>
      <w:ind w:left="840" w:leftChars="400"/>
    </w:pPr>
  </w:style>
  <w:style w:type="paragraph" w:styleId="12">
    <w:name w:val="Plain Text"/>
    <w:basedOn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qFormat/>
    <w:uiPriority w:val="0"/>
    <w:pPr>
      <w:snapToGrid w:val="0"/>
      <w:jc w:val="left"/>
    </w:pPr>
    <w:rPr>
      <w:sz w:val="18"/>
    </w:rPr>
  </w:style>
  <w:style w:type="paragraph" w:styleId="17">
    <w:name w:val="toc 2"/>
    <w:basedOn w:val="1"/>
    <w:next w:val="1"/>
    <w:unhideWhenUsed/>
    <w:qFormat/>
    <w:uiPriority w:val="39"/>
    <w:pPr>
      <w:ind w:left="420" w:leftChars="200"/>
    </w:pPr>
  </w:style>
  <w:style w:type="paragraph" w:styleId="18">
    <w:name w:val="List 4"/>
    <w:basedOn w:val="1"/>
    <w:unhideWhenUsed/>
    <w:qFormat/>
    <w:uiPriority w:val="99"/>
    <w:pPr>
      <w:ind w:left="100" w:leftChars="600" w:hanging="200" w:hangingChars="200"/>
      <w:contextualSpacing/>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8"/>
    <w:next w:val="1"/>
    <w:unhideWhenUsed/>
    <w:qFormat/>
    <w:uiPriority w:val="99"/>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character" w:styleId="25">
    <w:name w:val="footnote reference"/>
    <w:basedOn w:val="23"/>
    <w:qFormat/>
    <w:uiPriority w:val="0"/>
    <w:rPr>
      <w:vertAlign w:val="superscript"/>
    </w:rPr>
  </w:style>
  <w:style w:type="paragraph" w:customStyle="1" w:styleId="2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qFormat/>
    <w:uiPriority w:val="0"/>
    <w:rPr>
      <w:rFonts w:ascii="宋体" w:hAnsi="Courier New" w:eastAsia="楷体_GB2312"/>
    </w:rPr>
  </w:style>
  <w:style w:type="paragraph" w:styleId="28">
    <w:name w:val="List Paragraph"/>
    <w:basedOn w:val="1"/>
    <w:qFormat/>
    <w:uiPriority w:val="99"/>
    <w:pPr>
      <w:ind w:firstLine="420" w:firstLineChars="200"/>
    </w:pPr>
    <w:rPr>
      <w:rFonts w:ascii="Times New Roman" w:hAnsi="Times New Roman"/>
    </w:rPr>
  </w:style>
  <w:style w:type="character" w:customStyle="1" w:styleId="29">
    <w:name w:val="标题 3 字符"/>
    <w:link w:val="5"/>
    <w:qFormat/>
    <w:uiPriority w:val="0"/>
    <w:rPr>
      <w:rFonts w:ascii="Calibri" w:hAnsi="Calibri" w:eastAsia="宋体"/>
      <w:b/>
      <w:sz w:val="32"/>
    </w:rPr>
  </w:style>
  <w:style w:type="character" w:customStyle="1" w:styleId="30">
    <w:name w:val="NormalCharacter"/>
    <w:qFormat/>
    <w:uiPriority w:val="0"/>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4">
    <w:name w:val="p15"/>
    <w:basedOn w:val="1"/>
    <w:qFormat/>
    <w:uiPriority w:val="0"/>
    <w:pPr>
      <w:widowControl/>
    </w:pPr>
    <w:rPr>
      <w:rFonts w:ascii="宋体" w:hAnsi="宋体" w:cs="宋体"/>
      <w:kern w:val="0"/>
      <w:szCs w:val="21"/>
    </w:rPr>
  </w:style>
  <w:style w:type="paragraph" w:customStyle="1" w:styleId="35">
    <w:name w:val="Table Text"/>
    <w:basedOn w:val="1"/>
    <w:semiHidden/>
    <w:qFormat/>
    <w:uiPriority w:val="0"/>
    <w:rPr>
      <w:rFonts w:ascii="宋体" w:hAnsi="宋体" w:eastAsia="宋体" w:cs="宋体"/>
      <w:sz w:val="15"/>
      <w:szCs w:val="15"/>
      <w:lang w:val="en-US" w:eastAsia="en-US" w:bidi="ar-SA"/>
    </w:rPr>
  </w:style>
  <w:style w:type="character" w:customStyle="1" w:styleId="36">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17188</Words>
  <Characters>18520</Characters>
  <Lines>0</Lines>
  <Paragraphs>0</Paragraphs>
  <TotalTime>2</TotalTime>
  <ScaleCrop>false</ScaleCrop>
  <LinksUpToDate>false</LinksUpToDate>
  <CharactersWithSpaces>19082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常Y</cp:lastModifiedBy>
  <dcterms:modified xsi:type="dcterms:W3CDTF">2025-02-20T02:22:35Z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4ED7E57E80044A98A22310A62BC9913B_13</vt:lpwstr>
  </property>
  <property fmtid="{D5CDD505-2E9C-101B-9397-08002B2CF9AE}" pid="4" name="KSOTemplateDocerSaveRecord">
    <vt:lpwstr>eyJoZGlkIjoiNjJmYjRiMDA3MTViMjc5YmRlZTdhYzMxZGJmZTlmNWYiLCJ1c2VySWQiOiI1NjU2MTI0NDAifQ==</vt:lpwstr>
  </property>
</Properties>
</file>