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667EC">
      <w:pPr>
        <w:jc w:val="center"/>
        <w:rPr>
          <w:rFonts w:ascii="宋体" w:hAnsi="宋体" w:cs="宋体"/>
          <w:b/>
          <w:bCs/>
          <w:sz w:val="52"/>
          <w:szCs w:val="52"/>
        </w:rPr>
      </w:pPr>
      <w:bookmarkStart w:id="0" w:name="_Toc7014_WPSOffice_Level1"/>
      <w:bookmarkStart w:id="1" w:name="_Toc10319"/>
      <w:r>
        <w:rPr>
          <w:rFonts w:hint="eastAsia" w:ascii="宋体" w:hAnsi="宋体" w:cs="宋体"/>
          <w:b/>
          <w:sz w:val="52"/>
        </w:rPr>
        <w:t xml:space="preserve">  广西安臻工程管理有限公司</w:t>
      </w:r>
    </w:p>
    <w:p w14:paraId="0D3DAC2B">
      <w:pPr>
        <w:pStyle w:val="14"/>
        <w:rPr>
          <w:rFonts w:ascii="宋体" w:hAnsi="宋体" w:cs="宋体"/>
          <w:b/>
          <w:bCs/>
          <w:sz w:val="52"/>
          <w:szCs w:val="52"/>
        </w:rPr>
      </w:pPr>
    </w:p>
    <w:p w14:paraId="1202A286">
      <w:pPr>
        <w:pStyle w:val="14"/>
        <w:rPr>
          <w:rFonts w:ascii="宋体" w:hAnsi="宋体" w:cs="宋体"/>
          <w:b/>
          <w:bCs/>
          <w:sz w:val="52"/>
          <w:szCs w:val="52"/>
        </w:rPr>
      </w:pPr>
    </w:p>
    <w:p w14:paraId="0A21AB4D">
      <w:pPr>
        <w:ind w:left="558" w:right="683"/>
        <w:jc w:val="center"/>
        <w:rPr>
          <w:rFonts w:ascii="宋体" w:hAnsi="宋体" w:cs="宋体"/>
          <w:b/>
          <w:sz w:val="72"/>
          <w:szCs w:val="72"/>
        </w:rPr>
      </w:pPr>
      <w:r>
        <w:rPr>
          <w:rFonts w:hint="eastAsia" w:ascii="宋体" w:hAnsi="宋体" w:cs="宋体"/>
          <w:b/>
          <w:spacing w:val="93"/>
          <w:sz w:val="72"/>
          <w:szCs w:val="72"/>
        </w:rPr>
        <w:t>竞争性磋商文件</w:t>
      </w:r>
    </w:p>
    <w:p w14:paraId="48B55A6D">
      <w:pPr>
        <w:jc w:val="center"/>
        <w:rPr>
          <w:rFonts w:ascii="宋体" w:hAnsi="宋体" w:cs="宋体"/>
          <w:b/>
          <w:bCs/>
          <w:sz w:val="52"/>
          <w:szCs w:val="52"/>
        </w:rPr>
      </w:pPr>
    </w:p>
    <w:p w14:paraId="705ADCF0">
      <w:pPr>
        <w:jc w:val="center"/>
        <w:rPr>
          <w:rFonts w:ascii="宋体" w:hAnsi="宋体" w:cs="宋体"/>
          <w:b/>
          <w:bCs/>
          <w:sz w:val="52"/>
          <w:szCs w:val="52"/>
        </w:rPr>
      </w:pPr>
    </w:p>
    <w:p w14:paraId="68DADF1E">
      <w:pPr>
        <w:jc w:val="center"/>
        <w:rPr>
          <w:rFonts w:ascii="宋体" w:hAnsi="宋体" w:cs="宋体"/>
          <w:b/>
          <w:bCs/>
          <w:sz w:val="52"/>
          <w:szCs w:val="52"/>
        </w:rPr>
      </w:pPr>
    </w:p>
    <w:p w14:paraId="2FAE6C86">
      <w:pPr>
        <w:jc w:val="center"/>
        <w:rPr>
          <w:rFonts w:hint="eastAsia" w:ascii="宋体" w:hAnsi="宋体" w:eastAsia="宋体" w:cs="宋体"/>
          <w:b/>
          <w:bCs/>
          <w:sz w:val="32"/>
          <w:szCs w:val="32"/>
          <w:lang w:eastAsia="zh-CN"/>
        </w:rPr>
      </w:pPr>
      <w:r>
        <w:rPr>
          <w:rFonts w:hint="eastAsia" w:ascii="宋体" w:hAnsi="宋体" w:cs="宋体"/>
          <w:b/>
          <w:bCs/>
          <w:sz w:val="32"/>
          <w:szCs w:val="32"/>
        </w:rPr>
        <w:t>项 目 名 称：</w:t>
      </w:r>
      <w:bookmarkStart w:id="225" w:name="_GoBack"/>
      <w:bookmarkEnd w:id="225"/>
      <w:r>
        <w:rPr>
          <w:rFonts w:hint="eastAsia" w:ascii="宋体" w:hAnsi="宋体" w:cs="宋体"/>
          <w:b/>
          <w:bCs/>
          <w:sz w:val="32"/>
          <w:szCs w:val="32"/>
          <w:u w:val="single"/>
          <w:lang w:eastAsia="zh-CN"/>
        </w:rPr>
        <w:t>国道321线交通监控系统服务项目</w:t>
      </w:r>
    </w:p>
    <w:p w14:paraId="5186165D">
      <w:pPr>
        <w:ind w:firstLine="1600" w:firstLineChars="500"/>
        <w:rPr>
          <w:rFonts w:hint="eastAsia" w:ascii="宋体" w:hAnsi="宋体" w:eastAsia="宋体" w:cs="宋体"/>
          <w:b/>
          <w:bCs/>
          <w:sz w:val="32"/>
          <w:szCs w:val="32"/>
          <w:lang w:eastAsia="zh-CN"/>
        </w:rPr>
      </w:pPr>
      <w:r>
        <w:rPr>
          <w:rFonts w:hint="eastAsia" w:ascii="宋体" w:hAnsi="宋体" w:cs="宋体"/>
          <w:b/>
          <w:bCs/>
          <w:sz w:val="32"/>
          <w:szCs w:val="32"/>
        </w:rPr>
        <w:t>项 目 编 号：</w:t>
      </w:r>
      <w:r>
        <w:rPr>
          <w:rFonts w:hint="eastAsia" w:ascii="宋体" w:hAnsi="宋体" w:cs="宋体"/>
          <w:b/>
          <w:bCs/>
          <w:sz w:val="32"/>
          <w:szCs w:val="32"/>
          <w:u w:val="single"/>
          <w:lang w:eastAsia="zh-CN"/>
        </w:rPr>
        <w:t>GLZC2024-C3-120108-GXAZ</w:t>
      </w:r>
    </w:p>
    <w:p w14:paraId="2014C4C7">
      <w:pPr>
        <w:ind w:firstLine="1600" w:firstLineChars="500"/>
        <w:rPr>
          <w:rFonts w:ascii="宋体" w:hAnsi="宋体" w:cs="宋体"/>
          <w:sz w:val="32"/>
          <w:szCs w:val="32"/>
        </w:rPr>
      </w:pPr>
    </w:p>
    <w:p w14:paraId="57CDDBB6">
      <w:pPr>
        <w:jc w:val="center"/>
        <w:rPr>
          <w:rFonts w:ascii="宋体" w:hAnsi="宋体" w:cs="宋体"/>
          <w:sz w:val="32"/>
          <w:szCs w:val="32"/>
        </w:rPr>
      </w:pPr>
    </w:p>
    <w:p w14:paraId="0F72B1A8">
      <w:pPr>
        <w:rPr>
          <w:rFonts w:ascii="宋体" w:hAnsi="宋体" w:cs="宋体"/>
          <w:sz w:val="32"/>
          <w:szCs w:val="32"/>
        </w:rPr>
      </w:pPr>
    </w:p>
    <w:p w14:paraId="3E163A05">
      <w:pPr>
        <w:jc w:val="center"/>
        <w:rPr>
          <w:rFonts w:ascii="宋体" w:hAnsi="宋体" w:cs="宋体"/>
          <w:sz w:val="32"/>
          <w:szCs w:val="32"/>
        </w:rPr>
      </w:pPr>
    </w:p>
    <w:p w14:paraId="75BCB04C">
      <w:pPr>
        <w:ind w:firstLine="2240" w:firstLineChars="700"/>
        <w:rPr>
          <w:rFonts w:ascii="宋体" w:hAnsi="宋体" w:cs="宋体"/>
          <w:sz w:val="32"/>
          <w:szCs w:val="32"/>
        </w:rPr>
      </w:pPr>
      <w:r>
        <w:rPr>
          <w:rFonts w:hint="eastAsia" w:ascii="宋体" w:hAnsi="宋体" w:cs="宋体"/>
          <w:sz w:val="32"/>
          <w:szCs w:val="32"/>
        </w:rPr>
        <w:t>采购代理机构：广西安臻工程管理有限公司</w:t>
      </w:r>
    </w:p>
    <w:p w14:paraId="62C455AF">
      <w:pPr>
        <w:pStyle w:val="9"/>
        <w:rPr>
          <w:rFonts w:ascii="宋体" w:hAnsi="宋体" w:cs="宋体"/>
        </w:rPr>
      </w:pPr>
    </w:p>
    <w:p w14:paraId="2C4D827A">
      <w:pPr>
        <w:ind w:firstLine="3840" w:firstLineChars="1200"/>
        <w:rPr>
          <w:rFonts w:ascii="宋体" w:hAnsi="宋体" w:cs="宋体"/>
          <w:sz w:val="48"/>
          <w:szCs w:val="48"/>
        </w:rPr>
        <w:sectPr>
          <w:headerReference r:id="rId3" w:type="default"/>
          <w:footerReference r:id="rId4" w:type="default"/>
          <w:pgSz w:w="11906" w:h="16838"/>
          <w:pgMar w:top="1440" w:right="935" w:bottom="1440" w:left="777" w:header="851" w:footer="992" w:gutter="0"/>
          <w:pgNumType w:fmt="numberInDash" w:start="1"/>
          <w:cols w:space="720" w:num="1"/>
          <w:docGrid w:type="linesAndChars" w:linePitch="312" w:charSpace="0"/>
        </w:sectPr>
      </w:pPr>
      <w:r>
        <w:rPr>
          <w:rFonts w:hint="eastAsia" w:ascii="宋体" w:hAnsi="宋体" w:cs="宋体"/>
          <w:sz w:val="32"/>
          <w:szCs w:val="32"/>
        </w:rPr>
        <w:t>202</w:t>
      </w:r>
      <w:r>
        <w:rPr>
          <w:rFonts w:ascii="宋体" w:hAnsi="宋体" w:cs="宋体"/>
          <w:sz w:val="32"/>
          <w:szCs w:val="32"/>
        </w:rPr>
        <w:t>4</w:t>
      </w:r>
      <w:r>
        <w:rPr>
          <w:rFonts w:hint="eastAsia" w:ascii="宋体" w:hAnsi="宋体" w:cs="宋体"/>
          <w:sz w:val="32"/>
          <w:szCs w:val="32"/>
        </w:rPr>
        <w:t>年</w:t>
      </w:r>
      <w:r>
        <w:rPr>
          <w:rFonts w:ascii="宋体" w:hAnsi="宋体" w:cs="宋体"/>
          <w:sz w:val="32"/>
          <w:szCs w:val="32"/>
        </w:rPr>
        <w:t>12</w:t>
      </w:r>
      <w:r>
        <w:rPr>
          <w:rFonts w:hint="eastAsia" w:ascii="宋体" w:hAnsi="宋体" w:cs="宋体"/>
          <w:sz w:val="32"/>
          <w:szCs w:val="32"/>
        </w:rPr>
        <w:t>月</w:t>
      </w:r>
    </w:p>
    <w:p w14:paraId="30EB4274">
      <w:pPr>
        <w:jc w:val="center"/>
        <w:rPr>
          <w:rFonts w:ascii="宋体" w:hAnsi="宋体" w:cs="宋体"/>
          <w:b/>
          <w:bCs/>
          <w:sz w:val="36"/>
          <w:szCs w:val="36"/>
        </w:rPr>
      </w:pPr>
      <w:r>
        <w:rPr>
          <w:rFonts w:hint="eastAsia" w:ascii="宋体" w:hAnsi="宋体" w:cs="宋体"/>
          <w:b/>
          <w:bCs/>
          <w:sz w:val="36"/>
          <w:szCs w:val="36"/>
          <w:lang w:val="zh-CN"/>
        </w:rPr>
        <w:t>目</w:t>
      </w:r>
      <w:r>
        <w:rPr>
          <w:rFonts w:hint="eastAsia" w:ascii="宋体" w:hAnsi="宋体" w:cs="宋体"/>
          <w:b/>
          <w:bCs/>
          <w:sz w:val="36"/>
          <w:szCs w:val="36"/>
        </w:rPr>
        <w:t xml:space="preserve">  </w:t>
      </w:r>
      <w:r>
        <w:rPr>
          <w:rFonts w:hint="eastAsia" w:ascii="宋体" w:hAnsi="宋体" w:cs="宋体"/>
          <w:b/>
          <w:bCs/>
          <w:sz w:val="36"/>
          <w:szCs w:val="36"/>
          <w:lang w:val="zh-CN"/>
        </w:rPr>
        <w:t>录</w:t>
      </w:r>
    </w:p>
    <w:p w14:paraId="4C6133BB">
      <w:pPr>
        <w:pStyle w:val="16"/>
        <w:tabs>
          <w:tab w:val="right" w:leader="dot" w:pos="10184"/>
        </w:tabs>
        <w:rPr>
          <w:rFonts w:asciiTheme="minorHAnsi" w:hAnsiTheme="minorHAnsi" w:eastAsiaTheme="minorEastAsia" w:cstheme="minorBidi"/>
          <w:szCs w:val="22"/>
        </w:rPr>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fldChar w:fldCharType="begin"/>
      </w:r>
      <w:r>
        <w:instrText xml:space="preserve"> HYPERLINK \l "_Toc102642477" </w:instrText>
      </w:r>
      <w:r>
        <w:fldChar w:fldCharType="separate"/>
      </w:r>
      <w:r>
        <w:rPr>
          <w:rStyle w:val="26"/>
          <w:rFonts w:hint="eastAsia" w:ascii="宋体" w:hAnsi="宋体" w:cs="宋体"/>
        </w:rPr>
        <w:t>第一章 竞争性磋商公告</w:t>
      </w:r>
      <w:r>
        <w:tab/>
      </w:r>
      <w:r>
        <w:fldChar w:fldCharType="begin"/>
      </w:r>
      <w:r>
        <w:instrText xml:space="preserve"> PAGEREF _Toc102642477 \h </w:instrText>
      </w:r>
      <w:r>
        <w:fldChar w:fldCharType="separate"/>
      </w:r>
      <w:r>
        <w:t>- 1 -</w:t>
      </w:r>
      <w:r>
        <w:fldChar w:fldCharType="end"/>
      </w:r>
      <w:r>
        <w:fldChar w:fldCharType="end"/>
      </w:r>
    </w:p>
    <w:p w14:paraId="480A73BC">
      <w:pPr>
        <w:pStyle w:val="16"/>
        <w:tabs>
          <w:tab w:val="right" w:leader="dot" w:pos="10184"/>
        </w:tabs>
        <w:rPr>
          <w:rFonts w:asciiTheme="minorHAnsi" w:hAnsiTheme="minorHAnsi" w:eastAsiaTheme="minorEastAsia" w:cstheme="minorBidi"/>
          <w:szCs w:val="22"/>
        </w:rPr>
      </w:pPr>
      <w:r>
        <w:fldChar w:fldCharType="begin"/>
      </w:r>
      <w:r>
        <w:instrText xml:space="preserve"> HYPERLINK \l "_Toc102642478" </w:instrText>
      </w:r>
      <w:r>
        <w:fldChar w:fldCharType="separate"/>
      </w:r>
      <w:r>
        <w:rPr>
          <w:rStyle w:val="26"/>
          <w:rFonts w:hint="eastAsia" w:ascii="宋体" w:hAnsi="宋体" w:cs="宋体"/>
        </w:rPr>
        <w:t>第二章</w:t>
      </w:r>
      <w:r>
        <w:rPr>
          <w:rStyle w:val="26"/>
          <w:rFonts w:ascii="宋体" w:hAnsi="宋体" w:cs="宋体"/>
        </w:rPr>
        <w:t xml:space="preserve"> </w:t>
      </w:r>
      <w:r>
        <w:rPr>
          <w:rStyle w:val="26"/>
          <w:rFonts w:hint="eastAsia" w:ascii="宋体" w:hAnsi="宋体" w:cs="宋体"/>
        </w:rPr>
        <w:t>供应商须知</w:t>
      </w:r>
      <w:r>
        <w:tab/>
      </w:r>
      <w:r>
        <w:fldChar w:fldCharType="begin"/>
      </w:r>
      <w:r>
        <w:instrText xml:space="preserve"> PAGEREF _Toc102642478 \h </w:instrText>
      </w:r>
      <w:r>
        <w:fldChar w:fldCharType="separate"/>
      </w:r>
      <w:r>
        <w:t>- 4 -</w:t>
      </w:r>
      <w:r>
        <w:fldChar w:fldCharType="end"/>
      </w:r>
      <w:r>
        <w:fldChar w:fldCharType="end"/>
      </w:r>
    </w:p>
    <w:p w14:paraId="5406D53A">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"_Toc102642479" </w:instrText>
      </w:r>
      <w:r>
        <w:fldChar w:fldCharType="separate"/>
      </w:r>
      <w:r>
        <w:rPr>
          <w:rStyle w:val="26"/>
          <w:rFonts w:hint="eastAsia" w:ascii="宋体" w:hAnsi="宋体" w:cs="宋体"/>
          <w:b/>
        </w:rPr>
        <w:t>供</w:t>
      </w:r>
      <w:r>
        <w:rPr>
          <w:rStyle w:val="26"/>
          <w:rFonts w:ascii="宋体" w:hAnsi="宋体" w:cs="宋体"/>
          <w:b/>
        </w:rPr>
        <w:t xml:space="preserve"> </w:t>
      </w:r>
      <w:r>
        <w:rPr>
          <w:rStyle w:val="26"/>
          <w:rFonts w:hint="eastAsia" w:ascii="宋体" w:hAnsi="宋体" w:cs="宋体"/>
          <w:b/>
        </w:rPr>
        <w:t>应</w:t>
      </w:r>
      <w:r>
        <w:rPr>
          <w:rStyle w:val="26"/>
          <w:rFonts w:ascii="宋体" w:hAnsi="宋体" w:cs="宋体"/>
          <w:b/>
        </w:rPr>
        <w:t xml:space="preserve"> </w:t>
      </w:r>
      <w:r>
        <w:rPr>
          <w:rStyle w:val="26"/>
          <w:rFonts w:hint="eastAsia" w:ascii="宋体" w:hAnsi="宋体" w:cs="宋体"/>
          <w:b/>
        </w:rPr>
        <w:t>商</w:t>
      </w:r>
      <w:r>
        <w:rPr>
          <w:rStyle w:val="26"/>
          <w:rFonts w:ascii="宋体" w:hAnsi="宋体" w:cs="宋体"/>
          <w:b/>
        </w:rPr>
        <w:t xml:space="preserve"> </w:t>
      </w:r>
      <w:r>
        <w:rPr>
          <w:rStyle w:val="26"/>
          <w:rFonts w:hint="eastAsia" w:ascii="宋体" w:hAnsi="宋体" w:cs="宋体"/>
          <w:b/>
        </w:rPr>
        <w:t>须</w:t>
      </w:r>
      <w:r>
        <w:rPr>
          <w:rStyle w:val="26"/>
          <w:rFonts w:ascii="宋体" w:hAnsi="宋体" w:cs="宋体"/>
          <w:b/>
        </w:rPr>
        <w:t xml:space="preserve"> </w:t>
      </w:r>
      <w:r>
        <w:rPr>
          <w:rStyle w:val="26"/>
          <w:rFonts w:hint="eastAsia" w:ascii="宋体" w:hAnsi="宋体" w:cs="宋体"/>
          <w:b/>
        </w:rPr>
        <w:t>知</w:t>
      </w:r>
      <w:r>
        <w:rPr>
          <w:rStyle w:val="26"/>
          <w:rFonts w:ascii="宋体" w:hAnsi="宋体" w:cs="宋体"/>
          <w:b/>
        </w:rPr>
        <w:t xml:space="preserve"> </w:t>
      </w:r>
      <w:r>
        <w:rPr>
          <w:rStyle w:val="26"/>
          <w:rFonts w:hint="eastAsia" w:ascii="宋体" w:hAnsi="宋体" w:cs="宋体"/>
          <w:b/>
        </w:rPr>
        <w:t>前</w:t>
      </w:r>
      <w:r>
        <w:rPr>
          <w:rStyle w:val="26"/>
          <w:rFonts w:ascii="宋体" w:hAnsi="宋体" w:cs="宋体"/>
          <w:b/>
        </w:rPr>
        <w:t xml:space="preserve"> </w:t>
      </w:r>
      <w:r>
        <w:rPr>
          <w:rStyle w:val="26"/>
          <w:rFonts w:hint="eastAsia" w:ascii="宋体" w:hAnsi="宋体" w:cs="宋体"/>
          <w:b/>
        </w:rPr>
        <w:t>附</w:t>
      </w:r>
      <w:r>
        <w:rPr>
          <w:rStyle w:val="26"/>
          <w:rFonts w:ascii="宋体" w:hAnsi="宋体" w:cs="宋体"/>
          <w:b/>
        </w:rPr>
        <w:t xml:space="preserve"> </w:t>
      </w:r>
      <w:r>
        <w:rPr>
          <w:rStyle w:val="26"/>
          <w:rFonts w:hint="eastAsia" w:ascii="宋体" w:hAnsi="宋体" w:cs="宋体"/>
          <w:b/>
        </w:rPr>
        <w:t>表</w:t>
      </w:r>
      <w:r>
        <w:tab/>
      </w:r>
      <w:r>
        <w:fldChar w:fldCharType="begin"/>
      </w:r>
      <w:r>
        <w:instrText xml:space="preserve"> PAGEREF _Toc102642479 \h </w:instrText>
      </w:r>
      <w:r>
        <w:fldChar w:fldCharType="separate"/>
      </w:r>
      <w:r>
        <w:t>- 4 -</w:t>
      </w:r>
      <w:r>
        <w:fldChar w:fldCharType="end"/>
      </w:r>
      <w:r>
        <w:fldChar w:fldCharType="end"/>
      </w:r>
    </w:p>
    <w:p w14:paraId="252EFB6C">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"_Toc102642480" </w:instrText>
      </w:r>
      <w:r>
        <w:fldChar w:fldCharType="separate"/>
      </w:r>
      <w:r>
        <w:rPr>
          <w:rStyle w:val="26"/>
          <w:rFonts w:hint="eastAsia" w:ascii="宋体" w:hAnsi="宋体" w:cs="宋体"/>
          <w:bCs/>
        </w:rPr>
        <w:t>竞争性磋商响应文件的制作</w:t>
      </w:r>
      <w:r>
        <w:tab/>
      </w:r>
      <w:r>
        <w:fldChar w:fldCharType="begin"/>
      </w:r>
      <w:r>
        <w:instrText xml:space="preserve"> PAGEREF _Toc102642480 \h </w:instrText>
      </w:r>
      <w:r>
        <w:fldChar w:fldCharType="separate"/>
      </w:r>
      <w:r>
        <w:t>- 4 -</w:t>
      </w:r>
      <w:r>
        <w:fldChar w:fldCharType="end"/>
      </w:r>
      <w:r>
        <w:fldChar w:fldCharType="end"/>
      </w:r>
    </w:p>
    <w:p w14:paraId="1670208C">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"_Toc102642481" </w:instrText>
      </w:r>
      <w:r>
        <w:fldChar w:fldCharType="separate"/>
      </w:r>
      <w:r>
        <w:rPr>
          <w:rStyle w:val="26"/>
          <w:rFonts w:hint="eastAsia" w:ascii="宋体" w:hAnsi="宋体" w:cs="宋体"/>
          <w:b/>
        </w:rPr>
        <w:t>一、总则</w:t>
      </w:r>
      <w:r>
        <w:tab/>
      </w:r>
      <w:r>
        <w:fldChar w:fldCharType="begin"/>
      </w:r>
      <w:r>
        <w:instrText xml:space="preserve"> PAGEREF _Toc102642481 \h </w:instrText>
      </w:r>
      <w:r>
        <w:fldChar w:fldCharType="separate"/>
      </w:r>
      <w:r>
        <w:t>- 8 -</w:t>
      </w:r>
      <w:r>
        <w:fldChar w:fldCharType="end"/>
      </w:r>
      <w:r>
        <w:fldChar w:fldCharType="end"/>
      </w:r>
    </w:p>
    <w:p w14:paraId="669D6B2E">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"_Toc102642482" </w:instrText>
      </w:r>
      <w:r>
        <w:fldChar w:fldCharType="separate"/>
      </w:r>
      <w:r>
        <w:rPr>
          <w:rStyle w:val="26"/>
          <w:rFonts w:ascii="宋体" w:hAnsi="宋体" w:cs="宋体"/>
        </w:rPr>
        <w:t xml:space="preserve">1. </w:t>
      </w:r>
      <w:r>
        <w:rPr>
          <w:rStyle w:val="26"/>
          <w:rFonts w:hint="eastAsia" w:ascii="宋体" w:hAnsi="宋体" w:cs="宋体"/>
        </w:rPr>
        <w:t>适应范围</w:t>
      </w:r>
      <w:r>
        <w:tab/>
      </w:r>
      <w:r>
        <w:fldChar w:fldCharType="begin"/>
      </w:r>
      <w:r>
        <w:instrText xml:space="preserve"> PAGEREF _Toc102642482 \h </w:instrText>
      </w:r>
      <w:r>
        <w:fldChar w:fldCharType="separate"/>
      </w:r>
      <w:r>
        <w:t>- 8 -</w:t>
      </w:r>
      <w:r>
        <w:fldChar w:fldCharType="end"/>
      </w:r>
      <w:r>
        <w:fldChar w:fldCharType="end"/>
      </w:r>
    </w:p>
    <w:p w14:paraId="4025B920">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"_Toc102642483" </w:instrText>
      </w:r>
      <w:r>
        <w:fldChar w:fldCharType="separate"/>
      </w:r>
      <w:r>
        <w:rPr>
          <w:rStyle w:val="26"/>
          <w:rFonts w:ascii="宋体" w:hAnsi="宋体" w:cs="宋体"/>
        </w:rPr>
        <w:t xml:space="preserve">2. </w:t>
      </w:r>
      <w:r>
        <w:rPr>
          <w:rStyle w:val="26"/>
          <w:rFonts w:hint="eastAsia" w:ascii="宋体" w:hAnsi="宋体" w:cs="宋体"/>
        </w:rPr>
        <w:t>定义</w:t>
      </w:r>
      <w:r>
        <w:tab/>
      </w:r>
      <w:r>
        <w:fldChar w:fldCharType="begin"/>
      </w:r>
      <w:r>
        <w:instrText xml:space="preserve"> PAGEREF _Toc102642483 \h </w:instrText>
      </w:r>
      <w:r>
        <w:fldChar w:fldCharType="separate"/>
      </w:r>
      <w:r>
        <w:t>- 8 -</w:t>
      </w:r>
      <w:r>
        <w:fldChar w:fldCharType="end"/>
      </w:r>
      <w:r>
        <w:fldChar w:fldCharType="end"/>
      </w:r>
    </w:p>
    <w:p w14:paraId="023BCC4F">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"_Toc102642484" </w:instrText>
      </w:r>
      <w:r>
        <w:fldChar w:fldCharType="separate"/>
      </w:r>
      <w:r>
        <w:rPr>
          <w:rStyle w:val="26"/>
          <w:rFonts w:ascii="宋体" w:hAnsi="宋体" w:cs="宋体"/>
        </w:rPr>
        <w:t xml:space="preserve">3. </w:t>
      </w:r>
      <w:r>
        <w:rPr>
          <w:rStyle w:val="26"/>
          <w:rFonts w:hint="eastAsia" w:ascii="宋体" w:hAnsi="宋体" w:cs="宋体"/>
        </w:rPr>
        <w:t>供应商资格</w:t>
      </w:r>
      <w:r>
        <w:tab/>
      </w:r>
      <w:r>
        <w:fldChar w:fldCharType="begin"/>
      </w:r>
      <w:r>
        <w:instrText xml:space="preserve"> PAGEREF _Toc102642484 \h </w:instrText>
      </w:r>
      <w:r>
        <w:fldChar w:fldCharType="separate"/>
      </w:r>
      <w:r>
        <w:t>- 8 -</w:t>
      </w:r>
      <w:r>
        <w:fldChar w:fldCharType="end"/>
      </w:r>
      <w:r>
        <w:fldChar w:fldCharType="end"/>
      </w:r>
    </w:p>
    <w:p w14:paraId="4B199158">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"_Toc102642485" </w:instrText>
      </w:r>
      <w:r>
        <w:fldChar w:fldCharType="separate"/>
      </w:r>
      <w:r>
        <w:rPr>
          <w:rStyle w:val="26"/>
          <w:rFonts w:ascii="宋体" w:hAnsi="宋体" w:cs="宋体"/>
        </w:rPr>
        <w:t>3.5</w:t>
      </w:r>
      <w:r>
        <w:rPr>
          <w:rStyle w:val="26"/>
          <w:rFonts w:hint="eastAsia" w:ascii="宋体" w:hAnsi="宋体" w:cs="宋体"/>
        </w:rPr>
        <w:t>本项目的特定资格要求</w:t>
      </w:r>
      <w:r>
        <w:tab/>
      </w:r>
      <w:r>
        <w:fldChar w:fldCharType="begin"/>
      </w:r>
      <w:r>
        <w:instrText xml:space="preserve"> PAGEREF _Toc102642485 \h </w:instrText>
      </w:r>
      <w:r>
        <w:fldChar w:fldCharType="separate"/>
      </w:r>
      <w:r>
        <w:t>- 8 -</w:t>
      </w:r>
      <w:r>
        <w:fldChar w:fldCharType="end"/>
      </w:r>
      <w:r>
        <w:fldChar w:fldCharType="end"/>
      </w:r>
    </w:p>
    <w:p w14:paraId="2EE9C1FA">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"_Toc102642486" </w:instrText>
      </w:r>
      <w:r>
        <w:fldChar w:fldCharType="separate"/>
      </w:r>
      <w:r>
        <w:rPr>
          <w:rStyle w:val="26"/>
          <w:rFonts w:ascii="宋体" w:hAnsi="宋体" w:cs="宋体"/>
        </w:rPr>
        <w:t xml:space="preserve">4. </w:t>
      </w:r>
      <w:r>
        <w:rPr>
          <w:rStyle w:val="26"/>
          <w:rFonts w:hint="eastAsia" w:ascii="宋体" w:hAnsi="宋体" w:cs="宋体"/>
        </w:rPr>
        <w:t>磋商费用</w:t>
      </w:r>
      <w:r>
        <w:tab/>
      </w:r>
      <w:r>
        <w:fldChar w:fldCharType="begin"/>
      </w:r>
      <w:r>
        <w:instrText xml:space="preserve"> PAGEREF _Toc102642486 \h </w:instrText>
      </w:r>
      <w:r>
        <w:fldChar w:fldCharType="separate"/>
      </w:r>
      <w:r>
        <w:t>- 8 -</w:t>
      </w:r>
      <w:r>
        <w:fldChar w:fldCharType="end"/>
      </w:r>
      <w:r>
        <w:fldChar w:fldCharType="end"/>
      </w:r>
    </w:p>
    <w:p w14:paraId="58C3589A">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"_Toc102642487" </w:instrText>
      </w:r>
      <w:r>
        <w:fldChar w:fldCharType="separate"/>
      </w:r>
      <w:r>
        <w:rPr>
          <w:rStyle w:val="26"/>
          <w:rFonts w:ascii="宋体" w:hAnsi="宋体" w:cs="宋体"/>
        </w:rPr>
        <w:t>5.</w:t>
      </w:r>
      <w:r>
        <w:rPr>
          <w:rStyle w:val="26"/>
          <w:rFonts w:hint="eastAsia" w:ascii="宋体" w:hAnsi="宋体" w:cs="宋体"/>
        </w:rPr>
        <w:t xml:space="preserve"> 联合体要求</w:t>
      </w:r>
      <w:r>
        <w:tab/>
      </w:r>
      <w:r>
        <w:fldChar w:fldCharType="begin"/>
      </w:r>
      <w:r>
        <w:instrText xml:space="preserve"> PAGEREF _Toc102642487 \h </w:instrText>
      </w:r>
      <w:r>
        <w:fldChar w:fldCharType="separate"/>
      </w:r>
      <w:r>
        <w:t>- 8 -</w:t>
      </w:r>
      <w:r>
        <w:fldChar w:fldCharType="end"/>
      </w:r>
      <w:r>
        <w:fldChar w:fldCharType="end"/>
      </w:r>
    </w:p>
    <w:p w14:paraId="592B0268">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"_Toc102642488" </w:instrText>
      </w:r>
      <w:r>
        <w:fldChar w:fldCharType="separate"/>
      </w:r>
      <w:r>
        <w:rPr>
          <w:rStyle w:val="26"/>
          <w:rFonts w:ascii="宋体" w:hAnsi="宋体" w:cs="宋体"/>
        </w:rPr>
        <w:t>6.</w:t>
      </w:r>
      <w:r>
        <w:rPr>
          <w:rStyle w:val="26"/>
          <w:rFonts w:hint="eastAsia" w:ascii="宋体" w:hAnsi="宋体" w:cs="宋体"/>
        </w:rPr>
        <w:t xml:space="preserve"> 转包与分包</w:t>
      </w:r>
      <w:r>
        <w:tab/>
      </w:r>
      <w:r>
        <w:fldChar w:fldCharType="begin"/>
      </w:r>
      <w:r>
        <w:instrText xml:space="preserve"> PAGEREF _Toc102642488 \h </w:instrText>
      </w:r>
      <w:r>
        <w:fldChar w:fldCharType="separate"/>
      </w:r>
      <w:r>
        <w:t>- 8 -</w:t>
      </w:r>
      <w:r>
        <w:fldChar w:fldCharType="end"/>
      </w:r>
      <w:r>
        <w:fldChar w:fldCharType="end"/>
      </w:r>
    </w:p>
    <w:p w14:paraId="6208304A">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"_Toc102642489" </w:instrText>
      </w:r>
      <w:r>
        <w:fldChar w:fldCharType="separate"/>
      </w:r>
      <w:r>
        <w:rPr>
          <w:rStyle w:val="26"/>
          <w:rFonts w:ascii="宋体" w:hAnsi="宋体" w:cs="宋体"/>
        </w:rPr>
        <w:t xml:space="preserve">7. </w:t>
      </w:r>
      <w:r>
        <w:rPr>
          <w:rStyle w:val="26"/>
          <w:rFonts w:hint="eastAsia" w:ascii="宋体" w:hAnsi="宋体" w:cs="宋体"/>
        </w:rPr>
        <w:t>质疑和投诉</w:t>
      </w:r>
      <w:r>
        <w:tab/>
      </w:r>
      <w:r>
        <w:fldChar w:fldCharType="begin"/>
      </w:r>
      <w:r>
        <w:instrText xml:space="preserve"> PAGEREF _Toc102642489 \h </w:instrText>
      </w:r>
      <w:r>
        <w:fldChar w:fldCharType="separate"/>
      </w:r>
      <w:r>
        <w:t>- 8 -</w:t>
      </w:r>
      <w:r>
        <w:fldChar w:fldCharType="end"/>
      </w:r>
      <w:r>
        <w:fldChar w:fldCharType="end"/>
      </w:r>
    </w:p>
    <w:p w14:paraId="6F315EEC">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"_Toc102642490" </w:instrText>
      </w:r>
      <w:r>
        <w:fldChar w:fldCharType="separate"/>
      </w:r>
      <w:r>
        <w:rPr>
          <w:rStyle w:val="26"/>
          <w:rFonts w:ascii="宋体" w:hAnsi="宋体" w:cs="宋体"/>
        </w:rPr>
        <w:t xml:space="preserve">8. </w:t>
      </w:r>
      <w:r>
        <w:rPr>
          <w:rStyle w:val="26"/>
          <w:rFonts w:hint="eastAsia" w:ascii="宋体" w:hAnsi="宋体" w:cs="宋体"/>
        </w:rPr>
        <w:t>特别说明</w:t>
      </w:r>
      <w:r>
        <w:tab/>
      </w:r>
      <w:r>
        <w:fldChar w:fldCharType="begin"/>
      </w:r>
      <w:r>
        <w:instrText xml:space="preserve"> PAGEREF _Toc102642490 \h </w:instrText>
      </w:r>
      <w:r>
        <w:fldChar w:fldCharType="separate"/>
      </w:r>
      <w:r>
        <w:t>- 9 -</w:t>
      </w:r>
      <w:r>
        <w:fldChar w:fldCharType="end"/>
      </w:r>
      <w:r>
        <w:fldChar w:fldCharType="end"/>
      </w:r>
    </w:p>
    <w:p w14:paraId="54136DFB">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"_Toc102642491" </w:instrText>
      </w:r>
      <w:r>
        <w:fldChar w:fldCharType="separate"/>
      </w:r>
      <w:r>
        <w:rPr>
          <w:rStyle w:val="26"/>
          <w:rFonts w:hint="eastAsia" w:ascii="宋体" w:hAnsi="宋体" w:cs="宋体"/>
          <w:b/>
        </w:rPr>
        <w:t>二、磋商文件</w:t>
      </w:r>
      <w:r>
        <w:tab/>
      </w:r>
      <w:r>
        <w:fldChar w:fldCharType="begin"/>
      </w:r>
      <w:r>
        <w:instrText xml:space="preserve"> PAGEREF _Toc102642491 \h </w:instrText>
      </w:r>
      <w:r>
        <w:fldChar w:fldCharType="separate"/>
      </w:r>
      <w:r>
        <w:t>- 9 -</w:t>
      </w:r>
      <w:r>
        <w:fldChar w:fldCharType="end"/>
      </w:r>
      <w:r>
        <w:fldChar w:fldCharType="end"/>
      </w:r>
    </w:p>
    <w:p w14:paraId="086F25E8">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"_Toc102642492" </w:instrText>
      </w:r>
      <w:r>
        <w:fldChar w:fldCharType="separate"/>
      </w:r>
      <w:r>
        <w:rPr>
          <w:rStyle w:val="26"/>
          <w:rFonts w:ascii="宋体" w:hAnsi="宋体" w:cs="宋体"/>
          <w:lang w:val="pt-BR"/>
        </w:rPr>
        <w:t xml:space="preserve">9. </w:t>
      </w:r>
      <w:r>
        <w:rPr>
          <w:rStyle w:val="26"/>
          <w:rFonts w:hint="eastAsia" w:ascii="宋体" w:hAnsi="宋体" w:cs="宋体"/>
        </w:rPr>
        <w:t>磋商文件的构成</w:t>
      </w:r>
      <w:r>
        <w:tab/>
      </w:r>
      <w:r>
        <w:fldChar w:fldCharType="begin"/>
      </w:r>
      <w:r>
        <w:instrText xml:space="preserve"> PAGEREF _Toc102642492 \h </w:instrText>
      </w:r>
      <w:r>
        <w:fldChar w:fldCharType="separate"/>
      </w:r>
      <w:r>
        <w:t>- 9 -</w:t>
      </w:r>
      <w:r>
        <w:fldChar w:fldCharType="end"/>
      </w:r>
      <w:r>
        <w:fldChar w:fldCharType="end"/>
      </w:r>
    </w:p>
    <w:p w14:paraId="2B0DE217">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"_Toc102642493" </w:instrText>
      </w:r>
      <w:r>
        <w:fldChar w:fldCharType="separate"/>
      </w:r>
      <w:r>
        <w:rPr>
          <w:rStyle w:val="26"/>
          <w:rFonts w:ascii="宋体" w:hAnsi="宋体" w:cs="宋体"/>
        </w:rPr>
        <w:t xml:space="preserve">10. </w:t>
      </w:r>
      <w:r>
        <w:rPr>
          <w:rStyle w:val="26"/>
          <w:rFonts w:hint="eastAsia" w:ascii="宋体" w:hAnsi="宋体" w:cs="宋体"/>
        </w:rPr>
        <w:t>磋商文件的澄清与修改</w:t>
      </w:r>
      <w:r>
        <w:tab/>
      </w:r>
      <w:r>
        <w:fldChar w:fldCharType="begin"/>
      </w:r>
      <w:r>
        <w:instrText xml:space="preserve"> PAGEREF _Toc102642493 \h </w:instrText>
      </w:r>
      <w:r>
        <w:fldChar w:fldCharType="separate"/>
      </w:r>
      <w:r>
        <w:t>- 9 -</w:t>
      </w:r>
      <w:r>
        <w:fldChar w:fldCharType="end"/>
      </w:r>
      <w:r>
        <w:fldChar w:fldCharType="end"/>
      </w:r>
    </w:p>
    <w:p w14:paraId="4EA757A8">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"_Toc102642494" </w:instrText>
      </w:r>
      <w:r>
        <w:fldChar w:fldCharType="separate"/>
      </w:r>
      <w:r>
        <w:rPr>
          <w:rStyle w:val="26"/>
          <w:rFonts w:hint="eastAsia" w:ascii="宋体" w:hAnsi="宋体" w:cs="宋体"/>
          <w:b/>
        </w:rPr>
        <w:t>三、竞争性磋商响应文件的编制</w:t>
      </w:r>
      <w:r>
        <w:tab/>
      </w:r>
      <w:r>
        <w:fldChar w:fldCharType="begin"/>
      </w:r>
      <w:r>
        <w:instrText xml:space="preserve"> PAGEREF _Toc102642494 \h </w:instrText>
      </w:r>
      <w:r>
        <w:fldChar w:fldCharType="separate"/>
      </w:r>
      <w:r>
        <w:t>- 10 -</w:t>
      </w:r>
      <w:r>
        <w:fldChar w:fldCharType="end"/>
      </w:r>
      <w:r>
        <w:fldChar w:fldCharType="end"/>
      </w:r>
    </w:p>
    <w:p w14:paraId="04DAB6EE">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"_Toc102642495" </w:instrText>
      </w:r>
      <w:r>
        <w:fldChar w:fldCharType="separate"/>
      </w:r>
      <w:r>
        <w:rPr>
          <w:rStyle w:val="26"/>
          <w:rFonts w:ascii="宋体" w:hAnsi="宋体" w:cs="宋体"/>
        </w:rPr>
        <w:t>11.</w:t>
      </w:r>
      <w:r>
        <w:rPr>
          <w:rStyle w:val="26"/>
          <w:rFonts w:hint="eastAsia" w:ascii="宋体" w:hAnsi="宋体" w:cs="宋体"/>
        </w:rPr>
        <w:t>竞争性磋商响应文件编制基本要求</w:t>
      </w:r>
      <w:r>
        <w:tab/>
      </w:r>
      <w:r>
        <w:fldChar w:fldCharType="begin"/>
      </w:r>
      <w:r>
        <w:instrText xml:space="preserve"> PAGEREF _Toc102642495 \h </w:instrText>
      </w:r>
      <w:r>
        <w:fldChar w:fldCharType="separate"/>
      </w:r>
      <w:r>
        <w:t>- 10 -</w:t>
      </w:r>
      <w:r>
        <w:fldChar w:fldCharType="end"/>
      </w:r>
      <w:r>
        <w:fldChar w:fldCharType="end"/>
      </w:r>
    </w:p>
    <w:p w14:paraId="55A87558">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"_Toc102642496" </w:instrText>
      </w:r>
      <w:r>
        <w:fldChar w:fldCharType="separate"/>
      </w:r>
      <w:r>
        <w:rPr>
          <w:rStyle w:val="26"/>
          <w:rFonts w:ascii="宋体" w:hAnsi="宋体" w:cs="宋体"/>
        </w:rPr>
        <w:t xml:space="preserve">12. </w:t>
      </w:r>
      <w:r>
        <w:rPr>
          <w:rStyle w:val="26"/>
          <w:rFonts w:hint="eastAsia" w:ascii="宋体" w:hAnsi="宋体" w:cs="宋体"/>
        </w:rPr>
        <w:t>响应文件的语言及计量</w:t>
      </w:r>
      <w:r>
        <w:tab/>
      </w:r>
      <w:r>
        <w:fldChar w:fldCharType="begin"/>
      </w:r>
      <w:r>
        <w:instrText xml:space="preserve"> PAGEREF _Toc102642496 \h </w:instrText>
      </w:r>
      <w:r>
        <w:fldChar w:fldCharType="separate"/>
      </w:r>
      <w:r>
        <w:t>- 12 -</w:t>
      </w:r>
      <w:r>
        <w:fldChar w:fldCharType="end"/>
      </w:r>
      <w:r>
        <w:fldChar w:fldCharType="end"/>
      </w:r>
    </w:p>
    <w:p w14:paraId="3AAA833E">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"_Toc102642497" </w:instrText>
      </w:r>
      <w:r>
        <w:fldChar w:fldCharType="separate"/>
      </w:r>
      <w:r>
        <w:rPr>
          <w:rStyle w:val="26"/>
          <w:rFonts w:ascii="宋体" w:hAnsi="宋体" w:cs="宋体"/>
        </w:rPr>
        <w:t xml:space="preserve">13. </w:t>
      </w:r>
      <w:r>
        <w:rPr>
          <w:rStyle w:val="26"/>
          <w:rFonts w:hint="eastAsia" w:ascii="宋体" w:hAnsi="宋体" w:cs="宋体"/>
        </w:rPr>
        <w:t>磋商报价及采购预算金额</w:t>
      </w:r>
      <w:r>
        <w:tab/>
      </w:r>
      <w:r>
        <w:fldChar w:fldCharType="begin"/>
      </w:r>
      <w:r>
        <w:instrText xml:space="preserve"> PAGEREF _Toc102642497 \h </w:instrText>
      </w:r>
      <w:r>
        <w:fldChar w:fldCharType="separate"/>
      </w:r>
      <w:r>
        <w:t>- 12 -</w:t>
      </w:r>
      <w:r>
        <w:fldChar w:fldCharType="end"/>
      </w:r>
      <w:r>
        <w:fldChar w:fldCharType="end"/>
      </w:r>
    </w:p>
    <w:p w14:paraId="3A79A5EF">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"_Toc102642498" </w:instrText>
      </w:r>
      <w:r>
        <w:fldChar w:fldCharType="separate"/>
      </w:r>
      <w:r>
        <w:rPr>
          <w:rStyle w:val="26"/>
          <w:rFonts w:ascii="宋体" w:hAnsi="宋体" w:cs="宋体"/>
        </w:rPr>
        <w:t xml:space="preserve">14. </w:t>
      </w:r>
      <w:r>
        <w:rPr>
          <w:rStyle w:val="26"/>
          <w:rFonts w:hint="eastAsia" w:ascii="宋体" w:hAnsi="宋体" w:cs="宋体"/>
        </w:rPr>
        <w:t>响应文件有效期</w:t>
      </w:r>
      <w:r>
        <w:tab/>
      </w:r>
      <w:r>
        <w:fldChar w:fldCharType="begin"/>
      </w:r>
      <w:r>
        <w:instrText xml:space="preserve"> PAGEREF _Toc102642498 \h </w:instrText>
      </w:r>
      <w:r>
        <w:fldChar w:fldCharType="separate"/>
      </w:r>
      <w:r>
        <w:t>- 13 -</w:t>
      </w:r>
      <w:r>
        <w:fldChar w:fldCharType="end"/>
      </w:r>
      <w:r>
        <w:fldChar w:fldCharType="end"/>
      </w:r>
    </w:p>
    <w:p w14:paraId="67DF9571">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"_Toc102642499" </w:instrText>
      </w:r>
      <w:r>
        <w:fldChar w:fldCharType="separate"/>
      </w:r>
      <w:r>
        <w:rPr>
          <w:rStyle w:val="26"/>
          <w:rFonts w:ascii="宋体" w:hAnsi="宋体" w:cs="宋体"/>
        </w:rPr>
        <w:t xml:space="preserve">15. </w:t>
      </w:r>
      <w:r>
        <w:rPr>
          <w:rStyle w:val="26"/>
          <w:rFonts w:hint="eastAsia" w:ascii="宋体" w:hAnsi="宋体" w:cs="宋体"/>
        </w:rPr>
        <w:t>磋商保证金</w:t>
      </w:r>
      <w:r>
        <w:tab/>
      </w:r>
      <w:r>
        <w:fldChar w:fldCharType="begin"/>
      </w:r>
      <w:r>
        <w:instrText xml:space="preserve"> PAGEREF _Toc102642499 \h </w:instrText>
      </w:r>
      <w:r>
        <w:fldChar w:fldCharType="separate"/>
      </w:r>
      <w:r>
        <w:t>- 13 -</w:t>
      </w:r>
      <w:r>
        <w:fldChar w:fldCharType="end"/>
      </w:r>
      <w:r>
        <w:fldChar w:fldCharType="end"/>
      </w:r>
    </w:p>
    <w:p w14:paraId="0775052B">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"_Toc102642500" </w:instrText>
      </w:r>
      <w:r>
        <w:fldChar w:fldCharType="separate"/>
      </w:r>
      <w:r>
        <w:rPr>
          <w:rStyle w:val="26"/>
          <w:rFonts w:ascii="宋体" w:hAnsi="宋体" w:cs="宋体"/>
        </w:rPr>
        <w:t xml:space="preserve">16. </w:t>
      </w:r>
      <w:r>
        <w:rPr>
          <w:rStyle w:val="26"/>
          <w:rFonts w:hint="eastAsia" w:ascii="宋体" w:hAnsi="宋体" w:cs="宋体"/>
        </w:rPr>
        <w:t>竞争性磋商响应文件的制作</w:t>
      </w:r>
      <w:r>
        <w:tab/>
      </w:r>
      <w:r>
        <w:fldChar w:fldCharType="begin"/>
      </w:r>
      <w:r>
        <w:instrText xml:space="preserve"> PAGEREF _Toc102642500 \h </w:instrText>
      </w:r>
      <w:r>
        <w:fldChar w:fldCharType="separate"/>
      </w:r>
      <w:r>
        <w:t>- 13 -</w:t>
      </w:r>
      <w:r>
        <w:fldChar w:fldCharType="end"/>
      </w:r>
      <w:r>
        <w:fldChar w:fldCharType="end"/>
      </w:r>
    </w:p>
    <w:p w14:paraId="2F53F26D">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"_Toc102642501" </w:instrText>
      </w:r>
      <w:r>
        <w:fldChar w:fldCharType="separate"/>
      </w:r>
      <w:r>
        <w:rPr>
          <w:rStyle w:val="26"/>
          <w:rFonts w:ascii="宋体" w:hAnsi="宋体" w:cs="宋体"/>
        </w:rPr>
        <w:t xml:space="preserve">17. </w:t>
      </w:r>
      <w:r>
        <w:rPr>
          <w:rStyle w:val="26"/>
          <w:rFonts w:hint="eastAsia" w:ascii="宋体" w:hAnsi="宋体" w:cs="宋体"/>
        </w:rPr>
        <w:t>响应文件的修改和撤回</w:t>
      </w:r>
      <w:r>
        <w:tab/>
      </w:r>
      <w:r>
        <w:fldChar w:fldCharType="begin"/>
      </w:r>
      <w:r>
        <w:instrText xml:space="preserve"> PAGEREF _Toc102642501 \h </w:instrText>
      </w:r>
      <w:r>
        <w:fldChar w:fldCharType="separate"/>
      </w:r>
      <w:r>
        <w:t>- 13 -</w:t>
      </w:r>
      <w:r>
        <w:fldChar w:fldCharType="end"/>
      </w:r>
      <w:r>
        <w:fldChar w:fldCharType="end"/>
      </w:r>
    </w:p>
    <w:p w14:paraId="42881517">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"_Toc102642502" </w:instrText>
      </w:r>
      <w:r>
        <w:fldChar w:fldCharType="separate"/>
      </w:r>
      <w:r>
        <w:rPr>
          <w:rStyle w:val="26"/>
          <w:rFonts w:ascii="宋体" w:hAnsi="宋体" w:cs="宋体"/>
        </w:rPr>
        <w:t xml:space="preserve">18. </w:t>
      </w:r>
      <w:r>
        <w:rPr>
          <w:rStyle w:val="26"/>
          <w:rFonts w:hint="eastAsia" w:ascii="宋体" w:hAnsi="宋体" w:cs="宋体"/>
        </w:rPr>
        <w:t>响应文件的递交和解密</w:t>
      </w:r>
      <w:r>
        <w:tab/>
      </w:r>
      <w:r>
        <w:fldChar w:fldCharType="begin"/>
      </w:r>
      <w:r>
        <w:instrText xml:space="preserve"> PAGEREF _Toc102642502 \h </w:instrText>
      </w:r>
      <w:r>
        <w:fldChar w:fldCharType="separate"/>
      </w:r>
      <w:r>
        <w:t>- 14 -</w:t>
      </w:r>
      <w:r>
        <w:fldChar w:fldCharType="end"/>
      </w:r>
      <w:r>
        <w:fldChar w:fldCharType="end"/>
      </w:r>
    </w:p>
    <w:p w14:paraId="799DF6DB">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"_Toc102642503" </w:instrText>
      </w:r>
      <w:r>
        <w:fldChar w:fldCharType="separate"/>
      </w:r>
      <w:r>
        <w:rPr>
          <w:rStyle w:val="26"/>
          <w:rFonts w:hint="eastAsia" w:ascii="宋体" w:hAnsi="宋体" w:cs="宋体"/>
          <w:b/>
        </w:rPr>
        <w:t>四、竞争性磋商（简称磋商）与评审</w:t>
      </w:r>
      <w:r>
        <w:tab/>
      </w:r>
      <w:r>
        <w:fldChar w:fldCharType="begin"/>
      </w:r>
      <w:r>
        <w:instrText xml:space="preserve"> PAGEREF _Toc102642503 \h </w:instrText>
      </w:r>
      <w:r>
        <w:fldChar w:fldCharType="separate"/>
      </w:r>
      <w:r>
        <w:t>- 14 -</w:t>
      </w:r>
      <w:r>
        <w:fldChar w:fldCharType="end"/>
      </w:r>
      <w:r>
        <w:fldChar w:fldCharType="end"/>
      </w:r>
    </w:p>
    <w:p w14:paraId="3C143827">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"_Toc102642504" </w:instrText>
      </w:r>
      <w:r>
        <w:fldChar w:fldCharType="separate"/>
      </w:r>
      <w:r>
        <w:rPr>
          <w:rStyle w:val="26"/>
          <w:rFonts w:ascii="宋体" w:hAnsi="宋体" w:cs="宋体"/>
        </w:rPr>
        <w:t xml:space="preserve">19. </w:t>
      </w:r>
      <w:r>
        <w:rPr>
          <w:rStyle w:val="26"/>
          <w:rFonts w:hint="eastAsia" w:ascii="宋体" w:hAnsi="宋体" w:cs="宋体"/>
        </w:rPr>
        <w:t>磋商小组组成及磋商时间、地点、人员</w:t>
      </w:r>
      <w:r>
        <w:tab/>
      </w:r>
      <w:r>
        <w:fldChar w:fldCharType="begin"/>
      </w:r>
      <w:r>
        <w:instrText xml:space="preserve"> PAGEREF _Toc102642504 \h </w:instrText>
      </w:r>
      <w:r>
        <w:fldChar w:fldCharType="separate"/>
      </w:r>
      <w:r>
        <w:t>- 14 -</w:t>
      </w:r>
      <w:r>
        <w:fldChar w:fldCharType="end"/>
      </w:r>
      <w:r>
        <w:fldChar w:fldCharType="end"/>
      </w:r>
    </w:p>
    <w:p w14:paraId="6EBB0F19">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"_Toc102642505" </w:instrText>
      </w:r>
      <w:r>
        <w:fldChar w:fldCharType="separate"/>
      </w:r>
      <w:r>
        <w:rPr>
          <w:rStyle w:val="26"/>
          <w:rFonts w:ascii="宋体" w:hAnsi="宋体" w:cs="宋体"/>
        </w:rPr>
        <w:t xml:space="preserve">20. </w:t>
      </w:r>
      <w:r>
        <w:rPr>
          <w:rStyle w:val="26"/>
          <w:rFonts w:hint="eastAsia" w:ascii="宋体" w:hAnsi="宋体" w:cs="宋体"/>
        </w:rPr>
        <w:t>评审原则</w:t>
      </w:r>
      <w:r>
        <w:tab/>
      </w:r>
      <w:r>
        <w:fldChar w:fldCharType="begin"/>
      </w:r>
      <w:r>
        <w:instrText xml:space="preserve"> PAGEREF _Toc102642505 \h </w:instrText>
      </w:r>
      <w:r>
        <w:fldChar w:fldCharType="separate"/>
      </w:r>
      <w:r>
        <w:t>- 15 -</w:t>
      </w:r>
      <w:r>
        <w:fldChar w:fldCharType="end"/>
      </w:r>
      <w:r>
        <w:fldChar w:fldCharType="end"/>
      </w:r>
    </w:p>
    <w:p w14:paraId="193F379B">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"_Toc102642506" </w:instrText>
      </w:r>
      <w:r>
        <w:fldChar w:fldCharType="separate"/>
      </w:r>
      <w:r>
        <w:rPr>
          <w:rStyle w:val="26"/>
          <w:rFonts w:ascii="宋体" w:hAnsi="宋体" w:cs="宋体"/>
        </w:rPr>
        <w:t xml:space="preserve">21. </w:t>
      </w:r>
      <w:r>
        <w:rPr>
          <w:rStyle w:val="26"/>
          <w:rFonts w:hint="eastAsia" w:ascii="宋体" w:hAnsi="宋体" w:cs="宋体"/>
        </w:rPr>
        <w:t>评审程序及磋商要求</w:t>
      </w:r>
      <w:r>
        <w:tab/>
      </w:r>
      <w:r>
        <w:fldChar w:fldCharType="begin"/>
      </w:r>
      <w:r>
        <w:instrText xml:space="preserve"> PAGEREF _Toc102642506 \h </w:instrText>
      </w:r>
      <w:r>
        <w:fldChar w:fldCharType="separate"/>
      </w:r>
      <w:r>
        <w:t>- 15 -</w:t>
      </w:r>
      <w:r>
        <w:fldChar w:fldCharType="end"/>
      </w:r>
      <w:r>
        <w:fldChar w:fldCharType="end"/>
      </w:r>
    </w:p>
    <w:p w14:paraId="29450329">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"_Toc102642507" </w:instrText>
      </w:r>
      <w:r>
        <w:fldChar w:fldCharType="separate"/>
      </w:r>
      <w:r>
        <w:rPr>
          <w:rStyle w:val="26"/>
          <w:rFonts w:ascii="宋体" w:hAnsi="宋体" w:cs="宋体"/>
        </w:rPr>
        <w:t xml:space="preserve">22. </w:t>
      </w:r>
      <w:r>
        <w:rPr>
          <w:rStyle w:val="26"/>
          <w:rFonts w:hint="eastAsia" w:ascii="宋体" w:hAnsi="宋体" w:cs="宋体"/>
        </w:rPr>
        <w:t>确定成交供应商</w:t>
      </w:r>
      <w:r>
        <w:tab/>
      </w:r>
      <w:r>
        <w:fldChar w:fldCharType="begin"/>
      </w:r>
      <w:r>
        <w:instrText xml:space="preserve"> PAGEREF _Toc102642507 \h </w:instrText>
      </w:r>
      <w:r>
        <w:fldChar w:fldCharType="separate"/>
      </w:r>
      <w:r>
        <w:t>- 18 -</w:t>
      </w:r>
      <w:r>
        <w:fldChar w:fldCharType="end"/>
      </w:r>
      <w:r>
        <w:fldChar w:fldCharType="end"/>
      </w:r>
    </w:p>
    <w:p w14:paraId="57970B2B">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"_Toc102642508" </w:instrText>
      </w:r>
      <w:r>
        <w:fldChar w:fldCharType="separate"/>
      </w:r>
      <w:r>
        <w:rPr>
          <w:rStyle w:val="26"/>
          <w:rFonts w:ascii="宋体" w:hAnsi="宋体" w:cs="宋体"/>
        </w:rPr>
        <w:t xml:space="preserve">23. </w:t>
      </w:r>
      <w:r>
        <w:rPr>
          <w:rStyle w:val="26"/>
          <w:rFonts w:hint="eastAsia" w:ascii="宋体" w:hAnsi="宋体" w:cs="宋体"/>
        </w:rPr>
        <w:t>属于下列情况之一者，响应文件无效</w:t>
      </w:r>
      <w:r>
        <w:tab/>
      </w:r>
      <w:r>
        <w:fldChar w:fldCharType="begin"/>
      </w:r>
      <w:r>
        <w:instrText xml:space="preserve"> PAGEREF _Toc102642508 \h </w:instrText>
      </w:r>
      <w:r>
        <w:fldChar w:fldCharType="separate"/>
      </w:r>
      <w:r>
        <w:t>- 18 -</w:t>
      </w:r>
      <w:r>
        <w:fldChar w:fldCharType="end"/>
      </w:r>
      <w:r>
        <w:fldChar w:fldCharType="end"/>
      </w:r>
    </w:p>
    <w:p w14:paraId="58945134">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"_Toc102642509" </w:instrText>
      </w:r>
      <w:r>
        <w:fldChar w:fldCharType="separate"/>
      </w:r>
      <w:r>
        <w:rPr>
          <w:rStyle w:val="26"/>
          <w:rFonts w:ascii="宋体" w:hAnsi="宋体" w:cs="宋体"/>
        </w:rPr>
        <w:t xml:space="preserve">24. </w:t>
      </w:r>
      <w:r>
        <w:rPr>
          <w:rStyle w:val="26"/>
          <w:rFonts w:hint="eastAsia" w:ascii="宋体" w:hAnsi="宋体" w:cs="宋体"/>
        </w:rPr>
        <w:t>出现下列情形之一的，采购人或者采购代理机构应当终止竞争性磋商采购活动，发布项目终止公告并说明原因，重新开展采购活动</w:t>
      </w:r>
      <w:r>
        <w:tab/>
      </w:r>
      <w:r>
        <w:fldChar w:fldCharType="begin"/>
      </w:r>
      <w:r>
        <w:instrText xml:space="preserve"> PAGEREF _Toc102642509 \h </w:instrText>
      </w:r>
      <w:r>
        <w:fldChar w:fldCharType="separate"/>
      </w:r>
      <w:r>
        <w:t>- 19 -</w:t>
      </w:r>
      <w:r>
        <w:fldChar w:fldCharType="end"/>
      </w:r>
      <w:r>
        <w:fldChar w:fldCharType="end"/>
      </w:r>
    </w:p>
    <w:p w14:paraId="4CFC16E6">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"_Toc102642510" </w:instrText>
      </w:r>
      <w:r>
        <w:fldChar w:fldCharType="separate"/>
      </w:r>
      <w:r>
        <w:rPr>
          <w:rStyle w:val="26"/>
          <w:rFonts w:ascii="宋体" w:hAnsi="宋体" w:cs="宋体"/>
        </w:rPr>
        <w:t xml:space="preserve">25. </w:t>
      </w:r>
      <w:r>
        <w:rPr>
          <w:rStyle w:val="26"/>
          <w:rFonts w:hint="eastAsia" w:ascii="宋体" w:hAnsi="宋体" w:cs="宋体"/>
        </w:rPr>
        <w:t>磋商过程的监控</w:t>
      </w:r>
      <w:r>
        <w:tab/>
      </w:r>
      <w:r>
        <w:fldChar w:fldCharType="begin"/>
      </w:r>
      <w:r>
        <w:instrText xml:space="preserve"> PAGEREF _Toc102642510 \h </w:instrText>
      </w:r>
      <w:r>
        <w:fldChar w:fldCharType="separate"/>
      </w:r>
      <w:r>
        <w:t>- 19 -</w:t>
      </w:r>
      <w:r>
        <w:fldChar w:fldCharType="end"/>
      </w:r>
      <w:r>
        <w:fldChar w:fldCharType="end"/>
      </w:r>
    </w:p>
    <w:p w14:paraId="7E075BAE">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"_Toc102642511" </w:instrText>
      </w:r>
      <w:r>
        <w:fldChar w:fldCharType="separate"/>
      </w:r>
      <w:r>
        <w:rPr>
          <w:rStyle w:val="26"/>
          <w:rFonts w:ascii="宋体" w:hAnsi="宋体" w:cs="宋体"/>
        </w:rPr>
        <w:t>26.</w:t>
      </w:r>
      <w:r>
        <w:rPr>
          <w:rStyle w:val="26"/>
          <w:rFonts w:hint="eastAsia" w:ascii="宋体" w:hAnsi="宋体" w:cs="宋体"/>
        </w:rPr>
        <w:t xml:space="preserve"> 信用查询</w:t>
      </w:r>
      <w:r>
        <w:tab/>
      </w:r>
      <w:r>
        <w:fldChar w:fldCharType="begin"/>
      </w:r>
      <w:r>
        <w:instrText xml:space="preserve"> PAGEREF _Toc102642511 \h </w:instrText>
      </w:r>
      <w:r>
        <w:fldChar w:fldCharType="separate"/>
      </w:r>
      <w:r>
        <w:t>- 19 -</w:t>
      </w:r>
      <w:r>
        <w:fldChar w:fldCharType="end"/>
      </w:r>
      <w:r>
        <w:fldChar w:fldCharType="end"/>
      </w:r>
    </w:p>
    <w:p w14:paraId="7B551227">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"_Toc102642512" </w:instrText>
      </w:r>
      <w:r>
        <w:fldChar w:fldCharType="separate"/>
      </w:r>
      <w:r>
        <w:rPr>
          <w:rStyle w:val="26"/>
          <w:rFonts w:ascii="宋体" w:hAnsi="宋体" w:cs="宋体"/>
        </w:rPr>
        <w:t xml:space="preserve">27. </w:t>
      </w:r>
      <w:r>
        <w:rPr>
          <w:rStyle w:val="26"/>
          <w:rFonts w:hint="eastAsia" w:ascii="宋体" w:hAnsi="宋体" w:cs="宋体"/>
        </w:rPr>
        <w:t>成交结果公告及成交通知书</w:t>
      </w:r>
      <w:r>
        <w:tab/>
      </w:r>
      <w:r>
        <w:fldChar w:fldCharType="begin"/>
      </w:r>
      <w:r>
        <w:instrText xml:space="preserve"> PAGEREF _Toc102642512 \h </w:instrText>
      </w:r>
      <w:r>
        <w:fldChar w:fldCharType="separate"/>
      </w:r>
      <w:r>
        <w:t>- 19 -</w:t>
      </w:r>
      <w:r>
        <w:fldChar w:fldCharType="end"/>
      </w:r>
      <w:r>
        <w:fldChar w:fldCharType="end"/>
      </w:r>
    </w:p>
    <w:p w14:paraId="09A64A66">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"_Toc102642513" </w:instrText>
      </w:r>
      <w:r>
        <w:fldChar w:fldCharType="separate"/>
      </w:r>
      <w:r>
        <w:rPr>
          <w:rStyle w:val="26"/>
          <w:rFonts w:hint="eastAsia" w:ascii="宋体" w:hAnsi="宋体" w:cs="宋体"/>
          <w:b/>
        </w:rPr>
        <w:t>五、履约保证金及签订合同</w:t>
      </w:r>
      <w:r>
        <w:tab/>
      </w:r>
      <w:r>
        <w:fldChar w:fldCharType="begin"/>
      </w:r>
      <w:r>
        <w:instrText xml:space="preserve"> PAGEREF _Toc102642513 \h </w:instrText>
      </w:r>
      <w:r>
        <w:fldChar w:fldCharType="separate"/>
      </w:r>
      <w:r>
        <w:t>- 20 -</w:t>
      </w:r>
      <w:r>
        <w:fldChar w:fldCharType="end"/>
      </w:r>
      <w:r>
        <w:fldChar w:fldCharType="end"/>
      </w:r>
    </w:p>
    <w:p w14:paraId="4B80D1A4">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"_Toc102642514" </w:instrText>
      </w:r>
      <w:r>
        <w:fldChar w:fldCharType="separate"/>
      </w:r>
      <w:r>
        <w:rPr>
          <w:rStyle w:val="26"/>
          <w:rFonts w:ascii="宋体" w:hAnsi="宋体" w:cs="宋体"/>
        </w:rPr>
        <w:t xml:space="preserve">28. </w:t>
      </w:r>
      <w:r>
        <w:rPr>
          <w:rStyle w:val="26"/>
          <w:rFonts w:hint="eastAsia" w:ascii="宋体" w:hAnsi="宋体" w:cs="宋体"/>
        </w:rPr>
        <w:t>履约保证金</w:t>
      </w:r>
      <w:r>
        <w:tab/>
      </w:r>
      <w:r>
        <w:fldChar w:fldCharType="begin"/>
      </w:r>
      <w:r>
        <w:instrText xml:space="preserve"> PAGEREF _Toc102642514 \h </w:instrText>
      </w:r>
      <w:r>
        <w:fldChar w:fldCharType="separate"/>
      </w:r>
      <w:r>
        <w:t>- 20 -</w:t>
      </w:r>
      <w:r>
        <w:fldChar w:fldCharType="end"/>
      </w:r>
      <w:r>
        <w:fldChar w:fldCharType="end"/>
      </w:r>
    </w:p>
    <w:p w14:paraId="27F76F53">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"_Toc102642515" </w:instrText>
      </w:r>
      <w:r>
        <w:fldChar w:fldCharType="separate"/>
      </w:r>
      <w:r>
        <w:rPr>
          <w:rStyle w:val="26"/>
          <w:rFonts w:hint="eastAsia" w:ascii="宋体" w:hAnsi="宋体" w:cs="宋体"/>
          <w:bCs/>
        </w:rPr>
        <w:t>本项目无需缴纳履约保证金。</w:t>
      </w:r>
      <w:r>
        <w:tab/>
      </w:r>
      <w:r>
        <w:fldChar w:fldCharType="begin"/>
      </w:r>
      <w:r>
        <w:instrText xml:space="preserve"> PAGEREF _Toc102642515 \h </w:instrText>
      </w:r>
      <w:r>
        <w:fldChar w:fldCharType="separate"/>
      </w:r>
      <w:r>
        <w:t>- 20 -</w:t>
      </w:r>
      <w:r>
        <w:fldChar w:fldCharType="end"/>
      </w:r>
      <w:r>
        <w:fldChar w:fldCharType="end"/>
      </w:r>
    </w:p>
    <w:p w14:paraId="5A768876">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"_Toc102642516" </w:instrText>
      </w:r>
      <w:r>
        <w:fldChar w:fldCharType="separate"/>
      </w:r>
      <w:r>
        <w:rPr>
          <w:rStyle w:val="26"/>
          <w:rFonts w:ascii="宋体" w:hAnsi="宋体" w:cs="宋体"/>
        </w:rPr>
        <w:t xml:space="preserve">29. </w:t>
      </w:r>
      <w:r>
        <w:rPr>
          <w:rStyle w:val="26"/>
          <w:rFonts w:hint="eastAsia" w:ascii="宋体" w:hAnsi="宋体" w:cs="宋体"/>
        </w:rPr>
        <w:t>签订合同</w:t>
      </w:r>
      <w:r>
        <w:tab/>
      </w:r>
      <w:r>
        <w:fldChar w:fldCharType="begin"/>
      </w:r>
      <w:r>
        <w:instrText xml:space="preserve"> PAGEREF _Toc102642516 \h </w:instrText>
      </w:r>
      <w:r>
        <w:fldChar w:fldCharType="separate"/>
      </w:r>
      <w:r>
        <w:t>- 20 -</w:t>
      </w:r>
      <w:r>
        <w:fldChar w:fldCharType="end"/>
      </w:r>
      <w:r>
        <w:fldChar w:fldCharType="end"/>
      </w:r>
    </w:p>
    <w:p w14:paraId="105DF162">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"_Toc102642517" </w:instrText>
      </w:r>
      <w:r>
        <w:fldChar w:fldCharType="separate"/>
      </w:r>
      <w:r>
        <w:rPr>
          <w:rStyle w:val="26"/>
          <w:rFonts w:hint="eastAsia" w:ascii="宋体" w:hAnsi="宋体" w:cs="宋体"/>
          <w:b/>
        </w:rPr>
        <w:t>六、其他事项</w:t>
      </w:r>
      <w:r>
        <w:tab/>
      </w:r>
      <w:r>
        <w:fldChar w:fldCharType="begin"/>
      </w:r>
      <w:r>
        <w:instrText xml:space="preserve"> PAGEREF _Toc102642517 \h </w:instrText>
      </w:r>
      <w:r>
        <w:fldChar w:fldCharType="separate"/>
      </w:r>
      <w:r>
        <w:t>- 20 -</w:t>
      </w:r>
      <w:r>
        <w:fldChar w:fldCharType="end"/>
      </w:r>
      <w:r>
        <w:fldChar w:fldCharType="end"/>
      </w:r>
    </w:p>
    <w:p w14:paraId="7F020042">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"_Toc102642518" </w:instrText>
      </w:r>
      <w:r>
        <w:fldChar w:fldCharType="separate"/>
      </w:r>
      <w:r>
        <w:rPr>
          <w:rStyle w:val="26"/>
          <w:rFonts w:ascii="宋体" w:hAnsi="宋体" w:cs="宋体"/>
        </w:rPr>
        <w:t xml:space="preserve">30. </w:t>
      </w:r>
      <w:r>
        <w:rPr>
          <w:rStyle w:val="26"/>
          <w:rFonts w:hint="eastAsia" w:ascii="宋体" w:hAnsi="宋体" w:cs="宋体"/>
        </w:rPr>
        <w:t>采购代理服务费</w:t>
      </w:r>
      <w:r>
        <w:tab/>
      </w:r>
      <w:r>
        <w:fldChar w:fldCharType="begin"/>
      </w:r>
      <w:r>
        <w:instrText xml:space="preserve"> PAGEREF _Toc102642518 \h </w:instrText>
      </w:r>
      <w:r>
        <w:fldChar w:fldCharType="separate"/>
      </w:r>
      <w:r>
        <w:t>- 20 -</w:t>
      </w:r>
      <w:r>
        <w:fldChar w:fldCharType="end"/>
      </w:r>
      <w:r>
        <w:fldChar w:fldCharType="end"/>
      </w:r>
    </w:p>
    <w:p w14:paraId="0AD0E502">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"_Toc102642519" </w:instrText>
      </w:r>
      <w:r>
        <w:fldChar w:fldCharType="separate"/>
      </w:r>
      <w:r>
        <w:rPr>
          <w:rStyle w:val="26"/>
          <w:rFonts w:ascii="宋体" w:hAnsi="宋体" w:cs="宋体"/>
        </w:rPr>
        <w:t xml:space="preserve">33. </w:t>
      </w:r>
      <w:r>
        <w:rPr>
          <w:rStyle w:val="26"/>
          <w:rFonts w:hint="eastAsia" w:ascii="宋体" w:hAnsi="宋体" w:cs="宋体"/>
        </w:rPr>
        <w:t>监督管理机构</w:t>
      </w:r>
      <w:r>
        <w:tab/>
      </w:r>
      <w:r>
        <w:fldChar w:fldCharType="begin"/>
      </w:r>
      <w:r>
        <w:instrText xml:space="preserve"> PAGEREF _Toc102642519 \h </w:instrText>
      </w:r>
      <w:r>
        <w:fldChar w:fldCharType="separate"/>
      </w:r>
      <w:r>
        <w:t>- 21 -</w:t>
      </w:r>
      <w:r>
        <w:fldChar w:fldCharType="end"/>
      </w:r>
      <w:r>
        <w:fldChar w:fldCharType="end"/>
      </w:r>
    </w:p>
    <w:p w14:paraId="0AEE291D">
      <w:pPr>
        <w:pStyle w:val="16"/>
        <w:tabs>
          <w:tab w:val="right" w:leader="dot" w:pos="10184"/>
        </w:tabs>
        <w:rPr>
          <w:rFonts w:asciiTheme="minorHAnsi" w:hAnsiTheme="minorHAnsi" w:eastAsiaTheme="minorEastAsia" w:cstheme="minorBidi"/>
          <w:szCs w:val="22"/>
        </w:rPr>
      </w:pPr>
      <w:r>
        <w:fldChar w:fldCharType="begin"/>
      </w:r>
      <w:r>
        <w:instrText xml:space="preserve"> HYPERLINK \l "_Toc102642520" </w:instrText>
      </w:r>
      <w:r>
        <w:fldChar w:fldCharType="separate"/>
      </w:r>
      <w:r>
        <w:rPr>
          <w:rStyle w:val="26"/>
          <w:rFonts w:hint="eastAsia" w:ascii="宋体" w:hAnsi="宋体" w:cs="宋体"/>
        </w:rPr>
        <w:t>第三章</w:t>
      </w:r>
      <w:r>
        <w:rPr>
          <w:rStyle w:val="26"/>
          <w:rFonts w:ascii="宋体" w:hAnsi="宋体" w:cs="宋体"/>
        </w:rPr>
        <w:t xml:space="preserve"> </w:t>
      </w:r>
      <w:r>
        <w:rPr>
          <w:rStyle w:val="26"/>
          <w:rFonts w:hint="eastAsia" w:ascii="宋体" w:hAnsi="宋体" w:cs="宋体"/>
        </w:rPr>
        <w:t>采购需求</w:t>
      </w:r>
      <w:r>
        <w:tab/>
      </w:r>
      <w:r>
        <w:fldChar w:fldCharType="begin"/>
      </w:r>
      <w:r>
        <w:instrText xml:space="preserve"> PAGEREF _Toc102642520 \h </w:instrText>
      </w:r>
      <w:r>
        <w:fldChar w:fldCharType="separate"/>
      </w:r>
      <w:r>
        <w:t>- 22 -</w:t>
      </w:r>
      <w:r>
        <w:fldChar w:fldCharType="end"/>
      </w:r>
      <w:r>
        <w:fldChar w:fldCharType="end"/>
      </w:r>
    </w:p>
    <w:p w14:paraId="6DABF787">
      <w:pPr>
        <w:pStyle w:val="16"/>
        <w:tabs>
          <w:tab w:val="right" w:leader="dot" w:pos="10184"/>
        </w:tabs>
        <w:rPr>
          <w:rFonts w:asciiTheme="minorHAnsi" w:hAnsiTheme="minorHAnsi" w:eastAsiaTheme="minorEastAsia" w:cstheme="minorBidi"/>
          <w:szCs w:val="22"/>
        </w:rPr>
      </w:pPr>
      <w:r>
        <w:fldChar w:fldCharType="begin"/>
      </w:r>
      <w:r>
        <w:instrText xml:space="preserve"> HYPERLINK \l "_Toc102642521" </w:instrText>
      </w:r>
      <w:r>
        <w:fldChar w:fldCharType="separate"/>
      </w:r>
      <w:r>
        <w:rPr>
          <w:rStyle w:val="26"/>
          <w:rFonts w:hint="eastAsia" w:ascii="宋体" w:hAnsi="宋体" w:cs="宋体"/>
        </w:rPr>
        <w:t>第四章</w:t>
      </w:r>
      <w:r>
        <w:rPr>
          <w:rStyle w:val="26"/>
          <w:rFonts w:ascii="宋体" w:hAnsi="宋体" w:cs="宋体"/>
        </w:rPr>
        <w:t xml:space="preserve"> </w:t>
      </w:r>
      <w:r>
        <w:rPr>
          <w:rStyle w:val="26"/>
          <w:rFonts w:hint="eastAsia" w:ascii="宋体" w:hAnsi="宋体" w:cs="宋体"/>
        </w:rPr>
        <w:t>评审办法</w:t>
      </w:r>
      <w:r>
        <w:tab/>
      </w:r>
      <w:r>
        <w:fldChar w:fldCharType="begin"/>
      </w:r>
      <w:r>
        <w:instrText xml:space="preserve"> PAGEREF _Toc102642521 \h </w:instrText>
      </w:r>
      <w:r>
        <w:fldChar w:fldCharType="separate"/>
      </w:r>
      <w:r>
        <w:t>- 26 -</w:t>
      </w:r>
      <w:r>
        <w:fldChar w:fldCharType="end"/>
      </w:r>
      <w:r>
        <w:fldChar w:fldCharType="end"/>
      </w:r>
    </w:p>
    <w:p w14:paraId="7943E682">
      <w:pPr>
        <w:pStyle w:val="11"/>
        <w:tabs>
          <w:tab w:val="right" w:leader="dot" w:pos="10184"/>
        </w:tabs>
        <w:rPr>
          <w:rFonts w:asciiTheme="minorHAnsi" w:hAnsiTheme="minorHAnsi" w:eastAsiaTheme="minorEastAsia" w:cstheme="minorBidi"/>
          <w:szCs w:val="22"/>
        </w:rPr>
      </w:pPr>
      <w:r>
        <w:fldChar w:fldCharType="begin"/>
      </w:r>
      <w:r>
        <w:instrText xml:space="preserve"> HYPERLINK \l "_Toc102642522" </w:instrText>
      </w:r>
      <w:r>
        <w:fldChar w:fldCharType="separate"/>
      </w:r>
      <w:r>
        <w:rPr>
          <w:rStyle w:val="26"/>
          <w:rFonts w:hint="eastAsia"/>
        </w:rPr>
        <w:t>附表</w:t>
      </w:r>
      <w:r>
        <w:tab/>
      </w:r>
      <w:r>
        <w:fldChar w:fldCharType="begin"/>
      </w:r>
      <w:r>
        <w:instrText xml:space="preserve"> PAGEREF _Toc102642522 \h </w:instrText>
      </w:r>
      <w:r>
        <w:fldChar w:fldCharType="separate"/>
      </w:r>
      <w:r>
        <w:t>- 29 -</w:t>
      </w:r>
      <w:r>
        <w:fldChar w:fldCharType="end"/>
      </w:r>
      <w:r>
        <w:fldChar w:fldCharType="end"/>
      </w:r>
    </w:p>
    <w:p w14:paraId="3CEEFBCB">
      <w:pPr>
        <w:pStyle w:val="16"/>
        <w:tabs>
          <w:tab w:val="right" w:leader="dot" w:pos="10184"/>
        </w:tabs>
        <w:rPr>
          <w:rFonts w:asciiTheme="minorHAnsi" w:hAnsiTheme="minorHAnsi" w:eastAsiaTheme="minorEastAsia" w:cstheme="minorBidi"/>
          <w:szCs w:val="22"/>
        </w:rPr>
      </w:pPr>
      <w:r>
        <w:fldChar w:fldCharType="begin"/>
      </w:r>
      <w:r>
        <w:instrText xml:space="preserve"> HYPERLINK \l "_Toc102642523" </w:instrText>
      </w:r>
      <w:r>
        <w:fldChar w:fldCharType="separate"/>
      </w:r>
      <w:r>
        <w:rPr>
          <w:rStyle w:val="26"/>
          <w:rFonts w:hint="eastAsia" w:ascii="宋体" w:hAnsi="宋体" w:cs="宋体"/>
        </w:rPr>
        <w:t>第五章</w:t>
      </w:r>
      <w:r>
        <w:rPr>
          <w:rStyle w:val="26"/>
          <w:rFonts w:ascii="宋体" w:hAnsi="宋体" w:cs="宋体"/>
        </w:rPr>
        <w:t xml:space="preserve"> </w:t>
      </w:r>
      <w:r>
        <w:rPr>
          <w:rStyle w:val="26"/>
          <w:rFonts w:hint="eastAsia" w:ascii="宋体" w:hAnsi="宋体" w:cs="宋体"/>
        </w:rPr>
        <w:t>采购合同（合同主要条款及格式）</w:t>
      </w:r>
      <w:r>
        <w:tab/>
      </w:r>
      <w:r>
        <w:fldChar w:fldCharType="begin"/>
      </w:r>
      <w:r>
        <w:instrText xml:space="preserve"> PAGEREF _Toc102642523 \h </w:instrText>
      </w:r>
      <w:r>
        <w:fldChar w:fldCharType="separate"/>
      </w:r>
      <w:r>
        <w:t>- 31 -</w:t>
      </w:r>
      <w:r>
        <w:fldChar w:fldCharType="end"/>
      </w:r>
      <w:r>
        <w:fldChar w:fldCharType="end"/>
      </w:r>
    </w:p>
    <w:p w14:paraId="373E6A3F">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"_Toc102642524" </w:instrText>
      </w:r>
      <w:r>
        <w:fldChar w:fldCharType="separate"/>
      </w:r>
      <w:r>
        <w:rPr>
          <w:rStyle w:val="26"/>
          <w:rFonts w:hint="eastAsia" w:ascii="宋体" w:hAnsi="宋体" w:cs="宋体"/>
          <w:b/>
        </w:rPr>
        <w:t>第一条</w:t>
      </w:r>
      <w:r>
        <w:rPr>
          <w:rStyle w:val="26"/>
          <w:rFonts w:ascii="宋体" w:hAnsi="宋体" w:cs="宋体"/>
          <w:b/>
        </w:rPr>
        <w:t xml:space="preserve"> </w:t>
      </w:r>
      <w:r>
        <w:rPr>
          <w:rStyle w:val="26"/>
          <w:rFonts w:hint="eastAsia" w:ascii="宋体" w:hAnsi="宋体" w:cs="宋体"/>
          <w:b/>
        </w:rPr>
        <w:t>合同文件</w:t>
      </w:r>
      <w:r>
        <w:tab/>
      </w:r>
      <w:r>
        <w:fldChar w:fldCharType="begin"/>
      </w:r>
      <w:r>
        <w:instrText xml:space="preserve"> PAGEREF _Toc102642524 \h </w:instrText>
      </w:r>
      <w:r>
        <w:fldChar w:fldCharType="separate"/>
      </w:r>
      <w:r>
        <w:t>- 31 -</w:t>
      </w:r>
      <w:r>
        <w:fldChar w:fldCharType="end"/>
      </w:r>
      <w:r>
        <w:fldChar w:fldCharType="end"/>
      </w:r>
    </w:p>
    <w:p w14:paraId="707EC202">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"_Toc102642525" </w:instrText>
      </w:r>
      <w:r>
        <w:fldChar w:fldCharType="separate"/>
      </w:r>
      <w:r>
        <w:rPr>
          <w:rStyle w:val="26"/>
          <w:rFonts w:hint="eastAsia" w:ascii="宋体" w:hAnsi="宋体" w:cs="宋体"/>
          <w:b/>
        </w:rPr>
        <w:t>第二条　合同金额</w:t>
      </w:r>
      <w:r>
        <w:tab/>
      </w:r>
      <w:r>
        <w:fldChar w:fldCharType="begin"/>
      </w:r>
      <w:r>
        <w:instrText xml:space="preserve"> PAGEREF _Toc102642525 \h </w:instrText>
      </w:r>
      <w:r>
        <w:fldChar w:fldCharType="separate"/>
      </w:r>
      <w:r>
        <w:t>- 31 -</w:t>
      </w:r>
      <w:r>
        <w:fldChar w:fldCharType="end"/>
      </w:r>
      <w:r>
        <w:fldChar w:fldCharType="end"/>
      </w:r>
    </w:p>
    <w:p w14:paraId="49E5BFBC">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"_Toc102642526" </w:instrText>
      </w:r>
      <w:r>
        <w:fldChar w:fldCharType="separate"/>
      </w:r>
      <w:r>
        <w:rPr>
          <w:rStyle w:val="26"/>
          <w:rFonts w:hint="eastAsia" w:ascii="宋体" w:hAnsi="宋体" w:cs="宋体"/>
          <w:b/>
        </w:rPr>
        <w:t>第三条</w:t>
      </w:r>
      <w:r>
        <w:rPr>
          <w:rStyle w:val="26"/>
          <w:rFonts w:ascii="宋体" w:hAnsi="宋体" w:cs="宋体"/>
          <w:b/>
        </w:rPr>
        <w:t xml:space="preserve">  </w:t>
      </w:r>
      <w:r>
        <w:rPr>
          <w:rStyle w:val="26"/>
          <w:rFonts w:hint="eastAsia" w:ascii="宋体" w:hAnsi="宋体" w:cs="宋体"/>
          <w:b/>
        </w:rPr>
        <w:t>服务保证</w:t>
      </w:r>
      <w:r>
        <w:tab/>
      </w:r>
      <w:r>
        <w:fldChar w:fldCharType="begin"/>
      </w:r>
      <w:r>
        <w:instrText xml:space="preserve"> PAGEREF _Toc102642526 \h </w:instrText>
      </w:r>
      <w:r>
        <w:fldChar w:fldCharType="separate"/>
      </w:r>
      <w:r>
        <w:t>- 31 -</w:t>
      </w:r>
      <w:r>
        <w:fldChar w:fldCharType="end"/>
      </w:r>
      <w:r>
        <w:fldChar w:fldCharType="end"/>
      </w:r>
    </w:p>
    <w:p w14:paraId="0DF976A0">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"_Toc102642527" </w:instrText>
      </w:r>
      <w:r>
        <w:fldChar w:fldCharType="separate"/>
      </w:r>
      <w:r>
        <w:rPr>
          <w:rStyle w:val="26"/>
          <w:rFonts w:hint="eastAsia" w:ascii="宋体" w:hAnsi="宋体" w:cs="宋体"/>
          <w:b/>
        </w:rPr>
        <w:t>第四条</w:t>
      </w:r>
      <w:r>
        <w:rPr>
          <w:rStyle w:val="26"/>
          <w:rFonts w:ascii="宋体" w:hAnsi="宋体" w:cs="宋体"/>
          <w:b/>
        </w:rPr>
        <w:t xml:space="preserve">  </w:t>
      </w:r>
      <w:r>
        <w:rPr>
          <w:rStyle w:val="26"/>
          <w:rFonts w:hint="eastAsia" w:ascii="宋体" w:hAnsi="宋体" w:cs="宋体"/>
          <w:b/>
        </w:rPr>
        <w:t>服务期限</w:t>
      </w:r>
      <w:r>
        <w:tab/>
      </w:r>
      <w:r>
        <w:fldChar w:fldCharType="begin"/>
      </w:r>
      <w:r>
        <w:instrText xml:space="preserve"> PAGEREF _Toc102642527 \h </w:instrText>
      </w:r>
      <w:r>
        <w:fldChar w:fldCharType="separate"/>
      </w:r>
      <w:r>
        <w:t>- 31 -</w:t>
      </w:r>
      <w:r>
        <w:fldChar w:fldCharType="end"/>
      </w:r>
      <w:r>
        <w:fldChar w:fldCharType="end"/>
      </w:r>
    </w:p>
    <w:p w14:paraId="36489E1C">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"_Toc102642528" </w:instrText>
      </w:r>
      <w:r>
        <w:fldChar w:fldCharType="separate"/>
      </w:r>
      <w:r>
        <w:rPr>
          <w:rStyle w:val="26"/>
          <w:rFonts w:hint="eastAsia" w:ascii="宋体" w:hAnsi="宋体" w:cs="宋体"/>
          <w:b/>
        </w:rPr>
        <w:t>第五条</w:t>
      </w:r>
      <w:r>
        <w:rPr>
          <w:rStyle w:val="26"/>
          <w:rFonts w:ascii="宋体" w:hAnsi="宋体" w:cs="宋体"/>
          <w:b/>
        </w:rPr>
        <w:t xml:space="preserve">  </w:t>
      </w:r>
      <w:r>
        <w:rPr>
          <w:rStyle w:val="26"/>
          <w:rFonts w:hint="eastAsia" w:ascii="宋体" w:hAnsi="宋体" w:cs="宋体"/>
          <w:b/>
        </w:rPr>
        <w:t>交付</w:t>
      </w:r>
      <w:r>
        <w:tab/>
      </w:r>
      <w:r>
        <w:fldChar w:fldCharType="begin"/>
      </w:r>
      <w:r>
        <w:instrText xml:space="preserve"> PAGEREF _Toc102642528 \h </w:instrText>
      </w:r>
      <w:r>
        <w:fldChar w:fldCharType="separate"/>
      </w:r>
      <w:r>
        <w:t>- 31 -</w:t>
      </w:r>
      <w:r>
        <w:fldChar w:fldCharType="end"/>
      </w:r>
      <w:r>
        <w:fldChar w:fldCharType="end"/>
      </w:r>
    </w:p>
    <w:p w14:paraId="1AE664AD">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"_Toc102642529" </w:instrText>
      </w:r>
      <w:r>
        <w:fldChar w:fldCharType="separate"/>
      </w:r>
      <w:r>
        <w:rPr>
          <w:rStyle w:val="26"/>
          <w:rFonts w:hint="eastAsia" w:ascii="宋体" w:hAnsi="宋体" w:cs="宋体"/>
          <w:b/>
        </w:rPr>
        <w:t>第六条</w:t>
      </w:r>
      <w:r>
        <w:rPr>
          <w:rStyle w:val="26"/>
          <w:rFonts w:ascii="宋体" w:hAnsi="宋体" w:cs="宋体"/>
          <w:b/>
        </w:rPr>
        <w:t xml:space="preserve">  </w:t>
      </w:r>
      <w:r>
        <w:rPr>
          <w:rStyle w:val="26"/>
          <w:rFonts w:hint="eastAsia" w:ascii="宋体" w:hAnsi="宋体" w:cs="宋体"/>
          <w:b/>
        </w:rPr>
        <w:t>税费</w:t>
      </w:r>
      <w:r>
        <w:tab/>
      </w:r>
      <w:r>
        <w:fldChar w:fldCharType="begin"/>
      </w:r>
      <w:r>
        <w:instrText xml:space="preserve"> PAGEREF _Toc102642529 \h </w:instrText>
      </w:r>
      <w:r>
        <w:fldChar w:fldCharType="separate"/>
      </w:r>
      <w:r>
        <w:t>- 31 -</w:t>
      </w:r>
      <w:r>
        <w:fldChar w:fldCharType="end"/>
      </w:r>
      <w:r>
        <w:fldChar w:fldCharType="end"/>
      </w:r>
    </w:p>
    <w:p w14:paraId="13B105C9">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"_Toc102642530" </w:instrText>
      </w:r>
      <w:r>
        <w:fldChar w:fldCharType="separate"/>
      </w:r>
      <w:r>
        <w:rPr>
          <w:rStyle w:val="26"/>
          <w:rFonts w:hint="eastAsia" w:ascii="宋体" w:hAnsi="宋体" w:cs="宋体"/>
          <w:b/>
        </w:rPr>
        <w:t>第七条</w:t>
      </w:r>
      <w:r>
        <w:rPr>
          <w:rStyle w:val="26"/>
          <w:rFonts w:ascii="宋体" w:hAnsi="宋体" w:cs="宋体"/>
          <w:b/>
        </w:rPr>
        <w:t xml:space="preserve">  </w:t>
      </w:r>
      <w:r>
        <w:rPr>
          <w:rStyle w:val="26"/>
          <w:rFonts w:hint="eastAsia" w:ascii="宋体" w:hAnsi="宋体" w:cs="宋体"/>
          <w:b/>
        </w:rPr>
        <w:t>付款方式</w:t>
      </w:r>
      <w:r>
        <w:tab/>
      </w:r>
      <w:r>
        <w:fldChar w:fldCharType="begin"/>
      </w:r>
      <w:r>
        <w:instrText xml:space="preserve"> PAGEREF _Toc102642530 \h </w:instrText>
      </w:r>
      <w:r>
        <w:fldChar w:fldCharType="separate"/>
      </w:r>
      <w:r>
        <w:t>- 31 -</w:t>
      </w:r>
      <w:r>
        <w:fldChar w:fldCharType="end"/>
      </w:r>
      <w:r>
        <w:fldChar w:fldCharType="end"/>
      </w:r>
    </w:p>
    <w:p w14:paraId="0937A7B2">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"_Toc102642531" </w:instrText>
      </w:r>
      <w:r>
        <w:fldChar w:fldCharType="separate"/>
      </w:r>
      <w:r>
        <w:rPr>
          <w:rStyle w:val="26"/>
          <w:rFonts w:hint="eastAsia" w:ascii="宋体" w:hAnsi="宋体"/>
        </w:rPr>
        <w:t>本项目无需缴纳履约保证金。</w:t>
      </w:r>
      <w:r>
        <w:tab/>
      </w:r>
      <w:r>
        <w:fldChar w:fldCharType="begin"/>
      </w:r>
      <w:r>
        <w:instrText xml:space="preserve"> PAGEREF _Toc102642531 \h </w:instrText>
      </w:r>
      <w:r>
        <w:fldChar w:fldCharType="separate"/>
      </w:r>
      <w:r>
        <w:t>- 32 -</w:t>
      </w:r>
      <w:r>
        <w:fldChar w:fldCharType="end"/>
      </w:r>
      <w:r>
        <w:fldChar w:fldCharType="end"/>
      </w:r>
    </w:p>
    <w:p w14:paraId="37290991">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"_Toc102642532" </w:instrText>
      </w:r>
      <w:r>
        <w:fldChar w:fldCharType="separate"/>
      </w:r>
      <w:r>
        <w:rPr>
          <w:rStyle w:val="26"/>
          <w:rFonts w:hint="eastAsia" w:ascii="宋体" w:hAnsi="宋体" w:cs="宋体"/>
          <w:b/>
        </w:rPr>
        <w:t>第九条</w:t>
      </w:r>
      <w:r>
        <w:rPr>
          <w:rStyle w:val="26"/>
          <w:rFonts w:ascii="宋体" w:hAnsi="宋体" w:cs="宋体"/>
          <w:b/>
        </w:rPr>
        <w:t xml:space="preserve">  </w:t>
      </w:r>
      <w:r>
        <w:rPr>
          <w:rStyle w:val="26"/>
          <w:rFonts w:hint="eastAsia" w:ascii="宋体" w:hAnsi="宋体" w:cs="宋体"/>
          <w:b/>
        </w:rPr>
        <w:t>违约责任</w:t>
      </w:r>
      <w:r>
        <w:tab/>
      </w:r>
      <w:r>
        <w:fldChar w:fldCharType="begin"/>
      </w:r>
      <w:r>
        <w:instrText xml:space="preserve"> PAGEREF _Toc102642532 \h </w:instrText>
      </w:r>
      <w:r>
        <w:fldChar w:fldCharType="separate"/>
      </w:r>
      <w:r>
        <w:t>- 32 -</w:t>
      </w:r>
      <w:r>
        <w:fldChar w:fldCharType="end"/>
      </w:r>
      <w:r>
        <w:fldChar w:fldCharType="end"/>
      </w:r>
    </w:p>
    <w:p w14:paraId="3C60D877">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"_Toc102642533" </w:instrText>
      </w:r>
      <w:r>
        <w:fldChar w:fldCharType="separate"/>
      </w:r>
      <w:r>
        <w:rPr>
          <w:rStyle w:val="26"/>
          <w:rFonts w:hint="eastAsia" w:ascii="宋体" w:hAnsi="宋体" w:cs="宋体"/>
          <w:b/>
        </w:rPr>
        <w:t>第十条</w:t>
      </w:r>
      <w:r>
        <w:rPr>
          <w:rStyle w:val="26"/>
          <w:rFonts w:ascii="宋体" w:hAnsi="宋体" w:cs="宋体"/>
          <w:b/>
        </w:rPr>
        <w:t xml:space="preserve">  </w:t>
      </w:r>
      <w:r>
        <w:rPr>
          <w:rStyle w:val="26"/>
          <w:rFonts w:hint="eastAsia" w:ascii="宋体" w:hAnsi="宋体" w:cs="宋体"/>
          <w:b/>
        </w:rPr>
        <w:t>不可抗力事件处理</w:t>
      </w:r>
      <w:r>
        <w:tab/>
      </w:r>
      <w:r>
        <w:fldChar w:fldCharType="begin"/>
      </w:r>
      <w:r>
        <w:instrText xml:space="preserve"> PAGEREF _Toc102642533 \h </w:instrText>
      </w:r>
      <w:r>
        <w:fldChar w:fldCharType="separate"/>
      </w:r>
      <w:r>
        <w:t>- 32 -</w:t>
      </w:r>
      <w:r>
        <w:fldChar w:fldCharType="end"/>
      </w:r>
      <w:r>
        <w:fldChar w:fldCharType="end"/>
      </w:r>
    </w:p>
    <w:p w14:paraId="6A5D306F">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"_Toc102642534" </w:instrText>
      </w:r>
      <w:r>
        <w:fldChar w:fldCharType="separate"/>
      </w:r>
      <w:r>
        <w:rPr>
          <w:rStyle w:val="26"/>
          <w:rFonts w:hint="eastAsia" w:ascii="宋体" w:hAnsi="宋体" w:cs="宋体"/>
          <w:b/>
        </w:rPr>
        <w:t>第十一条</w:t>
      </w:r>
      <w:r>
        <w:rPr>
          <w:rStyle w:val="26"/>
          <w:rFonts w:ascii="宋体" w:hAnsi="宋体" w:cs="宋体"/>
          <w:b/>
        </w:rPr>
        <w:t xml:space="preserve">  </w:t>
      </w:r>
      <w:r>
        <w:rPr>
          <w:rStyle w:val="26"/>
          <w:rFonts w:hint="eastAsia" w:ascii="宋体" w:hAnsi="宋体" w:cs="宋体"/>
          <w:b/>
        </w:rPr>
        <w:t>合同争议解决</w:t>
      </w:r>
      <w:r>
        <w:tab/>
      </w:r>
      <w:r>
        <w:fldChar w:fldCharType="begin"/>
      </w:r>
      <w:r>
        <w:instrText xml:space="preserve"> PAGEREF _Toc102642534 \h </w:instrText>
      </w:r>
      <w:r>
        <w:fldChar w:fldCharType="separate"/>
      </w:r>
      <w:r>
        <w:t>- 32 -</w:t>
      </w:r>
      <w:r>
        <w:fldChar w:fldCharType="end"/>
      </w:r>
      <w:r>
        <w:fldChar w:fldCharType="end"/>
      </w:r>
    </w:p>
    <w:p w14:paraId="1417FF0C">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"_Toc102642535" </w:instrText>
      </w:r>
      <w:r>
        <w:fldChar w:fldCharType="separate"/>
      </w:r>
      <w:r>
        <w:rPr>
          <w:rStyle w:val="26"/>
          <w:rFonts w:hint="eastAsia" w:ascii="宋体" w:hAnsi="宋体" w:cs="宋体"/>
          <w:b/>
        </w:rPr>
        <w:t>第十二条</w:t>
      </w:r>
      <w:r>
        <w:rPr>
          <w:rStyle w:val="26"/>
          <w:rFonts w:ascii="宋体" w:hAnsi="宋体" w:cs="宋体"/>
          <w:b/>
        </w:rPr>
        <w:t xml:space="preserve">  </w:t>
      </w:r>
      <w:r>
        <w:rPr>
          <w:rStyle w:val="26"/>
          <w:rFonts w:hint="eastAsia" w:ascii="宋体" w:hAnsi="宋体" w:cs="宋体"/>
          <w:b/>
        </w:rPr>
        <w:t>合同生效及其它</w:t>
      </w:r>
      <w:r>
        <w:tab/>
      </w:r>
      <w:r>
        <w:fldChar w:fldCharType="begin"/>
      </w:r>
      <w:r>
        <w:instrText xml:space="preserve"> PAGEREF _Toc102642535 \h </w:instrText>
      </w:r>
      <w:r>
        <w:fldChar w:fldCharType="separate"/>
      </w:r>
      <w:r>
        <w:t>- 32 -</w:t>
      </w:r>
      <w:r>
        <w:fldChar w:fldCharType="end"/>
      </w:r>
      <w:r>
        <w:fldChar w:fldCharType="end"/>
      </w:r>
    </w:p>
    <w:p w14:paraId="77A03856">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"_Toc102642536" </w:instrText>
      </w:r>
      <w:r>
        <w:fldChar w:fldCharType="separate"/>
      </w:r>
      <w:r>
        <w:rPr>
          <w:rStyle w:val="26"/>
          <w:rFonts w:hint="eastAsia" w:ascii="宋体" w:hAnsi="宋体" w:cs="宋体"/>
          <w:b/>
        </w:rPr>
        <w:t>第十三条</w:t>
      </w:r>
      <w:r>
        <w:rPr>
          <w:rStyle w:val="26"/>
          <w:rFonts w:ascii="宋体" w:hAnsi="宋体" w:cs="宋体"/>
          <w:b/>
        </w:rPr>
        <w:t xml:space="preserve">  </w:t>
      </w:r>
      <w:r>
        <w:rPr>
          <w:rStyle w:val="26"/>
          <w:rFonts w:hint="eastAsia" w:ascii="宋体" w:hAnsi="宋体" w:cs="宋体"/>
          <w:b/>
        </w:rPr>
        <w:t>合同的变更、终止与转让</w:t>
      </w:r>
      <w:r>
        <w:tab/>
      </w:r>
      <w:r>
        <w:fldChar w:fldCharType="begin"/>
      </w:r>
      <w:r>
        <w:instrText xml:space="preserve"> PAGEREF _Toc102642536 \h </w:instrText>
      </w:r>
      <w:r>
        <w:fldChar w:fldCharType="separate"/>
      </w:r>
      <w:r>
        <w:t>- 33 -</w:t>
      </w:r>
      <w:r>
        <w:fldChar w:fldCharType="end"/>
      </w:r>
      <w:r>
        <w:fldChar w:fldCharType="end"/>
      </w:r>
    </w:p>
    <w:p w14:paraId="589E384C">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"_Toc102642537" </w:instrText>
      </w:r>
      <w:r>
        <w:fldChar w:fldCharType="separate"/>
      </w:r>
      <w:r>
        <w:rPr>
          <w:rStyle w:val="26"/>
          <w:rFonts w:hint="eastAsia" w:ascii="宋体" w:hAnsi="宋体" w:cs="宋体"/>
          <w:b/>
        </w:rPr>
        <w:t>第十四条</w:t>
      </w:r>
      <w:r>
        <w:rPr>
          <w:rStyle w:val="26"/>
          <w:rFonts w:ascii="宋体" w:hAnsi="宋体" w:cs="宋体"/>
          <w:b/>
        </w:rPr>
        <w:t xml:space="preserve">  </w:t>
      </w:r>
      <w:r>
        <w:rPr>
          <w:rStyle w:val="26"/>
          <w:rFonts w:hint="eastAsia" w:ascii="宋体" w:hAnsi="宋体" w:cs="宋体"/>
          <w:b/>
        </w:rPr>
        <w:t>签订本合同依据</w:t>
      </w:r>
      <w:r>
        <w:tab/>
      </w:r>
      <w:r>
        <w:fldChar w:fldCharType="begin"/>
      </w:r>
      <w:r>
        <w:instrText xml:space="preserve"> PAGEREF _Toc102642537 \h </w:instrText>
      </w:r>
      <w:r>
        <w:fldChar w:fldCharType="separate"/>
      </w:r>
      <w:r>
        <w:t>- 33 -</w:t>
      </w:r>
      <w:r>
        <w:fldChar w:fldCharType="end"/>
      </w:r>
      <w:r>
        <w:fldChar w:fldCharType="end"/>
      </w:r>
    </w:p>
    <w:p w14:paraId="48E29B98">
      <w:pPr>
        <w:pStyle w:val="17"/>
        <w:tabs>
          <w:tab w:val="right" w:leader="dot" w:pos="10184"/>
        </w:tabs>
        <w:rPr>
          <w:rFonts w:asciiTheme="minorHAnsi" w:hAnsiTheme="minorHAnsi" w:eastAsiaTheme="minorEastAsia" w:cstheme="minorBidi"/>
          <w:szCs w:val="22"/>
        </w:rPr>
      </w:pPr>
      <w:r>
        <w:fldChar w:fldCharType="begin"/>
      </w:r>
      <w:r>
        <w:instrText xml:space="preserve"> HYPERLINK \l "_Toc102642538" </w:instrText>
      </w:r>
      <w:r>
        <w:fldChar w:fldCharType="separate"/>
      </w:r>
      <w:r>
        <w:rPr>
          <w:rStyle w:val="26"/>
          <w:rFonts w:hint="eastAsia" w:ascii="宋体" w:hAnsi="宋体" w:cs="宋体"/>
          <w:b/>
          <w:kern w:val="44"/>
        </w:rPr>
        <w:t>第六章</w:t>
      </w:r>
      <w:r>
        <w:rPr>
          <w:rStyle w:val="26"/>
          <w:rFonts w:ascii="宋体" w:hAnsi="宋体" w:cs="宋体"/>
          <w:b/>
          <w:kern w:val="44"/>
        </w:rPr>
        <w:t xml:space="preserve">  </w:t>
      </w:r>
      <w:r>
        <w:rPr>
          <w:rStyle w:val="26"/>
          <w:rFonts w:hint="eastAsia" w:ascii="宋体" w:hAnsi="宋体" w:cs="宋体"/>
          <w:b/>
        </w:rPr>
        <w:t>响应文件（格式）</w:t>
      </w:r>
      <w:r>
        <w:tab/>
      </w:r>
      <w:r>
        <w:fldChar w:fldCharType="begin"/>
      </w:r>
      <w:r>
        <w:instrText xml:space="preserve"> PAGEREF _Toc102642538 \h </w:instrText>
      </w:r>
      <w:r>
        <w:fldChar w:fldCharType="separate"/>
      </w:r>
      <w:r>
        <w:t>- 34 -</w:t>
      </w:r>
      <w:r>
        <w:fldChar w:fldCharType="end"/>
      </w:r>
      <w:r>
        <w:fldChar w:fldCharType="end"/>
      </w:r>
    </w:p>
    <w:p w14:paraId="3877E3D8">
      <w:pPr>
        <w:jc w:val="center"/>
        <w:rPr>
          <w:rFonts w:ascii="宋体" w:hAnsi="宋体" w:cs="宋体"/>
          <w:b/>
          <w:bCs/>
          <w:sz w:val="32"/>
          <w:szCs w:val="32"/>
        </w:rPr>
      </w:pPr>
      <w:r>
        <w:rPr>
          <w:rFonts w:hint="eastAsia" w:ascii="宋体" w:hAnsi="宋体" w:cs="宋体"/>
          <w:bCs/>
          <w:lang w:val="zh-CN"/>
        </w:rPr>
        <w:fldChar w:fldCharType="end"/>
      </w:r>
    </w:p>
    <w:p w14:paraId="07123A3F">
      <w:pPr>
        <w:rPr>
          <w:rFonts w:ascii="宋体" w:hAnsi="宋体" w:cs="宋体"/>
          <w:b/>
          <w:bCs/>
          <w:sz w:val="32"/>
          <w:szCs w:val="32"/>
        </w:rPr>
        <w:sectPr>
          <w:footerReference r:id="rId5" w:type="default"/>
          <w:pgSz w:w="11906" w:h="16838"/>
          <w:pgMar w:top="1440" w:right="935" w:bottom="1440" w:left="777" w:header="851" w:footer="992" w:gutter="0"/>
          <w:pgNumType w:fmt="numberInDash" w:start="1"/>
          <w:cols w:space="720" w:num="1"/>
          <w:docGrid w:type="linesAndChars" w:linePitch="312" w:charSpace="0"/>
        </w:sectPr>
      </w:pPr>
    </w:p>
    <w:p w14:paraId="6796AF79">
      <w:pPr>
        <w:pStyle w:val="3"/>
        <w:numPr>
          <w:ilvl w:val="0"/>
          <w:numId w:val="1"/>
        </w:numPr>
        <w:tabs>
          <w:tab w:val="left" w:pos="0"/>
        </w:tabs>
        <w:autoSpaceDE w:val="0"/>
        <w:autoSpaceDN w:val="0"/>
        <w:adjustRightInd w:val="0"/>
        <w:spacing w:before="0" w:after="0" w:line="360" w:lineRule="auto"/>
        <w:ind w:firstLine="425"/>
        <w:jc w:val="center"/>
        <w:rPr>
          <w:rFonts w:ascii="宋体" w:hAnsi="宋体" w:cs="宋体"/>
          <w:sz w:val="32"/>
          <w:szCs w:val="32"/>
        </w:rPr>
      </w:pPr>
      <w:bookmarkStart w:id="2" w:name="_Toc26809"/>
      <w:bookmarkStart w:id="3" w:name="_Toc28359011"/>
      <w:bookmarkStart w:id="4" w:name="_Toc30170"/>
      <w:bookmarkStart w:id="5" w:name="_Toc35393797"/>
      <w:bookmarkStart w:id="6" w:name="_Toc102642477"/>
      <w:r>
        <w:rPr>
          <w:rFonts w:hint="eastAsia" w:ascii="宋体" w:hAnsi="宋体" w:cs="宋体"/>
          <w:sz w:val="32"/>
          <w:szCs w:val="32"/>
        </w:rPr>
        <w:t>竞争性磋商公告</w:t>
      </w:r>
      <w:bookmarkEnd w:id="2"/>
      <w:bookmarkEnd w:id="3"/>
      <w:bookmarkEnd w:id="4"/>
      <w:bookmarkEnd w:id="5"/>
      <w:bookmarkEnd w:id="6"/>
    </w:p>
    <w:p w14:paraId="1AD692D8">
      <w:pPr>
        <w:spacing w:line="360" w:lineRule="exact"/>
        <w:rPr>
          <w:rFonts w:ascii="宋体" w:hAnsi="宋体" w:cs="宋体"/>
        </w:rPr>
      </w:pPr>
    </w:p>
    <w:p w14:paraId="34CC32CC">
      <w:pPr>
        <w:pStyle w:val="19"/>
        <w:pBdr>
          <w:top w:val="single" w:color="auto" w:sz="4" w:space="1"/>
          <w:left w:val="single" w:color="auto" w:sz="4" w:space="4"/>
          <w:bottom w:val="single" w:color="auto" w:sz="4" w:space="1"/>
          <w:right w:val="single" w:color="auto" w:sz="4" w:space="4"/>
        </w:pBdr>
        <w:spacing w:before="68" w:beforeAutospacing="0" w:after="136" w:afterAutospacing="0"/>
        <w:rPr>
          <w:rFonts w:cs="Arial" w:asciiTheme="minorEastAsia" w:hAnsiTheme="minorEastAsia" w:eastAsiaTheme="minorEastAsia"/>
          <w:color w:val="000000"/>
          <w:sz w:val="21"/>
          <w:szCs w:val="21"/>
        </w:rPr>
      </w:pPr>
      <w:bookmarkStart w:id="7" w:name="_Toc35393639"/>
      <w:bookmarkStart w:id="8" w:name="_Toc28359021"/>
      <w:bookmarkStart w:id="9" w:name="_Toc35393808"/>
      <w:bookmarkStart w:id="10" w:name="_Toc28359098"/>
      <w:r>
        <w:rPr>
          <w:rFonts w:ascii="仿宋" w:hAnsi="仿宋" w:cs="Arial"/>
          <w:color w:val="000000"/>
          <w:sz w:val="21"/>
          <w:szCs w:val="21"/>
        </w:rPr>
        <w:t> </w:t>
      </w:r>
      <w:r>
        <w:rPr>
          <w:rFonts w:cs="Arial" w:asciiTheme="minorEastAsia" w:hAnsiTheme="minorEastAsia" w:eastAsiaTheme="minorEastAsia"/>
          <w:color w:val="000000"/>
          <w:sz w:val="21"/>
          <w:szCs w:val="21"/>
        </w:rPr>
        <w:t>     项目概况                                     </w:t>
      </w:r>
    </w:p>
    <w:p w14:paraId="18C59D25">
      <w:pPr>
        <w:widowControl/>
        <w:pBdr>
          <w:top w:val="single" w:color="auto" w:sz="4" w:space="1"/>
          <w:left w:val="single" w:color="auto" w:sz="4" w:space="4"/>
          <w:bottom w:val="single" w:color="auto" w:sz="4" w:space="1"/>
          <w:right w:val="single" w:color="auto" w:sz="4" w:space="4"/>
        </w:pBdr>
        <w:spacing w:before="68" w:after="68"/>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    </w:t>
      </w:r>
      <w:r>
        <w:rPr>
          <w:rFonts w:hint="eastAsia" w:cs="Arial" w:asciiTheme="minorEastAsia" w:hAnsiTheme="minorEastAsia" w:eastAsiaTheme="minorEastAsia"/>
          <w:color w:val="000000"/>
          <w:kern w:val="0"/>
          <w:szCs w:val="21"/>
          <w:lang w:eastAsia="zh-CN"/>
        </w:rPr>
        <w:t>国道321线交通监控系统服务项目</w:t>
      </w:r>
      <w:r>
        <w:rPr>
          <w:rFonts w:cs="Arial" w:asciiTheme="minorEastAsia" w:hAnsiTheme="minorEastAsia" w:eastAsiaTheme="minorEastAsia"/>
          <w:color w:val="000000"/>
          <w:kern w:val="0"/>
          <w:szCs w:val="21"/>
        </w:rPr>
        <w:t>采购项目的潜在供应商应在</w:t>
      </w:r>
      <w:r>
        <w:rPr>
          <w:rFonts w:hint="eastAsia" w:cs="Arial" w:asciiTheme="minorEastAsia" w:hAnsiTheme="minorEastAsia" w:eastAsiaTheme="minorEastAsia"/>
          <w:color w:val="000000"/>
          <w:kern w:val="0"/>
          <w:szCs w:val="21"/>
          <w:lang w:eastAsia="zh-CN"/>
        </w:rPr>
        <w:t>广西政府采购云平台</w:t>
      </w:r>
      <w:r>
        <w:rPr>
          <w:rFonts w:cs="Arial" w:asciiTheme="minorEastAsia" w:hAnsiTheme="minorEastAsia" w:eastAsiaTheme="minorEastAsia"/>
          <w:color w:val="000000"/>
          <w:kern w:val="0"/>
          <w:szCs w:val="21"/>
        </w:rPr>
        <w:t>线上获取获取采购文件，并于</w:t>
      </w:r>
      <w:r>
        <w:rPr>
          <w:rFonts w:hint="eastAsia" w:cs="Arial" w:asciiTheme="minorEastAsia" w:hAnsiTheme="minorEastAsia" w:eastAsiaTheme="minorEastAsia"/>
          <w:color w:val="000000"/>
          <w:kern w:val="0"/>
          <w:szCs w:val="21"/>
          <w:lang w:eastAsia="zh-CN"/>
        </w:rPr>
        <w:t>2025年1月7日</w:t>
      </w:r>
      <w:r>
        <w:rPr>
          <w:rFonts w:cs="Arial" w:asciiTheme="minorEastAsia" w:hAnsiTheme="minorEastAsia" w:eastAsiaTheme="minorEastAsia"/>
          <w:color w:val="000000"/>
          <w:kern w:val="0"/>
          <w:szCs w:val="21"/>
        </w:rPr>
        <w:t xml:space="preserve"> 09:30（北京时间）前提交响应文件。               </w:t>
      </w:r>
    </w:p>
    <w:p w14:paraId="702A5088">
      <w:pPr>
        <w:widowControl/>
        <w:spacing w:before="170" w:after="170" w:line="300" w:lineRule="atLeast"/>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szCs w:val="21"/>
        </w:rPr>
        <w:t>一、项目基本情况</w:t>
      </w:r>
    </w:p>
    <w:p w14:paraId="2260652C">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项目编号：</w:t>
      </w:r>
      <w:r>
        <w:rPr>
          <w:rFonts w:hint="eastAsia" w:cs="宋体" w:asciiTheme="minorEastAsia" w:hAnsiTheme="minorEastAsia" w:eastAsiaTheme="minorEastAsia"/>
          <w:color w:val="000000"/>
          <w:kern w:val="0"/>
          <w:szCs w:val="21"/>
          <w:lang w:eastAsia="zh-CN"/>
        </w:rPr>
        <w:t>GLZC2024-C3-120108-GXAZ</w:t>
      </w:r>
      <w:r>
        <w:rPr>
          <w:rFonts w:cs="宋体" w:asciiTheme="minorEastAsia" w:hAnsiTheme="minorEastAsia" w:eastAsiaTheme="minorEastAsia"/>
          <w:color w:val="000000"/>
          <w:kern w:val="0"/>
          <w:szCs w:val="21"/>
        </w:rPr>
        <w:t> </w:t>
      </w:r>
    </w:p>
    <w:p w14:paraId="671614E2">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项目名称：</w:t>
      </w:r>
      <w:r>
        <w:rPr>
          <w:rFonts w:hint="eastAsia" w:cs="宋体" w:asciiTheme="minorEastAsia" w:hAnsiTheme="minorEastAsia" w:eastAsiaTheme="minorEastAsia"/>
          <w:color w:val="000000"/>
          <w:kern w:val="0"/>
          <w:szCs w:val="21"/>
          <w:lang w:eastAsia="zh-CN"/>
        </w:rPr>
        <w:t>国道321线交通监控系统服务项目</w:t>
      </w:r>
      <w:r>
        <w:rPr>
          <w:rFonts w:cs="宋体" w:asciiTheme="minorEastAsia" w:hAnsiTheme="minorEastAsia" w:eastAsiaTheme="minorEastAsia"/>
          <w:color w:val="000000"/>
          <w:kern w:val="0"/>
          <w:szCs w:val="21"/>
        </w:rPr>
        <w:t> </w:t>
      </w:r>
    </w:p>
    <w:p w14:paraId="552C2261">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采购方式：竞争性磋商 </w:t>
      </w:r>
    </w:p>
    <w:p w14:paraId="192FBBE2">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预算总金额（元）：1276194.00  </w:t>
      </w:r>
    </w:p>
    <w:p w14:paraId="57477C01">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采购需求：</w:t>
      </w:r>
    </w:p>
    <w:p w14:paraId="6C6D2753">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w:t>
      </w:r>
      <w:r>
        <w:rPr>
          <w:rFonts w:cs="宋体" w:asciiTheme="minorEastAsia" w:hAnsiTheme="minorEastAsia" w:eastAsiaTheme="minorEastAsia"/>
          <w:color w:val="000000"/>
          <w:kern w:val="0"/>
          <w:szCs w:val="21"/>
        </w:rPr>
        <w:br w:type="textWrapping"/>
      </w:r>
      <w:r>
        <w:rPr>
          <w:rFonts w:cs="宋体" w:asciiTheme="minorEastAsia" w:hAnsiTheme="minorEastAsia" w:eastAsiaTheme="minorEastAsia"/>
          <w:color w:val="000000"/>
          <w:kern w:val="0"/>
          <w:szCs w:val="21"/>
        </w:rPr>
        <w:t>标项名称:</w:t>
      </w:r>
      <w:r>
        <w:rPr>
          <w:rFonts w:hint="eastAsia"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lang w:eastAsia="zh-CN"/>
        </w:rPr>
        <w:t>国道321线交通监控系统服务项目</w:t>
      </w:r>
      <w:r>
        <w:rPr>
          <w:rFonts w:cs="宋体" w:asciiTheme="minorEastAsia" w:hAnsiTheme="minorEastAsia" w:eastAsiaTheme="minorEastAsia"/>
          <w:color w:val="000000"/>
          <w:kern w:val="0"/>
          <w:szCs w:val="21"/>
        </w:rPr>
        <w:br w:type="textWrapping"/>
      </w:r>
      <w:r>
        <w:rPr>
          <w:rFonts w:cs="宋体" w:asciiTheme="minorEastAsia" w:hAnsiTheme="minorEastAsia" w:eastAsiaTheme="minorEastAsia"/>
          <w:color w:val="000000"/>
          <w:kern w:val="0"/>
          <w:szCs w:val="21"/>
        </w:rPr>
        <w:t>数量:不限</w:t>
      </w:r>
      <w:r>
        <w:rPr>
          <w:rFonts w:cs="宋体" w:asciiTheme="minorEastAsia" w:hAnsiTheme="minorEastAsia" w:eastAsiaTheme="minorEastAsia"/>
          <w:color w:val="000000"/>
          <w:kern w:val="0"/>
          <w:szCs w:val="21"/>
        </w:rPr>
        <w:br w:type="textWrapping"/>
      </w:r>
      <w:r>
        <w:rPr>
          <w:rFonts w:cs="宋体" w:asciiTheme="minorEastAsia" w:hAnsiTheme="minorEastAsia" w:eastAsiaTheme="minorEastAsia"/>
          <w:color w:val="000000"/>
          <w:kern w:val="0"/>
          <w:szCs w:val="21"/>
        </w:rPr>
        <w:t>预算金额（元）:1276194.00</w:t>
      </w:r>
      <w:r>
        <w:rPr>
          <w:rFonts w:cs="宋体" w:asciiTheme="minorEastAsia" w:hAnsiTheme="minorEastAsia" w:eastAsiaTheme="minorEastAsia"/>
          <w:color w:val="000000"/>
          <w:kern w:val="0"/>
          <w:szCs w:val="21"/>
        </w:rPr>
        <w:br w:type="textWrapping"/>
      </w:r>
      <w:r>
        <w:rPr>
          <w:rFonts w:cs="宋体" w:asciiTheme="minorEastAsia" w:hAnsiTheme="minorEastAsia" w:eastAsiaTheme="minorEastAsia"/>
          <w:color w:val="000000"/>
          <w:kern w:val="0"/>
          <w:szCs w:val="21"/>
        </w:rPr>
        <w:t>简要规格描述或项目基本概况介绍、用途：</w:t>
      </w:r>
      <w:r>
        <w:rPr>
          <w:rFonts w:hint="eastAsia" w:cs="宋体" w:asciiTheme="minorEastAsia" w:hAnsiTheme="minorEastAsia" w:eastAsiaTheme="minorEastAsia"/>
          <w:color w:val="000000"/>
          <w:kern w:val="0"/>
          <w:szCs w:val="21"/>
        </w:rPr>
        <w:t>建设并运维一套区间测速系统、3套电子警察系统、9套车速预警系统，运维期限为3年，服务费用分3年支付，进一步了解，详见竞争性磋商文件。</w:t>
      </w:r>
    </w:p>
    <w:p w14:paraId="328A89BF">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最高限价（如有）：1211194.00</w:t>
      </w:r>
    </w:p>
    <w:p w14:paraId="07D34220">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合同履约期限：</w:t>
      </w:r>
      <w:r>
        <w:rPr>
          <w:rFonts w:hint="eastAsia" w:cs="宋体" w:asciiTheme="minorEastAsia" w:hAnsiTheme="minorEastAsia" w:eastAsiaTheme="minorEastAsia"/>
          <w:color w:val="000000"/>
          <w:kern w:val="0"/>
          <w:szCs w:val="21"/>
        </w:rPr>
        <w:t xml:space="preserve">签订合同之日起30个日历日内安装完毕交付使用，服务期限 </w:t>
      </w:r>
      <w:r>
        <w:rPr>
          <w:rFonts w:cs="宋体"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 xml:space="preserve"> 年</w:t>
      </w:r>
      <w:r>
        <w:rPr>
          <w:rFonts w:cs="宋体" w:asciiTheme="minorEastAsia" w:hAnsiTheme="minorEastAsia" w:eastAsiaTheme="minorEastAsia"/>
          <w:color w:val="000000"/>
          <w:kern w:val="0"/>
          <w:szCs w:val="21"/>
        </w:rPr>
        <w:t>。</w:t>
      </w:r>
    </w:p>
    <w:p w14:paraId="4E9C8204">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本标项（否）接受联合体投标</w:t>
      </w:r>
      <w:r>
        <w:rPr>
          <w:rFonts w:cs="宋体" w:asciiTheme="minorEastAsia" w:hAnsiTheme="minorEastAsia" w:eastAsiaTheme="minorEastAsia"/>
          <w:color w:val="000000"/>
          <w:kern w:val="0"/>
          <w:szCs w:val="21"/>
        </w:rPr>
        <w:br w:type="textWrapping"/>
      </w:r>
      <w:r>
        <w:rPr>
          <w:rFonts w:cs="宋体" w:asciiTheme="minorEastAsia" w:hAnsiTheme="minorEastAsia" w:eastAsiaTheme="minorEastAsia"/>
          <w:color w:val="000000"/>
          <w:kern w:val="0"/>
          <w:szCs w:val="21"/>
        </w:rPr>
        <w:t>备注：</w:t>
      </w:r>
    </w:p>
    <w:p w14:paraId="6534BCBA">
      <w:pPr>
        <w:widowControl/>
        <w:spacing w:before="170" w:after="170" w:line="300" w:lineRule="atLeast"/>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szCs w:val="21"/>
        </w:rPr>
        <w:t>二、申请人的资格要求：</w:t>
      </w:r>
    </w:p>
    <w:p w14:paraId="33390D47">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1.满足《中华人民共和国政府采购法》第二十二条规定；</w:t>
      </w:r>
    </w:p>
    <w:p w14:paraId="2EBF313D">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2.落实政府采购政策需满足的资格要求：无 </w:t>
      </w:r>
    </w:p>
    <w:p w14:paraId="77D0BFD5">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3.本项目的特定资格要求：无 </w:t>
      </w:r>
    </w:p>
    <w:p w14:paraId="1E5C43F2">
      <w:pPr>
        <w:widowControl/>
        <w:spacing w:before="170" w:after="170" w:line="300" w:lineRule="atLeast"/>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szCs w:val="21"/>
        </w:rPr>
        <w:t>三、获取采购文件</w:t>
      </w:r>
    </w:p>
    <w:p w14:paraId="54A74E3D">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时间：/至</w:t>
      </w:r>
      <w:r>
        <w:rPr>
          <w:rFonts w:hint="eastAsia" w:cs="宋体" w:asciiTheme="minorEastAsia" w:hAnsiTheme="minorEastAsia" w:eastAsiaTheme="minorEastAsia"/>
          <w:color w:val="000000"/>
          <w:kern w:val="0"/>
          <w:szCs w:val="21"/>
          <w:lang w:eastAsia="zh-CN"/>
        </w:rPr>
        <w:t>2025年1月7日</w:t>
      </w:r>
      <w:r>
        <w:rPr>
          <w:rFonts w:cs="宋体" w:asciiTheme="minorEastAsia" w:hAnsiTheme="minorEastAsia" w:eastAsiaTheme="minorEastAsia"/>
          <w:color w:val="000000"/>
          <w:kern w:val="0"/>
          <w:szCs w:val="21"/>
        </w:rPr>
        <w:t>，每天上午00:00至12:00，下午12:00至23:59（北京时间，法定节假日除外）</w:t>
      </w:r>
    </w:p>
    <w:p w14:paraId="31716443">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地点（网址）：</w:t>
      </w:r>
      <w:r>
        <w:rPr>
          <w:rFonts w:hint="eastAsia" w:cs="宋体" w:asciiTheme="minorEastAsia" w:hAnsiTheme="minorEastAsia" w:eastAsiaTheme="minorEastAsia"/>
          <w:color w:val="000000"/>
          <w:kern w:val="0"/>
          <w:szCs w:val="21"/>
          <w:lang w:eastAsia="zh-CN"/>
        </w:rPr>
        <w:t>广西政府采购云平台</w:t>
      </w:r>
      <w:r>
        <w:rPr>
          <w:rFonts w:cs="宋体" w:asciiTheme="minorEastAsia" w:hAnsiTheme="minorEastAsia" w:eastAsiaTheme="minorEastAsia"/>
          <w:color w:val="000000"/>
          <w:kern w:val="0"/>
          <w:szCs w:val="21"/>
        </w:rPr>
        <w:t>线上获取 </w:t>
      </w:r>
    </w:p>
    <w:p w14:paraId="6620199B">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方式：供应商登录</w:t>
      </w:r>
      <w:r>
        <w:rPr>
          <w:rFonts w:hint="eastAsia" w:cs="宋体" w:asciiTheme="minorEastAsia" w:hAnsiTheme="minorEastAsia" w:eastAsiaTheme="minorEastAsia"/>
          <w:color w:val="000000"/>
          <w:kern w:val="0"/>
          <w:szCs w:val="21"/>
          <w:lang w:eastAsia="zh-CN"/>
        </w:rPr>
        <w:t>广西政府采购云平台</w:t>
      </w:r>
      <w:r>
        <w:rPr>
          <w:rFonts w:cs="宋体" w:asciiTheme="minorEastAsia" w:hAnsiTheme="minorEastAsia" w:eastAsiaTheme="minorEastAsia"/>
          <w:color w:val="000000"/>
          <w:kern w:val="0"/>
          <w:szCs w:val="21"/>
        </w:rPr>
        <w:t>https://www.zcygov.cn/在线申请获取采购文件（进入“项目采购”应用，在获取采购文件菜单中选择项目，申请获取采购文件） </w:t>
      </w:r>
    </w:p>
    <w:p w14:paraId="78834325">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售价（元）：0 </w:t>
      </w:r>
    </w:p>
    <w:p w14:paraId="5EB3DB99">
      <w:pPr>
        <w:widowControl/>
        <w:spacing w:before="170" w:after="170" w:line="300" w:lineRule="atLeast"/>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szCs w:val="21"/>
        </w:rPr>
        <w:t>四、响应文件提交</w:t>
      </w:r>
      <w:r>
        <w:rPr>
          <w:rFonts w:hint="eastAsia" w:cs="宋体" w:asciiTheme="minorEastAsia" w:hAnsiTheme="minorEastAsia" w:eastAsiaTheme="minorEastAsia"/>
          <w:color w:val="000000"/>
          <w:kern w:val="0"/>
          <w:szCs w:val="21"/>
        </w:rPr>
        <w:t> </w:t>
      </w:r>
    </w:p>
    <w:p w14:paraId="34FC71D9">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截止时间：</w:t>
      </w:r>
      <w:r>
        <w:rPr>
          <w:rFonts w:hint="eastAsia" w:cs="宋体" w:asciiTheme="minorEastAsia" w:hAnsiTheme="minorEastAsia" w:eastAsiaTheme="minorEastAsia"/>
          <w:color w:val="000000"/>
          <w:kern w:val="0"/>
          <w:szCs w:val="21"/>
          <w:lang w:eastAsia="zh-CN"/>
        </w:rPr>
        <w:t>2025年1月7日</w:t>
      </w:r>
      <w:r>
        <w:rPr>
          <w:rFonts w:cs="宋体" w:asciiTheme="minorEastAsia" w:hAnsiTheme="minorEastAsia" w:eastAsiaTheme="minorEastAsia"/>
          <w:color w:val="000000"/>
          <w:kern w:val="0"/>
          <w:szCs w:val="21"/>
        </w:rPr>
        <w:t xml:space="preserve"> 09:30（北京时间）</w:t>
      </w:r>
    </w:p>
    <w:p w14:paraId="53A84F92">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地点（网址）：请登录</w:t>
      </w:r>
      <w:r>
        <w:rPr>
          <w:rFonts w:hint="eastAsia" w:cs="宋体" w:asciiTheme="minorEastAsia" w:hAnsiTheme="minorEastAsia" w:eastAsiaTheme="minorEastAsia"/>
          <w:color w:val="000000"/>
          <w:kern w:val="0"/>
          <w:szCs w:val="21"/>
          <w:lang w:eastAsia="zh-CN"/>
        </w:rPr>
        <w:t>广西政府采购云平台</w:t>
      </w:r>
      <w:r>
        <w:rPr>
          <w:rFonts w:cs="宋体" w:asciiTheme="minorEastAsia" w:hAnsiTheme="minorEastAsia" w:eastAsiaTheme="minorEastAsia"/>
          <w:color w:val="000000"/>
          <w:kern w:val="0"/>
          <w:szCs w:val="21"/>
        </w:rPr>
        <w:t>投标客户端投标 </w:t>
      </w:r>
    </w:p>
    <w:p w14:paraId="7B0187A6">
      <w:pPr>
        <w:widowControl/>
        <w:spacing w:before="170" w:after="170" w:line="300" w:lineRule="atLeast"/>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szCs w:val="21"/>
        </w:rPr>
        <w:t>五、响应文件开启</w:t>
      </w:r>
      <w:r>
        <w:rPr>
          <w:rFonts w:hint="eastAsia" w:cs="宋体" w:asciiTheme="minorEastAsia" w:hAnsiTheme="minorEastAsia" w:eastAsiaTheme="minorEastAsia"/>
          <w:color w:val="000000"/>
          <w:kern w:val="0"/>
          <w:szCs w:val="21"/>
        </w:rPr>
        <w:t> </w:t>
      </w:r>
    </w:p>
    <w:p w14:paraId="04BDF5ED">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开启时间：</w:t>
      </w:r>
      <w:r>
        <w:rPr>
          <w:rFonts w:hint="eastAsia" w:cs="宋体" w:asciiTheme="minorEastAsia" w:hAnsiTheme="minorEastAsia" w:eastAsiaTheme="minorEastAsia"/>
          <w:color w:val="000000"/>
          <w:kern w:val="0"/>
          <w:szCs w:val="21"/>
          <w:lang w:eastAsia="zh-CN"/>
        </w:rPr>
        <w:t>2025年1月7日</w:t>
      </w:r>
      <w:r>
        <w:rPr>
          <w:rFonts w:cs="宋体" w:asciiTheme="minorEastAsia" w:hAnsiTheme="minorEastAsia" w:eastAsiaTheme="minorEastAsia"/>
          <w:color w:val="000000"/>
          <w:kern w:val="0"/>
          <w:szCs w:val="21"/>
        </w:rPr>
        <w:t xml:space="preserve"> 09:30 （北京时间）</w:t>
      </w:r>
    </w:p>
    <w:p w14:paraId="06903A13">
      <w:pPr>
        <w:widowControl/>
        <w:spacing w:before="50" w:after="50" w:line="200" w:lineRule="atLeast"/>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地点：桂林市公共资源交易中心</w:t>
      </w:r>
      <w:r>
        <w:rPr>
          <w:rFonts w:hint="eastAsia" w:cs="宋体" w:asciiTheme="minorEastAsia" w:hAnsiTheme="minorEastAsia" w:eastAsiaTheme="minorEastAsia"/>
          <w:color w:val="000000"/>
          <w:kern w:val="0"/>
          <w:szCs w:val="21"/>
          <w:lang w:val="en-US" w:eastAsia="zh-CN"/>
        </w:rPr>
        <w:t>9</w:t>
      </w:r>
      <w:r>
        <w:rPr>
          <w:rFonts w:cs="宋体" w:asciiTheme="minorEastAsia" w:hAnsiTheme="minorEastAsia" w:eastAsiaTheme="minorEastAsia"/>
          <w:color w:val="000000"/>
          <w:kern w:val="0"/>
          <w:szCs w:val="21"/>
        </w:rPr>
        <w:t>号</w:t>
      </w:r>
      <w:r>
        <w:rPr>
          <w:rFonts w:hint="eastAsia" w:cs="宋体" w:asciiTheme="minorEastAsia" w:hAnsiTheme="minorEastAsia" w:eastAsiaTheme="minorEastAsia"/>
          <w:color w:val="000000"/>
          <w:kern w:val="0"/>
          <w:szCs w:val="21"/>
          <w:lang w:val="en-US" w:eastAsia="zh-CN"/>
        </w:rPr>
        <w:t>政采</w:t>
      </w:r>
      <w:r>
        <w:rPr>
          <w:rFonts w:cs="宋体" w:asciiTheme="minorEastAsia" w:hAnsiTheme="minorEastAsia" w:eastAsiaTheme="minorEastAsia"/>
          <w:color w:val="000000"/>
          <w:kern w:val="0"/>
          <w:szCs w:val="21"/>
        </w:rPr>
        <w:t>开标</w:t>
      </w:r>
      <w:r>
        <w:rPr>
          <w:rFonts w:hint="eastAsia" w:cs="宋体" w:asciiTheme="minorEastAsia" w:hAnsiTheme="minorEastAsia" w:eastAsiaTheme="minorEastAsia"/>
          <w:color w:val="000000"/>
          <w:kern w:val="0"/>
          <w:szCs w:val="21"/>
          <w:lang w:val="en-US" w:eastAsia="zh-CN"/>
        </w:rPr>
        <w:t>仓</w:t>
      </w:r>
      <w:r>
        <w:rPr>
          <w:rFonts w:cs="宋体" w:asciiTheme="minorEastAsia" w:hAnsiTheme="minorEastAsia" w:eastAsiaTheme="minorEastAsia"/>
          <w:color w:val="000000"/>
          <w:kern w:val="0"/>
          <w:szCs w:val="21"/>
        </w:rPr>
        <w:t>通过</w:t>
      </w:r>
      <w:r>
        <w:rPr>
          <w:rFonts w:hint="eastAsia" w:cs="宋体" w:asciiTheme="minorEastAsia" w:hAnsiTheme="minorEastAsia" w:eastAsiaTheme="minorEastAsia"/>
          <w:color w:val="000000"/>
          <w:kern w:val="0"/>
          <w:szCs w:val="21"/>
          <w:lang w:eastAsia="zh-CN"/>
        </w:rPr>
        <w:t>广西政府采购云平台</w:t>
      </w:r>
      <w:r>
        <w:rPr>
          <w:rFonts w:cs="宋体" w:asciiTheme="minorEastAsia" w:hAnsiTheme="minorEastAsia" w:eastAsiaTheme="minorEastAsia"/>
          <w:color w:val="000000"/>
          <w:kern w:val="0"/>
          <w:szCs w:val="21"/>
        </w:rPr>
        <w:t>实行在线解密开启。 </w:t>
      </w:r>
    </w:p>
    <w:p w14:paraId="6610AE7C">
      <w:pPr>
        <w:widowControl/>
        <w:spacing w:before="170" w:after="170" w:line="300" w:lineRule="atLeast"/>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szCs w:val="21"/>
        </w:rPr>
        <w:t>六、公告期限</w:t>
      </w:r>
    </w:p>
    <w:p w14:paraId="2902C51B">
      <w:pPr>
        <w:widowControl/>
        <w:spacing w:before="50" w:after="5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    自本公告发布之日起3个工作日。</w:t>
      </w:r>
    </w:p>
    <w:p w14:paraId="6A507286">
      <w:pPr>
        <w:widowControl/>
        <w:spacing w:before="170" w:after="170" w:line="300" w:lineRule="atLeast"/>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szCs w:val="21"/>
        </w:rPr>
        <w:t>七、其他补充事宜</w:t>
      </w:r>
      <w:r>
        <w:rPr>
          <w:rFonts w:hint="eastAsia" w:cs="宋体" w:asciiTheme="minorEastAsia" w:hAnsiTheme="minorEastAsia" w:eastAsiaTheme="minorEastAsia"/>
          <w:color w:val="000000"/>
          <w:kern w:val="0"/>
          <w:szCs w:val="21"/>
        </w:rPr>
        <w:t> </w:t>
      </w:r>
    </w:p>
    <w:p w14:paraId="2B467717">
      <w:pPr>
        <w:widowControl/>
        <w:spacing w:before="50" w:after="50"/>
        <w:jc w:val="left"/>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1.本项目无需缴纳磋商保证金。</w:t>
      </w:r>
      <w:r>
        <w:rPr>
          <w:rFonts w:hint="eastAsia" w:cs="Arial" w:asciiTheme="minorEastAsia" w:hAnsiTheme="minorEastAsia" w:eastAsiaTheme="minorEastAsia"/>
          <w:color w:val="000000"/>
          <w:kern w:val="0"/>
          <w:szCs w:val="21"/>
        </w:rPr>
        <w:br w:type="textWrapping"/>
      </w:r>
      <w:r>
        <w:rPr>
          <w:rFonts w:hint="eastAsia" w:cs="Arial" w:asciiTheme="minorEastAsia" w:hAnsiTheme="minorEastAsia" w:eastAsiaTheme="minorEastAsia"/>
          <w:color w:val="000000"/>
          <w:kern w:val="0"/>
          <w:szCs w:val="21"/>
        </w:rPr>
        <w:t>2.本项目信息发布媒体：</w:t>
      </w:r>
    </w:p>
    <w:p w14:paraId="49538339">
      <w:pPr>
        <w:widowControl/>
        <w:spacing w:before="50" w:after="50"/>
        <w:jc w:val="left"/>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桂林市政府采购网（zfcg.czj.guilin.gov.cn）</w:t>
      </w:r>
      <w:r>
        <w:rPr>
          <w:rFonts w:hint="eastAsia" w:cs="Arial" w:asciiTheme="minorEastAsia" w:hAnsiTheme="minorEastAsia" w:eastAsiaTheme="minorEastAsia"/>
          <w:color w:val="000000"/>
          <w:kern w:val="0"/>
          <w:szCs w:val="21"/>
        </w:rPr>
        <w:br w:type="textWrapping"/>
      </w:r>
      <w:r>
        <w:rPr>
          <w:rFonts w:hint="eastAsia" w:cs="Arial" w:asciiTheme="minorEastAsia" w:hAnsiTheme="minorEastAsia" w:eastAsiaTheme="minorEastAsia"/>
          <w:color w:val="000000"/>
          <w:kern w:val="0"/>
          <w:szCs w:val="21"/>
        </w:rPr>
        <w:t>广西壮族自治区政府采购网（www.ccgp-guangxi.gov.cn）</w:t>
      </w:r>
      <w:r>
        <w:rPr>
          <w:rFonts w:hint="eastAsia" w:cs="Arial" w:asciiTheme="minorEastAsia" w:hAnsiTheme="minorEastAsia" w:eastAsiaTheme="minorEastAsia"/>
          <w:color w:val="000000"/>
          <w:kern w:val="0"/>
          <w:szCs w:val="21"/>
        </w:rPr>
        <w:br w:type="textWrapping"/>
      </w:r>
      <w:r>
        <w:rPr>
          <w:rFonts w:hint="eastAsia" w:cs="Arial" w:asciiTheme="minorEastAsia" w:hAnsiTheme="minorEastAsia" w:eastAsiaTheme="minorEastAsia"/>
          <w:color w:val="000000"/>
          <w:kern w:val="0"/>
          <w:szCs w:val="21"/>
        </w:rPr>
        <w:t>中国政府采购网http://www.ccgp.gov.cn/</w:t>
      </w:r>
      <w:r>
        <w:rPr>
          <w:rFonts w:hint="eastAsia" w:cs="Arial" w:asciiTheme="minorEastAsia" w:hAnsiTheme="minorEastAsia" w:eastAsiaTheme="minorEastAsia"/>
          <w:color w:val="000000"/>
          <w:kern w:val="0"/>
          <w:szCs w:val="21"/>
        </w:rPr>
        <w:br w:type="textWrapping"/>
      </w:r>
      <w:r>
        <w:rPr>
          <w:rFonts w:hint="eastAsia" w:cs="Arial" w:asciiTheme="minorEastAsia" w:hAnsiTheme="minorEastAsia" w:eastAsiaTheme="minorEastAsia"/>
          <w:color w:val="000000"/>
          <w:kern w:val="0"/>
          <w:szCs w:val="21"/>
        </w:rPr>
        <w:t>3.磋商响应文件解密时间：截标时间后30分钟内（</w:t>
      </w:r>
      <w:r>
        <w:rPr>
          <w:rFonts w:hint="eastAsia" w:cs="Arial" w:asciiTheme="minorEastAsia" w:hAnsiTheme="minorEastAsia" w:eastAsiaTheme="minorEastAsia"/>
          <w:color w:val="000000"/>
          <w:kern w:val="0"/>
          <w:szCs w:val="21"/>
          <w:lang w:eastAsia="zh-CN"/>
        </w:rPr>
        <w:t>2025年1月7日</w:t>
      </w:r>
      <w:r>
        <w:rPr>
          <w:rFonts w:hint="eastAsia" w:cs="Arial" w:asciiTheme="minorEastAsia" w:hAnsiTheme="minorEastAsia" w:eastAsiaTheme="minorEastAsia"/>
          <w:color w:val="000000"/>
          <w:kern w:val="0"/>
          <w:szCs w:val="21"/>
        </w:rPr>
        <w:t>上午9时30分至10时00分)磋商供应商可以登录</w:t>
      </w:r>
      <w:r>
        <w:rPr>
          <w:rFonts w:hint="eastAsia" w:cs="Arial" w:asciiTheme="minorEastAsia" w:hAnsiTheme="minorEastAsia" w:eastAsiaTheme="minorEastAsia"/>
          <w:color w:val="000000"/>
          <w:kern w:val="0"/>
          <w:szCs w:val="21"/>
          <w:lang w:eastAsia="zh-CN"/>
        </w:rPr>
        <w:t>广西政府采购云平台</w:t>
      </w:r>
      <w:r>
        <w:rPr>
          <w:rFonts w:hint="eastAsia" w:cs="Arial" w:asciiTheme="minorEastAsia" w:hAnsiTheme="minorEastAsia" w:eastAsiaTheme="minorEastAsia"/>
          <w:color w:val="000000"/>
          <w:kern w:val="0"/>
          <w:szCs w:val="21"/>
        </w:rPr>
        <w:t xml:space="preserve">，用“项目采购-开标评标”功能进行解密电子磋商响应文件。 </w:t>
      </w:r>
    </w:p>
    <w:p w14:paraId="23DE01B1">
      <w:pPr>
        <w:widowControl/>
        <w:spacing w:before="50" w:after="50"/>
        <w:jc w:val="left"/>
        <w:rPr>
          <w:rFonts w:asciiTheme="minorEastAsia" w:hAnsiTheme="minorEastAsia" w:eastAsiaTheme="minorEastAsia" w:cstheme="minorEastAsia"/>
          <w:szCs w:val="21"/>
        </w:rPr>
      </w:pPr>
      <w:r>
        <w:rPr>
          <w:rFonts w:hint="eastAsia" w:cs="Arial" w:asciiTheme="minorEastAsia" w:hAnsiTheme="minorEastAsia" w:eastAsiaTheme="minorEastAsia"/>
          <w:color w:val="000000"/>
          <w:kern w:val="0"/>
          <w:szCs w:val="21"/>
        </w:rPr>
        <w:t>注：投标文件网上递交截止时间后，各投标人须在解密时限内对上传</w:t>
      </w:r>
      <w:r>
        <w:rPr>
          <w:rFonts w:hint="eastAsia" w:cs="Arial" w:asciiTheme="minorEastAsia" w:hAnsiTheme="minorEastAsia" w:eastAsiaTheme="minorEastAsia"/>
          <w:color w:val="000000"/>
          <w:kern w:val="0"/>
          <w:szCs w:val="21"/>
          <w:lang w:eastAsia="zh-CN"/>
        </w:rPr>
        <w:t>广西政府采购云平台</w:t>
      </w:r>
      <w:r>
        <w:rPr>
          <w:rFonts w:hint="eastAsia" w:cs="Arial" w:asciiTheme="minorEastAsia" w:hAnsiTheme="minorEastAsia" w:eastAsiaTheme="minorEastAsia"/>
          <w:color w:val="000000"/>
          <w:kern w:val="0"/>
          <w:szCs w:val="21"/>
        </w:rPr>
        <w:t>的投标文件进行解密，所有投标人在规定的解密时限内解密完成或解密时限结束后，我公司开启已解密的响应文件。投标人超过解密时限未解密的，系统默认自动放弃，造成投标无效的后果由投标人自行承担。</w:t>
      </w:r>
      <w:r>
        <w:rPr>
          <w:rFonts w:hint="eastAsia" w:cs="Arial" w:asciiTheme="minorEastAsia" w:hAnsiTheme="minorEastAsia" w:eastAsiaTheme="minorEastAsia"/>
          <w:color w:val="000000"/>
          <w:kern w:val="0"/>
          <w:szCs w:val="21"/>
        </w:rPr>
        <w:br w:type="textWrapping"/>
      </w:r>
      <w:r>
        <w:rPr>
          <w:rFonts w:hint="eastAsia" w:cs="Arial" w:asciiTheme="minorEastAsia" w:hAnsiTheme="minorEastAsia" w:eastAsiaTheme="minorEastAsia"/>
          <w:color w:val="000000"/>
          <w:kern w:val="0"/>
          <w:szCs w:val="21"/>
        </w:rPr>
        <w:t>4. 磋商响应文件解密时间：截标时间后30分钟内（</w:t>
      </w:r>
      <w:r>
        <w:rPr>
          <w:rFonts w:hint="eastAsia" w:cs="Arial" w:asciiTheme="minorEastAsia" w:hAnsiTheme="minorEastAsia" w:eastAsiaTheme="minorEastAsia"/>
          <w:color w:val="000000"/>
          <w:kern w:val="0"/>
          <w:szCs w:val="21"/>
          <w:lang w:eastAsia="zh-CN"/>
        </w:rPr>
        <w:t>2025年1月7日</w:t>
      </w:r>
      <w:r>
        <w:rPr>
          <w:rFonts w:hint="eastAsia" w:cs="Arial" w:asciiTheme="minorEastAsia" w:hAnsiTheme="minorEastAsia" w:eastAsiaTheme="minorEastAsia"/>
          <w:color w:val="000000"/>
          <w:kern w:val="0"/>
          <w:szCs w:val="21"/>
        </w:rPr>
        <w:t>上午9时30分至10时00分)磋商供应商可以登录</w:t>
      </w:r>
      <w:r>
        <w:rPr>
          <w:rFonts w:hint="eastAsia" w:cs="Arial" w:asciiTheme="minorEastAsia" w:hAnsiTheme="minorEastAsia" w:eastAsiaTheme="minorEastAsia"/>
          <w:color w:val="000000"/>
          <w:kern w:val="0"/>
          <w:szCs w:val="21"/>
          <w:lang w:eastAsia="zh-CN"/>
        </w:rPr>
        <w:t>广西政府采购云平台</w:t>
      </w:r>
      <w:r>
        <w:rPr>
          <w:rFonts w:hint="eastAsia" w:cs="Arial" w:asciiTheme="minorEastAsia" w:hAnsiTheme="minorEastAsia" w:eastAsiaTheme="minorEastAsia"/>
          <w:color w:val="000000"/>
          <w:kern w:val="0"/>
          <w:szCs w:val="21"/>
        </w:rPr>
        <w:t>，用“项目采购-</w:t>
      </w:r>
      <w:r>
        <w:rPr>
          <w:rFonts w:hint="eastAsia" w:asciiTheme="minorEastAsia" w:hAnsiTheme="minorEastAsia" w:eastAsiaTheme="minorEastAsia" w:cstheme="minorEastAsia"/>
          <w:szCs w:val="21"/>
        </w:rPr>
        <w:t xml:space="preserve">开标评标”功能进行解密电子磋商响应文件。 </w:t>
      </w:r>
    </w:p>
    <w:p w14:paraId="16F3B0EE">
      <w:pPr>
        <w:pStyle w:val="19"/>
        <w:spacing w:before="75" w:beforeAutospacing="0" w:after="75" w:afterAutospacing="0" w:line="30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注：投标文件网上递交截止时间后，各投标人须在解密时限内对上传</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的投标文件进行解密，所有投标人在规定的解密时限内解密完成或解密时限结束后，我公司开启已解密的响应文件。投标人超过解密时限未解密的，系统默认自动放弃，造成投标无效的后果由投标人自行承担。</w:t>
      </w:r>
    </w:p>
    <w:p w14:paraId="1DD754D5">
      <w:pPr>
        <w:pStyle w:val="19"/>
        <w:spacing w:before="75" w:beforeAutospacing="0" w:after="75" w:afterAutospacing="0" w:line="30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5.本项目通过</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实行在线投标响应（电子投标），供应商需要先安装“</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电子交易客户端”，并按照本磋商文件和</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的要求，通过“</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电子交易客户端”编制并加密响应文件。供应商未按规定编制并加密的响应文件，</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将予以拒收。</w:t>
      </w:r>
    </w:p>
    <w:p w14:paraId="68DE35F6">
      <w:pPr>
        <w:pStyle w:val="19"/>
        <w:spacing w:before="75" w:beforeAutospacing="0" w:after="75" w:afterAutospacing="0" w:line="30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投标客户端时，建议使用WIN7及以上操作系统,通过</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参与在线投标时如遇平台技术问题详询95763。</w:t>
      </w:r>
    </w:p>
    <w:p w14:paraId="2FC8FC41">
      <w:pPr>
        <w:pStyle w:val="19"/>
        <w:spacing w:before="75" w:beforeAutospacing="0" w:after="75" w:afterAutospacing="0" w:line="30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6.为确保网上操作合法、有效和安全，磋商供应商应当在磋商截止时间前完成在“政府采购云平台”的身份认证，确保在电子投标过程中能够对相关数据电文进行加密和使用电子签章。使用“</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电子交易客户端”需要提前申领CA数字证书，申领流程请自行前往</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网站进行查阅；（完成CA数字证书办理预计一周左右，建议供应商获取磋商文件后立即办理。）</w:t>
      </w:r>
    </w:p>
    <w:p w14:paraId="4C8213F1">
      <w:pPr>
        <w:pStyle w:val="19"/>
        <w:spacing w:before="75" w:beforeAutospacing="0" w:after="75" w:afterAutospacing="0" w:line="30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7.磋商供应商应当在磋商截止时间前，将生成的“电子磋商响应文件”上传递交至</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3543E595">
      <w:pPr>
        <w:pStyle w:val="19"/>
        <w:spacing w:before="75" w:beforeAutospacing="0" w:after="75" w:afterAutospacing="0" w:line="30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8.本项目需要磋商供应商代表在截标当天截标后，按磋商小组要求及时登陆</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等候在线磋商及提交最后报价。</w:t>
      </w:r>
    </w:p>
    <w:p w14:paraId="08CB6797">
      <w:pPr>
        <w:pStyle w:val="19"/>
        <w:spacing w:before="75" w:beforeAutospacing="0" w:after="75" w:afterAutospacing="0" w:line="30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9.本采购项目为</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全流程电子化操作，参与磋商的供应商需自备计算机和网络设备（设备需可视频通话和读取</w:t>
      </w:r>
      <w:r>
        <w:rPr>
          <w:rFonts w:hint="eastAsia" w:asciiTheme="minorEastAsia" w:hAnsiTheme="minorEastAsia" w:eastAsiaTheme="minorEastAsia" w:cstheme="minorEastAsia"/>
          <w:sz w:val="21"/>
          <w:szCs w:val="21"/>
          <w:lang w:eastAsia="zh-CN"/>
        </w:rPr>
        <w:t>广西政府采购云平台</w:t>
      </w:r>
      <w:r>
        <w:rPr>
          <w:rFonts w:hint="eastAsia" w:asciiTheme="minorEastAsia" w:hAnsiTheme="minorEastAsia" w:eastAsiaTheme="minorEastAsia" w:cstheme="minorEastAsia"/>
          <w:sz w:val="21"/>
          <w:szCs w:val="21"/>
        </w:rPr>
        <w:t>CA数字证书），确保磋商过程顺利进行；因供应商自身设备或网络原因造成的一切后果，由供应商自行承担。</w:t>
      </w:r>
      <w:r>
        <w:rPr>
          <w:rFonts w:hint="eastAsia" w:asciiTheme="minorEastAsia" w:hAnsiTheme="minorEastAsia" w:eastAsiaTheme="minorEastAsia" w:cstheme="minorEastAsia"/>
          <w:sz w:val="21"/>
          <w:szCs w:val="21"/>
        </w:rPr>
        <w:br w:type="textWrapping"/>
      </w:r>
      <w:r>
        <w:rPr>
          <w:rFonts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rPr>
        <w:t>.落实政策</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（1）本项目非专门面向中小微企业采购。</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（2）《关于政府采购支持监狱企业发展有关问题的通知》（财库[2014]68号）。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（3）《关于促进残疾人就业政府采购政策的通知》（财库[2017]141号）。 </w:t>
      </w:r>
    </w:p>
    <w:p w14:paraId="7E51B2E4">
      <w:pPr>
        <w:pStyle w:val="19"/>
        <w:spacing w:before="75" w:beforeAutospacing="0" w:after="75" w:afterAutospacing="0" w:line="300"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11.本项目所属行业：</w:t>
      </w:r>
      <w:r>
        <w:rPr>
          <w:rFonts w:hint="eastAsia" w:asciiTheme="minorEastAsia" w:hAnsiTheme="minorEastAsia" w:eastAsiaTheme="minorEastAsia" w:cstheme="minorEastAsia"/>
          <w:b/>
          <w:bCs/>
          <w:sz w:val="21"/>
          <w:szCs w:val="21"/>
        </w:rPr>
        <w:t>软件和信息技术服务业</w:t>
      </w:r>
    </w:p>
    <w:p w14:paraId="1F48C705">
      <w:pPr>
        <w:widowControl/>
        <w:spacing w:before="50" w:after="50" w:line="360" w:lineRule="atLeast"/>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  </w:t>
      </w:r>
    </w:p>
    <w:p w14:paraId="4607DDC3">
      <w:pPr>
        <w:widowControl/>
        <w:spacing w:before="170" w:after="170" w:line="320" w:lineRule="atLeast"/>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szCs w:val="21"/>
        </w:rPr>
        <w:t>八、凡对本次招标提出询问，请按以下方式联系</w:t>
      </w:r>
    </w:p>
    <w:p w14:paraId="36D35E9A">
      <w:pPr>
        <w:widowControl/>
        <w:spacing w:before="50" w:after="50"/>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1.采购人信息</w:t>
      </w:r>
    </w:p>
    <w:p w14:paraId="65E10ED6">
      <w:pPr>
        <w:widowControl/>
        <w:spacing w:before="50" w:after="50"/>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名    称：</w:t>
      </w:r>
      <w:r>
        <w:rPr>
          <w:rFonts w:hint="eastAsia" w:asciiTheme="minorEastAsia" w:hAnsiTheme="minorEastAsia" w:eastAsiaTheme="minorEastAsia" w:cstheme="minorEastAsia"/>
          <w:szCs w:val="21"/>
        </w:rPr>
        <w:t xml:space="preserve">桂林市临桂区交警队 </w:t>
      </w:r>
      <w:r>
        <w:rPr>
          <w:rFonts w:cs="宋体" w:asciiTheme="minorEastAsia" w:hAnsiTheme="minorEastAsia" w:eastAsiaTheme="minorEastAsia"/>
          <w:color w:val="000000"/>
          <w:kern w:val="0"/>
          <w:szCs w:val="21"/>
        </w:rPr>
        <w:t> </w:t>
      </w:r>
    </w:p>
    <w:p w14:paraId="0603203B">
      <w:pPr>
        <w:widowControl/>
        <w:spacing w:before="50" w:after="50"/>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地    址：</w:t>
      </w:r>
      <w:r>
        <w:rPr>
          <w:rFonts w:hint="eastAsia" w:asciiTheme="minorEastAsia" w:hAnsiTheme="minorEastAsia" w:eastAsiaTheme="minorEastAsia" w:cstheme="minorEastAsia"/>
          <w:szCs w:val="21"/>
        </w:rPr>
        <w:t>桂林市金水路 31 号</w:t>
      </w:r>
      <w:r>
        <w:rPr>
          <w:rFonts w:cs="宋体" w:asciiTheme="minorEastAsia" w:hAnsiTheme="minorEastAsia" w:eastAsiaTheme="minorEastAsia"/>
          <w:color w:val="000000"/>
          <w:kern w:val="0"/>
          <w:szCs w:val="21"/>
        </w:rPr>
        <w:t> </w:t>
      </w:r>
    </w:p>
    <w:p w14:paraId="40F82DE8">
      <w:pPr>
        <w:widowControl/>
        <w:spacing w:before="50" w:after="50"/>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项目联系人：</w:t>
      </w:r>
      <w:r>
        <w:rPr>
          <w:rFonts w:hint="eastAsia" w:cs="宋体" w:asciiTheme="minorEastAsia" w:hAnsiTheme="minorEastAsia" w:eastAsiaTheme="minorEastAsia"/>
          <w:color w:val="000000"/>
          <w:kern w:val="0"/>
          <w:szCs w:val="21"/>
        </w:rPr>
        <w:t>唐警官</w:t>
      </w:r>
      <w:r>
        <w:rPr>
          <w:rFonts w:cs="宋体" w:asciiTheme="minorEastAsia" w:hAnsiTheme="minorEastAsia" w:eastAsiaTheme="minorEastAsia"/>
          <w:color w:val="000000"/>
          <w:kern w:val="0"/>
          <w:szCs w:val="21"/>
        </w:rPr>
        <w:t> </w:t>
      </w:r>
    </w:p>
    <w:p w14:paraId="0C05F926">
      <w:pPr>
        <w:widowControl/>
        <w:spacing w:before="50" w:after="50"/>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项目联系方式：0773-5592422 </w:t>
      </w:r>
    </w:p>
    <w:p w14:paraId="5C33CE71">
      <w:pPr>
        <w:widowControl/>
        <w:spacing w:before="50" w:after="50"/>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w:t>
      </w:r>
      <w:r>
        <w:rPr>
          <w:rFonts w:cs="宋体" w:asciiTheme="minorEastAsia" w:hAnsiTheme="minorEastAsia" w:eastAsiaTheme="minorEastAsia"/>
          <w:color w:val="000000"/>
          <w:kern w:val="0"/>
          <w:szCs w:val="21"/>
        </w:rPr>
        <w:br w:type="textWrapping"/>
      </w:r>
      <w:r>
        <w:rPr>
          <w:rFonts w:cs="宋体" w:asciiTheme="minorEastAsia" w:hAnsiTheme="minorEastAsia" w:eastAsiaTheme="minorEastAsia"/>
          <w:color w:val="000000"/>
          <w:kern w:val="0"/>
          <w:szCs w:val="21"/>
        </w:rPr>
        <w:t>    2.采购代理机构信息</w:t>
      </w:r>
    </w:p>
    <w:p w14:paraId="4A83A243">
      <w:pPr>
        <w:widowControl/>
        <w:spacing w:before="50" w:after="50"/>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名    称：广西安臻工程管理有限公司 </w:t>
      </w:r>
    </w:p>
    <w:p w14:paraId="36F4BCAE">
      <w:pPr>
        <w:widowControl/>
        <w:spacing w:before="50" w:after="50"/>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地    址：</w:t>
      </w:r>
      <w:r>
        <w:rPr>
          <w:rFonts w:hint="eastAsia" w:asciiTheme="minorEastAsia" w:hAnsiTheme="minorEastAsia" w:eastAsiaTheme="minorEastAsia" w:cstheme="minorEastAsia"/>
          <w:szCs w:val="21"/>
        </w:rPr>
        <w:t>临桂区临桂镇仕通路69号精通.伊顿国际</w:t>
      </w:r>
      <w:r>
        <w:rPr>
          <w:rFonts w:cs="宋体" w:asciiTheme="minorEastAsia" w:hAnsiTheme="minorEastAsia" w:eastAsiaTheme="minorEastAsia"/>
          <w:color w:val="000000"/>
          <w:kern w:val="0"/>
          <w:szCs w:val="21"/>
        </w:rPr>
        <w:t> </w:t>
      </w:r>
    </w:p>
    <w:p w14:paraId="65F73EF8">
      <w:pPr>
        <w:widowControl/>
        <w:spacing w:before="50" w:after="50"/>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项目联系人：刘工 </w:t>
      </w:r>
    </w:p>
    <w:p w14:paraId="59378F2D">
      <w:pPr>
        <w:widowControl/>
        <w:spacing w:before="50" w:after="50"/>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项目联系方式：</w:t>
      </w:r>
      <w:r>
        <w:rPr>
          <w:rFonts w:hint="eastAsia" w:cs="宋体" w:asciiTheme="minorEastAsia" w:hAnsiTheme="minorEastAsia" w:eastAsiaTheme="minorEastAsia"/>
          <w:color w:val="000000"/>
          <w:kern w:val="0"/>
          <w:szCs w:val="21"/>
          <w:lang w:eastAsia="zh-CN"/>
        </w:rPr>
        <w:t>18078360291</w:t>
      </w:r>
      <w:r>
        <w:rPr>
          <w:rFonts w:cs="宋体" w:asciiTheme="minorEastAsia" w:hAnsiTheme="minorEastAsia" w:eastAsiaTheme="minorEastAsia"/>
          <w:color w:val="000000"/>
          <w:kern w:val="0"/>
          <w:szCs w:val="21"/>
        </w:rPr>
        <w:t> </w:t>
      </w:r>
    </w:p>
    <w:p w14:paraId="437C9E72">
      <w:pPr>
        <w:widowControl/>
        <w:spacing w:before="68" w:after="68"/>
        <w:jc w:val="left"/>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 </w:t>
      </w:r>
    </w:p>
    <w:p w14:paraId="1ED740E0">
      <w:pPr>
        <w:spacing w:line="360" w:lineRule="exact"/>
        <w:ind w:firstLine="578"/>
        <w:rPr>
          <w:rFonts w:cs="宋体" w:asciiTheme="minorEastAsia" w:hAnsiTheme="minorEastAsia" w:eastAsiaTheme="minorEastAsia"/>
          <w:szCs w:val="21"/>
        </w:rPr>
      </w:pPr>
      <w:r>
        <w:rPr>
          <w:rFonts w:hint="eastAsia" w:cs="宋体" w:asciiTheme="minorEastAsia" w:hAnsiTheme="minorEastAsia" w:eastAsiaTheme="minorEastAsia"/>
          <w:szCs w:val="21"/>
        </w:rPr>
        <w:t>3.项目联系方式</w:t>
      </w:r>
      <w:bookmarkEnd w:id="7"/>
      <w:bookmarkEnd w:id="8"/>
      <w:bookmarkEnd w:id="9"/>
      <w:bookmarkEnd w:id="10"/>
    </w:p>
    <w:p w14:paraId="42E09376">
      <w:pPr>
        <w:pStyle w:val="12"/>
        <w:spacing w:line="360" w:lineRule="exact"/>
        <w:ind w:firstLine="630" w:firstLineChars="300"/>
        <w:rPr>
          <w:rFonts w:cs="宋体" w:asciiTheme="minorEastAsia" w:hAnsiTheme="minorEastAsia" w:eastAsiaTheme="minorEastAsia"/>
          <w:szCs w:val="21"/>
        </w:rPr>
      </w:pPr>
      <w:r>
        <w:rPr>
          <w:rFonts w:hint="eastAsia" w:cs="宋体" w:asciiTheme="minorEastAsia" w:hAnsiTheme="minorEastAsia" w:eastAsiaTheme="minorEastAsia"/>
          <w:szCs w:val="21"/>
        </w:rPr>
        <w:t>项目联系人：</w:t>
      </w:r>
      <w:r>
        <w:rPr>
          <w:rFonts w:hint="eastAsia" w:cs="宋体" w:asciiTheme="minorEastAsia" w:hAnsiTheme="minorEastAsia" w:eastAsiaTheme="minorEastAsia"/>
          <w:szCs w:val="21"/>
          <w:u w:val="single"/>
        </w:rPr>
        <w:t>刘工</w:t>
      </w:r>
    </w:p>
    <w:p w14:paraId="3C85F7A6">
      <w:pPr>
        <w:spacing w:line="360" w:lineRule="exact"/>
        <w:ind w:firstLine="630" w:firstLineChars="300"/>
        <w:rPr>
          <w:rFonts w:hint="eastAsia" w:cs="宋体" w:asciiTheme="minorEastAsia" w:hAnsiTheme="minorEastAsia" w:eastAsiaTheme="minorEastAsia"/>
          <w:szCs w:val="21"/>
          <w:u w:val="single"/>
          <w:lang w:eastAsia="zh-CN"/>
        </w:rPr>
      </w:pPr>
      <w:r>
        <w:rPr>
          <w:rFonts w:hint="eastAsia" w:cs="宋体" w:asciiTheme="minorEastAsia" w:hAnsiTheme="minorEastAsia" w:eastAsiaTheme="minorEastAsia"/>
          <w:szCs w:val="21"/>
        </w:rPr>
        <w:t>电　　话：</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u w:val="single"/>
          <w:lang w:eastAsia="zh-CN"/>
        </w:rPr>
        <w:t>18078360291</w:t>
      </w:r>
    </w:p>
    <w:p w14:paraId="7A7A76B7">
      <w:pPr>
        <w:spacing w:line="360" w:lineRule="exact"/>
        <w:ind w:firstLine="578"/>
        <w:rPr>
          <w:rFonts w:cs="宋体" w:asciiTheme="minorEastAsia" w:hAnsiTheme="minorEastAsia" w:eastAsiaTheme="minorEastAsia"/>
          <w:szCs w:val="21"/>
        </w:rPr>
      </w:pPr>
      <w:r>
        <w:rPr>
          <w:rFonts w:hint="eastAsia" w:cs="宋体" w:asciiTheme="minorEastAsia" w:hAnsiTheme="minorEastAsia" w:eastAsiaTheme="minorEastAsia"/>
          <w:szCs w:val="21"/>
        </w:rPr>
        <w:t>4.政府采购监督管理机构</w:t>
      </w:r>
    </w:p>
    <w:p w14:paraId="47293B66">
      <w:pPr>
        <w:spacing w:line="380" w:lineRule="exact"/>
        <w:ind w:firstLine="630" w:firstLineChars="300"/>
        <w:rPr>
          <w:rFonts w:cs="宋体" w:asciiTheme="minorEastAsia" w:hAnsiTheme="minorEastAsia" w:eastAsiaTheme="minorEastAsia"/>
          <w:szCs w:val="21"/>
        </w:rPr>
      </w:pPr>
      <w:r>
        <w:rPr>
          <w:rFonts w:hint="eastAsia" w:cs="宋体" w:asciiTheme="minorEastAsia" w:hAnsiTheme="minorEastAsia" w:eastAsiaTheme="minorEastAsia"/>
          <w:szCs w:val="21"/>
        </w:rPr>
        <w:t>名 称：</w:t>
      </w:r>
      <w:r>
        <w:rPr>
          <w:rFonts w:hint="eastAsia" w:cs="宋体" w:asciiTheme="minorEastAsia" w:hAnsiTheme="minorEastAsia" w:eastAsiaTheme="minorEastAsia"/>
          <w:szCs w:val="21"/>
          <w:u w:val="single"/>
        </w:rPr>
        <w:t>桂林市临桂区财政局</w:t>
      </w:r>
    </w:p>
    <w:p w14:paraId="13D887B5">
      <w:pPr>
        <w:spacing w:line="380" w:lineRule="exact"/>
        <w:ind w:firstLine="630" w:firstLineChars="300"/>
        <w:rPr>
          <w:rFonts w:cs="宋体" w:asciiTheme="minorEastAsia" w:hAnsiTheme="minorEastAsia" w:eastAsiaTheme="minorEastAsia"/>
          <w:szCs w:val="21"/>
        </w:rPr>
      </w:pPr>
      <w:r>
        <w:rPr>
          <w:rFonts w:hint="eastAsia" w:cs="宋体" w:asciiTheme="minorEastAsia" w:hAnsiTheme="minorEastAsia" w:eastAsiaTheme="minorEastAsia"/>
          <w:szCs w:val="21"/>
        </w:rPr>
        <w:t>联系方式：</w:t>
      </w:r>
      <w:r>
        <w:rPr>
          <w:rFonts w:hint="eastAsia" w:cs="宋体" w:asciiTheme="minorEastAsia" w:hAnsiTheme="minorEastAsia" w:eastAsiaTheme="minorEastAsia"/>
          <w:szCs w:val="21"/>
          <w:u w:val="single"/>
        </w:rPr>
        <w:t>0773-5593932</w:t>
      </w:r>
    </w:p>
    <w:p w14:paraId="74DAE173">
      <w:pPr>
        <w:pStyle w:val="9"/>
        <w:rPr>
          <w:rFonts w:ascii="宋体" w:hAnsi="宋体" w:cs="宋体"/>
        </w:rPr>
      </w:pPr>
    </w:p>
    <w:p w14:paraId="0C07E98C">
      <w:pPr>
        <w:pStyle w:val="9"/>
        <w:rPr>
          <w:rFonts w:ascii="宋体" w:hAnsi="宋体" w:cs="宋体"/>
        </w:rPr>
      </w:pPr>
    </w:p>
    <w:p w14:paraId="26976193">
      <w:pPr>
        <w:pStyle w:val="9"/>
        <w:rPr>
          <w:rFonts w:ascii="宋体" w:hAnsi="宋体" w:cs="宋体"/>
        </w:rPr>
      </w:pPr>
    </w:p>
    <w:p w14:paraId="18870358">
      <w:pPr>
        <w:pStyle w:val="9"/>
        <w:rPr>
          <w:rFonts w:ascii="宋体" w:hAnsi="宋体" w:cs="宋体"/>
        </w:rPr>
      </w:pPr>
    </w:p>
    <w:p w14:paraId="0E9810A0">
      <w:pPr>
        <w:pStyle w:val="9"/>
        <w:rPr>
          <w:rFonts w:ascii="宋体" w:hAnsi="宋体" w:cs="宋体"/>
        </w:rPr>
      </w:pPr>
    </w:p>
    <w:p w14:paraId="7AC292CD">
      <w:pPr>
        <w:pStyle w:val="9"/>
        <w:rPr>
          <w:rFonts w:ascii="宋体" w:hAnsi="宋体" w:cs="宋体"/>
        </w:rPr>
      </w:pPr>
    </w:p>
    <w:p w14:paraId="1586CA05">
      <w:pPr>
        <w:pStyle w:val="9"/>
        <w:rPr>
          <w:rFonts w:ascii="宋体" w:hAnsi="宋体" w:cs="宋体"/>
        </w:rPr>
      </w:pPr>
    </w:p>
    <w:p w14:paraId="6F00EBEB">
      <w:pPr>
        <w:pStyle w:val="9"/>
        <w:rPr>
          <w:rFonts w:ascii="宋体" w:hAnsi="宋体" w:cs="宋体"/>
        </w:rPr>
      </w:pPr>
    </w:p>
    <w:p w14:paraId="116788DD">
      <w:pPr>
        <w:pStyle w:val="9"/>
        <w:rPr>
          <w:rFonts w:ascii="宋体" w:hAnsi="宋体" w:cs="宋体"/>
        </w:rPr>
      </w:pPr>
    </w:p>
    <w:p w14:paraId="4BFA4EBE">
      <w:pPr>
        <w:pStyle w:val="9"/>
        <w:rPr>
          <w:rFonts w:ascii="宋体" w:hAnsi="宋体" w:cs="宋体"/>
        </w:rPr>
      </w:pPr>
    </w:p>
    <w:p w14:paraId="5CAB9B4D">
      <w:pPr>
        <w:pStyle w:val="9"/>
        <w:rPr>
          <w:rFonts w:ascii="宋体" w:hAnsi="宋体" w:cs="宋体"/>
        </w:rPr>
      </w:pPr>
    </w:p>
    <w:p w14:paraId="3E71AF5E">
      <w:pPr>
        <w:pStyle w:val="9"/>
        <w:rPr>
          <w:rFonts w:ascii="宋体" w:hAnsi="宋体" w:cs="宋体"/>
        </w:rPr>
      </w:pPr>
    </w:p>
    <w:p w14:paraId="2A616D2F">
      <w:pPr>
        <w:pStyle w:val="3"/>
        <w:spacing w:line="240" w:lineRule="auto"/>
        <w:jc w:val="center"/>
        <w:rPr>
          <w:rFonts w:ascii="宋体" w:hAnsi="宋体" w:cs="宋体"/>
          <w:color w:val="000000"/>
          <w:sz w:val="32"/>
          <w:szCs w:val="32"/>
        </w:rPr>
      </w:pPr>
      <w:bookmarkStart w:id="11" w:name="_Toc102642478"/>
      <w:r>
        <w:rPr>
          <w:rFonts w:hint="eastAsia" w:ascii="宋体" w:hAnsi="宋体" w:cs="宋体"/>
          <w:color w:val="000000"/>
          <w:sz w:val="32"/>
          <w:szCs w:val="32"/>
        </w:rPr>
        <w:t>第二章 供应商须知</w:t>
      </w:r>
      <w:bookmarkEnd w:id="0"/>
      <w:bookmarkEnd w:id="1"/>
      <w:bookmarkEnd w:id="11"/>
    </w:p>
    <w:p w14:paraId="76A67B36">
      <w:pPr>
        <w:pStyle w:val="4"/>
        <w:jc w:val="center"/>
        <w:rPr>
          <w:rFonts w:ascii="宋体" w:hAnsi="宋体" w:cs="宋体"/>
          <w:b/>
          <w:bCs w:val="0"/>
          <w:sz w:val="24"/>
          <w:szCs w:val="24"/>
        </w:rPr>
      </w:pPr>
      <w:bookmarkStart w:id="12" w:name="_Toc9508"/>
      <w:bookmarkStart w:id="13" w:name="_Toc102642479"/>
      <w:bookmarkStart w:id="14" w:name="_Toc13547"/>
      <w:bookmarkStart w:id="15" w:name="_Toc25063"/>
      <w:r>
        <w:rPr>
          <w:rFonts w:hint="eastAsia" w:ascii="宋体" w:hAnsi="宋体" w:cs="宋体"/>
          <w:b/>
          <w:bCs w:val="0"/>
          <w:sz w:val="24"/>
          <w:szCs w:val="24"/>
        </w:rPr>
        <w:t>供 应 商 须 知 前 附 表</w:t>
      </w:r>
      <w:bookmarkEnd w:id="12"/>
      <w:bookmarkEnd w:id="13"/>
      <w:bookmarkEnd w:id="14"/>
      <w:bookmarkEnd w:id="15"/>
    </w:p>
    <w:tbl>
      <w:tblPr>
        <w:tblStyle w:val="23"/>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3F82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14:paraId="6BD1D055">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942" w:type="dxa"/>
            <w:vAlign w:val="center"/>
          </w:tcPr>
          <w:p w14:paraId="6B3247AF">
            <w:pPr>
              <w:spacing w:line="360" w:lineRule="auto"/>
              <w:jc w:val="center"/>
              <w:rPr>
                <w:rFonts w:ascii="宋体" w:hAnsi="宋体" w:cs="宋体"/>
                <w:color w:val="000000"/>
                <w:szCs w:val="21"/>
              </w:rPr>
            </w:pPr>
            <w:r>
              <w:rPr>
                <w:rFonts w:hint="eastAsia" w:ascii="宋体" w:hAnsi="宋体" w:cs="宋体"/>
                <w:color w:val="000000"/>
                <w:szCs w:val="21"/>
              </w:rPr>
              <w:t>条款号</w:t>
            </w:r>
          </w:p>
        </w:tc>
        <w:tc>
          <w:tcPr>
            <w:tcW w:w="1775" w:type="dxa"/>
            <w:vAlign w:val="center"/>
          </w:tcPr>
          <w:p w14:paraId="02F4F9B1">
            <w:pPr>
              <w:spacing w:line="360" w:lineRule="auto"/>
              <w:jc w:val="center"/>
              <w:rPr>
                <w:rFonts w:ascii="宋体" w:hAnsi="宋体" w:cs="宋体"/>
                <w:color w:val="000000"/>
                <w:szCs w:val="21"/>
              </w:rPr>
            </w:pPr>
            <w:r>
              <w:rPr>
                <w:rFonts w:hint="eastAsia" w:ascii="宋体" w:hAnsi="宋体" w:cs="宋体"/>
                <w:color w:val="000000"/>
                <w:szCs w:val="21"/>
              </w:rPr>
              <w:t>条款名称</w:t>
            </w:r>
          </w:p>
        </w:tc>
        <w:tc>
          <w:tcPr>
            <w:tcW w:w="6912" w:type="dxa"/>
            <w:vAlign w:val="center"/>
          </w:tcPr>
          <w:p w14:paraId="0B1BAB2F">
            <w:pPr>
              <w:spacing w:line="360" w:lineRule="auto"/>
              <w:jc w:val="center"/>
              <w:rPr>
                <w:rFonts w:ascii="宋体" w:hAnsi="宋体" w:cs="宋体"/>
                <w:color w:val="000000"/>
                <w:szCs w:val="21"/>
              </w:rPr>
            </w:pPr>
            <w:r>
              <w:rPr>
                <w:rFonts w:hint="eastAsia" w:ascii="宋体" w:hAnsi="宋体" w:cs="宋体"/>
                <w:color w:val="000000"/>
                <w:szCs w:val="21"/>
              </w:rPr>
              <w:t>内容、要求</w:t>
            </w:r>
          </w:p>
        </w:tc>
      </w:tr>
      <w:tr w14:paraId="615A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1ADEEE5D">
            <w:pPr>
              <w:spacing w:line="360" w:lineRule="auto"/>
              <w:jc w:val="center"/>
              <w:rPr>
                <w:rFonts w:ascii="宋体" w:hAnsi="宋体" w:cs="宋体"/>
                <w:color w:val="000000"/>
                <w:szCs w:val="21"/>
              </w:rPr>
            </w:pPr>
            <w:r>
              <w:rPr>
                <w:rFonts w:hint="eastAsia" w:ascii="宋体" w:hAnsi="宋体" w:cs="宋体"/>
                <w:color w:val="000000"/>
                <w:szCs w:val="21"/>
              </w:rPr>
              <w:t>1</w:t>
            </w:r>
          </w:p>
        </w:tc>
        <w:tc>
          <w:tcPr>
            <w:tcW w:w="942" w:type="dxa"/>
            <w:vAlign w:val="center"/>
          </w:tcPr>
          <w:p w14:paraId="756B3009">
            <w:pPr>
              <w:spacing w:line="360" w:lineRule="auto"/>
              <w:jc w:val="center"/>
              <w:rPr>
                <w:rFonts w:ascii="宋体" w:hAnsi="宋体" w:cs="宋体"/>
                <w:color w:val="000000"/>
                <w:szCs w:val="21"/>
              </w:rPr>
            </w:pPr>
            <w:r>
              <w:rPr>
                <w:rFonts w:hint="eastAsia" w:ascii="宋体" w:hAnsi="宋体" w:cs="宋体"/>
                <w:color w:val="000000"/>
                <w:szCs w:val="21"/>
              </w:rPr>
              <w:t>1.1</w:t>
            </w:r>
          </w:p>
        </w:tc>
        <w:tc>
          <w:tcPr>
            <w:tcW w:w="1775" w:type="dxa"/>
            <w:vAlign w:val="center"/>
          </w:tcPr>
          <w:p w14:paraId="2C1EC9B3">
            <w:pPr>
              <w:spacing w:line="360" w:lineRule="auto"/>
              <w:jc w:val="center"/>
              <w:rPr>
                <w:rFonts w:ascii="宋体" w:hAnsi="宋体" w:cs="宋体"/>
                <w:color w:val="000000"/>
                <w:szCs w:val="21"/>
              </w:rPr>
            </w:pPr>
            <w:r>
              <w:rPr>
                <w:rFonts w:hint="eastAsia" w:ascii="宋体" w:hAnsi="宋体" w:cs="宋体"/>
                <w:color w:val="000000"/>
                <w:szCs w:val="21"/>
              </w:rPr>
              <w:t>项目名称及项目编号</w:t>
            </w:r>
          </w:p>
        </w:tc>
        <w:tc>
          <w:tcPr>
            <w:tcW w:w="6912" w:type="dxa"/>
          </w:tcPr>
          <w:p w14:paraId="342C9864">
            <w:pPr>
              <w:spacing w:line="360" w:lineRule="auto"/>
              <w:jc w:val="left"/>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国道321线交通监控系统服务项目</w:t>
            </w:r>
          </w:p>
          <w:p w14:paraId="2DDF0F4B">
            <w:pPr>
              <w:spacing w:line="360" w:lineRule="auto"/>
              <w:jc w:val="left"/>
              <w:rPr>
                <w:rFonts w:hint="eastAsia" w:ascii="宋体" w:hAnsi="宋体" w:eastAsia="宋体" w:cs="宋体"/>
                <w:color w:val="000000"/>
                <w:lang w:eastAsia="zh-CN"/>
              </w:rPr>
            </w:pPr>
            <w:r>
              <w:rPr>
                <w:rFonts w:hint="eastAsia" w:ascii="宋体" w:hAnsi="宋体" w:cs="宋体"/>
                <w:szCs w:val="21"/>
              </w:rPr>
              <w:t>项目编号：</w:t>
            </w:r>
            <w:r>
              <w:rPr>
                <w:rFonts w:hint="eastAsia" w:ascii="宋体" w:hAnsi="宋体" w:cs="宋体"/>
                <w:szCs w:val="21"/>
                <w:lang w:eastAsia="zh-CN"/>
              </w:rPr>
              <w:t>GLZC2024-C3-120108-GXAZ</w:t>
            </w:r>
          </w:p>
        </w:tc>
      </w:tr>
      <w:tr w14:paraId="5A1D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66A19FFE">
            <w:pPr>
              <w:spacing w:line="360" w:lineRule="auto"/>
              <w:jc w:val="center"/>
              <w:rPr>
                <w:rFonts w:ascii="宋体" w:hAnsi="宋体" w:cs="宋体"/>
                <w:color w:val="000000"/>
                <w:szCs w:val="21"/>
              </w:rPr>
            </w:pPr>
            <w:r>
              <w:rPr>
                <w:rFonts w:hint="eastAsia" w:ascii="宋体" w:hAnsi="宋体" w:cs="宋体"/>
                <w:color w:val="000000"/>
                <w:szCs w:val="21"/>
              </w:rPr>
              <w:t>2</w:t>
            </w:r>
          </w:p>
        </w:tc>
        <w:tc>
          <w:tcPr>
            <w:tcW w:w="942" w:type="dxa"/>
            <w:vAlign w:val="center"/>
          </w:tcPr>
          <w:p w14:paraId="6183CD7B">
            <w:pPr>
              <w:spacing w:line="360" w:lineRule="auto"/>
              <w:jc w:val="center"/>
              <w:rPr>
                <w:rFonts w:ascii="宋体" w:hAnsi="宋体" w:cs="宋体"/>
                <w:color w:val="000000"/>
                <w:szCs w:val="21"/>
              </w:rPr>
            </w:pPr>
            <w:r>
              <w:rPr>
                <w:rFonts w:hint="eastAsia" w:ascii="宋体" w:hAnsi="宋体" w:cs="宋体"/>
                <w:color w:val="000000"/>
                <w:szCs w:val="21"/>
              </w:rPr>
              <w:t>3</w:t>
            </w:r>
          </w:p>
        </w:tc>
        <w:tc>
          <w:tcPr>
            <w:tcW w:w="1775" w:type="dxa"/>
            <w:vAlign w:val="center"/>
          </w:tcPr>
          <w:p w14:paraId="186ECB57">
            <w:pPr>
              <w:spacing w:line="360" w:lineRule="auto"/>
              <w:jc w:val="center"/>
              <w:rPr>
                <w:rFonts w:ascii="宋体" w:hAnsi="宋体" w:cs="宋体"/>
                <w:color w:val="000000"/>
                <w:szCs w:val="21"/>
              </w:rPr>
            </w:pPr>
            <w:r>
              <w:rPr>
                <w:rFonts w:hint="eastAsia" w:ascii="宋体" w:hAnsi="宋体" w:cs="宋体"/>
                <w:color w:val="000000"/>
                <w:szCs w:val="21"/>
              </w:rPr>
              <w:t>供应商资格</w:t>
            </w:r>
          </w:p>
        </w:tc>
        <w:tc>
          <w:tcPr>
            <w:tcW w:w="6912" w:type="dxa"/>
            <w:vAlign w:val="center"/>
          </w:tcPr>
          <w:p w14:paraId="6D7B9268">
            <w:pPr>
              <w:spacing w:line="360" w:lineRule="auto"/>
              <w:rPr>
                <w:rFonts w:ascii="宋体" w:hAnsi="宋体" w:cs="宋体"/>
                <w:color w:val="000000"/>
                <w:szCs w:val="21"/>
              </w:rPr>
            </w:pPr>
            <w:r>
              <w:rPr>
                <w:rFonts w:hint="eastAsia" w:ascii="宋体" w:hAnsi="宋体" w:cs="宋体"/>
                <w:color w:val="000000"/>
                <w:szCs w:val="21"/>
              </w:rPr>
              <w:t>3.1符合《中华人民共和国政府采购法》第二十二条和《政府采购法实施条例》第十八条规定，具备合法资格的供应商；</w:t>
            </w:r>
          </w:p>
          <w:p w14:paraId="38AC9CC3">
            <w:pPr>
              <w:spacing w:line="360" w:lineRule="auto"/>
              <w:rPr>
                <w:rFonts w:ascii="宋体" w:hAnsi="宋体" w:cs="宋体"/>
                <w:szCs w:val="21"/>
              </w:rPr>
            </w:pPr>
            <w:r>
              <w:rPr>
                <w:rFonts w:hint="eastAsia" w:ascii="宋体" w:hAnsi="宋体" w:cs="宋体"/>
                <w:color w:val="000000"/>
                <w:szCs w:val="21"/>
              </w:rPr>
              <w:t>3.2本项目</w:t>
            </w:r>
            <w:r>
              <w:rPr>
                <w:rFonts w:hint="eastAsia" w:ascii="宋体" w:hAnsi="宋体" w:cs="宋体"/>
                <w:szCs w:val="21"/>
              </w:rPr>
              <w:t>不接受联合体参与磋商；</w:t>
            </w:r>
          </w:p>
          <w:p w14:paraId="5106BDC7">
            <w:pPr>
              <w:spacing w:line="360" w:lineRule="auto"/>
              <w:rPr>
                <w:rFonts w:ascii="宋体" w:hAnsi="宋体" w:cs="宋体"/>
                <w:szCs w:val="21"/>
              </w:rPr>
            </w:pPr>
            <w:r>
              <w:rPr>
                <w:rFonts w:hint="eastAsia" w:ascii="宋体" w:hAnsi="宋体" w:cs="宋体"/>
                <w:szCs w:val="21"/>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0AAB6C70">
            <w:pPr>
              <w:spacing w:line="360" w:lineRule="exact"/>
              <w:rPr>
                <w:rFonts w:ascii="宋体" w:hAnsi="宋体" w:cs="宋体"/>
                <w:bCs/>
                <w:szCs w:val="21"/>
              </w:rPr>
            </w:pPr>
            <w:r>
              <w:rPr>
                <w:rFonts w:hint="eastAsia" w:ascii="宋体" w:hAnsi="宋体" w:cs="宋体"/>
                <w:szCs w:val="21"/>
              </w:rPr>
              <w:t>3.4落实政府采购政策需满足的资格要求：</w:t>
            </w:r>
            <w:r>
              <w:rPr>
                <w:rFonts w:hint="eastAsia" w:ascii="宋体" w:hAnsi="宋体" w:cs="宋体"/>
                <w:bCs/>
                <w:szCs w:val="21"/>
              </w:rPr>
              <w:t>无。</w:t>
            </w:r>
          </w:p>
          <w:p w14:paraId="6D6BC2CD">
            <w:pPr>
              <w:spacing w:line="360" w:lineRule="exact"/>
              <w:rPr>
                <w:rFonts w:ascii="宋体" w:hAnsi="宋体" w:cs="宋体"/>
                <w:color w:val="000000"/>
              </w:rPr>
            </w:pPr>
            <w:r>
              <w:rPr>
                <w:rFonts w:hint="eastAsia" w:ascii="宋体" w:hAnsi="宋体" w:cs="宋体"/>
                <w:szCs w:val="21"/>
              </w:rPr>
              <w:t>3.5本项目的特定资格要求：</w:t>
            </w:r>
            <w:r>
              <w:rPr>
                <w:rFonts w:hint="eastAsia" w:ascii="宋体" w:hAnsi="宋体" w:cs="宋体"/>
                <w:bCs/>
                <w:szCs w:val="21"/>
              </w:rPr>
              <w:t>无。</w:t>
            </w:r>
          </w:p>
        </w:tc>
      </w:tr>
      <w:tr w14:paraId="4C4E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2AC3E454">
            <w:pPr>
              <w:spacing w:line="360" w:lineRule="auto"/>
              <w:jc w:val="center"/>
              <w:rPr>
                <w:rFonts w:ascii="宋体" w:hAnsi="宋体" w:cs="宋体"/>
                <w:color w:val="000000"/>
                <w:szCs w:val="21"/>
              </w:rPr>
            </w:pPr>
            <w:r>
              <w:rPr>
                <w:rFonts w:hint="eastAsia" w:ascii="宋体" w:hAnsi="宋体" w:cs="宋体"/>
                <w:color w:val="000000"/>
                <w:szCs w:val="21"/>
              </w:rPr>
              <w:t>3</w:t>
            </w:r>
          </w:p>
        </w:tc>
        <w:tc>
          <w:tcPr>
            <w:tcW w:w="942" w:type="dxa"/>
            <w:vAlign w:val="center"/>
          </w:tcPr>
          <w:p w14:paraId="381B2137">
            <w:pPr>
              <w:spacing w:line="360" w:lineRule="auto"/>
              <w:jc w:val="center"/>
              <w:rPr>
                <w:rFonts w:ascii="宋体" w:hAnsi="宋体" w:cs="宋体"/>
                <w:color w:val="000000"/>
                <w:szCs w:val="21"/>
              </w:rPr>
            </w:pPr>
            <w:r>
              <w:rPr>
                <w:rFonts w:hint="eastAsia" w:ascii="宋体" w:hAnsi="宋体" w:cs="宋体"/>
                <w:color w:val="000000"/>
                <w:szCs w:val="21"/>
              </w:rPr>
              <w:t>4</w:t>
            </w:r>
          </w:p>
        </w:tc>
        <w:tc>
          <w:tcPr>
            <w:tcW w:w="1775" w:type="dxa"/>
            <w:vAlign w:val="center"/>
          </w:tcPr>
          <w:p w14:paraId="03D60563">
            <w:pPr>
              <w:spacing w:line="360" w:lineRule="auto"/>
              <w:jc w:val="center"/>
              <w:rPr>
                <w:rFonts w:ascii="宋体" w:hAnsi="宋体" w:cs="宋体"/>
                <w:color w:val="000000"/>
                <w:szCs w:val="21"/>
              </w:rPr>
            </w:pPr>
            <w:r>
              <w:rPr>
                <w:rFonts w:hint="eastAsia" w:ascii="宋体" w:hAnsi="宋体" w:cs="宋体"/>
                <w:color w:val="000000"/>
                <w:szCs w:val="21"/>
              </w:rPr>
              <w:t>磋商费用</w:t>
            </w:r>
          </w:p>
        </w:tc>
        <w:tc>
          <w:tcPr>
            <w:tcW w:w="6912" w:type="dxa"/>
            <w:vAlign w:val="center"/>
          </w:tcPr>
          <w:p w14:paraId="4499689A">
            <w:pPr>
              <w:spacing w:line="360" w:lineRule="auto"/>
              <w:rPr>
                <w:rFonts w:ascii="宋体" w:hAnsi="宋体" w:cs="宋体"/>
                <w:color w:val="000000"/>
                <w:szCs w:val="21"/>
              </w:rPr>
            </w:pPr>
            <w:r>
              <w:rPr>
                <w:rFonts w:hint="eastAsia" w:ascii="宋体" w:hAnsi="宋体" w:cs="宋体"/>
                <w:color w:val="000000"/>
                <w:szCs w:val="21"/>
              </w:rPr>
              <w:t xml:space="preserve">不论磋商结果如何，供应商均应自行承担所有与磋商有关的全部费用。 </w:t>
            </w:r>
          </w:p>
        </w:tc>
      </w:tr>
      <w:tr w14:paraId="082E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034D29F0">
            <w:pPr>
              <w:spacing w:line="360" w:lineRule="auto"/>
              <w:jc w:val="center"/>
              <w:rPr>
                <w:rFonts w:ascii="宋体" w:hAnsi="宋体" w:cs="宋体"/>
                <w:color w:val="000000"/>
                <w:szCs w:val="21"/>
              </w:rPr>
            </w:pPr>
            <w:r>
              <w:rPr>
                <w:rFonts w:hint="eastAsia" w:ascii="宋体" w:hAnsi="宋体" w:cs="宋体"/>
                <w:color w:val="000000"/>
                <w:szCs w:val="21"/>
              </w:rPr>
              <w:t>4</w:t>
            </w:r>
          </w:p>
        </w:tc>
        <w:tc>
          <w:tcPr>
            <w:tcW w:w="942" w:type="dxa"/>
            <w:vAlign w:val="center"/>
          </w:tcPr>
          <w:p w14:paraId="424E7E21">
            <w:pPr>
              <w:spacing w:line="360" w:lineRule="auto"/>
              <w:jc w:val="center"/>
              <w:rPr>
                <w:rFonts w:ascii="宋体" w:hAnsi="宋体" w:cs="宋体"/>
                <w:color w:val="000000"/>
                <w:position w:val="-2"/>
                <w:szCs w:val="21"/>
              </w:rPr>
            </w:pPr>
            <w:r>
              <w:rPr>
                <w:rFonts w:hint="eastAsia" w:ascii="宋体" w:hAnsi="宋体" w:cs="宋体"/>
                <w:color w:val="000000"/>
                <w:position w:val="-2"/>
                <w:szCs w:val="21"/>
              </w:rPr>
              <w:t>13</w:t>
            </w:r>
          </w:p>
        </w:tc>
        <w:tc>
          <w:tcPr>
            <w:tcW w:w="1775" w:type="dxa"/>
            <w:vAlign w:val="center"/>
          </w:tcPr>
          <w:p w14:paraId="58499CB1">
            <w:pPr>
              <w:spacing w:line="360" w:lineRule="auto"/>
              <w:jc w:val="center"/>
              <w:rPr>
                <w:rFonts w:ascii="宋体" w:hAnsi="宋体" w:cs="宋体"/>
                <w:color w:val="000000"/>
                <w:position w:val="-2"/>
                <w:szCs w:val="21"/>
              </w:rPr>
            </w:pPr>
            <w:r>
              <w:rPr>
                <w:rFonts w:hint="eastAsia" w:ascii="宋体" w:hAnsi="宋体" w:cs="宋体"/>
                <w:color w:val="000000"/>
                <w:szCs w:val="21"/>
              </w:rPr>
              <w:t>磋商报价及采购预算金额</w:t>
            </w:r>
          </w:p>
        </w:tc>
        <w:tc>
          <w:tcPr>
            <w:tcW w:w="6912" w:type="dxa"/>
            <w:vAlign w:val="center"/>
          </w:tcPr>
          <w:p w14:paraId="1B0D27F1">
            <w:pPr>
              <w:spacing w:line="360" w:lineRule="auto"/>
              <w:rPr>
                <w:rFonts w:ascii="宋体" w:hAnsi="宋体" w:cs="宋体"/>
                <w:color w:val="000000"/>
                <w:szCs w:val="21"/>
              </w:rPr>
            </w:pPr>
            <w:r>
              <w:rPr>
                <w:rFonts w:hint="eastAsia" w:ascii="宋体" w:hAnsi="宋体" w:cs="宋体"/>
                <w:color w:val="000000"/>
                <w:szCs w:val="21"/>
              </w:rPr>
              <w:t>13.1 磋商报价应按磋商文件中相关附表格式填写。</w:t>
            </w:r>
            <w:r>
              <w:rPr>
                <w:rFonts w:hint="eastAsia" w:ascii="宋体" w:hAnsi="宋体" w:cs="宋体"/>
                <w:b/>
                <w:bCs/>
                <w:color w:val="000000"/>
                <w:szCs w:val="21"/>
              </w:rPr>
              <w:t>采购预算金额人民币：壹佰贰拾柒万陆仟壹佰玖拾肆元整（¥12</w:t>
            </w:r>
            <w:r>
              <w:rPr>
                <w:rFonts w:ascii="宋体" w:hAnsi="宋体" w:cs="宋体"/>
                <w:b/>
                <w:bCs/>
                <w:color w:val="000000"/>
                <w:szCs w:val="21"/>
              </w:rPr>
              <w:t>76</w:t>
            </w:r>
            <w:r>
              <w:rPr>
                <w:rFonts w:hint="eastAsia" w:ascii="宋体" w:hAnsi="宋体" w:cs="宋体"/>
                <w:b/>
                <w:bCs/>
                <w:color w:val="000000"/>
                <w:szCs w:val="21"/>
              </w:rPr>
              <w:t>194.00元）最高限价：壹佰贰拾壹万壹仟壹佰玖拾肆元整（¥1211194.00元）。</w:t>
            </w:r>
            <w:r>
              <w:rPr>
                <w:rFonts w:hint="eastAsia" w:ascii="宋体" w:hAnsi="宋体" w:cs="宋体"/>
                <w:color w:val="000000"/>
                <w:szCs w:val="21"/>
              </w:rPr>
              <w:t>供应商报价</w:t>
            </w:r>
            <w:r>
              <w:rPr>
                <w:rFonts w:hint="eastAsia" w:ascii="宋体" w:hAnsi="宋体" w:cs="宋体"/>
                <w:color w:val="000000"/>
                <w:kern w:val="0"/>
                <w:szCs w:val="21"/>
              </w:rPr>
              <w:t>超出采购预算金额</w:t>
            </w:r>
            <w:r>
              <w:rPr>
                <w:rFonts w:hint="eastAsia" w:ascii="宋体" w:hAnsi="宋体" w:cs="宋体"/>
                <w:b/>
                <w:color w:val="000000"/>
                <w:kern w:val="0"/>
                <w:szCs w:val="21"/>
              </w:rPr>
              <w:t>（最高限价）</w:t>
            </w:r>
            <w:r>
              <w:rPr>
                <w:rFonts w:hint="eastAsia" w:ascii="宋体" w:hAnsi="宋体" w:cs="宋体"/>
                <w:color w:val="000000"/>
                <w:kern w:val="0"/>
                <w:szCs w:val="21"/>
              </w:rPr>
              <w:t>的，响应文件按无效处理。</w:t>
            </w:r>
          </w:p>
          <w:p w14:paraId="62C202C5">
            <w:pPr>
              <w:snapToGrid w:val="0"/>
              <w:spacing w:line="360" w:lineRule="auto"/>
              <w:jc w:val="left"/>
              <w:rPr>
                <w:rFonts w:ascii="宋体" w:hAnsi="宋体" w:cs="宋体"/>
                <w:color w:val="000000"/>
                <w:szCs w:val="21"/>
              </w:rPr>
            </w:pPr>
            <w:r>
              <w:rPr>
                <w:rFonts w:hint="eastAsia" w:ascii="宋体" w:hAnsi="宋体" w:cs="宋体"/>
                <w:color w:val="000000"/>
                <w:szCs w:val="21"/>
              </w:rPr>
              <w:t>13.2供应商必须就“采购需求”中所有内容作完整唯一报价，否则，其响应文件无效；响应文件只允许有一个报价，有选择的或有条件的报价将不予接受。</w:t>
            </w:r>
          </w:p>
          <w:p w14:paraId="47F11E93">
            <w:pPr>
              <w:snapToGrid w:val="0"/>
              <w:spacing w:line="360" w:lineRule="auto"/>
              <w:jc w:val="left"/>
              <w:rPr>
                <w:rFonts w:ascii="宋体" w:hAnsi="宋体" w:cs="宋体"/>
                <w:color w:val="000000"/>
                <w:szCs w:val="21"/>
              </w:rPr>
            </w:pPr>
            <w:r>
              <w:rPr>
                <w:rFonts w:hint="eastAsia" w:ascii="宋体" w:hAnsi="宋体" w:cs="宋体"/>
                <w:szCs w:val="21"/>
              </w:rPr>
              <w:t>13.4</w:t>
            </w:r>
            <w:r>
              <w:rPr>
                <w:rFonts w:hint="eastAsia" w:ascii="宋体" w:hAnsi="宋体" w:cs="宋体"/>
                <w:kern w:val="0"/>
                <w:szCs w:val="21"/>
              </w:rPr>
              <w:t>供应商应在规定时间内在</w:t>
            </w:r>
            <w:r>
              <w:rPr>
                <w:rFonts w:hint="eastAsia" w:ascii="宋体" w:hAnsi="宋体" w:cs="宋体"/>
                <w:kern w:val="0"/>
                <w:szCs w:val="21"/>
                <w:lang w:eastAsia="zh-CN"/>
              </w:rPr>
              <w:t>广西政府采购云平台</w:t>
            </w:r>
            <w:r>
              <w:rPr>
                <w:rFonts w:hint="eastAsia" w:ascii="宋体" w:hAnsi="宋体" w:cs="宋体"/>
                <w:kern w:val="0"/>
                <w:szCs w:val="21"/>
              </w:rPr>
              <w:t>系统上提交最后报价，超出评委设定的最后报价时限或其最后报价超出采购预算导致已通过评审的响应文件无效的，按供应商在提交响应文件截止时间后撤回响应文件处理。</w:t>
            </w:r>
          </w:p>
        </w:tc>
      </w:tr>
      <w:tr w14:paraId="56A2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0775D1FD">
            <w:pPr>
              <w:spacing w:line="360" w:lineRule="auto"/>
              <w:jc w:val="center"/>
              <w:rPr>
                <w:rFonts w:ascii="宋体" w:hAnsi="宋体" w:cs="宋体"/>
                <w:color w:val="000000"/>
                <w:szCs w:val="21"/>
              </w:rPr>
            </w:pPr>
            <w:r>
              <w:rPr>
                <w:rFonts w:hint="eastAsia" w:ascii="宋体" w:hAnsi="宋体" w:cs="宋体"/>
                <w:color w:val="000000"/>
                <w:szCs w:val="21"/>
              </w:rPr>
              <w:t>5</w:t>
            </w:r>
          </w:p>
        </w:tc>
        <w:tc>
          <w:tcPr>
            <w:tcW w:w="942" w:type="dxa"/>
            <w:vAlign w:val="center"/>
          </w:tcPr>
          <w:p w14:paraId="4E05989F">
            <w:pPr>
              <w:spacing w:line="360" w:lineRule="auto"/>
              <w:jc w:val="center"/>
              <w:rPr>
                <w:rFonts w:ascii="宋体" w:hAnsi="宋体" w:cs="宋体"/>
                <w:color w:val="000000"/>
                <w:position w:val="-2"/>
                <w:szCs w:val="21"/>
              </w:rPr>
            </w:pPr>
            <w:r>
              <w:rPr>
                <w:rFonts w:hint="eastAsia" w:ascii="宋体" w:hAnsi="宋体" w:cs="宋体"/>
                <w:color w:val="000000"/>
                <w:position w:val="-2"/>
                <w:szCs w:val="21"/>
              </w:rPr>
              <w:t>14.1</w:t>
            </w:r>
          </w:p>
        </w:tc>
        <w:tc>
          <w:tcPr>
            <w:tcW w:w="1775" w:type="dxa"/>
            <w:vAlign w:val="center"/>
          </w:tcPr>
          <w:p w14:paraId="47BCF111">
            <w:pPr>
              <w:spacing w:line="360" w:lineRule="auto"/>
              <w:jc w:val="center"/>
              <w:rPr>
                <w:rFonts w:ascii="宋体" w:hAnsi="宋体" w:cs="宋体"/>
                <w:color w:val="000000"/>
                <w:position w:val="-2"/>
                <w:szCs w:val="21"/>
              </w:rPr>
            </w:pPr>
            <w:r>
              <w:rPr>
                <w:rFonts w:hint="eastAsia" w:ascii="宋体" w:hAnsi="宋体" w:cs="宋体"/>
                <w:color w:val="000000"/>
                <w:position w:val="-2"/>
                <w:szCs w:val="21"/>
              </w:rPr>
              <w:t>响应文件有效期</w:t>
            </w:r>
          </w:p>
        </w:tc>
        <w:tc>
          <w:tcPr>
            <w:tcW w:w="6912" w:type="dxa"/>
          </w:tcPr>
          <w:p w14:paraId="3678E2D5">
            <w:pPr>
              <w:tabs>
                <w:tab w:val="left" w:pos="1305"/>
              </w:tabs>
              <w:spacing w:line="360" w:lineRule="auto"/>
              <w:rPr>
                <w:rFonts w:ascii="宋体" w:hAnsi="宋体" w:cs="宋体"/>
                <w:color w:val="000000"/>
                <w:szCs w:val="21"/>
              </w:rPr>
            </w:pPr>
            <w:r>
              <w:rPr>
                <w:rFonts w:hint="eastAsia" w:ascii="宋体" w:hAnsi="宋体" w:cs="宋体"/>
                <w:color w:val="000000"/>
                <w:szCs w:val="21"/>
              </w:rPr>
              <w:t>响应文件递交截止时间之日起90天，有效期不足的响应文件将被拒绝。</w:t>
            </w:r>
          </w:p>
        </w:tc>
      </w:tr>
      <w:tr w14:paraId="5AA7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3EC7F6A2">
            <w:pPr>
              <w:spacing w:line="360" w:lineRule="auto"/>
              <w:jc w:val="center"/>
              <w:rPr>
                <w:rFonts w:ascii="宋体" w:hAnsi="宋体" w:cs="宋体"/>
                <w:color w:val="000000"/>
                <w:szCs w:val="21"/>
              </w:rPr>
            </w:pPr>
            <w:r>
              <w:rPr>
                <w:rFonts w:hint="eastAsia" w:ascii="宋体" w:hAnsi="宋体" w:cs="宋体"/>
                <w:color w:val="000000"/>
                <w:szCs w:val="21"/>
              </w:rPr>
              <w:t>6</w:t>
            </w:r>
          </w:p>
        </w:tc>
        <w:tc>
          <w:tcPr>
            <w:tcW w:w="942" w:type="dxa"/>
            <w:vAlign w:val="center"/>
          </w:tcPr>
          <w:p w14:paraId="184D6EE2">
            <w:pPr>
              <w:spacing w:line="360" w:lineRule="auto"/>
              <w:jc w:val="center"/>
              <w:rPr>
                <w:rFonts w:ascii="宋体" w:hAnsi="宋体" w:cs="宋体"/>
                <w:color w:val="000000"/>
                <w:position w:val="-2"/>
                <w:szCs w:val="21"/>
              </w:rPr>
            </w:pPr>
            <w:r>
              <w:rPr>
                <w:rFonts w:hint="eastAsia" w:ascii="宋体" w:hAnsi="宋体" w:cs="宋体"/>
                <w:color w:val="000000"/>
                <w:position w:val="-2"/>
                <w:szCs w:val="21"/>
              </w:rPr>
              <w:t>15</w:t>
            </w:r>
          </w:p>
        </w:tc>
        <w:tc>
          <w:tcPr>
            <w:tcW w:w="1775" w:type="dxa"/>
            <w:vAlign w:val="center"/>
          </w:tcPr>
          <w:p w14:paraId="6DA39942">
            <w:pPr>
              <w:spacing w:line="360" w:lineRule="auto"/>
              <w:jc w:val="center"/>
              <w:rPr>
                <w:rFonts w:ascii="宋体" w:hAnsi="宋体" w:cs="宋体"/>
                <w:color w:val="000000"/>
                <w:position w:val="-2"/>
                <w:szCs w:val="21"/>
              </w:rPr>
            </w:pPr>
            <w:r>
              <w:rPr>
                <w:rFonts w:hint="eastAsia" w:ascii="宋体" w:hAnsi="宋体" w:cs="宋体"/>
                <w:color w:val="000000"/>
                <w:position w:val="-2"/>
                <w:szCs w:val="21"/>
              </w:rPr>
              <w:t>保证金</w:t>
            </w:r>
          </w:p>
        </w:tc>
        <w:tc>
          <w:tcPr>
            <w:tcW w:w="6912" w:type="dxa"/>
          </w:tcPr>
          <w:p w14:paraId="383B6BEB">
            <w:pPr>
              <w:tabs>
                <w:tab w:val="left" w:pos="1305"/>
              </w:tabs>
              <w:spacing w:line="360" w:lineRule="auto"/>
              <w:rPr>
                <w:rFonts w:ascii="宋体" w:hAnsi="宋体" w:cs="宋体"/>
                <w:color w:val="000000"/>
                <w:szCs w:val="21"/>
              </w:rPr>
            </w:pPr>
            <w:r>
              <w:rPr>
                <w:rFonts w:hint="eastAsia" w:ascii="宋体" w:hAnsi="宋体" w:cs="宋体"/>
                <w:b/>
                <w:bCs/>
                <w:color w:val="000000"/>
                <w:szCs w:val="21"/>
              </w:rPr>
              <w:t>本项目无需缴纳磋商保证金。</w:t>
            </w:r>
          </w:p>
        </w:tc>
      </w:tr>
      <w:tr w14:paraId="677D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75A63115">
            <w:pPr>
              <w:spacing w:line="360" w:lineRule="auto"/>
              <w:jc w:val="center"/>
              <w:rPr>
                <w:rFonts w:ascii="宋体" w:hAnsi="宋体" w:cs="宋体"/>
                <w:color w:val="000000"/>
                <w:szCs w:val="21"/>
              </w:rPr>
            </w:pPr>
            <w:r>
              <w:rPr>
                <w:rFonts w:hint="eastAsia" w:ascii="宋体" w:hAnsi="宋体" w:cs="宋体"/>
                <w:color w:val="000000"/>
                <w:szCs w:val="21"/>
              </w:rPr>
              <w:t>7</w:t>
            </w:r>
          </w:p>
        </w:tc>
        <w:tc>
          <w:tcPr>
            <w:tcW w:w="942" w:type="dxa"/>
            <w:vAlign w:val="center"/>
          </w:tcPr>
          <w:p w14:paraId="03B5E965">
            <w:pPr>
              <w:spacing w:line="360" w:lineRule="auto"/>
              <w:jc w:val="center"/>
              <w:rPr>
                <w:rFonts w:ascii="宋体" w:hAnsi="宋体" w:cs="宋体"/>
                <w:color w:val="000000"/>
                <w:szCs w:val="21"/>
              </w:rPr>
            </w:pPr>
            <w:r>
              <w:rPr>
                <w:rFonts w:hint="eastAsia" w:ascii="宋体" w:hAnsi="宋体" w:cs="宋体"/>
                <w:color w:val="000000"/>
                <w:szCs w:val="21"/>
              </w:rPr>
              <w:t>16</w:t>
            </w:r>
          </w:p>
        </w:tc>
        <w:tc>
          <w:tcPr>
            <w:tcW w:w="1775" w:type="dxa"/>
            <w:vAlign w:val="center"/>
          </w:tcPr>
          <w:p w14:paraId="74C7776B">
            <w:pPr>
              <w:pStyle w:val="5"/>
              <w:spacing w:line="360" w:lineRule="auto"/>
              <w:jc w:val="center"/>
              <w:rPr>
                <w:rFonts w:ascii="宋体" w:hAnsi="宋体" w:cs="宋体"/>
                <w:b w:val="0"/>
                <w:bCs/>
                <w:color w:val="000000"/>
                <w:sz w:val="21"/>
                <w:szCs w:val="21"/>
              </w:rPr>
            </w:pPr>
            <w:bookmarkStart w:id="16" w:name="_Toc102642480"/>
            <w:bookmarkStart w:id="17" w:name="_Toc19911"/>
            <w:bookmarkStart w:id="18" w:name="_Toc27452"/>
            <w:r>
              <w:rPr>
                <w:rFonts w:hint="eastAsia" w:ascii="宋体" w:hAnsi="宋体" w:cs="宋体"/>
                <w:b w:val="0"/>
                <w:bCs/>
                <w:color w:val="000000"/>
                <w:sz w:val="21"/>
                <w:szCs w:val="21"/>
              </w:rPr>
              <w:t>竞争性磋商响应文件的制作</w:t>
            </w:r>
            <w:bookmarkEnd w:id="16"/>
            <w:bookmarkEnd w:id="17"/>
            <w:bookmarkEnd w:id="18"/>
          </w:p>
          <w:p w14:paraId="233D38C3">
            <w:pPr>
              <w:spacing w:line="360" w:lineRule="auto"/>
              <w:jc w:val="center"/>
              <w:rPr>
                <w:rFonts w:ascii="宋体" w:hAnsi="宋体" w:cs="宋体"/>
                <w:color w:val="000000"/>
                <w:szCs w:val="21"/>
              </w:rPr>
            </w:pPr>
          </w:p>
        </w:tc>
        <w:tc>
          <w:tcPr>
            <w:tcW w:w="6912" w:type="dxa"/>
            <w:vAlign w:val="center"/>
          </w:tcPr>
          <w:p w14:paraId="7EB75219">
            <w:pPr>
              <w:spacing w:line="360" w:lineRule="auto"/>
              <w:rPr>
                <w:rFonts w:ascii="宋体" w:hAnsi="宋体" w:cs="宋体"/>
                <w:color w:val="000000"/>
                <w:szCs w:val="21"/>
              </w:rPr>
            </w:pPr>
            <w:r>
              <w:rPr>
                <w:rFonts w:hint="eastAsia" w:ascii="宋体" w:hAnsi="宋体" w:cs="宋体"/>
                <w:color w:val="000000"/>
                <w:szCs w:val="21"/>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59D5914D">
            <w:pPr>
              <w:spacing w:line="360" w:lineRule="auto"/>
              <w:rPr>
                <w:rFonts w:ascii="宋体" w:hAnsi="宋体" w:cs="宋体"/>
                <w:szCs w:val="21"/>
              </w:rPr>
            </w:pPr>
            <w:r>
              <w:rPr>
                <w:rFonts w:hint="eastAsia" w:ascii="宋体" w:hAnsi="宋体" w:cs="宋体"/>
                <w:szCs w:val="21"/>
              </w:rPr>
              <w:t>16.2供应商法人（负责人）或授权代表持有</w:t>
            </w:r>
            <w:r>
              <w:rPr>
                <w:rFonts w:hint="eastAsia" w:ascii="宋体" w:hAnsi="宋体" w:cs="宋体"/>
                <w:szCs w:val="21"/>
                <w:lang w:eastAsia="zh-CN"/>
              </w:rPr>
              <w:t>广西政府采购云平台</w:t>
            </w:r>
            <w:r>
              <w:rPr>
                <w:rFonts w:hint="eastAsia" w:ascii="宋体" w:hAnsi="宋体" w:cs="宋体"/>
                <w:szCs w:val="21"/>
              </w:rPr>
              <w:t>个人CA签章的，应在响应文件中涉及到签字的位置使用个人CA签章，没有办理</w:t>
            </w:r>
            <w:r>
              <w:rPr>
                <w:rFonts w:hint="eastAsia" w:ascii="宋体" w:hAnsi="宋体" w:cs="宋体"/>
                <w:szCs w:val="21"/>
                <w:lang w:eastAsia="zh-CN"/>
              </w:rPr>
              <w:t>广西政府采购云平台</w:t>
            </w:r>
            <w:r>
              <w:rPr>
                <w:rFonts w:hint="eastAsia" w:ascii="宋体" w:hAnsi="宋体" w:cs="宋体"/>
                <w:szCs w:val="21"/>
              </w:rPr>
              <w:t>个人CA签章的可在响应文件中涉及到签字的位置手写签字后扫描或者拍照做成 PDF 的格式上传即可。</w:t>
            </w:r>
          </w:p>
          <w:p w14:paraId="71341980">
            <w:pPr>
              <w:spacing w:line="360" w:lineRule="auto"/>
              <w:rPr>
                <w:rFonts w:ascii="宋体" w:hAnsi="宋体" w:cs="宋体"/>
                <w:color w:val="000000"/>
                <w:szCs w:val="21"/>
              </w:rPr>
            </w:pPr>
            <w:r>
              <w:rPr>
                <w:rFonts w:hint="eastAsia" w:ascii="宋体" w:hAnsi="宋体" w:cs="宋体"/>
                <w:color w:val="000000"/>
                <w:szCs w:val="21"/>
              </w:rPr>
              <w:t>16.3 磋商响应文件不得涂改，若有修改错漏处，须法定代表人（负责人）或授权委托人签字</w:t>
            </w:r>
            <w:r>
              <w:rPr>
                <w:rFonts w:hint="eastAsia" w:ascii="宋体" w:hAnsi="宋体" w:cs="宋体"/>
                <w:szCs w:val="21"/>
              </w:rPr>
              <w:t>（或个人CA签章）</w:t>
            </w:r>
            <w:r>
              <w:rPr>
                <w:rFonts w:hint="eastAsia" w:ascii="宋体" w:hAnsi="宋体" w:cs="宋体"/>
                <w:color w:val="000000"/>
                <w:szCs w:val="21"/>
              </w:rPr>
              <w:t>。磋商响应文件因字迹潦草或表达不清所引起的后果由供应商负责。</w:t>
            </w:r>
          </w:p>
          <w:p w14:paraId="76C33E3B">
            <w:pPr>
              <w:spacing w:line="360" w:lineRule="auto"/>
              <w:rPr>
                <w:rFonts w:ascii="宋体" w:hAnsi="宋体" w:cs="宋体"/>
                <w:color w:val="000000"/>
                <w:szCs w:val="21"/>
              </w:rPr>
            </w:pPr>
            <w:r>
              <w:rPr>
                <w:rFonts w:hint="eastAsia" w:ascii="宋体" w:hAnsi="宋体" w:cs="宋体"/>
                <w:color w:val="000000"/>
                <w:szCs w:val="21"/>
              </w:rPr>
              <w:t xml:space="preserve">16.4磋商前准备 </w:t>
            </w:r>
          </w:p>
          <w:p w14:paraId="3B374BA7">
            <w:pPr>
              <w:spacing w:line="360" w:lineRule="auto"/>
              <w:rPr>
                <w:rFonts w:ascii="宋体" w:hAnsi="宋体" w:cs="宋体"/>
                <w:color w:val="000000"/>
                <w:szCs w:val="21"/>
              </w:rPr>
            </w:pPr>
            <w:r>
              <w:rPr>
                <w:rFonts w:hint="eastAsia" w:ascii="宋体" w:hAnsi="宋体" w:cs="宋体"/>
                <w:color w:val="000000"/>
                <w:szCs w:val="21"/>
              </w:rPr>
              <w:t xml:space="preserve">16.4.1本项目实行在线磋商，采用电子磋商响应文件。若供应商参与磋商，自行承担磋商一切费用。 </w:t>
            </w:r>
          </w:p>
          <w:p w14:paraId="535E2700">
            <w:pPr>
              <w:spacing w:line="360" w:lineRule="auto"/>
              <w:rPr>
                <w:rFonts w:ascii="宋体" w:hAnsi="宋体" w:cs="宋体"/>
                <w:color w:val="000000"/>
                <w:szCs w:val="21"/>
              </w:rPr>
            </w:pPr>
            <w:r>
              <w:rPr>
                <w:rFonts w:hint="eastAsia" w:ascii="宋体" w:hAnsi="宋体" w:cs="宋体"/>
                <w:color w:val="000000"/>
                <w:szCs w:val="21"/>
              </w:rPr>
              <w:t>16.4.2各供应商应在截标前应确保成为</w:t>
            </w:r>
            <w:r>
              <w:rPr>
                <w:rFonts w:hint="eastAsia" w:ascii="宋体" w:hAnsi="宋体" w:cs="宋体"/>
                <w:color w:val="000000"/>
                <w:szCs w:val="21"/>
                <w:lang w:eastAsia="zh-CN"/>
              </w:rPr>
              <w:t>广西政府采购云平台</w:t>
            </w:r>
            <w:r>
              <w:rPr>
                <w:rFonts w:hint="eastAsia" w:ascii="宋体" w:hAnsi="宋体" w:cs="宋体"/>
                <w:color w:val="000000"/>
                <w:szCs w:val="21"/>
              </w:rPr>
              <w:t xml:space="preserve">正式注册入库供应商，并完成 CA 数字证书申领。因未注册入库、未办理 CA 数字证书等原因造成无法磋商或磋商失败等后果由供应商自行承担。 </w:t>
            </w:r>
          </w:p>
          <w:p w14:paraId="5E0B02F7">
            <w:pPr>
              <w:spacing w:line="360" w:lineRule="auto"/>
              <w:rPr>
                <w:rFonts w:ascii="宋体" w:hAnsi="宋体" w:cs="宋体"/>
                <w:color w:val="000000"/>
                <w:szCs w:val="21"/>
              </w:rPr>
            </w:pPr>
            <w:r>
              <w:rPr>
                <w:rFonts w:hint="eastAsia" w:ascii="宋体" w:hAnsi="宋体" w:cs="宋体"/>
                <w:color w:val="000000"/>
                <w:szCs w:val="21"/>
              </w:rPr>
              <w:t>16.4.3供应商将</w:t>
            </w:r>
            <w:r>
              <w:rPr>
                <w:rFonts w:hint="eastAsia" w:ascii="宋体" w:hAnsi="宋体" w:cs="宋体"/>
                <w:color w:val="000000"/>
                <w:szCs w:val="21"/>
                <w:lang w:eastAsia="zh-CN"/>
              </w:rPr>
              <w:t>广西政府采购云平台</w:t>
            </w:r>
            <w:r>
              <w:rPr>
                <w:rFonts w:hint="eastAsia" w:ascii="宋体" w:hAnsi="宋体" w:cs="宋体"/>
                <w:color w:val="000000"/>
                <w:szCs w:val="21"/>
              </w:rPr>
              <w:t>电子交易客户端下载、安装完成后，可通过账号密码或 CA 登录客户端进行响应文件制作。客户端请至网站下载专区查看，如有问题可拨打</w:t>
            </w:r>
            <w:r>
              <w:rPr>
                <w:rFonts w:hint="eastAsia" w:ascii="宋体" w:hAnsi="宋体" w:cs="宋体"/>
                <w:color w:val="000000"/>
                <w:szCs w:val="21"/>
                <w:lang w:eastAsia="zh-CN"/>
              </w:rPr>
              <w:t>广西政府采购云平台</w:t>
            </w:r>
            <w:r>
              <w:rPr>
                <w:rFonts w:hint="eastAsia" w:ascii="宋体" w:hAnsi="宋体" w:cs="宋体"/>
                <w:color w:val="000000"/>
                <w:szCs w:val="21"/>
              </w:rPr>
              <w:t>客户服务热线 95763 进行咨询。</w:t>
            </w:r>
          </w:p>
        </w:tc>
      </w:tr>
      <w:tr w14:paraId="2181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5996BD6A">
            <w:pPr>
              <w:spacing w:line="360" w:lineRule="auto"/>
              <w:jc w:val="center"/>
              <w:rPr>
                <w:rFonts w:ascii="宋体" w:hAnsi="宋体" w:cs="宋体"/>
                <w:color w:val="000000"/>
                <w:szCs w:val="21"/>
              </w:rPr>
            </w:pPr>
            <w:r>
              <w:rPr>
                <w:rFonts w:hint="eastAsia" w:ascii="宋体" w:hAnsi="宋体" w:cs="宋体"/>
                <w:color w:val="000000"/>
                <w:szCs w:val="21"/>
              </w:rPr>
              <w:t>8</w:t>
            </w:r>
          </w:p>
        </w:tc>
        <w:tc>
          <w:tcPr>
            <w:tcW w:w="942" w:type="dxa"/>
            <w:vAlign w:val="center"/>
          </w:tcPr>
          <w:p w14:paraId="06ED76BC">
            <w:pPr>
              <w:spacing w:line="360" w:lineRule="auto"/>
              <w:jc w:val="center"/>
              <w:rPr>
                <w:rFonts w:ascii="宋体" w:hAnsi="宋体" w:cs="宋体"/>
                <w:color w:val="000000"/>
                <w:szCs w:val="21"/>
              </w:rPr>
            </w:pPr>
            <w:r>
              <w:rPr>
                <w:rFonts w:hint="eastAsia" w:ascii="宋体" w:hAnsi="宋体" w:cs="宋体"/>
                <w:color w:val="000000"/>
                <w:szCs w:val="21"/>
              </w:rPr>
              <w:t>18.1</w:t>
            </w:r>
          </w:p>
        </w:tc>
        <w:tc>
          <w:tcPr>
            <w:tcW w:w="1775" w:type="dxa"/>
            <w:vAlign w:val="center"/>
          </w:tcPr>
          <w:p w14:paraId="5EF0BB00">
            <w:pPr>
              <w:spacing w:line="360" w:lineRule="auto"/>
              <w:jc w:val="center"/>
              <w:rPr>
                <w:rFonts w:ascii="宋体" w:hAnsi="宋体" w:cs="宋体"/>
                <w:color w:val="000000"/>
                <w:szCs w:val="21"/>
              </w:rPr>
            </w:pPr>
            <w:r>
              <w:rPr>
                <w:rFonts w:hint="eastAsia" w:ascii="宋体" w:hAnsi="宋体" w:cs="宋体"/>
                <w:color w:val="000000"/>
                <w:szCs w:val="21"/>
              </w:rPr>
              <w:t>响应文件递交截止时间</w:t>
            </w:r>
          </w:p>
        </w:tc>
        <w:tc>
          <w:tcPr>
            <w:tcW w:w="6912" w:type="dxa"/>
            <w:vAlign w:val="center"/>
          </w:tcPr>
          <w:p w14:paraId="5442CB63">
            <w:pPr>
              <w:spacing w:line="360" w:lineRule="auto"/>
              <w:rPr>
                <w:rFonts w:ascii="宋体" w:hAnsi="宋体" w:cs="宋体"/>
                <w:color w:val="000000"/>
                <w:szCs w:val="21"/>
              </w:rPr>
            </w:pPr>
            <w:r>
              <w:rPr>
                <w:rFonts w:hint="eastAsia" w:ascii="宋体" w:hAnsi="宋体" w:cs="宋体"/>
                <w:color w:val="000000"/>
                <w:szCs w:val="21"/>
                <w:u w:val="single"/>
              </w:rPr>
              <w:t>于</w:t>
            </w:r>
            <w:r>
              <w:rPr>
                <w:rFonts w:hint="eastAsia" w:ascii="宋体" w:hAnsi="宋体" w:cs="宋体"/>
                <w:szCs w:val="21"/>
                <w:u w:val="single"/>
                <w:lang w:eastAsia="zh-CN"/>
              </w:rPr>
              <w:t>2025年1月7日</w:t>
            </w:r>
            <w:r>
              <w:rPr>
                <w:rFonts w:hint="eastAsia" w:ascii="宋体" w:hAnsi="宋体" w:cs="宋体"/>
                <w:szCs w:val="21"/>
                <w:u w:val="single"/>
              </w:rPr>
              <w:t>上午9时30分</w:t>
            </w:r>
            <w:r>
              <w:rPr>
                <w:rFonts w:hint="eastAsia" w:ascii="宋体" w:hAnsi="宋体" w:cs="宋体"/>
                <w:szCs w:val="21"/>
              </w:rPr>
              <w:t>之</w:t>
            </w:r>
            <w:r>
              <w:rPr>
                <w:rFonts w:hint="eastAsia" w:ascii="宋体" w:hAnsi="宋体" w:cs="宋体"/>
                <w:color w:val="000000"/>
                <w:szCs w:val="21"/>
              </w:rPr>
              <w:t>前将电子磋商响应文件上传到</w:t>
            </w:r>
            <w:r>
              <w:rPr>
                <w:rFonts w:hint="eastAsia" w:ascii="宋体" w:hAnsi="宋体" w:cs="宋体"/>
                <w:color w:val="000000"/>
                <w:szCs w:val="21"/>
                <w:lang w:eastAsia="zh-CN"/>
              </w:rPr>
              <w:t>广西政府采购云平台</w:t>
            </w:r>
            <w:r>
              <w:rPr>
                <w:rFonts w:hint="eastAsia" w:ascii="宋体" w:hAnsi="宋体" w:cs="宋体"/>
                <w:color w:val="000000"/>
                <w:szCs w:val="21"/>
              </w:rPr>
              <w:t>。应按照本项目磋商文件和</w:t>
            </w:r>
            <w:r>
              <w:rPr>
                <w:rFonts w:hint="eastAsia" w:ascii="宋体" w:hAnsi="宋体" w:cs="宋体"/>
                <w:color w:val="000000"/>
                <w:szCs w:val="21"/>
                <w:lang w:eastAsia="zh-CN"/>
              </w:rPr>
              <w:t>广西政府采购云平台</w:t>
            </w:r>
            <w:r>
              <w:rPr>
                <w:rFonts w:hint="eastAsia" w:ascii="宋体" w:hAnsi="宋体" w:cs="宋体"/>
                <w:color w:val="000000"/>
                <w:szCs w:val="21"/>
              </w:rPr>
              <w:t>的要求编制、加密传输磋商响应文件。供应商在使用系统进行投标的过程中遇到涉及平台使用的任何问题，可致电</w:t>
            </w:r>
            <w:r>
              <w:rPr>
                <w:rFonts w:hint="eastAsia" w:ascii="宋体" w:hAnsi="宋体" w:cs="宋体"/>
                <w:color w:val="000000"/>
                <w:szCs w:val="21"/>
                <w:lang w:eastAsia="zh-CN"/>
              </w:rPr>
              <w:t>广西政府采购云平台</w:t>
            </w:r>
            <w:r>
              <w:rPr>
                <w:rFonts w:hint="eastAsia" w:ascii="宋体" w:hAnsi="宋体" w:cs="宋体"/>
                <w:color w:val="000000"/>
                <w:szCs w:val="21"/>
              </w:rPr>
              <w:t>技术支持热线咨询，联系方式：95763。</w:t>
            </w:r>
          </w:p>
        </w:tc>
      </w:tr>
      <w:tr w14:paraId="3892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7D4E08F6">
            <w:pPr>
              <w:spacing w:line="360" w:lineRule="auto"/>
              <w:jc w:val="center"/>
              <w:rPr>
                <w:rFonts w:ascii="宋体" w:hAnsi="宋体" w:cs="宋体"/>
                <w:color w:val="000000"/>
                <w:position w:val="-2"/>
                <w:szCs w:val="21"/>
              </w:rPr>
            </w:pPr>
            <w:r>
              <w:rPr>
                <w:rFonts w:hint="eastAsia" w:ascii="宋体" w:hAnsi="宋体" w:cs="宋体"/>
                <w:color w:val="000000"/>
                <w:position w:val="-2"/>
                <w:szCs w:val="21"/>
              </w:rPr>
              <w:t>9</w:t>
            </w:r>
          </w:p>
        </w:tc>
        <w:tc>
          <w:tcPr>
            <w:tcW w:w="942" w:type="dxa"/>
            <w:vAlign w:val="center"/>
          </w:tcPr>
          <w:p w14:paraId="35BAC6B2">
            <w:pPr>
              <w:spacing w:line="360" w:lineRule="auto"/>
              <w:jc w:val="center"/>
              <w:rPr>
                <w:rFonts w:ascii="宋体" w:hAnsi="宋体" w:cs="宋体"/>
                <w:color w:val="000000"/>
                <w:position w:val="-2"/>
                <w:szCs w:val="21"/>
              </w:rPr>
            </w:pPr>
            <w:r>
              <w:rPr>
                <w:rFonts w:hint="eastAsia" w:ascii="宋体" w:hAnsi="宋体" w:cs="宋体"/>
                <w:color w:val="000000"/>
                <w:position w:val="-2"/>
                <w:szCs w:val="21"/>
              </w:rPr>
              <w:t>18.2</w:t>
            </w:r>
          </w:p>
        </w:tc>
        <w:tc>
          <w:tcPr>
            <w:tcW w:w="1775" w:type="dxa"/>
            <w:vAlign w:val="center"/>
          </w:tcPr>
          <w:p w14:paraId="596561EB">
            <w:pPr>
              <w:spacing w:line="360" w:lineRule="auto"/>
              <w:jc w:val="center"/>
              <w:rPr>
                <w:rFonts w:ascii="宋体" w:hAnsi="宋体" w:cs="宋体"/>
                <w:color w:val="000000"/>
                <w:position w:val="-2"/>
                <w:szCs w:val="21"/>
              </w:rPr>
            </w:pPr>
            <w:r>
              <w:rPr>
                <w:rFonts w:hint="eastAsia" w:ascii="宋体" w:hAnsi="宋体" w:cs="宋体"/>
                <w:color w:val="000000"/>
                <w:szCs w:val="21"/>
              </w:rPr>
              <w:t>磋商响应文件解密时间及地点</w:t>
            </w:r>
          </w:p>
        </w:tc>
        <w:tc>
          <w:tcPr>
            <w:tcW w:w="6912" w:type="dxa"/>
            <w:vAlign w:val="center"/>
          </w:tcPr>
          <w:p w14:paraId="216A6A9C">
            <w:pPr>
              <w:pStyle w:val="8"/>
              <w:rPr>
                <w:rFonts w:ascii="宋体" w:hAnsi="宋体" w:cs="宋体"/>
                <w:color w:val="000000"/>
              </w:rPr>
            </w:pPr>
            <w:r>
              <w:rPr>
                <w:rFonts w:hint="eastAsia" w:ascii="宋体" w:hAnsi="宋体" w:cs="宋体"/>
                <w:color w:val="000000"/>
                <w:szCs w:val="21"/>
              </w:rPr>
              <w:t>磋商响应文件解密时间</w:t>
            </w:r>
            <w:r>
              <w:rPr>
                <w:rFonts w:hint="eastAsia" w:ascii="宋体" w:hAnsi="宋体" w:cs="宋体"/>
                <w:color w:val="000000"/>
              </w:rPr>
              <w:t>：截标时间后</w:t>
            </w:r>
            <w:r>
              <w:rPr>
                <w:rFonts w:hint="eastAsia" w:ascii="宋体" w:hAnsi="宋体" w:cs="宋体"/>
                <w:color w:val="000000"/>
                <w:u w:val="single"/>
              </w:rPr>
              <w:t>30</w:t>
            </w:r>
            <w:r>
              <w:rPr>
                <w:rFonts w:hint="eastAsia" w:ascii="宋体" w:hAnsi="宋体" w:cs="宋体"/>
                <w:color w:val="000000"/>
              </w:rPr>
              <w:t>分钟</w:t>
            </w:r>
            <w:r>
              <w:rPr>
                <w:rFonts w:hint="eastAsia" w:ascii="宋体" w:hAnsi="宋体" w:cs="宋体"/>
              </w:rPr>
              <w:t>内（</w:t>
            </w:r>
            <w:r>
              <w:rPr>
                <w:rFonts w:hint="eastAsia" w:ascii="宋体" w:hAnsi="宋体" w:cs="宋体"/>
                <w:szCs w:val="21"/>
                <w:u w:val="single"/>
                <w:lang w:eastAsia="zh-CN"/>
              </w:rPr>
              <w:t>2025年1月7日</w:t>
            </w:r>
            <w:r>
              <w:rPr>
                <w:rFonts w:hint="eastAsia" w:ascii="宋体" w:hAnsi="宋体" w:cs="宋体"/>
                <w:szCs w:val="21"/>
                <w:u w:val="single"/>
              </w:rPr>
              <w:t>上午9时30分</w:t>
            </w:r>
            <w:r>
              <w:rPr>
                <w:rFonts w:hint="eastAsia" w:ascii="宋体" w:hAnsi="宋体" w:cs="宋体"/>
                <w:u w:val="single"/>
              </w:rPr>
              <w:t>至10时00分</w:t>
            </w:r>
            <w:r>
              <w:rPr>
                <w:rFonts w:hint="eastAsia" w:ascii="宋体" w:hAnsi="宋体" w:cs="宋体"/>
              </w:rPr>
              <w:t>)</w:t>
            </w:r>
            <w:r>
              <w:rPr>
                <w:rFonts w:hint="eastAsia" w:ascii="宋体" w:hAnsi="宋体" w:cs="宋体"/>
                <w:color w:val="000000"/>
              </w:rPr>
              <w:t>磋商供应商可以登录</w:t>
            </w:r>
            <w:r>
              <w:rPr>
                <w:rFonts w:hint="eastAsia" w:ascii="宋体" w:hAnsi="宋体" w:cs="宋体"/>
                <w:color w:val="000000"/>
                <w:lang w:eastAsia="zh-CN"/>
              </w:rPr>
              <w:t>广西政府采购云平台</w:t>
            </w:r>
            <w:r>
              <w:rPr>
                <w:rFonts w:hint="eastAsia" w:ascii="宋体" w:hAnsi="宋体" w:cs="宋体"/>
                <w:color w:val="000000"/>
              </w:rPr>
              <w:t>，用“项目采购-开标评标”功能进行解密</w:t>
            </w:r>
            <w:r>
              <w:rPr>
                <w:rFonts w:hint="eastAsia" w:ascii="宋体" w:hAnsi="宋体" w:cs="宋体"/>
              </w:rPr>
              <w:t>磋商响应文件</w:t>
            </w:r>
            <w:r>
              <w:rPr>
                <w:rFonts w:hint="eastAsia" w:ascii="宋体" w:hAnsi="宋体" w:cs="宋体"/>
                <w:color w:val="000000"/>
              </w:rPr>
              <w:t>。</w:t>
            </w:r>
          </w:p>
          <w:p w14:paraId="0A88AE47">
            <w:pPr>
              <w:pStyle w:val="8"/>
              <w:rPr>
                <w:rFonts w:ascii="宋体" w:hAnsi="宋体" w:cs="宋体"/>
                <w:color w:val="000000"/>
                <w:szCs w:val="21"/>
              </w:rPr>
            </w:pPr>
            <w:r>
              <w:rPr>
                <w:rFonts w:hint="eastAsia" w:ascii="宋体" w:hAnsi="宋体" w:cs="宋体"/>
                <w:b/>
                <w:bCs/>
                <w:szCs w:val="21"/>
              </w:rPr>
              <w:t>注：投标文件网上递交截止时间后，各投标人须在解密时限内对上传</w:t>
            </w:r>
            <w:r>
              <w:rPr>
                <w:rFonts w:hint="eastAsia" w:ascii="宋体" w:hAnsi="宋体" w:cs="宋体"/>
                <w:b/>
                <w:bCs/>
                <w:szCs w:val="21"/>
                <w:lang w:eastAsia="zh-CN"/>
              </w:rPr>
              <w:t>广西政府采购云平台</w:t>
            </w:r>
            <w:r>
              <w:rPr>
                <w:rFonts w:hint="eastAsia" w:ascii="宋体" w:hAnsi="宋体" w:cs="宋体"/>
                <w:b/>
                <w:bCs/>
                <w:szCs w:val="21"/>
              </w:rPr>
              <w:t>的投标文件进行解密，所有投标人在规定的解密时限内解密完成或解密时限结束后，我中心开启已解密的响应文件。投标人超过解密时限未解密的，系统默认自动放弃，造成投标无效的后果由投标人自行承担。</w:t>
            </w:r>
          </w:p>
        </w:tc>
      </w:tr>
      <w:tr w14:paraId="238F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6AD7AF80">
            <w:pPr>
              <w:spacing w:line="360" w:lineRule="auto"/>
              <w:jc w:val="center"/>
              <w:rPr>
                <w:rFonts w:ascii="宋体" w:hAnsi="宋体" w:cs="宋体"/>
                <w:color w:val="000000"/>
                <w:szCs w:val="21"/>
              </w:rPr>
            </w:pPr>
            <w:r>
              <w:rPr>
                <w:rFonts w:hint="eastAsia" w:ascii="宋体" w:hAnsi="宋体" w:cs="宋体"/>
                <w:color w:val="000000"/>
                <w:szCs w:val="21"/>
              </w:rPr>
              <w:t>10</w:t>
            </w:r>
          </w:p>
        </w:tc>
        <w:tc>
          <w:tcPr>
            <w:tcW w:w="942" w:type="dxa"/>
            <w:vAlign w:val="center"/>
          </w:tcPr>
          <w:p w14:paraId="6F74BBA1">
            <w:pPr>
              <w:spacing w:line="360" w:lineRule="auto"/>
              <w:ind w:firstLine="105" w:firstLineChars="50"/>
              <w:jc w:val="center"/>
              <w:rPr>
                <w:rFonts w:ascii="宋体" w:hAnsi="宋体" w:cs="宋体"/>
                <w:color w:val="000000"/>
                <w:position w:val="-2"/>
                <w:szCs w:val="21"/>
              </w:rPr>
            </w:pPr>
            <w:r>
              <w:rPr>
                <w:rFonts w:hint="eastAsia" w:ascii="宋体" w:hAnsi="宋体" w:cs="宋体"/>
                <w:color w:val="000000"/>
                <w:position w:val="-2"/>
                <w:szCs w:val="21"/>
              </w:rPr>
              <w:t>19.1</w:t>
            </w:r>
          </w:p>
        </w:tc>
        <w:tc>
          <w:tcPr>
            <w:tcW w:w="1775" w:type="dxa"/>
            <w:vAlign w:val="center"/>
          </w:tcPr>
          <w:p w14:paraId="6C4F12AF">
            <w:pPr>
              <w:spacing w:line="360" w:lineRule="auto"/>
              <w:jc w:val="center"/>
              <w:rPr>
                <w:rFonts w:ascii="宋体" w:hAnsi="宋体" w:cs="宋体"/>
                <w:color w:val="000000"/>
                <w:szCs w:val="21"/>
              </w:rPr>
            </w:pPr>
            <w:r>
              <w:rPr>
                <w:rFonts w:hint="eastAsia" w:ascii="宋体" w:hAnsi="宋体" w:cs="宋体"/>
                <w:color w:val="000000"/>
                <w:szCs w:val="21"/>
              </w:rPr>
              <w:t>磋商小组组成</w:t>
            </w:r>
          </w:p>
        </w:tc>
        <w:tc>
          <w:tcPr>
            <w:tcW w:w="6912" w:type="dxa"/>
            <w:vAlign w:val="center"/>
          </w:tcPr>
          <w:p w14:paraId="308CC5E0">
            <w:pPr>
              <w:spacing w:line="360" w:lineRule="auto"/>
              <w:ind w:left="15" w:hanging="14" w:hangingChars="7"/>
              <w:rPr>
                <w:rFonts w:ascii="宋体" w:hAnsi="宋体" w:cs="宋体"/>
                <w:color w:val="000000"/>
                <w:szCs w:val="21"/>
              </w:rPr>
            </w:pPr>
            <w:r>
              <w:rPr>
                <w:rFonts w:hint="eastAsia" w:ascii="宋体" w:hAnsi="宋体" w:cs="宋体"/>
                <w:color w:val="000000"/>
                <w:szCs w:val="21"/>
              </w:rPr>
              <w:t>磋商及评审工作由采购代理机构负责组织，具体磋商、评审工作由依法组建的磋商小组负责，磋商小组由采购人代表和评审专家组成。磋商小组的构成：</w:t>
            </w:r>
            <w:r>
              <w:rPr>
                <w:rFonts w:hint="eastAsia" w:ascii="宋体" w:hAnsi="宋体" w:cs="宋体"/>
                <w:color w:val="000000"/>
                <w:szCs w:val="21"/>
                <w:u w:val="single"/>
              </w:rPr>
              <w:t xml:space="preserve">3 </w:t>
            </w:r>
            <w:r>
              <w:rPr>
                <w:rFonts w:hint="eastAsia" w:ascii="宋体" w:hAnsi="宋体" w:cs="宋体"/>
                <w:color w:val="000000"/>
                <w:szCs w:val="21"/>
              </w:rPr>
              <w:t>人，其中采购人代表</w:t>
            </w:r>
            <w:r>
              <w:rPr>
                <w:rFonts w:hint="eastAsia" w:ascii="宋体" w:hAnsi="宋体" w:cs="宋体"/>
                <w:color w:val="000000"/>
                <w:szCs w:val="21"/>
                <w:u w:val="single"/>
              </w:rPr>
              <w:t xml:space="preserve"> 1 </w:t>
            </w:r>
            <w:r>
              <w:rPr>
                <w:rFonts w:hint="eastAsia" w:ascii="宋体" w:hAnsi="宋体" w:cs="宋体"/>
                <w:color w:val="000000"/>
                <w:szCs w:val="21"/>
              </w:rPr>
              <w:t>人，评审专家</w:t>
            </w:r>
            <w:r>
              <w:rPr>
                <w:rFonts w:hint="eastAsia" w:ascii="宋体" w:hAnsi="宋体" w:cs="宋体"/>
                <w:color w:val="000000"/>
                <w:szCs w:val="21"/>
                <w:u w:val="single"/>
              </w:rPr>
              <w:t xml:space="preserve"> 2 </w:t>
            </w:r>
            <w:r>
              <w:rPr>
                <w:rFonts w:hint="eastAsia" w:ascii="宋体" w:hAnsi="宋体" w:cs="宋体"/>
                <w:color w:val="000000"/>
                <w:szCs w:val="21"/>
              </w:rPr>
              <w:t>人。</w:t>
            </w:r>
          </w:p>
        </w:tc>
      </w:tr>
      <w:tr w14:paraId="094C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6513A3ED">
            <w:pPr>
              <w:spacing w:line="360" w:lineRule="auto"/>
              <w:jc w:val="center"/>
              <w:rPr>
                <w:rFonts w:ascii="宋体" w:hAnsi="宋体" w:cs="宋体"/>
                <w:color w:val="000000"/>
                <w:szCs w:val="21"/>
              </w:rPr>
            </w:pPr>
            <w:r>
              <w:rPr>
                <w:rFonts w:hint="eastAsia" w:ascii="宋体" w:hAnsi="宋体" w:cs="宋体"/>
                <w:color w:val="000000"/>
                <w:szCs w:val="21"/>
              </w:rPr>
              <w:t>11</w:t>
            </w:r>
          </w:p>
        </w:tc>
        <w:tc>
          <w:tcPr>
            <w:tcW w:w="942" w:type="dxa"/>
            <w:vAlign w:val="center"/>
          </w:tcPr>
          <w:p w14:paraId="3D84B60E">
            <w:pPr>
              <w:spacing w:line="360" w:lineRule="auto"/>
              <w:jc w:val="center"/>
              <w:rPr>
                <w:rFonts w:ascii="宋体" w:hAnsi="宋体" w:cs="宋体"/>
                <w:color w:val="000000"/>
                <w:szCs w:val="21"/>
              </w:rPr>
            </w:pPr>
            <w:r>
              <w:rPr>
                <w:rFonts w:hint="eastAsia" w:ascii="宋体" w:hAnsi="宋体" w:cs="宋体"/>
                <w:color w:val="000000"/>
                <w:szCs w:val="21"/>
              </w:rPr>
              <w:t>19.2</w:t>
            </w:r>
          </w:p>
        </w:tc>
        <w:tc>
          <w:tcPr>
            <w:tcW w:w="1775" w:type="dxa"/>
            <w:vAlign w:val="center"/>
          </w:tcPr>
          <w:p w14:paraId="274913B3">
            <w:pPr>
              <w:spacing w:line="360" w:lineRule="auto"/>
              <w:jc w:val="center"/>
              <w:rPr>
                <w:rFonts w:ascii="宋体" w:hAnsi="宋体" w:cs="宋体"/>
                <w:color w:val="000000"/>
                <w:szCs w:val="21"/>
              </w:rPr>
            </w:pPr>
            <w:r>
              <w:rPr>
                <w:rFonts w:hint="eastAsia" w:ascii="宋体" w:hAnsi="宋体" w:cs="宋体"/>
                <w:color w:val="000000"/>
                <w:szCs w:val="21"/>
              </w:rPr>
              <w:t>磋商时间、地点、人员</w:t>
            </w:r>
          </w:p>
        </w:tc>
        <w:tc>
          <w:tcPr>
            <w:tcW w:w="6912" w:type="dxa"/>
          </w:tcPr>
          <w:p w14:paraId="398580FC">
            <w:pPr>
              <w:spacing w:line="360" w:lineRule="auto"/>
              <w:ind w:left="315" w:hanging="315" w:hangingChars="150"/>
              <w:jc w:val="left"/>
              <w:rPr>
                <w:rFonts w:ascii="宋体" w:hAnsi="宋体" w:cs="宋体"/>
                <w:color w:val="000000"/>
                <w:szCs w:val="21"/>
              </w:rPr>
            </w:pPr>
            <w:r>
              <w:rPr>
                <w:rFonts w:hint="eastAsia" w:ascii="宋体" w:hAnsi="宋体" w:cs="宋体"/>
                <w:color w:val="000000"/>
                <w:szCs w:val="21"/>
              </w:rPr>
              <w:t>19.2.1磋商时间：响应文件递交截止时间后。</w:t>
            </w:r>
          </w:p>
          <w:p w14:paraId="51B21DE9">
            <w:pPr>
              <w:spacing w:line="360" w:lineRule="auto"/>
              <w:jc w:val="left"/>
              <w:rPr>
                <w:rFonts w:ascii="宋体" w:hAnsi="宋体" w:cs="宋体"/>
                <w:color w:val="000000"/>
                <w:szCs w:val="21"/>
              </w:rPr>
            </w:pPr>
            <w:r>
              <w:rPr>
                <w:rFonts w:hint="eastAsia" w:ascii="宋体" w:hAnsi="宋体" w:cs="宋体"/>
                <w:color w:val="000000"/>
                <w:szCs w:val="21"/>
              </w:rPr>
              <w:t>19.2.2磋商地点：本项目需要磋商供应商代表在截标当天截标后，按磋商小组要求及时登陆</w:t>
            </w:r>
            <w:r>
              <w:rPr>
                <w:rFonts w:hint="eastAsia" w:ascii="宋体" w:hAnsi="宋体" w:cs="宋体"/>
                <w:color w:val="000000"/>
                <w:szCs w:val="21"/>
                <w:lang w:eastAsia="zh-CN"/>
              </w:rPr>
              <w:t>广西政府采购云平台</w:t>
            </w:r>
            <w:r>
              <w:rPr>
                <w:rFonts w:hint="eastAsia" w:ascii="宋体" w:hAnsi="宋体" w:cs="宋体"/>
                <w:color w:val="000000"/>
                <w:szCs w:val="21"/>
              </w:rPr>
              <w:t>等候在线磋商。</w:t>
            </w:r>
          </w:p>
          <w:p w14:paraId="39324FBB">
            <w:pPr>
              <w:spacing w:line="360" w:lineRule="auto"/>
              <w:ind w:left="15" w:hanging="14" w:hangingChars="7"/>
              <w:jc w:val="left"/>
              <w:rPr>
                <w:rFonts w:ascii="宋体" w:hAnsi="宋体" w:cs="宋体"/>
                <w:color w:val="000000"/>
                <w:szCs w:val="21"/>
              </w:rPr>
            </w:pPr>
            <w:r>
              <w:rPr>
                <w:rFonts w:hint="eastAsia" w:ascii="宋体" w:hAnsi="宋体" w:cs="宋体"/>
                <w:color w:val="000000"/>
                <w:szCs w:val="21"/>
              </w:rPr>
              <w:t>19.2.3磋商参加人员：供应商法定代表人、负责人、自然人或相应的委托代理人持有效身份证原件和供应商</w:t>
            </w:r>
            <w:r>
              <w:rPr>
                <w:rFonts w:hint="eastAsia" w:ascii="宋体" w:hAnsi="宋体" w:cs="宋体"/>
                <w:color w:val="000000"/>
                <w:szCs w:val="21"/>
                <w:lang w:eastAsia="zh-CN"/>
              </w:rPr>
              <w:t>广西政府采购云平台</w:t>
            </w:r>
            <w:r>
              <w:rPr>
                <w:rFonts w:hint="eastAsia" w:ascii="宋体" w:hAnsi="宋体" w:cs="宋体"/>
                <w:color w:val="000000"/>
                <w:szCs w:val="21"/>
              </w:rPr>
              <w:t>CA数字证书参加磋商。请供应商按时到达指定地点等候磋商。</w:t>
            </w:r>
          </w:p>
          <w:p w14:paraId="5A299BD6">
            <w:pPr>
              <w:tabs>
                <w:tab w:val="left" w:pos="1140"/>
              </w:tabs>
              <w:spacing w:line="360" w:lineRule="auto"/>
              <w:jc w:val="left"/>
              <w:rPr>
                <w:rFonts w:ascii="宋体" w:hAnsi="宋体" w:cs="宋体"/>
                <w:color w:val="000000"/>
                <w:szCs w:val="21"/>
              </w:rPr>
            </w:pPr>
            <w:r>
              <w:rPr>
                <w:rFonts w:hint="eastAsia" w:ascii="宋体" w:hAnsi="宋体" w:cs="宋体"/>
                <w:color w:val="000000"/>
                <w:szCs w:val="21"/>
              </w:rPr>
              <w:t>19.2.4响应文件递交截止时间后，由磋商小组在评标室内线上开启响应文件。</w:t>
            </w:r>
          </w:p>
        </w:tc>
      </w:tr>
      <w:tr w14:paraId="76D0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50D7051B">
            <w:pPr>
              <w:spacing w:line="360" w:lineRule="auto"/>
              <w:jc w:val="center"/>
              <w:rPr>
                <w:rFonts w:ascii="宋体" w:hAnsi="宋体" w:cs="宋体"/>
                <w:color w:val="000000"/>
                <w:szCs w:val="21"/>
              </w:rPr>
            </w:pPr>
            <w:r>
              <w:rPr>
                <w:rFonts w:hint="eastAsia" w:ascii="宋体" w:hAnsi="宋体" w:cs="宋体"/>
                <w:color w:val="000000"/>
                <w:kern w:val="0"/>
                <w:szCs w:val="21"/>
              </w:rPr>
              <w:t>12</w:t>
            </w:r>
          </w:p>
        </w:tc>
        <w:tc>
          <w:tcPr>
            <w:tcW w:w="942" w:type="dxa"/>
            <w:vAlign w:val="center"/>
          </w:tcPr>
          <w:p w14:paraId="63EBB200">
            <w:pPr>
              <w:spacing w:line="360" w:lineRule="auto"/>
              <w:jc w:val="center"/>
              <w:rPr>
                <w:rFonts w:ascii="宋体" w:hAnsi="宋体" w:cs="宋体"/>
                <w:color w:val="000000"/>
                <w:szCs w:val="21"/>
              </w:rPr>
            </w:pPr>
            <w:r>
              <w:rPr>
                <w:rFonts w:hint="eastAsia" w:ascii="宋体" w:hAnsi="宋体" w:cs="宋体"/>
                <w:color w:val="000000"/>
                <w:szCs w:val="21"/>
              </w:rPr>
              <w:t>20.2</w:t>
            </w:r>
          </w:p>
        </w:tc>
        <w:tc>
          <w:tcPr>
            <w:tcW w:w="1775" w:type="dxa"/>
            <w:vAlign w:val="center"/>
          </w:tcPr>
          <w:p w14:paraId="641897FE">
            <w:pPr>
              <w:pStyle w:val="12"/>
              <w:spacing w:line="360" w:lineRule="auto"/>
              <w:jc w:val="center"/>
              <w:rPr>
                <w:rFonts w:hAnsi="宋体" w:cs="宋体"/>
                <w:color w:val="000000"/>
                <w:kern w:val="0"/>
                <w:szCs w:val="21"/>
              </w:rPr>
            </w:pPr>
            <w:r>
              <w:rPr>
                <w:rFonts w:hint="eastAsia" w:hAnsi="宋体" w:cs="宋体"/>
                <w:color w:val="000000"/>
                <w:kern w:val="0"/>
                <w:szCs w:val="21"/>
              </w:rPr>
              <w:t>评审办法</w:t>
            </w:r>
          </w:p>
        </w:tc>
        <w:tc>
          <w:tcPr>
            <w:tcW w:w="6912" w:type="dxa"/>
            <w:vAlign w:val="center"/>
          </w:tcPr>
          <w:p w14:paraId="1E8BDDFE">
            <w:pPr>
              <w:tabs>
                <w:tab w:val="left" w:pos="1140"/>
              </w:tabs>
              <w:spacing w:line="360" w:lineRule="auto"/>
              <w:rPr>
                <w:rFonts w:ascii="宋体" w:hAnsi="宋体" w:cs="宋体"/>
                <w:color w:val="000000"/>
                <w:szCs w:val="21"/>
              </w:rPr>
            </w:pPr>
            <w:r>
              <w:rPr>
                <w:rFonts w:hint="eastAsia" w:ascii="宋体" w:hAnsi="宋体" w:cs="宋体"/>
                <w:color w:val="000000"/>
                <w:szCs w:val="21"/>
              </w:rPr>
              <w:t>具体详见第四章评审办法。</w:t>
            </w:r>
          </w:p>
        </w:tc>
      </w:tr>
      <w:tr w14:paraId="3E21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270D0D58">
            <w:pPr>
              <w:spacing w:line="360" w:lineRule="auto"/>
              <w:jc w:val="center"/>
              <w:rPr>
                <w:rFonts w:ascii="宋体" w:hAnsi="宋体" w:cs="宋体"/>
                <w:color w:val="000000"/>
                <w:szCs w:val="21"/>
              </w:rPr>
            </w:pPr>
            <w:r>
              <w:rPr>
                <w:rFonts w:hint="eastAsia" w:ascii="宋体" w:hAnsi="宋体" w:cs="宋体"/>
                <w:color w:val="000000"/>
                <w:szCs w:val="21"/>
              </w:rPr>
              <w:t>13</w:t>
            </w:r>
          </w:p>
        </w:tc>
        <w:tc>
          <w:tcPr>
            <w:tcW w:w="942" w:type="dxa"/>
            <w:vAlign w:val="center"/>
          </w:tcPr>
          <w:p w14:paraId="3AC5C090">
            <w:pPr>
              <w:spacing w:line="360" w:lineRule="auto"/>
              <w:jc w:val="center"/>
              <w:rPr>
                <w:rFonts w:ascii="宋体" w:hAnsi="宋体" w:cs="宋体"/>
                <w:color w:val="000000"/>
                <w:szCs w:val="21"/>
              </w:rPr>
            </w:pPr>
            <w:r>
              <w:rPr>
                <w:rFonts w:hint="eastAsia" w:ascii="宋体" w:hAnsi="宋体" w:cs="宋体"/>
                <w:color w:val="000000"/>
                <w:szCs w:val="21"/>
              </w:rPr>
              <w:t>26</w:t>
            </w:r>
          </w:p>
        </w:tc>
        <w:tc>
          <w:tcPr>
            <w:tcW w:w="1775" w:type="dxa"/>
            <w:vAlign w:val="center"/>
          </w:tcPr>
          <w:p w14:paraId="4F7914C0">
            <w:pPr>
              <w:spacing w:line="360" w:lineRule="auto"/>
              <w:jc w:val="center"/>
              <w:rPr>
                <w:rFonts w:ascii="宋体" w:hAnsi="宋体" w:cs="宋体"/>
                <w:color w:val="000000"/>
                <w:szCs w:val="21"/>
              </w:rPr>
            </w:pPr>
            <w:r>
              <w:rPr>
                <w:rFonts w:hint="eastAsia" w:ascii="宋体" w:hAnsi="宋体" w:cs="宋体"/>
                <w:color w:val="000000"/>
                <w:szCs w:val="21"/>
              </w:rPr>
              <w:t>信用查询</w:t>
            </w:r>
          </w:p>
        </w:tc>
        <w:tc>
          <w:tcPr>
            <w:tcW w:w="6912" w:type="dxa"/>
            <w:vAlign w:val="center"/>
          </w:tcPr>
          <w:p w14:paraId="731DEBAE">
            <w:pPr>
              <w:spacing w:line="360" w:lineRule="auto"/>
              <w:ind w:left="15" w:hanging="14" w:hangingChars="7"/>
              <w:rPr>
                <w:rFonts w:ascii="宋体" w:hAnsi="宋体" w:cs="宋体"/>
                <w:color w:val="000000"/>
                <w:szCs w:val="21"/>
              </w:rPr>
            </w:pPr>
            <w:r>
              <w:rPr>
                <w:rFonts w:hint="eastAsia" w:ascii="宋体" w:hAnsi="宋体" w:cs="宋体"/>
                <w:color w:val="000000"/>
                <w:szCs w:val="21"/>
              </w:rPr>
              <w:t>根据《关于做好政府采购有关信用主体标识码登记及在政府采购活动中查询使用信用记录有关问题的通知》（桂财采〔2016〕37</w:t>
            </w:r>
            <w:r>
              <w:rPr>
                <w:rFonts w:hint="eastAsia"/>
              </w:rPr>
              <w:t>号</w:t>
            </w:r>
            <w:r>
              <w:rPr>
                <w:rFonts w:hint="eastAsia" w:ascii="宋体" w:hAnsi="宋体" w:cs="宋体"/>
                <w:color w:val="000000"/>
                <w:szCs w:val="21"/>
              </w:rPr>
              <w:t>），由采购代理机构对第一成交候选人进行信用查询：</w:t>
            </w:r>
          </w:p>
          <w:p w14:paraId="5DE75B8F">
            <w:pPr>
              <w:spacing w:line="360" w:lineRule="auto"/>
              <w:ind w:left="15" w:hanging="14" w:hangingChars="7"/>
              <w:rPr>
                <w:rFonts w:ascii="宋体" w:hAnsi="宋体" w:cs="宋体"/>
                <w:color w:val="000000"/>
                <w:szCs w:val="21"/>
              </w:rPr>
            </w:pPr>
            <w:r>
              <w:rPr>
                <w:rFonts w:hint="eastAsia" w:ascii="宋体" w:hAnsi="宋体" w:cs="宋体"/>
                <w:color w:val="000000"/>
                <w:szCs w:val="21"/>
              </w:rPr>
              <w:t>⑴查询渠道：“信用中国”网站(www.creditchina.gov.cn)、中国政府采购网(www.ccgp.gov.cn)等；</w:t>
            </w:r>
          </w:p>
          <w:p w14:paraId="0FB065C7">
            <w:pPr>
              <w:spacing w:line="360" w:lineRule="auto"/>
              <w:ind w:left="315" w:hanging="315" w:hangingChars="150"/>
              <w:rPr>
                <w:rFonts w:ascii="宋体" w:hAnsi="宋体" w:cs="宋体"/>
                <w:color w:val="000000"/>
                <w:szCs w:val="21"/>
              </w:rPr>
            </w:pPr>
            <w:r>
              <w:rPr>
                <w:rFonts w:hint="eastAsia" w:ascii="宋体" w:hAnsi="宋体" w:cs="宋体"/>
                <w:color w:val="000000"/>
                <w:szCs w:val="21"/>
              </w:rPr>
              <w:t>⑵查询时间：成交通知书发出前；</w:t>
            </w:r>
          </w:p>
          <w:p w14:paraId="7D3D3B30">
            <w:pPr>
              <w:spacing w:line="360" w:lineRule="auto"/>
              <w:ind w:left="15" w:hanging="14" w:hangingChars="7"/>
              <w:rPr>
                <w:rFonts w:ascii="宋体" w:hAnsi="宋体" w:cs="宋体"/>
                <w:color w:val="000000"/>
                <w:szCs w:val="21"/>
              </w:rPr>
            </w:pPr>
            <w:r>
              <w:rPr>
                <w:rFonts w:hint="eastAsia" w:ascii="宋体" w:hAnsi="宋体" w:cs="宋体"/>
                <w:color w:val="000000"/>
                <w:szCs w:val="21"/>
              </w:rPr>
              <w:t>⑶信用信息查询记录和证据留存方式：在查询网站中直接打印查询记录，打印材料作为采购活动资料保存；</w:t>
            </w:r>
          </w:p>
          <w:p w14:paraId="31148D9C">
            <w:pPr>
              <w:spacing w:line="360" w:lineRule="auto"/>
              <w:ind w:left="15" w:hanging="14" w:hangingChars="7"/>
              <w:rPr>
                <w:rFonts w:ascii="宋体" w:hAnsi="宋体" w:cs="宋体"/>
                <w:color w:val="000000"/>
                <w:szCs w:val="21"/>
              </w:rPr>
            </w:pPr>
            <w:r>
              <w:rPr>
                <w:rFonts w:hint="eastAsia" w:ascii="宋体" w:hAnsi="宋体" w:cs="宋体"/>
                <w:color w:val="000000"/>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14:paraId="7C89662C">
            <w:pPr>
              <w:spacing w:line="360" w:lineRule="auto"/>
              <w:rPr>
                <w:rFonts w:ascii="宋体" w:hAnsi="宋体" w:cs="宋体"/>
                <w:color w:val="000000"/>
                <w:szCs w:val="21"/>
              </w:rPr>
            </w:pPr>
            <w:r>
              <w:rPr>
                <w:rFonts w:hint="eastAsia" w:ascii="宋体" w:hAnsi="宋体" w:cs="宋体"/>
                <w:color w:val="000000"/>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4EE6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28CF5531">
            <w:pPr>
              <w:spacing w:line="360" w:lineRule="auto"/>
              <w:jc w:val="center"/>
              <w:rPr>
                <w:rFonts w:ascii="宋体" w:hAnsi="宋体" w:cs="宋体"/>
                <w:color w:val="000000"/>
                <w:szCs w:val="21"/>
              </w:rPr>
            </w:pPr>
            <w:r>
              <w:rPr>
                <w:rFonts w:hint="eastAsia" w:ascii="宋体" w:hAnsi="宋体" w:cs="宋体"/>
                <w:color w:val="000000"/>
                <w:szCs w:val="21"/>
              </w:rPr>
              <w:t>14</w:t>
            </w:r>
          </w:p>
        </w:tc>
        <w:tc>
          <w:tcPr>
            <w:tcW w:w="942" w:type="dxa"/>
            <w:vAlign w:val="center"/>
          </w:tcPr>
          <w:p w14:paraId="35041111">
            <w:pPr>
              <w:spacing w:line="360" w:lineRule="auto"/>
              <w:jc w:val="center"/>
              <w:rPr>
                <w:rFonts w:ascii="宋体" w:hAnsi="宋体" w:cs="宋体"/>
                <w:color w:val="000000"/>
                <w:szCs w:val="21"/>
              </w:rPr>
            </w:pPr>
            <w:r>
              <w:rPr>
                <w:rFonts w:hint="eastAsia" w:ascii="宋体" w:hAnsi="宋体" w:cs="宋体"/>
                <w:color w:val="000000"/>
                <w:szCs w:val="21"/>
              </w:rPr>
              <w:t>27</w:t>
            </w:r>
          </w:p>
        </w:tc>
        <w:tc>
          <w:tcPr>
            <w:tcW w:w="1775" w:type="dxa"/>
            <w:vAlign w:val="center"/>
          </w:tcPr>
          <w:p w14:paraId="780F91F6">
            <w:pPr>
              <w:spacing w:line="360" w:lineRule="auto"/>
              <w:jc w:val="center"/>
              <w:rPr>
                <w:rFonts w:ascii="宋体" w:hAnsi="宋体" w:cs="宋体"/>
                <w:color w:val="000000"/>
                <w:szCs w:val="21"/>
              </w:rPr>
            </w:pPr>
            <w:r>
              <w:rPr>
                <w:rFonts w:hint="eastAsia" w:ascii="宋体" w:hAnsi="宋体" w:cs="宋体"/>
                <w:color w:val="000000"/>
                <w:szCs w:val="21"/>
              </w:rPr>
              <w:t>成交结果公告</w:t>
            </w:r>
          </w:p>
          <w:p w14:paraId="085F93F0">
            <w:pPr>
              <w:spacing w:line="360" w:lineRule="auto"/>
              <w:jc w:val="center"/>
              <w:rPr>
                <w:rFonts w:ascii="宋体" w:hAnsi="宋体" w:cs="宋体"/>
                <w:color w:val="000000"/>
                <w:szCs w:val="21"/>
              </w:rPr>
            </w:pPr>
            <w:r>
              <w:rPr>
                <w:rFonts w:hint="eastAsia" w:ascii="宋体" w:hAnsi="宋体" w:cs="宋体"/>
                <w:color w:val="000000"/>
                <w:szCs w:val="21"/>
              </w:rPr>
              <w:t>及成交通知书</w:t>
            </w:r>
          </w:p>
        </w:tc>
        <w:tc>
          <w:tcPr>
            <w:tcW w:w="6912" w:type="dxa"/>
          </w:tcPr>
          <w:p w14:paraId="55BB248B">
            <w:pPr>
              <w:spacing w:line="360" w:lineRule="auto"/>
              <w:rPr>
                <w:rFonts w:ascii="宋体" w:hAnsi="宋体" w:cs="宋体"/>
                <w:color w:val="000000"/>
                <w:szCs w:val="21"/>
              </w:rPr>
            </w:pPr>
            <w:r>
              <w:rPr>
                <w:rFonts w:hint="eastAsia" w:ascii="宋体" w:hAnsi="宋体" w:cs="宋体"/>
                <w:color w:val="000000"/>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775D7D8">
            <w:pPr>
              <w:spacing w:line="360" w:lineRule="auto"/>
              <w:rPr>
                <w:rFonts w:ascii="宋体" w:hAnsi="宋体" w:cs="宋体"/>
                <w:color w:val="000000"/>
                <w:szCs w:val="21"/>
              </w:rPr>
            </w:pPr>
            <w:r>
              <w:rPr>
                <w:rFonts w:hint="eastAsia" w:ascii="宋体" w:hAnsi="宋体" w:cs="宋体"/>
                <w:color w:val="000000"/>
                <w:szCs w:val="21"/>
              </w:rPr>
              <w:t>27.2在发布成交公告的同时，采购代理机构向成交供应商发出成交通知书。成交供应商自接到通知之日起七个工作日内，办理成交通知书领取手续。</w:t>
            </w:r>
          </w:p>
        </w:tc>
      </w:tr>
      <w:tr w14:paraId="7D70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vAlign w:val="center"/>
          </w:tcPr>
          <w:p w14:paraId="6EDE5704">
            <w:pPr>
              <w:spacing w:line="360" w:lineRule="auto"/>
              <w:jc w:val="center"/>
              <w:rPr>
                <w:rFonts w:ascii="宋体" w:hAnsi="宋体" w:cs="宋体"/>
                <w:color w:val="000000"/>
                <w:szCs w:val="21"/>
              </w:rPr>
            </w:pPr>
            <w:r>
              <w:rPr>
                <w:rFonts w:hint="eastAsia" w:ascii="宋体" w:hAnsi="宋体" w:cs="宋体"/>
                <w:color w:val="000000"/>
                <w:szCs w:val="21"/>
              </w:rPr>
              <w:t>15</w:t>
            </w:r>
          </w:p>
        </w:tc>
        <w:tc>
          <w:tcPr>
            <w:tcW w:w="942" w:type="dxa"/>
            <w:vAlign w:val="center"/>
          </w:tcPr>
          <w:p w14:paraId="62BD2179">
            <w:pPr>
              <w:spacing w:line="360" w:lineRule="auto"/>
              <w:jc w:val="center"/>
              <w:rPr>
                <w:rFonts w:ascii="宋体" w:hAnsi="宋体" w:cs="宋体"/>
                <w:color w:val="000000"/>
                <w:szCs w:val="21"/>
              </w:rPr>
            </w:pPr>
            <w:r>
              <w:rPr>
                <w:rFonts w:hint="eastAsia" w:ascii="宋体" w:hAnsi="宋体" w:cs="宋体"/>
                <w:color w:val="000000"/>
                <w:szCs w:val="21"/>
              </w:rPr>
              <w:t>28</w:t>
            </w:r>
          </w:p>
        </w:tc>
        <w:tc>
          <w:tcPr>
            <w:tcW w:w="1775" w:type="dxa"/>
            <w:vAlign w:val="center"/>
          </w:tcPr>
          <w:p w14:paraId="0CBA03E4">
            <w:pPr>
              <w:spacing w:line="360" w:lineRule="auto"/>
              <w:jc w:val="center"/>
              <w:rPr>
                <w:rFonts w:ascii="宋体" w:hAnsi="宋体" w:cs="宋体"/>
                <w:color w:val="000000"/>
                <w:szCs w:val="21"/>
              </w:rPr>
            </w:pPr>
            <w:r>
              <w:rPr>
                <w:rFonts w:hint="eastAsia" w:ascii="宋体" w:hAnsi="宋体" w:cs="宋体"/>
                <w:color w:val="000000"/>
                <w:szCs w:val="21"/>
              </w:rPr>
              <w:t>履约保证金</w:t>
            </w:r>
          </w:p>
        </w:tc>
        <w:tc>
          <w:tcPr>
            <w:tcW w:w="6912" w:type="dxa"/>
            <w:vAlign w:val="center"/>
          </w:tcPr>
          <w:p w14:paraId="5733E8A4">
            <w:pPr>
              <w:widowControl/>
              <w:jc w:val="left"/>
              <w:rPr>
                <w:rFonts w:ascii="宋体" w:hAnsi="宋体" w:cs="宋体"/>
                <w:color w:val="000000"/>
                <w:szCs w:val="21"/>
              </w:rPr>
            </w:pPr>
            <w:r>
              <w:rPr>
                <w:rFonts w:hint="eastAsia" w:ascii="宋体" w:hAnsi="宋体" w:cs="宋体"/>
                <w:bCs/>
                <w:kern w:val="0"/>
                <w:szCs w:val="21"/>
              </w:rPr>
              <w:t>本项目无需缴纳履约保证金。</w:t>
            </w:r>
          </w:p>
        </w:tc>
      </w:tr>
      <w:tr w14:paraId="4008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6870D598">
            <w:pPr>
              <w:spacing w:line="360" w:lineRule="auto"/>
              <w:jc w:val="center"/>
              <w:rPr>
                <w:rFonts w:ascii="宋体" w:hAnsi="宋体" w:cs="宋体"/>
                <w:color w:val="000000"/>
                <w:szCs w:val="21"/>
              </w:rPr>
            </w:pPr>
            <w:r>
              <w:rPr>
                <w:rFonts w:hint="eastAsia" w:ascii="宋体" w:hAnsi="宋体" w:cs="宋体"/>
                <w:color w:val="000000"/>
                <w:szCs w:val="21"/>
              </w:rPr>
              <w:t>16</w:t>
            </w:r>
          </w:p>
        </w:tc>
        <w:tc>
          <w:tcPr>
            <w:tcW w:w="942" w:type="dxa"/>
            <w:vAlign w:val="center"/>
          </w:tcPr>
          <w:p w14:paraId="4BBF03DB">
            <w:pPr>
              <w:spacing w:line="360" w:lineRule="auto"/>
              <w:jc w:val="center"/>
              <w:rPr>
                <w:rFonts w:ascii="宋体" w:hAnsi="宋体" w:cs="宋体"/>
                <w:color w:val="000000"/>
                <w:szCs w:val="21"/>
              </w:rPr>
            </w:pPr>
            <w:r>
              <w:rPr>
                <w:rFonts w:hint="eastAsia" w:ascii="宋体" w:hAnsi="宋体" w:cs="宋体"/>
                <w:color w:val="000000"/>
                <w:szCs w:val="21"/>
              </w:rPr>
              <w:t>29.1</w:t>
            </w:r>
          </w:p>
        </w:tc>
        <w:tc>
          <w:tcPr>
            <w:tcW w:w="1775" w:type="dxa"/>
            <w:vAlign w:val="center"/>
          </w:tcPr>
          <w:p w14:paraId="7A03C804">
            <w:pPr>
              <w:spacing w:line="360" w:lineRule="auto"/>
              <w:jc w:val="center"/>
              <w:rPr>
                <w:rFonts w:ascii="宋体" w:hAnsi="宋体" w:cs="宋体"/>
                <w:szCs w:val="21"/>
              </w:rPr>
            </w:pPr>
            <w:r>
              <w:rPr>
                <w:rFonts w:hint="eastAsia" w:ascii="宋体" w:hAnsi="宋体" w:cs="宋体"/>
                <w:szCs w:val="21"/>
              </w:rPr>
              <w:t>签订合同时间</w:t>
            </w:r>
          </w:p>
        </w:tc>
        <w:tc>
          <w:tcPr>
            <w:tcW w:w="6912" w:type="dxa"/>
          </w:tcPr>
          <w:p w14:paraId="7E1D2B06">
            <w:pPr>
              <w:spacing w:line="360" w:lineRule="auto"/>
              <w:rPr>
                <w:rFonts w:ascii="宋体" w:hAnsi="宋体" w:cs="宋体"/>
                <w:szCs w:val="21"/>
              </w:rPr>
            </w:pPr>
            <w:r>
              <w:rPr>
                <w:rFonts w:hint="eastAsia" w:ascii="宋体" w:hAnsi="宋体" w:cs="宋体"/>
                <w:bCs/>
                <w:kern w:val="0"/>
                <w:szCs w:val="21"/>
              </w:rPr>
              <w:t>成交通知书发出之日起八个工作日内签订合同</w:t>
            </w:r>
            <w:r>
              <w:rPr>
                <w:rFonts w:hint="eastAsia" w:ascii="宋体" w:hAnsi="宋体" w:cs="宋体"/>
              </w:rPr>
              <w:t>。</w:t>
            </w:r>
            <w:r>
              <w:rPr>
                <w:rFonts w:hint="eastAsia" w:ascii="宋体" w:hAnsi="宋体" w:cs="宋体"/>
                <w:szCs w:val="21"/>
              </w:rPr>
              <w:t>成交供应商领取成交通知书后，应按规定与采购人签订合同。</w:t>
            </w:r>
          </w:p>
        </w:tc>
      </w:tr>
      <w:tr w14:paraId="5ADB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219016BF">
            <w:pPr>
              <w:spacing w:line="360" w:lineRule="auto"/>
              <w:jc w:val="center"/>
              <w:rPr>
                <w:rFonts w:ascii="宋体" w:hAnsi="宋体" w:cs="宋体"/>
                <w:color w:val="000000"/>
                <w:szCs w:val="21"/>
              </w:rPr>
            </w:pPr>
            <w:r>
              <w:rPr>
                <w:rFonts w:hint="eastAsia" w:ascii="宋体" w:hAnsi="宋体" w:cs="宋体"/>
                <w:color w:val="000000"/>
                <w:szCs w:val="21"/>
              </w:rPr>
              <w:t>17</w:t>
            </w:r>
          </w:p>
        </w:tc>
        <w:tc>
          <w:tcPr>
            <w:tcW w:w="942" w:type="dxa"/>
            <w:vAlign w:val="center"/>
          </w:tcPr>
          <w:p w14:paraId="2FC57069">
            <w:pPr>
              <w:spacing w:line="360" w:lineRule="auto"/>
              <w:jc w:val="center"/>
              <w:rPr>
                <w:rFonts w:ascii="宋体" w:hAnsi="宋体" w:cs="宋体"/>
                <w:color w:val="000000"/>
                <w:szCs w:val="21"/>
              </w:rPr>
            </w:pPr>
            <w:r>
              <w:rPr>
                <w:rFonts w:hint="eastAsia" w:ascii="宋体" w:hAnsi="宋体" w:cs="宋体"/>
                <w:color w:val="000000"/>
                <w:szCs w:val="21"/>
              </w:rPr>
              <w:t>29.3</w:t>
            </w:r>
          </w:p>
        </w:tc>
        <w:tc>
          <w:tcPr>
            <w:tcW w:w="1775" w:type="dxa"/>
            <w:vAlign w:val="center"/>
          </w:tcPr>
          <w:p w14:paraId="44762983">
            <w:pPr>
              <w:spacing w:line="360" w:lineRule="auto"/>
              <w:jc w:val="center"/>
              <w:rPr>
                <w:rFonts w:ascii="宋体" w:hAnsi="宋体" w:cs="宋体"/>
                <w:color w:val="000000"/>
                <w:szCs w:val="21"/>
              </w:rPr>
            </w:pPr>
            <w:r>
              <w:rPr>
                <w:rFonts w:hint="eastAsia" w:ascii="宋体" w:hAnsi="宋体" w:cs="宋体"/>
                <w:color w:val="000000"/>
                <w:szCs w:val="21"/>
              </w:rPr>
              <w:t>合同备案存档</w:t>
            </w:r>
          </w:p>
        </w:tc>
        <w:tc>
          <w:tcPr>
            <w:tcW w:w="6912" w:type="dxa"/>
            <w:vAlign w:val="center"/>
          </w:tcPr>
          <w:p w14:paraId="0423575E">
            <w:pPr>
              <w:spacing w:line="360" w:lineRule="auto"/>
              <w:rPr>
                <w:rFonts w:ascii="宋体" w:hAnsi="宋体" w:cs="宋体"/>
                <w:color w:val="000000"/>
                <w:szCs w:val="21"/>
              </w:rPr>
            </w:pPr>
            <w:r>
              <w:rPr>
                <w:rFonts w:hint="eastAsia" w:ascii="宋体" w:hAnsi="宋体"/>
              </w:rPr>
              <w:t>政府采购合同双方自签订之日起1个工作日内将合同原件两份交采购代理机构。采购代理机构将政府采购合同在省级以上人民政府财政部门指定媒体上公告并于合同签订之日起七个工作日内将一份合同原件送永福县政府采购管理办公室备案，一份由采购代理机构存档。</w:t>
            </w:r>
          </w:p>
        </w:tc>
      </w:tr>
      <w:tr w14:paraId="65F8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2C966C79">
            <w:pPr>
              <w:spacing w:line="360" w:lineRule="auto"/>
              <w:jc w:val="center"/>
              <w:rPr>
                <w:rFonts w:ascii="宋体" w:hAnsi="宋体" w:cs="宋体"/>
                <w:color w:val="000000"/>
                <w:szCs w:val="21"/>
              </w:rPr>
            </w:pPr>
            <w:r>
              <w:rPr>
                <w:rFonts w:hint="eastAsia" w:ascii="宋体" w:hAnsi="宋体" w:cs="宋体"/>
                <w:color w:val="000000"/>
                <w:szCs w:val="21"/>
              </w:rPr>
              <w:t>18</w:t>
            </w:r>
          </w:p>
        </w:tc>
        <w:tc>
          <w:tcPr>
            <w:tcW w:w="942" w:type="dxa"/>
            <w:vAlign w:val="center"/>
          </w:tcPr>
          <w:p w14:paraId="21CC2537">
            <w:pPr>
              <w:spacing w:line="360" w:lineRule="auto"/>
              <w:jc w:val="center"/>
              <w:rPr>
                <w:rFonts w:ascii="宋体" w:hAnsi="宋体" w:cs="宋体"/>
                <w:color w:val="000000"/>
                <w:szCs w:val="21"/>
              </w:rPr>
            </w:pPr>
            <w:r>
              <w:rPr>
                <w:rFonts w:hint="eastAsia" w:ascii="宋体" w:hAnsi="宋体" w:cs="宋体"/>
                <w:color w:val="000000"/>
                <w:szCs w:val="21"/>
              </w:rPr>
              <w:t>30</w:t>
            </w:r>
          </w:p>
        </w:tc>
        <w:tc>
          <w:tcPr>
            <w:tcW w:w="1775" w:type="dxa"/>
            <w:vAlign w:val="center"/>
          </w:tcPr>
          <w:p w14:paraId="2FBC7EDB">
            <w:pPr>
              <w:spacing w:line="360" w:lineRule="auto"/>
              <w:jc w:val="center"/>
              <w:rPr>
                <w:rFonts w:ascii="宋体" w:hAnsi="宋体" w:cs="宋体"/>
                <w:color w:val="000000"/>
                <w:szCs w:val="21"/>
              </w:rPr>
            </w:pPr>
            <w:r>
              <w:rPr>
                <w:rFonts w:hint="eastAsia" w:ascii="宋体" w:hAnsi="宋体" w:cs="宋体"/>
                <w:color w:val="000000"/>
                <w:szCs w:val="21"/>
              </w:rPr>
              <w:t>采购代理服务费</w:t>
            </w:r>
          </w:p>
        </w:tc>
        <w:tc>
          <w:tcPr>
            <w:tcW w:w="6912" w:type="dxa"/>
          </w:tcPr>
          <w:p w14:paraId="6D5B6329">
            <w:pPr>
              <w:spacing w:line="360" w:lineRule="auto"/>
              <w:rPr>
                <w:rFonts w:ascii="宋体" w:hAnsi="宋体" w:cs="宋体"/>
                <w:color w:val="000000"/>
                <w:szCs w:val="21"/>
              </w:rPr>
            </w:pPr>
            <w:r>
              <w:rPr>
                <w:rFonts w:hint="eastAsia" w:ascii="宋体" w:hAnsi="宋体"/>
                <w:szCs w:val="21"/>
              </w:rPr>
              <w:t>本项目的采购代理服务收费标准按计价格[2002]1980号《招标代理服务收费管理暂行办法》服务类收费标准和发改办价格[2003]857号文的规定向成交磋商供应商收取。</w:t>
            </w:r>
          </w:p>
        </w:tc>
      </w:tr>
      <w:tr w14:paraId="5B08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76304CBB">
            <w:pPr>
              <w:spacing w:line="360" w:lineRule="auto"/>
              <w:jc w:val="center"/>
              <w:rPr>
                <w:rFonts w:ascii="宋体" w:hAnsi="宋体" w:cs="宋体"/>
                <w:color w:val="000000"/>
                <w:szCs w:val="21"/>
              </w:rPr>
            </w:pPr>
            <w:r>
              <w:rPr>
                <w:rFonts w:hint="eastAsia" w:ascii="宋体" w:hAnsi="宋体" w:cs="宋体"/>
                <w:color w:val="000000"/>
                <w:szCs w:val="21"/>
              </w:rPr>
              <w:t>19</w:t>
            </w:r>
          </w:p>
        </w:tc>
        <w:tc>
          <w:tcPr>
            <w:tcW w:w="942" w:type="dxa"/>
            <w:vAlign w:val="center"/>
          </w:tcPr>
          <w:p w14:paraId="35FC9C11">
            <w:pPr>
              <w:spacing w:line="360" w:lineRule="auto"/>
              <w:jc w:val="center"/>
              <w:rPr>
                <w:rFonts w:ascii="宋体" w:hAnsi="宋体" w:cs="宋体"/>
                <w:color w:val="000000"/>
                <w:szCs w:val="21"/>
              </w:rPr>
            </w:pPr>
            <w:r>
              <w:rPr>
                <w:rFonts w:hint="eastAsia" w:ascii="宋体" w:hAnsi="宋体" w:cs="宋体"/>
                <w:color w:val="000000"/>
                <w:szCs w:val="21"/>
              </w:rPr>
              <w:t>31</w:t>
            </w:r>
          </w:p>
        </w:tc>
        <w:tc>
          <w:tcPr>
            <w:tcW w:w="1775" w:type="dxa"/>
            <w:vAlign w:val="center"/>
          </w:tcPr>
          <w:p w14:paraId="36FC1503">
            <w:pPr>
              <w:spacing w:line="360" w:lineRule="auto"/>
              <w:jc w:val="center"/>
              <w:rPr>
                <w:rFonts w:ascii="宋体" w:hAnsi="宋体" w:cs="宋体"/>
                <w:color w:val="000000"/>
                <w:szCs w:val="21"/>
              </w:rPr>
            </w:pPr>
            <w:r>
              <w:rPr>
                <w:rFonts w:hint="eastAsia" w:ascii="宋体" w:hAnsi="宋体" w:cs="宋体"/>
                <w:color w:val="000000"/>
                <w:szCs w:val="21"/>
              </w:rPr>
              <w:t>解释权</w:t>
            </w:r>
          </w:p>
        </w:tc>
        <w:tc>
          <w:tcPr>
            <w:tcW w:w="6912" w:type="dxa"/>
          </w:tcPr>
          <w:p w14:paraId="7FBEEFF3">
            <w:pPr>
              <w:spacing w:line="360" w:lineRule="auto"/>
              <w:rPr>
                <w:rFonts w:ascii="宋体" w:hAnsi="宋体" w:cs="宋体"/>
                <w:color w:val="000000"/>
                <w:szCs w:val="21"/>
              </w:rPr>
            </w:pPr>
            <w:r>
              <w:rPr>
                <w:rFonts w:hint="eastAsia" w:ascii="宋体" w:hAnsi="宋体" w:cs="宋体"/>
                <w:color w:val="000000"/>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0D40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64653DDD">
            <w:pPr>
              <w:spacing w:line="360" w:lineRule="auto"/>
              <w:jc w:val="center"/>
              <w:rPr>
                <w:rFonts w:ascii="宋体" w:hAnsi="宋体" w:cs="宋体"/>
                <w:color w:val="000000"/>
                <w:szCs w:val="21"/>
              </w:rPr>
            </w:pPr>
            <w:r>
              <w:rPr>
                <w:rFonts w:hint="eastAsia" w:ascii="宋体" w:hAnsi="宋体" w:cs="宋体"/>
                <w:color w:val="000000"/>
                <w:szCs w:val="21"/>
              </w:rPr>
              <w:t>20</w:t>
            </w:r>
          </w:p>
        </w:tc>
        <w:tc>
          <w:tcPr>
            <w:tcW w:w="942" w:type="dxa"/>
            <w:vAlign w:val="center"/>
          </w:tcPr>
          <w:p w14:paraId="1B032699">
            <w:pPr>
              <w:spacing w:line="360" w:lineRule="auto"/>
              <w:jc w:val="center"/>
              <w:rPr>
                <w:rFonts w:ascii="宋体" w:hAnsi="宋体" w:cs="宋体"/>
                <w:color w:val="000000"/>
                <w:szCs w:val="21"/>
              </w:rPr>
            </w:pPr>
            <w:r>
              <w:rPr>
                <w:rFonts w:hint="eastAsia" w:ascii="宋体" w:hAnsi="宋体" w:cs="宋体"/>
                <w:color w:val="000000"/>
                <w:szCs w:val="21"/>
              </w:rPr>
              <w:t>32</w:t>
            </w:r>
          </w:p>
        </w:tc>
        <w:tc>
          <w:tcPr>
            <w:tcW w:w="1775" w:type="dxa"/>
            <w:vAlign w:val="center"/>
          </w:tcPr>
          <w:p w14:paraId="62EC70DB">
            <w:pPr>
              <w:spacing w:line="360" w:lineRule="auto"/>
              <w:jc w:val="center"/>
              <w:rPr>
                <w:rFonts w:ascii="宋体" w:hAnsi="宋体" w:cs="宋体"/>
                <w:color w:val="000000"/>
                <w:szCs w:val="21"/>
              </w:rPr>
            </w:pPr>
            <w:r>
              <w:rPr>
                <w:rFonts w:hint="eastAsia" w:ascii="宋体" w:hAnsi="宋体" w:cs="宋体"/>
                <w:color w:val="000000"/>
                <w:szCs w:val="21"/>
              </w:rPr>
              <w:t>监督管理机构</w:t>
            </w:r>
          </w:p>
        </w:tc>
        <w:tc>
          <w:tcPr>
            <w:tcW w:w="6912" w:type="dxa"/>
            <w:vAlign w:val="center"/>
          </w:tcPr>
          <w:p w14:paraId="23B26105">
            <w:pPr>
              <w:spacing w:line="360" w:lineRule="auto"/>
              <w:rPr>
                <w:rFonts w:ascii="宋体" w:hAnsi="宋体" w:cs="宋体"/>
                <w:color w:val="000000"/>
                <w:szCs w:val="21"/>
              </w:rPr>
            </w:pPr>
            <w:r>
              <w:rPr>
                <w:rFonts w:hint="eastAsia" w:ascii="宋体" w:hAnsi="宋体"/>
                <w:szCs w:val="21"/>
              </w:rPr>
              <w:t>桂林市临桂区财政局                  电话：0773-5593932</w:t>
            </w:r>
          </w:p>
        </w:tc>
      </w:tr>
    </w:tbl>
    <w:p w14:paraId="0813A3C3">
      <w:pPr>
        <w:pStyle w:val="22"/>
        <w:ind w:left="0" w:leftChars="0" w:firstLine="0" w:firstLineChars="0"/>
        <w:rPr>
          <w:rFonts w:ascii="宋体" w:hAnsi="宋体" w:cs="宋体"/>
          <w:b/>
          <w:color w:val="000000"/>
          <w:sz w:val="28"/>
          <w:szCs w:val="28"/>
        </w:rPr>
      </w:pPr>
    </w:p>
    <w:p w14:paraId="747E33CC">
      <w:pPr>
        <w:pStyle w:val="4"/>
        <w:ind w:left="0" w:firstLine="0"/>
        <w:rPr>
          <w:rFonts w:ascii="宋体" w:hAnsi="宋体" w:cs="宋体"/>
          <w:b/>
          <w:bCs w:val="0"/>
          <w:szCs w:val="28"/>
        </w:rPr>
      </w:pPr>
    </w:p>
    <w:p w14:paraId="28960FA6">
      <w:pPr>
        <w:pStyle w:val="4"/>
        <w:ind w:left="0" w:firstLine="0"/>
        <w:rPr>
          <w:rFonts w:ascii="宋体" w:hAnsi="宋体" w:cs="宋体"/>
          <w:b/>
          <w:bCs w:val="0"/>
          <w:szCs w:val="28"/>
        </w:rPr>
      </w:pPr>
      <w:bookmarkStart w:id="19" w:name="_Toc22792"/>
    </w:p>
    <w:p w14:paraId="1FE31492"/>
    <w:p w14:paraId="6598E088">
      <w:pPr>
        <w:pStyle w:val="4"/>
        <w:jc w:val="center"/>
        <w:rPr>
          <w:rFonts w:ascii="宋体" w:hAnsi="宋体" w:cs="宋体"/>
          <w:b/>
          <w:bCs w:val="0"/>
          <w:szCs w:val="28"/>
        </w:rPr>
      </w:pPr>
      <w:bookmarkStart w:id="20" w:name="_Toc102642481"/>
      <w:r>
        <w:rPr>
          <w:rFonts w:hint="eastAsia" w:ascii="宋体" w:hAnsi="宋体" w:cs="宋体"/>
          <w:b/>
          <w:bCs w:val="0"/>
          <w:szCs w:val="28"/>
        </w:rPr>
        <w:t>一、总则</w:t>
      </w:r>
      <w:bookmarkEnd w:id="19"/>
      <w:bookmarkEnd w:id="20"/>
    </w:p>
    <w:p w14:paraId="34EAA3CA">
      <w:pPr>
        <w:pStyle w:val="5"/>
        <w:spacing w:line="360" w:lineRule="auto"/>
        <w:ind w:firstLine="420" w:firstLineChars="200"/>
        <w:rPr>
          <w:rFonts w:ascii="宋体" w:hAnsi="宋体" w:cs="宋体"/>
          <w:color w:val="000000"/>
          <w:sz w:val="21"/>
          <w:szCs w:val="21"/>
        </w:rPr>
      </w:pPr>
      <w:bookmarkStart w:id="21" w:name="_Toc6626"/>
      <w:bookmarkStart w:id="22" w:name="_Toc102642482"/>
      <w:r>
        <w:rPr>
          <w:rFonts w:hint="eastAsia" w:ascii="宋体" w:hAnsi="宋体" w:cs="宋体"/>
          <w:color w:val="000000"/>
          <w:sz w:val="21"/>
          <w:szCs w:val="21"/>
        </w:rPr>
        <w:t>1. 适应范围</w:t>
      </w:r>
      <w:bookmarkEnd w:id="21"/>
      <w:bookmarkEnd w:id="22"/>
    </w:p>
    <w:p w14:paraId="289A42D1">
      <w:pPr>
        <w:spacing w:line="360" w:lineRule="exact"/>
        <w:ind w:firstLine="435"/>
        <w:rPr>
          <w:rFonts w:ascii="宋体" w:hAnsi="宋体" w:cs="宋体"/>
          <w:color w:val="000000"/>
          <w:szCs w:val="21"/>
        </w:rPr>
      </w:pPr>
      <w:r>
        <w:rPr>
          <w:rFonts w:hint="eastAsia" w:ascii="宋体" w:hAnsi="宋体" w:cs="宋体"/>
          <w:color w:val="000000"/>
          <w:szCs w:val="21"/>
        </w:rPr>
        <w:t>1.1  项目名称及项目编号：</w:t>
      </w:r>
    </w:p>
    <w:p w14:paraId="41021BE0">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国道321线交通监控系统服务项目</w:t>
      </w:r>
    </w:p>
    <w:p w14:paraId="08F432F3">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项目编号：</w:t>
      </w:r>
      <w:r>
        <w:rPr>
          <w:rFonts w:hint="eastAsia" w:ascii="宋体" w:hAnsi="宋体" w:cs="宋体"/>
          <w:szCs w:val="21"/>
          <w:lang w:eastAsia="zh-CN"/>
        </w:rPr>
        <w:t>GLZC2024-C3-120108-GXAZ</w:t>
      </w:r>
    </w:p>
    <w:p w14:paraId="1B534E33">
      <w:pPr>
        <w:spacing w:line="360" w:lineRule="exact"/>
        <w:ind w:firstLine="411" w:firstLineChars="196"/>
        <w:rPr>
          <w:rFonts w:ascii="宋体" w:hAnsi="宋体" w:cs="宋体"/>
          <w:color w:val="000000"/>
          <w:szCs w:val="21"/>
        </w:rPr>
      </w:pPr>
      <w:r>
        <w:rPr>
          <w:rFonts w:hint="eastAsia" w:ascii="宋体" w:hAnsi="宋体" w:cs="宋体"/>
          <w:color w:val="000000"/>
          <w:szCs w:val="21"/>
        </w:rPr>
        <w:t>1.2本竞争性磋商文件（以下简称磋商文件）适用于本磋商项目的磋商、评审、合同履约、验收、付款等行为（法律、法规另有规定的，从其规定）。</w:t>
      </w:r>
    </w:p>
    <w:p w14:paraId="65EBBDA9">
      <w:pPr>
        <w:pStyle w:val="5"/>
        <w:spacing w:line="360" w:lineRule="auto"/>
        <w:ind w:firstLine="420" w:firstLineChars="200"/>
        <w:rPr>
          <w:rFonts w:ascii="宋体" w:hAnsi="宋体" w:cs="宋体"/>
          <w:color w:val="000000"/>
          <w:sz w:val="21"/>
          <w:szCs w:val="21"/>
        </w:rPr>
      </w:pPr>
      <w:bookmarkStart w:id="23" w:name="_Toc102642483"/>
      <w:bookmarkStart w:id="24" w:name="_Toc28336"/>
      <w:r>
        <w:rPr>
          <w:rFonts w:hint="eastAsia" w:ascii="宋体" w:hAnsi="宋体" w:cs="宋体"/>
          <w:color w:val="000000"/>
          <w:sz w:val="21"/>
          <w:szCs w:val="21"/>
        </w:rPr>
        <w:t>2. 定义</w:t>
      </w:r>
      <w:bookmarkEnd w:id="23"/>
      <w:bookmarkEnd w:id="24"/>
    </w:p>
    <w:p w14:paraId="1FD7F302">
      <w:pPr>
        <w:spacing w:line="360" w:lineRule="exact"/>
        <w:ind w:firstLine="435"/>
        <w:rPr>
          <w:rFonts w:ascii="宋体" w:hAnsi="宋体" w:cs="宋体"/>
          <w:color w:val="000000"/>
          <w:szCs w:val="21"/>
        </w:rPr>
      </w:pPr>
      <w:r>
        <w:rPr>
          <w:rFonts w:hint="eastAsia" w:ascii="宋体" w:hAnsi="宋体" w:cs="宋体"/>
          <w:color w:val="000000"/>
          <w:szCs w:val="21"/>
        </w:rPr>
        <w:t>2.1“供应商”是指符合本次采购项目的供应商资格并提交响应文件、参加磋商的供应商。如果该供应商在本次磋商中成交，即成为“成交供应商”。</w:t>
      </w:r>
    </w:p>
    <w:p w14:paraId="3A925BCF">
      <w:pPr>
        <w:spacing w:line="360" w:lineRule="exact"/>
        <w:ind w:firstLine="435"/>
        <w:rPr>
          <w:rFonts w:ascii="宋体" w:hAnsi="宋体" w:cs="宋体"/>
          <w:color w:val="000000"/>
          <w:szCs w:val="21"/>
        </w:rPr>
      </w:pPr>
      <w:r>
        <w:rPr>
          <w:rFonts w:hint="eastAsia" w:ascii="宋体" w:hAnsi="宋体" w:cs="宋体"/>
          <w:color w:val="000000"/>
          <w:szCs w:val="21"/>
        </w:rPr>
        <w:t>2.2“货物”系指按磋商文件规定，供应商须向采购人提供的一切设备、保险、税金、备品备件、工具、手册及其它有关技术资料和材料。</w:t>
      </w:r>
    </w:p>
    <w:p w14:paraId="1BD8E400">
      <w:pPr>
        <w:spacing w:line="360" w:lineRule="exact"/>
        <w:ind w:firstLine="435"/>
        <w:rPr>
          <w:rFonts w:ascii="宋体" w:hAnsi="宋体" w:cs="宋体"/>
          <w:color w:val="000000"/>
          <w:szCs w:val="21"/>
        </w:rPr>
      </w:pPr>
      <w:r>
        <w:rPr>
          <w:rFonts w:hint="eastAsia" w:ascii="宋体" w:hAnsi="宋体" w:cs="宋体"/>
          <w:color w:val="000000"/>
          <w:szCs w:val="21"/>
        </w:rPr>
        <w:t>2.3“服务”系指按磋商文件规定，供应商须承担的安装、调试、技术协助、校准、培训、技术指导以及其他类似的义务。</w:t>
      </w:r>
    </w:p>
    <w:p w14:paraId="6AAF98A2">
      <w:pPr>
        <w:spacing w:line="360" w:lineRule="exact"/>
        <w:ind w:firstLine="435"/>
        <w:rPr>
          <w:rFonts w:ascii="宋体" w:hAnsi="宋体" w:cs="宋体"/>
          <w:color w:val="000000"/>
          <w:szCs w:val="21"/>
        </w:rPr>
      </w:pPr>
      <w:r>
        <w:rPr>
          <w:rFonts w:hint="eastAsia" w:ascii="宋体" w:hAnsi="宋体" w:cs="宋体"/>
          <w:color w:val="000000"/>
          <w:szCs w:val="21"/>
        </w:rPr>
        <w:t>2.4“项目”系指供应商按磋商文件规定向采购人提供的货物和服务。</w:t>
      </w:r>
    </w:p>
    <w:p w14:paraId="6D7F6760">
      <w:pPr>
        <w:spacing w:line="360" w:lineRule="exact"/>
        <w:ind w:firstLine="435"/>
        <w:rPr>
          <w:rFonts w:ascii="宋体" w:hAnsi="宋体" w:cs="宋体"/>
          <w:color w:val="000000"/>
          <w:szCs w:val="21"/>
        </w:rPr>
      </w:pPr>
      <w:r>
        <w:rPr>
          <w:rFonts w:hint="eastAsia" w:ascii="宋体" w:hAnsi="宋体" w:cs="宋体"/>
          <w:color w:val="000000"/>
          <w:szCs w:val="21"/>
        </w:rPr>
        <w:t>2.5“书面形式”包括信函、传真、电报等。</w:t>
      </w:r>
    </w:p>
    <w:p w14:paraId="4BADB6A0">
      <w:pPr>
        <w:spacing w:line="360" w:lineRule="exact"/>
        <w:ind w:firstLine="435"/>
        <w:rPr>
          <w:rFonts w:ascii="宋体" w:hAnsi="宋体" w:cs="宋体"/>
          <w:b/>
          <w:sz w:val="24"/>
        </w:rPr>
      </w:pPr>
      <w:r>
        <w:rPr>
          <w:rFonts w:hint="eastAsia" w:ascii="宋体" w:hAnsi="宋体" w:cs="宋体"/>
          <w:b/>
          <w:sz w:val="24"/>
          <w:u w:val="single"/>
        </w:rPr>
        <w:t>2.6实质性要求：</w:t>
      </w:r>
      <w:r>
        <w:rPr>
          <w:rFonts w:hint="eastAsia" w:ascii="宋体" w:hAnsi="宋体" w:cs="宋体"/>
          <w:b/>
          <w:szCs w:val="21"/>
          <w:u w:val="single"/>
        </w:rPr>
        <w:t>“采购需求”中标注“★”项条款及竞争性磋商文件中要求“必须提供”的条款均为实质性要求，未满足则投标无效。标注“▲”项为评分项不作为废标项。</w:t>
      </w:r>
    </w:p>
    <w:p w14:paraId="6243EF91">
      <w:pPr>
        <w:pStyle w:val="5"/>
        <w:spacing w:line="360" w:lineRule="auto"/>
        <w:ind w:firstLine="420" w:firstLineChars="200"/>
        <w:rPr>
          <w:rFonts w:ascii="宋体" w:hAnsi="宋体" w:cs="宋体"/>
          <w:color w:val="000000"/>
          <w:sz w:val="21"/>
          <w:szCs w:val="21"/>
        </w:rPr>
      </w:pPr>
      <w:bookmarkStart w:id="25" w:name="_Toc25441"/>
      <w:bookmarkStart w:id="26" w:name="_Toc102642484"/>
      <w:r>
        <w:rPr>
          <w:rFonts w:hint="eastAsia" w:ascii="宋体" w:hAnsi="宋体" w:cs="宋体"/>
          <w:color w:val="000000"/>
          <w:sz w:val="21"/>
          <w:szCs w:val="21"/>
        </w:rPr>
        <w:t>3. 供应商资格</w:t>
      </w:r>
      <w:bookmarkEnd w:id="25"/>
      <w:bookmarkEnd w:id="26"/>
    </w:p>
    <w:p w14:paraId="634A668A">
      <w:pPr>
        <w:spacing w:line="360" w:lineRule="exact"/>
        <w:ind w:firstLine="435"/>
        <w:rPr>
          <w:rFonts w:ascii="宋体" w:hAnsi="宋体" w:cs="宋体"/>
          <w:bCs/>
          <w:color w:val="000000"/>
          <w:szCs w:val="21"/>
        </w:rPr>
      </w:pPr>
      <w:r>
        <w:rPr>
          <w:rFonts w:hint="eastAsia" w:ascii="宋体" w:hAnsi="宋体" w:cs="宋体"/>
          <w:bCs/>
          <w:color w:val="000000"/>
          <w:szCs w:val="21"/>
        </w:rPr>
        <w:t>3.1符合《中华人民共和国政府采购法》第二十二条和《政府采购法实施条例》第十八条规定，具备合法资格的供应商；</w:t>
      </w:r>
    </w:p>
    <w:p w14:paraId="384CA64F">
      <w:pPr>
        <w:spacing w:line="360" w:lineRule="exact"/>
        <w:ind w:firstLine="435"/>
        <w:rPr>
          <w:rFonts w:ascii="宋体" w:hAnsi="宋体" w:cs="宋体"/>
          <w:bCs/>
          <w:szCs w:val="21"/>
        </w:rPr>
      </w:pPr>
      <w:r>
        <w:rPr>
          <w:rFonts w:hint="eastAsia" w:ascii="宋体" w:hAnsi="宋体" w:cs="宋体"/>
          <w:bCs/>
          <w:color w:val="000000"/>
          <w:szCs w:val="21"/>
        </w:rPr>
        <w:t>3.2本项</w:t>
      </w:r>
      <w:r>
        <w:rPr>
          <w:rFonts w:hint="eastAsia" w:ascii="宋体" w:hAnsi="宋体" w:cs="宋体"/>
          <w:bCs/>
          <w:szCs w:val="21"/>
        </w:rPr>
        <w:t>目不接受联合体参与磋商；</w:t>
      </w:r>
    </w:p>
    <w:p w14:paraId="6F94E6EF">
      <w:pPr>
        <w:spacing w:line="360" w:lineRule="exact"/>
        <w:ind w:firstLine="435"/>
        <w:rPr>
          <w:rFonts w:ascii="宋体" w:hAnsi="宋体" w:cs="宋体"/>
          <w:bCs/>
          <w:szCs w:val="21"/>
        </w:rPr>
      </w:pPr>
      <w:r>
        <w:rPr>
          <w:rFonts w:hint="eastAsia" w:ascii="宋体" w:hAnsi="宋体" w:cs="宋体"/>
          <w:bCs/>
          <w:szCs w:val="21"/>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3E6C4E8B">
      <w:pPr>
        <w:spacing w:line="360" w:lineRule="exact"/>
        <w:ind w:firstLine="420" w:firstLineChars="200"/>
        <w:rPr>
          <w:rFonts w:ascii="宋体" w:hAnsi="宋体" w:cs="宋体"/>
          <w:b/>
          <w:bCs/>
          <w:szCs w:val="21"/>
        </w:rPr>
      </w:pPr>
      <w:bookmarkStart w:id="27" w:name="_Toc16496"/>
      <w:r>
        <w:rPr>
          <w:rFonts w:hint="eastAsia" w:ascii="宋体" w:hAnsi="宋体" w:cs="宋体"/>
          <w:szCs w:val="21"/>
        </w:rPr>
        <w:t>3.4落实政府采购政策需满足的资格要求：本项目非专门面向中小微企业，所属行业为</w:t>
      </w:r>
      <w:r>
        <w:rPr>
          <w:rFonts w:hint="eastAsia" w:asciiTheme="minorEastAsia" w:hAnsiTheme="minorEastAsia" w:eastAsiaTheme="minorEastAsia" w:cstheme="minorEastAsia"/>
          <w:b/>
          <w:bCs/>
          <w:szCs w:val="21"/>
        </w:rPr>
        <w:t>软件和信息技术服务业</w:t>
      </w:r>
      <w:r>
        <w:rPr>
          <w:rFonts w:hint="eastAsia" w:ascii="宋体" w:hAnsi="宋体" w:cs="宋体"/>
          <w:szCs w:val="21"/>
        </w:rPr>
        <w:t>。</w:t>
      </w:r>
    </w:p>
    <w:p w14:paraId="5C0DFDBD">
      <w:pPr>
        <w:pStyle w:val="5"/>
        <w:spacing w:line="360" w:lineRule="auto"/>
        <w:ind w:firstLine="420" w:firstLineChars="200"/>
        <w:rPr>
          <w:rFonts w:ascii="宋体" w:hAnsi="宋体" w:cs="宋体"/>
          <w:sz w:val="21"/>
          <w:szCs w:val="21"/>
        </w:rPr>
      </w:pPr>
      <w:bookmarkStart w:id="28" w:name="_Toc4527"/>
      <w:bookmarkStart w:id="29" w:name="_Toc5736"/>
      <w:bookmarkStart w:id="30" w:name="_Toc102642485"/>
      <w:bookmarkStart w:id="31" w:name="_Toc19004"/>
      <w:r>
        <w:rPr>
          <w:rFonts w:hint="eastAsia" w:ascii="宋体" w:hAnsi="宋体" w:cs="宋体"/>
          <w:b w:val="0"/>
          <w:sz w:val="21"/>
          <w:szCs w:val="21"/>
        </w:rPr>
        <w:t>3.5本项目的特定资格要求：</w:t>
      </w:r>
      <w:bookmarkEnd w:id="28"/>
      <w:bookmarkEnd w:id="29"/>
      <w:r>
        <w:rPr>
          <w:rFonts w:hint="eastAsia" w:ascii="宋体" w:hAnsi="宋体" w:cs="宋体"/>
          <w:b w:val="0"/>
          <w:sz w:val="21"/>
          <w:szCs w:val="21"/>
        </w:rPr>
        <w:t>无。</w:t>
      </w:r>
      <w:bookmarkEnd w:id="30"/>
      <w:bookmarkEnd w:id="31"/>
    </w:p>
    <w:p w14:paraId="1FCC344C">
      <w:pPr>
        <w:pStyle w:val="5"/>
        <w:spacing w:line="360" w:lineRule="auto"/>
        <w:ind w:firstLine="420" w:firstLineChars="200"/>
        <w:rPr>
          <w:rFonts w:ascii="宋体" w:hAnsi="宋体" w:cs="宋体"/>
          <w:sz w:val="21"/>
          <w:szCs w:val="21"/>
        </w:rPr>
      </w:pPr>
      <w:bookmarkStart w:id="32" w:name="_Toc102642486"/>
      <w:r>
        <w:rPr>
          <w:rFonts w:hint="eastAsia" w:ascii="宋体" w:hAnsi="宋体" w:cs="宋体"/>
          <w:sz w:val="21"/>
          <w:szCs w:val="21"/>
        </w:rPr>
        <w:t>4. 磋商费用</w:t>
      </w:r>
      <w:bookmarkEnd w:id="27"/>
      <w:bookmarkEnd w:id="32"/>
    </w:p>
    <w:p w14:paraId="77FF0C04">
      <w:pPr>
        <w:tabs>
          <w:tab w:val="left" w:pos="1635"/>
        </w:tabs>
        <w:spacing w:line="360" w:lineRule="exact"/>
        <w:ind w:firstLine="435"/>
        <w:rPr>
          <w:rFonts w:ascii="宋体" w:hAnsi="宋体" w:cs="宋体"/>
          <w:szCs w:val="21"/>
        </w:rPr>
      </w:pPr>
      <w:r>
        <w:rPr>
          <w:rFonts w:hint="eastAsia" w:ascii="宋体" w:hAnsi="宋体" w:cs="宋体"/>
          <w:szCs w:val="21"/>
        </w:rPr>
        <w:t>不论磋商结果如何，供应商均应自行承担所有与磋商有关的全部费用。</w:t>
      </w:r>
    </w:p>
    <w:p w14:paraId="0E7CEF71">
      <w:pPr>
        <w:pStyle w:val="5"/>
        <w:numPr>
          <w:ilvl w:val="0"/>
          <w:numId w:val="2"/>
        </w:numPr>
        <w:spacing w:line="360" w:lineRule="auto"/>
        <w:ind w:firstLine="420" w:firstLineChars="200"/>
        <w:rPr>
          <w:rFonts w:ascii="宋体" w:hAnsi="宋体" w:cs="宋体"/>
          <w:sz w:val="21"/>
          <w:szCs w:val="21"/>
        </w:rPr>
      </w:pPr>
      <w:bookmarkStart w:id="33" w:name="_Toc31376"/>
      <w:bookmarkStart w:id="34" w:name="_Toc102642487"/>
      <w:r>
        <w:rPr>
          <w:rFonts w:hint="eastAsia" w:ascii="宋体" w:hAnsi="宋体" w:cs="宋体"/>
          <w:sz w:val="21"/>
          <w:szCs w:val="21"/>
        </w:rPr>
        <w:t>联合体要求</w:t>
      </w:r>
      <w:bookmarkEnd w:id="33"/>
      <w:bookmarkEnd w:id="34"/>
    </w:p>
    <w:p w14:paraId="69FA6A6F">
      <w:pPr>
        <w:ind w:firstLine="420" w:firstLineChars="200"/>
        <w:rPr>
          <w:rFonts w:ascii="宋体" w:hAnsi="宋体" w:cs="宋体"/>
          <w:bCs/>
          <w:szCs w:val="21"/>
        </w:rPr>
      </w:pPr>
      <w:r>
        <w:rPr>
          <w:rFonts w:hint="eastAsia" w:ascii="宋体" w:hAnsi="宋体" w:cs="宋体"/>
          <w:bCs/>
          <w:szCs w:val="21"/>
        </w:rPr>
        <w:t>本项目不接受联合体参与磋商</w:t>
      </w:r>
      <w:bookmarkStart w:id="35" w:name="_Toc6998"/>
    </w:p>
    <w:p w14:paraId="46D220DB">
      <w:pPr>
        <w:pStyle w:val="5"/>
        <w:numPr>
          <w:ilvl w:val="0"/>
          <w:numId w:val="2"/>
        </w:numPr>
        <w:spacing w:line="360" w:lineRule="auto"/>
        <w:ind w:firstLine="420" w:firstLineChars="200"/>
        <w:rPr>
          <w:rFonts w:ascii="宋体" w:hAnsi="宋体" w:cs="宋体"/>
          <w:sz w:val="21"/>
          <w:szCs w:val="21"/>
        </w:rPr>
      </w:pPr>
      <w:bookmarkStart w:id="36" w:name="_Toc102642488"/>
      <w:r>
        <w:rPr>
          <w:rFonts w:hint="eastAsia" w:ascii="宋体" w:hAnsi="宋体" w:cs="宋体"/>
          <w:sz w:val="21"/>
          <w:szCs w:val="21"/>
        </w:rPr>
        <w:t>转包与分包</w:t>
      </w:r>
      <w:bookmarkEnd w:id="35"/>
      <w:bookmarkEnd w:id="36"/>
    </w:p>
    <w:p w14:paraId="0643470E">
      <w:pPr>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6.1 本项目不允许转包。</w:t>
      </w:r>
    </w:p>
    <w:p w14:paraId="5E09A13A">
      <w:pPr>
        <w:ind w:firstLine="420" w:firstLineChars="200"/>
        <w:rPr>
          <w:rFonts w:ascii="宋体" w:hAnsi="宋体" w:cs="宋体"/>
          <w:bCs/>
          <w:color w:val="000000"/>
          <w:szCs w:val="21"/>
        </w:rPr>
      </w:pPr>
      <w:r>
        <w:rPr>
          <w:rFonts w:hint="eastAsia" w:asciiTheme="minorEastAsia" w:hAnsiTheme="minorEastAsia" w:eastAsiaTheme="minorEastAsia" w:cstheme="minorEastAsia"/>
        </w:rPr>
        <w:t xml:space="preserve">6.2 </w:t>
      </w:r>
      <w:r>
        <w:rPr>
          <w:rFonts w:hint="eastAsia"/>
        </w:rPr>
        <w:t>本项目不可以分包。</w:t>
      </w:r>
    </w:p>
    <w:p w14:paraId="327B104D">
      <w:pPr>
        <w:pStyle w:val="5"/>
        <w:spacing w:line="360" w:lineRule="auto"/>
        <w:ind w:firstLine="420" w:firstLineChars="200"/>
        <w:rPr>
          <w:rFonts w:ascii="宋体" w:hAnsi="宋体" w:cs="宋体"/>
          <w:color w:val="000000"/>
          <w:sz w:val="21"/>
          <w:szCs w:val="21"/>
        </w:rPr>
      </w:pPr>
      <w:bookmarkStart w:id="37" w:name="_Toc4152"/>
      <w:bookmarkStart w:id="38" w:name="_Toc102642489"/>
      <w:r>
        <w:rPr>
          <w:rFonts w:hint="eastAsia" w:ascii="宋体" w:hAnsi="宋体" w:cs="宋体"/>
          <w:color w:val="000000"/>
          <w:sz w:val="21"/>
          <w:szCs w:val="21"/>
        </w:rPr>
        <w:t>7. 质疑和投诉</w:t>
      </w:r>
      <w:bookmarkEnd w:id="37"/>
      <w:bookmarkEnd w:id="38"/>
      <w:r>
        <w:rPr>
          <w:rFonts w:hint="eastAsia" w:ascii="宋体" w:hAnsi="宋体" w:cs="宋体"/>
          <w:color w:val="000000"/>
          <w:sz w:val="21"/>
          <w:szCs w:val="21"/>
        </w:rPr>
        <w:tab/>
      </w:r>
    </w:p>
    <w:p w14:paraId="362D38D5">
      <w:pPr>
        <w:tabs>
          <w:tab w:val="left" w:pos="2190"/>
        </w:tabs>
        <w:spacing w:line="360" w:lineRule="exact"/>
        <w:ind w:firstLine="435"/>
        <w:rPr>
          <w:rFonts w:ascii="宋体" w:hAnsi="宋体" w:cs="宋体"/>
          <w:color w:val="000000"/>
          <w:szCs w:val="21"/>
        </w:rPr>
      </w:pPr>
      <w:bookmarkStart w:id="39" w:name="_Toc8195"/>
      <w:bookmarkStart w:id="40" w:name="_Toc26087"/>
      <w:r>
        <w:rPr>
          <w:rFonts w:hint="eastAsia" w:ascii="宋体" w:hAnsi="宋体" w:cs="宋体"/>
          <w:color w:val="000000"/>
          <w:szCs w:val="21"/>
        </w:rPr>
        <w:t>7.1供应对政府采购活动事项有疑问的，可以向采购人提出询问。</w:t>
      </w:r>
    </w:p>
    <w:p w14:paraId="7FEA1B91">
      <w:pPr>
        <w:tabs>
          <w:tab w:val="left" w:pos="2190"/>
        </w:tabs>
        <w:spacing w:line="360" w:lineRule="exact"/>
        <w:ind w:firstLine="435"/>
        <w:rPr>
          <w:rFonts w:ascii="宋体" w:hAnsi="宋体" w:cs="宋体"/>
          <w:color w:val="000000"/>
          <w:szCs w:val="21"/>
        </w:rPr>
      </w:pPr>
      <w:r>
        <w:rPr>
          <w:rFonts w:hint="eastAsia" w:ascii="宋体" w:hAnsi="宋体" w:cs="宋体"/>
          <w:color w:val="000000"/>
          <w:szCs w:val="21"/>
        </w:rPr>
        <w:t>7.2供应商认为磋商文件使自己的合法权益受到损害的，应当在竞争性磋商公告期限届满之日起七个工作日内，以书面形式向采购代理机构（广西安臻工程管理有限公司）提出质疑。供应商认为采购过程或成交结果使自己的合法权益受到损害的，应当在各采购程序环节结束之日起七个工作日内，以书面形式向采购代理机构（广西安臻工程管理有限公司）提出质疑。采购代理机构应认真做好质疑处理工作。</w:t>
      </w:r>
    </w:p>
    <w:p w14:paraId="533081DC">
      <w:pPr>
        <w:tabs>
          <w:tab w:val="left" w:pos="2190"/>
        </w:tabs>
        <w:spacing w:line="360" w:lineRule="exact"/>
        <w:ind w:firstLine="435"/>
        <w:rPr>
          <w:rFonts w:ascii="宋体" w:hAnsi="宋体" w:cs="宋体"/>
          <w:color w:val="000000"/>
          <w:szCs w:val="21"/>
        </w:rPr>
      </w:pPr>
      <w:r>
        <w:rPr>
          <w:rFonts w:hint="eastAsia" w:ascii="宋体" w:hAnsi="宋体" w:cs="宋体"/>
          <w:color w:val="000000"/>
          <w:szCs w:val="21"/>
        </w:rPr>
        <w:t>7.3供应商对采购代理机构的质疑答复不满意或者采购代理机构未在规定的时间内作出答复的，可以在答复期满后十五个工作日内向本级财政部门投诉。</w:t>
      </w:r>
    </w:p>
    <w:p w14:paraId="06F2BC40">
      <w:pPr>
        <w:tabs>
          <w:tab w:val="left" w:pos="2190"/>
        </w:tabs>
        <w:spacing w:line="360" w:lineRule="exact"/>
        <w:ind w:firstLine="435"/>
        <w:rPr>
          <w:rFonts w:ascii="宋体" w:hAnsi="宋体" w:cs="宋体"/>
          <w:color w:val="000000"/>
          <w:szCs w:val="21"/>
        </w:rPr>
      </w:pPr>
      <w:r>
        <w:rPr>
          <w:rFonts w:hint="eastAsia" w:ascii="宋体" w:hAnsi="宋体" w:cs="宋体"/>
          <w:color w:val="000000"/>
          <w:szCs w:val="21"/>
        </w:rPr>
        <w:t>7.4质疑、投诉应当采用书面形式，质疑书、投诉书实行实名制，均应明确阐述磋商文件、采购过程或成交结果中使自己合法权益受到损害的实质性内容，提供相关事实、明确的请求，并提供必要的证明材料。</w:t>
      </w:r>
    </w:p>
    <w:p w14:paraId="292CA93C">
      <w:pPr>
        <w:tabs>
          <w:tab w:val="left" w:pos="2190"/>
        </w:tabs>
        <w:spacing w:line="360" w:lineRule="exact"/>
        <w:ind w:firstLine="435"/>
        <w:rPr>
          <w:rFonts w:ascii="宋体" w:hAnsi="宋体" w:cs="宋体"/>
          <w:color w:val="000000"/>
          <w:szCs w:val="21"/>
        </w:rPr>
      </w:pPr>
      <w:r>
        <w:rPr>
          <w:rFonts w:hint="eastAsia" w:ascii="宋体" w:hAnsi="宋体" w:cs="宋体"/>
          <w:color w:val="000000"/>
          <w:szCs w:val="21"/>
        </w:rPr>
        <w:t>7.5质疑联系部门：广西安臻工程管理有限公司；联系电话：</w:t>
      </w:r>
      <w:r>
        <w:rPr>
          <w:rFonts w:hint="eastAsia" w:ascii="宋体" w:hAnsi="宋体" w:cs="宋体"/>
          <w:color w:val="000000"/>
          <w:szCs w:val="21"/>
          <w:lang w:eastAsia="zh-CN"/>
        </w:rPr>
        <w:t>18078360291</w:t>
      </w:r>
      <w:r>
        <w:rPr>
          <w:rFonts w:hint="eastAsia" w:ascii="宋体" w:hAnsi="宋体" w:cs="宋体"/>
          <w:color w:val="000000"/>
          <w:szCs w:val="21"/>
        </w:rPr>
        <w:t>；</w:t>
      </w:r>
    </w:p>
    <w:p w14:paraId="31652F4D">
      <w:pPr>
        <w:tabs>
          <w:tab w:val="left" w:pos="2190"/>
        </w:tabs>
        <w:spacing w:line="360" w:lineRule="exact"/>
        <w:ind w:firstLine="420" w:firstLineChars="200"/>
        <w:rPr>
          <w:rFonts w:ascii="宋体" w:hAnsi="宋体" w:cs="宋体"/>
          <w:color w:val="000000"/>
          <w:szCs w:val="21"/>
        </w:rPr>
      </w:pPr>
      <w:r>
        <w:rPr>
          <w:rFonts w:hint="eastAsia" w:ascii="宋体" w:hAnsi="宋体" w:cs="宋体"/>
          <w:color w:val="000000"/>
          <w:szCs w:val="21"/>
        </w:rPr>
        <w:t>通讯地址：</w:t>
      </w:r>
      <w:r>
        <w:rPr>
          <w:rFonts w:hint="eastAsia" w:asciiTheme="minorEastAsia" w:hAnsiTheme="minorEastAsia" w:eastAsiaTheme="minorEastAsia" w:cstheme="minorEastAsia"/>
          <w:szCs w:val="21"/>
        </w:rPr>
        <w:t>临桂区临桂镇仕通路69号精通.伊顿国际</w:t>
      </w:r>
      <w:r>
        <w:rPr>
          <w:rFonts w:hint="eastAsia" w:ascii="宋体" w:hAnsi="宋体" w:cs="宋体"/>
          <w:color w:val="000000"/>
          <w:szCs w:val="21"/>
        </w:rPr>
        <w:t>。</w:t>
      </w:r>
    </w:p>
    <w:p w14:paraId="11D461E9">
      <w:pPr>
        <w:tabs>
          <w:tab w:val="left" w:pos="2190"/>
        </w:tabs>
        <w:spacing w:line="360" w:lineRule="exact"/>
        <w:ind w:firstLine="435"/>
        <w:rPr>
          <w:color w:val="C00000"/>
          <w:highlight w:val="yellow"/>
        </w:rPr>
      </w:pPr>
      <w:r>
        <w:rPr>
          <w:rFonts w:hint="eastAsia" w:ascii="宋体" w:hAnsi="宋体" w:cs="宋体"/>
          <w:color w:val="000000"/>
          <w:szCs w:val="21"/>
        </w:rPr>
        <w:t>7.6 投诉联系部门：</w:t>
      </w:r>
      <w:bookmarkEnd w:id="39"/>
      <w:bookmarkEnd w:id="40"/>
      <w:r>
        <w:rPr>
          <w:rFonts w:hint="eastAsia" w:ascii="宋体" w:hAnsi="宋体" w:cs="宋体"/>
          <w:szCs w:val="21"/>
        </w:rPr>
        <w:t>桂林市临桂区财政局</w:t>
      </w:r>
      <w:r>
        <w:rPr>
          <w:rFonts w:hint="eastAsia" w:ascii="宋体" w:hAnsi="宋体"/>
          <w:szCs w:val="21"/>
        </w:rPr>
        <w:t>；联系电话：0773-5593932</w:t>
      </w:r>
    </w:p>
    <w:p w14:paraId="1BBCDF52">
      <w:pPr>
        <w:pStyle w:val="2"/>
        <w:ind w:firstLine="420" w:firstLineChars="200"/>
        <w:rPr>
          <w:rFonts w:ascii="宋体" w:hAnsi="宋体" w:cs="宋体"/>
          <w:kern w:val="2"/>
          <w:sz w:val="21"/>
          <w:szCs w:val="21"/>
        </w:rPr>
      </w:pPr>
      <w:r>
        <w:rPr>
          <w:rFonts w:hint="eastAsia" w:ascii="宋体" w:hAnsi="宋体" w:cs="宋体"/>
          <w:kern w:val="2"/>
          <w:sz w:val="21"/>
          <w:szCs w:val="21"/>
        </w:rPr>
        <w:t>7.7 供应商在法定质疑期内应当一次性提出针对同一采购程序环节的质疑。</w:t>
      </w:r>
    </w:p>
    <w:p w14:paraId="37CFFEB1">
      <w:pPr>
        <w:pStyle w:val="2"/>
        <w:ind w:firstLine="420" w:firstLineChars="200"/>
        <w:rPr>
          <w:rFonts w:ascii="宋体" w:hAnsi="宋体" w:cs="宋体"/>
          <w:szCs w:val="21"/>
        </w:rPr>
      </w:pPr>
      <w:r>
        <w:rPr>
          <w:rFonts w:hint="eastAsia" w:ascii="宋体" w:hAnsi="宋体" w:cs="宋体"/>
          <w:kern w:val="2"/>
          <w:sz w:val="21"/>
          <w:szCs w:val="21"/>
        </w:rPr>
        <w:t>7.8 不在法定质疑期内提出的质疑函可以拒收。不符合要求的质疑函在法定质疑期内及时补充完整，否则作质疑不成立处理。</w:t>
      </w:r>
    </w:p>
    <w:p w14:paraId="416AA517">
      <w:pPr>
        <w:pStyle w:val="5"/>
        <w:spacing w:line="360" w:lineRule="auto"/>
        <w:ind w:firstLine="420" w:firstLineChars="200"/>
        <w:rPr>
          <w:rFonts w:ascii="宋体" w:hAnsi="宋体" w:cs="宋体"/>
          <w:color w:val="000000"/>
          <w:sz w:val="21"/>
          <w:szCs w:val="21"/>
        </w:rPr>
      </w:pPr>
      <w:bookmarkStart w:id="41" w:name="_Toc3368"/>
      <w:bookmarkStart w:id="42" w:name="_Toc102642490"/>
      <w:r>
        <w:rPr>
          <w:rFonts w:hint="eastAsia" w:ascii="宋体" w:hAnsi="宋体" w:cs="宋体"/>
          <w:color w:val="000000"/>
          <w:sz w:val="21"/>
          <w:szCs w:val="21"/>
        </w:rPr>
        <w:t>8. 特别说明</w:t>
      </w:r>
      <w:bookmarkEnd w:id="41"/>
      <w:bookmarkEnd w:id="42"/>
    </w:p>
    <w:p w14:paraId="334C4690">
      <w:pPr>
        <w:tabs>
          <w:tab w:val="left" w:pos="1635"/>
        </w:tabs>
        <w:spacing w:line="360" w:lineRule="exact"/>
        <w:ind w:firstLine="420" w:firstLineChars="200"/>
        <w:rPr>
          <w:rFonts w:ascii="宋体" w:hAnsi="宋体" w:cs="宋体"/>
          <w:b/>
          <w:color w:val="000000"/>
          <w:szCs w:val="21"/>
        </w:rPr>
      </w:pPr>
      <w:r>
        <w:rPr>
          <w:rFonts w:hint="eastAsia" w:ascii="宋体" w:hAnsi="宋体" w:cs="宋体"/>
          <w:b/>
          <w:color w:val="000000"/>
          <w:szCs w:val="21"/>
        </w:rPr>
        <w:t>8.1关联供应商不得参加同一合同项下政府采购活动，否则响应文件将被视为无效：</w:t>
      </w:r>
    </w:p>
    <w:p w14:paraId="103BC8AC">
      <w:pPr>
        <w:tabs>
          <w:tab w:val="left" w:pos="1635"/>
        </w:tabs>
        <w:spacing w:line="360" w:lineRule="exact"/>
        <w:ind w:firstLine="420" w:firstLineChars="200"/>
        <w:rPr>
          <w:rFonts w:ascii="宋体" w:hAnsi="宋体" w:cs="宋体"/>
          <w:color w:val="000000"/>
          <w:szCs w:val="21"/>
        </w:rPr>
      </w:pPr>
      <w:r>
        <w:rPr>
          <w:rFonts w:hint="eastAsia" w:ascii="宋体" w:hAnsi="宋体" w:cs="宋体"/>
          <w:color w:val="000000"/>
          <w:szCs w:val="21"/>
        </w:rPr>
        <w:t>（1）单位负责人为同一人或者存在直接控股、管理关系的，不得参加同一合同项下的政府采购活动。</w:t>
      </w:r>
    </w:p>
    <w:p w14:paraId="608E3776">
      <w:pPr>
        <w:tabs>
          <w:tab w:val="left" w:pos="1635"/>
        </w:tabs>
        <w:spacing w:line="360" w:lineRule="exact"/>
        <w:ind w:firstLine="420" w:firstLineChars="200"/>
        <w:rPr>
          <w:rFonts w:ascii="宋体" w:hAnsi="宋体" w:cs="宋体"/>
          <w:color w:val="000000"/>
          <w:szCs w:val="21"/>
        </w:rPr>
      </w:pPr>
      <w:r>
        <w:rPr>
          <w:rFonts w:hint="eastAsia" w:ascii="宋体" w:hAnsi="宋体" w:cs="宋体"/>
          <w:color w:val="000000"/>
          <w:szCs w:val="21"/>
        </w:rPr>
        <w:t>（2）为本采购项目提供整体设计、规范编制或者项目管理、监理、检测等服务的供应商，不得再参加本次采购活动。</w:t>
      </w:r>
    </w:p>
    <w:p w14:paraId="4AF2A6EC">
      <w:pPr>
        <w:tabs>
          <w:tab w:val="left" w:pos="1635"/>
        </w:tabs>
        <w:spacing w:line="360" w:lineRule="exact"/>
        <w:ind w:firstLine="435"/>
        <w:rPr>
          <w:rFonts w:ascii="宋体" w:hAnsi="宋体" w:cs="宋体"/>
          <w:b/>
          <w:bCs/>
          <w:color w:val="000000"/>
          <w:szCs w:val="21"/>
        </w:rPr>
      </w:pPr>
      <w:r>
        <w:rPr>
          <w:rFonts w:hint="eastAsia" w:ascii="宋体" w:hAnsi="宋体" w:cs="宋体"/>
          <w:b/>
          <w:color w:val="000000"/>
          <w:szCs w:val="21"/>
        </w:rPr>
        <w:t>8.2</w:t>
      </w:r>
      <w:r>
        <w:rPr>
          <w:rFonts w:hint="eastAsia" w:ascii="宋体" w:hAnsi="宋体" w:cs="宋体"/>
          <w:b/>
          <w:bCs/>
          <w:color w:val="000000"/>
          <w:szCs w:val="21"/>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p w14:paraId="59FA8BA4">
      <w:pPr>
        <w:pStyle w:val="9"/>
        <w:rPr>
          <w:rFonts w:ascii="宋体" w:hAnsi="宋体" w:cs="宋体"/>
          <w:color w:val="000000"/>
        </w:rPr>
      </w:pPr>
    </w:p>
    <w:p w14:paraId="7BCBFF98">
      <w:pPr>
        <w:pStyle w:val="4"/>
        <w:jc w:val="center"/>
        <w:rPr>
          <w:rFonts w:ascii="宋体" w:hAnsi="宋体" w:cs="宋体"/>
          <w:b/>
          <w:bCs w:val="0"/>
          <w:szCs w:val="28"/>
        </w:rPr>
      </w:pPr>
      <w:bookmarkStart w:id="43" w:name="_Toc102642491"/>
      <w:bookmarkStart w:id="44" w:name="_Toc22498"/>
      <w:r>
        <w:rPr>
          <w:rFonts w:hint="eastAsia" w:ascii="宋体" w:hAnsi="宋体" w:cs="宋体"/>
          <w:b/>
          <w:bCs w:val="0"/>
          <w:szCs w:val="28"/>
        </w:rPr>
        <w:t>二、磋商文件</w:t>
      </w:r>
      <w:bookmarkEnd w:id="43"/>
      <w:bookmarkEnd w:id="44"/>
    </w:p>
    <w:p w14:paraId="5C19756F">
      <w:pPr>
        <w:pStyle w:val="5"/>
        <w:spacing w:line="360" w:lineRule="auto"/>
        <w:ind w:firstLine="420" w:firstLineChars="200"/>
        <w:rPr>
          <w:rFonts w:ascii="宋体" w:hAnsi="宋体" w:cs="宋体"/>
          <w:color w:val="000000"/>
          <w:sz w:val="21"/>
          <w:szCs w:val="21"/>
          <w:lang w:val="pt-BR"/>
        </w:rPr>
      </w:pPr>
      <w:bookmarkStart w:id="45" w:name="_Toc102642492"/>
      <w:bookmarkStart w:id="46" w:name="_Toc18964"/>
      <w:r>
        <w:rPr>
          <w:rFonts w:hint="eastAsia" w:ascii="宋体" w:hAnsi="宋体" w:cs="宋体"/>
          <w:color w:val="000000"/>
          <w:sz w:val="21"/>
          <w:szCs w:val="21"/>
          <w:lang w:val="pt-BR"/>
        </w:rPr>
        <w:t xml:space="preserve">9. </w:t>
      </w:r>
      <w:r>
        <w:rPr>
          <w:rFonts w:hint="eastAsia" w:ascii="宋体" w:hAnsi="宋体" w:cs="宋体"/>
          <w:color w:val="000000"/>
          <w:sz w:val="21"/>
          <w:szCs w:val="21"/>
        </w:rPr>
        <w:t>磋商文件的构成</w:t>
      </w:r>
      <w:bookmarkEnd w:id="45"/>
      <w:bookmarkEnd w:id="46"/>
    </w:p>
    <w:p w14:paraId="57BB100B">
      <w:pPr>
        <w:spacing w:line="360" w:lineRule="auto"/>
        <w:ind w:firstLine="420" w:firstLineChars="200"/>
        <w:rPr>
          <w:rFonts w:ascii="宋体" w:hAnsi="宋体" w:cs="宋体"/>
          <w:color w:val="000000"/>
          <w:szCs w:val="21"/>
        </w:rPr>
      </w:pPr>
      <w:r>
        <w:rPr>
          <w:rFonts w:hint="eastAsia" w:ascii="宋体" w:hAnsi="宋体" w:cs="宋体"/>
          <w:color w:val="000000"/>
          <w:szCs w:val="21"/>
        </w:rPr>
        <w:t>（1）竞争性磋商公告；</w:t>
      </w:r>
    </w:p>
    <w:p w14:paraId="3E636557">
      <w:pPr>
        <w:spacing w:line="360" w:lineRule="auto"/>
        <w:ind w:firstLine="420" w:firstLineChars="200"/>
        <w:rPr>
          <w:rFonts w:ascii="宋体" w:hAnsi="宋体" w:cs="宋体"/>
          <w:color w:val="000000"/>
          <w:szCs w:val="21"/>
        </w:rPr>
      </w:pPr>
      <w:r>
        <w:rPr>
          <w:rFonts w:hint="eastAsia" w:ascii="宋体" w:hAnsi="宋体" w:cs="宋体"/>
          <w:color w:val="000000"/>
          <w:szCs w:val="21"/>
        </w:rPr>
        <w:t>（2）供应商须知；</w:t>
      </w:r>
    </w:p>
    <w:p w14:paraId="0633914D">
      <w:pPr>
        <w:spacing w:line="360" w:lineRule="auto"/>
        <w:ind w:firstLine="420" w:firstLineChars="200"/>
        <w:rPr>
          <w:rFonts w:ascii="宋体" w:hAnsi="宋体" w:cs="宋体"/>
          <w:b/>
          <w:color w:val="000000"/>
          <w:szCs w:val="21"/>
        </w:rPr>
      </w:pPr>
      <w:r>
        <w:rPr>
          <w:rFonts w:hint="eastAsia" w:ascii="宋体" w:hAnsi="宋体" w:cs="宋体"/>
          <w:color w:val="000000"/>
          <w:szCs w:val="21"/>
        </w:rPr>
        <w:t>（3）采购需求</w:t>
      </w:r>
      <w:r>
        <w:rPr>
          <w:rFonts w:hint="eastAsia" w:ascii="宋体" w:hAnsi="宋体" w:cs="宋体"/>
          <w:bCs/>
          <w:color w:val="000000"/>
          <w:szCs w:val="21"/>
        </w:rPr>
        <w:t>；</w:t>
      </w:r>
    </w:p>
    <w:p w14:paraId="0359F086">
      <w:pPr>
        <w:spacing w:line="360" w:lineRule="auto"/>
        <w:ind w:firstLine="420" w:firstLineChars="200"/>
        <w:rPr>
          <w:rFonts w:ascii="宋体" w:hAnsi="宋体" w:cs="宋体"/>
          <w:color w:val="000000"/>
          <w:szCs w:val="21"/>
        </w:rPr>
      </w:pPr>
      <w:r>
        <w:rPr>
          <w:rFonts w:hint="eastAsia" w:ascii="宋体" w:hAnsi="宋体" w:cs="宋体"/>
          <w:color w:val="000000"/>
          <w:szCs w:val="21"/>
        </w:rPr>
        <w:t>（4）评审办法；</w:t>
      </w:r>
    </w:p>
    <w:p w14:paraId="2C6CE4FA">
      <w:pPr>
        <w:spacing w:line="360" w:lineRule="auto"/>
        <w:ind w:firstLine="420" w:firstLineChars="200"/>
        <w:rPr>
          <w:rFonts w:ascii="宋体" w:hAnsi="宋体" w:cs="宋体"/>
          <w:color w:val="000000"/>
          <w:szCs w:val="21"/>
        </w:rPr>
      </w:pPr>
      <w:r>
        <w:rPr>
          <w:rFonts w:hint="eastAsia" w:ascii="宋体" w:hAnsi="宋体" w:cs="宋体"/>
          <w:color w:val="000000"/>
          <w:szCs w:val="21"/>
        </w:rPr>
        <w:t>（5）采购合同（合同主要条款及格式）；</w:t>
      </w:r>
    </w:p>
    <w:p w14:paraId="6899094F">
      <w:pPr>
        <w:spacing w:line="360" w:lineRule="auto"/>
        <w:ind w:firstLine="420" w:firstLineChars="200"/>
        <w:rPr>
          <w:rFonts w:ascii="宋体" w:hAnsi="宋体" w:cs="宋体"/>
          <w:color w:val="000000"/>
          <w:szCs w:val="21"/>
        </w:rPr>
      </w:pPr>
      <w:r>
        <w:rPr>
          <w:rFonts w:hint="eastAsia" w:ascii="宋体" w:hAnsi="宋体" w:cs="宋体"/>
          <w:color w:val="000000"/>
          <w:szCs w:val="21"/>
        </w:rPr>
        <w:t>（6）响应文件（格式）。</w:t>
      </w:r>
    </w:p>
    <w:p w14:paraId="52070845">
      <w:pPr>
        <w:pStyle w:val="5"/>
        <w:spacing w:line="360" w:lineRule="auto"/>
        <w:ind w:firstLine="420" w:firstLineChars="200"/>
        <w:rPr>
          <w:rFonts w:ascii="宋体" w:hAnsi="宋体" w:cs="宋体"/>
          <w:color w:val="000000"/>
          <w:sz w:val="21"/>
          <w:szCs w:val="21"/>
        </w:rPr>
      </w:pPr>
      <w:bookmarkStart w:id="47" w:name="_Toc9103"/>
      <w:bookmarkStart w:id="48" w:name="_Toc102642493"/>
      <w:r>
        <w:rPr>
          <w:rFonts w:hint="eastAsia" w:ascii="宋体" w:hAnsi="宋体" w:cs="宋体"/>
          <w:color w:val="000000"/>
          <w:sz w:val="21"/>
          <w:szCs w:val="21"/>
        </w:rPr>
        <w:t>10. 磋商文件的澄清与修改</w:t>
      </w:r>
      <w:bookmarkEnd w:id="47"/>
      <w:bookmarkEnd w:id="48"/>
    </w:p>
    <w:p w14:paraId="72D52078">
      <w:pPr>
        <w:spacing w:line="360" w:lineRule="auto"/>
        <w:ind w:left="420" w:leftChars="200"/>
        <w:jc w:val="left"/>
        <w:rPr>
          <w:rFonts w:ascii="宋体" w:hAnsi="宋体" w:cs="宋体"/>
          <w:color w:val="000000"/>
          <w:szCs w:val="21"/>
        </w:rPr>
      </w:pPr>
      <w:r>
        <w:rPr>
          <w:rFonts w:hint="eastAsia" w:ascii="宋体" w:hAnsi="宋体" w:cs="宋体"/>
          <w:color w:val="000000"/>
          <w:szCs w:val="21"/>
        </w:rPr>
        <w:t>10.1 提交首次响应文件截止之日前，采购代理机构可以对已发出的磋商文件进行必要澄清、答复、修改或</w:t>
      </w:r>
    </w:p>
    <w:p w14:paraId="754BA0E3">
      <w:pPr>
        <w:spacing w:line="360" w:lineRule="auto"/>
        <w:jc w:val="left"/>
        <w:rPr>
          <w:rFonts w:ascii="宋体" w:hAnsi="宋体" w:cs="宋体"/>
          <w:color w:val="000000"/>
          <w:szCs w:val="21"/>
        </w:rPr>
      </w:pPr>
      <w:r>
        <w:rPr>
          <w:rFonts w:hint="eastAsia" w:ascii="宋体" w:hAnsi="宋体" w:cs="宋体"/>
          <w:color w:val="000000"/>
          <w:szCs w:val="21"/>
        </w:rPr>
        <w:t>补充，澄清或者修改的内容可能影响响应文件编制的，澄清或者修改的内容作为磋商文件的组成部分。采购代理机构应当在提交首次响应文件递交截止时间</w:t>
      </w:r>
      <w:r>
        <w:rPr>
          <w:rFonts w:hint="eastAsia" w:ascii="宋体" w:hAnsi="宋体" w:cs="宋体"/>
          <w:b/>
          <w:bCs/>
          <w:color w:val="000000"/>
          <w:szCs w:val="21"/>
        </w:rPr>
        <w:t>五日</w:t>
      </w:r>
      <w:r>
        <w:rPr>
          <w:rFonts w:hint="eastAsia" w:ascii="宋体" w:hAnsi="宋体" w:cs="宋体"/>
          <w:color w:val="000000"/>
          <w:szCs w:val="21"/>
        </w:rPr>
        <w:t>前在本项目竞争性磋商公告发布的同一媒体上发布更正公告，不足</w:t>
      </w:r>
      <w:r>
        <w:rPr>
          <w:rFonts w:hint="eastAsia" w:ascii="宋体" w:hAnsi="宋体" w:cs="宋体"/>
          <w:b/>
          <w:bCs/>
          <w:color w:val="000000"/>
          <w:szCs w:val="21"/>
        </w:rPr>
        <w:t>五日</w:t>
      </w:r>
      <w:r>
        <w:rPr>
          <w:rFonts w:hint="eastAsia" w:ascii="宋体" w:hAnsi="宋体" w:cs="宋体"/>
          <w:color w:val="000000"/>
          <w:szCs w:val="21"/>
        </w:rPr>
        <w:t>的，应当顺延首次响应文件递交截止时间。</w:t>
      </w:r>
    </w:p>
    <w:p w14:paraId="71682A0F">
      <w:pPr>
        <w:spacing w:line="360" w:lineRule="auto"/>
        <w:ind w:left="420" w:leftChars="200"/>
        <w:jc w:val="left"/>
        <w:rPr>
          <w:rFonts w:ascii="宋体" w:hAnsi="宋体" w:cs="宋体"/>
          <w:b/>
          <w:bCs/>
          <w:color w:val="000000"/>
          <w:szCs w:val="21"/>
        </w:rPr>
      </w:pPr>
      <w:r>
        <w:rPr>
          <w:rFonts w:hint="eastAsia" w:ascii="宋体" w:hAnsi="宋体" w:cs="宋体"/>
          <w:color w:val="000000"/>
          <w:szCs w:val="21"/>
        </w:rPr>
        <w:t>10.2</w:t>
      </w:r>
      <w:r>
        <w:rPr>
          <w:rFonts w:hint="eastAsia" w:ascii="宋体" w:hAnsi="宋体" w:cs="宋体"/>
          <w:b/>
          <w:bCs/>
          <w:color w:val="000000"/>
          <w:szCs w:val="21"/>
        </w:rPr>
        <w:t>供应商应实时关注本项目信息公告发布媒体相关网站了解澄清、修改等与项目有关的内容，如因供应</w:t>
      </w:r>
    </w:p>
    <w:p w14:paraId="44227C8E">
      <w:pPr>
        <w:spacing w:line="360" w:lineRule="auto"/>
        <w:jc w:val="left"/>
        <w:rPr>
          <w:rFonts w:ascii="宋体" w:hAnsi="宋体" w:cs="宋体"/>
          <w:b/>
          <w:bCs/>
          <w:color w:val="000000"/>
          <w:szCs w:val="21"/>
        </w:rPr>
      </w:pPr>
      <w:r>
        <w:rPr>
          <w:rFonts w:hint="eastAsia" w:ascii="宋体" w:hAnsi="宋体" w:cs="宋体"/>
          <w:b/>
          <w:bCs/>
          <w:color w:val="000000"/>
          <w:szCs w:val="21"/>
        </w:rPr>
        <w:t>商未及时登录相关网站了解澄清、修改等与项目有关的内容，从而导致响应文件无效的，由供应商自行承担责任。</w:t>
      </w:r>
    </w:p>
    <w:p w14:paraId="7A113E35">
      <w:pPr>
        <w:spacing w:line="360" w:lineRule="auto"/>
        <w:ind w:left="420" w:leftChars="200"/>
        <w:jc w:val="left"/>
        <w:rPr>
          <w:rFonts w:ascii="宋体" w:hAnsi="宋体" w:cs="宋体"/>
          <w:color w:val="000000"/>
          <w:szCs w:val="21"/>
        </w:rPr>
      </w:pPr>
      <w:r>
        <w:rPr>
          <w:rFonts w:hint="eastAsia" w:ascii="宋体" w:hAnsi="宋体" w:cs="宋体"/>
          <w:color w:val="000000"/>
          <w:szCs w:val="21"/>
        </w:rPr>
        <w:t>10.3澄清或者修改的内容为磋商文件的组成部分。当澄清或者修改通知就同一内容的表述不一致时，以最</w:t>
      </w:r>
    </w:p>
    <w:p w14:paraId="028C634E">
      <w:pPr>
        <w:spacing w:line="360" w:lineRule="auto"/>
        <w:jc w:val="left"/>
        <w:rPr>
          <w:rFonts w:ascii="宋体" w:hAnsi="宋体" w:cs="宋体"/>
          <w:color w:val="000000"/>
          <w:szCs w:val="21"/>
        </w:rPr>
      </w:pPr>
      <w:r>
        <w:rPr>
          <w:rFonts w:hint="eastAsia" w:ascii="宋体" w:hAnsi="宋体" w:cs="宋体"/>
          <w:color w:val="000000"/>
          <w:szCs w:val="21"/>
        </w:rPr>
        <w:t>后发出的文件为准。</w:t>
      </w:r>
    </w:p>
    <w:p w14:paraId="5ECA581D">
      <w:pPr>
        <w:spacing w:line="360" w:lineRule="auto"/>
        <w:ind w:left="420" w:leftChars="200"/>
        <w:jc w:val="left"/>
        <w:rPr>
          <w:rFonts w:ascii="宋体" w:hAnsi="宋体" w:cs="宋体"/>
          <w:color w:val="000000"/>
          <w:szCs w:val="21"/>
        </w:rPr>
      </w:pPr>
      <w:r>
        <w:rPr>
          <w:rFonts w:hint="eastAsia" w:ascii="宋体" w:hAnsi="宋体" w:cs="宋体"/>
          <w:color w:val="000000"/>
          <w:szCs w:val="21"/>
        </w:rPr>
        <w:t>10.4 磋商文件的澄清或者修改都应该通过本项目采购代理机构以法定形式发布，采购人非通过本机构，不</w:t>
      </w:r>
    </w:p>
    <w:p w14:paraId="13A333E5">
      <w:pPr>
        <w:spacing w:line="360" w:lineRule="auto"/>
        <w:jc w:val="left"/>
        <w:rPr>
          <w:rFonts w:ascii="宋体" w:hAnsi="宋体" w:cs="宋体"/>
          <w:color w:val="000000"/>
          <w:szCs w:val="21"/>
        </w:rPr>
      </w:pPr>
      <w:r>
        <w:rPr>
          <w:rFonts w:hint="eastAsia" w:ascii="宋体" w:hAnsi="宋体" w:cs="宋体"/>
          <w:color w:val="000000"/>
          <w:szCs w:val="21"/>
        </w:rPr>
        <w:t>得擅自澄清或者修改磋商文件。</w:t>
      </w:r>
    </w:p>
    <w:p w14:paraId="770A9D1F">
      <w:pPr>
        <w:spacing w:line="360" w:lineRule="auto"/>
        <w:ind w:left="420" w:leftChars="200"/>
        <w:jc w:val="left"/>
        <w:rPr>
          <w:rFonts w:ascii="宋体" w:hAnsi="宋体" w:cs="宋体"/>
          <w:color w:val="000000"/>
          <w:szCs w:val="21"/>
        </w:rPr>
      </w:pPr>
      <w:r>
        <w:rPr>
          <w:rFonts w:hint="eastAsia" w:ascii="宋体" w:hAnsi="宋体" w:cs="宋体"/>
          <w:color w:val="000000"/>
          <w:szCs w:val="21"/>
        </w:rPr>
        <w:t>10.5采购单位可以视采购具体情况，延长响应文件截止时间和磋商时间，在本项目竞争性磋商公告发布的</w:t>
      </w:r>
    </w:p>
    <w:p w14:paraId="6D3AB2A8">
      <w:pPr>
        <w:spacing w:line="360" w:lineRule="auto"/>
        <w:jc w:val="left"/>
        <w:rPr>
          <w:rFonts w:ascii="宋体" w:hAnsi="宋体" w:cs="宋体"/>
          <w:color w:val="000000"/>
          <w:szCs w:val="21"/>
        </w:rPr>
      </w:pPr>
      <w:r>
        <w:rPr>
          <w:rFonts w:hint="eastAsia" w:ascii="宋体" w:hAnsi="宋体" w:cs="宋体"/>
          <w:color w:val="000000"/>
          <w:szCs w:val="21"/>
        </w:rPr>
        <w:t>同一媒体上发布变更公告。</w:t>
      </w:r>
    </w:p>
    <w:p w14:paraId="7FE4D5BB">
      <w:pPr>
        <w:pStyle w:val="2"/>
        <w:rPr>
          <w:rFonts w:ascii="宋体" w:hAnsi="宋体" w:cs="宋体"/>
        </w:rPr>
      </w:pPr>
    </w:p>
    <w:p w14:paraId="08E86D22">
      <w:pPr>
        <w:pStyle w:val="4"/>
        <w:jc w:val="center"/>
        <w:rPr>
          <w:rFonts w:ascii="宋体" w:hAnsi="宋体" w:cs="宋体"/>
          <w:b/>
          <w:bCs w:val="0"/>
          <w:szCs w:val="28"/>
        </w:rPr>
      </w:pPr>
      <w:bookmarkStart w:id="49" w:name="_Toc102642494"/>
      <w:bookmarkStart w:id="50" w:name="_Toc20830"/>
      <w:r>
        <w:rPr>
          <w:rFonts w:hint="eastAsia" w:ascii="宋体" w:hAnsi="宋体" w:cs="宋体"/>
          <w:b/>
          <w:bCs w:val="0"/>
          <w:szCs w:val="28"/>
        </w:rPr>
        <w:t>三、竞争性磋商响应文件的编制</w:t>
      </w:r>
      <w:bookmarkEnd w:id="49"/>
      <w:bookmarkEnd w:id="50"/>
    </w:p>
    <w:p w14:paraId="57AF711D">
      <w:pPr>
        <w:pStyle w:val="5"/>
        <w:spacing w:line="360" w:lineRule="auto"/>
        <w:ind w:firstLine="420" w:firstLineChars="200"/>
        <w:rPr>
          <w:rFonts w:ascii="宋体" w:hAnsi="宋体" w:cs="宋体"/>
          <w:color w:val="000000"/>
          <w:sz w:val="21"/>
          <w:szCs w:val="21"/>
        </w:rPr>
      </w:pPr>
      <w:bookmarkStart w:id="51" w:name="_Toc102642495"/>
      <w:r>
        <w:rPr>
          <w:rFonts w:hint="eastAsia" w:ascii="宋体" w:hAnsi="宋体" w:cs="宋体"/>
          <w:color w:val="000000"/>
          <w:sz w:val="21"/>
          <w:szCs w:val="21"/>
        </w:rPr>
        <w:t>11.竞争性磋商响应文件编制基本要求</w:t>
      </w:r>
      <w:bookmarkEnd w:id="51"/>
    </w:p>
    <w:p w14:paraId="0093557B">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11.1 本项目实行电子投标，供应商应准备电子磋商响应文件：</w:t>
      </w:r>
    </w:p>
    <w:p w14:paraId="2F431166">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11.1.1 电子响应文件按</w:t>
      </w:r>
      <w:r>
        <w:rPr>
          <w:rFonts w:hint="eastAsia" w:ascii="宋体" w:hAnsi="宋体" w:cs="宋体"/>
          <w:b/>
          <w:bCs/>
          <w:color w:val="000000"/>
          <w:szCs w:val="21"/>
          <w:lang w:eastAsia="zh-CN"/>
        </w:rPr>
        <w:t>广西政府采购云平台</w:t>
      </w:r>
      <w:r>
        <w:rPr>
          <w:rFonts w:hint="eastAsia" w:ascii="宋体" w:hAnsi="宋体" w:cs="宋体"/>
          <w:b/>
          <w:bCs/>
          <w:color w:val="000000"/>
          <w:szCs w:val="21"/>
        </w:rPr>
        <w:t xml:space="preserve">要求及本磋商文件要求制作、加密并递交。具体操作流程可参考《政府采购项目电子交易管理操作指南-供应商》，指南可在 “http://www.ccgp-guangxi.gov.cn/PurchaseAdvisory/ImportantNotice/2866753.html”下载。 </w:t>
      </w:r>
    </w:p>
    <w:p w14:paraId="3AFF34FF">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11.2竞争性磋商响应文件（以下简称响应文件）的组成及要求</w:t>
      </w:r>
    </w:p>
    <w:p w14:paraId="6BA0EFCA">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11.2.1响应文件组成【格式见第六章“响应文件（格式）”】</w:t>
      </w:r>
    </w:p>
    <w:p w14:paraId="181C161E">
      <w:pPr>
        <w:spacing w:line="360" w:lineRule="auto"/>
        <w:ind w:firstLine="420" w:firstLineChars="200"/>
        <w:rPr>
          <w:rFonts w:ascii="宋体" w:hAnsi="宋体" w:cs="宋体"/>
          <w:color w:val="000000"/>
          <w:szCs w:val="21"/>
        </w:rPr>
      </w:pPr>
      <w:r>
        <w:rPr>
          <w:rFonts w:hint="eastAsia" w:ascii="宋体" w:hAnsi="宋体" w:cs="宋体"/>
          <w:b/>
          <w:bCs/>
          <w:color w:val="000000"/>
          <w:szCs w:val="21"/>
        </w:rPr>
        <w:t>11.2.1.1资格性响应证明材料：</w:t>
      </w:r>
    </w:p>
    <w:p w14:paraId="08892896">
      <w:pPr>
        <w:spacing w:line="360" w:lineRule="auto"/>
        <w:ind w:firstLine="420" w:firstLineChars="200"/>
        <w:rPr>
          <w:rFonts w:ascii="宋体" w:hAnsi="宋体" w:cs="宋体"/>
          <w:color w:val="000000"/>
          <w:szCs w:val="21"/>
        </w:rPr>
      </w:pPr>
      <w:r>
        <w:rPr>
          <w:rFonts w:hint="eastAsia" w:ascii="宋体" w:hAnsi="宋体" w:cs="宋体"/>
          <w:color w:val="000000"/>
          <w:szCs w:val="21"/>
        </w:rPr>
        <w:t>（1）供应商相应的法定代表人、负责人、自然人身份证正反两面复印件</w:t>
      </w:r>
      <w:r>
        <w:rPr>
          <w:rFonts w:hint="eastAsia" w:ascii="宋体" w:hAnsi="宋体" w:cs="宋体"/>
          <w:b/>
          <w:bCs/>
          <w:color w:val="000000"/>
          <w:szCs w:val="21"/>
        </w:rPr>
        <w:t>（必须提供）</w:t>
      </w:r>
      <w:r>
        <w:rPr>
          <w:rFonts w:hint="eastAsia" w:ascii="宋体" w:hAnsi="宋体" w:cs="宋体"/>
          <w:color w:val="000000"/>
          <w:szCs w:val="21"/>
        </w:rPr>
        <w:t>；</w:t>
      </w:r>
    </w:p>
    <w:p w14:paraId="10E6B200">
      <w:pPr>
        <w:spacing w:line="360" w:lineRule="auto"/>
        <w:ind w:firstLine="420" w:firstLineChars="200"/>
        <w:rPr>
          <w:rFonts w:ascii="宋体" w:hAnsi="宋体" w:cs="宋体"/>
          <w:color w:val="000000"/>
          <w:szCs w:val="21"/>
        </w:rPr>
      </w:pPr>
      <w:r>
        <w:rPr>
          <w:rFonts w:hint="eastAsia" w:ascii="宋体" w:hAnsi="宋体" w:cs="宋体"/>
          <w:color w:val="000000"/>
          <w:szCs w:val="21"/>
        </w:rPr>
        <w:t>（2）供应商的授权委托书原件、委托代理人身份证正反面复印件以及由县级以上（含县级）社会养老保险经办机构出具的供应商为委托代理人交纳的响应文件递交截止时间前三个月内任意一个月养老保险证明复印件，除供应商为以下三种情形的：</w:t>
      </w:r>
    </w:p>
    <w:p w14:paraId="7D47639E">
      <w:pPr>
        <w:spacing w:line="360" w:lineRule="auto"/>
        <w:ind w:firstLine="420" w:firstLineChars="200"/>
        <w:rPr>
          <w:rFonts w:ascii="宋体" w:hAnsi="宋体" w:cs="宋体"/>
          <w:color w:val="000000"/>
          <w:szCs w:val="21"/>
        </w:rPr>
      </w:pPr>
      <w:r>
        <w:rPr>
          <w:rFonts w:hint="eastAsia" w:ascii="宋体" w:hAnsi="宋体" w:cs="宋体"/>
          <w:color w:val="000000"/>
          <w:szCs w:val="21"/>
        </w:rPr>
        <w:t>①如供应商为截标时间前60日以内成立的公司，可以提供供应商与委托代理人签订的劳动合同复印件代替养老保险证明复印件；</w:t>
      </w:r>
    </w:p>
    <w:p w14:paraId="36C59863">
      <w:pPr>
        <w:spacing w:line="360" w:lineRule="auto"/>
        <w:ind w:firstLine="420" w:firstLineChars="200"/>
        <w:rPr>
          <w:rFonts w:ascii="宋体" w:hAnsi="宋体" w:cs="宋体"/>
          <w:color w:val="000000"/>
          <w:szCs w:val="21"/>
        </w:rPr>
      </w:pPr>
      <w:r>
        <w:rPr>
          <w:rFonts w:hint="eastAsia" w:ascii="宋体" w:hAnsi="宋体" w:cs="宋体"/>
          <w:color w:val="000000"/>
          <w:szCs w:val="21"/>
        </w:rPr>
        <w:t>②如供应商为事业单位，可以提供事业单位机构编制管理证复印件或事业单位机构为其发放工资的工资条复印件代替养老保险证明复印件；</w:t>
      </w:r>
    </w:p>
    <w:p w14:paraId="5573EEB2">
      <w:pPr>
        <w:spacing w:line="360" w:lineRule="auto"/>
        <w:ind w:firstLine="420" w:firstLineChars="200"/>
        <w:rPr>
          <w:rFonts w:ascii="宋体" w:hAnsi="宋体" w:cs="宋体"/>
          <w:color w:val="000000"/>
          <w:szCs w:val="21"/>
        </w:rPr>
      </w:pPr>
      <w:r>
        <w:rPr>
          <w:rFonts w:hint="eastAsia" w:ascii="宋体" w:hAnsi="宋体" w:cs="宋体"/>
          <w:color w:val="000000"/>
          <w:szCs w:val="21"/>
        </w:rPr>
        <w:t>③如委托代理人为免缴纳社保人员，提供免缴纳社保的证明材料复印件及供应商与委托代理人签订的劳动合同复印件代替养老保险证明复印件。</w:t>
      </w:r>
    </w:p>
    <w:p w14:paraId="5B990F9C">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【属自然人的应提供由县级以上（含县级）社会养老保险经办机构出具的自然人本人及委托代理人所交纳的响应文件递交截止时间前三个月内任意一个月养老保险证明复印件</w:t>
      </w:r>
      <w:r>
        <w:rPr>
          <w:rFonts w:hint="eastAsia" w:ascii="宋体" w:hAnsi="宋体" w:cs="宋体"/>
          <w:color w:val="000000"/>
          <w:szCs w:val="21"/>
        </w:rPr>
        <w:t>】</w:t>
      </w:r>
      <w:r>
        <w:rPr>
          <w:rFonts w:hint="eastAsia" w:ascii="宋体" w:hAnsi="宋体" w:cs="宋体"/>
          <w:b/>
          <w:bCs/>
          <w:color w:val="000000"/>
          <w:szCs w:val="21"/>
        </w:rPr>
        <w:t>（委托代理时必须提供；如为联合体的，授权委托书原件须由牵头人出具）</w:t>
      </w:r>
    </w:p>
    <w:p w14:paraId="19F8B18F">
      <w:pPr>
        <w:spacing w:line="360" w:lineRule="auto"/>
        <w:ind w:firstLine="420" w:firstLineChars="200"/>
        <w:rPr>
          <w:rFonts w:ascii="宋体" w:hAnsi="宋体" w:cs="宋体"/>
          <w:color w:val="000000"/>
        </w:rPr>
      </w:pPr>
      <w:r>
        <w:rPr>
          <w:rFonts w:hint="eastAsia" w:ascii="宋体" w:hAnsi="宋体" w:cs="宋体"/>
          <w:color w:val="000000"/>
          <w:szCs w:val="21"/>
        </w:rPr>
        <w:t>（3）供应商参加政府采购活动前3年内在经营活动中没有重大违法记录及有关信用信息的书面声明</w:t>
      </w:r>
      <w:r>
        <w:rPr>
          <w:rFonts w:hint="eastAsia" w:ascii="宋体" w:hAnsi="宋体" w:cs="宋体"/>
          <w:b/>
          <w:bCs/>
          <w:color w:val="000000"/>
          <w:szCs w:val="21"/>
        </w:rPr>
        <w:t>（必须提供）；</w:t>
      </w:r>
    </w:p>
    <w:p w14:paraId="74C08546">
      <w:pPr>
        <w:spacing w:line="360" w:lineRule="auto"/>
        <w:ind w:firstLine="420" w:firstLineChars="200"/>
        <w:rPr>
          <w:rFonts w:ascii="宋体" w:hAnsi="宋体" w:cs="宋体"/>
          <w:color w:val="000000"/>
          <w:szCs w:val="21"/>
        </w:rPr>
      </w:pPr>
      <w:r>
        <w:rPr>
          <w:rFonts w:hint="eastAsia" w:ascii="宋体" w:hAnsi="宋体" w:cs="宋体"/>
          <w:color w:val="000000"/>
          <w:szCs w:val="21"/>
        </w:rPr>
        <w:t>（4）供应商的法人或者其他组织营业执照等证明文件复印件</w:t>
      </w:r>
      <w:r>
        <w:rPr>
          <w:rFonts w:hint="eastAsia" w:ascii="宋体" w:hAnsi="宋体" w:cs="宋体"/>
          <w:b/>
          <w:color w:val="000000"/>
          <w:szCs w:val="21"/>
        </w:rPr>
        <w:t>（必须提供，自然人除外）；</w:t>
      </w:r>
    </w:p>
    <w:p w14:paraId="18C5D5D4">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注：</w:t>
      </w:r>
      <w:r>
        <w:rPr>
          <w:rFonts w:hint="eastAsia" w:ascii="宋体" w:hAnsi="宋体" w:cs="宋体"/>
          <w:b/>
          <w:szCs w:val="21"/>
          <w:u w:val="single"/>
        </w:rPr>
        <w:t>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如为分支机构或分公司参与投标，需提供具有法人资格的总公司的营业执照副本复印件及授权书，授权书须加盖总公司的公章。总公司可就本项目在一定范围及时间内出具授权书。已由总公司授权的，总公司取得的相关资质证书对分支机构或分公司有效，法律法规或者行业另有规定的除外。（所需材料均为复印件）</w:t>
      </w:r>
      <w:r>
        <w:rPr>
          <w:rFonts w:hint="eastAsia" w:ascii="宋体" w:hAnsi="宋体" w:cs="宋体"/>
          <w:b/>
          <w:bCs/>
          <w:color w:val="000000"/>
          <w:szCs w:val="21"/>
        </w:rPr>
        <w:t>。</w:t>
      </w:r>
    </w:p>
    <w:p w14:paraId="78A8E22E">
      <w:pPr>
        <w:spacing w:line="360" w:lineRule="auto"/>
        <w:ind w:firstLine="420" w:firstLineChars="200"/>
        <w:rPr>
          <w:rFonts w:ascii="宋体" w:hAnsi="宋体" w:cs="宋体"/>
          <w:color w:val="000000"/>
          <w:szCs w:val="21"/>
        </w:rPr>
      </w:pPr>
      <w:r>
        <w:rPr>
          <w:rFonts w:hint="eastAsia" w:ascii="宋体" w:hAnsi="宋体" w:cs="宋体"/>
          <w:color w:val="000000"/>
          <w:szCs w:val="21"/>
        </w:rPr>
        <w:t>（5）供应商的财务状况报告（或银行出具的资信证明）</w:t>
      </w:r>
      <w:r>
        <w:rPr>
          <w:rFonts w:hint="eastAsia" w:ascii="宋体" w:hAnsi="宋体" w:cs="宋体"/>
          <w:b/>
          <w:color w:val="000000"/>
          <w:szCs w:val="21"/>
        </w:rPr>
        <w:t>（必须提供）；</w:t>
      </w:r>
    </w:p>
    <w:p w14:paraId="01F9F973">
      <w:pPr>
        <w:spacing w:line="360" w:lineRule="auto"/>
        <w:ind w:firstLine="420" w:firstLineChars="200"/>
        <w:rPr>
          <w:rFonts w:ascii="宋体" w:hAnsi="宋体" w:cs="宋体"/>
          <w:b/>
          <w:color w:val="000000"/>
          <w:szCs w:val="21"/>
        </w:rPr>
      </w:pPr>
      <w:r>
        <w:rPr>
          <w:rFonts w:hint="eastAsia" w:ascii="宋体" w:hAnsi="宋体" w:cs="宋体"/>
          <w:color w:val="000000"/>
          <w:szCs w:val="21"/>
        </w:rPr>
        <w:t>（6）供应商近半年内任意一个月或任一季度依法缴纳税收的证明材料【增值税发票(税收完税证明)或企业所得税完税证明或税务部门出具的免税证明】复印件</w:t>
      </w:r>
      <w:r>
        <w:rPr>
          <w:rFonts w:hint="eastAsia" w:ascii="宋体" w:hAnsi="宋体" w:cs="宋体"/>
          <w:b/>
          <w:color w:val="000000"/>
          <w:szCs w:val="21"/>
        </w:rPr>
        <w:t>（必须提供）；</w:t>
      </w:r>
    </w:p>
    <w:p w14:paraId="08582F25">
      <w:pPr>
        <w:spacing w:line="360" w:lineRule="auto"/>
        <w:ind w:firstLine="420" w:firstLineChars="200"/>
        <w:rPr>
          <w:rFonts w:ascii="宋体" w:hAnsi="宋体" w:cs="宋体"/>
          <w:color w:val="000000"/>
          <w:szCs w:val="21"/>
        </w:rPr>
      </w:pPr>
      <w:r>
        <w:rPr>
          <w:rFonts w:hint="eastAsia" w:ascii="宋体" w:hAnsi="宋体" w:cs="宋体"/>
          <w:color w:val="000000"/>
          <w:szCs w:val="21"/>
        </w:rPr>
        <w:t>（7）供应商近半年内任意一个月或任一季度依法缴纳社会保障资金的相关材料</w:t>
      </w:r>
      <w:r>
        <w:rPr>
          <w:rFonts w:hint="eastAsia" w:ascii="宋体" w:hAnsi="宋体" w:cs="宋体"/>
          <w:b/>
          <w:color w:val="000000"/>
          <w:szCs w:val="21"/>
        </w:rPr>
        <w:t>（必须提供）；</w:t>
      </w:r>
    </w:p>
    <w:p w14:paraId="6DE35245">
      <w:pPr>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8</w:t>
      </w:r>
      <w:r>
        <w:rPr>
          <w:rFonts w:hint="eastAsia" w:ascii="宋体" w:hAnsi="宋体" w:cs="宋体"/>
          <w:color w:val="000000"/>
          <w:szCs w:val="21"/>
        </w:rPr>
        <w:t>）《中小企业声明函》（见附件）</w:t>
      </w:r>
      <w:r>
        <w:rPr>
          <w:rFonts w:hint="eastAsia" w:ascii="宋体" w:hAnsi="宋体" w:cs="宋体"/>
          <w:b/>
          <w:color w:val="000000"/>
          <w:szCs w:val="21"/>
        </w:rPr>
        <w:t>（如有，请提供）；</w:t>
      </w:r>
    </w:p>
    <w:p w14:paraId="44D80253">
      <w:pPr>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9</w:t>
      </w:r>
      <w:r>
        <w:rPr>
          <w:rFonts w:hint="eastAsia" w:ascii="宋体" w:hAnsi="宋体" w:cs="宋体"/>
          <w:color w:val="000000"/>
          <w:szCs w:val="21"/>
        </w:rPr>
        <w:t>）如提供服务的供应商属于监狱企业的，应当提供由省级以上监狱管理局、戒毒管理局等（含新疆生产建设兵团）出具的属于监狱企业的证明文件, 否则不予享受优惠政策</w:t>
      </w:r>
      <w:r>
        <w:rPr>
          <w:rFonts w:hint="eastAsia" w:ascii="宋体" w:hAnsi="宋体" w:cs="宋体"/>
          <w:b/>
          <w:color w:val="000000"/>
          <w:szCs w:val="21"/>
        </w:rPr>
        <w:t>（如有，请提供）；</w:t>
      </w:r>
    </w:p>
    <w:p w14:paraId="2DDE123B">
      <w:pPr>
        <w:spacing w:line="360" w:lineRule="auto"/>
        <w:ind w:firstLine="420" w:firstLineChars="200"/>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10</w:t>
      </w:r>
      <w:r>
        <w:rPr>
          <w:rFonts w:hint="eastAsia" w:ascii="宋体" w:hAnsi="宋体" w:cs="宋体"/>
          <w:color w:val="000000"/>
          <w:szCs w:val="21"/>
        </w:rPr>
        <w:t>）符合条件的残疾人福利性单位在参加政府采购活动时，应当提供《残疾人福利性单位声明函》（见附件），并对声明的真实性负责；</w:t>
      </w:r>
      <w:r>
        <w:rPr>
          <w:rFonts w:hint="eastAsia" w:ascii="宋体" w:hAnsi="宋体" w:cs="宋体"/>
          <w:b/>
          <w:color w:val="000000"/>
          <w:szCs w:val="21"/>
        </w:rPr>
        <w:t>（如有，请提供）。</w:t>
      </w:r>
    </w:p>
    <w:p w14:paraId="3B6E2060">
      <w:pPr>
        <w:pStyle w:val="22"/>
        <w:ind w:left="0" w:leftChars="0" w:firstLine="422"/>
        <w:rPr>
          <w:rFonts w:ascii="宋体" w:hAnsi="宋体" w:cs="宋体"/>
          <w:color w:val="000000"/>
        </w:rPr>
      </w:pPr>
      <w:r>
        <w:rPr>
          <w:rFonts w:hint="eastAsia" w:ascii="宋体" w:hAnsi="宋体" w:cs="宋体"/>
          <w:b/>
          <w:bCs/>
          <w:color w:val="000000"/>
          <w:szCs w:val="21"/>
        </w:rPr>
        <w:t>11.2.1.2符合性响应证明材料：</w:t>
      </w:r>
    </w:p>
    <w:p w14:paraId="0ADCCC88">
      <w:pPr>
        <w:spacing w:line="360" w:lineRule="auto"/>
        <w:ind w:firstLine="420" w:firstLineChars="200"/>
        <w:rPr>
          <w:rFonts w:ascii="宋体" w:hAnsi="宋体" w:cs="宋体"/>
          <w:color w:val="000000"/>
          <w:szCs w:val="21"/>
        </w:rPr>
      </w:pPr>
      <w:bookmarkStart w:id="52" w:name="_Toc16312"/>
      <w:bookmarkStart w:id="53" w:name="_Toc28932"/>
      <w:bookmarkStart w:id="54" w:name="_Toc2809"/>
      <w:r>
        <w:rPr>
          <w:rFonts w:hint="eastAsia" w:ascii="宋体" w:hAnsi="宋体" w:cs="宋体"/>
          <w:szCs w:val="21"/>
        </w:rPr>
        <w:t>（1）响应函（格式见附件）</w:t>
      </w:r>
      <w:r>
        <w:rPr>
          <w:rFonts w:hint="eastAsia" w:ascii="宋体" w:hAnsi="宋体" w:cs="宋体"/>
          <w:b/>
          <w:szCs w:val="21"/>
        </w:rPr>
        <w:t>（必须提供）</w:t>
      </w:r>
      <w:bookmarkEnd w:id="52"/>
      <w:r>
        <w:rPr>
          <w:rFonts w:hint="eastAsia" w:ascii="宋体" w:hAnsi="宋体" w:cs="宋体"/>
          <w:b/>
          <w:szCs w:val="21"/>
        </w:rPr>
        <w:t>；</w:t>
      </w:r>
      <w:bookmarkEnd w:id="53"/>
      <w:bookmarkEnd w:id="54"/>
    </w:p>
    <w:p w14:paraId="539F4616">
      <w:pPr>
        <w:spacing w:line="360" w:lineRule="auto"/>
        <w:ind w:firstLine="420" w:firstLineChars="200"/>
        <w:rPr>
          <w:rFonts w:ascii="宋体" w:hAnsi="宋体" w:cs="宋体"/>
          <w:b/>
          <w:bCs/>
          <w:color w:val="000000"/>
          <w:szCs w:val="21"/>
        </w:rPr>
      </w:pPr>
      <w:r>
        <w:rPr>
          <w:rFonts w:hint="eastAsia" w:ascii="宋体" w:hAnsi="宋体" w:cs="宋体"/>
          <w:color w:val="000000"/>
          <w:szCs w:val="21"/>
        </w:rPr>
        <w:t>（2）磋商报价表（格式见附件）</w:t>
      </w:r>
      <w:r>
        <w:rPr>
          <w:rFonts w:hint="eastAsia" w:ascii="宋体" w:hAnsi="宋体" w:cs="宋体"/>
          <w:b/>
          <w:bCs/>
          <w:color w:val="000000"/>
          <w:szCs w:val="21"/>
        </w:rPr>
        <w:t>（必须提供）；</w:t>
      </w:r>
    </w:p>
    <w:p w14:paraId="20509B2D">
      <w:pPr>
        <w:spacing w:line="360" w:lineRule="auto"/>
        <w:ind w:firstLine="420" w:firstLineChars="200"/>
        <w:rPr>
          <w:rFonts w:ascii="宋体" w:hAnsi="宋体" w:cs="宋体"/>
          <w:b/>
          <w:bCs/>
          <w:color w:val="000000"/>
          <w:szCs w:val="21"/>
        </w:rPr>
      </w:pPr>
      <w:r>
        <w:rPr>
          <w:rFonts w:hint="eastAsia" w:ascii="宋体" w:hAnsi="宋体" w:cs="宋体"/>
          <w:color w:val="000000"/>
          <w:szCs w:val="21"/>
        </w:rPr>
        <w:t>（3）服务（技术）响应、商务偏离情况说明表（格式见附件）</w:t>
      </w:r>
      <w:r>
        <w:rPr>
          <w:rFonts w:hint="eastAsia" w:ascii="宋体" w:hAnsi="宋体" w:cs="宋体"/>
          <w:b/>
          <w:bCs/>
          <w:color w:val="000000"/>
          <w:szCs w:val="21"/>
        </w:rPr>
        <w:t>(必须提供)；</w:t>
      </w:r>
    </w:p>
    <w:p w14:paraId="4F5DD760">
      <w:pPr>
        <w:spacing w:line="360" w:lineRule="auto"/>
        <w:ind w:firstLine="420" w:firstLineChars="200"/>
        <w:rPr>
          <w:rFonts w:ascii="宋体" w:hAnsi="宋体" w:cs="宋体"/>
          <w:color w:val="000000"/>
          <w:szCs w:val="21"/>
        </w:rPr>
      </w:pPr>
      <w:r>
        <w:rPr>
          <w:rFonts w:hint="eastAsia" w:ascii="宋体" w:hAnsi="宋体" w:cs="宋体"/>
          <w:color w:val="000000"/>
          <w:szCs w:val="21"/>
        </w:rPr>
        <w:t>（4）服务承诺书、服务方案（由供应商根据本项目服务采购需求、特点及供应商自身的处理能力自行编写，承诺书内容至少应包括“采购需求”中的所有服务条款）（格式见附件）</w:t>
      </w:r>
      <w:r>
        <w:rPr>
          <w:rFonts w:hint="eastAsia" w:ascii="宋体" w:hAnsi="宋体" w:cs="宋体"/>
          <w:b/>
          <w:bCs/>
          <w:color w:val="000000"/>
          <w:szCs w:val="21"/>
        </w:rPr>
        <w:t>（必须提供）；</w:t>
      </w:r>
    </w:p>
    <w:p w14:paraId="5E1C6965">
      <w:pPr>
        <w:spacing w:line="360" w:lineRule="auto"/>
        <w:ind w:firstLine="420" w:firstLineChars="200"/>
        <w:rPr>
          <w:rFonts w:ascii="宋体" w:hAnsi="宋体" w:cs="宋体"/>
          <w:b/>
          <w:bCs/>
          <w:szCs w:val="21"/>
        </w:rPr>
      </w:pPr>
      <w:r>
        <w:rPr>
          <w:rFonts w:hint="eastAsia" w:ascii="宋体" w:hAnsi="宋体" w:cs="宋体"/>
          <w:szCs w:val="21"/>
        </w:rPr>
        <w:t>（5）针对本项目的项目实施方案（格式见附件）</w:t>
      </w:r>
      <w:r>
        <w:rPr>
          <w:rFonts w:hint="eastAsia" w:ascii="宋体" w:hAnsi="宋体" w:cs="宋体"/>
          <w:b/>
          <w:bCs/>
          <w:szCs w:val="21"/>
        </w:rPr>
        <w:t>（必须提供）。</w:t>
      </w:r>
    </w:p>
    <w:p w14:paraId="03043AA3">
      <w:pPr>
        <w:pStyle w:val="22"/>
        <w:ind w:left="0" w:leftChars="0" w:firstLine="422"/>
        <w:rPr>
          <w:rFonts w:ascii="宋体" w:hAnsi="宋体" w:cs="宋体"/>
          <w:b/>
          <w:bCs/>
          <w:szCs w:val="21"/>
        </w:rPr>
      </w:pPr>
      <w:r>
        <w:rPr>
          <w:rFonts w:hint="eastAsia" w:ascii="宋体" w:hAnsi="宋体" w:cs="宋体"/>
          <w:b/>
          <w:bCs/>
          <w:szCs w:val="21"/>
        </w:rPr>
        <w:t>11.2.1.3其他有效证明材料</w:t>
      </w:r>
    </w:p>
    <w:p w14:paraId="544A24C1">
      <w:pPr>
        <w:spacing w:line="360" w:lineRule="auto"/>
        <w:ind w:firstLine="420" w:firstLineChars="200"/>
        <w:rPr>
          <w:rFonts w:ascii="宋体" w:hAnsi="宋体" w:cs="宋体"/>
          <w:b/>
          <w:bCs/>
          <w:szCs w:val="21"/>
        </w:rPr>
      </w:pPr>
      <w:r>
        <w:rPr>
          <w:rFonts w:hint="eastAsia" w:ascii="宋体" w:hAnsi="宋体" w:cs="宋体"/>
          <w:szCs w:val="21"/>
        </w:rPr>
        <w:t>（1）项目实施人员一览表（格式见附件）</w:t>
      </w:r>
      <w:r>
        <w:rPr>
          <w:rFonts w:hint="eastAsia" w:ascii="宋体" w:hAnsi="宋体" w:cs="宋体"/>
          <w:b/>
          <w:bCs/>
          <w:szCs w:val="21"/>
        </w:rPr>
        <w:t>【如有，请提供】；</w:t>
      </w:r>
    </w:p>
    <w:p w14:paraId="3B70DA08">
      <w:pPr>
        <w:spacing w:line="360" w:lineRule="auto"/>
        <w:ind w:firstLine="420" w:firstLineChars="200"/>
        <w:rPr>
          <w:rFonts w:ascii="宋体" w:hAnsi="宋体" w:cs="宋体"/>
        </w:rPr>
      </w:pPr>
      <w:r>
        <w:rPr>
          <w:rFonts w:hint="eastAsia" w:ascii="宋体" w:hAnsi="宋体" w:cs="宋体"/>
          <w:szCs w:val="21"/>
        </w:rPr>
        <w:t>（2）“采购需求”需提供的有效证明文件</w:t>
      </w:r>
      <w:r>
        <w:rPr>
          <w:rFonts w:hint="eastAsia" w:ascii="宋体" w:hAnsi="宋体" w:cs="宋体"/>
          <w:b/>
          <w:bCs/>
          <w:szCs w:val="21"/>
        </w:rPr>
        <w:t>（如有，请提供）；</w:t>
      </w:r>
    </w:p>
    <w:p w14:paraId="73692E2F">
      <w:pPr>
        <w:spacing w:line="360" w:lineRule="auto"/>
        <w:ind w:firstLine="420" w:firstLineChars="200"/>
        <w:rPr>
          <w:rFonts w:ascii="宋体" w:hAnsi="宋体" w:cs="宋体"/>
          <w:b/>
          <w:bCs/>
          <w:szCs w:val="21"/>
        </w:rPr>
      </w:pPr>
      <w:r>
        <w:rPr>
          <w:rFonts w:hint="eastAsia" w:ascii="宋体" w:hAnsi="宋体" w:cs="宋体"/>
          <w:szCs w:val="21"/>
        </w:rPr>
        <w:t>（3）供应商202</w:t>
      </w:r>
      <w:r>
        <w:rPr>
          <w:rFonts w:ascii="宋体" w:hAnsi="宋体" w:cs="宋体"/>
          <w:szCs w:val="21"/>
        </w:rPr>
        <w:t>2</w:t>
      </w:r>
      <w:r>
        <w:rPr>
          <w:rFonts w:hint="eastAsia" w:ascii="宋体" w:hAnsi="宋体" w:cs="宋体"/>
          <w:szCs w:val="21"/>
        </w:rPr>
        <w:t>年以来具有同类项目的业绩相关证明材料（无不良记录，以中标、成交通知书或签订的合同为准，并能清晰反映项目的名称、采购内容、采购金额、采购时间）</w:t>
      </w:r>
      <w:r>
        <w:rPr>
          <w:rFonts w:hint="eastAsia" w:ascii="宋体" w:hAnsi="宋体" w:cs="宋体"/>
          <w:b/>
          <w:bCs/>
          <w:szCs w:val="21"/>
        </w:rPr>
        <w:t>（如有，请提供）；</w:t>
      </w:r>
    </w:p>
    <w:p w14:paraId="251DB3A4">
      <w:pPr>
        <w:spacing w:line="360" w:lineRule="auto"/>
        <w:ind w:firstLine="420" w:firstLineChars="200"/>
        <w:rPr>
          <w:rFonts w:ascii="宋体" w:hAnsi="宋体" w:cs="宋体"/>
          <w:szCs w:val="21"/>
        </w:rPr>
      </w:pPr>
      <w:r>
        <w:rPr>
          <w:rFonts w:hint="eastAsia" w:ascii="宋体" w:hAnsi="宋体" w:cs="宋体"/>
          <w:szCs w:val="21"/>
        </w:rPr>
        <w:t>（4）供应商可结合本项目的评审办法视自身情况自行提交其它相关证明材料。</w:t>
      </w:r>
    </w:p>
    <w:p w14:paraId="7F816A13">
      <w:pPr>
        <w:spacing w:line="400" w:lineRule="exact"/>
        <w:ind w:firstLine="420"/>
        <w:rPr>
          <w:rFonts w:ascii="宋体" w:hAnsi="宋体" w:cs="宋体"/>
          <w:color w:val="000000"/>
          <w:szCs w:val="21"/>
        </w:rPr>
      </w:pPr>
      <w:r>
        <w:rPr>
          <w:rFonts w:hint="eastAsia" w:ascii="宋体" w:hAnsi="宋体" w:cs="宋体"/>
          <w:b/>
          <w:bCs/>
          <w:szCs w:val="21"/>
        </w:rPr>
        <w:t>供应商</w:t>
      </w:r>
      <w:r>
        <w:rPr>
          <w:rFonts w:hint="eastAsia" w:ascii="宋体" w:hAnsi="宋体" w:cs="宋体"/>
          <w:b/>
          <w:bCs/>
          <w:color w:val="000000"/>
        </w:rPr>
        <w:t>提供的以上相关证明材料属于“必须提供”的文件应加盖磋商供应商公章（CA签章）/自然人签字或个人CA签章，否则响应无效。</w:t>
      </w:r>
    </w:p>
    <w:p w14:paraId="22CF5064">
      <w:pPr>
        <w:spacing w:line="360" w:lineRule="auto"/>
        <w:ind w:firstLine="420" w:firstLineChars="200"/>
        <w:rPr>
          <w:rFonts w:ascii="宋体" w:hAnsi="宋体" w:cs="宋体"/>
          <w:color w:val="000000"/>
          <w:szCs w:val="21"/>
        </w:rPr>
      </w:pPr>
      <w:r>
        <w:rPr>
          <w:rFonts w:hint="eastAsia" w:ascii="宋体" w:hAnsi="宋体" w:cs="宋体"/>
          <w:color w:val="000000"/>
          <w:szCs w:val="21"/>
        </w:rPr>
        <w:t>11.3 供应商应按竞争性磋商文件第六章“响应文件（格式）”编制响应文件。</w:t>
      </w:r>
    </w:p>
    <w:p w14:paraId="064BDEFA">
      <w:pPr>
        <w:spacing w:line="360" w:lineRule="exact"/>
        <w:ind w:firstLine="420" w:firstLineChars="200"/>
        <w:rPr>
          <w:rFonts w:ascii="宋体" w:hAnsi="宋体" w:cs="宋体"/>
          <w:b/>
          <w:bCs/>
          <w:color w:val="000000"/>
          <w:szCs w:val="21"/>
        </w:rPr>
      </w:pPr>
      <w:r>
        <w:rPr>
          <w:rFonts w:hint="eastAsia" w:ascii="宋体" w:hAnsi="宋体" w:cs="宋体"/>
          <w:b/>
          <w:bCs/>
          <w:color w:val="000000"/>
          <w:szCs w:val="21"/>
        </w:rPr>
        <w:t>特别说明：</w:t>
      </w:r>
    </w:p>
    <w:p w14:paraId="27B5DDB6">
      <w:pPr>
        <w:spacing w:line="360" w:lineRule="exact"/>
        <w:ind w:firstLine="420" w:firstLineChars="200"/>
        <w:rPr>
          <w:rFonts w:ascii="宋体" w:hAnsi="宋体" w:cs="宋体"/>
          <w:b/>
          <w:color w:val="000000"/>
          <w:szCs w:val="21"/>
        </w:rPr>
      </w:pPr>
      <w:r>
        <w:rPr>
          <w:rFonts w:hint="eastAsia" w:ascii="宋体" w:hAnsi="宋体" w:cs="宋体"/>
          <w:b/>
          <w:bCs/>
          <w:color w:val="000000"/>
          <w:szCs w:val="21"/>
        </w:rPr>
        <w:t>（1）响</w:t>
      </w:r>
      <w:r>
        <w:rPr>
          <w:rFonts w:hint="eastAsia" w:ascii="宋体" w:hAnsi="宋体" w:cs="宋体"/>
          <w:b/>
          <w:color w:val="000000"/>
          <w:szCs w:val="21"/>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07074E23">
      <w:pPr>
        <w:numPr>
          <w:ilvl w:val="0"/>
          <w:numId w:val="3"/>
        </w:numPr>
        <w:spacing w:line="360" w:lineRule="exact"/>
        <w:ind w:firstLine="420" w:firstLineChars="200"/>
        <w:rPr>
          <w:rFonts w:ascii="宋体" w:hAnsi="宋体" w:cs="宋体"/>
          <w:b/>
          <w:color w:val="000000"/>
          <w:szCs w:val="21"/>
        </w:rPr>
      </w:pPr>
      <w:r>
        <w:rPr>
          <w:rFonts w:hint="eastAsia" w:ascii="宋体" w:hAnsi="宋体" w:cs="宋体"/>
          <w:b/>
          <w:bCs/>
          <w:szCs w:val="21"/>
        </w:rPr>
        <w:t>磋商文件要求法定代表人（负责人）或委托代理人签字的部分必须签字然后扫描或者拍照做成 pdf 格式上传（或加盖个人CA签章），无签字的视为响应无效。</w:t>
      </w:r>
    </w:p>
    <w:p w14:paraId="3E4D3EFA">
      <w:pPr>
        <w:pStyle w:val="5"/>
        <w:spacing w:line="360" w:lineRule="auto"/>
        <w:ind w:firstLine="420" w:firstLineChars="200"/>
        <w:rPr>
          <w:rFonts w:ascii="宋体" w:hAnsi="宋体" w:cs="宋体"/>
          <w:color w:val="000000"/>
          <w:sz w:val="21"/>
          <w:szCs w:val="21"/>
        </w:rPr>
      </w:pPr>
      <w:bookmarkStart w:id="55" w:name="_Toc102642496"/>
      <w:bookmarkStart w:id="56" w:name="_Toc2180"/>
      <w:r>
        <w:rPr>
          <w:rFonts w:hint="eastAsia" w:ascii="宋体" w:hAnsi="宋体" w:cs="宋体"/>
          <w:color w:val="000000"/>
          <w:sz w:val="21"/>
          <w:szCs w:val="21"/>
        </w:rPr>
        <w:t>12. 响应文件的语言及计量</w:t>
      </w:r>
      <w:bookmarkEnd w:id="55"/>
      <w:bookmarkEnd w:id="56"/>
    </w:p>
    <w:p w14:paraId="3475C161">
      <w:pPr>
        <w:spacing w:line="360" w:lineRule="auto"/>
        <w:ind w:firstLine="420" w:firstLineChars="200"/>
        <w:rPr>
          <w:rFonts w:ascii="宋体" w:hAnsi="宋体" w:cs="宋体"/>
          <w:color w:val="000000"/>
          <w:szCs w:val="21"/>
        </w:rPr>
      </w:pPr>
      <w:r>
        <w:rPr>
          <w:rFonts w:hint="eastAsia" w:ascii="宋体" w:hAnsi="宋体" w:cs="宋体"/>
          <w:color w:val="000000"/>
          <w:szCs w:val="21"/>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248887CC">
      <w:pPr>
        <w:spacing w:line="360" w:lineRule="auto"/>
        <w:ind w:firstLine="420" w:firstLineChars="200"/>
        <w:rPr>
          <w:rFonts w:ascii="宋体" w:hAnsi="宋体" w:cs="宋体"/>
          <w:color w:val="000000"/>
          <w:szCs w:val="21"/>
        </w:rPr>
      </w:pPr>
      <w:r>
        <w:rPr>
          <w:rFonts w:hint="eastAsia" w:ascii="宋体" w:hAnsi="宋体" w:cs="宋体"/>
          <w:color w:val="000000"/>
          <w:szCs w:val="21"/>
        </w:rPr>
        <w:t>12.2 磋商计量单位，磋商文件已有明确规定的，使用磋商文件规定的计量单位；磋商文件没有规定的，应采用中华人民共和国法定计量单位（货币单位：人民币元），否则视同未响应。</w:t>
      </w:r>
    </w:p>
    <w:p w14:paraId="24CE639E">
      <w:pPr>
        <w:pStyle w:val="5"/>
        <w:spacing w:line="360" w:lineRule="auto"/>
        <w:ind w:firstLine="420" w:firstLineChars="200"/>
        <w:rPr>
          <w:rFonts w:ascii="宋体" w:hAnsi="宋体" w:cs="宋体"/>
          <w:color w:val="000000"/>
          <w:sz w:val="21"/>
          <w:szCs w:val="21"/>
        </w:rPr>
      </w:pPr>
      <w:bookmarkStart w:id="57" w:name="_Toc10838"/>
      <w:bookmarkStart w:id="58" w:name="_Toc102642497"/>
      <w:r>
        <w:rPr>
          <w:rFonts w:hint="eastAsia" w:ascii="宋体" w:hAnsi="宋体" w:cs="宋体"/>
          <w:color w:val="000000"/>
          <w:sz w:val="21"/>
          <w:szCs w:val="21"/>
        </w:rPr>
        <w:t>13. 磋商报价及采购预算金额</w:t>
      </w:r>
      <w:bookmarkEnd w:id="57"/>
      <w:bookmarkEnd w:id="58"/>
    </w:p>
    <w:p w14:paraId="1CD07B51">
      <w:pPr>
        <w:spacing w:line="360" w:lineRule="auto"/>
        <w:ind w:firstLine="420" w:firstLineChars="200"/>
        <w:rPr>
          <w:rFonts w:ascii="宋体" w:hAnsi="宋体" w:cs="宋体"/>
          <w:color w:val="000000"/>
          <w:szCs w:val="21"/>
        </w:rPr>
      </w:pPr>
      <w:r>
        <w:rPr>
          <w:rFonts w:hint="eastAsia" w:ascii="宋体" w:hAnsi="宋体" w:cs="宋体"/>
          <w:color w:val="000000"/>
          <w:szCs w:val="21"/>
        </w:rPr>
        <w:t>13.1 磋商报价应按磋商文件中相关附表格式填写。采购预算金额（人民币）：</w:t>
      </w:r>
      <w:r>
        <w:rPr>
          <w:rFonts w:hint="eastAsia" w:ascii="宋体" w:hAnsi="宋体" w:cs="宋体"/>
          <w:b/>
          <w:color w:val="000000"/>
          <w:szCs w:val="21"/>
          <w:u w:val="single"/>
        </w:rPr>
        <w:t>壹佰贰拾柒万陆仟壹佰玖拾肆元整</w:t>
      </w:r>
      <w:r>
        <w:rPr>
          <w:rFonts w:hint="eastAsia" w:ascii="宋体" w:hAnsi="宋体" w:cs="宋体"/>
          <w:b/>
          <w:bCs/>
          <w:szCs w:val="21"/>
          <w:u w:val="single"/>
        </w:rPr>
        <w:t>（¥12</w:t>
      </w:r>
      <w:r>
        <w:rPr>
          <w:rFonts w:ascii="宋体" w:hAnsi="宋体" w:cs="宋体"/>
          <w:b/>
          <w:bCs/>
          <w:szCs w:val="21"/>
          <w:u w:val="single"/>
        </w:rPr>
        <w:t>76</w:t>
      </w:r>
      <w:r>
        <w:rPr>
          <w:rFonts w:hint="eastAsia" w:ascii="宋体" w:hAnsi="宋体" w:cs="宋体"/>
          <w:b/>
          <w:bCs/>
          <w:szCs w:val="21"/>
          <w:u w:val="single"/>
        </w:rPr>
        <w:t>194.00元）</w:t>
      </w:r>
      <w:r>
        <w:rPr>
          <w:rFonts w:hint="eastAsia" w:ascii="宋体" w:hAnsi="宋体" w:cs="宋体"/>
          <w:b/>
          <w:bCs/>
          <w:szCs w:val="21"/>
        </w:rPr>
        <w:t>；</w:t>
      </w:r>
      <w:r>
        <w:rPr>
          <w:rFonts w:hint="eastAsia" w:ascii="宋体" w:hAnsi="宋体" w:cs="宋体"/>
          <w:b/>
          <w:color w:val="000000"/>
          <w:szCs w:val="21"/>
        </w:rPr>
        <w:t>最高限价：</w:t>
      </w:r>
      <w:r>
        <w:rPr>
          <w:rFonts w:hint="eastAsia" w:ascii="宋体" w:hAnsi="宋体" w:cs="宋体"/>
          <w:b/>
          <w:bCs/>
          <w:szCs w:val="21"/>
          <w:u w:val="single"/>
        </w:rPr>
        <w:t>壹佰贰拾壹万壹仟壹佰玖拾肆元整（¥1211194.00元）</w:t>
      </w:r>
      <w:r>
        <w:rPr>
          <w:rFonts w:hint="eastAsia" w:ascii="宋体" w:hAnsi="宋体" w:cs="宋体"/>
          <w:color w:val="000000"/>
          <w:szCs w:val="21"/>
        </w:rPr>
        <w:t>。报价超过相应采购预算金额</w:t>
      </w:r>
      <w:r>
        <w:rPr>
          <w:rFonts w:hint="eastAsia" w:ascii="宋体" w:hAnsi="宋体" w:cs="宋体"/>
          <w:b/>
          <w:color w:val="000000"/>
          <w:szCs w:val="21"/>
        </w:rPr>
        <w:t>（最高限价）</w:t>
      </w:r>
      <w:r>
        <w:rPr>
          <w:rFonts w:hint="eastAsia" w:ascii="宋体" w:hAnsi="宋体" w:cs="宋体"/>
          <w:color w:val="000000"/>
          <w:szCs w:val="21"/>
        </w:rPr>
        <w:t>的，响应文件按无效处理。</w:t>
      </w:r>
    </w:p>
    <w:p w14:paraId="0517A0E1">
      <w:pPr>
        <w:spacing w:line="360" w:lineRule="auto"/>
        <w:ind w:firstLine="420" w:firstLineChars="200"/>
        <w:rPr>
          <w:rFonts w:ascii="宋体" w:hAnsi="宋体" w:cs="宋体"/>
          <w:color w:val="000000"/>
          <w:szCs w:val="21"/>
        </w:rPr>
      </w:pPr>
      <w:r>
        <w:rPr>
          <w:rFonts w:hint="eastAsia" w:ascii="宋体" w:hAnsi="宋体" w:cs="宋体"/>
          <w:color w:val="000000"/>
          <w:szCs w:val="21"/>
        </w:rPr>
        <w:t>13.2供应商必须就“采购需求”中所竞所有内容作完整唯一报价，否则，其响应文件无效。响应文件只允许有一个报价，有选择的或有条件的报价将不予接受。</w:t>
      </w:r>
    </w:p>
    <w:p w14:paraId="76839208">
      <w:pPr>
        <w:spacing w:line="360" w:lineRule="auto"/>
        <w:ind w:firstLine="420" w:firstLineChars="200"/>
        <w:rPr>
          <w:rFonts w:ascii="宋体" w:hAnsi="宋体" w:cs="宋体"/>
          <w:color w:val="000000"/>
          <w:szCs w:val="21"/>
        </w:rPr>
      </w:pPr>
      <w:r>
        <w:rPr>
          <w:rFonts w:hint="eastAsia" w:ascii="宋体" w:hAnsi="宋体" w:cs="宋体"/>
          <w:color w:val="000000"/>
          <w:szCs w:val="21"/>
        </w:rPr>
        <w:t>13.3 磋商报价应包括本次采购范围内货物价款、货物随配标准附件、包装、运输、装卸、保险、税金、货到位以及调试、检验、售后服务、培训、保修及其他所有成本费用的总和；供应商综合考虑在报价中。</w:t>
      </w:r>
    </w:p>
    <w:p w14:paraId="308622E3">
      <w:pPr>
        <w:spacing w:line="360" w:lineRule="auto"/>
        <w:ind w:firstLine="420" w:firstLineChars="200"/>
        <w:rPr>
          <w:rFonts w:ascii="宋体" w:hAnsi="宋体" w:cs="宋体"/>
          <w:b/>
          <w:bCs/>
          <w:color w:val="000000"/>
          <w:szCs w:val="21"/>
        </w:rPr>
      </w:pPr>
      <w:r>
        <w:rPr>
          <w:rFonts w:hint="eastAsia" w:ascii="宋体" w:hAnsi="宋体" w:cs="宋体"/>
          <w:color w:val="000000"/>
          <w:szCs w:val="21"/>
        </w:rPr>
        <w:t>13.4供应商应在规定时间内在</w:t>
      </w:r>
      <w:r>
        <w:rPr>
          <w:rFonts w:hint="eastAsia" w:ascii="宋体" w:hAnsi="宋体" w:cs="宋体"/>
          <w:color w:val="000000"/>
          <w:szCs w:val="21"/>
          <w:lang w:eastAsia="zh-CN"/>
        </w:rPr>
        <w:t>广西政府采购云平台</w:t>
      </w:r>
      <w:r>
        <w:rPr>
          <w:rFonts w:hint="eastAsia" w:ascii="宋体" w:hAnsi="宋体" w:cs="宋体"/>
          <w:color w:val="000000"/>
          <w:szCs w:val="21"/>
        </w:rPr>
        <w:t>系统上提交最后报价，超出评委设定的最后报价时限或其最后报价超出采购预算导致已通过评审的响应文件无效的，按供应商在提交响应文件截止时间后撤回响应文件处理。</w:t>
      </w:r>
    </w:p>
    <w:p w14:paraId="24F51A2F">
      <w:pPr>
        <w:pStyle w:val="5"/>
        <w:spacing w:line="360" w:lineRule="auto"/>
        <w:ind w:firstLine="420" w:firstLineChars="200"/>
        <w:rPr>
          <w:rFonts w:ascii="宋体" w:hAnsi="宋体" w:cs="宋体"/>
          <w:color w:val="000000"/>
          <w:sz w:val="21"/>
          <w:szCs w:val="21"/>
        </w:rPr>
      </w:pPr>
      <w:bookmarkStart w:id="59" w:name="_Toc26881"/>
      <w:bookmarkStart w:id="60" w:name="_Toc102642498"/>
      <w:r>
        <w:rPr>
          <w:rFonts w:hint="eastAsia" w:ascii="宋体" w:hAnsi="宋体" w:cs="宋体"/>
          <w:color w:val="000000"/>
          <w:sz w:val="21"/>
          <w:szCs w:val="21"/>
        </w:rPr>
        <w:t>14. 响应文件有效期</w:t>
      </w:r>
      <w:bookmarkEnd w:id="59"/>
      <w:bookmarkEnd w:id="60"/>
    </w:p>
    <w:p w14:paraId="69FA4DFF">
      <w:pPr>
        <w:spacing w:line="360" w:lineRule="auto"/>
        <w:ind w:firstLine="420" w:firstLineChars="200"/>
        <w:rPr>
          <w:rFonts w:ascii="宋体" w:hAnsi="宋体" w:cs="宋体"/>
          <w:color w:val="000000"/>
          <w:szCs w:val="21"/>
        </w:rPr>
      </w:pPr>
      <w:r>
        <w:rPr>
          <w:rFonts w:hint="eastAsia" w:ascii="宋体" w:hAnsi="宋体" w:cs="宋体"/>
          <w:color w:val="000000"/>
          <w:szCs w:val="21"/>
        </w:rPr>
        <w:t>14.1 响应文件有效期：响应文件递交截止时间之日起90天，有效期不足的响应文件将被拒绝。</w:t>
      </w:r>
    </w:p>
    <w:p w14:paraId="428F1012">
      <w:pPr>
        <w:spacing w:line="360" w:lineRule="auto"/>
        <w:ind w:firstLine="420" w:firstLineChars="200"/>
        <w:rPr>
          <w:rFonts w:ascii="宋体" w:hAnsi="宋体" w:cs="宋体"/>
          <w:color w:val="000000"/>
          <w:szCs w:val="21"/>
        </w:rPr>
      </w:pPr>
      <w:r>
        <w:rPr>
          <w:rFonts w:hint="eastAsia" w:ascii="宋体" w:hAnsi="宋体" w:cs="宋体"/>
          <w:color w:val="000000"/>
          <w:szCs w:val="21"/>
        </w:rPr>
        <w:t>14.2 出现特殊情况下，需要延长响应文件有效期的，采购代理机构书面通知供应商延长响应文件有效期。供应商同意延长的，但不能修改响应文件。供应商拒绝延长的，其响应文件无效。</w:t>
      </w:r>
    </w:p>
    <w:p w14:paraId="0568539E">
      <w:pPr>
        <w:pStyle w:val="5"/>
        <w:spacing w:line="360" w:lineRule="auto"/>
        <w:ind w:firstLine="420" w:firstLineChars="200"/>
        <w:rPr>
          <w:rFonts w:ascii="宋体" w:hAnsi="宋体" w:cs="宋体"/>
          <w:color w:val="000000"/>
          <w:sz w:val="21"/>
          <w:szCs w:val="21"/>
        </w:rPr>
      </w:pPr>
      <w:bookmarkStart w:id="61" w:name="_Toc102642499"/>
      <w:bookmarkStart w:id="62" w:name="_Toc22602"/>
      <w:r>
        <w:rPr>
          <w:rFonts w:hint="eastAsia" w:ascii="宋体" w:hAnsi="宋体" w:cs="宋体"/>
          <w:color w:val="000000"/>
          <w:sz w:val="21"/>
          <w:szCs w:val="21"/>
        </w:rPr>
        <w:t>15. 磋商保证金</w:t>
      </w:r>
      <w:bookmarkEnd w:id="61"/>
      <w:bookmarkEnd w:id="62"/>
    </w:p>
    <w:p w14:paraId="0E5C760B">
      <w:pPr>
        <w:spacing w:line="360" w:lineRule="auto"/>
        <w:ind w:firstLine="420" w:firstLineChars="200"/>
        <w:rPr>
          <w:rFonts w:ascii="宋体" w:hAnsi="宋体" w:cs="宋体"/>
          <w:b/>
          <w:bCs/>
          <w:color w:val="000000"/>
          <w:szCs w:val="21"/>
        </w:rPr>
      </w:pPr>
      <w:r>
        <w:rPr>
          <w:rFonts w:hint="eastAsia" w:ascii="宋体" w:hAnsi="宋体" w:cs="宋体"/>
          <w:color w:val="000000"/>
          <w:szCs w:val="21"/>
        </w:rPr>
        <w:t>本项目无需缴纳磋商保证金。</w:t>
      </w:r>
    </w:p>
    <w:p w14:paraId="0C294CD4">
      <w:pPr>
        <w:pStyle w:val="5"/>
        <w:spacing w:line="360" w:lineRule="auto"/>
        <w:ind w:firstLine="420" w:firstLineChars="200"/>
        <w:rPr>
          <w:rFonts w:ascii="宋体" w:hAnsi="宋体" w:cs="宋体"/>
          <w:color w:val="000000"/>
          <w:sz w:val="21"/>
          <w:szCs w:val="21"/>
        </w:rPr>
      </w:pPr>
      <w:bookmarkStart w:id="63" w:name="_Toc387"/>
      <w:bookmarkStart w:id="64" w:name="_Toc102642500"/>
      <w:r>
        <w:rPr>
          <w:rFonts w:hint="eastAsia" w:ascii="宋体" w:hAnsi="宋体" w:cs="宋体"/>
          <w:color w:val="000000"/>
          <w:sz w:val="21"/>
          <w:szCs w:val="21"/>
        </w:rPr>
        <w:t>16. 竞争性磋商响应文件的</w:t>
      </w:r>
      <w:bookmarkEnd w:id="63"/>
      <w:r>
        <w:rPr>
          <w:rFonts w:hint="eastAsia" w:ascii="宋体" w:hAnsi="宋体" w:cs="宋体"/>
          <w:color w:val="000000"/>
          <w:sz w:val="21"/>
          <w:szCs w:val="21"/>
        </w:rPr>
        <w:t>制作</w:t>
      </w:r>
      <w:bookmarkEnd w:id="64"/>
    </w:p>
    <w:p w14:paraId="277529C6">
      <w:pPr>
        <w:spacing w:line="360" w:lineRule="auto"/>
        <w:ind w:firstLine="420" w:firstLineChars="200"/>
        <w:rPr>
          <w:rFonts w:ascii="宋体" w:hAnsi="宋体" w:cs="宋体"/>
          <w:color w:val="000000"/>
          <w:szCs w:val="21"/>
        </w:rPr>
      </w:pPr>
      <w:r>
        <w:rPr>
          <w:rFonts w:hint="eastAsia" w:ascii="宋体" w:hAnsi="宋体" w:cs="宋体"/>
          <w:color w:val="000000"/>
          <w:szCs w:val="21"/>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54D052B7">
      <w:pPr>
        <w:spacing w:line="360" w:lineRule="auto"/>
        <w:ind w:firstLine="420" w:firstLineChars="200"/>
        <w:rPr>
          <w:rFonts w:ascii="宋体" w:hAnsi="宋体" w:cs="宋体"/>
          <w:szCs w:val="21"/>
        </w:rPr>
      </w:pPr>
      <w:r>
        <w:rPr>
          <w:rFonts w:hint="eastAsia" w:ascii="宋体" w:hAnsi="宋体" w:cs="宋体"/>
          <w:szCs w:val="21"/>
        </w:rPr>
        <w:t>16.2供应商法人（负责人）或授权代表持有</w:t>
      </w:r>
      <w:r>
        <w:rPr>
          <w:rFonts w:hint="eastAsia" w:ascii="宋体" w:hAnsi="宋体" w:cs="宋体"/>
          <w:szCs w:val="21"/>
          <w:lang w:eastAsia="zh-CN"/>
        </w:rPr>
        <w:t>广西政府采购云平台</w:t>
      </w:r>
      <w:r>
        <w:rPr>
          <w:rFonts w:hint="eastAsia" w:ascii="宋体" w:hAnsi="宋体" w:cs="宋体"/>
          <w:szCs w:val="21"/>
        </w:rPr>
        <w:t>个人CA签章的，应在响应文件中涉及到签字的位置使用个人CA签章，没有办理</w:t>
      </w:r>
      <w:r>
        <w:rPr>
          <w:rFonts w:hint="eastAsia" w:ascii="宋体" w:hAnsi="宋体" w:cs="宋体"/>
          <w:szCs w:val="21"/>
          <w:lang w:eastAsia="zh-CN"/>
        </w:rPr>
        <w:t>广西政府采购云平台</w:t>
      </w:r>
      <w:r>
        <w:rPr>
          <w:rFonts w:hint="eastAsia" w:ascii="宋体" w:hAnsi="宋体" w:cs="宋体"/>
          <w:szCs w:val="21"/>
        </w:rPr>
        <w:t>个人CA签章的可在响应文件中涉及到签字的位置手写签字后扫描或者拍照做成 PDF 的格式上传即可。</w:t>
      </w:r>
    </w:p>
    <w:p w14:paraId="570222C0">
      <w:pPr>
        <w:spacing w:line="360" w:lineRule="auto"/>
        <w:ind w:firstLine="420" w:firstLineChars="200"/>
        <w:rPr>
          <w:rFonts w:ascii="宋体" w:hAnsi="宋体" w:cs="宋体"/>
          <w:color w:val="000000"/>
          <w:szCs w:val="21"/>
        </w:rPr>
      </w:pPr>
      <w:r>
        <w:rPr>
          <w:rFonts w:hint="eastAsia" w:ascii="宋体" w:hAnsi="宋体" w:cs="宋体"/>
          <w:color w:val="000000"/>
          <w:szCs w:val="21"/>
        </w:rPr>
        <w:t>16.3 磋商响应文件不得涂改，若有修改错漏处，须法定代表人（负责人）或授权委托人签字</w:t>
      </w:r>
      <w:r>
        <w:rPr>
          <w:rFonts w:hint="eastAsia" w:ascii="宋体" w:hAnsi="宋体" w:cs="宋体"/>
          <w:szCs w:val="21"/>
        </w:rPr>
        <w:t>（或个人CA签章）</w:t>
      </w:r>
      <w:r>
        <w:rPr>
          <w:rFonts w:hint="eastAsia" w:ascii="宋体" w:hAnsi="宋体" w:cs="宋体"/>
          <w:color w:val="000000"/>
          <w:szCs w:val="21"/>
        </w:rPr>
        <w:t>。磋商响应文件因字迹潦草或表达不清所引起的后果由供应商负责。</w:t>
      </w:r>
    </w:p>
    <w:p w14:paraId="07FC0BA7">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16.4磋商前准备 </w:t>
      </w:r>
    </w:p>
    <w:p w14:paraId="6B57A85C">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16.4.1本项目实行在线磋商，采用电子磋商响应文件。若供应商参与磋商，自行承担磋商一切费用。 </w:t>
      </w:r>
    </w:p>
    <w:p w14:paraId="1CE2AF16">
      <w:pPr>
        <w:spacing w:line="360" w:lineRule="auto"/>
        <w:ind w:firstLine="420" w:firstLineChars="200"/>
        <w:rPr>
          <w:rFonts w:ascii="宋体" w:hAnsi="宋体" w:cs="宋体"/>
          <w:color w:val="000000"/>
          <w:szCs w:val="21"/>
        </w:rPr>
      </w:pPr>
      <w:r>
        <w:rPr>
          <w:rFonts w:hint="eastAsia" w:ascii="宋体" w:hAnsi="宋体" w:cs="宋体"/>
          <w:color w:val="000000"/>
          <w:szCs w:val="21"/>
        </w:rPr>
        <w:t>16.4.2各供应商应在截标前应确保成为</w:t>
      </w:r>
      <w:r>
        <w:rPr>
          <w:rFonts w:hint="eastAsia" w:ascii="宋体" w:hAnsi="宋体" w:cs="宋体"/>
          <w:color w:val="000000"/>
          <w:szCs w:val="21"/>
          <w:lang w:eastAsia="zh-CN"/>
        </w:rPr>
        <w:t>广西政府采购云平台</w:t>
      </w:r>
      <w:r>
        <w:rPr>
          <w:rFonts w:hint="eastAsia" w:ascii="宋体" w:hAnsi="宋体" w:cs="宋体"/>
          <w:color w:val="000000"/>
          <w:szCs w:val="21"/>
        </w:rPr>
        <w:t xml:space="preserve">正式注册入库供应商，并完成 CA 数字证书申领。因未注册入库、未办理 CA 数字证书等原因造成无法磋商或磋商失败等后果由供应商自行承担。 </w:t>
      </w:r>
    </w:p>
    <w:p w14:paraId="3F639491">
      <w:pPr>
        <w:spacing w:line="360" w:lineRule="auto"/>
        <w:ind w:firstLine="420" w:firstLineChars="200"/>
        <w:rPr>
          <w:rFonts w:ascii="宋体" w:hAnsi="宋体" w:cs="宋体"/>
          <w:color w:val="000000"/>
          <w:szCs w:val="21"/>
        </w:rPr>
      </w:pPr>
      <w:r>
        <w:rPr>
          <w:rFonts w:hint="eastAsia" w:ascii="宋体" w:hAnsi="宋体" w:cs="宋体"/>
          <w:color w:val="000000"/>
          <w:szCs w:val="21"/>
        </w:rPr>
        <w:t>16.4.3供应商将</w:t>
      </w:r>
      <w:r>
        <w:rPr>
          <w:rFonts w:hint="eastAsia" w:ascii="宋体" w:hAnsi="宋体" w:cs="宋体"/>
          <w:color w:val="000000"/>
          <w:szCs w:val="21"/>
          <w:lang w:eastAsia="zh-CN"/>
        </w:rPr>
        <w:t>广西政府采购云平台</w:t>
      </w:r>
      <w:r>
        <w:rPr>
          <w:rFonts w:hint="eastAsia" w:ascii="宋体" w:hAnsi="宋体" w:cs="宋体"/>
          <w:color w:val="000000"/>
          <w:szCs w:val="21"/>
        </w:rPr>
        <w:t>电子交易客户端下载、安装完成后，可通过账号密码或 CA 登录客户端进行响应文件制作。客户端请至网站下载专区查看，如有问题可拨打</w:t>
      </w:r>
      <w:r>
        <w:rPr>
          <w:rFonts w:hint="eastAsia" w:ascii="宋体" w:hAnsi="宋体" w:cs="宋体"/>
          <w:color w:val="000000"/>
          <w:szCs w:val="21"/>
          <w:lang w:eastAsia="zh-CN"/>
        </w:rPr>
        <w:t>广西政府采购云平台</w:t>
      </w:r>
      <w:r>
        <w:rPr>
          <w:rFonts w:hint="eastAsia" w:ascii="宋体" w:hAnsi="宋体" w:cs="宋体"/>
          <w:color w:val="000000"/>
          <w:szCs w:val="21"/>
        </w:rPr>
        <w:t>客户服务热线 95763 进行咨询。</w:t>
      </w:r>
    </w:p>
    <w:p w14:paraId="6A4753A4">
      <w:pPr>
        <w:pStyle w:val="5"/>
        <w:spacing w:line="360" w:lineRule="auto"/>
        <w:ind w:firstLine="420" w:firstLineChars="200"/>
        <w:rPr>
          <w:rFonts w:ascii="宋体" w:hAnsi="宋体" w:cs="宋体"/>
          <w:color w:val="000000"/>
          <w:sz w:val="21"/>
          <w:szCs w:val="21"/>
        </w:rPr>
      </w:pPr>
      <w:bookmarkStart w:id="65" w:name="_Toc102642501"/>
      <w:r>
        <w:rPr>
          <w:rFonts w:hint="eastAsia" w:ascii="宋体" w:hAnsi="宋体" w:cs="宋体"/>
          <w:color w:val="000000"/>
          <w:sz w:val="21"/>
          <w:szCs w:val="21"/>
        </w:rPr>
        <w:t>17. 响应文件的修改和撤回</w:t>
      </w:r>
      <w:bookmarkEnd w:id="65"/>
    </w:p>
    <w:p w14:paraId="4D60BA08">
      <w:pPr>
        <w:spacing w:line="360" w:lineRule="auto"/>
        <w:ind w:firstLine="420" w:firstLineChars="200"/>
        <w:rPr>
          <w:rFonts w:ascii="宋体" w:hAnsi="宋体" w:cs="宋体"/>
          <w:color w:val="000000"/>
          <w:szCs w:val="21"/>
        </w:rPr>
      </w:pPr>
      <w:r>
        <w:rPr>
          <w:rFonts w:hint="eastAsia" w:ascii="宋体" w:hAnsi="宋体" w:cs="宋体"/>
          <w:color w:val="000000"/>
          <w:szCs w:val="21"/>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12CD9DA0">
      <w:pPr>
        <w:spacing w:line="360" w:lineRule="auto"/>
        <w:ind w:firstLine="420" w:firstLineChars="200"/>
        <w:rPr>
          <w:rFonts w:ascii="宋体" w:hAnsi="宋体" w:cs="宋体"/>
          <w:color w:val="000000"/>
          <w:szCs w:val="21"/>
        </w:rPr>
      </w:pPr>
      <w:r>
        <w:rPr>
          <w:rFonts w:hint="eastAsia" w:ascii="宋体" w:hAnsi="宋体" w:cs="宋体"/>
          <w:color w:val="000000"/>
          <w:szCs w:val="21"/>
        </w:rPr>
        <w:t>17.2 在响应文件递交截止时间后的响应文件有效期内，供应商不得撤回其响应文件。</w:t>
      </w:r>
    </w:p>
    <w:p w14:paraId="7524B8FF">
      <w:pPr>
        <w:pStyle w:val="5"/>
        <w:spacing w:line="360" w:lineRule="auto"/>
        <w:ind w:firstLine="420" w:firstLineChars="200"/>
        <w:rPr>
          <w:rFonts w:ascii="宋体" w:hAnsi="宋体" w:cs="宋体"/>
          <w:color w:val="000000"/>
          <w:sz w:val="21"/>
          <w:szCs w:val="21"/>
        </w:rPr>
      </w:pPr>
      <w:bookmarkStart w:id="66" w:name="_Toc30156"/>
      <w:bookmarkStart w:id="67" w:name="_Toc102642502"/>
      <w:r>
        <w:rPr>
          <w:rFonts w:hint="eastAsia" w:ascii="宋体" w:hAnsi="宋体" w:cs="宋体"/>
          <w:color w:val="000000"/>
          <w:sz w:val="21"/>
          <w:szCs w:val="21"/>
        </w:rPr>
        <w:t>18. 响应文件的递交和解密</w:t>
      </w:r>
      <w:bookmarkEnd w:id="66"/>
      <w:bookmarkEnd w:id="67"/>
    </w:p>
    <w:p w14:paraId="1CD9FF7B">
      <w:pPr>
        <w:spacing w:line="360" w:lineRule="auto"/>
        <w:ind w:firstLine="420" w:firstLineChars="200"/>
        <w:rPr>
          <w:rFonts w:ascii="宋体" w:hAnsi="宋体" w:cs="宋体"/>
          <w:color w:val="000000"/>
          <w:szCs w:val="21"/>
        </w:rPr>
      </w:pPr>
      <w:r>
        <w:rPr>
          <w:rFonts w:hint="eastAsia" w:ascii="宋体" w:hAnsi="宋体" w:cs="宋体"/>
          <w:color w:val="000000"/>
          <w:szCs w:val="21"/>
        </w:rPr>
        <w:t>18.1响应文件递交截止时间：于</w:t>
      </w:r>
      <w:r>
        <w:rPr>
          <w:rFonts w:hint="eastAsia" w:ascii="宋体" w:hAnsi="宋体" w:cs="宋体"/>
          <w:szCs w:val="21"/>
          <w:u w:val="single"/>
          <w:lang w:eastAsia="zh-CN"/>
        </w:rPr>
        <w:t>2025年1月7日</w:t>
      </w:r>
      <w:r>
        <w:rPr>
          <w:rFonts w:hint="eastAsia" w:ascii="宋体" w:hAnsi="宋体" w:cs="宋体"/>
          <w:szCs w:val="21"/>
          <w:u w:val="single"/>
        </w:rPr>
        <w:t>上午9时30分</w:t>
      </w:r>
      <w:r>
        <w:rPr>
          <w:rFonts w:hint="eastAsia" w:ascii="宋体" w:hAnsi="宋体" w:cs="宋体"/>
          <w:color w:val="000000"/>
          <w:szCs w:val="21"/>
        </w:rPr>
        <w:t>之前将电子磋商响应文件上传到</w:t>
      </w:r>
      <w:r>
        <w:rPr>
          <w:rFonts w:hint="eastAsia" w:ascii="宋体" w:hAnsi="宋体" w:cs="宋体"/>
          <w:color w:val="000000"/>
          <w:szCs w:val="21"/>
          <w:lang w:eastAsia="zh-CN"/>
        </w:rPr>
        <w:t>广西政府采购云平台</w:t>
      </w:r>
      <w:r>
        <w:rPr>
          <w:rFonts w:hint="eastAsia" w:ascii="宋体" w:hAnsi="宋体" w:cs="宋体"/>
          <w:color w:val="000000"/>
          <w:szCs w:val="21"/>
        </w:rPr>
        <w:t>。应按照本项目磋商文件和</w:t>
      </w:r>
      <w:r>
        <w:rPr>
          <w:rFonts w:hint="eastAsia" w:ascii="宋体" w:hAnsi="宋体" w:cs="宋体"/>
          <w:color w:val="000000"/>
          <w:szCs w:val="21"/>
          <w:lang w:eastAsia="zh-CN"/>
        </w:rPr>
        <w:t>广西政府采购云平台</w:t>
      </w:r>
      <w:r>
        <w:rPr>
          <w:rFonts w:hint="eastAsia" w:ascii="宋体" w:hAnsi="宋体" w:cs="宋体"/>
          <w:color w:val="000000"/>
          <w:szCs w:val="21"/>
        </w:rPr>
        <w:t>的要求编制、加密传输磋商响应文件。供应商在使用系统进行投标的过程中遇到涉及平台使用的任何问题，可致电</w:t>
      </w:r>
      <w:r>
        <w:rPr>
          <w:rFonts w:hint="eastAsia" w:ascii="宋体" w:hAnsi="宋体" w:cs="宋体"/>
          <w:color w:val="000000"/>
          <w:szCs w:val="21"/>
          <w:lang w:eastAsia="zh-CN"/>
        </w:rPr>
        <w:t>广西政府采购云平台</w:t>
      </w:r>
      <w:r>
        <w:rPr>
          <w:rFonts w:hint="eastAsia" w:ascii="宋体" w:hAnsi="宋体" w:cs="宋体"/>
          <w:color w:val="000000"/>
          <w:szCs w:val="21"/>
        </w:rPr>
        <w:t>技术支持热线咨询，联系方式：95763。</w:t>
      </w:r>
    </w:p>
    <w:p w14:paraId="722ADA70">
      <w:pPr>
        <w:spacing w:line="360" w:lineRule="auto"/>
        <w:ind w:firstLine="420" w:firstLineChars="200"/>
        <w:rPr>
          <w:rFonts w:ascii="宋体" w:hAnsi="宋体" w:cs="宋体"/>
          <w:color w:val="000000"/>
          <w:szCs w:val="21"/>
        </w:rPr>
      </w:pPr>
      <w:r>
        <w:rPr>
          <w:rFonts w:hint="eastAsia" w:ascii="宋体" w:hAnsi="宋体" w:cs="宋体"/>
          <w:color w:val="000000"/>
          <w:szCs w:val="21"/>
        </w:rPr>
        <w:t>18.2磋商响应文件解密时间：截标时间后</w:t>
      </w:r>
      <w:r>
        <w:rPr>
          <w:rFonts w:hint="eastAsia" w:ascii="宋体" w:hAnsi="宋体" w:cs="宋体"/>
          <w:color w:val="000000"/>
          <w:szCs w:val="21"/>
          <w:u w:val="single"/>
        </w:rPr>
        <w:t>30</w:t>
      </w:r>
      <w:r>
        <w:rPr>
          <w:rFonts w:hint="eastAsia" w:ascii="宋体" w:hAnsi="宋体" w:cs="宋体"/>
          <w:color w:val="000000"/>
          <w:szCs w:val="21"/>
        </w:rPr>
        <w:t>分钟内</w:t>
      </w:r>
      <w:r>
        <w:rPr>
          <w:rFonts w:hint="eastAsia" w:ascii="宋体" w:hAnsi="宋体" w:cs="宋体"/>
          <w:szCs w:val="21"/>
        </w:rPr>
        <w:t>（</w:t>
      </w:r>
      <w:r>
        <w:rPr>
          <w:rFonts w:hint="eastAsia" w:ascii="宋体" w:hAnsi="宋体" w:cs="宋体"/>
          <w:szCs w:val="21"/>
          <w:u w:val="single"/>
          <w:lang w:eastAsia="zh-CN"/>
        </w:rPr>
        <w:t>2025年1月7日</w:t>
      </w:r>
      <w:r>
        <w:rPr>
          <w:rFonts w:hint="eastAsia" w:ascii="宋体" w:hAnsi="宋体" w:cs="宋体"/>
          <w:szCs w:val="21"/>
          <w:u w:val="single"/>
        </w:rPr>
        <w:t>上午9时30分至10时00分</w:t>
      </w:r>
      <w:r>
        <w:rPr>
          <w:rFonts w:hint="eastAsia" w:ascii="宋体" w:hAnsi="宋体" w:cs="宋体"/>
          <w:szCs w:val="21"/>
        </w:rPr>
        <w:t>)磋商</w:t>
      </w:r>
      <w:r>
        <w:rPr>
          <w:rFonts w:hint="eastAsia" w:ascii="宋体" w:hAnsi="宋体" w:cs="宋体"/>
          <w:color w:val="000000"/>
          <w:szCs w:val="21"/>
        </w:rPr>
        <w:t>供应商可以登录</w:t>
      </w:r>
      <w:r>
        <w:rPr>
          <w:rFonts w:hint="eastAsia" w:ascii="宋体" w:hAnsi="宋体" w:cs="宋体"/>
          <w:color w:val="000000"/>
          <w:szCs w:val="21"/>
          <w:lang w:eastAsia="zh-CN"/>
        </w:rPr>
        <w:t>广西政府采购云平台</w:t>
      </w:r>
      <w:r>
        <w:rPr>
          <w:rFonts w:hint="eastAsia" w:ascii="宋体" w:hAnsi="宋体" w:cs="宋体"/>
          <w:color w:val="000000"/>
          <w:szCs w:val="21"/>
        </w:rPr>
        <w:t>，用“项目采购-开标评标”功能进行解密磋商文件。</w:t>
      </w:r>
    </w:p>
    <w:p w14:paraId="710AE2D6">
      <w:pPr>
        <w:spacing w:line="360" w:lineRule="auto"/>
        <w:ind w:firstLine="420" w:firstLineChars="200"/>
        <w:rPr>
          <w:rFonts w:ascii="宋体" w:hAnsi="宋体" w:cs="宋体"/>
          <w:b/>
          <w:bCs/>
          <w:szCs w:val="21"/>
        </w:rPr>
      </w:pPr>
      <w:r>
        <w:rPr>
          <w:rFonts w:hint="eastAsia" w:ascii="宋体" w:hAnsi="宋体" w:cs="宋体"/>
          <w:b/>
          <w:bCs/>
          <w:szCs w:val="21"/>
        </w:rPr>
        <w:t>注：投标文件网上递交截止时间后，各投标人须在解密时限内对上传</w:t>
      </w:r>
      <w:r>
        <w:rPr>
          <w:rFonts w:hint="eastAsia" w:ascii="宋体" w:hAnsi="宋体" w:cs="宋体"/>
          <w:b/>
          <w:bCs/>
          <w:szCs w:val="21"/>
          <w:lang w:eastAsia="zh-CN"/>
        </w:rPr>
        <w:t>广西政府采购云平台</w:t>
      </w:r>
      <w:r>
        <w:rPr>
          <w:rFonts w:hint="eastAsia" w:ascii="宋体" w:hAnsi="宋体" w:cs="宋体"/>
          <w:b/>
          <w:bCs/>
          <w:szCs w:val="21"/>
        </w:rPr>
        <w:t>的投标文件进行解密，所有投标人在规定的解密时限内解密完成或解密时限结束后，我中心开启已解密的响应文件。投标人超过解密时限未解密的，系统默认自动放弃，造成投标无效的后果由投标人自行承担。</w:t>
      </w:r>
    </w:p>
    <w:p w14:paraId="49AD182A">
      <w:pPr>
        <w:spacing w:line="360" w:lineRule="auto"/>
        <w:ind w:firstLine="420" w:firstLineChars="200"/>
        <w:rPr>
          <w:rFonts w:ascii="宋体" w:hAnsi="宋体" w:cs="宋体"/>
          <w:color w:val="000000"/>
          <w:szCs w:val="21"/>
        </w:rPr>
      </w:pPr>
      <w:r>
        <w:rPr>
          <w:rFonts w:hint="eastAsia" w:ascii="宋体" w:hAnsi="宋体" w:cs="宋体"/>
          <w:color w:val="000000"/>
          <w:szCs w:val="21"/>
        </w:rPr>
        <w:t>18.3 除竞争性磋商文件另有规定外，供应商所递交的响应文件不予退还。</w:t>
      </w:r>
    </w:p>
    <w:p w14:paraId="1084D6CE">
      <w:pPr>
        <w:spacing w:line="360" w:lineRule="auto"/>
        <w:ind w:firstLine="420" w:firstLineChars="200"/>
        <w:rPr>
          <w:rFonts w:ascii="宋体" w:hAnsi="宋体" w:cs="宋体"/>
          <w:color w:val="000000"/>
          <w:szCs w:val="21"/>
        </w:rPr>
      </w:pPr>
      <w:r>
        <w:rPr>
          <w:rFonts w:hint="eastAsia" w:ascii="宋体" w:hAnsi="宋体" w:cs="宋体"/>
          <w:color w:val="000000"/>
          <w:szCs w:val="21"/>
        </w:rPr>
        <w:t>18.4 电子响应文件的相关说明</w:t>
      </w:r>
    </w:p>
    <w:p w14:paraId="5331649E">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1）供应商进行电子投标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28EDDBB0">
      <w:pPr>
        <w:spacing w:line="360" w:lineRule="auto"/>
        <w:ind w:firstLine="420" w:firstLineChars="200"/>
        <w:rPr>
          <w:rFonts w:ascii="宋体" w:hAnsi="宋体" w:cs="宋体"/>
          <w:color w:val="000000"/>
        </w:rPr>
      </w:pPr>
      <w:r>
        <w:rPr>
          <w:rFonts w:hint="eastAsia" w:ascii="宋体" w:hAnsi="宋体" w:cs="宋体"/>
          <w:color w:val="000000"/>
          <w:szCs w:val="21"/>
        </w:rPr>
        <w:t>（2）如有特殊情况，采购代理机构延长截止时间和开标时间，采购代理机构和供应商的权利和义务将受到新的截止时间和开标时间的约束。</w:t>
      </w:r>
    </w:p>
    <w:p w14:paraId="4811C40E">
      <w:pPr>
        <w:pStyle w:val="4"/>
        <w:jc w:val="center"/>
        <w:rPr>
          <w:rFonts w:ascii="宋体" w:hAnsi="宋体" w:cs="宋体"/>
          <w:b/>
          <w:bCs w:val="0"/>
          <w:szCs w:val="28"/>
        </w:rPr>
      </w:pPr>
      <w:bookmarkStart w:id="68" w:name="_Toc2433"/>
      <w:bookmarkStart w:id="69" w:name="_Toc102642503"/>
      <w:r>
        <w:rPr>
          <w:rFonts w:hint="eastAsia" w:ascii="宋体" w:hAnsi="宋体" w:cs="宋体"/>
          <w:b/>
          <w:bCs w:val="0"/>
          <w:szCs w:val="28"/>
        </w:rPr>
        <w:t>四、竞争性磋商（简称磋商）与评审</w:t>
      </w:r>
      <w:bookmarkEnd w:id="68"/>
      <w:bookmarkEnd w:id="69"/>
    </w:p>
    <w:p w14:paraId="6C9B341C">
      <w:pPr>
        <w:pStyle w:val="5"/>
        <w:spacing w:line="360" w:lineRule="auto"/>
        <w:ind w:firstLine="420" w:firstLineChars="200"/>
        <w:rPr>
          <w:rFonts w:ascii="宋体" w:hAnsi="宋体" w:cs="宋体"/>
          <w:color w:val="000000"/>
          <w:sz w:val="21"/>
          <w:szCs w:val="21"/>
        </w:rPr>
      </w:pPr>
      <w:bookmarkStart w:id="70" w:name="_Toc102642504"/>
      <w:bookmarkStart w:id="71" w:name="_Toc31588"/>
      <w:r>
        <w:rPr>
          <w:rFonts w:hint="eastAsia" w:ascii="宋体" w:hAnsi="宋体" w:cs="宋体"/>
          <w:color w:val="000000"/>
          <w:sz w:val="21"/>
          <w:szCs w:val="21"/>
        </w:rPr>
        <w:t>19. 磋商小组组成及磋商时间、地点、人员</w:t>
      </w:r>
      <w:bookmarkEnd w:id="70"/>
      <w:bookmarkEnd w:id="71"/>
    </w:p>
    <w:p w14:paraId="192B0D03">
      <w:pPr>
        <w:spacing w:line="360" w:lineRule="auto"/>
        <w:ind w:firstLine="420" w:firstLineChars="200"/>
        <w:rPr>
          <w:rFonts w:ascii="宋体" w:hAnsi="宋体" w:cs="宋体"/>
          <w:color w:val="000000"/>
          <w:szCs w:val="21"/>
        </w:rPr>
      </w:pPr>
      <w:r>
        <w:rPr>
          <w:rFonts w:hint="eastAsia" w:ascii="宋体" w:hAnsi="宋体" w:cs="宋体"/>
          <w:color w:val="000000"/>
          <w:szCs w:val="21"/>
        </w:rPr>
        <w:t>19.1 磋商小组组成：</w:t>
      </w:r>
    </w:p>
    <w:p w14:paraId="239EE2DD">
      <w:pPr>
        <w:spacing w:line="360" w:lineRule="auto"/>
        <w:ind w:firstLine="420" w:firstLineChars="200"/>
        <w:rPr>
          <w:rFonts w:ascii="宋体" w:hAnsi="宋体" w:cs="宋体"/>
          <w:color w:val="000000"/>
          <w:szCs w:val="21"/>
        </w:rPr>
      </w:pPr>
      <w:r>
        <w:rPr>
          <w:rFonts w:hint="eastAsia" w:ascii="宋体" w:hAnsi="宋体" w:cs="宋体"/>
          <w:color w:val="000000"/>
          <w:szCs w:val="21"/>
        </w:rPr>
        <w:t>磋商及评审工作由采购代理机构负责组织，具体磋商、评审工作由依法组建的磋商小组负责，磋商小组由采购人代表和评审专家组成。磋商小组的构成：</w:t>
      </w:r>
      <w:r>
        <w:rPr>
          <w:rFonts w:hint="eastAsia" w:ascii="宋体" w:hAnsi="宋体" w:cs="宋体"/>
          <w:color w:val="000000"/>
          <w:szCs w:val="21"/>
          <w:u w:val="single"/>
        </w:rPr>
        <w:t xml:space="preserve"> 3 </w:t>
      </w:r>
      <w:r>
        <w:rPr>
          <w:rFonts w:hint="eastAsia" w:ascii="宋体" w:hAnsi="宋体" w:cs="宋体"/>
          <w:color w:val="000000"/>
          <w:szCs w:val="21"/>
        </w:rPr>
        <w:t>人，其中采购人代表</w:t>
      </w:r>
      <w:r>
        <w:rPr>
          <w:rFonts w:hint="eastAsia" w:ascii="宋体" w:hAnsi="宋体" w:cs="宋体"/>
          <w:color w:val="000000"/>
          <w:szCs w:val="21"/>
          <w:u w:val="single"/>
        </w:rPr>
        <w:t xml:space="preserve"> 1 </w:t>
      </w:r>
      <w:r>
        <w:rPr>
          <w:rFonts w:hint="eastAsia" w:ascii="宋体" w:hAnsi="宋体" w:cs="宋体"/>
          <w:color w:val="000000"/>
          <w:szCs w:val="21"/>
        </w:rPr>
        <w:t>人，评审专家</w:t>
      </w:r>
      <w:r>
        <w:rPr>
          <w:rFonts w:hint="eastAsia" w:ascii="宋体" w:hAnsi="宋体" w:cs="宋体"/>
          <w:color w:val="000000"/>
          <w:szCs w:val="21"/>
          <w:u w:val="single"/>
        </w:rPr>
        <w:t xml:space="preserve"> 2 </w:t>
      </w:r>
      <w:r>
        <w:rPr>
          <w:rFonts w:hint="eastAsia" w:ascii="宋体" w:hAnsi="宋体" w:cs="宋体"/>
          <w:color w:val="000000"/>
          <w:szCs w:val="21"/>
        </w:rPr>
        <w:t>人。</w:t>
      </w:r>
    </w:p>
    <w:p w14:paraId="217209A9">
      <w:pPr>
        <w:spacing w:line="360" w:lineRule="auto"/>
        <w:ind w:firstLine="420" w:firstLineChars="200"/>
        <w:rPr>
          <w:rFonts w:ascii="宋体" w:hAnsi="宋体" w:cs="宋体"/>
          <w:color w:val="000000"/>
          <w:szCs w:val="21"/>
        </w:rPr>
      </w:pPr>
      <w:r>
        <w:rPr>
          <w:rFonts w:hint="eastAsia" w:ascii="宋体" w:hAnsi="宋体" w:cs="宋体"/>
          <w:color w:val="000000"/>
          <w:szCs w:val="21"/>
        </w:rPr>
        <w:t>19.2 磋商时间、地点、人员：</w:t>
      </w:r>
    </w:p>
    <w:p w14:paraId="2EE955E9">
      <w:pPr>
        <w:spacing w:line="360" w:lineRule="auto"/>
        <w:ind w:firstLine="420" w:firstLineChars="200"/>
        <w:rPr>
          <w:rFonts w:ascii="宋体" w:hAnsi="宋体" w:cs="宋体"/>
          <w:color w:val="000000"/>
          <w:szCs w:val="21"/>
        </w:rPr>
      </w:pPr>
      <w:bookmarkStart w:id="72" w:name="_Toc9878"/>
      <w:r>
        <w:rPr>
          <w:rFonts w:hint="eastAsia" w:ascii="宋体" w:hAnsi="宋体" w:cs="宋体"/>
          <w:color w:val="000000"/>
          <w:szCs w:val="21"/>
        </w:rPr>
        <w:t>19.2.1磋商时间：响应文件递交截止时间后。</w:t>
      </w:r>
      <w:bookmarkEnd w:id="72"/>
    </w:p>
    <w:p w14:paraId="4891AA5B">
      <w:pPr>
        <w:spacing w:line="360" w:lineRule="auto"/>
        <w:ind w:firstLine="420" w:firstLineChars="200"/>
        <w:rPr>
          <w:rFonts w:ascii="宋体" w:hAnsi="宋体" w:cs="宋体"/>
          <w:color w:val="000000"/>
          <w:szCs w:val="21"/>
        </w:rPr>
      </w:pPr>
      <w:bookmarkStart w:id="73" w:name="_Toc29268"/>
      <w:r>
        <w:rPr>
          <w:rFonts w:hint="eastAsia" w:ascii="宋体" w:hAnsi="宋体" w:cs="宋体"/>
          <w:color w:val="000000"/>
          <w:szCs w:val="21"/>
        </w:rPr>
        <w:t>19.2.2磋商地点：</w:t>
      </w:r>
      <w:bookmarkEnd w:id="73"/>
      <w:r>
        <w:rPr>
          <w:rFonts w:hint="eastAsia" w:ascii="宋体" w:hAnsi="宋体" w:cs="宋体"/>
          <w:color w:val="000000"/>
          <w:szCs w:val="21"/>
        </w:rPr>
        <w:t>本项目需要磋商供应商代表在截标当天截标后，按磋商小组要求及时登陆</w:t>
      </w:r>
      <w:r>
        <w:rPr>
          <w:rFonts w:hint="eastAsia" w:ascii="宋体" w:hAnsi="宋体" w:cs="宋体"/>
          <w:color w:val="000000"/>
          <w:szCs w:val="21"/>
          <w:lang w:eastAsia="zh-CN"/>
        </w:rPr>
        <w:t>广西政府采购云平台</w:t>
      </w:r>
      <w:r>
        <w:rPr>
          <w:rFonts w:hint="eastAsia" w:ascii="宋体" w:hAnsi="宋体" w:cs="宋体"/>
          <w:color w:val="000000"/>
          <w:szCs w:val="21"/>
        </w:rPr>
        <w:t>等候在线磋商。</w:t>
      </w:r>
    </w:p>
    <w:p w14:paraId="17412F51">
      <w:pPr>
        <w:spacing w:line="360" w:lineRule="auto"/>
        <w:ind w:firstLine="420" w:firstLineChars="200"/>
        <w:rPr>
          <w:rFonts w:ascii="宋体" w:hAnsi="宋体" w:cs="宋体"/>
          <w:bCs/>
          <w:color w:val="000000"/>
          <w:szCs w:val="21"/>
        </w:rPr>
      </w:pPr>
      <w:bookmarkStart w:id="74" w:name="_Toc21307"/>
      <w:r>
        <w:rPr>
          <w:rFonts w:hint="eastAsia" w:ascii="宋体" w:hAnsi="宋体" w:cs="宋体"/>
          <w:color w:val="000000"/>
          <w:szCs w:val="21"/>
        </w:rPr>
        <w:t>19</w:t>
      </w:r>
      <w:r>
        <w:rPr>
          <w:rFonts w:hint="eastAsia" w:ascii="宋体" w:hAnsi="宋体" w:cs="宋体"/>
          <w:bCs/>
          <w:color w:val="000000"/>
          <w:szCs w:val="21"/>
        </w:rPr>
        <w:t>.2.3磋商参加人员：供应商法定代表人、负责人、自然人或相应的委托代理人持</w:t>
      </w:r>
      <w:r>
        <w:rPr>
          <w:rFonts w:hint="eastAsia" w:ascii="宋体" w:hAnsi="宋体" w:cs="宋体"/>
          <w:bCs/>
          <w:color w:val="000000"/>
          <w:szCs w:val="21"/>
          <w:u w:val="single"/>
        </w:rPr>
        <w:t>有效身份证原件</w:t>
      </w:r>
      <w:r>
        <w:rPr>
          <w:rFonts w:hint="eastAsia" w:ascii="宋体" w:hAnsi="宋体" w:cs="宋体"/>
          <w:bCs/>
          <w:color w:val="000000"/>
          <w:szCs w:val="21"/>
        </w:rPr>
        <w:t>和供应商</w:t>
      </w:r>
      <w:r>
        <w:rPr>
          <w:rFonts w:hint="eastAsia" w:ascii="宋体" w:hAnsi="宋体" w:cs="宋体"/>
          <w:bCs/>
          <w:color w:val="000000"/>
          <w:szCs w:val="21"/>
          <w:u w:val="single"/>
          <w:lang w:eastAsia="zh-CN"/>
        </w:rPr>
        <w:t>广西政府采购云平台</w:t>
      </w:r>
      <w:r>
        <w:rPr>
          <w:rFonts w:hint="eastAsia" w:ascii="宋体" w:hAnsi="宋体" w:cs="宋体"/>
          <w:bCs/>
          <w:color w:val="000000"/>
          <w:szCs w:val="21"/>
          <w:u w:val="single"/>
        </w:rPr>
        <w:t>CA数字证书</w:t>
      </w:r>
      <w:r>
        <w:rPr>
          <w:rFonts w:hint="eastAsia" w:ascii="宋体" w:hAnsi="宋体" w:cs="宋体"/>
          <w:bCs/>
          <w:color w:val="000000"/>
          <w:szCs w:val="21"/>
        </w:rPr>
        <w:t>参加磋商。请供应商按时到达指定地点等候磋商。</w:t>
      </w:r>
      <w:bookmarkEnd w:id="74"/>
    </w:p>
    <w:p w14:paraId="3AC0EA20">
      <w:pPr>
        <w:spacing w:line="360" w:lineRule="auto"/>
        <w:ind w:firstLine="420" w:firstLineChars="200"/>
        <w:rPr>
          <w:rFonts w:ascii="宋体" w:hAnsi="宋体" w:cs="宋体"/>
          <w:bCs/>
          <w:color w:val="000000"/>
          <w:szCs w:val="21"/>
        </w:rPr>
      </w:pPr>
      <w:bookmarkStart w:id="75" w:name="_Toc6288"/>
      <w:r>
        <w:rPr>
          <w:rFonts w:hint="eastAsia" w:ascii="宋体" w:hAnsi="宋体" w:cs="宋体"/>
          <w:bCs/>
          <w:color w:val="000000"/>
          <w:szCs w:val="21"/>
        </w:rPr>
        <w:t>19.2.4响应文件递交截止时间后，由磋商小组在评标室内线上开启响应文件。</w:t>
      </w:r>
      <w:bookmarkEnd w:id="75"/>
    </w:p>
    <w:p w14:paraId="15E2B434">
      <w:pPr>
        <w:pStyle w:val="5"/>
        <w:spacing w:line="360" w:lineRule="auto"/>
        <w:ind w:firstLine="420" w:firstLineChars="200"/>
        <w:rPr>
          <w:rFonts w:ascii="宋体" w:hAnsi="宋体" w:cs="宋体"/>
          <w:color w:val="000000"/>
          <w:sz w:val="21"/>
          <w:szCs w:val="21"/>
        </w:rPr>
      </w:pPr>
      <w:bookmarkStart w:id="76" w:name="_Toc102642505"/>
      <w:bookmarkStart w:id="77" w:name="_Toc25258"/>
      <w:r>
        <w:rPr>
          <w:rFonts w:hint="eastAsia" w:ascii="宋体" w:hAnsi="宋体" w:cs="宋体"/>
          <w:color w:val="000000"/>
          <w:sz w:val="21"/>
          <w:szCs w:val="21"/>
        </w:rPr>
        <w:t>20. 评审原则</w:t>
      </w:r>
      <w:bookmarkEnd w:id="76"/>
      <w:bookmarkEnd w:id="77"/>
    </w:p>
    <w:p w14:paraId="3527FBEB">
      <w:pPr>
        <w:spacing w:line="360" w:lineRule="auto"/>
        <w:ind w:firstLine="420" w:firstLineChars="200"/>
        <w:rPr>
          <w:rFonts w:ascii="宋体" w:hAnsi="宋体" w:cs="宋体"/>
          <w:color w:val="000000"/>
          <w:szCs w:val="21"/>
        </w:rPr>
      </w:pPr>
      <w:r>
        <w:rPr>
          <w:rFonts w:hint="eastAsia" w:ascii="宋体" w:hAnsi="宋体" w:cs="宋体"/>
          <w:color w:val="000000"/>
          <w:szCs w:val="21"/>
        </w:rPr>
        <w:t>20.1 磋商小组必须坚持公平、公正、科学和择优的原则。</w:t>
      </w:r>
    </w:p>
    <w:p w14:paraId="59F835B8">
      <w:pPr>
        <w:spacing w:line="360" w:lineRule="auto"/>
        <w:ind w:firstLine="420" w:firstLineChars="200"/>
        <w:rPr>
          <w:rFonts w:ascii="宋体" w:hAnsi="宋体" w:cs="宋体"/>
          <w:color w:val="000000"/>
          <w:szCs w:val="21"/>
        </w:rPr>
      </w:pPr>
      <w:r>
        <w:rPr>
          <w:rFonts w:hint="eastAsia" w:ascii="宋体" w:hAnsi="宋体" w:cs="宋体"/>
          <w:color w:val="000000"/>
          <w:szCs w:val="21"/>
        </w:rPr>
        <w:t>20.2 评审办法：综合评分法，具体详见第四章评审办法。</w:t>
      </w:r>
    </w:p>
    <w:p w14:paraId="2231BB66">
      <w:pPr>
        <w:spacing w:line="360" w:lineRule="auto"/>
        <w:ind w:firstLine="420" w:firstLineChars="200"/>
        <w:rPr>
          <w:rFonts w:ascii="宋体" w:hAnsi="宋体" w:cs="宋体"/>
          <w:color w:val="000000"/>
          <w:szCs w:val="21"/>
        </w:rPr>
      </w:pPr>
      <w:r>
        <w:rPr>
          <w:rFonts w:hint="eastAsia" w:ascii="宋体" w:hAnsi="宋体" w:cs="宋体"/>
          <w:color w:val="000000"/>
          <w:szCs w:val="21"/>
        </w:rPr>
        <w:t>20.3 磋商小组应按磋商文件进行评审，不得擅自更改评审办法。</w:t>
      </w:r>
    </w:p>
    <w:p w14:paraId="68EEEC94">
      <w:pPr>
        <w:spacing w:line="360" w:lineRule="auto"/>
        <w:ind w:firstLine="420" w:firstLineChars="200"/>
        <w:rPr>
          <w:rFonts w:ascii="宋体" w:hAnsi="宋体" w:cs="宋体"/>
          <w:color w:val="000000"/>
          <w:szCs w:val="21"/>
        </w:rPr>
      </w:pPr>
      <w:r>
        <w:rPr>
          <w:rFonts w:hint="eastAsia" w:ascii="宋体" w:hAnsi="宋体" w:cs="宋体"/>
          <w:color w:val="000000"/>
          <w:szCs w:val="21"/>
        </w:rPr>
        <w:t>20.4 在评审过程中，磋商小组任何人不得对某个供应商发表任何倾向性意见，不得向其他磋商小组成员明示或者暗示自己的评审意见。</w:t>
      </w:r>
    </w:p>
    <w:p w14:paraId="30F6D045">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20.5 磋商小组成员对需要共同认定的事项存在争议的，按照少数服从多数的原则作出结论。持不同意见的磋商小组成员应当在评审报告上签署不同意见并说明理由，否则视为同意。</w:t>
      </w:r>
    </w:p>
    <w:p w14:paraId="07A0AD21">
      <w:pPr>
        <w:spacing w:line="360" w:lineRule="auto"/>
        <w:ind w:firstLine="420" w:firstLineChars="200"/>
        <w:rPr>
          <w:rFonts w:ascii="宋体" w:hAnsi="宋体" w:cs="宋体"/>
          <w:color w:val="000000"/>
          <w:szCs w:val="21"/>
        </w:rPr>
      </w:pPr>
      <w:r>
        <w:rPr>
          <w:rFonts w:hint="eastAsia" w:ascii="宋体" w:hAnsi="宋体" w:cs="宋体"/>
          <w:color w:val="000000"/>
          <w:szCs w:val="21"/>
        </w:rPr>
        <w:t>20.6 响应文件最后报价出现前后不一致的，除竞争性磋商文件另有规定外，按照下列规定修正：</w:t>
      </w:r>
    </w:p>
    <w:p w14:paraId="3A1E7819">
      <w:pPr>
        <w:pStyle w:val="28"/>
        <w:tabs>
          <w:tab w:val="left" w:pos="1099"/>
        </w:tabs>
        <w:spacing w:before="130"/>
        <w:ind w:left="420" w:leftChars="200" w:firstLine="0" w:firstLineChars="0"/>
        <w:jc w:val="left"/>
        <w:rPr>
          <w:rFonts w:ascii="宋体" w:hAnsi="宋体" w:cs="宋体"/>
          <w:color w:val="000000"/>
        </w:rPr>
      </w:pPr>
      <w:r>
        <w:rPr>
          <w:rFonts w:hint="eastAsia" w:ascii="宋体" w:hAnsi="宋体" w:cs="宋体"/>
          <w:color w:val="000000"/>
          <w:szCs w:val="21"/>
        </w:rPr>
        <w:t xml:space="preserve">(1) </w:t>
      </w:r>
      <w:r>
        <w:rPr>
          <w:rFonts w:hint="eastAsia" w:ascii="宋体" w:hAnsi="宋体" w:cs="宋体"/>
          <w:color w:val="000000"/>
        </w:rPr>
        <w:t>响应文件中磋商报价表内容与响应文件中相应内容不一致的，以最后磋商报价表为准；</w:t>
      </w:r>
    </w:p>
    <w:p w14:paraId="3DF217E5">
      <w:pPr>
        <w:pStyle w:val="28"/>
        <w:tabs>
          <w:tab w:val="left" w:pos="1099"/>
        </w:tabs>
        <w:spacing w:before="130"/>
        <w:ind w:left="420" w:leftChars="200" w:firstLine="0" w:firstLineChars="0"/>
        <w:jc w:val="left"/>
        <w:rPr>
          <w:rFonts w:ascii="宋体" w:hAnsi="宋体" w:cs="宋体"/>
          <w:color w:val="000000"/>
        </w:rPr>
      </w:pPr>
      <w:r>
        <w:rPr>
          <w:rFonts w:hint="eastAsia" w:ascii="宋体" w:hAnsi="宋体" w:cs="宋体"/>
          <w:color w:val="000000"/>
          <w:szCs w:val="21"/>
        </w:rPr>
        <w:t>(2)</w:t>
      </w:r>
      <w:r>
        <w:rPr>
          <w:rFonts w:hint="eastAsia" w:ascii="宋体" w:hAnsi="宋体" w:cs="宋体"/>
          <w:color w:val="000000"/>
        </w:rPr>
        <w:t xml:space="preserve"> 大写金额和小写金额不一致的，以大写金额为准；</w:t>
      </w:r>
    </w:p>
    <w:p w14:paraId="0B8B8A9B">
      <w:pPr>
        <w:pStyle w:val="28"/>
        <w:tabs>
          <w:tab w:val="left" w:pos="1099"/>
        </w:tabs>
        <w:spacing w:before="130"/>
        <w:ind w:left="420" w:leftChars="200" w:firstLine="0" w:firstLineChars="0"/>
        <w:jc w:val="left"/>
        <w:rPr>
          <w:rFonts w:ascii="宋体" w:hAnsi="宋体" w:cs="宋体"/>
          <w:color w:val="000000"/>
        </w:rPr>
      </w:pPr>
      <w:r>
        <w:rPr>
          <w:rFonts w:hint="eastAsia" w:ascii="宋体" w:hAnsi="宋体" w:cs="宋体"/>
          <w:color w:val="000000"/>
          <w:szCs w:val="21"/>
        </w:rPr>
        <w:t>(3)</w:t>
      </w:r>
      <w:r>
        <w:rPr>
          <w:rFonts w:hint="eastAsia" w:ascii="宋体" w:hAnsi="宋体" w:cs="宋体"/>
          <w:color w:val="000000"/>
        </w:rPr>
        <w:t xml:space="preserve"> 单价金额小数点或者百分比有明显错位的，以报价表的总价为准，并修改单价；</w:t>
      </w:r>
    </w:p>
    <w:p w14:paraId="03510AB1">
      <w:pPr>
        <w:pStyle w:val="28"/>
        <w:tabs>
          <w:tab w:val="left" w:pos="1099"/>
        </w:tabs>
        <w:spacing w:before="130"/>
        <w:ind w:left="420" w:leftChars="200" w:firstLine="0" w:firstLineChars="0"/>
        <w:jc w:val="left"/>
        <w:rPr>
          <w:rFonts w:ascii="宋体" w:hAnsi="宋体" w:cs="宋体"/>
          <w:color w:val="000000"/>
        </w:rPr>
      </w:pPr>
      <w:r>
        <w:rPr>
          <w:rFonts w:hint="eastAsia" w:ascii="宋体" w:hAnsi="宋体" w:cs="宋体"/>
          <w:color w:val="000000"/>
          <w:szCs w:val="21"/>
        </w:rPr>
        <w:t xml:space="preserve">(4) </w:t>
      </w:r>
      <w:r>
        <w:rPr>
          <w:rFonts w:hint="eastAsia" w:ascii="宋体" w:hAnsi="宋体" w:cs="宋体"/>
          <w:color w:val="000000"/>
        </w:rPr>
        <w:t>总价金额与按单价汇总金额不一致的，以单价金额计算结果为准。</w:t>
      </w:r>
    </w:p>
    <w:p w14:paraId="5713EC7C">
      <w:pPr>
        <w:spacing w:line="360" w:lineRule="auto"/>
        <w:ind w:firstLine="420" w:firstLineChars="200"/>
        <w:rPr>
          <w:rFonts w:ascii="宋体" w:hAnsi="宋体" w:cs="宋体"/>
          <w:color w:val="000000"/>
          <w:szCs w:val="21"/>
        </w:rPr>
      </w:pPr>
      <w:r>
        <w:rPr>
          <w:rFonts w:hint="eastAsia" w:ascii="宋体" w:hAnsi="宋体" w:cs="宋体"/>
          <w:color w:val="000000"/>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32643621">
      <w:pPr>
        <w:pStyle w:val="5"/>
        <w:spacing w:line="360" w:lineRule="auto"/>
        <w:ind w:firstLine="420" w:firstLineChars="200"/>
        <w:rPr>
          <w:rFonts w:ascii="宋体" w:hAnsi="宋体" w:cs="宋体"/>
          <w:color w:val="000000"/>
          <w:sz w:val="21"/>
          <w:szCs w:val="21"/>
        </w:rPr>
      </w:pPr>
      <w:bookmarkStart w:id="78" w:name="_Toc102642506"/>
      <w:bookmarkStart w:id="79" w:name="_Toc27193"/>
      <w:r>
        <w:rPr>
          <w:rFonts w:hint="eastAsia" w:ascii="宋体" w:hAnsi="宋体" w:cs="宋体"/>
          <w:color w:val="000000"/>
          <w:sz w:val="21"/>
          <w:szCs w:val="21"/>
        </w:rPr>
        <w:t>21. 评审程序及磋商要求</w:t>
      </w:r>
      <w:bookmarkEnd w:id="78"/>
      <w:bookmarkEnd w:id="79"/>
    </w:p>
    <w:p w14:paraId="497D5BBE">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21.1磋商小组成员的通讯工具或相关电子设备交由桂林市公共资源交易中心统一保管后到达评标室，采购 </w:t>
      </w:r>
    </w:p>
    <w:p w14:paraId="69355400">
      <w:pPr>
        <w:spacing w:line="360" w:lineRule="auto"/>
        <w:rPr>
          <w:rFonts w:ascii="宋体" w:hAnsi="宋体" w:cs="宋体"/>
          <w:color w:val="000000"/>
          <w:szCs w:val="21"/>
        </w:rPr>
      </w:pPr>
      <w:r>
        <w:rPr>
          <w:rFonts w:hint="eastAsia" w:ascii="宋体" w:hAnsi="宋体" w:cs="宋体"/>
          <w:color w:val="000000"/>
          <w:szCs w:val="21"/>
        </w:rPr>
        <w:t>代理机构核实磋商小组成员身份，告知回避要求，宣布评审工作纪律和程序，推选磋商小组组长。</w:t>
      </w:r>
    </w:p>
    <w:p w14:paraId="3DE464E2">
      <w:pPr>
        <w:spacing w:line="360" w:lineRule="auto"/>
        <w:ind w:firstLine="420" w:firstLineChars="200"/>
        <w:rPr>
          <w:rFonts w:ascii="宋体" w:hAnsi="宋体" w:cs="宋体"/>
          <w:color w:val="000000"/>
          <w:szCs w:val="21"/>
        </w:rPr>
      </w:pPr>
      <w:r>
        <w:rPr>
          <w:rFonts w:hint="eastAsia" w:ascii="宋体" w:hAnsi="宋体" w:cs="宋体"/>
          <w:color w:val="000000"/>
          <w:szCs w:val="21"/>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7DFF069E">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3BADD768">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172D7BF0">
      <w:pPr>
        <w:spacing w:line="360" w:lineRule="auto"/>
        <w:ind w:firstLine="420" w:firstLineChars="200"/>
        <w:rPr>
          <w:rFonts w:ascii="宋体" w:hAnsi="宋体" w:cs="宋体"/>
          <w:color w:val="000000"/>
          <w:szCs w:val="21"/>
        </w:rPr>
      </w:pPr>
      <w:r>
        <w:rPr>
          <w:rFonts w:hint="eastAsia" w:ascii="宋体" w:hAnsi="宋体" w:cs="宋体"/>
          <w:color w:val="000000"/>
          <w:szCs w:val="21"/>
        </w:rPr>
        <w:t>21.4.1 查询渠道：《国家企业信用信息公示系统》（网址：www.gsxt.gov.cn/index.html）</w:t>
      </w:r>
    </w:p>
    <w:p w14:paraId="46F860C8">
      <w:pPr>
        <w:spacing w:line="360" w:lineRule="auto"/>
        <w:ind w:firstLine="420" w:firstLineChars="200"/>
        <w:rPr>
          <w:rFonts w:ascii="宋体" w:hAnsi="宋体" w:cs="宋体"/>
          <w:color w:val="000000"/>
          <w:szCs w:val="21"/>
        </w:rPr>
      </w:pPr>
      <w:r>
        <w:rPr>
          <w:rFonts w:hint="eastAsia" w:ascii="宋体" w:hAnsi="宋体" w:cs="宋体"/>
          <w:color w:val="000000"/>
          <w:szCs w:val="21"/>
        </w:rPr>
        <w:t>21.4.2 审查流程：</w:t>
      </w:r>
    </w:p>
    <w:p w14:paraId="41A5B425">
      <w:pPr>
        <w:spacing w:line="360" w:lineRule="auto"/>
        <w:ind w:firstLine="420" w:firstLineChars="200"/>
        <w:rPr>
          <w:rFonts w:ascii="宋体" w:hAnsi="宋体" w:cs="宋体"/>
          <w:color w:val="000000"/>
          <w:szCs w:val="21"/>
        </w:rPr>
      </w:pPr>
      <w:r>
        <w:rPr>
          <w:rFonts w:hint="eastAsia" w:ascii="宋体" w:hAnsi="宋体" w:cs="宋体"/>
          <w:color w:val="000000"/>
          <w:szCs w:val="21"/>
        </w:rPr>
        <w:t>（1）进入《国家企业信用信息公示系统》（网址：www.gsxt.gov.cn/index.html），输入企业名称，进入企业信息主页面；</w:t>
      </w:r>
    </w:p>
    <w:p w14:paraId="0CFCC0F8">
      <w:pPr>
        <w:spacing w:line="360" w:lineRule="auto"/>
        <w:ind w:firstLine="420" w:firstLineChars="200"/>
        <w:rPr>
          <w:rFonts w:ascii="宋体" w:hAnsi="宋体" w:cs="宋体"/>
          <w:color w:val="000000"/>
          <w:szCs w:val="21"/>
        </w:rPr>
      </w:pPr>
      <w:r>
        <w:rPr>
          <w:rFonts w:hint="eastAsia" w:ascii="宋体" w:hAnsi="宋体" w:cs="宋体"/>
          <w:color w:val="000000"/>
          <w:szCs w:val="21"/>
        </w:rPr>
        <w:t>（2）查看主页“股东及出资信息”栏，或年报中的“股东及出资信息”栏信息；</w:t>
      </w:r>
    </w:p>
    <w:p w14:paraId="57838F2F">
      <w:pPr>
        <w:spacing w:line="360" w:lineRule="auto"/>
        <w:ind w:firstLine="420" w:firstLineChars="200"/>
        <w:rPr>
          <w:rFonts w:ascii="宋体" w:hAnsi="宋体" w:cs="宋体"/>
          <w:color w:val="000000"/>
          <w:szCs w:val="21"/>
        </w:rPr>
      </w:pPr>
      <w:r>
        <w:rPr>
          <w:rFonts w:hint="eastAsia" w:ascii="宋体" w:hAnsi="宋体" w:cs="宋体"/>
          <w:color w:val="000000"/>
          <w:szCs w:val="21"/>
        </w:rPr>
        <w:t>（3）将各供应商的股东及出资信息进行比对，得出审查结论；</w:t>
      </w:r>
    </w:p>
    <w:p w14:paraId="6D18D48A">
      <w:pPr>
        <w:spacing w:line="360" w:lineRule="auto"/>
        <w:ind w:firstLine="420" w:firstLineChars="200"/>
        <w:rPr>
          <w:rFonts w:ascii="宋体" w:hAnsi="宋体" w:cs="宋体"/>
          <w:color w:val="000000"/>
          <w:szCs w:val="21"/>
        </w:rPr>
      </w:pPr>
      <w:r>
        <w:rPr>
          <w:rFonts w:hint="eastAsia" w:ascii="宋体" w:hAnsi="宋体" w:cs="宋体"/>
          <w:color w:val="000000"/>
          <w:szCs w:val="21"/>
        </w:rPr>
        <w:t>（4）将相关资料作为评审资料打印存档。</w:t>
      </w:r>
    </w:p>
    <w:p w14:paraId="6C9EA37F">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21.5 磋商小组如发现供应商提供的证明文件不齐全或不符合规定格式的，应一次性告知供应商，供应</w:t>
      </w:r>
    </w:p>
    <w:p w14:paraId="1CF33899">
      <w:pPr>
        <w:spacing w:line="360" w:lineRule="auto"/>
        <w:rPr>
          <w:rFonts w:ascii="宋体" w:hAnsi="宋体" w:cs="宋体"/>
          <w:b/>
          <w:bCs/>
          <w:color w:val="000000"/>
          <w:szCs w:val="21"/>
        </w:rPr>
      </w:pPr>
      <w:r>
        <w:rPr>
          <w:rFonts w:hint="eastAsia" w:ascii="宋体" w:hAnsi="宋体" w:cs="宋体"/>
          <w:b/>
          <w:bCs/>
          <w:color w:val="000000"/>
          <w:szCs w:val="21"/>
        </w:rPr>
        <w:t>商应在规定的时间内线上补正或更正。</w:t>
      </w:r>
    </w:p>
    <w:p w14:paraId="39CF09FE">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21.6 磋商小组在对响应文件的有效性、完整性和响应程度进行审查时，可以要求供应商对响应文件中含义 </w:t>
      </w:r>
    </w:p>
    <w:p w14:paraId="56BF28E4">
      <w:pPr>
        <w:spacing w:line="360" w:lineRule="auto"/>
        <w:rPr>
          <w:rFonts w:ascii="宋体" w:hAnsi="宋体" w:cs="宋体"/>
          <w:color w:val="000000"/>
          <w:szCs w:val="21"/>
        </w:rPr>
      </w:pPr>
      <w:r>
        <w:rPr>
          <w:rFonts w:hint="eastAsia" w:ascii="宋体" w:hAnsi="宋体" w:cs="宋体"/>
          <w:color w:val="000000"/>
          <w:szCs w:val="21"/>
        </w:rPr>
        <w:t xml:space="preserve">不明确、同类问题表述不一致或者有明显文字和计算错误的内容等作出必要的澄清、说明或者更正。供应商的 </w:t>
      </w:r>
    </w:p>
    <w:p w14:paraId="7E90A7F0">
      <w:pPr>
        <w:spacing w:line="360" w:lineRule="auto"/>
        <w:rPr>
          <w:rFonts w:ascii="宋体" w:hAnsi="宋体" w:cs="宋体"/>
          <w:color w:val="000000"/>
          <w:szCs w:val="21"/>
        </w:rPr>
      </w:pPr>
      <w:r>
        <w:rPr>
          <w:rFonts w:hint="eastAsia" w:ascii="宋体" w:hAnsi="宋体" w:cs="宋体"/>
          <w:color w:val="000000"/>
          <w:szCs w:val="21"/>
        </w:rPr>
        <w:t xml:space="preserve">澄清、说明或者更正不得超出响应文件的范围或者改变响应文件的实质性内容。澄清、说明或者更正应由其法 </w:t>
      </w:r>
    </w:p>
    <w:p w14:paraId="0E879EB9">
      <w:pPr>
        <w:pStyle w:val="8"/>
        <w:rPr>
          <w:rFonts w:ascii="宋体" w:hAnsi="宋体" w:cs="宋体"/>
          <w:color w:val="000000"/>
          <w:szCs w:val="21"/>
        </w:rPr>
      </w:pPr>
      <w:r>
        <w:rPr>
          <w:rFonts w:hint="eastAsia" w:ascii="宋体" w:hAnsi="宋体" w:cs="宋体"/>
          <w:color w:val="000000"/>
          <w:szCs w:val="21"/>
        </w:rPr>
        <w:t>定代表人或相应的授权委托代表签字（</w:t>
      </w:r>
      <w:r>
        <w:rPr>
          <w:rFonts w:hint="eastAsia" w:ascii="宋体" w:hAnsi="宋体" w:cs="宋体"/>
        </w:rPr>
        <w:t>个人CA签章)</w:t>
      </w:r>
      <w:r>
        <w:rPr>
          <w:rFonts w:hint="eastAsia" w:ascii="宋体" w:hAnsi="宋体" w:cs="宋体"/>
          <w:color w:val="000000"/>
          <w:szCs w:val="21"/>
        </w:rPr>
        <w:t>或者加盖供应商公章(CA签章)。</w:t>
      </w:r>
    </w:p>
    <w:p w14:paraId="03E0CE7E">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根据磋商文件规定的程序、评定成交的标准等事项与实质性响应竞争性磋商文件要求的供应商进行磋商。 </w:t>
      </w:r>
    </w:p>
    <w:p w14:paraId="625E5C7D">
      <w:pPr>
        <w:spacing w:line="360" w:lineRule="auto"/>
        <w:rPr>
          <w:rFonts w:ascii="宋体" w:hAnsi="宋体" w:cs="宋体"/>
          <w:color w:val="000000"/>
          <w:szCs w:val="21"/>
        </w:rPr>
      </w:pPr>
      <w:r>
        <w:rPr>
          <w:rFonts w:hint="eastAsia" w:ascii="宋体" w:hAnsi="宋体" w:cs="宋体"/>
          <w:color w:val="000000"/>
          <w:szCs w:val="21"/>
        </w:rPr>
        <w:t xml:space="preserve">未实质性响应磋商文件的响应文件按无效处理，磋商小组应当告知有关供应商。 </w:t>
      </w:r>
    </w:p>
    <w:p w14:paraId="590F0166">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磋商小组所有成员应当按已确定的磋商顺序集中与单一供应商分别进行磋商，并给予所有实质性响应竞争 </w:t>
      </w:r>
    </w:p>
    <w:p w14:paraId="2FB585AA">
      <w:pPr>
        <w:spacing w:line="360" w:lineRule="auto"/>
        <w:rPr>
          <w:rFonts w:ascii="宋体" w:hAnsi="宋体" w:cs="宋体"/>
          <w:color w:val="000000"/>
          <w:szCs w:val="21"/>
        </w:rPr>
      </w:pPr>
      <w:r>
        <w:rPr>
          <w:rFonts w:hint="eastAsia" w:ascii="宋体" w:hAnsi="宋体" w:cs="宋体"/>
          <w:color w:val="000000"/>
          <w:szCs w:val="21"/>
        </w:rPr>
        <w:t xml:space="preserve">性磋商文件要求的供应商平等的磋商机会。 </w:t>
      </w:r>
    </w:p>
    <w:p w14:paraId="61D59BE7">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磋商中，磋商小组不得透露与磋商有关的其他供应商的技术资料、价格和其他信息。 </w:t>
      </w:r>
    </w:p>
    <w:p w14:paraId="5ACAE241">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磋商小组对磋商过程和重要磋商内容进行记录，磋商双方在记录上签字确认。 </w:t>
      </w:r>
    </w:p>
    <w:p w14:paraId="3456C2B0">
      <w:pPr>
        <w:spacing w:line="360" w:lineRule="auto"/>
        <w:ind w:firstLine="420" w:firstLineChars="200"/>
        <w:rPr>
          <w:rFonts w:ascii="宋体" w:hAnsi="宋体" w:cs="宋体"/>
          <w:color w:val="000000"/>
        </w:rPr>
      </w:pPr>
      <w:r>
        <w:rPr>
          <w:rFonts w:hint="eastAsia" w:ascii="宋体" w:hAnsi="宋体" w:cs="宋体"/>
          <w:color w:val="000000"/>
          <w:szCs w:val="21"/>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F77A310">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21.8 在磋商过程中，磋商小组可以根据磋商文件和磋商情况实质性变动项目需求中的技术、服务要求以及 </w:t>
      </w:r>
    </w:p>
    <w:p w14:paraId="2BB7A7CE">
      <w:pPr>
        <w:spacing w:line="360" w:lineRule="auto"/>
        <w:rPr>
          <w:rFonts w:ascii="宋体" w:hAnsi="宋体" w:cs="宋体"/>
          <w:color w:val="000000"/>
          <w:szCs w:val="21"/>
        </w:rPr>
      </w:pPr>
      <w:r>
        <w:rPr>
          <w:rFonts w:hint="eastAsia" w:ascii="宋体" w:hAnsi="宋体" w:cs="宋体"/>
          <w:color w:val="000000"/>
          <w:szCs w:val="21"/>
        </w:rPr>
        <w:t xml:space="preserve">合同草案条款，但不得变动磋商文件中的其他内容。实质性变动的内容，须经采购人代表确认。 </w:t>
      </w:r>
    </w:p>
    <w:p w14:paraId="3FAD6194">
      <w:pPr>
        <w:spacing w:line="360" w:lineRule="auto"/>
        <w:rPr>
          <w:rFonts w:ascii="宋体" w:hAnsi="宋体" w:cs="宋体"/>
          <w:color w:val="000000"/>
          <w:szCs w:val="21"/>
        </w:rPr>
      </w:pPr>
      <w:r>
        <w:rPr>
          <w:rFonts w:hint="eastAsia" w:ascii="宋体" w:hAnsi="宋体" w:cs="宋体"/>
          <w:color w:val="000000"/>
          <w:szCs w:val="21"/>
        </w:rPr>
        <w:t>对磋商文件作出的实质性变动是磋商文件的有效组成部分，磋商小组应当及时通过</w:t>
      </w:r>
      <w:r>
        <w:rPr>
          <w:rFonts w:hint="eastAsia" w:ascii="宋体" w:hAnsi="宋体" w:cs="宋体"/>
          <w:color w:val="000000"/>
          <w:szCs w:val="21"/>
          <w:lang w:eastAsia="zh-CN"/>
        </w:rPr>
        <w:t>广西政府采购云平台</w:t>
      </w:r>
      <w:r>
        <w:rPr>
          <w:rFonts w:hint="eastAsia" w:ascii="宋体" w:hAnsi="宋体" w:cs="宋体"/>
          <w:color w:val="000000"/>
          <w:szCs w:val="21"/>
        </w:rPr>
        <w:t xml:space="preserve">同时通知所有参加磋商的供应商。 </w:t>
      </w:r>
    </w:p>
    <w:p w14:paraId="79853923">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06EDF3C5">
      <w:pPr>
        <w:spacing w:line="360" w:lineRule="auto"/>
        <w:ind w:firstLine="420" w:firstLineChars="200"/>
        <w:rPr>
          <w:rFonts w:ascii="宋体" w:hAnsi="宋体" w:cs="宋体"/>
          <w:color w:val="000000"/>
          <w:szCs w:val="21"/>
        </w:rPr>
      </w:pPr>
      <w:r>
        <w:rPr>
          <w:rFonts w:hint="eastAsia" w:ascii="宋体" w:hAnsi="宋体" w:cs="宋体"/>
          <w:color w:val="000000"/>
          <w:szCs w:val="21"/>
        </w:rPr>
        <w:t>21.9 第二轮磋商</w:t>
      </w:r>
    </w:p>
    <w:p w14:paraId="71AD9060">
      <w:pPr>
        <w:spacing w:line="360" w:lineRule="auto"/>
        <w:ind w:firstLine="420" w:firstLineChars="200"/>
        <w:rPr>
          <w:rFonts w:ascii="宋体" w:hAnsi="宋体" w:cs="宋体"/>
          <w:color w:val="000000"/>
          <w:szCs w:val="21"/>
        </w:rPr>
      </w:pPr>
      <w:r>
        <w:rPr>
          <w:rFonts w:hint="eastAsia" w:ascii="宋体" w:hAnsi="宋体" w:cs="宋体"/>
          <w:color w:val="000000"/>
          <w:szCs w:val="21"/>
        </w:rPr>
        <w:t>磋商小组集中就重新提交的响应文件或磋商小组提出的磋商意见与单一响应供应商分别进行磋商。磋商小组对磋商过程和重要磋商内容进行记录，磋商双方在记录上签字确认（CA签章确认）。</w:t>
      </w:r>
    </w:p>
    <w:p w14:paraId="2A889B7A">
      <w:pPr>
        <w:spacing w:line="360" w:lineRule="auto"/>
        <w:ind w:firstLine="420" w:firstLineChars="200"/>
        <w:rPr>
          <w:rFonts w:ascii="宋体" w:hAnsi="宋体" w:cs="宋体"/>
          <w:color w:val="000000"/>
          <w:szCs w:val="21"/>
        </w:rPr>
      </w:pPr>
      <w:r>
        <w:rPr>
          <w:rFonts w:hint="eastAsia" w:ascii="宋体" w:hAnsi="宋体" w:cs="宋体"/>
          <w:color w:val="000000"/>
          <w:szCs w:val="21"/>
        </w:rPr>
        <w:t>磋商后，供应商根据磋商小组统一整理的书面磋商记录要求做出书面承诺，并由其法定代表人或授权代表签字或者加盖公章（CA签章）后按时线上提交。</w:t>
      </w:r>
    </w:p>
    <w:p w14:paraId="55C160AD">
      <w:pPr>
        <w:spacing w:line="360" w:lineRule="auto"/>
        <w:ind w:firstLine="420" w:firstLineChars="200"/>
        <w:rPr>
          <w:rFonts w:ascii="宋体" w:hAnsi="宋体" w:cs="宋体"/>
          <w:color w:val="000000"/>
        </w:rPr>
      </w:pPr>
      <w:r>
        <w:rPr>
          <w:rFonts w:hint="eastAsia" w:ascii="宋体" w:hAnsi="宋体" w:cs="宋体"/>
          <w:color w:val="000000"/>
          <w:szCs w:val="21"/>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76A6A004">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21.10 在采购过程中符合竞争要求的供应商或者报价未超过采购预算的供应商不足 3 家的，采购人或者采购代理机构应当终止竞争性磋商采购活动。 </w:t>
      </w:r>
    </w:p>
    <w:p w14:paraId="7155AB1E">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21.11 最后报价 </w:t>
      </w:r>
    </w:p>
    <w:p w14:paraId="7E928CDD">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21.11.1 磋商文件能够详细列明采购标的的技术、服务要求的，磋商结束后，磋商小组应当要求所有继续参加磋商的供应商在规定时间内线上提交最后报价，提交最后报价的供应商不得少于 3 家。 </w:t>
      </w:r>
    </w:p>
    <w:p w14:paraId="5732FAF0">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14:paraId="59D19E61">
      <w:pPr>
        <w:spacing w:line="360" w:lineRule="auto"/>
        <w:ind w:firstLine="420" w:firstLineChars="200"/>
        <w:rPr>
          <w:rFonts w:ascii="宋体" w:hAnsi="宋体" w:cs="宋体"/>
          <w:color w:val="000000"/>
        </w:rPr>
      </w:pPr>
      <w:r>
        <w:rPr>
          <w:rFonts w:hint="eastAsia" w:ascii="宋体" w:hAnsi="宋体" w:cs="宋体"/>
          <w:color w:val="000000"/>
          <w:szCs w:val="21"/>
        </w:rPr>
        <w:t xml:space="preserve">21.11.3 根据《财政部关于政府采购竞争性磋商采购方式管理暂行办法有关问题的补充通知》(财库〔2015〕124 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59B5DD3B">
      <w:pPr>
        <w:spacing w:line="360" w:lineRule="auto"/>
        <w:ind w:firstLine="420" w:firstLineChars="200"/>
        <w:rPr>
          <w:rFonts w:ascii="宋体" w:hAnsi="宋体" w:cs="宋体"/>
          <w:b/>
          <w:bCs/>
          <w:color w:val="000000"/>
          <w:szCs w:val="21"/>
        </w:rPr>
      </w:pPr>
      <w:r>
        <w:rPr>
          <w:rFonts w:hint="eastAsia" w:ascii="宋体" w:hAnsi="宋体" w:cs="宋体"/>
          <w:color w:val="000000"/>
          <w:szCs w:val="21"/>
        </w:rPr>
        <w:t>21.11.4 根据《政府采购竞争性磋商采购方式管理暂行办法》(财库〔2014〕214 号)的规定：</w:t>
      </w:r>
      <w:r>
        <w:rPr>
          <w:rFonts w:hint="eastAsia" w:ascii="宋体" w:hAnsi="宋体" w:cs="宋体"/>
          <w:b/>
          <w:bCs/>
          <w:color w:val="000000"/>
          <w:szCs w:val="21"/>
        </w:rPr>
        <w:t xml:space="preserve">最后报价是供应商响应文件的有效组成部分。 </w:t>
      </w:r>
      <w:r>
        <w:rPr>
          <w:rFonts w:hint="eastAsia" w:ascii="宋体" w:hAnsi="宋体" w:cs="宋体"/>
          <w:color w:val="000000"/>
          <w:szCs w:val="21"/>
        </w:rPr>
        <w:t>符合本办法(财库〔2014〕214号)第三条第四项情形的，提交最后报价的供应商可以为2家。</w:t>
      </w:r>
      <w:r>
        <w:rPr>
          <w:rFonts w:hint="eastAsia" w:ascii="宋体" w:hAnsi="宋体" w:cs="宋体"/>
          <w:b/>
          <w:bCs/>
          <w:color w:val="000000"/>
          <w:szCs w:val="21"/>
        </w:rPr>
        <w:t>（财库〔2014〕214号文第三条第四项：市场竞争不充分的科研项目，以及需要扶持的科技成果转化项目。）</w:t>
      </w:r>
    </w:p>
    <w:p w14:paraId="30F51326">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21.12 已提交响应文件的供应商，在提交最后报价之前，可以根据磋商情况书面退出磋商。 </w:t>
      </w:r>
    </w:p>
    <w:p w14:paraId="44EC762A">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未书面退出磋商的供应商在规定时间内线上提交最后报价，其最后报价超出采购预算导致已通过评审的响 </w:t>
      </w:r>
    </w:p>
    <w:p w14:paraId="3E7E0F89">
      <w:pPr>
        <w:spacing w:line="360" w:lineRule="auto"/>
        <w:rPr>
          <w:rFonts w:ascii="宋体" w:hAnsi="宋体" w:cs="宋体"/>
          <w:color w:val="000000"/>
          <w:szCs w:val="21"/>
        </w:rPr>
      </w:pPr>
      <w:r>
        <w:rPr>
          <w:rFonts w:hint="eastAsia" w:ascii="宋体" w:hAnsi="宋体" w:cs="宋体"/>
          <w:color w:val="000000"/>
          <w:szCs w:val="21"/>
        </w:rPr>
        <w:t xml:space="preserve">应文件无效的，按供应商在提交响应文件截止时间后撤回响应文件处理。 </w:t>
      </w:r>
    </w:p>
    <w:p w14:paraId="0526D24A">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21.13 评审报告 </w:t>
      </w:r>
    </w:p>
    <w:p w14:paraId="3D5E1A5A">
      <w:pPr>
        <w:spacing w:line="360" w:lineRule="auto"/>
        <w:ind w:firstLine="420" w:firstLineChars="200"/>
        <w:rPr>
          <w:rFonts w:ascii="宋体" w:hAnsi="宋体" w:cs="宋体"/>
          <w:color w:val="000000"/>
          <w:szCs w:val="21"/>
        </w:rPr>
      </w:pPr>
      <w:r>
        <w:rPr>
          <w:rFonts w:hint="eastAsia" w:ascii="宋体" w:hAnsi="宋体" w:cs="宋体"/>
          <w:color w:val="000000"/>
          <w:szCs w:val="21"/>
        </w:rPr>
        <w:t>磋商小组应当从质量和服务均能满足磋商文件全部实质性响应要求的供应商中，按照最后综合得分由高到低的顺序提出 3 名以上（含 3 名）成交候选人，并编写评审报告。</w:t>
      </w:r>
    </w:p>
    <w:p w14:paraId="5E25D4BF">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21.14 在评审过程中出现法律法规和磋商文件均没有明确规定的情形时，由磋商小组现场协商解决，协商 </w:t>
      </w:r>
    </w:p>
    <w:p w14:paraId="6C5F8C5C">
      <w:pPr>
        <w:spacing w:line="360" w:lineRule="auto"/>
        <w:rPr>
          <w:rFonts w:ascii="宋体" w:hAnsi="宋体" w:cs="宋体"/>
          <w:color w:val="000000"/>
          <w:szCs w:val="21"/>
        </w:rPr>
      </w:pPr>
      <w:r>
        <w:rPr>
          <w:rFonts w:hint="eastAsia" w:ascii="宋体" w:hAnsi="宋体" w:cs="宋体"/>
          <w:color w:val="000000"/>
          <w:szCs w:val="21"/>
        </w:rPr>
        <w:t xml:space="preserve">不一致的，由全体磋商小组投票表决，以得票率二分之一以上磋商小组成员的意见为准。 </w:t>
      </w:r>
    </w:p>
    <w:p w14:paraId="2898919F">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21.15 采购代理机构发现磋商小组有明显的违规倾向或歧视现象，或不按评审办法进行，或其他不正常行 </w:t>
      </w:r>
    </w:p>
    <w:p w14:paraId="00173F55">
      <w:pPr>
        <w:spacing w:line="360" w:lineRule="auto"/>
        <w:rPr>
          <w:rFonts w:ascii="宋体" w:hAnsi="宋体" w:cs="宋体"/>
          <w:color w:val="000000"/>
          <w:szCs w:val="21"/>
        </w:rPr>
      </w:pPr>
      <w:r>
        <w:rPr>
          <w:rFonts w:hint="eastAsia" w:ascii="宋体" w:hAnsi="宋体" w:cs="宋体"/>
          <w:color w:val="000000"/>
          <w:szCs w:val="21"/>
        </w:rPr>
        <w:t>为的，应当及时制止。如制止无效，应及时向桂林市政府采购监督管理机构报告。</w:t>
      </w:r>
    </w:p>
    <w:p w14:paraId="16E546B2">
      <w:pPr>
        <w:spacing w:line="360" w:lineRule="auto"/>
        <w:ind w:firstLine="420" w:firstLineChars="200"/>
        <w:rPr>
          <w:rFonts w:ascii="宋体" w:hAnsi="宋体" w:cs="宋体"/>
          <w:b/>
          <w:bCs/>
          <w:color w:val="000000"/>
        </w:rPr>
      </w:pPr>
      <w:r>
        <w:rPr>
          <w:rFonts w:hint="eastAsia" w:ascii="宋体" w:hAnsi="宋体" w:cs="宋体"/>
          <w:color w:val="000000"/>
          <w:szCs w:val="21"/>
        </w:rPr>
        <w:t>21.16 本采购项目的评审依据为竞争性磋商文件和竞争性磋商响应文件，采用的评审方法为</w:t>
      </w:r>
      <w:r>
        <w:rPr>
          <w:rFonts w:hint="eastAsia" w:ascii="宋体" w:hAnsi="宋体" w:cs="宋体"/>
          <w:b/>
          <w:bCs/>
          <w:color w:val="000000"/>
          <w:szCs w:val="21"/>
        </w:rPr>
        <w:t>综合评分法。</w:t>
      </w:r>
    </w:p>
    <w:p w14:paraId="74D5D196">
      <w:pPr>
        <w:pStyle w:val="5"/>
        <w:spacing w:line="360" w:lineRule="auto"/>
        <w:ind w:firstLine="420" w:firstLineChars="200"/>
        <w:rPr>
          <w:rFonts w:ascii="宋体" w:hAnsi="宋体" w:cs="宋体"/>
          <w:color w:val="000000"/>
          <w:sz w:val="21"/>
          <w:szCs w:val="21"/>
        </w:rPr>
      </w:pPr>
      <w:bookmarkStart w:id="80" w:name="_Toc102642507"/>
      <w:bookmarkStart w:id="81" w:name="_Toc32470"/>
      <w:r>
        <w:rPr>
          <w:rFonts w:hint="eastAsia" w:ascii="宋体" w:hAnsi="宋体" w:cs="宋体"/>
          <w:color w:val="000000"/>
          <w:sz w:val="21"/>
          <w:szCs w:val="21"/>
        </w:rPr>
        <w:t>22. 确定成交供应商</w:t>
      </w:r>
      <w:bookmarkEnd w:id="80"/>
      <w:bookmarkEnd w:id="81"/>
    </w:p>
    <w:p w14:paraId="49D65475">
      <w:pPr>
        <w:spacing w:line="360" w:lineRule="auto"/>
        <w:ind w:firstLine="420" w:firstLineChars="200"/>
        <w:rPr>
          <w:rFonts w:ascii="宋体" w:hAnsi="宋体" w:cs="宋体"/>
          <w:color w:val="000000"/>
          <w:szCs w:val="21"/>
        </w:rPr>
      </w:pPr>
      <w:r>
        <w:rPr>
          <w:rFonts w:hint="eastAsia" w:ascii="宋体" w:hAnsi="宋体" w:cs="宋体"/>
          <w:color w:val="000000"/>
          <w:szCs w:val="21"/>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3E72E299">
      <w:pPr>
        <w:spacing w:line="360" w:lineRule="auto"/>
        <w:ind w:firstLine="420" w:firstLineChars="200"/>
        <w:rPr>
          <w:rFonts w:ascii="宋体" w:hAnsi="宋体" w:cs="宋体"/>
          <w:color w:val="000000"/>
        </w:rPr>
      </w:pPr>
      <w:r>
        <w:rPr>
          <w:rFonts w:hint="eastAsia" w:ascii="宋体" w:hAnsi="宋体" w:cs="宋体"/>
          <w:color w:val="000000"/>
          <w:szCs w:val="21"/>
        </w:rPr>
        <w:t>22.2采购单位应当确定磋商小组推荐排名第一的成交候选人为成交供应商。</w:t>
      </w:r>
    </w:p>
    <w:p w14:paraId="586BD61B">
      <w:pPr>
        <w:spacing w:line="360" w:lineRule="auto"/>
        <w:ind w:firstLine="420" w:firstLineChars="200"/>
        <w:rPr>
          <w:rFonts w:ascii="宋体" w:hAnsi="宋体" w:cs="宋体"/>
          <w:color w:val="000000"/>
          <w:szCs w:val="21"/>
        </w:rPr>
      </w:pPr>
      <w:r>
        <w:rPr>
          <w:rFonts w:hint="eastAsia" w:ascii="宋体" w:hAnsi="宋体" w:cs="宋体"/>
          <w:color w:val="000000"/>
          <w:szCs w:val="21"/>
        </w:rPr>
        <w:t>22.3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14:paraId="3C01B16F">
      <w:pPr>
        <w:spacing w:line="360" w:lineRule="auto"/>
        <w:ind w:firstLine="420" w:firstLineChars="200"/>
        <w:rPr>
          <w:rFonts w:ascii="宋体" w:hAnsi="宋体" w:cs="宋体"/>
          <w:color w:val="000000"/>
          <w:szCs w:val="21"/>
        </w:rPr>
      </w:pPr>
      <w:r>
        <w:rPr>
          <w:rFonts w:hint="eastAsia" w:ascii="宋体" w:hAnsi="宋体" w:cs="宋体"/>
          <w:color w:val="000000"/>
          <w:szCs w:val="21"/>
        </w:rPr>
        <w:t>22.4排名第二的成交候选人因前款规定的同样原因不能签订合同的，采购单位可以确定排名第三的成交候选人为成交供应商。</w:t>
      </w:r>
    </w:p>
    <w:p w14:paraId="2800D12F">
      <w:pPr>
        <w:pStyle w:val="5"/>
        <w:spacing w:line="360" w:lineRule="auto"/>
        <w:ind w:firstLine="420" w:firstLineChars="200"/>
        <w:rPr>
          <w:rFonts w:ascii="宋体" w:hAnsi="宋体" w:cs="宋体"/>
          <w:color w:val="000000"/>
          <w:sz w:val="21"/>
          <w:szCs w:val="21"/>
        </w:rPr>
      </w:pPr>
      <w:bookmarkStart w:id="82" w:name="_Toc102642508"/>
      <w:bookmarkStart w:id="83" w:name="_Toc21715"/>
      <w:r>
        <w:rPr>
          <w:rFonts w:hint="eastAsia" w:ascii="宋体" w:hAnsi="宋体" w:cs="宋体"/>
          <w:color w:val="000000"/>
          <w:sz w:val="21"/>
          <w:szCs w:val="21"/>
        </w:rPr>
        <w:t>23. 属于下列情况之一者，响应文件无效</w:t>
      </w:r>
      <w:bookmarkEnd w:id="82"/>
      <w:bookmarkEnd w:id="83"/>
    </w:p>
    <w:p w14:paraId="4265B418">
      <w:pPr>
        <w:spacing w:line="360" w:lineRule="auto"/>
        <w:ind w:firstLine="420" w:firstLineChars="200"/>
        <w:rPr>
          <w:rFonts w:ascii="宋体" w:hAnsi="宋体" w:cs="宋体"/>
          <w:color w:val="000000"/>
          <w:szCs w:val="21"/>
        </w:rPr>
      </w:pPr>
      <w:r>
        <w:rPr>
          <w:rFonts w:hint="eastAsia" w:ascii="宋体" w:hAnsi="宋体" w:cs="宋体"/>
          <w:color w:val="000000"/>
          <w:szCs w:val="21"/>
        </w:rPr>
        <w:t>（1）未按磋商文件规定完整线上提交响应文件或未按规定要求线上签字、签章的；</w:t>
      </w:r>
    </w:p>
    <w:p w14:paraId="52BAC327">
      <w:pPr>
        <w:spacing w:line="360" w:lineRule="auto"/>
        <w:ind w:firstLine="420" w:firstLineChars="200"/>
        <w:rPr>
          <w:rFonts w:ascii="宋体" w:hAnsi="宋体" w:cs="宋体"/>
          <w:color w:val="000000"/>
          <w:szCs w:val="21"/>
        </w:rPr>
      </w:pPr>
      <w:r>
        <w:rPr>
          <w:rFonts w:hint="eastAsia" w:ascii="宋体" w:hAnsi="宋体" w:cs="宋体"/>
          <w:color w:val="000000"/>
          <w:szCs w:val="21"/>
        </w:rPr>
        <w:t>（2）不具备磋商文件规定的资格要求的；</w:t>
      </w:r>
    </w:p>
    <w:p w14:paraId="61DD7F1D">
      <w:pPr>
        <w:spacing w:line="360" w:lineRule="auto"/>
        <w:ind w:firstLine="420" w:firstLineChars="200"/>
        <w:rPr>
          <w:rFonts w:ascii="宋体" w:hAnsi="宋体" w:cs="宋体"/>
          <w:color w:val="000000"/>
          <w:szCs w:val="21"/>
        </w:rPr>
      </w:pPr>
      <w:r>
        <w:rPr>
          <w:rFonts w:hint="eastAsia" w:ascii="宋体" w:hAnsi="宋体" w:cs="宋体"/>
          <w:color w:val="000000"/>
          <w:szCs w:val="21"/>
        </w:rPr>
        <w:t>（3）响应文件未按磋商文件的内容和要求编制，或提供虚假材料的；</w:t>
      </w:r>
    </w:p>
    <w:p w14:paraId="09627479">
      <w:pPr>
        <w:spacing w:line="360" w:lineRule="auto"/>
        <w:ind w:firstLine="420" w:firstLineChars="200"/>
        <w:rPr>
          <w:rFonts w:ascii="宋体" w:hAnsi="宋体" w:cs="宋体"/>
          <w:color w:val="000000"/>
          <w:szCs w:val="21"/>
        </w:rPr>
      </w:pPr>
      <w:r>
        <w:rPr>
          <w:rFonts w:hint="eastAsia" w:ascii="宋体" w:hAnsi="宋体" w:cs="宋体"/>
          <w:color w:val="000000"/>
          <w:szCs w:val="21"/>
        </w:rPr>
        <w:t>（4）响应文件有效期、交货时间、免费保修期（升级、维护）期/维护期、售后服务不能满足磋商文件要求的；</w:t>
      </w:r>
    </w:p>
    <w:p w14:paraId="211AFFE1">
      <w:pPr>
        <w:spacing w:line="360" w:lineRule="auto"/>
        <w:ind w:firstLine="420" w:firstLineChars="200"/>
        <w:rPr>
          <w:rFonts w:ascii="宋体" w:hAnsi="宋体" w:cs="宋体"/>
          <w:color w:val="000000"/>
          <w:szCs w:val="21"/>
        </w:rPr>
      </w:pPr>
      <w:r>
        <w:rPr>
          <w:rFonts w:hint="eastAsia" w:ascii="宋体" w:hAnsi="宋体" w:cs="宋体"/>
          <w:color w:val="000000"/>
          <w:szCs w:val="21"/>
        </w:rPr>
        <w:t>（5）供应商未就“采购需求”中的所有内容作完整唯一报价的，或报价超出采购预算总金额的；</w:t>
      </w:r>
    </w:p>
    <w:p w14:paraId="23D71DE0">
      <w:pPr>
        <w:spacing w:line="360" w:lineRule="auto"/>
        <w:ind w:firstLine="420" w:firstLineChars="200"/>
        <w:rPr>
          <w:rFonts w:ascii="宋体" w:hAnsi="宋体" w:cs="宋体"/>
          <w:color w:val="000000"/>
          <w:szCs w:val="21"/>
        </w:rPr>
      </w:pPr>
      <w:r>
        <w:rPr>
          <w:rFonts w:hint="eastAsia" w:ascii="宋体" w:hAnsi="宋体" w:cs="宋体"/>
          <w:color w:val="000000"/>
          <w:szCs w:val="21"/>
        </w:rPr>
        <w:t>（6）未在磋商小组规定的时间内提交响应文件(包括最后报价)的；</w:t>
      </w:r>
    </w:p>
    <w:p w14:paraId="0EA1EAA0">
      <w:pPr>
        <w:spacing w:line="360" w:lineRule="auto"/>
        <w:ind w:firstLine="420" w:firstLineChars="200"/>
        <w:rPr>
          <w:rFonts w:ascii="宋体" w:hAnsi="宋体" w:cs="宋体"/>
          <w:color w:val="000000"/>
          <w:szCs w:val="21"/>
        </w:rPr>
      </w:pPr>
      <w:r>
        <w:rPr>
          <w:rFonts w:hint="eastAsia" w:ascii="宋体" w:hAnsi="宋体" w:cs="宋体"/>
          <w:color w:val="000000"/>
          <w:szCs w:val="21"/>
        </w:rPr>
        <w:t>（7）超越了按照法律法规规定必须获得行政许可或者行政审批的经营范围的；</w:t>
      </w:r>
    </w:p>
    <w:p w14:paraId="74B2C434">
      <w:pPr>
        <w:spacing w:line="360" w:lineRule="auto"/>
        <w:ind w:firstLine="420" w:firstLineChars="200"/>
        <w:rPr>
          <w:rFonts w:ascii="宋体" w:hAnsi="宋体" w:cs="宋体"/>
          <w:color w:val="000000"/>
          <w:szCs w:val="21"/>
        </w:rPr>
      </w:pPr>
      <w:r>
        <w:rPr>
          <w:rFonts w:hint="eastAsia" w:ascii="宋体" w:hAnsi="宋体" w:cs="宋体"/>
          <w:color w:val="000000"/>
          <w:szCs w:val="21"/>
        </w:rPr>
        <w:t>（8）未满足磋商文件实质性要求的或者响应文件有采购人不能接受的附加条件的；</w:t>
      </w:r>
    </w:p>
    <w:p w14:paraId="091DF50E">
      <w:pPr>
        <w:spacing w:line="360" w:lineRule="auto"/>
        <w:ind w:firstLine="420" w:firstLineChars="200"/>
        <w:rPr>
          <w:rFonts w:ascii="宋体" w:hAnsi="宋体" w:cs="宋体"/>
          <w:color w:val="000000"/>
        </w:rPr>
      </w:pPr>
      <w:r>
        <w:rPr>
          <w:rFonts w:hint="eastAsia" w:ascii="宋体" w:hAnsi="宋体" w:cs="宋体"/>
          <w:color w:val="000000"/>
          <w:szCs w:val="21"/>
        </w:rPr>
        <w:t>（9）响应文件实质性要求未做变动，供应商最后报价高于第一次报价的；</w:t>
      </w:r>
    </w:p>
    <w:p w14:paraId="5D4EDECB">
      <w:pPr>
        <w:spacing w:line="360" w:lineRule="auto"/>
        <w:ind w:firstLine="420" w:firstLineChars="200"/>
        <w:rPr>
          <w:rFonts w:ascii="宋体" w:hAnsi="宋体" w:cs="宋体"/>
          <w:color w:val="000000"/>
          <w:szCs w:val="21"/>
        </w:rPr>
      </w:pPr>
      <w:r>
        <w:rPr>
          <w:rFonts w:hint="eastAsia" w:ascii="宋体" w:hAnsi="宋体" w:cs="宋体"/>
          <w:color w:val="000000"/>
          <w:szCs w:val="21"/>
        </w:rPr>
        <w:t>（10）不符合法律、法规和磋商文件规定的其他实质性要求和条件的。</w:t>
      </w:r>
    </w:p>
    <w:p w14:paraId="35C6013E">
      <w:pPr>
        <w:spacing w:line="360" w:lineRule="auto"/>
        <w:ind w:firstLine="420" w:firstLineChars="200"/>
        <w:rPr>
          <w:rFonts w:ascii="宋体" w:hAnsi="宋体" w:cs="宋体"/>
          <w:b/>
          <w:bCs/>
          <w:color w:val="000000"/>
          <w:szCs w:val="21"/>
        </w:rPr>
      </w:pPr>
      <w:r>
        <w:rPr>
          <w:rFonts w:hint="eastAsia" w:ascii="宋体" w:hAnsi="宋体" w:cs="宋体"/>
          <w:b/>
          <w:bCs/>
          <w:color w:val="000000"/>
          <w:szCs w:val="21"/>
        </w:rPr>
        <w:t>供应商有下列情形之一的视为供应商相互串通磋商，响应文件将被视为无效</w:t>
      </w:r>
    </w:p>
    <w:p w14:paraId="082A65CB">
      <w:pPr>
        <w:spacing w:line="360" w:lineRule="auto"/>
        <w:ind w:firstLine="420" w:firstLineChars="200"/>
        <w:rPr>
          <w:rFonts w:ascii="宋体" w:hAnsi="宋体" w:cs="宋体"/>
          <w:color w:val="000000"/>
          <w:szCs w:val="21"/>
        </w:rPr>
      </w:pPr>
      <w:r>
        <w:rPr>
          <w:rFonts w:hint="eastAsia" w:ascii="宋体" w:hAnsi="宋体" w:cs="宋体"/>
          <w:color w:val="000000"/>
          <w:szCs w:val="21"/>
        </w:rPr>
        <w:t>（1）不同供应商的响应文件由同一单位或者个人编制；或不同供应商报名的IP地址一致的；</w:t>
      </w:r>
    </w:p>
    <w:p w14:paraId="5D8FCE0C">
      <w:pPr>
        <w:spacing w:line="360" w:lineRule="auto"/>
        <w:ind w:firstLine="420" w:firstLineChars="200"/>
        <w:rPr>
          <w:rFonts w:ascii="宋体" w:hAnsi="宋体" w:cs="宋体"/>
          <w:color w:val="000000"/>
          <w:szCs w:val="21"/>
        </w:rPr>
      </w:pPr>
      <w:r>
        <w:rPr>
          <w:rFonts w:hint="eastAsia" w:ascii="宋体" w:hAnsi="宋体" w:cs="宋体"/>
          <w:color w:val="000000"/>
          <w:szCs w:val="21"/>
        </w:rPr>
        <w:t>（2）不同供应商委托同一单位或者个人办理磋商事宜；</w:t>
      </w:r>
    </w:p>
    <w:p w14:paraId="70E09020">
      <w:pPr>
        <w:spacing w:line="360" w:lineRule="auto"/>
        <w:ind w:firstLine="420" w:firstLineChars="200"/>
        <w:rPr>
          <w:rFonts w:ascii="宋体" w:hAnsi="宋体" w:cs="宋体"/>
          <w:color w:val="000000"/>
          <w:szCs w:val="21"/>
        </w:rPr>
      </w:pPr>
      <w:r>
        <w:rPr>
          <w:rFonts w:hint="eastAsia" w:ascii="宋体" w:hAnsi="宋体" w:cs="宋体"/>
          <w:color w:val="000000"/>
          <w:szCs w:val="21"/>
        </w:rPr>
        <w:t>（3）不同的供应商的响应文件载明的项目管理员为同一个人；</w:t>
      </w:r>
    </w:p>
    <w:p w14:paraId="72061FCC">
      <w:pPr>
        <w:spacing w:line="360" w:lineRule="auto"/>
        <w:ind w:firstLine="420" w:firstLineChars="200"/>
        <w:rPr>
          <w:rFonts w:ascii="宋体" w:hAnsi="宋体" w:cs="宋体"/>
          <w:color w:val="000000"/>
          <w:szCs w:val="21"/>
        </w:rPr>
      </w:pPr>
      <w:r>
        <w:rPr>
          <w:rFonts w:hint="eastAsia" w:ascii="宋体" w:hAnsi="宋体" w:cs="宋体"/>
          <w:color w:val="000000"/>
          <w:szCs w:val="21"/>
        </w:rPr>
        <w:t>（4）不同供应商的响应文件异常一致或竞标报价呈规律性差异；</w:t>
      </w:r>
    </w:p>
    <w:p w14:paraId="6FFEBED5">
      <w:pPr>
        <w:spacing w:line="360" w:lineRule="auto"/>
        <w:ind w:firstLine="420" w:firstLineChars="200"/>
        <w:rPr>
          <w:rFonts w:ascii="宋体" w:hAnsi="宋体" w:cs="宋体"/>
          <w:color w:val="000000"/>
          <w:szCs w:val="21"/>
        </w:rPr>
      </w:pPr>
      <w:r>
        <w:rPr>
          <w:rFonts w:hint="eastAsia" w:ascii="宋体" w:hAnsi="宋体" w:cs="宋体"/>
          <w:color w:val="000000"/>
          <w:szCs w:val="21"/>
        </w:rPr>
        <w:t>（5）不同供应商的响应文件相互混编；</w:t>
      </w:r>
    </w:p>
    <w:p w14:paraId="1AEBD69C">
      <w:pPr>
        <w:spacing w:line="360" w:lineRule="auto"/>
        <w:ind w:firstLine="420" w:firstLineChars="200"/>
        <w:rPr>
          <w:rFonts w:ascii="宋体" w:hAnsi="宋体" w:cs="宋体"/>
          <w:color w:val="000000"/>
          <w:szCs w:val="21"/>
        </w:rPr>
      </w:pPr>
      <w:r>
        <w:rPr>
          <w:rFonts w:hint="eastAsia" w:ascii="宋体" w:hAnsi="宋体" w:cs="宋体"/>
          <w:color w:val="000000"/>
          <w:szCs w:val="21"/>
        </w:rPr>
        <w:t>（6）不同供应商的磋商保证金从同一单位或者个人账户转出。</w:t>
      </w:r>
    </w:p>
    <w:p w14:paraId="6494E16E">
      <w:pPr>
        <w:pStyle w:val="5"/>
        <w:spacing w:line="360" w:lineRule="auto"/>
        <w:ind w:firstLine="420" w:firstLineChars="200"/>
        <w:rPr>
          <w:rFonts w:ascii="宋体" w:hAnsi="宋体" w:cs="宋体"/>
          <w:color w:val="000000"/>
          <w:sz w:val="21"/>
          <w:szCs w:val="21"/>
        </w:rPr>
      </w:pPr>
      <w:bookmarkStart w:id="84" w:name="_Toc102642509"/>
      <w:bookmarkStart w:id="85" w:name="_Toc5714"/>
      <w:r>
        <w:rPr>
          <w:rFonts w:hint="eastAsia" w:ascii="宋体" w:hAnsi="宋体" w:cs="宋体"/>
          <w:color w:val="000000"/>
          <w:sz w:val="21"/>
          <w:szCs w:val="21"/>
        </w:rPr>
        <w:t>24. 出现下列情形之一的，采购人或者采购代理机构应当终止竞争性磋商采购活动，发布项目终止公告并说明原因，重新开展采购活动</w:t>
      </w:r>
      <w:bookmarkEnd w:id="84"/>
      <w:bookmarkEnd w:id="85"/>
    </w:p>
    <w:p w14:paraId="3E993318">
      <w:pPr>
        <w:spacing w:line="360" w:lineRule="auto"/>
        <w:ind w:firstLine="420" w:firstLineChars="200"/>
        <w:rPr>
          <w:rFonts w:ascii="宋体" w:hAnsi="宋体" w:cs="宋体"/>
          <w:color w:val="000000"/>
          <w:szCs w:val="21"/>
        </w:rPr>
      </w:pPr>
      <w:r>
        <w:rPr>
          <w:rFonts w:hint="eastAsia" w:ascii="宋体" w:hAnsi="宋体" w:cs="宋体"/>
          <w:color w:val="000000"/>
          <w:szCs w:val="21"/>
        </w:rPr>
        <w:t>（1）因情况变化，不再符合规定的竞争性磋商采购方式适用情形的；</w:t>
      </w:r>
    </w:p>
    <w:p w14:paraId="1649FC68">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（2）出现影响采购公正的违法、违规行为的； </w:t>
      </w:r>
    </w:p>
    <w:p w14:paraId="2F64EFB5">
      <w:pPr>
        <w:spacing w:line="360" w:lineRule="auto"/>
        <w:ind w:firstLine="420" w:firstLineChars="200"/>
        <w:rPr>
          <w:rFonts w:ascii="宋体" w:hAnsi="宋体" w:cs="宋体"/>
          <w:b/>
          <w:bCs/>
          <w:color w:val="000000"/>
          <w:szCs w:val="21"/>
        </w:rPr>
      </w:pPr>
      <w:r>
        <w:rPr>
          <w:rFonts w:hint="eastAsia" w:ascii="宋体" w:hAnsi="宋体" w:cs="宋体"/>
          <w:color w:val="000000"/>
          <w:szCs w:val="21"/>
        </w:rPr>
        <w:t>（3）在采购过程中符合竞争要求的供应商或者报价未超过采购预算的供应商不足3家的。</w:t>
      </w:r>
      <w:r>
        <w:rPr>
          <w:rFonts w:hint="eastAsia" w:ascii="宋体" w:hAnsi="宋体" w:cs="宋体"/>
          <w:b/>
          <w:bCs/>
          <w:color w:val="000000"/>
          <w:szCs w:val="21"/>
        </w:rPr>
        <w:t xml:space="preserve">（除财库〔2014〕214 号《政府采购竞争性磋商采购方式管理暂行办法》第二十一条第三款规定的情形外） </w:t>
      </w:r>
    </w:p>
    <w:p w14:paraId="4E4CC8FF">
      <w:pPr>
        <w:pStyle w:val="5"/>
        <w:spacing w:line="360" w:lineRule="auto"/>
        <w:ind w:firstLine="420" w:firstLineChars="200"/>
        <w:rPr>
          <w:rFonts w:ascii="宋体" w:hAnsi="宋体" w:cs="宋体"/>
          <w:color w:val="000000"/>
          <w:sz w:val="21"/>
          <w:szCs w:val="21"/>
        </w:rPr>
      </w:pPr>
      <w:bookmarkStart w:id="86" w:name="_Toc19105"/>
      <w:bookmarkStart w:id="87" w:name="_Toc102642510"/>
      <w:r>
        <w:rPr>
          <w:rFonts w:hint="eastAsia" w:ascii="宋体" w:hAnsi="宋体" w:cs="宋体"/>
          <w:color w:val="000000"/>
          <w:sz w:val="21"/>
          <w:szCs w:val="21"/>
        </w:rPr>
        <w:t>25. 磋商过程的监控</w:t>
      </w:r>
      <w:bookmarkEnd w:id="86"/>
      <w:bookmarkEnd w:id="87"/>
    </w:p>
    <w:p w14:paraId="72C7BB18">
      <w:pPr>
        <w:spacing w:line="360" w:lineRule="auto"/>
        <w:ind w:firstLine="420" w:firstLineChars="200"/>
        <w:rPr>
          <w:rFonts w:ascii="宋体" w:hAnsi="宋体" w:cs="宋体"/>
          <w:color w:val="000000"/>
          <w:szCs w:val="21"/>
        </w:rPr>
      </w:pPr>
      <w:r>
        <w:rPr>
          <w:rFonts w:hint="eastAsia" w:ascii="宋体" w:hAnsi="宋体" w:cs="宋体"/>
          <w:color w:val="000000"/>
          <w:szCs w:val="21"/>
        </w:rPr>
        <w:t>本项目磋商过程实行全程录音、录像监控，供应商在磋商过程中所进行的试图影响磋商结果的不公正活动，可能导致其磋商被拒绝。</w:t>
      </w:r>
    </w:p>
    <w:p w14:paraId="73618D77">
      <w:pPr>
        <w:pStyle w:val="5"/>
        <w:numPr>
          <w:ilvl w:val="0"/>
          <w:numId w:val="4"/>
        </w:numPr>
        <w:spacing w:line="360" w:lineRule="auto"/>
        <w:ind w:firstLine="420" w:firstLineChars="200"/>
        <w:rPr>
          <w:rFonts w:ascii="宋体" w:hAnsi="宋体" w:cs="宋体"/>
          <w:color w:val="000000"/>
          <w:sz w:val="21"/>
          <w:szCs w:val="21"/>
        </w:rPr>
      </w:pPr>
      <w:bookmarkStart w:id="88" w:name="_Toc14787"/>
      <w:bookmarkStart w:id="89" w:name="_Toc102642511"/>
      <w:r>
        <w:rPr>
          <w:rFonts w:hint="eastAsia" w:ascii="宋体" w:hAnsi="宋体" w:cs="宋体"/>
          <w:color w:val="000000"/>
          <w:sz w:val="21"/>
          <w:szCs w:val="21"/>
        </w:rPr>
        <w:t>信用查询</w:t>
      </w:r>
      <w:bookmarkEnd w:id="88"/>
      <w:bookmarkEnd w:id="89"/>
    </w:p>
    <w:p w14:paraId="007CF0EA">
      <w:pPr>
        <w:spacing w:line="360" w:lineRule="auto"/>
        <w:ind w:firstLine="420" w:firstLineChars="200"/>
        <w:rPr>
          <w:rFonts w:ascii="宋体" w:hAnsi="宋体" w:cs="宋体"/>
          <w:color w:val="000000"/>
          <w:szCs w:val="21"/>
        </w:rPr>
      </w:pPr>
      <w:r>
        <w:rPr>
          <w:rFonts w:hint="eastAsia" w:ascii="宋体" w:hAnsi="宋体" w:cs="宋体"/>
          <w:color w:val="000000"/>
          <w:szCs w:val="21"/>
        </w:rPr>
        <w:t>根据《关于做好政府采购有关信用主体标识码登记及在政府采购活动中查询使用信用记录有关问题的通知》（桂财采〔2016〕37号</w:t>
      </w:r>
      <w:r>
        <w:rPr>
          <w:rFonts w:hint="eastAsia"/>
        </w:rPr>
        <w:t>）</w:t>
      </w:r>
      <w:r>
        <w:rPr>
          <w:rFonts w:hint="eastAsia" w:ascii="宋体" w:hAnsi="宋体" w:cs="宋体"/>
          <w:color w:val="000000"/>
          <w:szCs w:val="21"/>
        </w:rPr>
        <w:t>，采购代理机构对成交人的成交资格进行信用查询：</w:t>
      </w:r>
    </w:p>
    <w:p w14:paraId="5432FD06">
      <w:pPr>
        <w:spacing w:line="360" w:lineRule="auto"/>
        <w:ind w:firstLine="210" w:firstLineChars="100"/>
        <w:rPr>
          <w:rFonts w:ascii="宋体" w:hAnsi="宋体" w:cs="宋体"/>
          <w:color w:val="000000"/>
          <w:szCs w:val="21"/>
        </w:rPr>
      </w:pPr>
      <w:r>
        <w:rPr>
          <w:rFonts w:hint="eastAsia" w:ascii="宋体" w:hAnsi="宋体" w:cs="宋体"/>
          <w:color w:val="000000"/>
          <w:szCs w:val="21"/>
        </w:rPr>
        <w:t>（1）查询渠道：“信用中国”网站(www.creditchina.gov.cn)、中国政府采购网(www.ccgp.gov.cn)等；</w:t>
      </w:r>
    </w:p>
    <w:p w14:paraId="4321BBFA">
      <w:pPr>
        <w:spacing w:line="360" w:lineRule="auto"/>
        <w:ind w:firstLine="210" w:firstLineChars="100"/>
        <w:rPr>
          <w:rFonts w:ascii="宋体" w:hAnsi="宋体" w:cs="宋体"/>
          <w:color w:val="000000"/>
          <w:szCs w:val="21"/>
        </w:rPr>
      </w:pPr>
      <w:r>
        <w:rPr>
          <w:rFonts w:hint="eastAsia" w:ascii="宋体" w:hAnsi="宋体" w:cs="宋体"/>
          <w:color w:val="000000"/>
          <w:szCs w:val="21"/>
        </w:rPr>
        <w:t>（2）查询时间：成交通知书发出前；</w:t>
      </w:r>
    </w:p>
    <w:p w14:paraId="0035413D">
      <w:pPr>
        <w:spacing w:line="360" w:lineRule="auto"/>
        <w:ind w:firstLine="210" w:firstLineChars="100"/>
        <w:rPr>
          <w:rFonts w:ascii="宋体" w:hAnsi="宋体" w:cs="宋体"/>
          <w:color w:val="000000"/>
          <w:szCs w:val="21"/>
        </w:rPr>
      </w:pPr>
      <w:r>
        <w:rPr>
          <w:rFonts w:hint="eastAsia" w:ascii="宋体" w:hAnsi="宋体" w:cs="宋体"/>
          <w:color w:val="000000"/>
          <w:szCs w:val="21"/>
        </w:rPr>
        <w:t>（3）信用信息查询记录和证据留存方式：在查询网站中直接打印查询记录，打印材料作为采购活动资料保存。</w:t>
      </w:r>
    </w:p>
    <w:p w14:paraId="1614655A">
      <w:pPr>
        <w:spacing w:line="360" w:lineRule="auto"/>
        <w:ind w:firstLine="210" w:firstLineChars="100"/>
        <w:rPr>
          <w:rFonts w:ascii="宋体" w:hAnsi="宋体" w:cs="宋体"/>
          <w:color w:val="000000"/>
          <w:szCs w:val="21"/>
        </w:rPr>
      </w:pPr>
      <w:r>
        <w:rPr>
          <w:rFonts w:hint="eastAsia" w:ascii="宋体" w:hAnsi="宋体" w:cs="宋体"/>
          <w:color w:val="000000"/>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2780FD46">
      <w:pPr>
        <w:spacing w:line="288" w:lineRule="auto"/>
        <w:ind w:firstLine="420" w:firstLineChars="200"/>
        <w:rPr>
          <w:rFonts w:ascii="宋体" w:hAnsi="宋体" w:cs="宋体"/>
          <w:color w:val="000000"/>
        </w:rPr>
      </w:pPr>
      <w:r>
        <w:rPr>
          <w:rFonts w:hint="eastAsia" w:ascii="宋体" w:hAnsi="宋体" w:cs="宋体"/>
          <w:color w:val="000000"/>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A812487">
      <w:pPr>
        <w:pStyle w:val="5"/>
        <w:spacing w:line="288" w:lineRule="auto"/>
        <w:ind w:firstLine="420" w:firstLineChars="200"/>
        <w:rPr>
          <w:rFonts w:ascii="宋体" w:hAnsi="宋体" w:cs="宋体"/>
          <w:color w:val="000000"/>
          <w:sz w:val="21"/>
          <w:szCs w:val="21"/>
        </w:rPr>
      </w:pPr>
      <w:bookmarkStart w:id="90" w:name="_Toc102642512"/>
      <w:bookmarkStart w:id="91" w:name="_Toc9438"/>
      <w:r>
        <w:rPr>
          <w:rFonts w:hint="eastAsia" w:ascii="宋体" w:hAnsi="宋体" w:cs="宋体"/>
          <w:color w:val="000000"/>
          <w:sz w:val="21"/>
          <w:szCs w:val="21"/>
        </w:rPr>
        <w:t>27. 成交结果公告及成交通知书</w:t>
      </w:r>
      <w:bookmarkEnd w:id="90"/>
      <w:bookmarkEnd w:id="91"/>
    </w:p>
    <w:p w14:paraId="676320A3">
      <w:pPr>
        <w:spacing w:line="288" w:lineRule="auto"/>
        <w:ind w:firstLine="420" w:firstLineChars="200"/>
        <w:rPr>
          <w:rFonts w:ascii="宋体" w:hAnsi="宋体" w:cs="宋体"/>
          <w:color w:val="000000"/>
          <w:szCs w:val="21"/>
        </w:rPr>
      </w:pPr>
      <w:r>
        <w:rPr>
          <w:rFonts w:hint="eastAsia" w:ascii="宋体" w:hAnsi="宋体" w:cs="宋体"/>
          <w:color w:val="000000"/>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0E805FF">
      <w:pPr>
        <w:spacing w:line="288" w:lineRule="auto"/>
        <w:ind w:firstLine="420" w:firstLineChars="200"/>
        <w:rPr>
          <w:rFonts w:ascii="宋体" w:hAnsi="宋体" w:cs="宋体"/>
          <w:color w:val="000000"/>
          <w:szCs w:val="21"/>
        </w:rPr>
      </w:pPr>
      <w:r>
        <w:rPr>
          <w:rFonts w:hint="eastAsia" w:ascii="宋体" w:hAnsi="宋体" w:cs="宋体"/>
          <w:color w:val="000000"/>
          <w:szCs w:val="21"/>
        </w:rPr>
        <w:t>27.2 在发布成交公告的同时，采购代理机构向成交供应商发出成交通知书。成交供应商自接到通知之日起七个工作日内，办理成交通知书领取手续。</w:t>
      </w:r>
    </w:p>
    <w:p w14:paraId="403B0059">
      <w:pPr>
        <w:spacing w:line="288" w:lineRule="auto"/>
        <w:ind w:firstLine="420" w:firstLineChars="200"/>
        <w:rPr>
          <w:rFonts w:ascii="宋体" w:hAnsi="宋体" w:cs="宋体"/>
          <w:color w:val="000000"/>
          <w:szCs w:val="21"/>
        </w:rPr>
      </w:pPr>
      <w:r>
        <w:rPr>
          <w:rFonts w:hint="eastAsia" w:ascii="宋体" w:hAnsi="宋体" w:cs="宋体"/>
          <w:color w:val="000000"/>
          <w:szCs w:val="21"/>
        </w:rPr>
        <w:t>27.3 采购代理机构无义务向未成交的供应商解释未成交原因和退还响应文件。</w:t>
      </w:r>
    </w:p>
    <w:p w14:paraId="328921B6">
      <w:pPr>
        <w:pStyle w:val="4"/>
        <w:spacing w:line="288" w:lineRule="auto"/>
        <w:jc w:val="center"/>
        <w:rPr>
          <w:rFonts w:ascii="宋体" w:hAnsi="宋体" w:cs="宋体"/>
          <w:b/>
          <w:bCs w:val="0"/>
          <w:szCs w:val="28"/>
        </w:rPr>
      </w:pPr>
      <w:bookmarkStart w:id="92" w:name="_Toc25593"/>
      <w:bookmarkStart w:id="93" w:name="_Toc102642513"/>
      <w:r>
        <w:rPr>
          <w:rFonts w:hint="eastAsia" w:ascii="宋体" w:hAnsi="宋体" w:cs="宋体"/>
          <w:b/>
          <w:bCs w:val="0"/>
          <w:szCs w:val="28"/>
        </w:rPr>
        <w:t>五、</w:t>
      </w:r>
      <w:r>
        <w:rPr>
          <w:rFonts w:hint="eastAsia" w:ascii="宋体" w:hAnsi="宋体" w:cs="宋体"/>
          <w:b/>
          <w:szCs w:val="28"/>
        </w:rPr>
        <w:t>履约保证金及</w:t>
      </w:r>
      <w:r>
        <w:rPr>
          <w:rFonts w:hint="eastAsia" w:ascii="宋体" w:hAnsi="宋体" w:cs="宋体"/>
          <w:b/>
          <w:bCs w:val="0"/>
          <w:szCs w:val="28"/>
        </w:rPr>
        <w:t>签订合同</w:t>
      </w:r>
      <w:bookmarkEnd w:id="92"/>
      <w:bookmarkEnd w:id="93"/>
    </w:p>
    <w:p w14:paraId="51DF129E">
      <w:pPr>
        <w:pStyle w:val="5"/>
        <w:spacing w:line="288" w:lineRule="auto"/>
        <w:ind w:firstLine="420" w:firstLineChars="200"/>
        <w:rPr>
          <w:rFonts w:ascii="宋体" w:hAnsi="宋体" w:cs="宋体"/>
        </w:rPr>
      </w:pPr>
      <w:bookmarkStart w:id="94" w:name="_Toc26520"/>
      <w:bookmarkStart w:id="95" w:name="_Toc102642514"/>
      <w:r>
        <w:rPr>
          <w:rFonts w:hint="eastAsia" w:ascii="宋体" w:hAnsi="宋体" w:cs="宋体"/>
          <w:sz w:val="21"/>
          <w:szCs w:val="21"/>
        </w:rPr>
        <w:t>28. 履约保证金</w:t>
      </w:r>
      <w:bookmarkEnd w:id="94"/>
      <w:bookmarkEnd w:id="95"/>
    </w:p>
    <w:p w14:paraId="75DA0685">
      <w:pPr>
        <w:pStyle w:val="5"/>
        <w:spacing w:line="288" w:lineRule="auto"/>
        <w:ind w:firstLine="420" w:firstLineChars="200"/>
        <w:rPr>
          <w:rFonts w:ascii="宋体" w:hAnsi="宋体" w:cs="宋体"/>
          <w:bCs/>
          <w:sz w:val="21"/>
          <w:szCs w:val="21"/>
        </w:rPr>
      </w:pPr>
      <w:bookmarkStart w:id="96" w:name="_Toc102642515"/>
      <w:bookmarkStart w:id="97" w:name="_Toc4956"/>
      <w:r>
        <w:rPr>
          <w:rFonts w:hint="eastAsia" w:ascii="宋体" w:hAnsi="宋体" w:cs="宋体"/>
          <w:bCs/>
          <w:sz w:val="21"/>
          <w:szCs w:val="21"/>
        </w:rPr>
        <w:t>本项目无需缴纳履约保证金。</w:t>
      </w:r>
      <w:bookmarkEnd w:id="96"/>
    </w:p>
    <w:p w14:paraId="48391553">
      <w:pPr>
        <w:pStyle w:val="5"/>
        <w:spacing w:line="288" w:lineRule="auto"/>
        <w:ind w:firstLine="420" w:firstLineChars="200"/>
        <w:rPr>
          <w:rFonts w:ascii="宋体" w:hAnsi="宋体" w:cs="宋体"/>
          <w:sz w:val="21"/>
          <w:szCs w:val="21"/>
        </w:rPr>
      </w:pPr>
      <w:bookmarkStart w:id="98" w:name="_Toc102642516"/>
      <w:r>
        <w:rPr>
          <w:rFonts w:hint="eastAsia" w:ascii="宋体" w:hAnsi="宋体" w:cs="宋体"/>
          <w:sz w:val="21"/>
          <w:szCs w:val="21"/>
        </w:rPr>
        <w:t>29. 签订合同</w:t>
      </w:r>
      <w:bookmarkEnd w:id="97"/>
      <w:bookmarkEnd w:id="98"/>
    </w:p>
    <w:p w14:paraId="50F3F87A">
      <w:pPr>
        <w:spacing w:line="288" w:lineRule="auto"/>
        <w:ind w:firstLine="420" w:firstLineChars="200"/>
        <w:rPr>
          <w:rFonts w:ascii="宋体" w:hAnsi="宋体" w:cs="宋体"/>
          <w:b/>
          <w:bCs/>
          <w:szCs w:val="21"/>
        </w:rPr>
      </w:pPr>
      <w:r>
        <w:rPr>
          <w:rFonts w:hint="eastAsia" w:ascii="宋体" w:hAnsi="宋体" w:cs="宋体"/>
          <w:b/>
          <w:bCs/>
          <w:szCs w:val="21"/>
        </w:rPr>
        <w:t>29.1 签订合同时间：成交通知书发出之日起八个工作日内签订合同。成交供应商领取成交通知书后，应按规定与采购人签订合同。</w:t>
      </w:r>
    </w:p>
    <w:p w14:paraId="3A904CAB">
      <w:pPr>
        <w:spacing w:line="288" w:lineRule="auto"/>
        <w:ind w:firstLine="420" w:firstLineChars="200"/>
        <w:rPr>
          <w:rFonts w:ascii="宋体" w:hAnsi="宋体" w:cs="宋体"/>
          <w:color w:val="000000"/>
          <w:szCs w:val="21"/>
        </w:rPr>
      </w:pPr>
      <w:r>
        <w:rPr>
          <w:rFonts w:hint="eastAsia" w:ascii="宋体" w:hAnsi="宋体" w:cs="宋体"/>
          <w:szCs w:val="21"/>
        </w:rPr>
        <w:t>29.2 如成交供应商有下列情形之一的，情节严重的，</w:t>
      </w:r>
      <w:r>
        <w:rPr>
          <w:rFonts w:hint="eastAsia" w:ascii="宋体" w:hAnsi="宋体" w:cs="宋体"/>
          <w:color w:val="000000"/>
          <w:szCs w:val="21"/>
        </w:rPr>
        <w:t>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4CDA089F">
      <w:pPr>
        <w:spacing w:line="288" w:lineRule="auto"/>
        <w:ind w:firstLine="420" w:firstLineChars="200"/>
        <w:rPr>
          <w:rFonts w:ascii="宋体" w:hAnsi="宋体" w:cs="宋体"/>
          <w:color w:val="000000"/>
          <w:szCs w:val="21"/>
        </w:rPr>
      </w:pPr>
      <w:r>
        <w:rPr>
          <w:rFonts w:hint="eastAsia" w:ascii="宋体" w:hAnsi="宋体" w:cs="宋体"/>
          <w:color w:val="000000"/>
          <w:szCs w:val="21"/>
        </w:rPr>
        <w:t>（1）成交后不与采购人签订合同的（不可抗力除外）；</w:t>
      </w:r>
    </w:p>
    <w:p w14:paraId="6389A70F">
      <w:pPr>
        <w:spacing w:line="288" w:lineRule="auto"/>
        <w:ind w:firstLine="420" w:firstLineChars="200"/>
        <w:rPr>
          <w:rFonts w:ascii="宋体" w:hAnsi="宋体" w:cs="宋体"/>
          <w:color w:val="000000"/>
          <w:szCs w:val="21"/>
        </w:rPr>
      </w:pPr>
      <w:r>
        <w:rPr>
          <w:rFonts w:hint="eastAsia" w:ascii="宋体" w:hAnsi="宋体" w:cs="宋体"/>
          <w:color w:val="000000"/>
          <w:szCs w:val="21"/>
        </w:rPr>
        <w:t>（2）将成交项目转让给他人，或者在响应文件中未说明，且未经采购人同意，将成交项目分包给他人的；</w:t>
      </w:r>
    </w:p>
    <w:p w14:paraId="32DAC87C">
      <w:pPr>
        <w:spacing w:line="288" w:lineRule="auto"/>
        <w:ind w:firstLine="420" w:firstLineChars="200"/>
        <w:rPr>
          <w:rFonts w:ascii="宋体" w:hAnsi="宋体" w:cs="宋体"/>
          <w:color w:val="000000"/>
          <w:szCs w:val="21"/>
        </w:rPr>
      </w:pPr>
      <w:r>
        <w:rPr>
          <w:rFonts w:hint="eastAsia" w:ascii="宋体" w:hAnsi="宋体" w:cs="宋体"/>
          <w:color w:val="000000"/>
          <w:szCs w:val="21"/>
        </w:rPr>
        <w:t>（3）拒绝履行合同义务的。</w:t>
      </w:r>
    </w:p>
    <w:p w14:paraId="0E4A1551">
      <w:pPr>
        <w:spacing w:line="288" w:lineRule="auto"/>
        <w:ind w:firstLine="420" w:firstLineChars="200"/>
        <w:rPr>
          <w:rFonts w:ascii="宋体" w:hAnsi="宋体" w:cs="宋体"/>
          <w:color w:val="000000"/>
        </w:rPr>
      </w:pPr>
      <w:r>
        <w:rPr>
          <w:rFonts w:hint="eastAsia" w:ascii="宋体" w:hAnsi="宋体" w:cs="宋体"/>
          <w:color w:val="000000"/>
          <w:szCs w:val="21"/>
        </w:rPr>
        <w:t>29.3 合同备案存档：</w:t>
      </w:r>
      <w:r>
        <w:rPr>
          <w:rFonts w:hint="eastAsia" w:ascii="宋体" w:hAnsi="宋体"/>
        </w:rPr>
        <w:t>政府采购合同双方自签订之日起1个工作日内将合同原件两份交采购代理机构。采购代理机构将政府采购合同在省级以上人民政府财政部门指定媒体上公告并于合同签订之日起七个工作日内将一份合同原件送</w:t>
      </w:r>
      <w:r>
        <w:rPr>
          <w:rFonts w:hint="eastAsia" w:ascii="宋体" w:hAnsi="宋体"/>
          <w:szCs w:val="21"/>
        </w:rPr>
        <w:t>桂林市临桂区财政局</w:t>
      </w:r>
      <w:r>
        <w:rPr>
          <w:rFonts w:hint="eastAsia" w:ascii="宋体" w:hAnsi="宋体"/>
        </w:rPr>
        <w:t>备案，一份由采购代理机构存档。</w:t>
      </w:r>
    </w:p>
    <w:p w14:paraId="4B2076DA">
      <w:pPr>
        <w:pStyle w:val="4"/>
        <w:spacing w:line="288" w:lineRule="auto"/>
        <w:jc w:val="center"/>
        <w:rPr>
          <w:rFonts w:ascii="宋体" w:hAnsi="宋体" w:cs="宋体"/>
          <w:b/>
          <w:bCs w:val="0"/>
          <w:szCs w:val="28"/>
        </w:rPr>
      </w:pPr>
      <w:bookmarkStart w:id="99" w:name="_Toc16348"/>
      <w:bookmarkStart w:id="100" w:name="_Toc102642517"/>
      <w:r>
        <w:rPr>
          <w:rFonts w:hint="eastAsia" w:ascii="宋体" w:hAnsi="宋体" w:cs="宋体"/>
          <w:b/>
          <w:bCs w:val="0"/>
          <w:szCs w:val="28"/>
        </w:rPr>
        <w:t>六、其他事项</w:t>
      </w:r>
      <w:bookmarkEnd w:id="99"/>
      <w:bookmarkEnd w:id="100"/>
    </w:p>
    <w:p w14:paraId="377C6C67">
      <w:pPr>
        <w:pStyle w:val="5"/>
        <w:spacing w:line="288" w:lineRule="auto"/>
        <w:ind w:firstLine="420" w:firstLineChars="200"/>
        <w:rPr>
          <w:rFonts w:ascii="宋体" w:hAnsi="宋体" w:cs="宋体"/>
          <w:color w:val="000000"/>
          <w:sz w:val="21"/>
          <w:szCs w:val="21"/>
        </w:rPr>
      </w:pPr>
      <w:bookmarkStart w:id="101" w:name="_Toc102642518"/>
      <w:bookmarkStart w:id="102" w:name="_Toc28647"/>
      <w:r>
        <w:rPr>
          <w:rFonts w:hint="eastAsia" w:ascii="宋体" w:hAnsi="宋体" w:cs="宋体"/>
          <w:color w:val="000000"/>
          <w:sz w:val="21"/>
          <w:szCs w:val="21"/>
        </w:rPr>
        <w:t>30. 采购代理服务费</w:t>
      </w:r>
      <w:bookmarkEnd w:id="101"/>
      <w:bookmarkEnd w:id="102"/>
    </w:p>
    <w:p w14:paraId="3B5771C7">
      <w:pPr>
        <w:pStyle w:val="12"/>
        <w:spacing w:line="380" w:lineRule="exact"/>
        <w:ind w:firstLine="420" w:firstLineChars="200"/>
        <w:rPr>
          <w:rFonts w:hAnsi="宋体"/>
          <w:szCs w:val="21"/>
        </w:rPr>
      </w:pPr>
      <w:r>
        <w:rPr>
          <w:rFonts w:hint="eastAsia" w:hAnsi="宋体"/>
          <w:szCs w:val="21"/>
        </w:rPr>
        <w:t>1、成交供应商领取成交通知书前，向广西安臻工程管理有限公司一次性付清采购代理服务费。本项目的采购代理服务收费标准按计价格[2002]1980号《招标代理服务收费管理暂行办法》服务类收费标准和发改办价格[2003]857号文的规定向成交磋商供应商收取。</w:t>
      </w:r>
    </w:p>
    <w:p w14:paraId="24B4A846">
      <w:pPr>
        <w:spacing w:line="380" w:lineRule="exact"/>
        <w:jc w:val="center"/>
        <w:rPr>
          <w:rFonts w:ascii="宋体" w:hAnsi="宋体"/>
          <w:szCs w:val="21"/>
        </w:rPr>
      </w:pPr>
      <w:r>
        <w:rPr>
          <w:rFonts w:hint="eastAsia" w:ascii="宋体" w:hAnsi="宋体"/>
          <w:szCs w:val="21"/>
        </w:rPr>
        <w:t>采购代理服务收费标准</w:t>
      </w:r>
    </w:p>
    <w:tbl>
      <w:tblPr>
        <w:tblStyle w:val="23"/>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14:paraId="2F6A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14:paraId="41A85C1F">
            <w:pPr>
              <w:pStyle w:val="12"/>
              <w:spacing w:line="380" w:lineRule="exact"/>
              <w:ind w:left="25"/>
              <w:rPr>
                <w:rFonts w:hAnsi="宋体"/>
              </w:rPr>
            </w:pPr>
            <w:r>
              <w:rPr>
                <w:rFonts w:hAnsi="宋体"/>
              </w:rPr>
              <w:pict>
                <v:line id="直线 101" o:spid="_x0000_s1027" o:spt="20" style="position:absolute;left:0pt;margin-left:23.35pt;margin-top:0.85pt;height:49.7pt;width:106.5pt;z-index:251661312;mso-width-relative:page;mso-height-relative:page;" coordsize="21600,21600">
                  <v:path arrowok="t"/>
                  <v:fill focussize="0,0"/>
                  <v:stroke/>
                  <v:imagedata o:title=""/>
                  <o:lock v:ext="edit"/>
                </v:line>
              </w:pict>
            </w:r>
            <w:r>
              <w:rPr>
                <w:rFonts w:hint="eastAsia" w:hAnsi="宋体"/>
              </w:rPr>
              <w:t>费率           服务类型</w:t>
            </w:r>
          </w:p>
          <w:p w14:paraId="72E2F12B">
            <w:pPr>
              <w:pStyle w:val="12"/>
              <w:spacing w:line="380" w:lineRule="exact"/>
              <w:ind w:left="25"/>
              <w:rPr>
                <w:rFonts w:hAnsi="宋体"/>
              </w:rPr>
            </w:pPr>
            <w:r>
              <w:rPr>
                <w:rFonts w:hAnsi="宋体"/>
              </w:rPr>
              <w:pict>
                <v:line id="直线 102" o:spid="_x0000_s1028" o:spt="20" style="position:absolute;left:0pt;margin-left:-5.35pt;margin-top:3.55pt;height:31.2pt;width:135pt;z-index:251662336;mso-width-relative:page;mso-height-relative:page;" coordsize="21600,21600">
                  <v:path arrowok="t"/>
                  <v:fill focussize="0,0"/>
                  <v:stroke/>
                  <v:imagedata o:title=""/>
                  <o:lock v:ext="edit"/>
                </v:line>
              </w:pict>
            </w:r>
          </w:p>
          <w:p w14:paraId="074AEBA5">
            <w:pPr>
              <w:pStyle w:val="12"/>
              <w:spacing w:line="380" w:lineRule="exact"/>
              <w:ind w:left="25"/>
              <w:rPr>
                <w:rFonts w:hAnsi="宋体"/>
              </w:rPr>
            </w:pPr>
            <w:r>
              <w:rPr>
                <w:rFonts w:hint="eastAsia" w:hAnsi="宋体"/>
              </w:rPr>
              <w:t>中标金额（万元）</w:t>
            </w:r>
          </w:p>
        </w:tc>
        <w:tc>
          <w:tcPr>
            <w:tcW w:w="2002" w:type="dxa"/>
            <w:vAlign w:val="center"/>
          </w:tcPr>
          <w:p w14:paraId="603ED781">
            <w:pPr>
              <w:pStyle w:val="12"/>
              <w:spacing w:line="380" w:lineRule="exact"/>
              <w:ind w:left="25"/>
              <w:jc w:val="center"/>
              <w:rPr>
                <w:rFonts w:hAnsi="宋体"/>
              </w:rPr>
            </w:pPr>
            <w:r>
              <w:rPr>
                <w:rFonts w:hint="eastAsia" w:hAnsi="宋体"/>
              </w:rPr>
              <w:t>货物招标</w:t>
            </w:r>
          </w:p>
        </w:tc>
        <w:tc>
          <w:tcPr>
            <w:tcW w:w="1992" w:type="dxa"/>
            <w:vAlign w:val="center"/>
          </w:tcPr>
          <w:p w14:paraId="65DE6367">
            <w:pPr>
              <w:pStyle w:val="12"/>
              <w:spacing w:line="380" w:lineRule="exact"/>
              <w:ind w:left="25"/>
              <w:jc w:val="center"/>
              <w:rPr>
                <w:rFonts w:hAnsi="宋体"/>
              </w:rPr>
            </w:pPr>
            <w:r>
              <w:rPr>
                <w:rFonts w:hint="eastAsia" w:hAnsi="宋体"/>
              </w:rPr>
              <w:t>服务招标</w:t>
            </w:r>
          </w:p>
        </w:tc>
        <w:tc>
          <w:tcPr>
            <w:tcW w:w="2293" w:type="dxa"/>
            <w:vAlign w:val="center"/>
          </w:tcPr>
          <w:p w14:paraId="1F9843B5">
            <w:pPr>
              <w:pStyle w:val="12"/>
              <w:spacing w:line="380" w:lineRule="exact"/>
              <w:ind w:left="25"/>
              <w:jc w:val="center"/>
              <w:rPr>
                <w:rFonts w:hAnsi="宋体"/>
              </w:rPr>
            </w:pPr>
            <w:r>
              <w:rPr>
                <w:rFonts w:hint="eastAsia" w:hAnsi="宋体"/>
              </w:rPr>
              <w:t>工程招标</w:t>
            </w:r>
          </w:p>
        </w:tc>
      </w:tr>
      <w:tr w14:paraId="0DEB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14:paraId="17B4C1AB">
            <w:pPr>
              <w:pStyle w:val="12"/>
              <w:spacing w:line="380" w:lineRule="exact"/>
              <w:ind w:left="25"/>
              <w:rPr>
                <w:rFonts w:hAnsi="宋体"/>
              </w:rPr>
            </w:pPr>
            <w:r>
              <w:rPr>
                <w:rFonts w:hint="eastAsia" w:hAnsi="宋体"/>
              </w:rPr>
              <w:t>100以下</w:t>
            </w:r>
          </w:p>
        </w:tc>
        <w:tc>
          <w:tcPr>
            <w:tcW w:w="2002" w:type="dxa"/>
          </w:tcPr>
          <w:p w14:paraId="0C767638">
            <w:pPr>
              <w:pStyle w:val="12"/>
              <w:spacing w:line="380" w:lineRule="exact"/>
              <w:ind w:left="25"/>
              <w:jc w:val="center"/>
              <w:rPr>
                <w:rFonts w:hAnsi="宋体"/>
              </w:rPr>
            </w:pPr>
            <w:r>
              <w:rPr>
                <w:rFonts w:hint="eastAsia" w:hAnsi="宋体"/>
              </w:rPr>
              <w:t>1.5%</w:t>
            </w:r>
          </w:p>
        </w:tc>
        <w:tc>
          <w:tcPr>
            <w:tcW w:w="1992" w:type="dxa"/>
          </w:tcPr>
          <w:p w14:paraId="37A2058E">
            <w:pPr>
              <w:pStyle w:val="12"/>
              <w:spacing w:line="380" w:lineRule="exact"/>
              <w:ind w:left="25"/>
              <w:jc w:val="center"/>
              <w:rPr>
                <w:rFonts w:hAnsi="宋体"/>
              </w:rPr>
            </w:pPr>
            <w:r>
              <w:rPr>
                <w:rFonts w:hint="eastAsia" w:hAnsi="宋体"/>
              </w:rPr>
              <w:t>1.5%</w:t>
            </w:r>
          </w:p>
        </w:tc>
        <w:tc>
          <w:tcPr>
            <w:tcW w:w="2293" w:type="dxa"/>
          </w:tcPr>
          <w:p w14:paraId="5DBBEFCD">
            <w:pPr>
              <w:pStyle w:val="12"/>
              <w:spacing w:line="380" w:lineRule="exact"/>
              <w:ind w:left="25"/>
              <w:jc w:val="center"/>
              <w:rPr>
                <w:rFonts w:hAnsi="宋体"/>
              </w:rPr>
            </w:pPr>
            <w:r>
              <w:rPr>
                <w:rFonts w:hint="eastAsia" w:hAnsi="宋体"/>
              </w:rPr>
              <w:t>1.0%</w:t>
            </w:r>
          </w:p>
        </w:tc>
      </w:tr>
      <w:tr w14:paraId="02F0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14:paraId="1D12E349">
            <w:pPr>
              <w:pStyle w:val="12"/>
              <w:spacing w:line="380" w:lineRule="exact"/>
              <w:ind w:left="25"/>
              <w:rPr>
                <w:rFonts w:hAnsi="宋体"/>
              </w:rPr>
            </w:pPr>
            <w:r>
              <w:rPr>
                <w:rFonts w:hint="eastAsia" w:hAnsi="宋体"/>
              </w:rPr>
              <w:t>100-500</w:t>
            </w:r>
          </w:p>
        </w:tc>
        <w:tc>
          <w:tcPr>
            <w:tcW w:w="2002" w:type="dxa"/>
          </w:tcPr>
          <w:p w14:paraId="78A628A1">
            <w:pPr>
              <w:pStyle w:val="12"/>
              <w:spacing w:line="380" w:lineRule="exact"/>
              <w:ind w:left="25"/>
              <w:jc w:val="center"/>
              <w:rPr>
                <w:rFonts w:hAnsi="宋体"/>
              </w:rPr>
            </w:pPr>
            <w:r>
              <w:rPr>
                <w:rFonts w:hint="eastAsia" w:hAnsi="宋体"/>
              </w:rPr>
              <w:t>1.1%</w:t>
            </w:r>
          </w:p>
        </w:tc>
        <w:tc>
          <w:tcPr>
            <w:tcW w:w="1992" w:type="dxa"/>
          </w:tcPr>
          <w:p w14:paraId="1971A2C6">
            <w:pPr>
              <w:pStyle w:val="12"/>
              <w:spacing w:line="380" w:lineRule="exact"/>
              <w:ind w:left="25"/>
              <w:jc w:val="center"/>
              <w:rPr>
                <w:rFonts w:hAnsi="宋体"/>
              </w:rPr>
            </w:pPr>
            <w:r>
              <w:rPr>
                <w:rFonts w:hint="eastAsia" w:hAnsi="宋体"/>
              </w:rPr>
              <w:t>0.8%</w:t>
            </w:r>
          </w:p>
        </w:tc>
        <w:tc>
          <w:tcPr>
            <w:tcW w:w="2293" w:type="dxa"/>
          </w:tcPr>
          <w:p w14:paraId="377E4A31">
            <w:pPr>
              <w:pStyle w:val="12"/>
              <w:spacing w:line="380" w:lineRule="exact"/>
              <w:ind w:left="25"/>
              <w:jc w:val="center"/>
              <w:rPr>
                <w:rFonts w:hAnsi="宋体"/>
              </w:rPr>
            </w:pPr>
            <w:r>
              <w:rPr>
                <w:rFonts w:hint="eastAsia" w:hAnsi="宋体"/>
              </w:rPr>
              <w:t>0.7%</w:t>
            </w:r>
          </w:p>
        </w:tc>
      </w:tr>
      <w:tr w14:paraId="37B2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72860F09">
            <w:pPr>
              <w:pStyle w:val="12"/>
              <w:spacing w:line="380" w:lineRule="exact"/>
              <w:ind w:left="25"/>
              <w:rPr>
                <w:rFonts w:hAnsi="宋体"/>
              </w:rPr>
            </w:pPr>
            <w:r>
              <w:rPr>
                <w:rFonts w:hint="eastAsia" w:hAnsi="宋体"/>
              </w:rPr>
              <w:t>500-1000</w:t>
            </w:r>
          </w:p>
        </w:tc>
        <w:tc>
          <w:tcPr>
            <w:tcW w:w="2002" w:type="dxa"/>
          </w:tcPr>
          <w:p w14:paraId="1BFBC80E">
            <w:pPr>
              <w:pStyle w:val="12"/>
              <w:spacing w:line="380" w:lineRule="exact"/>
              <w:ind w:left="25"/>
              <w:jc w:val="center"/>
              <w:rPr>
                <w:rFonts w:hAnsi="宋体"/>
              </w:rPr>
            </w:pPr>
            <w:r>
              <w:rPr>
                <w:rFonts w:hint="eastAsia" w:hAnsi="宋体"/>
              </w:rPr>
              <w:t>0.8%</w:t>
            </w:r>
          </w:p>
        </w:tc>
        <w:tc>
          <w:tcPr>
            <w:tcW w:w="1992" w:type="dxa"/>
          </w:tcPr>
          <w:p w14:paraId="25368E57">
            <w:pPr>
              <w:pStyle w:val="12"/>
              <w:spacing w:line="380" w:lineRule="exact"/>
              <w:ind w:left="25"/>
              <w:jc w:val="center"/>
              <w:rPr>
                <w:rFonts w:hAnsi="宋体"/>
              </w:rPr>
            </w:pPr>
            <w:r>
              <w:rPr>
                <w:rFonts w:hint="eastAsia" w:hAnsi="宋体"/>
              </w:rPr>
              <w:t>0.45%</w:t>
            </w:r>
          </w:p>
        </w:tc>
        <w:tc>
          <w:tcPr>
            <w:tcW w:w="2293" w:type="dxa"/>
          </w:tcPr>
          <w:p w14:paraId="38FF5D7F">
            <w:pPr>
              <w:pStyle w:val="12"/>
              <w:spacing w:line="380" w:lineRule="exact"/>
              <w:ind w:left="25"/>
              <w:jc w:val="center"/>
              <w:rPr>
                <w:rFonts w:hAnsi="宋体"/>
              </w:rPr>
            </w:pPr>
            <w:r>
              <w:rPr>
                <w:rFonts w:hint="eastAsia" w:hAnsi="宋体"/>
              </w:rPr>
              <w:t>0.55%</w:t>
            </w:r>
          </w:p>
        </w:tc>
      </w:tr>
      <w:tr w14:paraId="6A70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5C89C82A">
            <w:pPr>
              <w:pStyle w:val="12"/>
              <w:spacing w:line="380" w:lineRule="exact"/>
              <w:ind w:left="25"/>
              <w:rPr>
                <w:rFonts w:hAnsi="宋体"/>
              </w:rPr>
            </w:pPr>
            <w:r>
              <w:rPr>
                <w:rFonts w:hint="eastAsia" w:hAnsi="宋体"/>
              </w:rPr>
              <w:t>1000-5000</w:t>
            </w:r>
          </w:p>
        </w:tc>
        <w:tc>
          <w:tcPr>
            <w:tcW w:w="2002" w:type="dxa"/>
          </w:tcPr>
          <w:p w14:paraId="2CD0CF32">
            <w:pPr>
              <w:pStyle w:val="12"/>
              <w:spacing w:line="380" w:lineRule="exact"/>
              <w:ind w:left="25"/>
              <w:jc w:val="center"/>
              <w:rPr>
                <w:rFonts w:hAnsi="宋体"/>
              </w:rPr>
            </w:pPr>
            <w:r>
              <w:rPr>
                <w:rFonts w:hint="eastAsia" w:hAnsi="宋体"/>
              </w:rPr>
              <w:t>0.5%</w:t>
            </w:r>
          </w:p>
        </w:tc>
        <w:tc>
          <w:tcPr>
            <w:tcW w:w="1992" w:type="dxa"/>
          </w:tcPr>
          <w:p w14:paraId="61A98622">
            <w:pPr>
              <w:pStyle w:val="12"/>
              <w:spacing w:line="380" w:lineRule="exact"/>
              <w:ind w:left="25"/>
              <w:jc w:val="center"/>
              <w:rPr>
                <w:rFonts w:hAnsi="宋体"/>
              </w:rPr>
            </w:pPr>
            <w:r>
              <w:rPr>
                <w:rFonts w:hint="eastAsia" w:hAnsi="宋体"/>
              </w:rPr>
              <w:t>0.25%</w:t>
            </w:r>
          </w:p>
        </w:tc>
        <w:tc>
          <w:tcPr>
            <w:tcW w:w="2293" w:type="dxa"/>
          </w:tcPr>
          <w:p w14:paraId="3F8B9F71">
            <w:pPr>
              <w:pStyle w:val="12"/>
              <w:spacing w:line="380" w:lineRule="exact"/>
              <w:ind w:left="25"/>
              <w:jc w:val="center"/>
              <w:rPr>
                <w:rFonts w:hAnsi="宋体"/>
              </w:rPr>
            </w:pPr>
            <w:r>
              <w:rPr>
                <w:rFonts w:hint="eastAsia" w:hAnsi="宋体"/>
              </w:rPr>
              <w:t>0.35%</w:t>
            </w:r>
          </w:p>
        </w:tc>
      </w:tr>
      <w:tr w14:paraId="25CF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7A885D70">
            <w:pPr>
              <w:pStyle w:val="12"/>
              <w:spacing w:line="380" w:lineRule="exact"/>
              <w:ind w:left="25"/>
              <w:rPr>
                <w:rFonts w:hAnsi="宋体"/>
              </w:rPr>
            </w:pPr>
            <w:r>
              <w:rPr>
                <w:rFonts w:hint="eastAsia" w:hAnsi="宋体"/>
              </w:rPr>
              <w:t>5000-10000</w:t>
            </w:r>
          </w:p>
        </w:tc>
        <w:tc>
          <w:tcPr>
            <w:tcW w:w="2002" w:type="dxa"/>
          </w:tcPr>
          <w:p w14:paraId="5C758287">
            <w:pPr>
              <w:pStyle w:val="12"/>
              <w:spacing w:line="380" w:lineRule="exact"/>
              <w:ind w:left="25"/>
              <w:jc w:val="center"/>
              <w:rPr>
                <w:rFonts w:hAnsi="宋体"/>
              </w:rPr>
            </w:pPr>
            <w:r>
              <w:rPr>
                <w:rFonts w:hint="eastAsia" w:hAnsi="宋体"/>
              </w:rPr>
              <w:t>0.25%</w:t>
            </w:r>
          </w:p>
        </w:tc>
        <w:tc>
          <w:tcPr>
            <w:tcW w:w="1992" w:type="dxa"/>
          </w:tcPr>
          <w:p w14:paraId="231D642A">
            <w:pPr>
              <w:pStyle w:val="12"/>
              <w:spacing w:line="380" w:lineRule="exact"/>
              <w:ind w:left="25"/>
              <w:jc w:val="center"/>
              <w:rPr>
                <w:rFonts w:hAnsi="宋体"/>
              </w:rPr>
            </w:pPr>
            <w:r>
              <w:rPr>
                <w:rFonts w:hint="eastAsia" w:hAnsi="宋体"/>
              </w:rPr>
              <w:t>0.1%</w:t>
            </w:r>
          </w:p>
        </w:tc>
        <w:tc>
          <w:tcPr>
            <w:tcW w:w="2293" w:type="dxa"/>
          </w:tcPr>
          <w:p w14:paraId="3998610C">
            <w:pPr>
              <w:pStyle w:val="12"/>
              <w:spacing w:line="380" w:lineRule="exact"/>
              <w:ind w:left="25"/>
              <w:jc w:val="center"/>
              <w:rPr>
                <w:rFonts w:hAnsi="宋体"/>
              </w:rPr>
            </w:pPr>
            <w:r>
              <w:rPr>
                <w:rFonts w:hint="eastAsia" w:hAnsi="宋体"/>
              </w:rPr>
              <w:t>0.2%</w:t>
            </w:r>
          </w:p>
        </w:tc>
      </w:tr>
      <w:tr w14:paraId="2F18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tcPr>
          <w:p w14:paraId="304F4F9A">
            <w:pPr>
              <w:pStyle w:val="12"/>
              <w:spacing w:line="380" w:lineRule="exact"/>
              <w:ind w:left="25"/>
              <w:rPr>
                <w:rFonts w:hAnsi="宋体"/>
              </w:rPr>
            </w:pPr>
            <w:r>
              <w:rPr>
                <w:rFonts w:hint="eastAsia" w:hAnsi="宋体"/>
              </w:rPr>
              <w:t>10000-100000</w:t>
            </w:r>
          </w:p>
        </w:tc>
        <w:tc>
          <w:tcPr>
            <w:tcW w:w="2002" w:type="dxa"/>
          </w:tcPr>
          <w:p w14:paraId="6DAD8FFF">
            <w:pPr>
              <w:pStyle w:val="12"/>
              <w:spacing w:line="380" w:lineRule="exact"/>
              <w:ind w:left="25"/>
              <w:jc w:val="center"/>
              <w:rPr>
                <w:rFonts w:hAnsi="宋体"/>
              </w:rPr>
            </w:pPr>
            <w:r>
              <w:rPr>
                <w:rFonts w:hint="eastAsia" w:hAnsi="宋体"/>
              </w:rPr>
              <w:t>0.05%</w:t>
            </w:r>
          </w:p>
        </w:tc>
        <w:tc>
          <w:tcPr>
            <w:tcW w:w="1992" w:type="dxa"/>
          </w:tcPr>
          <w:p w14:paraId="367A2DA9">
            <w:pPr>
              <w:pStyle w:val="12"/>
              <w:spacing w:line="380" w:lineRule="exact"/>
              <w:ind w:left="25"/>
              <w:jc w:val="center"/>
              <w:rPr>
                <w:rFonts w:hAnsi="宋体"/>
              </w:rPr>
            </w:pPr>
            <w:r>
              <w:rPr>
                <w:rFonts w:hint="eastAsia" w:hAnsi="宋体"/>
              </w:rPr>
              <w:t>0.05%</w:t>
            </w:r>
          </w:p>
        </w:tc>
        <w:tc>
          <w:tcPr>
            <w:tcW w:w="2293" w:type="dxa"/>
          </w:tcPr>
          <w:p w14:paraId="08368856">
            <w:pPr>
              <w:pStyle w:val="12"/>
              <w:spacing w:line="380" w:lineRule="exact"/>
              <w:ind w:left="25"/>
              <w:jc w:val="center"/>
              <w:rPr>
                <w:rFonts w:hAnsi="宋体"/>
              </w:rPr>
            </w:pPr>
            <w:r>
              <w:rPr>
                <w:rFonts w:hint="eastAsia" w:hAnsi="宋体"/>
              </w:rPr>
              <w:t>0.05%</w:t>
            </w:r>
          </w:p>
        </w:tc>
      </w:tr>
      <w:tr w14:paraId="49A7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tcPr>
          <w:p w14:paraId="6C35D2EB">
            <w:pPr>
              <w:pStyle w:val="12"/>
              <w:spacing w:line="380" w:lineRule="exact"/>
              <w:ind w:left="25"/>
              <w:rPr>
                <w:rFonts w:hAnsi="宋体"/>
              </w:rPr>
            </w:pPr>
            <w:r>
              <w:rPr>
                <w:rFonts w:hint="eastAsia" w:hAnsi="宋体"/>
              </w:rPr>
              <w:t>100000以上</w:t>
            </w:r>
          </w:p>
        </w:tc>
        <w:tc>
          <w:tcPr>
            <w:tcW w:w="2002" w:type="dxa"/>
          </w:tcPr>
          <w:p w14:paraId="67E98073">
            <w:pPr>
              <w:pStyle w:val="12"/>
              <w:spacing w:line="380" w:lineRule="exact"/>
              <w:ind w:left="25"/>
              <w:jc w:val="center"/>
              <w:rPr>
                <w:rFonts w:hAnsi="宋体"/>
              </w:rPr>
            </w:pPr>
            <w:r>
              <w:rPr>
                <w:rFonts w:hint="eastAsia" w:hAnsi="宋体"/>
              </w:rPr>
              <w:t>0.01%</w:t>
            </w:r>
          </w:p>
        </w:tc>
        <w:tc>
          <w:tcPr>
            <w:tcW w:w="1992" w:type="dxa"/>
          </w:tcPr>
          <w:p w14:paraId="03F19805">
            <w:pPr>
              <w:pStyle w:val="12"/>
              <w:spacing w:line="380" w:lineRule="exact"/>
              <w:ind w:left="25"/>
              <w:jc w:val="center"/>
              <w:rPr>
                <w:rFonts w:hAnsi="宋体"/>
              </w:rPr>
            </w:pPr>
            <w:r>
              <w:rPr>
                <w:rFonts w:hint="eastAsia" w:hAnsi="宋体"/>
              </w:rPr>
              <w:t>0.01%</w:t>
            </w:r>
          </w:p>
        </w:tc>
        <w:tc>
          <w:tcPr>
            <w:tcW w:w="2293" w:type="dxa"/>
          </w:tcPr>
          <w:p w14:paraId="66619BEE">
            <w:pPr>
              <w:pStyle w:val="12"/>
              <w:spacing w:line="380" w:lineRule="exact"/>
              <w:ind w:left="25"/>
              <w:jc w:val="center"/>
              <w:rPr>
                <w:rFonts w:hAnsi="宋体"/>
              </w:rPr>
            </w:pPr>
            <w:r>
              <w:rPr>
                <w:rFonts w:hint="eastAsia" w:hAnsi="宋体"/>
              </w:rPr>
              <w:t>0.01%</w:t>
            </w:r>
          </w:p>
        </w:tc>
      </w:tr>
    </w:tbl>
    <w:p w14:paraId="498C9E2D">
      <w:pPr>
        <w:pStyle w:val="12"/>
        <w:spacing w:line="380" w:lineRule="exact"/>
        <w:ind w:left="25"/>
        <w:rPr>
          <w:rFonts w:hAnsi="宋体"/>
        </w:rPr>
      </w:pPr>
      <w:r>
        <w:rPr>
          <w:rFonts w:hint="eastAsia" w:hAnsi="宋体"/>
        </w:rPr>
        <w:t>注：采购代理服务收费按差额定率累进法计算。</w:t>
      </w:r>
    </w:p>
    <w:p w14:paraId="329CF280">
      <w:pPr>
        <w:spacing w:line="380" w:lineRule="exact"/>
        <w:ind w:firstLine="420" w:firstLineChars="200"/>
        <w:rPr>
          <w:rFonts w:ascii="宋体" w:hAnsi="宋体"/>
        </w:rPr>
      </w:pPr>
      <w:r>
        <w:rPr>
          <w:rFonts w:hint="eastAsia" w:ascii="宋体" w:hAnsi="宋体"/>
        </w:rPr>
        <w:t>31、</w:t>
      </w:r>
      <w:r>
        <w:rPr>
          <w:rFonts w:hint="eastAsia" w:ascii="宋体" w:hAnsi="宋体"/>
          <w:b/>
        </w:rPr>
        <w:t>交纳代理服务费银行账户：</w:t>
      </w:r>
    </w:p>
    <w:p w14:paraId="4A0FDD49">
      <w:pPr>
        <w:pStyle w:val="12"/>
        <w:snapToGrid w:val="0"/>
        <w:spacing w:line="380" w:lineRule="exact"/>
        <w:ind w:firstLine="420" w:firstLineChars="200"/>
        <w:rPr>
          <w:rFonts w:hAnsi="宋体"/>
        </w:rPr>
      </w:pPr>
      <w:r>
        <w:rPr>
          <w:rFonts w:hint="eastAsia" w:hAnsi="宋体"/>
        </w:rPr>
        <w:t>采购代理机构银行账户：</w:t>
      </w:r>
    </w:p>
    <w:p w14:paraId="5DA9099E">
      <w:pPr>
        <w:pStyle w:val="12"/>
        <w:snapToGrid w:val="0"/>
        <w:spacing w:line="360" w:lineRule="exact"/>
        <w:ind w:firstLine="420" w:firstLineChars="200"/>
        <w:rPr>
          <w:rFonts w:hAnsi="宋体"/>
          <w:szCs w:val="21"/>
        </w:rPr>
      </w:pPr>
      <w:r>
        <w:rPr>
          <w:rFonts w:hint="eastAsia" w:hAnsi="宋体"/>
          <w:szCs w:val="21"/>
        </w:rPr>
        <w:t>账户名称：广西安臻工程管理有限公司</w:t>
      </w:r>
    </w:p>
    <w:p w14:paraId="38E2D2E8">
      <w:pPr>
        <w:pStyle w:val="12"/>
        <w:snapToGrid w:val="0"/>
        <w:spacing w:line="380" w:lineRule="exact"/>
        <w:ind w:firstLine="420" w:firstLineChars="200"/>
        <w:rPr>
          <w:rFonts w:hAnsi="宋体" w:cs="宋体"/>
        </w:rPr>
      </w:pPr>
      <w:r>
        <w:rPr>
          <w:rFonts w:hint="eastAsia" w:hAnsi="宋体"/>
          <w:szCs w:val="21"/>
        </w:rPr>
        <w:t>开户银行：</w:t>
      </w:r>
      <w:r>
        <w:rPr>
          <w:rFonts w:hint="eastAsia" w:hAnsi="宋体" w:cs="宋体"/>
        </w:rPr>
        <w:t>桂林银行股份有限公司临桂支行</w:t>
      </w:r>
    </w:p>
    <w:p w14:paraId="70C1E652">
      <w:pPr>
        <w:pStyle w:val="12"/>
        <w:snapToGrid w:val="0"/>
        <w:spacing w:line="380" w:lineRule="exact"/>
        <w:ind w:firstLine="420" w:firstLineChars="200"/>
        <w:rPr>
          <w:rFonts w:hAnsi="宋体" w:cs="宋体"/>
        </w:rPr>
      </w:pPr>
      <w:r>
        <w:rPr>
          <w:rFonts w:hint="eastAsia" w:hAnsi="宋体" w:cs="宋体"/>
        </w:rPr>
        <w:t>银行账号：</w:t>
      </w:r>
      <w:r>
        <w:rPr>
          <w:rFonts w:hAnsi="宋体" w:cs="宋体"/>
        </w:rPr>
        <w:t>660000019867600018</w:t>
      </w:r>
    </w:p>
    <w:p w14:paraId="59ADC209">
      <w:pPr>
        <w:pStyle w:val="12"/>
        <w:snapToGrid w:val="0"/>
        <w:spacing w:line="380" w:lineRule="exact"/>
        <w:ind w:firstLine="420" w:firstLineChars="200"/>
        <w:rPr>
          <w:rFonts w:hAnsi="宋体"/>
        </w:rPr>
      </w:pPr>
      <w:r>
        <w:rPr>
          <w:rFonts w:hint="eastAsia" w:hAnsi="宋体"/>
        </w:rPr>
        <w:t>32、解释权：本竞争性磋商文件是根据</w:t>
      </w:r>
      <w:r>
        <w:rPr>
          <w:rFonts w:hint="eastAsia" w:hAnsi="宋体"/>
          <w:bCs/>
        </w:rPr>
        <w:t>《中华人民共和国政府采购法》、《中华人民共和国政府采购法实施条例》、</w:t>
      </w:r>
      <w:r>
        <w:rPr>
          <w:rFonts w:hAnsi="宋体"/>
          <w:bCs/>
        </w:rPr>
        <w:t>《政府采购竞争性磋商采购方式管理暂行办法》</w:t>
      </w:r>
      <w:r>
        <w:rPr>
          <w:rFonts w:hint="eastAsia" w:hAnsi="宋体"/>
        </w:rPr>
        <w:t>和政府采购管理有关规定编制，本竞争性磋商文件的解释权属于采购代理机构。</w:t>
      </w:r>
    </w:p>
    <w:p w14:paraId="79F9C2FC">
      <w:pPr>
        <w:snapToGrid w:val="0"/>
        <w:spacing w:line="288" w:lineRule="auto"/>
        <w:ind w:firstLine="420" w:firstLineChars="200"/>
      </w:pPr>
      <w:bookmarkStart w:id="103" w:name="_Toc102642519"/>
      <w:r>
        <w:rPr>
          <w:rStyle w:val="29"/>
          <w:rFonts w:hint="eastAsia" w:ascii="宋体" w:hAnsi="宋体" w:cs="宋体"/>
          <w:sz w:val="21"/>
          <w:szCs w:val="21"/>
        </w:rPr>
        <w:t>33. 监督管理机构</w:t>
      </w:r>
      <w:bookmarkEnd w:id="103"/>
      <w:r>
        <w:rPr>
          <w:rFonts w:hint="eastAsia" w:ascii="宋体" w:hAnsi="宋体" w:cs="宋体"/>
          <w:szCs w:val="21"/>
        </w:rPr>
        <w:t>：桂林市临桂区财政局；联系电话：</w:t>
      </w:r>
      <w:r>
        <w:rPr>
          <w:rFonts w:hint="eastAsia" w:ascii="宋体" w:hAnsi="宋体"/>
          <w:szCs w:val="21"/>
        </w:rPr>
        <w:t>0773-5593932</w:t>
      </w:r>
      <w:r>
        <w:rPr>
          <w:rFonts w:hint="eastAsia" w:ascii="宋体" w:hAnsi="宋体" w:cs="宋体"/>
          <w:szCs w:val="21"/>
        </w:rPr>
        <w:t>。</w:t>
      </w:r>
    </w:p>
    <w:p w14:paraId="7DBA3714">
      <w:pPr>
        <w:pStyle w:val="3"/>
        <w:tabs>
          <w:tab w:val="left" w:pos="0"/>
        </w:tabs>
        <w:autoSpaceDE w:val="0"/>
        <w:autoSpaceDN w:val="0"/>
        <w:adjustRightInd w:val="0"/>
        <w:spacing w:before="0" w:after="0" w:line="360" w:lineRule="auto"/>
        <w:jc w:val="center"/>
        <w:rPr>
          <w:rFonts w:ascii="宋体" w:hAnsi="宋体" w:cs="宋体"/>
          <w:sz w:val="32"/>
          <w:szCs w:val="32"/>
        </w:rPr>
      </w:pPr>
    </w:p>
    <w:p w14:paraId="6BDFEC14">
      <w:pPr>
        <w:rPr>
          <w:rFonts w:ascii="宋体" w:hAnsi="宋体" w:cs="宋体"/>
          <w:sz w:val="32"/>
          <w:szCs w:val="32"/>
        </w:rPr>
      </w:pPr>
    </w:p>
    <w:p w14:paraId="0870B82D">
      <w:pPr>
        <w:pStyle w:val="9"/>
        <w:rPr>
          <w:rFonts w:ascii="宋体" w:hAnsi="宋体" w:cs="宋体"/>
          <w:sz w:val="32"/>
          <w:szCs w:val="32"/>
        </w:rPr>
      </w:pPr>
    </w:p>
    <w:p w14:paraId="67564207">
      <w:pPr>
        <w:rPr>
          <w:rFonts w:ascii="宋体" w:hAnsi="宋体" w:cs="宋体"/>
          <w:sz w:val="32"/>
          <w:szCs w:val="32"/>
        </w:rPr>
      </w:pPr>
    </w:p>
    <w:p w14:paraId="733002C5">
      <w:pPr>
        <w:pStyle w:val="9"/>
        <w:rPr>
          <w:rFonts w:ascii="宋体" w:hAnsi="宋体" w:cs="宋体"/>
          <w:sz w:val="32"/>
          <w:szCs w:val="32"/>
        </w:rPr>
      </w:pPr>
    </w:p>
    <w:p w14:paraId="13E745EA"/>
    <w:p w14:paraId="2A71EFB6">
      <w:pPr>
        <w:widowControl/>
        <w:jc w:val="left"/>
        <w:rPr>
          <w:rFonts w:ascii="宋体" w:hAnsi="宋体" w:cs="宋体"/>
          <w:b/>
          <w:bCs/>
          <w:kern w:val="44"/>
          <w:sz w:val="32"/>
          <w:szCs w:val="32"/>
        </w:rPr>
      </w:pPr>
      <w:r>
        <w:rPr>
          <w:rFonts w:ascii="宋体" w:hAnsi="宋体" w:cs="宋体"/>
          <w:sz w:val="32"/>
          <w:szCs w:val="32"/>
        </w:rPr>
        <w:br w:type="page"/>
      </w:r>
    </w:p>
    <w:p w14:paraId="7005DA74">
      <w:pPr>
        <w:pStyle w:val="3"/>
        <w:tabs>
          <w:tab w:val="left" w:pos="0"/>
        </w:tabs>
        <w:autoSpaceDE w:val="0"/>
        <w:autoSpaceDN w:val="0"/>
        <w:adjustRightInd w:val="0"/>
        <w:spacing w:before="0" w:after="0" w:line="360" w:lineRule="auto"/>
        <w:jc w:val="center"/>
        <w:rPr>
          <w:rFonts w:ascii="宋体" w:hAnsi="宋体" w:cs="宋体"/>
          <w:sz w:val="32"/>
          <w:szCs w:val="32"/>
        </w:rPr>
      </w:pPr>
      <w:bookmarkStart w:id="104" w:name="_Toc102642520"/>
      <w:r>
        <w:rPr>
          <w:rFonts w:hint="eastAsia" w:ascii="宋体" w:hAnsi="宋体" w:cs="宋体"/>
          <w:sz w:val="32"/>
          <w:szCs w:val="32"/>
        </w:rPr>
        <w:t xml:space="preserve">第三章 </w:t>
      </w:r>
      <w:bookmarkStart w:id="105" w:name="_Toc24601"/>
      <w:bookmarkStart w:id="106" w:name="_Toc22353"/>
      <w:r>
        <w:rPr>
          <w:rFonts w:hint="eastAsia" w:ascii="宋体" w:hAnsi="宋体" w:cs="宋体"/>
          <w:sz w:val="32"/>
          <w:szCs w:val="32"/>
        </w:rPr>
        <w:t>采购需求</w:t>
      </w:r>
      <w:bookmarkEnd w:id="104"/>
      <w:bookmarkEnd w:id="105"/>
      <w:bookmarkEnd w:id="106"/>
    </w:p>
    <w:p w14:paraId="5DFF5F51">
      <w:pPr>
        <w:adjustRightInd w:val="0"/>
        <w:spacing w:line="400" w:lineRule="exact"/>
        <w:ind w:firstLine="420" w:firstLineChars="200"/>
        <w:rPr>
          <w:rFonts w:ascii="宋体" w:hAnsi="宋体" w:cs="宋体"/>
          <w:b/>
          <w:szCs w:val="21"/>
        </w:rPr>
      </w:pPr>
      <w:r>
        <w:rPr>
          <w:rFonts w:ascii="宋体" w:hAnsi="宋体" w:cs="宋体"/>
          <w:b/>
          <w:szCs w:val="21"/>
        </w:rPr>
        <w:t>1</w:t>
      </w:r>
      <w:r>
        <w:rPr>
          <w:rFonts w:hint="eastAsia" w:ascii="宋体" w:hAnsi="宋体" w:cs="宋体"/>
          <w:b/>
          <w:szCs w:val="21"/>
        </w:rPr>
        <w:t>、投标人应注意下列内容：</w:t>
      </w:r>
    </w:p>
    <w:p w14:paraId="28F89F23">
      <w:pPr>
        <w:adjustRightInd w:val="0"/>
        <w:spacing w:line="400" w:lineRule="exact"/>
        <w:ind w:firstLine="431"/>
        <w:rPr>
          <w:rFonts w:ascii="宋体" w:hAnsi="宋体" w:cs="宋体"/>
          <w:b/>
          <w:szCs w:val="21"/>
        </w:rPr>
      </w:pPr>
      <w:r>
        <w:rPr>
          <w:rFonts w:hint="eastAsia" w:ascii="宋体" w:hAnsi="宋体" w:cs="宋体"/>
          <w:b/>
          <w:szCs w:val="21"/>
        </w:rPr>
        <w:t>1）本竞争性磋商文件“采购需求”中标注“★”项条款及竞争性磋商文件中要求“必须提供”的条款均为实质性要求，未满足则投标无效。标注“▲”项为评分项不作为废标项。</w:t>
      </w:r>
    </w:p>
    <w:p w14:paraId="64FDCD17">
      <w:pPr>
        <w:spacing w:line="400" w:lineRule="exact"/>
        <w:ind w:firstLine="424" w:firstLineChars="202"/>
        <w:jc w:val="left"/>
        <w:rPr>
          <w:szCs w:val="21"/>
        </w:rPr>
      </w:pPr>
      <w:r>
        <w:rPr>
          <w:rFonts w:hint="eastAsia" w:ascii="宋体" w:hAnsi="宋体" w:cs="宋体"/>
          <w:b/>
          <w:szCs w:val="21"/>
        </w:rPr>
        <w:t>2）</w:t>
      </w:r>
      <w:r>
        <w:rPr>
          <w:rFonts w:hAnsi="宋体"/>
          <w:szCs w:val="21"/>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77B1E137">
      <w:pPr>
        <w:spacing w:line="400" w:lineRule="exact"/>
        <w:ind w:firstLine="424" w:firstLineChars="202"/>
        <w:jc w:val="left"/>
      </w:pPr>
      <w:r>
        <w:rPr>
          <w:rFonts w:hint="eastAsia"/>
          <w:szCs w:val="21"/>
        </w:rPr>
        <w:t>3）</w:t>
      </w:r>
      <w:r>
        <w:rPr>
          <w:szCs w:val="21"/>
        </w:rPr>
        <w:t>.</w:t>
      </w:r>
      <w:r>
        <w:rPr>
          <w:rFonts w:hAnsi="宋体"/>
        </w:rPr>
        <w:t>投标人必须自行为其投标产品侵犯他人的知识产权或者专利成果的行为承担相应法律责任。</w:t>
      </w:r>
    </w:p>
    <w:p w14:paraId="59485323"/>
    <w:tbl>
      <w:tblPr>
        <w:tblStyle w:val="23"/>
        <w:tblW w:w="10625"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797"/>
        <w:gridCol w:w="260"/>
        <w:gridCol w:w="6379"/>
        <w:gridCol w:w="709"/>
        <w:gridCol w:w="673"/>
        <w:gridCol w:w="1134"/>
      </w:tblGrid>
      <w:tr w14:paraId="7F47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673" w:type="dxa"/>
            <w:vAlign w:val="center"/>
          </w:tcPr>
          <w:p w14:paraId="3191CFF4">
            <w:pPr>
              <w:spacing w:line="380" w:lineRule="exact"/>
              <w:jc w:val="center"/>
              <w:rPr>
                <w:rFonts w:ascii="宋体" w:hAnsi="宋体"/>
                <w:b/>
                <w:szCs w:val="21"/>
              </w:rPr>
            </w:pPr>
            <w:bookmarkStart w:id="107" w:name="_Toc2989"/>
            <w:r>
              <w:rPr>
                <w:rFonts w:hint="eastAsia" w:ascii="宋体" w:hAnsi="宋体"/>
                <w:b/>
                <w:szCs w:val="21"/>
              </w:rPr>
              <w:t>项号</w:t>
            </w:r>
          </w:p>
        </w:tc>
        <w:tc>
          <w:tcPr>
            <w:tcW w:w="1057" w:type="dxa"/>
            <w:gridSpan w:val="2"/>
            <w:vAlign w:val="center"/>
          </w:tcPr>
          <w:p w14:paraId="41E38BF2">
            <w:pPr>
              <w:spacing w:line="380" w:lineRule="exact"/>
              <w:jc w:val="center"/>
              <w:rPr>
                <w:rFonts w:ascii="宋体" w:hAnsi="宋体"/>
                <w:b/>
                <w:szCs w:val="21"/>
              </w:rPr>
            </w:pPr>
            <w:r>
              <w:rPr>
                <w:rFonts w:hint="eastAsia" w:ascii="宋体" w:hAnsi="宋体"/>
                <w:b/>
                <w:szCs w:val="21"/>
              </w:rPr>
              <w:t>采购标的内容</w:t>
            </w:r>
          </w:p>
        </w:tc>
        <w:tc>
          <w:tcPr>
            <w:tcW w:w="6379" w:type="dxa"/>
            <w:vAlign w:val="center"/>
          </w:tcPr>
          <w:p w14:paraId="517CA79E">
            <w:pPr>
              <w:spacing w:line="380" w:lineRule="exact"/>
              <w:jc w:val="center"/>
              <w:rPr>
                <w:rFonts w:ascii="宋体" w:hAnsi="宋体"/>
                <w:b/>
                <w:bCs/>
                <w:szCs w:val="21"/>
              </w:rPr>
            </w:pPr>
            <w:r>
              <w:rPr>
                <w:rFonts w:hint="eastAsia" w:ascii="宋体" w:hAnsi="宋体" w:cs="宋体"/>
                <w:b/>
                <w:bCs/>
                <w:kern w:val="0"/>
                <w:sz w:val="22"/>
              </w:rPr>
              <w:t>技术参数</w:t>
            </w:r>
          </w:p>
        </w:tc>
        <w:tc>
          <w:tcPr>
            <w:tcW w:w="709" w:type="dxa"/>
            <w:vAlign w:val="center"/>
          </w:tcPr>
          <w:p w14:paraId="36373709">
            <w:pPr>
              <w:spacing w:line="380" w:lineRule="exact"/>
              <w:jc w:val="center"/>
              <w:rPr>
                <w:rFonts w:ascii="宋体" w:hAnsi="宋体"/>
                <w:b/>
                <w:bCs/>
                <w:szCs w:val="21"/>
              </w:rPr>
            </w:pPr>
            <w:r>
              <w:rPr>
                <w:rFonts w:hint="eastAsia" w:ascii="宋体" w:hAnsi="宋体"/>
                <w:b/>
                <w:bCs/>
                <w:szCs w:val="21"/>
              </w:rPr>
              <w:t>单位</w:t>
            </w:r>
          </w:p>
        </w:tc>
        <w:tc>
          <w:tcPr>
            <w:tcW w:w="673" w:type="dxa"/>
            <w:vAlign w:val="center"/>
          </w:tcPr>
          <w:p w14:paraId="3DE7F239">
            <w:pPr>
              <w:spacing w:line="380" w:lineRule="exact"/>
              <w:jc w:val="center"/>
              <w:rPr>
                <w:rFonts w:ascii="宋体" w:hAnsi="宋体"/>
                <w:b/>
                <w:bCs/>
                <w:szCs w:val="21"/>
              </w:rPr>
            </w:pPr>
            <w:r>
              <w:rPr>
                <w:rFonts w:hint="eastAsia" w:ascii="宋体" w:hAnsi="宋体"/>
                <w:b/>
                <w:bCs/>
                <w:szCs w:val="21"/>
              </w:rPr>
              <w:t>数量</w:t>
            </w:r>
          </w:p>
        </w:tc>
        <w:tc>
          <w:tcPr>
            <w:tcW w:w="1134" w:type="dxa"/>
          </w:tcPr>
          <w:p w14:paraId="5114E1BF">
            <w:pPr>
              <w:spacing w:line="380" w:lineRule="exact"/>
              <w:jc w:val="center"/>
              <w:rPr>
                <w:rFonts w:ascii="宋体" w:hAnsi="宋体"/>
                <w:b/>
                <w:szCs w:val="21"/>
              </w:rPr>
            </w:pPr>
            <w:r>
              <w:rPr>
                <w:rFonts w:hint="eastAsia" w:ascii="宋体" w:hAnsi="宋体"/>
                <w:b/>
                <w:szCs w:val="21"/>
                <w:lang w:val="en-US" w:eastAsia="zh-CN"/>
              </w:rPr>
              <w:t>参考单价</w:t>
            </w:r>
            <w:r>
              <w:rPr>
                <w:rFonts w:hint="eastAsia" w:ascii="宋体" w:hAnsi="宋体"/>
                <w:b/>
                <w:szCs w:val="21"/>
              </w:rPr>
              <w:t>（元）</w:t>
            </w:r>
          </w:p>
        </w:tc>
      </w:tr>
      <w:tr w14:paraId="10D9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673" w:type="dxa"/>
            <w:vAlign w:val="center"/>
          </w:tcPr>
          <w:p w14:paraId="655F80C5">
            <w:pPr>
              <w:tabs>
                <w:tab w:val="left" w:pos="525"/>
              </w:tabs>
              <w:spacing w:line="380" w:lineRule="exact"/>
              <w:ind w:left="105"/>
              <w:jc w:val="center"/>
              <w:rPr>
                <w:rFonts w:ascii="宋体" w:hAnsi="宋体"/>
                <w:szCs w:val="21"/>
              </w:rPr>
            </w:pPr>
            <w:r>
              <w:rPr>
                <w:rFonts w:hint="eastAsia" w:ascii="宋体" w:hAnsi="宋体"/>
                <w:szCs w:val="21"/>
              </w:rPr>
              <w:t>1</w:t>
            </w:r>
          </w:p>
        </w:tc>
        <w:tc>
          <w:tcPr>
            <w:tcW w:w="1057" w:type="dxa"/>
            <w:gridSpan w:val="2"/>
            <w:vAlign w:val="center"/>
          </w:tcPr>
          <w:p w14:paraId="1BDBEBD9">
            <w:pPr>
              <w:widowControl/>
              <w:spacing w:line="360" w:lineRule="auto"/>
              <w:jc w:val="center"/>
              <w:textAlignment w:val="center"/>
              <w:rPr>
                <w:rFonts w:cs="Arial" w:asciiTheme="minorEastAsia" w:hAnsiTheme="minorEastAsia" w:eastAsiaTheme="minorEastAsia"/>
                <w:bCs/>
                <w:szCs w:val="21"/>
              </w:rPr>
            </w:pPr>
            <w:r>
              <w:rPr>
                <w:rFonts w:hint="eastAsia" w:cs="Arial" w:asciiTheme="minorEastAsia" w:hAnsiTheme="minorEastAsia" w:eastAsiaTheme="minorEastAsia"/>
                <w:bCs/>
                <w:szCs w:val="21"/>
              </w:rPr>
              <w:t>定点测速预警系统服务</w:t>
            </w:r>
          </w:p>
        </w:tc>
        <w:tc>
          <w:tcPr>
            <w:tcW w:w="6379" w:type="dxa"/>
          </w:tcPr>
          <w:p w14:paraId="6E480299">
            <w:pPr>
              <w:widowControl/>
              <w:spacing w:line="360" w:lineRule="auto"/>
              <w:textAlignment w:val="top"/>
              <w:rPr>
                <w:rFonts w:ascii="宋体" w:hAnsi="宋体" w:cs="宋体"/>
                <w:b/>
                <w:bCs/>
                <w:szCs w:val="21"/>
              </w:rPr>
            </w:pPr>
            <w:r>
              <w:rPr>
                <w:rFonts w:hint="eastAsia" w:ascii="宋体" w:hAnsi="宋体" w:cs="宋体"/>
                <w:b/>
                <w:bCs/>
                <w:szCs w:val="21"/>
              </w:rPr>
              <w:t>（一）服务要求</w:t>
            </w:r>
          </w:p>
          <w:p w14:paraId="5B98A41D">
            <w:pPr>
              <w:pStyle w:val="40"/>
              <w:spacing w:line="360" w:lineRule="auto"/>
              <w:ind w:firstLine="400"/>
              <w:rPr>
                <w:rFonts w:ascii="宋体" w:hAnsi="宋体" w:cs="宋体"/>
                <w:kern w:val="0"/>
                <w:szCs w:val="21"/>
              </w:rPr>
            </w:pPr>
            <w:r>
              <w:rPr>
                <w:rFonts w:hint="eastAsia" w:ascii="宋体" w:hAnsi="宋体" w:cs="宋体"/>
                <w:kern w:val="0"/>
                <w:szCs w:val="21"/>
              </w:rPr>
              <w:t>1、在临桂区G321国道内完成定点测速预警抓拍服务；</w:t>
            </w:r>
          </w:p>
          <w:p w14:paraId="09DCC22F">
            <w:pPr>
              <w:pStyle w:val="40"/>
              <w:spacing w:line="360" w:lineRule="auto"/>
              <w:ind w:firstLine="400"/>
              <w:rPr>
                <w:rFonts w:ascii="宋体" w:hAnsi="宋体" w:cs="宋体"/>
                <w:kern w:val="0"/>
                <w:szCs w:val="21"/>
              </w:rPr>
            </w:pPr>
            <w:r>
              <w:rPr>
                <w:rFonts w:hint="eastAsia" w:ascii="宋体" w:hAnsi="宋体" w:cs="宋体"/>
                <w:kern w:val="0"/>
                <w:szCs w:val="21"/>
              </w:rPr>
              <w:t>2、配置测速预警抓拍服务，利用机器视觉代替人工视觉进行车辆目标提取、违法行为自动判定、自动跟踪放大、自动车牌识别，兼具机器连续工作优势和人类部分认知能力，准确、快速地对机动车违法停车行为从车辆前部或尾部进行取证记录，适用于对城市道路上的机动车违法停车行为进行取证治理。</w:t>
            </w:r>
          </w:p>
          <w:p w14:paraId="751229C9">
            <w:pPr>
              <w:pStyle w:val="40"/>
              <w:spacing w:line="360" w:lineRule="auto"/>
              <w:ind w:firstLine="400"/>
              <w:rPr>
                <w:rFonts w:ascii="宋体" w:hAnsi="宋体" w:cs="宋体"/>
                <w:szCs w:val="21"/>
              </w:rPr>
            </w:pPr>
            <w:bookmarkStart w:id="108" w:name="OLE_LINK1"/>
            <w:r>
              <w:rPr>
                <w:rFonts w:hint="eastAsia" w:ascii="宋体" w:hAnsi="宋体" w:cs="宋体"/>
                <w:kern w:val="0"/>
                <w:szCs w:val="21"/>
                <w:lang w:bidi="ar"/>
              </w:rPr>
              <w:t>3、在选定位置完成</w:t>
            </w:r>
            <w:r>
              <w:rPr>
                <w:rFonts w:hint="eastAsia" w:ascii="宋体" w:hAnsi="宋体" w:cs="宋体"/>
                <w:szCs w:val="21"/>
              </w:rPr>
              <w:t>9套车牌车速道路安全预警终端采集服务、提供9套智能监控设备箱服务、提供9套警用爆闪灯服务、提供9套配套标志标牌服务、提供1套道路安全预警应用软件服务、提供1项交通综合管控平台软件扩容服务、提供9套前端点位配套立杆服务、提供1项系统集成及其他服务。</w:t>
            </w:r>
          </w:p>
          <w:bookmarkEnd w:id="108"/>
          <w:p w14:paraId="54DA045F">
            <w:pPr>
              <w:pStyle w:val="8"/>
              <w:spacing w:line="360" w:lineRule="auto"/>
              <w:jc w:val="both"/>
              <w:rPr>
                <w:rFonts w:ascii="宋体" w:hAnsi="宋体" w:cs="宋体"/>
                <w:b/>
                <w:bCs/>
                <w:szCs w:val="21"/>
              </w:rPr>
            </w:pPr>
            <w:r>
              <w:rPr>
                <w:rFonts w:hint="eastAsia" w:ascii="宋体" w:hAnsi="宋体" w:cs="宋体"/>
                <w:b/>
                <w:bCs/>
                <w:szCs w:val="21"/>
              </w:rPr>
              <w:t>（二）</w:t>
            </w:r>
            <w:r>
              <w:rPr>
                <w:rFonts w:hint="eastAsia" w:ascii="宋体" w:hAnsi="宋体" w:cs="宋体"/>
                <w:b/>
                <w:bCs/>
                <w:kern w:val="0"/>
                <w:szCs w:val="21"/>
                <w:lang w:bidi="ar"/>
              </w:rPr>
              <w:t>具体服务指标要求如下</w:t>
            </w:r>
            <w:r>
              <w:rPr>
                <w:rFonts w:hint="eastAsia" w:ascii="宋体" w:hAnsi="宋体" w:cs="宋体"/>
                <w:b/>
                <w:bCs/>
                <w:kern w:val="0"/>
                <w:szCs w:val="21"/>
              </w:rPr>
              <w:t>（各项</w:t>
            </w:r>
            <w:r>
              <w:rPr>
                <w:rFonts w:hint="eastAsia" w:ascii="宋体" w:hAnsi="宋体" w:cs="宋体"/>
                <w:b/>
                <w:bCs/>
                <w:szCs w:val="21"/>
              </w:rPr>
              <w:t>服务涉及硬件的，需在偏离表中提供服务所需硬件的品牌、规格型号）</w:t>
            </w:r>
          </w:p>
          <w:p w14:paraId="4AE69032">
            <w:pPr>
              <w:widowControl/>
              <w:spacing w:line="360" w:lineRule="auto"/>
              <w:textAlignment w:val="center"/>
              <w:rPr>
                <w:rFonts w:ascii="宋体" w:hAnsi="宋体" w:cs="宋体"/>
                <w:b/>
                <w:bCs/>
                <w:szCs w:val="21"/>
              </w:rPr>
            </w:pPr>
            <w:r>
              <w:rPr>
                <w:rFonts w:hint="eastAsia" w:ascii="宋体" w:hAnsi="宋体" w:cs="宋体"/>
                <w:b/>
                <w:bCs/>
                <w:szCs w:val="21"/>
              </w:rPr>
              <w:t>一、提供9套车牌车速道路安全预警终端采集服务，需具备以下功能：</w:t>
            </w:r>
          </w:p>
          <w:p w14:paraId="0A36A649">
            <w:pPr>
              <w:pStyle w:val="9"/>
              <w:spacing w:line="360" w:lineRule="auto"/>
              <w:rPr>
                <w:rFonts w:ascii="宋体" w:hAnsi="宋体" w:cs="宋体"/>
                <w:szCs w:val="21"/>
              </w:rPr>
            </w:pPr>
            <w:r>
              <w:rPr>
                <w:rFonts w:hint="eastAsia" w:ascii="宋体" w:hAnsi="宋体" w:cs="宋体"/>
                <w:szCs w:val="21"/>
              </w:rPr>
              <w:t>1、车牌测速显示一体设备，内置摄像机、限速贴、车牌显示、车速显示和雷达。</w:t>
            </w:r>
          </w:p>
          <w:p w14:paraId="6D95E302">
            <w:pPr>
              <w:pStyle w:val="9"/>
              <w:spacing w:line="360" w:lineRule="auto"/>
              <w:rPr>
                <w:rFonts w:ascii="宋体" w:hAnsi="宋体" w:cs="宋体"/>
                <w:szCs w:val="21"/>
              </w:rPr>
            </w:pPr>
            <w:r>
              <w:rPr>
                <w:rFonts w:hint="eastAsia" w:ascii="宋体" w:hAnsi="宋体" w:cs="宋体"/>
                <w:szCs w:val="21"/>
              </w:rPr>
              <w:t>2、测速距离≥100 米，测速范围≥ 5-300km/h，车牌识别距离≥22米，支持≥2车道。</w:t>
            </w:r>
          </w:p>
          <w:p w14:paraId="2A32AF2D">
            <w:pPr>
              <w:pStyle w:val="9"/>
              <w:spacing w:line="360" w:lineRule="auto"/>
              <w:rPr>
                <w:rFonts w:ascii="宋体" w:hAnsi="宋体" w:cs="宋体"/>
                <w:szCs w:val="21"/>
              </w:rPr>
            </w:pPr>
            <w:r>
              <w:rPr>
                <w:rFonts w:hint="eastAsia" w:ascii="宋体" w:hAnsi="宋体" w:cs="宋体"/>
                <w:szCs w:val="21"/>
              </w:rPr>
              <w:t>3、内置雷达及视频检测模块，空间分辨率高，穿透力强，测速不受光照、可见度、恶劣气候等自然条件的影响。</w:t>
            </w:r>
          </w:p>
          <w:p w14:paraId="7577171A">
            <w:pPr>
              <w:pStyle w:val="9"/>
              <w:spacing w:line="360" w:lineRule="auto"/>
              <w:rPr>
                <w:rFonts w:ascii="宋体" w:hAnsi="宋体" w:cs="宋体"/>
                <w:szCs w:val="21"/>
              </w:rPr>
            </w:pPr>
            <w:r>
              <w:rPr>
                <w:rFonts w:hint="eastAsia" w:ascii="宋体" w:hAnsi="宋体" w:cs="宋体"/>
                <w:szCs w:val="21"/>
              </w:rPr>
              <w:t>4、支持显示车辆实时车速和车牌号；支持亮度较暗时对车牌补光。</w:t>
            </w:r>
          </w:p>
          <w:p w14:paraId="74BE44C4">
            <w:pPr>
              <w:pStyle w:val="9"/>
              <w:spacing w:line="360" w:lineRule="auto"/>
              <w:rPr>
                <w:rFonts w:ascii="宋体" w:hAnsi="宋体" w:cs="宋体"/>
                <w:szCs w:val="21"/>
              </w:rPr>
            </w:pPr>
            <w:r>
              <w:rPr>
                <w:rFonts w:hint="eastAsia" w:ascii="宋体" w:hAnsi="宋体" w:cs="宋体"/>
                <w:szCs w:val="21"/>
              </w:rPr>
              <w:t>5、当车辆超速时，显示红色车速+车牌；车辆未超速时，显示绿色车速+车牌。</w:t>
            </w:r>
          </w:p>
          <w:p w14:paraId="42610B03">
            <w:pPr>
              <w:pStyle w:val="9"/>
              <w:spacing w:line="360" w:lineRule="auto"/>
              <w:rPr>
                <w:rFonts w:ascii="宋体" w:hAnsi="宋体" w:cs="宋体"/>
                <w:szCs w:val="21"/>
              </w:rPr>
            </w:pPr>
            <w:r>
              <w:rPr>
                <w:rFonts w:hint="eastAsia" w:ascii="宋体" w:hAnsi="宋体" w:cs="宋体"/>
                <w:szCs w:val="21"/>
              </w:rPr>
              <w:t>6、支持智能识别，卡口抓拍、车牌识别、车型识别、车身颜色识别、车辆特征检测。</w:t>
            </w:r>
          </w:p>
          <w:p w14:paraId="1FF05D04">
            <w:pPr>
              <w:pStyle w:val="9"/>
              <w:spacing w:line="360" w:lineRule="auto"/>
              <w:rPr>
                <w:rFonts w:ascii="宋体" w:hAnsi="宋体" w:cs="宋体"/>
                <w:szCs w:val="21"/>
              </w:rPr>
            </w:pPr>
            <w:r>
              <w:rPr>
                <w:rFonts w:hint="eastAsia" w:ascii="宋体" w:hAnsi="宋体" w:cs="宋体"/>
                <w:szCs w:val="21"/>
              </w:rPr>
              <w:t>7、外壳应采用铝板折边、表面喷塑贴反光膜。</w:t>
            </w:r>
          </w:p>
          <w:p w14:paraId="632D1DA5">
            <w:pPr>
              <w:pStyle w:val="9"/>
              <w:spacing w:line="360" w:lineRule="auto"/>
              <w:rPr>
                <w:rFonts w:ascii="宋体" w:hAnsi="宋体" w:cs="宋体"/>
                <w:szCs w:val="21"/>
              </w:rPr>
            </w:pPr>
            <w:r>
              <w:rPr>
                <w:rFonts w:hint="eastAsia" w:ascii="宋体" w:hAnsi="宋体" w:cs="宋体"/>
                <w:szCs w:val="21"/>
              </w:rPr>
              <w:t>8、摄像机采用定焦镜头，镜头焦距16mm，摄像机像素≥ 3840×2160。</w:t>
            </w:r>
          </w:p>
          <w:p w14:paraId="54D72FD0">
            <w:pPr>
              <w:pStyle w:val="9"/>
              <w:spacing w:line="360" w:lineRule="auto"/>
              <w:rPr>
                <w:rFonts w:ascii="宋体" w:hAnsi="宋体" w:cs="宋体"/>
                <w:szCs w:val="21"/>
              </w:rPr>
            </w:pPr>
            <w:r>
              <w:rPr>
                <w:rFonts w:hint="eastAsia" w:ascii="宋体" w:hAnsi="宋体" w:cs="宋体"/>
                <w:szCs w:val="21"/>
              </w:rPr>
              <w:t>9、支持H.264/H.265协议，支持宽动态。</w:t>
            </w:r>
          </w:p>
          <w:p w14:paraId="5E52157A">
            <w:pPr>
              <w:pStyle w:val="9"/>
              <w:spacing w:line="360" w:lineRule="auto"/>
              <w:rPr>
                <w:rFonts w:ascii="宋体" w:hAnsi="宋体" w:cs="宋体"/>
                <w:szCs w:val="21"/>
              </w:rPr>
            </w:pPr>
            <w:r>
              <w:rPr>
                <w:rFonts w:hint="eastAsia" w:ascii="宋体" w:hAnsi="宋体" w:cs="宋体"/>
                <w:szCs w:val="21"/>
              </w:rPr>
              <w:t>10、显示区域亮度：红&gt;5000 cd/m²；黄&gt;5000 cd/m²；绿&gt;5000 cd/m²。</w:t>
            </w:r>
          </w:p>
          <w:p w14:paraId="0E0EDE23">
            <w:pPr>
              <w:pStyle w:val="9"/>
              <w:spacing w:line="360" w:lineRule="auto"/>
              <w:rPr>
                <w:rFonts w:ascii="宋体" w:hAnsi="宋体" w:cs="宋体"/>
                <w:szCs w:val="21"/>
              </w:rPr>
            </w:pPr>
            <w:r>
              <w:rPr>
                <w:rFonts w:hint="eastAsia" w:ascii="宋体" w:hAnsi="宋体" w:cs="宋体"/>
                <w:szCs w:val="21"/>
              </w:rPr>
              <w:t>11、显示区域间距≤P8，LED 可视角度：水平视场角≥ 110°士10°，垂直视场角≥ 60°士10°。</w:t>
            </w:r>
          </w:p>
          <w:p w14:paraId="6B6C9F02">
            <w:pPr>
              <w:pStyle w:val="9"/>
              <w:spacing w:line="360" w:lineRule="auto"/>
              <w:rPr>
                <w:rFonts w:ascii="宋体" w:hAnsi="宋体" w:cs="宋体"/>
                <w:szCs w:val="21"/>
              </w:rPr>
            </w:pPr>
            <w:r>
              <w:rPr>
                <w:rFonts w:hint="eastAsia" w:ascii="宋体" w:hAnsi="宋体" w:cs="宋体"/>
                <w:szCs w:val="21"/>
              </w:rPr>
              <w:t>12、工作温度范围不小于-30℃~70℃。</w:t>
            </w:r>
          </w:p>
          <w:p w14:paraId="411CF5B4">
            <w:pPr>
              <w:pStyle w:val="9"/>
              <w:spacing w:line="360" w:lineRule="auto"/>
              <w:rPr>
                <w:rFonts w:ascii="宋体" w:hAnsi="宋体" w:cs="宋体"/>
                <w:szCs w:val="21"/>
              </w:rPr>
            </w:pPr>
            <w:r>
              <w:rPr>
                <w:rFonts w:hint="eastAsia" w:ascii="宋体" w:hAnsi="宋体" w:cs="宋体"/>
                <w:szCs w:val="21"/>
              </w:rPr>
              <w:t>13、采用抱箍立杆安装方式，防护等级不低于 IP53。</w:t>
            </w:r>
          </w:p>
          <w:p w14:paraId="0F0ADC7A">
            <w:pPr>
              <w:widowControl/>
              <w:numPr>
                <w:ilvl w:val="0"/>
                <w:numId w:val="5"/>
              </w:numPr>
              <w:spacing w:line="360" w:lineRule="auto"/>
              <w:textAlignment w:val="center"/>
              <w:rPr>
                <w:rFonts w:ascii="宋体" w:hAnsi="宋体" w:cs="宋体"/>
                <w:b/>
                <w:bCs/>
                <w:szCs w:val="21"/>
              </w:rPr>
            </w:pPr>
            <w:r>
              <w:rPr>
                <w:rFonts w:hint="eastAsia" w:ascii="宋体" w:hAnsi="宋体" w:cs="宋体"/>
                <w:b/>
                <w:bCs/>
                <w:szCs w:val="21"/>
              </w:rPr>
              <w:t>提供9套智能监控设备箱服务，需具备以下功能：</w:t>
            </w:r>
          </w:p>
          <w:p w14:paraId="2EB8DEE2">
            <w:pPr>
              <w:pStyle w:val="9"/>
              <w:spacing w:line="360" w:lineRule="auto"/>
              <w:rPr>
                <w:rFonts w:ascii="宋体" w:hAnsi="宋体" w:cs="宋体"/>
                <w:szCs w:val="21"/>
              </w:rPr>
            </w:pPr>
            <w:r>
              <w:rPr>
                <w:rFonts w:hint="eastAsia" w:ascii="宋体" w:hAnsi="宋体" w:cs="宋体"/>
                <w:szCs w:val="21"/>
              </w:rPr>
              <w:t>1、箱体尺寸含帽檐约450mm×400mm×235mm（高x宽x深），不含帽檐约450mmx350mmx200mm（高x宽x深），材质采用镀锌钢板喷塑，箱体板厚度≥0.8mm，箱顶采用帽檐斜顶方式设计，具有风勾限位装置，防护等级为≥IP55；具有防盗功能，安装防水锁，所有锁芯应配统一钥匙。内部设背板、隔板、布局合理、规范、内部走线清晰。箱内配备25A空开≥1只、40KA防雷器≥1只、五孔插座≥2只（其中1路为维修插座，1路为业务插座）；5位接地铜排≥1只，并配备智能运维终端≥1只。</w:t>
            </w:r>
          </w:p>
          <w:p w14:paraId="054B3E2D">
            <w:pPr>
              <w:pStyle w:val="9"/>
              <w:spacing w:line="360" w:lineRule="auto"/>
              <w:rPr>
                <w:rFonts w:ascii="宋体" w:hAnsi="宋体" w:cs="宋体"/>
                <w:szCs w:val="21"/>
              </w:rPr>
            </w:pPr>
            <w:r>
              <w:rPr>
                <w:rFonts w:hint="eastAsia" w:ascii="宋体" w:hAnsi="宋体" w:cs="宋体"/>
                <w:szCs w:val="21"/>
              </w:rPr>
              <w:t>2、具备指示灯状态显示功能：支持通过指示灯对设备运行、网络、通讯、故障、输出状态进行显示。</w:t>
            </w:r>
          </w:p>
          <w:p w14:paraId="329CEF0F">
            <w:pPr>
              <w:pStyle w:val="9"/>
              <w:spacing w:line="360" w:lineRule="auto"/>
              <w:rPr>
                <w:rFonts w:ascii="宋体" w:hAnsi="宋体" w:cs="宋体"/>
                <w:szCs w:val="21"/>
              </w:rPr>
            </w:pPr>
            <w:r>
              <w:rPr>
                <w:rFonts w:hint="eastAsia" w:ascii="宋体" w:hAnsi="宋体" w:cs="宋体"/>
                <w:szCs w:val="21"/>
              </w:rPr>
              <w:t>3、具备安全防护功能：支持外接箱门门磁检测传感器，能够在箱门异常开启时产生告警，并内置扬声器模块，可通过扬声器进行本地警告语音输出，防止恶意破坏箱体行为，最大程度保障箱体内资产和信息安全。</w:t>
            </w:r>
          </w:p>
          <w:p w14:paraId="498BDA74">
            <w:pPr>
              <w:pStyle w:val="9"/>
              <w:spacing w:line="360" w:lineRule="auto"/>
              <w:rPr>
                <w:rFonts w:ascii="宋体" w:hAnsi="宋体" w:cs="宋体"/>
                <w:szCs w:val="21"/>
              </w:rPr>
            </w:pPr>
            <w:r>
              <w:rPr>
                <w:rFonts w:hint="eastAsia" w:ascii="宋体" w:hAnsi="宋体" w:cs="宋体"/>
                <w:szCs w:val="21"/>
              </w:rPr>
              <w:t>4、具有光感监测功能：支持光感监测功能，可在平台端区分机箱内暗光、弱光、强光三种光线环境，辅助判断箱门是否开启。</w:t>
            </w:r>
          </w:p>
          <w:p w14:paraId="15488356">
            <w:pPr>
              <w:pStyle w:val="9"/>
              <w:spacing w:line="360" w:lineRule="auto"/>
              <w:rPr>
                <w:rFonts w:ascii="宋体" w:hAnsi="宋体" w:cs="宋体"/>
                <w:szCs w:val="21"/>
              </w:rPr>
            </w:pPr>
            <w:r>
              <w:rPr>
                <w:rFonts w:hint="eastAsia" w:ascii="宋体" w:hAnsi="宋体" w:cs="宋体"/>
                <w:szCs w:val="21"/>
              </w:rPr>
              <w:t>5、具有设备流量监测功能：支持设定流量上下限，当流量超过设定阈值时，可产生流量告警。</w:t>
            </w:r>
          </w:p>
          <w:p w14:paraId="19E34300">
            <w:pPr>
              <w:pStyle w:val="9"/>
              <w:spacing w:line="360" w:lineRule="auto"/>
              <w:rPr>
                <w:rFonts w:ascii="宋体" w:hAnsi="宋体" w:cs="宋体"/>
                <w:szCs w:val="21"/>
              </w:rPr>
            </w:pPr>
            <w:r>
              <w:rPr>
                <w:rFonts w:hint="eastAsia" w:ascii="宋体" w:hAnsi="宋体" w:cs="宋体"/>
                <w:szCs w:val="21"/>
              </w:rPr>
              <w:t>6、电气健康监测功能：支持输入电压、输出电流、负载功率监测功能，监测范围支持平台端自定义设置，支持电压、电流、功率异常报警功能。</w:t>
            </w:r>
          </w:p>
          <w:p w14:paraId="3E8E18CA">
            <w:pPr>
              <w:pStyle w:val="9"/>
              <w:spacing w:line="360" w:lineRule="auto"/>
              <w:rPr>
                <w:rFonts w:ascii="宋体" w:hAnsi="宋体" w:cs="宋体"/>
                <w:szCs w:val="21"/>
              </w:rPr>
            </w:pPr>
            <w:r>
              <w:rPr>
                <w:rFonts w:hint="eastAsia" w:ascii="宋体" w:hAnsi="宋体" w:cs="宋体"/>
                <w:szCs w:val="21"/>
              </w:rPr>
              <w:t>7、具有震动监测功能：支持机箱受到震动/冲击时，平台端产生震动告警，并支持设置震动告警的频次阈值。</w:t>
            </w:r>
          </w:p>
          <w:p w14:paraId="6C59C34A">
            <w:pPr>
              <w:pStyle w:val="9"/>
              <w:spacing w:line="360" w:lineRule="auto"/>
              <w:rPr>
                <w:rFonts w:ascii="宋体" w:hAnsi="宋体" w:cs="宋体"/>
                <w:szCs w:val="21"/>
              </w:rPr>
            </w:pPr>
            <w:r>
              <w:rPr>
                <w:rFonts w:hint="eastAsia" w:ascii="宋体" w:hAnsi="宋体" w:cs="宋体"/>
                <w:szCs w:val="21"/>
              </w:rPr>
              <w:t>8、断电监测功能；内置电源监测模块，能够在不需要后备电源的情况下，区分区域掉电（如市电掉电）、箱内掉电（如空开跳闸）告警，并能将告警信息上传至平台客户端，平台具有单独的断电状态显示图标。</w:t>
            </w:r>
          </w:p>
          <w:p w14:paraId="4AA5D9C7">
            <w:pPr>
              <w:pStyle w:val="9"/>
              <w:spacing w:line="360" w:lineRule="auto"/>
              <w:rPr>
                <w:rFonts w:ascii="宋体" w:hAnsi="宋体" w:cs="宋体"/>
                <w:szCs w:val="21"/>
              </w:rPr>
            </w:pPr>
            <w:r>
              <w:rPr>
                <w:rFonts w:hint="eastAsia" w:ascii="宋体" w:hAnsi="宋体" w:cs="宋体"/>
                <w:szCs w:val="21"/>
              </w:rPr>
              <w:t>9、断网监测功能：当机箱内网络中断时，可平台端显示断网失联告警。</w:t>
            </w:r>
          </w:p>
          <w:p w14:paraId="57A096B6">
            <w:pPr>
              <w:pStyle w:val="9"/>
              <w:spacing w:line="360" w:lineRule="auto"/>
              <w:rPr>
                <w:rFonts w:ascii="宋体" w:hAnsi="宋体" w:cs="宋体"/>
                <w:szCs w:val="21"/>
              </w:rPr>
            </w:pPr>
            <w:r>
              <w:rPr>
                <w:rFonts w:hint="eastAsia" w:ascii="宋体" w:hAnsi="宋体" w:cs="宋体"/>
                <w:szCs w:val="21"/>
              </w:rPr>
              <w:t>10、远程控制功能：支持远程控制负载供电开启、关闭和重启功能，解决前端设备死机问题。支持远程控制语音告警打开、关闭功能。</w:t>
            </w:r>
          </w:p>
          <w:p w14:paraId="46C2A1C7">
            <w:pPr>
              <w:pStyle w:val="9"/>
              <w:spacing w:line="360" w:lineRule="auto"/>
              <w:rPr>
                <w:rFonts w:ascii="宋体" w:hAnsi="宋体" w:cs="宋体"/>
                <w:szCs w:val="21"/>
              </w:rPr>
            </w:pPr>
            <w:r>
              <w:rPr>
                <w:rFonts w:hint="eastAsia" w:ascii="宋体" w:hAnsi="宋体" w:cs="宋体"/>
                <w:szCs w:val="21"/>
              </w:rPr>
              <w:t>11、不间断负载供电功能：支持在外部供电电源正常工作情况下，当机箱智能运维终端自身发生故障时，能够保证机箱内部供电电路不间断，不影响机箱内部取电设备的正常工作。</w:t>
            </w:r>
          </w:p>
          <w:p w14:paraId="33C52B15">
            <w:pPr>
              <w:pStyle w:val="9"/>
              <w:spacing w:line="360" w:lineRule="auto"/>
              <w:rPr>
                <w:rFonts w:ascii="宋体" w:hAnsi="宋体" w:cs="宋体"/>
                <w:szCs w:val="21"/>
              </w:rPr>
            </w:pPr>
            <w:r>
              <w:rPr>
                <w:rFonts w:hint="eastAsia" w:ascii="宋体" w:hAnsi="宋体" w:cs="宋体"/>
                <w:szCs w:val="21"/>
              </w:rPr>
              <w:t>12、通信加密功能：支持对通信数据进行非明文加密传输功能。</w:t>
            </w:r>
          </w:p>
          <w:p w14:paraId="2E128BAA">
            <w:pPr>
              <w:pStyle w:val="9"/>
              <w:spacing w:line="360" w:lineRule="auto"/>
              <w:rPr>
                <w:rFonts w:ascii="宋体" w:hAnsi="宋体" w:cs="宋体"/>
                <w:szCs w:val="21"/>
              </w:rPr>
            </w:pPr>
            <w:r>
              <w:rPr>
                <w:rFonts w:hint="eastAsia" w:ascii="宋体" w:hAnsi="宋体" w:cs="宋体"/>
                <w:szCs w:val="21"/>
              </w:rPr>
              <w:t>13、看门狗复位功能：支持当系统死机时，具有看门狗自动复位功能。</w:t>
            </w:r>
          </w:p>
          <w:p w14:paraId="1884B3BB">
            <w:pPr>
              <w:pStyle w:val="9"/>
              <w:spacing w:line="360" w:lineRule="auto"/>
              <w:rPr>
                <w:rFonts w:ascii="宋体" w:hAnsi="宋体" w:cs="宋体"/>
                <w:szCs w:val="21"/>
              </w:rPr>
            </w:pPr>
            <w:r>
              <w:rPr>
                <w:rFonts w:hint="eastAsia" w:ascii="宋体" w:hAnsi="宋体" w:cs="宋体"/>
                <w:szCs w:val="21"/>
              </w:rPr>
              <w:t>14、一键复位功能：机箱智能运维终端具有一键复位实体按键，当按下复位键，终端可重置自身IP地址。</w:t>
            </w:r>
          </w:p>
          <w:p w14:paraId="35EFBE89">
            <w:pPr>
              <w:pStyle w:val="9"/>
              <w:spacing w:line="360" w:lineRule="auto"/>
              <w:rPr>
                <w:rFonts w:ascii="宋体" w:hAnsi="宋体" w:cs="宋体"/>
                <w:szCs w:val="21"/>
              </w:rPr>
            </w:pPr>
            <w:r>
              <w:rPr>
                <w:rFonts w:hint="eastAsia" w:ascii="宋体" w:hAnsi="宋体" w:cs="宋体"/>
                <w:szCs w:val="21"/>
              </w:rPr>
              <w:t>15、心跳保活功能：支持客户端远程配置心跳保活周期，心跳保活消息定期上报。</w:t>
            </w:r>
          </w:p>
          <w:p w14:paraId="496D710D">
            <w:pPr>
              <w:pStyle w:val="9"/>
              <w:spacing w:line="360" w:lineRule="auto"/>
              <w:rPr>
                <w:rFonts w:ascii="宋体" w:hAnsi="宋体" w:cs="宋体"/>
                <w:szCs w:val="21"/>
              </w:rPr>
            </w:pPr>
            <w:r>
              <w:rPr>
                <w:rFonts w:hint="eastAsia" w:ascii="宋体" w:hAnsi="宋体" w:cs="宋体"/>
                <w:szCs w:val="21"/>
              </w:rPr>
              <w:t>16、远程查询功能：支持远程査询实时监测数据，支持远程查询设备配置参数信息，远程查询设备运行日志信息。</w:t>
            </w:r>
          </w:p>
          <w:p w14:paraId="0696CD0D">
            <w:pPr>
              <w:pStyle w:val="9"/>
              <w:spacing w:line="360" w:lineRule="auto"/>
              <w:rPr>
                <w:rFonts w:ascii="宋体" w:hAnsi="宋体" w:cs="宋体"/>
                <w:szCs w:val="21"/>
              </w:rPr>
            </w:pPr>
            <w:r>
              <w:rPr>
                <w:rFonts w:hint="eastAsia" w:ascii="宋体" w:hAnsi="宋体" w:cs="宋体"/>
                <w:szCs w:val="21"/>
              </w:rPr>
              <w:t>17、远程升级功能：支持通过客户端远程对设备进行系统升级更新功能。</w:t>
            </w:r>
          </w:p>
          <w:p w14:paraId="62453094">
            <w:pPr>
              <w:widowControl/>
              <w:numPr>
                <w:ilvl w:val="0"/>
                <w:numId w:val="5"/>
              </w:numPr>
              <w:spacing w:line="360" w:lineRule="auto"/>
              <w:textAlignment w:val="center"/>
              <w:rPr>
                <w:rFonts w:ascii="宋体" w:hAnsi="宋体" w:cs="宋体"/>
                <w:szCs w:val="21"/>
              </w:rPr>
            </w:pPr>
            <w:r>
              <w:rPr>
                <w:rFonts w:hint="eastAsia" w:ascii="宋体" w:hAnsi="宋体" w:cs="宋体"/>
                <w:b/>
                <w:bCs/>
                <w:szCs w:val="21"/>
              </w:rPr>
              <w:t>提供9套警用爆闪灯服务，需具备以下功能：</w:t>
            </w:r>
          </w:p>
          <w:p w14:paraId="13659B33">
            <w:pPr>
              <w:pStyle w:val="9"/>
              <w:spacing w:line="360" w:lineRule="auto"/>
              <w:rPr>
                <w:rFonts w:ascii="宋体" w:hAnsi="宋体" w:cs="宋体"/>
                <w:szCs w:val="21"/>
              </w:rPr>
            </w:pPr>
            <w:r>
              <w:rPr>
                <w:rFonts w:hint="eastAsia" w:ascii="宋体" w:hAnsi="宋体" w:cs="宋体"/>
                <w:szCs w:val="21"/>
              </w:rPr>
              <w:t>1、外壳材质：铝型材和聚碳酸酯（PC）相结合。</w:t>
            </w:r>
          </w:p>
          <w:p w14:paraId="3BFFA98D">
            <w:pPr>
              <w:pStyle w:val="9"/>
              <w:spacing w:line="360" w:lineRule="auto"/>
              <w:rPr>
                <w:rFonts w:ascii="宋体" w:hAnsi="宋体" w:cs="宋体"/>
                <w:szCs w:val="21"/>
              </w:rPr>
            </w:pPr>
            <w:r>
              <w:rPr>
                <w:rFonts w:hint="eastAsia" w:ascii="宋体" w:hAnsi="宋体" w:cs="宋体"/>
                <w:szCs w:val="21"/>
              </w:rPr>
              <w:t>2、发光单元：二面四组，共8个。</w:t>
            </w:r>
          </w:p>
          <w:p w14:paraId="5A185EA3">
            <w:pPr>
              <w:pStyle w:val="9"/>
              <w:spacing w:line="360" w:lineRule="auto"/>
              <w:rPr>
                <w:rFonts w:ascii="宋体" w:hAnsi="宋体" w:cs="宋体"/>
                <w:szCs w:val="21"/>
              </w:rPr>
            </w:pPr>
            <w:r>
              <w:rPr>
                <w:rFonts w:hint="eastAsia" w:ascii="宋体" w:hAnsi="宋体" w:cs="宋体"/>
                <w:szCs w:val="21"/>
              </w:rPr>
              <w:t>3、LED个数：每单元20颗。</w:t>
            </w:r>
          </w:p>
          <w:p w14:paraId="73F379F0">
            <w:pPr>
              <w:pStyle w:val="9"/>
              <w:spacing w:line="360" w:lineRule="auto"/>
              <w:rPr>
                <w:rFonts w:ascii="宋体" w:hAnsi="宋体" w:cs="宋体"/>
                <w:szCs w:val="21"/>
              </w:rPr>
            </w:pPr>
            <w:r>
              <w:rPr>
                <w:rFonts w:hint="eastAsia" w:ascii="宋体" w:hAnsi="宋体" w:cs="宋体"/>
                <w:szCs w:val="21"/>
              </w:rPr>
              <w:t>4、LED波长：蓝色460±5 nm ，红色625±5 nm 。</w:t>
            </w:r>
          </w:p>
          <w:p w14:paraId="5E99ED83">
            <w:pPr>
              <w:pStyle w:val="9"/>
              <w:spacing w:line="360" w:lineRule="auto"/>
              <w:rPr>
                <w:rFonts w:ascii="宋体" w:hAnsi="宋体" w:cs="宋体"/>
                <w:szCs w:val="21"/>
              </w:rPr>
            </w:pPr>
            <w:r>
              <w:rPr>
                <w:rFonts w:hint="eastAsia" w:ascii="宋体" w:hAnsi="宋体" w:cs="宋体"/>
                <w:szCs w:val="21"/>
              </w:rPr>
              <w:t>5、单颗LED亮度：5000 ~ 8000 mcd</w:t>
            </w:r>
          </w:p>
          <w:p w14:paraId="5239A836">
            <w:pPr>
              <w:pStyle w:val="9"/>
              <w:spacing w:line="360" w:lineRule="auto"/>
              <w:rPr>
                <w:rFonts w:ascii="宋体" w:hAnsi="宋体" w:cs="宋体"/>
                <w:szCs w:val="21"/>
              </w:rPr>
            </w:pPr>
            <w:r>
              <w:rPr>
                <w:rFonts w:hint="eastAsia" w:ascii="宋体" w:hAnsi="宋体" w:cs="宋体"/>
                <w:szCs w:val="21"/>
              </w:rPr>
              <w:t>6、LED正常使用寿命：≥100000小时</w:t>
            </w:r>
          </w:p>
          <w:p w14:paraId="08F6EF7F">
            <w:pPr>
              <w:pStyle w:val="9"/>
              <w:spacing w:line="360" w:lineRule="auto"/>
              <w:rPr>
                <w:rFonts w:ascii="宋体" w:hAnsi="宋体" w:cs="宋体"/>
                <w:szCs w:val="21"/>
              </w:rPr>
            </w:pPr>
            <w:r>
              <w:rPr>
                <w:rFonts w:hint="eastAsia" w:ascii="宋体" w:hAnsi="宋体" w:cs="宋体"/>
                <w:szCs w:val="21"/>
              </w:rPr>
              <w:t>7、功率：≤12W</w:t>
            </w:r>
          </w:p>
          <w:p w14:paraId="044E8061">
            <w:pPr>
              <w:pStyle w:val="9"/>
              <w:spacing w:line="360" w:lineRule="auto"/>
              <w:rPr>
                <w:rFonts w:ascii="宋体" w:hAnsi="宋体" w:cs="宋体"/>
                <w:szCs w:val="21"/>
              </w:rPr>
            </w:pPr>
            <w:r>
              <w:rPr>
                <w:rFonts w:hint="eastAsia" w:ascii="宋体" w:hAnsi="宋体" w:cs="宋体"/>
                <w:szCs w:val="21"/>
              </w:rPr>
              <w:t>8、工作方式：24小时连续工作或光控</w:t>
            </w:r>
          </w:p>
          <w:p w14:paraId="529FC747">
            <w:pPr>
              <w:pStyle w:val="9"/>
              <w:spacing w:line="360" w:lineRule="auto"/>
              <w:rPr>
                <w:rFonts w:ascii="宋体" w:hAnsi="宋体" w:cs="宋体"/>
                <w:szCs w:val="21"/>
              </w:rPr>
            </w:pPr>
            <w:r>
              <w:rPr>
                <w:rFonts w:hint="eastAsia" w:ascii="宋体" w:hAnsi="宋体" w:cs="宋体"/>
                <w:szCs w:val="21"/>
              </w:rPr>
              <w:t>9、闪烁方式：红蓝交替闪烁，频闪，快闪，慢闪，爆闪等多种方式。</w:t>
            </w:r>
          </w:p>
          <w:p w14:paraId="56ACD7EB">
            <w:pPr>
              <w:pStyle w:val="9"/>
              <w:spacing w:line="360" w:lineRule="auto"/>
              <w:rPr>
                <w:rFonts w:ascii="宋体" w:hAnsi="宋体" w:cs="宋体"/>
                <w:szCs w:val="21"/>
              </w:rPr>
            </w:pPr>
            <w:r>
              <w:rPr>
                <w:rFonts w:hint="eastAsia" w:ascii="宋体" w:hAnsi="宋体" w:cs="宋体"/>
                <w:szCs w:val="21"/>
              </w:rPr>
              <w:t>10、闪烁频率：2 Hz，120次/分钟 ，可按客户要求设计。</w:t>
            </w:r>
          </w:p>
          <w:p w14:paraId="3FE42624">
            <w:pPr>
              <w:pStyle w:val="9"/>
              <w:spacing w:line="360" w:lineRule="auto"/>
              <w:rPr>
                <w:rFonts w:ascii="宋体" w:hAnsi="宋体" w:cs="宋体"/>
                <w:szCs w:val="21"/>
              </w:rPr>
            </w:pPr>
            <w:r>
              <w:rPr>
                <w:rFonts w:hint="eastAsia" w:ascii="宋体" w:hAnsi="宋体" w:cs="宋体"/>
                <w:szCs w:val="21"/>
              </w:rPr>
              <w:t>11、占空比：1/3</w:t>
            </w:r>
          </w:p>
          <w:p w14:paraId="2E980FC4">
            <w:pPr>
              <w:pStyle w:val="9"/>
              <w:spacing w:line="360" w:lineRule="auto"/>
              <w:rPr>
                <w:rFonts w:ascii="宋体" w:hAnsi="宋体" w:cs="宋体"/>
                <w:szCs w:val="21"/>
              </w:rPr>
            </w:pPr>
            <w:r>
              <w:rPr>
                <w:rFonts w:hint="eastAsia" w:ascii="宋体" w:hAnsi="宋体" w:cs="宋体"/>
                <w:szCs w:val="21"/>
              </w:rPr>
              <w:t>12、可视距离：≥1000 m（夜晚）</w:t>
            </w:r>
          </w:p>
          <w:p w14:paraId="1AA1A022">
            <w:pPr>
              <w:pStyle w:val="9"/>
              <w:spacing w:line="360" w:lineRule="auto"/>
              <w:rPr>
                <w:rFonts w:ascii="宋体" w:hAnsi="宋体" w:cs="宋体"/>
                <w:szCs w:val="21"/>
              </w:rPr>
            </w:pPr>
            <w:r>
              <w:rPr>
                <w:rFonts w:hint="eastAsia" w:ascii="宋体" w:hAnsi="宋体" w:cs="宋体"/>
                <w:szCs w:val="21"/>
              </w:rPr>
              <w:t>13、电池：12V 7AH免维护铅酸电池</w:t>
            </w:r>
          </w:p>
          <w:p w14:paraId="4588E83B">
            <w:pPr>
              <w:pStyle w:val="9"/>
              <w:spacing w:line="360" w:lineRule="auto"/>
              <w:rPr>
                <w:rFonts w:ascii="宋体" w:hAnsi="宋体" w:cs="宋体"/>
                <w:szCs w:val="21"/>
              </w:rPr>
            </w:pPr>
            <w:r>
              <w:rPr>
                <w:rFonts w:hint="eastAsia" w:ascii="宋体" w:hAnsi="宋体" w:cs="宋体"/>
                <w:szCs w:val="21"/>
              </w:rPr>
              <w:t>14、太阳能电池板：18V 10W 单晶硅太阳能电池，寿命≥15年。</w:t>
            </w:r>
          </w:p>
          <w:p w14:paraId="3041FBE5">
            <w:pPr>
              <w:pStyle w:val="9"/>
              <w:spacing w:line="360" w:lineRule="auto"/>
              <w:rPr>
                <w:rFonts w:ascii="宋体" w:hAnsi="宋体" w:cs="宋体"/>
                <w:szCs w:val="21"/>
              </w:rPr>
            </w:pPr>
            <w:r>
              <w:rPr>
                <w:rFonts w:hint="eastAsia" w:ascii="宋体" w:hAnsi="宋体" w:cs="宋体"/>
                <w:szCs w:val="21"/>
              </w:rPr>
              <w:t>15、工作温度：-35℃ ~ 75℃</w:t>
            </w:r>
          </w:p>
          <w:p w14:paraId="6E695F93">
            <w:pPr>
              <w:pStyle w:val="9"/>
              <w:spacing w:line="360" w:lineRule="auto"/>
              <w:rPr>
                <w:rFonts w:ascii="宋体" w:hAnsi="宋体" w:cs="宋体"/>
                <w:szCs w:val="21"/>
              </w:rPr>
            </w:pPr>
            <w:r>
              <w:rPr>
                <w:rFonts w:hint="eastAsia" w:ascii="宋体" w:hAnsi="宋体" w:cs="宋体"/>
                <w:szCs w:val="21"/>
              </w:rPr>
              <w:t>16、工作湿度：≤95%</w:t>
            </w:r>
          </w:p>
          <w:p w14:paraId="5B846D02">
            <w:pPr>
              <w:pStyle w:val="9"/>
              <w:spacing w:line="360" w:lineRule="auto"/>
              <w:rPr>
                <w:rFonts w:ascii="宋体" w:hAnsi="宋体" w:cs="宋体"/>
                <w:szCs w:val="21"/>
              </w:rPr>
            </w:pPr>
            <w:r>
              <w:rPr>
                <w:rFonts w:hint="eastAsia" w:ascii="宋体" w:hAnsi="宋体" w:cs="宋体"/>
                <w:szCs w:val="21"/>
              </w:rPr>
              <w:t>17、续航时间：充满电可连续工作120小时以上，10个阴雨天。</w:t>
            </w:r>
          </w:p>
          <w:p w14:paraId="0256C111">
            <w:pPr>
              <w:pStyle w:val="9"/>
              <w:spacing w:line="360" w:lineRule="auto"/>
              <w:rPr>
                <w:rFonts w:ascii="宋体" w:hAnsi="宋体" w:cs="宋体"/>
                <w:szCs w:val="21"/>
              </w:rPr>
            </w:pPr>
            <w:r>
              <w:rPr>
                <w:rFonts w:hint="eastAsia" w:ascii="宋体" w:hAnsi="宋体" w:cs="宋体"/>
                <w:szCs w:val="21"/>
              </w:rPr>
              <w:t>18、防护等级：大于IP54</w:t>
            </w:r>
          </w:p>
          <w:p w14:paraId="55396CC3">
            <w:pPr>
              <w:pStyle w:val="9"/>
              <w:spacing w:line="360" w:lineRule="auto"/>
              <w:rPr>
                <w:rFonts w:ascii="宋体" w:hAnsi="宋体" w:cs="宋体"/>
                <w:szCs w:val="21"/>
              </w:rPr>
            </w:pPr>
            <w:r>
              <w:rPr>
                <w:rFonts w:hint="eastAsia" w:ascii="宋体" w:hAnsi="宋体" w:cs="宋体"/>
                <w:szCs w:val="21"/>
              </w:rPr>
              <w:t>19、抗风压：≥1.5KN/㎡</w:t>
            </w:r>
          </w:p>
          <w:p w14:paraId="170E488A">
            <w:pPr>
              <w:pStyle w:val="9"/>
              <w:spacing w:line="360" w:lineRule="auto"/>
              <w:rPr>
                <w:rFonts w:ascii="宋体" w:hAnsi="宋体" w:cs="宋体"/>
                <w:szCs w:val="21"/>
              </w:rPr>
            </w:pPr>
            <w:r>
              <w:rPr>
                <w:rFonts w:hint="eastAsia" w:ascii="宋体" w:hAnsi="宋体" w:cs="宋体"/>
                <w:szCs w:val="21"/>
              </w:rPr>
              <w:t>20、执行标准：符合GB-14887-2003相关规定</w:t>
            </w:r>
          </w:p>
          <w:p w14:paraId="1A019C7E">
            <w:pPr>
              <w:widowControl/>
              <w:numPr>
                <w:ilvl w:val="0"/>
                <w:numId w:val="5"/>
              </w:numPr>
              <w:spacing w:line="360" w:lineRule="auto"/>
              <w:textAlignment w:val="center"/>
              <w:rPr>
                <w:rFonts w:ascii="宋体" w:hAnsi="宋体" w:cs="宋体"/>
                <w:b/>
                <w:bCs/>
                <w:szCs w:val="21"/>
              </w:rPr>
            </w:pPr>
            <w:r>
              <w:rPr>
                <w:rFonts w:hint="eastAsia" w:ascii="宋体" w:hAnsi="宋体" w:cs="宋体"/>
                <w:b/>
                <w:bCs/>
                <w:szCs w:val="21"/>
              </w:rPr>
              <w:t>提供9套配套标志标牌服务，需具备以下功能：</w:t>
            </w:r>
          </w:p>
          <w:p w14:paraId="4ADD56C1">
            <w:pPr>
              <w:pStyle w:val="9"/>
              <w:spacing w:line="360" w:lineRule="auto"/>
              <w:rPr>
                <w:rFonts w:ascii="宋体" w:hAnsi="宋体" w:cs="宋体"/>
                <w:szCs w:val="21"/>
              </w:rPr>
            </w:pPr>
            <w:r>
              <w:rPr>
                <w:rFonts w:hint="eastAsia" w:ascii="宋体" w:hAnsi="宋体" w:cs="宋体"/>
                <w:szCs w:val="21"/>
              </w:rPr>
              <w:t>1、落地提示牌：前方测速减速慢行（黄底黑字）1200×2000mm，IV类反光膜，铝板3厚，铝槽68×2.3-4根1米，常规抱箍螺丝；</w:t>
            </w:r>
          </w:p>
          <w:p w14:paraId="285600CF">
            <w:pPr>
              <w:pStyle w:val="9"/>
              <w:spacing w:line="360" w:lineRule="auto"/>
              <w:rPr>
                <w:rFonts w:ascii="宋体" w:hAnsi="宋体" w:cs="宋体"/>
                <w:szCs w:val="21"/>
              </w:rPr>
            </w:pPr>
            <w:r>
              <w:rPr>
                <w:rFonts w:hint="eastAsia" w:ascii="宋体" w:hAnsi="宋体" w:cs="宋体"/>
                <w:szCs w:val="21"/>
              </w:rPr>
              <w:t>2、落地提示牌立杆：立杆圆柱杆，高4米，口径114-3mm，法兰260*260-10mm，杆件整体热镀锌，喷塑。配基础笼4-M16-0.5米。0.8m×0.8m×0.8m，含开挖，C25商品汞浇筑，垃圾清运等。基础笼4-M16-0.65米，含杆件搬移吊装等服务</w:t>
            </w:r>
          </w:p>
          <w:p w14:paraId="0669BEBF">
            <w:pPr>
              <w:widowControl/>
              <w:numPr>
                <w:ilvl w:val="0"/>
                <w:numId w:val="5"/>
              </w:numPr>
              <w:spacing w:line="360" w:lineRule="auto"/>
              <w:textAlignment w:val="center"/>
              <w:rPr>
                <w:rFonts w:ascii="宋体" w:hAnsi="宋体" w:cs="宋体"/>
                <w:b/>
                <w:bCs/>
                <w:szCs w:val="21"/>
              </w:rPr>
            </w:pPr>
            <w:r>
              <w:rPr>
                <w:rFonts w:hint="eastAsia" w:ascii="宋体" w:hAnsi="宋体" w:cs="宋体"/>
                <w:b/>
                <w:bCs/>
                <w:szCs w:val="21"/>
              </w:rPr>
              <w:t>提供1套道路安全预警应用软件服务，需具备以下功能：</w:t>
            </w:r>
          </w:p>
          <w:p w14:paraId="21C76C0C">
            <w:pPr>
              <w:pStyle w:val="9"/>
              <w:spacing w:line="360" w:lineRule="auto"/>
              <w:rPr>
                <w:rFonts w:ascii="宋体" w:hAnsi="宋体" w:cs="宋体"/>
                <w:szCs w:val="21"/>
              </w:rPr>
            </w:pPr>
            <w:r>
              <w:rPr>
                <w:rFonts w:hint="eastAsia" w:ascii="宋体" w:hAnsi="宋体" w:cs="宋体"/>
                <w:szCs w:val="21"/>
              </w:rPr>
              <w:t>1、支持以路口、路段为展示安全隐患点位的基本单元，在地图上以图标和文本标签展示辖区内各个安全隐患治理路口的位置。</w:t>
            </w:r>
          </w:p>
          <w:p w14:paraId="7A88C6D9">
            <w:pPr>
              <w:pStyle w:val="9"/>
              <w:spacing w:line="360" w:lineRule="auto"/>
              <w:rPr>
                <w:rFonts w:ascii="宋体" w:hAnsi="宋体" w:cs="宋体"/>
                <w:szCs w:val="21"/>
              </w:rPr>
            </w:pPr>
            <w:r>
              <w:rPr>
                <w:rFonts w:hint="eastAsia" w:ascii="宋体" w:hAnsi="宋体" w:cs="宋体"/>
                <w:szCs w:val="21"/>
              </w:rPr>
              <w:t>2、可通过图标颜色区分安全隐患点位的设备全部在线、部分在线和全部离线三种情况。</w:t>
            </w:r>
          </w:p>
          <w:p w14:paraId="6C415F67">
            <w:pPr>
              <w:pStyle w:val="9"/>
              <w:spacing w:line="360" w:lineRule="auto"/>
              <w:rPr>
                <w:rFonts w:ascii="宋体" w:hAnsi="宋体" w:cs="宋体"/>
                <w:szCs w:val="21"/>
              </w:rPr>
            </w:pPr>
            <w:r>
              <w:rPr>
                <w:rFonts w:hint="eastAsia" w:ascii="宋体" w:hAnsi="宋体" w:cs="宋体"/>
                <w:szCs w:val="21"/>
              </w:rPr>
              <w:t>3、可通过图标样式区分安全隐患点位是否完成治理。</w:t>
            </w:r>
          </w:p>
          <w:p w14:paraId="22F5D3E7">
            <w:pPr>
              <w:pStyle w:val="9"/>
              <w:spacing w:line="360" w:lineRule="auto"/>
              <w:rPr>
                <w:rFonts w:ascii="宋体" w:hAnsi="宋体" w:cs="宋体"/>
                <w:szCs w:val="21"/>
              </w:rPr>
            </w:pPr>
            <w:r>
              <w:rPr>
                <w:rFonts w:hint="eastAsia" w:ascii="宋体" w:hAnsi="宋体" w:cs="宋体"/>
                <w:szCs w:val="21"/>
              </w:rPr>
              <w:t>4、高频预警隐患点分析：支持展示辖区内排名前10的安全隐患点位和预警次数，可选择统计日期区间和预警类型，预警类型分为超速预警、超速未减速预警、超速后减速预警、路口冲突预警。</w:t>
            </w:r>
          </w:p>
          <w:p w14:paraId="4BCF0488">
            <w:pPr>
              <w:pStyle w:val="9"/>
              <w:spacing w:line="360" w:lineRule="auto"/>
              <w:rPr>
                <w:rFonts w:ascii="宋体" w:hAnsi="宋体" w:cs="宋体"/>
                <w:szCs w:val="21"/>
              </w:rPr>
            </w:pPr>
            <w:r>
              <w:rPr>
                <w:rFonts w:hint="eastAsia" w:ascii="宋体" w:hAnsi="宋体" w:cs="宋体"/>
                <w:szCs w:val="21"/>
              </w:rPr>
              <w:t>5、高频预警车辆分析：支持展示辖区内排名前10的高频预警车辆车牌号、车牌颜色和预警次数，可选择统计日期区间和预警类型，预警类型分为超速预警、超速未减速预警、超速后减速预警、路口冲突预警。</w:t>
            </w:r>
          </w:p>
          <w:p w14:paraId="5FEDB769">
            <w:pPr>
              <w:pStyle w:val="9"/>
              <w:spacing w:line="360" w:lineRule="auto"/>
              <w:rPr>
                <w:rFonts w:ascii="宋体" w:hAnsi="宋体" w:cs="宋体"/>
                <w:szCs w:val="21"/>
              </w:rPr>
            </w:pPr>
            <w:r>
              <w:rPr>
                <w:rFonts w:hint="eastAsia" w:ascii="宋体" w:hAnsi="宋体" w:cs="宋体"/>
                <w:szCs w:val="21"/>
              </w:rPr>
              <w:t>6、支持成效指标展示该安全隐患点位的各类预警数据总量，按不同时间维度进行统计展示，维度可选择总体指标和今日指标，总体指标下分本月、本季度、本年三个颗粒度。</w:t>
            </w:r>
          </w:p>
          <w:p w14:paraId="3DA22776">
            <w:pPr>
              <w:pStyle w:val="9"/>
              <w:spacing w:line="360" w:lineRule="auto"/>
              <w:rPr>
                <w:rFonts w:ascii="宋体" w:hAnsi="宋体" w:cs="宋体"/>
                <w:szCs w:val="21"/>
              </w:rPr>
            </w:pPr>
            <w:r>
              <w:rPr>
                <w:rFonts w:hint="eastAsia" w:ascii="宋体" w:hAnsi="宋体" w:cs="宋体"/>
                <w:szCs w:val="21"/>
              </w:rPr>
              <w:t>7、支持车速预警统计：统计时间维度内过车总数、安全速度通行过车数量和占比、超速后减速过车数量和占比、超速未减速过车数量和占比。</w:t>
            </w:r>
          </w:p>
          <w:p w14:paraId="10D0BE6D">
            <w:pPr>
              <w:pStyle w:val="9"/>
              <w:spacing w:line="360" w:lineRule="auto"/>
              <w:rPr>
                <w:rFonts w:ascii="宋体" w:hAnsi="宋体" w:cs="宋体"/>
                <w:szCs w:val="21"/>
              </w:rPr>
            </w:pPr>
            <w:r>
              <w:rPr>
                <w:rFonts w:hint="eastAsia" w:ascii="宋体" w:hAnsi="宋体" w:cs="宋体"/>
                <w:szCs w:val="21"/>
              </w:rPr>
              <w:t>8、支持路口冲突预警统计：统计时间维度内路口冲突提醒的次数，以折线图形式展示，横坐标颗粒度低于当前时间维度一个单位级别。</w:t>
            </w:r>
          </w:p>
          <w:p w14:paraId="54BE6D5A">
            <w:pPr>
              <w:pStyle w:val="9"/>
              <w:spacing w:line="360" w:lineRule="auto"/>
              <w:rPr>
                <w:rFonts w:ascii="宋体" w:hAnsi="宋体" w:cs="宋体"/>
                <w:szCs w:val="21"/>
              </w:rPr>
            </w:pPr>
            <w:r>
              <w:rPr>
                <w:rFonts w:hint="eastAsia" w:ascii="宋体" w:hAnsi="宋体" w:cs="宋体"/>
                <w:szCs w:val="21"/>
              </w:rPr>
              <w:t>9、支持查询安全隐患点位预警详细信息记录，查询条件包括：起止时间、隐患点名称、车牌号、车牌颜色、车辆类型、预警类型；查询结果包括：车牌号、车牌颜色、车辆类型、隐患点名称、车速变化曲线、预警类型、预警录像片段。</w:t>
            </w:r>
          </w:p>
          <w:p w14:paraId="2875F322">
            <w:pPr>
              <w:widowControl/>
              <w:numPr>
                <w:ilvl w:val="0"/>
                <w:numId w:val="5"/>
              </w:numPr>
              <w:spacing w:line="360" w:lineRule="auto"/>
              <w:textAlignment w:val="center"/>
              <w:rPr>
                <w:rFonts w:ascii="宋体" w:hAnsi="宋体" w:cs="宋体"/>
                <w:b/>
                <w:bCs/>
                <w:szCs w:val="21"/>
              </w:rPr>
            </w:pPr>
            <w:r>
              <w:rPr>
                <w:rFonts w:hint="eastAsia" w:ascii="宋体" w:hAnsi="宋体" w:cs="宋体"/>
                <w:b/>
                <w:bCs/>
                <w:szCs w:val="21"/>
              </w:rPr>
              <w:t>提供1项交通综合管控平台软件扩容服务，需具备以下功能：</w:t>
            </w:r>
          </w:p>
          <w:p w14:paraId="4FFD263C">
            <w:pPr>
              <w:pStyle w:val="9"/>
              <w:spacing w:line="360" w:lineRule="auto"/>
              <w:rPr>
                <w:rFonts w:ascii="宋体" w:hAnsi="宋体" w:cs="宋体"/>
                <w:szCs w:val="21"/>
              </w:rPr>
            </w:pPr>
            <w:r>
              <w:rPr>
                <w:rFonts w:hint="eastAsia" w:ascii="宋体" w:hAnsi="宋体" w:cs="宋体"/>
                <w:szCs w:val="21"/>
              </w:rPr>
              <w:t>1、新增30路授权对卡口、电警、违停球设备的接入车道数进行管理，按接入数授权；</w:t>
            </w:r>
          </w:p>
          <w:p w14:paraId="3DB09F31">
            <w:pPr>
              <w:pStyle w:val="9"/>
              <w:spacing w:line="360" w:lineRule="auto"/>
              <w:rPr>
                <w:rFonts w:ascii="宋体" w:hAnsi="宋体" w:cs="宋体"/>
                <w:szCs w:val="21"/>
              </w:rPr>
            </w:pPr>
            <w:r>
              <w:rPr>
                <w:rFonts w:hint="eastAsia" w:ascii="宋体" w:hAnsi="宋体" w:cs="宋体"/>
                <w:szCs w:val="21"/>
              </w:rPr>
              <w:t>2、对视频设备的接入通道数进行管理，按30路接入授权；</w:t>
            </w:r>
          </w:p>
          <w:p w14:paraId="3BD7FB02">
            <w:pPr>
              <w:pStyle w:val="9"/>
              <w:spacing w:line="360" w:lineRule="auto"/>
              <w:rPr>
                <w:rFonts w:ascii="宋体" w:hAnsi="宋体" w:cs="宋体"/>
                <w:szCs w:val="21"/>
              </w:rPr>
            </w:pPr>
            <w:r>
              <w:rPr>
                <w:rFonts w:hint="eastAsia" w:ascii="宋体" w:hAnsi="宋体" w:cs="宋体"/>
                <w:szCs w:val="21"/>
              </w:rPr>
              <w:t>3、存储资源虚拟化软件模块，含存储资源虚拟化功能，为应用提供池化资源服务；内置容量授权模块，安装144TB授权。</w:t>
            </w:r>
          </w:p>
          <w:p w14:paraId="67C55E41">
            <w:pPr>
              <w:widowControl/>
              <w:numPr>
                <w:ilvl w:val="0"/>
                <w:numId w:val="5"/>
              </w:numPr>
              <w:spacing w:line="360" w:lineRule="auto"/>
              <w:textAlignment w:val="center"/>
              <w:rPr>
                <w:rFonts w:ascii="宋体" w:hAnsi="宋体" w:cs="宋体"/>
                <w:b/>
                <w:bCs/>
                <w:szCs w:val="21"/>
              </w:rPr>
            </w:pPr>
            <w:r>
              <w:rPr>
                <w:rFonts w:hint="eastAsia" w:ascii="宋体" w:hAnsi="宋体" w:cs="宋体"/>
                <w:b/>
                <w:bCs/>
                <w:szCs w:val="21"/>
              </w:rPr>
              <w:t>提供9套前端点位配套立杆服务，需具备以下功能：</w:t>
            </w:r>
          </w:p>
          <w:p w14:paraId="19BDDE59">
            <w:pPr>
              <w:pStyle w:val="9"/>
              <w:spacing w:line="360" w:lineRule="auto"/>
              <w:rPr>
                <w:rFonts w:ascii="宋体" w:hAnsi="宋体" w:cs="宋体"/>
                <w:szCs w:val="21"/>
              </w:rPr>
            </w:pPr>
            <w:r>
              <w:rPr>
                <w:rFonts w:hint="eastAsia" w:ascii="宋体" w:hAnsi="宋体" w:cs="宋体"/>
                <w:szCs w:val="21"/>
              </w:rPr>
              <w:t>1、立杆圆柱杆，高5米，口径140-4mm，法兰300*300-12mm</w:t>
            </w:r>
          </w:p>
          <w:p w14:paraId="2407C40A">
            <w:pPr>
              <w:pStyle w:val="9"/>
              <w:spacing w:line="360" w:lineRule="auto"/>
              <w:rPr>
                <w:rFonts w:ascii="宋体" w:hAnsi="宋体" w:cs="宋体"/>
                <w:szCs w:val="21"/>
              </w:rPr>
            </w:pPr>
            <w:r>
              <w:rPr>
                <w:rFonts w:hint="eastAsia" w:ascii="宋体" w:hAnsi="宋体" w:cs="宋体"/>
                <w:szCs w:val="21"/>
              </w:rPr>
              <w:t>2、杆件整体热镀锌，喷塑。</w:t>
            </w:r>
          </w:p>
          <w:p w14:paraId="58F886F4">
            <w:pPr>
              <w:pStyle w:val="9"/>
              <w:spacing w:line="360" w:lineRule="auto"/>
              <w:rPr>
                <w:rFonts w:ascii="宋体" w:hAnsi="宋体" w:cs="宋体"/>
                <w:szCs w:val="21"/>
              </w:rPr>
            </w:pPr>
            <w:r>
              <w:rPr>
                <w:rFonts w:hint="eastAsia" w:ascii="宋体" w:hAnsi="宋体" w:cs="宋体"/>
                <w:szCs w:val="21"/>
              </w:rPr>
              <w:t>3、配基础笼4-M18-0.75米采用圆形钢管钢管热镀锌防腐处理，镀锌量不少于550g/m2，锌层厚度不少于85um；</w:t>
            </w:r>
          </w:p>
          <w:p w14:paraId="515E17E1">
            <w:pPr>
              <w:pStyle w:val="9"/>
              <w:spacing w:line="360" w:lineRule="auto"/>
              <w:rPr>
                <w:rFonts w:ascii="宋体" w:hAnsi="宋体" w:cs="宋体"/>
                <w:szCs w:val="21"/>
              </w:rPr>
            </w:pPr>
            <w:r>
              <w:rPr>
                <w:rFonts w:hint="eastAsia" w:ascii="宋体" w:hAnsi="宋体" w:cs="宋体"/>
                <w:szCs w:val="21"/>
              </w:rPr>
              <w:t>4、0.8m×0.8m×0.8m，含开挖，C25商品汞浇筑，垃圾清运等。</w:t>
            </w:r>
          </w:p>
          <w:p w14:paraId="21C6F964">
            <w:pPr>
              <w:pStyle w:val="9"/>
              <w:spacing w:line="360" w:lineRule="auto"/>
              <w:rPr>
                <w:rFonts w:ascii="宋体" w:hAnsi="宋体" w:cs="宋体"/>
                <w:szCs w:val="21"/>
              </w:rPr>
            </w:pPr>
            <w:r>
              <w:rPr>
                <w:rFonts w:hint="eastAsia" w:ascii="宋体" w:hAnsi="宋体" w:cs="宋体"/>
                <w:szCs w:val="21"/>
              </w:rPr>
              <w:t>5、Φ10钢筋地笼，高800mm螺栓预埋件，含杆件搬移吊装费。</w:t>
            </w:r>
          </w:p>
          <w:p w14:paraId="695A4552">
            <w:pPr>
              <w:widowControl/>
              <w:numPr>
                <w:ilvl w:val="0"/>
                <w:numId w:val="5"/>
              </w:numPr>
              <w:spacing w:line="360" w:lineRule="auto"/>
              <w:textAlignment w:val="center"/>
              <w:rPr>
                <w:rFonts w:ascii="宋体" w:hAnsi="宋体" w:cs="宋体"/>
                <w:b/>
                <w:bCs/>
                <w:szCs w:val="21"/>
              </w:rPr>
            </w:pPr>
            <w:r>
              <w:rPr>
                <w:rFonts w:hint="eastAsia" w:ascii="宋体" w:hAnsi="宋体" w:cs="宋体"/>
                <w:b/>
                <w:bCs/>
                <w:szCs w:val="21"/>
              </w:rPr>
              <w:t>提供1项系统集成及其他服务，需具备以下功能：</w:t>
            </w:r>
          </w:p>
          <w:p w14:paraId="47224C61">
            <w:pPr>
              <w:pStyle w:val="9"/>
              <w:spacing w:line="360" w:lineRule="auto"/>
              <w:rPr>
                <w:rFonts w:ascii="宋体" w:hAnsi="宋体" w:cs="宋体"/>
                <w:szCs w:val="21"/>
              </w:rPr>
            </w:pPr>
            <w:r>
              <w:rPr>
                <w:rFonts w:hint="eastAsia" w:ascii="宋体" w:hAnsi="宋体" w:cs="宋体"/>
                <w:szCs w:val="21"/>
              </w:rPr>
              <w:t>1、提供满足上述服务的安装调试服务、引电服务及各类辅材服务，含：所需的支架、万向节、抱箍、电源线、网线、控制线、扎带、胶布、各种接头、管材、围挡、锥桶，监控头前端设备安装调试服务及高空作业使用吊车使用服务，并提供前端设备所需的设备引电服务、电表申请以及3年使用电费服务；</w:t>
            </w:r>
          </w:p>
          <w:p w14:paraId="5EF394FC">
            <w:pPr>
              <w:pStyle w:val="9"/>
              <w:spacing w:line="360" w:lineRule="auto"/>
              <w:rPr>
                <w:rFonts w:ascii="宋体" w:hAnsi="宋体" w:cs="Arial"/>
                <w:bCs/>
                <w:szCs w:val="21"/>
              </w:rPr>
            </w:pPr>
            <w:r>
              <w:rPr>
                <w:rFonts w:hint="eastAsia" w:ascii="宋体" w:hAnsi="宋体" w:cs="宋体"/>
                <w:szCs w:val="21"/>
              </w:rPr>
              <w:t>2、提供满足上述服务的基础服务，包含：过路管道开挖服务、400*400*400MM手井制作服务、杆件防雷接地服务等。</w:t>
            </w:r>
          </w:p>
        </w:tc>
        <w:tc>
          <w:tcPr>
            <w:tcW w:w="709" w:type="dxa"/>
            <w:vAlign w:val="center"/>
          </w:tcPr>
          <w:p w14:paraId="26C5E474">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673" w:type="dxa"/>
            <w:vAlign w:val="center"/>
          </w:tcPr>
          <w:p w14:paraId="05F91D5D">
            <w:pPr>
              <w:autoSpaceDE w:val="0"/>
              <w:autoSpaceDN w:val="0"/>
              <w:adjustRightIn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34" w:type="dxa"/>
            <w:vAlign w:val="center"/>
          </w:tcPr>
          <w:p w14:paraId="15E8865D">
            <w:pPr>
              <w:autoSpaceDE w:val="0"/>
              <w:autoSpaceDN w:val="0"/>
              <w:adjustRightIn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r>
              <w:rPr>
                <w:rFonts w:cs="仿宋" w:asciiTheme="minorEastAsia" w:hAnsiTheme="minorEastAsia" w:eastAsiaTheme="minorEastAsia"/>
                <w:szCs w:val="21"/>
              </w:rPr>
              <w:t>73288</w:t>
            </w:r>
          </w:p>
        </w:tc>
      </w:tr>
      <w:tr w14:paraId="087E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673" w:type="dxa"/>
            <w:vAlign w:val="center"/>
          </w:tcPr>
          <w:p w14:paraId="70C76FA5">
            <w:pPr>
              <w:tabs>
                <w:tab w:val="left" w:pos="525"/>
              </w:tabs>
              <w:spacing w:line="380" w:lineRule="exact"/>
              <w:ind w:left="105"/>
              <w:jc w:val="center"/>
              <w:rPr>
                <w:rFonts w:ascii="宋体" w:hAnsi="宋体"/>
                <w:szCs w:val="21"/>
              </w:rPr>
            </w:pPr>
            <w:r>
              <w:rPr>
                <w:rFonts w:hint="eastAsia" w:ascii="宋体" w:hAnsi="宋体"/>
                <w:szCs w:val="21"/>
              </w:rPr>
              <w:t>2</w:t>
            </w:r>
          </w:p>
        </w:tc>
        <w:tc>
          <w:tcPr>
            <w:tcW w:w="1057" w:type="dxa"/>
            <w:gridSpan w:val="2"/>
            <w:vAlign w:val="center"/>
          </w:tcPr>
          <w:p w14:paraId="2E130979">
            <w:pPr>
              <w:widowControl/>
              <w:spacing w:line="380" w:lineRule="exact"/>
              <w:jc w:val="center"/>
              <w:textAlignment w:val="center"/>
              <w:rPr>
                <w:rFonts w:ascii="宋体" w:hAnsi="宋体" w:cs="Arial"/>
                <w:bCs/>
                <w:szCs w:val="21"/>
              </w:rPr>
            </w:pPr>
            <w:r>
              <w:rPr>
                <w:rFonts w:hint="eastAsia" w:ascii="宋体" w:hAnsi="宋体" w:cs="Arial"/>
                <w:bCs/>
                <w:szCs w:val="21"/>
              </w:rPr>
              <w:t>违规变道（压线）电子警察系统服务</w:t>
            </w:r>
          </w:p>
        </w:tc>
        <w:tc>
          <w:tcPr>
            <w:tcW w:w="6379" w:type="dxa"/>
            <w:vAlign w:val="center"/>
          </w:tcPr>
          <w:p w14:paraId="4B5A8848">
            <w:pPr>
              <w:pStyle w:val="40"/>
              <w:spacing w:line="360" w:lineRule="auto"/>
              <w:jc w:val="left"/>
              <w:rPr>
                <w:rFonts w:ascii="宋体" w:hAnsi="宋体" w:cs="宋体"/>
                <w:b/>
                <w:bCs/>
                <w:szCs w:val="21"/>
              </w:rPr>
            </w:pPr>
            <w:r>
              <w:rPr>
                <w:rFonts w:hint="eastAsia" w:ascii="宋体" w:hAnsi="宋体" w:cs="宋体"/>
                <w:b/>
                <w:bCs/>
                <w:szCs w:val="21"/>
              </w:rPr>
              <w:t>（一）服务要求</w:t>
            </w:r>
          </w:p>
          <w:p w14:paraId="6B2B149D">
            <w:pPr>
              <w:pStyle w:val="40"/>
              <w:spacing w:line="360" w:lineRule="auto"/>
              <w:ind w:firstLine="400"/>
              <w:jc w:val="left"/>
              <w:rPr>
                <w:rFonts w:ascii="宋体" w:hAnsi="宋体" w:cs="宋体"/>
                <w:szCs w:val="21"/>
              </w:rPr>
            </w:pPr>
            <w:r>
              <w:rPr>
                <w:rFonts w:hint="eastAsia" w:ascii="宋体" w:hAnsi="宋体" w:cs="宋体"/>
                <w:kern w:val="0"/>
                <w:szCs w:val="21"/>
                <w:lang w:bidi="ar"/>
              </w:rPr>
              <w:t>1、在选定位置完成</w:t>
            </w:r>
            <w:r>
              <w:rPr>
                <w:rFonts w:hint="eastAsia" w:ascii="宋体" w:hAnsi="宋体" w:cs="宋体"/>
                <w:szCs w:val="21"/>
              </w:rPr>
              <w:t>提供</w:t>
            </w:r>
            <w:bookmarkStart w:id="109" w:name="OLE_LINK2"/>
            <w:r>
              <w:rPr>
                <w:rFonts w:hint="eastAsia" w:ascii="宋体" w:hAnsi="宋体" w:cs="宋体"/>
                <w:szCs w:val="21"/>
              </w:rPr>
              <w:t>3套环保抓拍电警视频采集服务</w:t>
            </w:r>
            <w:bookmarkEnd w:id="109"/>
            <w:r>
              <w:rPr>
                <w:rFonts w:hint="eastAsia" w:ascii="宋体" w:hAnsi="宋体" w:cs="宋体"/>
                <w:szCs w:val="21"/>
              </w:rPr>
              <w:t>、</w:t>
            </w:r>
            <w:bookmarkStart w:id="110" w:name="OLE_LINK3"/>
            <w:r>
              <w:rPr>
                <w:rFonts w:hint="eastAsia" w:ascii="宋体" w:hAnsi="宋体" w:cs="宋体"/>
                <w:szCs w:val="21"/>
              </w:rPr>
              <w:t>提供6套环保补光灯产品配套服务</w:t>
            </w:r>
            <w:bookmarkEnd w:id="110"/>
            <w:r>
              <w:rPr>
                <w:rFonts w:hint="eastAsia" w:ascii="宋体" w:hAnsi="宋体" w:cs="宋体"/>
                <w:szCs w:val="21"/>
              </w:rPr>
              <w:t>、</w:t>
            </w:r>
            <w:bookmarkStart w:id="111" w:name="OLE_LINK4"/>
            <w:r>
              <w:rPr>
                <w:rFonts w:hint="eastAsia" w:ascii="宋体" w:hAnsi="宋体" w:cs="宋体"/>
                <w:szCs w:val="21"/>
              </w:rPr>
              <w:t>提供3套智能枪球一体机视频采集服务</w:t>
            </w:r>
            <w:bookmarkEnd w:id="111"/>
            <w:r>
              <w:rPr>
                <w:rFonts w:hint="eastAsia" w:ascii="宋体" w:hAnsi="宋体" w:cs="宋体"/>
                <w:szCs w:val="21"/>
              </w:rPr>
              <w:t>、</w:t>
            </w:r>
            <w:bookmarkStart w:id="112" w:name="OLE_LINK5"/>
            <w:r>
              <w:rPr>
                <w:rFonts w:hint="eastAsia" w:ascii="宋体" w:hAnsi="宋体" w:cs="宋体"/>
                <w:szCs w:val="21"/>
              </w:rPr>
              <w:t>提供3套智能监控设备箱服务</w:t>
            </w:r>
            <w:bookmarkEnd w:id="112"/>
            <w:r>
              <w:rPr>
                <w:rFonts w:hint="eastAsia" w:ascii="宋体" w:hAnsi="宋体" w:cs="宋体"/>
                <w:szCs w:val="21"/>
              </w:rPr>
              <w:t>、</w:t>
            </w:r>
            <w:bookmarkStart w:id="113" w:name="OLE_LINK7"/>
            <w:r>
              <w:rPr>
                <w:rFonts w:hint="eastAsia" w:ascii="宋体" w:hAnsi="宋体" w:cs="宋体"/>
                <w:szCs w:val="21"/>
              </w:rPr>
              <w:t>提供3套配套标志标牌服务</w:t>
            </w:r>
            <w:bookmarkEnd w:id="113"/>
            <w:r>
              <w:rPr>
                <w:rFonts w:hint="eastAsia" w:ascii="宋体" w:hAnsi="宋体" w:cs="宋体"/>
                <w:szCs w:val="21"/>
              </w:rPr>
              <w:t>、</w:t>
            </w:r>
            <w:bookmarkStart w:id="114" w:name="OLE_LINK8"/>
            <w:r>
              <w:rPr>
                <w:rFonts w:hint="eastAsia" w:ascii="宋体" w:hAnsi="宋体" w:cs="宋体"/>
                <w:szCs w:val="21"/>
              </w:rPr>
              <w:t>提供3套前端点位配套立杆服务</w:t>
            </w:r>
            <w:bookmarkEnd w:id="114"/>
            <w:r>
              <w:rPr>
                <w:rFonts w:hint="eastAsia" w:ascii="宋体" w:hAnsi="宋体" w:cs="宋体"/>
                <w:szCs w:val="21"/>
              </w:rPr>
              <w:t>、</w:t>
            </w:r>
            <w:bookmarkStart w:id="115" w:name="OLE_LINK9"/>
            <w:r>
              <w:rPr>
                <w:rFonts w:hint="eastAsia" w:ascii="宋体" w:hAnsi="宋体" w:cs="宋体"/>
                <w:szCs w:val="21"/>
              </w:rPr>
              <w:t>提供1项系统集成及其他服务</w:t>
            </w:r>
            <w:bookmarkEnd w:id="115"/>
            <w:r>
              <w:rPr>
                <w:rFonts w:hint="eastAsia" w:ascii="宋体" w:hAnsi="宋体" w:cs="宋体"/>
                <w:szCs w:val="21"/>
              </w:rPr>
              <w:t>。</w:t>
            </w:r>
          </w:p>
          <w:p w14:paraId="6EC2AF70">
            <w:pPr>
              <w:pStyle w:val="40"/>
              <w:spacing w:line="360" w:lineRule="auto"/>
              <w:jc w:val="left"/>
              <w:rPr>
                <w:rFonts w:ascii="宋体" w:hAnsi="宋体" w:cs="宋体"/>
                <w:b/>
                <w:bCs/>
                <w:szCs w:val="21"/>
              </w:rPr>
            </w:pPr>
            <w:r>
              <w:rPr>
                <w:rFonts w:hint="eastAsia" w:ascii="宋体" w:hAnsi="宋体" w:cs="宋体"/>
                <w:b/>
                <w:bCs/>
                <w:szCs w:val="21"/>
              </w:rPr>
              <w:t>（二）</w:t>
            </w:r>
            <w:r>
              <w:rPr>
                <w:rFonts w:hint="eastAsia" w:ascii="宋体" w:hAnsi="宋体" w:cs="宋体"/>
                <w:b/>
                <w:bCs/>
                <w:kern w:val="0"/>
                <w:szCs w:val="21"/>
                <w:lang w:bidi="ar"/>
              </w:rPr>
              <w:t>具体服务指标要求如下</w:t>
            </w:r>
            <w:r>
              <w:rPr>
                <w:rFonts w:hint="eastAsia" w:ascii="宋体" w:hAnsi="宋体" w:cs="宋体"/>
                <w:b/>
                <w:bCs/>
                <w:kern w:val="0"/>
                <w:szCs w:val="21"/>
              </w:rPr>
              <w:t>（各项</w:t>
            </w:r>
            <w:r>
              <w:rPr>
                <w:rFonts w:hint="eastAsia" w:ascii="宋体" w:hAnsi="宋体" w:cs="宋体"/>
                <w:b/>
                <w:bCs/>
                <w:szCs w:val="21"/>
              </w:rPr>
              <w:t>服务涉及硬件的，需在偏离表中提供服务所需硬件的品牌、规格型号）</w:t>
            </w:r>
          </w:p>
          <w:p w14:paraId="3DD144D0">
            <w:pPr>
              <w:widowControl/>
              <w:spacing w:line="360" w:lineRule="auto"/>
              <w:jc w:val="left"/>
              <w:textAlignment w:val="center"/>
              <w:rPr>
                <w:rFonts w:ascii="宋体" w:hAnsi="宋体" w:cs="宋体"/>
                <w:b/>
                <w:bCs/>
                <w:kern w:val="0"/>
                <w:szCs w:val="21"/>
                <w:lang w:bidi="ar"/>
              </w:rPr>
            </w:pPr>
            <w:bookmarkStart w:id="116" w:name="OLE_LINK10"/>
            <w:r>
              <w:rPr>
                <w:rFonts w:hint="eastAsia" w:ascii="宋体" w:hAnsi="宋体" w:cs="宋体"/>
                <w:b/>
                <w:bCs/>
                <w:szCs w:val="21"/>
              </w:rPr>
              <w:t>一、</w:t>
            </w:r>
            <w:r>
              <w:rPr>
                <w:rFonts w:hint="eastAsia" w:ascii="宋体" w:hAnsi="宋体" w:cs="宋体"/>
                <w:b/>
                <w:bCs/>
                <w:kern w:val="0"/>
                <w:szCs w:val="21"/>
                <w:lang w:bidi="ar"/>
              </w:rPr>
              <w:t>提供</w:t>
            </w:r>
            <w:r>
              <w:rPr>
                <w:rFonts w:hint="eastAsia" w:ascii="宋体" w:hAnsi="宋体" w:cs="宋体"/>
                <w:b/>
                <w:szCs w:val="21"/>
              </w:rPr>
              <w:t>3套环保抓拍电警视频采集服务</w:t>
            </w:r>
            <w:r>
              <w:rPr>
                <w:rFonts w:hint="eastAsia" w:ascii="宋体" w:hAnsi="宋体" w:cs="宋体"/>
                <w:b/>
                <w:bCs/>
                <w:kern w:val="0"/>
                <w:szCs w:val="21"/>
                <w:lang w:bidi="ar"/>
              </w:rPr>
              <w:t>，需具备以下功能：</w:t>
            </w:r>
          </w:p>
          <w:p w14:paraId="2049B369">
            <w:pPr>
              <w:pStyle w:val="9"/>
              <w:spacing w:line="360" w:lineRule="auto"/>
              <w:jc w:val="left"/>
              <w:rPr>
                <w:rFonts w:ascii="宋体" w:hAnsi="宋体" w:cs="宋体"/>
                <w:szCs w:val="21"/>
              </w:rPr>
            </w:pPr>
            <w:r>
              <w:rPr>
                <w:rFonts w:hint="eastAsia" w:ascii="宋体" w:hAnsi="宋体" w:cs="宋体"/>
                <w:szCs w:val="21"/>
              </w:rPr>
              <w:t xml:space="preserve">1、像素≥900万，采用≥1英寸GMOS传感器，包含高清一体化嵌入式摄像机、高清镜头、室外防护罩、相机内置网络信号防雷器、电源适配器等，抓拍单元防护罩面板具有防尘防水滴功能，且内置LED补光灯。 </w:t>
            </w:r>
          </w:p>
          <w:p w14:paraId="46748070">
            <w:pPr>
              <w:pStyle w:val="9"/>
              <w:spacing w:line="360" w:lineRule="auto"/>
              <w:jc w:val="left"/>
              <w:rPr>
                <w:rFonts w:ascii="宋体" w:hAnsi="宋体" w:cs="宋体"/>
                <w:szCs w:val="21"/>
              </w:rPr>
            </w:pPr>
            <w:r>
              <w:rPr>
                <w:rFonts w:hint="eastAsia" w:ascii="宋体" w:hAnsi="宋体" w:cs="宋体"/>
                <w:szCs w:val="21"/>
              </w:rPr>
              <w:t xml:space="preserve">2、支持主码流同时输出不少于30路4096×2160、2Mbps的25帧/s图像以提供客户端浏览。 </w:t>
            </w:r>
          </w:p>
          <w:p w14:paraId="7E70127D">
            <w:pPr>
              <w:pStyle w:val="9"/>
              <w:spacing w:line="360" w:lineRule="auto"/>
              <w:jc w:val="left"/>
              <w:rPr>
                <w:rFonts w:ascii="宋体" w:hAnsi="宋体" w:cs="宋体"/>
                <w:szCs w:val="21"/>
              </w:rPr>
            </w:pPr>
            <w:r>
              <w:rPr>
                <w:rFonts w:hint="eastAsia" w:ascii="宋体" w:hAnsi="宋体" w:cs="宋体"/>
                <w:szCs w:val="21"/>
              </w:rPr>
              <w:t>3、</w:t>
            </w:r>
            <w:r>
              <w:rPr>
                <w:szCs w:val="21"/>
              </w:rPr>
              <w:t>▲</w:t>
            </w:r>
            <w:r>
              <w:rPr>
                <w:rFonts w:hint="eastAsia" w:ascii="宋体" w:hAnsi="宋体" w:cs="宋体"/>
                <w:szCs w:val="21"/>
              </w:rPr>
              <w:t>在满足GA/T 1202-2022一级补光标准，补光≤20lx 的前提下，抓拍图片满足 GA/T 832-2014标准中3.6.1要求， 配套符合GA/T 1202-2022标准的一级补光灯，设备抓拍车牌、车身颜色、车内前排人脸及衣着均清晰可见。</w:t>
            </w:r>
          </w:p>
          <w:p w14:paraId="2C824264">
            <w:pPr>
              <w:pStyle w:val="9"/>
              <w:spacing w:line="360" w:lineRule="auto"/>
              <w:jc w:val="left"/>
              <w:rPr>
                <w:rFonts w:ascii="宋体" w:hAnsi="宋体" w:cs="宋体"/>
                <w:szCs w:val="21"/>
              </w:rPr>
            </w:pPr>
            <w:r>
              <w:rPr>
                <w:rFonts w:hint="eastAsia" w:ascii="宋体" w:hAnsi="宋体" w:cs="宋体"/>
                <w:szCs w:val="21"/>
              </w:rPr>
              <w:t>4、</w:t>
            </w:r>
            <w:r>
              <w:rPr>
                <w:rFonts w:hint="eastAsia" w:ascii="Segoe UI Emoji" w:hAnsi="Segoe UI Emoji" w:eastAsia="Segoe UI Emoji" w:cs="Segoe UI Emoji"/>
                <w:szCs w:val="21"/>
              </w:rPr>
              <w:t>▲</w:t>
            </w:r>
            <w:r>
              <w:rPr>
                <w:rFonts w:hint="eastAsia" w:ascii="宋体" w:hAnsi="宋体" w:cs="宋体"/>
                <w:szCs w:val="21"/>
              </w:rPr>
              <w:t>支持车辆抓拍，支持抓拍输出车牌局部照片、车窗局部照片、非机动车局部照片、场景全景图片，支持设置车辆抓拍位置到立杆的架设距离、设备架设高度，并在视频图像中显示位置信息。</w:t>
            </w:r>
          </w:p>
          <w:p w14:paraId="1C39CF45">
            <w:pPr>
              <w:pStyle w:val="9"/>
              <w:spacing w:line="360" w:lineRule="auto"/>
              <w:jc w:val="left"/>
              <w:rPr>
                <w:rFonts w:ascii="宋体" w:hAnsi="宋体" w:cs="宋体"/>
                <w:szCs w:val="21"/>
              </w:rPr>
            </w:pPr>
            <w:r>
              <w:rPr>
                <w:rFonts w:hint="eastAsia" w:ascii="宋体" w:hAnsi="宋体" w:cs="宋体"/>
                <w:szCs w:val="21"/>
              </w:rPr>
              <w:t xml:space="preserve">5、支持车辆子品牌识别并显示相应的年款，车头≥7500种，车尾≥3900种，全天识别准确率不低于99%。 </w:t>
            </w:r>
          </w:p>
          <w:p w14:paraId="70D154D8">
            <w:pPr>
              <w:pStyle w:val="9"/>
              <w:spacing w:line="360" w:lineRule="auto"/>
              <w:jc w:val="left"/>
              <w:rPr>
                <w:rFonts w:ascii="宋体" w:hAnsi="宋体" w:cs="宋体"/>
                <w:szCs w:val="21"/>
              </w:rPr>
            </w:pPr>
            <w:r>
              <w:rPr>
                <w:rFonts w:hint="eastAsia" w:ascii="宋体" w:hAnsi="宋体" w:cs="宋体"/>
                <w:szCs w:val="21"/>
              </w:rPr>
              <w:t>6、</w:t>
            </w:r>
            <w:r>
              <w:rPr>
                <w:rFonts w:hint="eastAsia" w:ascii="Segoe UI Emoji" w:hAnsi="Segoe UI Emoji" w:eastAsia="Segoe UI Emoji" w:cs="Segoe UI Emoji"/>
                <w:szCs w:val="21"/>
              </w:rPr>
              <w:t>▲</w:t>
            </w:r>
            <w:r>
              <w:rPr>
                <w:rFonts w:hint="eastAsia" w:ascii="宋体" w:hAnsi="宋体" w:cs="宋体"/>
                <w:szCs w:val="21"/>
              </w:rPr>
              <w:t>支持检测并跟踪指定区域内不少于245 个目标，目标包括机动车、非机动车以及行人。</w:t>
            </w:r>
          </w:p>
          <w:p w14:paraId="29B0C6F3">
            <w:pPr>
              <w:pStyle w:val="9"/>
              <w:spacing w:line="360" w:lineRule="auto"/>
              <w:jc w:val="left"/>
              <w:rPr>
                <w:rFonts w:ascii="宋体" w:hAnsi="宋体" w:cs="宋体"/>
                <w:szCs w:val="21"/>
              </w:rPr>
            </w:pPr>
            <w:r>
              <w:rPr>
                <w:rFonts w:hint="eastAsia" w:ascii="宋体" w:hAnsi="宋体" w:cs="宋体"/>
                <w:szCs w:val="21"/>
              </w:rPr>
              <w:t>7、</w:t>
            </w:r>
            <w:r>
              <w:rPr>
                <w:rFonts w:hint="eastAsia" w:ascii="Segoe UI Emoji" w:hAnsi="Segoe UI Emoji" w:eastAsia="Segoe UI Emoji" w:cs="Segoe UI Emoji"/>
                <w:szCs w:val="21"/>
              </w:rPr>
              <w:t>▲</w:t>
            </w:r>
            <w:r>
              <w:rPr>
                <w:rFonts w:hint="eastAsia" w:ascii="宋体" w:hAnsi="宋体" w:cs="宋体"/>
                <w:szCs w:val="21"/>
              </w:rPr>
              <w:t>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w:t>
            </w:r>
          </w:p>
          <w:p w14:paraId="7DCD2214">
            <w:pPr>
              <w:pStyle w:val="9"/>
              <w:spacing w:line="360" w:lineRule="auto"/>
              <w:jc w:val="left"/>
              <w:rPr>
                <w:rFonts w:ascii="宋体" w:hAnsi="宋体" w:cs="宋体"/>
                <w:szCs w:val="21"/>
              </w:rPr>
            </w:pPr>
            <w:r>
              <w:rPr>
                <w:rFonts w:hint="eastAsia" w:ascii="宋体" w:hAnsi="宋体" w:cs="宋体"/>
                <w:szCs w:val="21"/>
              </w:rPr>
              <w:t xml:space="preserve">8、支持黄标车标志检测、异常车牌、夜间未开车灯、行人人脸检测、非机动车驾驶员属性、车窗内挂件识别、年检贴检测、危险品车检测、车身副颜色等多种检测识别功能。 </w:t>
            </w:r>
          </w:p>
          <w:p w14:paraId="41A1563F">
            <w:pPr>
              <w:pStyle w:val="9"/>
              <w:spacing w:line="360" w:lineRule="auto"/>
              <w:jc w:val="left"/>
              <w:rPr>
                <w:rFonts w:ascii="宋体" w:hAnsi="宋体" w:cs="宋体"/>
                <w:szCs w:val="21"/>
              </w:rPr>
            </w:pPr>
            <w:r>
              <w:rPr>
                <w:rFonts w:hint="eastAsia" w:ascii="宋体" w:hAnsi="宋体" w:cs="宋体"/>
                <w:szCs w:val="21"/>
              </w:rPr>
              <w:t xml:space="preserve">9、具有抓拍黄牌车、蓝牌车，绿牌车、渐变绿牌车、黑牌车、黄绿双拼牌车、白牌车、红牌车和不启用抓拍九个设置选项。支持对蓝色、黄色、绿色、渐变绿色、黑色、黄绿双拼色、白色、红色以及其他不同颜色车牌的车辆进行选择抓拍。 </w:t>
            </w:r>
          </w:p>
          <w:p w14:paraId="657687D3">
            <w:pPr>
              <w:pStyle w:val="9"/>
              <w:spacing w:line="360" w:lineRule="auto"/>
              <w:jc w:val="left"/>
              <w:rPr>
                <w:rFonts w:ascii="宋体" w:hAnsi="宋体" w:cs="宋体"/>
                <w:szCs w:val="21"/>
              </w:rPr>
            </w:pPr>
            <w:r>
              <w:rPr>
                <w:rFonts w:hint="eastAsia" w:ascii="宋体" w:hAnsi="宋体" w:cs="宋体"/>
                <w:szCs w:val="21"/>
              </w:rPr>
              <w:t xml:space="preserve">10、抓拍图片具备智能压缩技术，可以保证在主体目标清晰的情况下压缩图片整体大小，平均压缩率可达到原图大小的30%。 </w:t>
            </w:r>
          </w:p>
          <w:p w14:paraId="0F459ACC">
            <w:pPr>
              <w:pStyle w:val="9"/>
              <w:spacing w:line="360" w:lineRule="auto"/>
              <w:jc w:val="left"/>
              <w:rPr>
                <w:rFonts w:ascii="宋体" w:hAnsi="宋体" w:cs="宋体"/>
                <w:szCs w:val="21"/>
              </w:rPr>
            </w:pPr>
            <w:r>
              <w:rPr>
                <w:rFonts w:hint="eastAsia" w:ascii="宋体" w:hAnsi="宋体" w:cs="宋体"/>
                <w:szCs w:val="21"/>
              </w:rPr>
              <w:t>11、</w:t>
            </w:r>
            <w:r>
              <w:rPr>
                <w:rFonts w:hint="eastAsia" w:ascii="Segoe UI Emoji" w:hAnsi="Segoe UI Emoji" w:eastAsia="Segoe UI Emoji" w:cs="Segoe UI Emoji"/>
                <w:szCs w:val="21"/>
              </w:rPr>
              <w:t>▲</w:t>
            </w:r>
            <w:r>
              <w:rPr>
                <w:rFonts w:hint="eastAsia" w:ascii="宋体" w:hAnsi="宋体" w:cs="宋体"/>
                <w:szCs w:val="21"/>
              </w:rPr>
              <w:t>支持识别不少于50种车型，支持分别对≥11种车型（大货车、中货车、小货车、客车、小轿车、中客车、危险品运输车、校车、面包车、环卫车、其他车型）进行不同超速比设置，可设置≥18个超速比区间。在相同道路上，设备支持根据不同的超速比设置对不同车型进行超速抓拍，并输出不同的超速抓拍结果及违法代码。</w:t>
            </w:r>
          </w:p>
          <w:p w14:paraId="7C504239">
            <w:pPr>
              <w:pStyle w:val="9"/>
              <w:spacing w:line="360" w:lineRule="auto"/>
              <w:jc w:val="left"/>
              <w:rPr>
                <w:rFonts w:ascii="宋体" w:hAnsi="宋体" w:cs="宋体"/>
                <w:szCs w:val="21"/>
              </w:rPr>
            </w:pPr>
            <w:r>
              <w:rPr>
                <w:rFonts w:hint="eastAsia" w:ascii="宋体" w:hAnsi="宋体" w:cs="宋体"/>
                <w:szCs w:val="21"/>
              </w:rPr>
              <w:t>12、支持机动车、二轮车（摩托车、自行车、电动二轮车）、三轮车和行人分类检测。</w:t>
            </w:r>
          </w:p>
          <w:p w14:paraId="2E0974CD">
            <w:pPr>
              <w:pStyle w:val="9"/>
              <w:spacing w:line="360" w:lineRule="auto"/>
              <w:jc w:val="left"/>
              <w:rPr>
                <w:rFonts w:ascii="宋体" w:hAnsi="宋体" w:cs="宋体"/>
                <w:szCs w:val="21"/>
              </w:rPr>
            </w:pPr>
            <w:r>
              <w:rPr>
                <w:rFonts w:hint="eastAsia" w:ascii="宋体" w:hAnsi="宋体" w:cs="宋体"/>
                <w:szCs w:val="21"/>
              </w:rPr>
              <w:t xml:space="preserve">13、支持按车道和时间段配置机动车违法检测抓拍规则，包括压线、违法变道、不按导向行驶、占用非机动车道、倒车、闯红灯、不按规定车道行驶、占用公交车道、逆行、违反禁止左/右转、违法掉头、违反禁货车通行。 </w:t>
            </w:r>
          </w:p>
          <w:p w14:paraId="3BD2AC1F">
            <w:pPr>
              <w:pStyle w:val="9"/>
              <w:spacing w:line="360" w:lineRule="auto"/>
              <w:jc w:val="left"/>
              <w:rPr>
                <w:rFonts w:ascii="宋体" w:hAnsi="宋体" w:cs="宋体"/>
                <w:szCs w:val="21"/>
              </w:rPr>
            </w:pPr>
            <w:r>
              <w:rPr>
                <w:rFonts w:hint="eastAsia" w:ascii="宋体" w:hAnsi="宋体" w:cs="宋体"/>
                <w:szCs w:val="21"/>
              </w:rPr>
              <w:t>14、</w:t>
            </w:r>
            <w:r>
              <w:rPr>
                <w:rFonts w:hint="eastAsia" w:ascii="Segoe UI Emoji" w:hAnsi="Segoe UI Emoji" w:eastAsia="Segoe UI Emoji" w:cs="Segoe UI Emoji"/>
                <w:szCs w:val="21"/>
              </w:rPr>
              <w:t>▲</w:t>
            </w:r>
            <w:r>
              <w:rPr>
                <w:rFonts w:hint="eastAsia" w:ascii="宋体" w:hAnsi="宋体" w:cs="宋体"/>
                <w:szCs w:val="21"/>
              </w:rPr>
              <w:t>支持对25×10 像素～1100×3000 像素的机动车车牌进行抓拍并识别；支持识别并抓拍垂直倾斜角度≤</w:t>
            </w:r>
            <w:r>
              <w:rPr>
                <w:rFonts w:ascii="宋体" w:hAnsi="宋体" w:cs="宋体"/>
                <w:szCs w:val="21"/>
              </w:rPr>
              <w:t>4</w:t>
            </w:r>
            <w:r>
              <w:rPr>
                <w:rFonts w:hint="eastAsia" w:ascii="宋体" w:hAnsi="宋体" w:cs="宋体"/>
                <w:szCs w:val="21"/>
              </w:rPr>
              <w:t>5°、水平倾斜角度≤35°、俯仰角度≤40°的机动车车牌。</w:t>
            </w:r>
          </w:p>
          <w:p w14:paraId="1C21FE53">
            <w:pPr>
              <w:pStyle w:val="9"/>
              <w:spacing w:line="360" w:lineRule="auto"/>
              <w:jc w:val="left"/>
              <w:rPr>
                <w:rFonts w:ascii="宋体" w:hAnsi="宋体" w:cs="宋体"/>
                <w:szCs w:val="21"/>
              </w:rPr>
            </w:pPr>
            <w:r>
              <w:rPr>
                <w:rFonts w:hint="eastAsia" w:ascii="宋体" w:hAnsi="宋体" w:cs="宋体"/>
                <w:szCs w:val="21"/>
              </w:rPr>
              <w:t>15、在天气晴朗无雾，车辆无遮挡，号牌无污损白天环境光照度≥ 200lx，夜晚辅助光照度≥30lx的情况下进行测试；白天车牌号识别准确率≥99%，晚上车牌号识别准确率≥99%； 白天车身颜色识别准确率≥98%，晚上车身颜色识别准确率≥98%； 白天车辆类型识别准确率≥99%，晚上车辆类型识别准确率≥99%。</w:t>
            </w:r>
          </w:p>
          <w:p w14:paraId="5F26808E">
            <w:pPr>
              <w:pStyle w:val="9"/>
              <w:spacing w:line="360" w:lineRule="auto"/>
              <w:jc w:val="left"/>
              <w:rPr>
                <w:rFonts w:ascii="宋体" w:hAnsi="宋体" w:cs="宋体"/>
                <w:szCs w:val="21"/>
              </w:rPr>
            </w:pPr>
            <w:r>
              <w:rPr>
                <w:rFonts w:hint="eastAsia" w:ascii="宋体" w:hAnsi="宋体" w:cs="宋体"/>
                <w:szCs w:val="21"/>
              </w:rPr>
              <w:t>16、支持根据现场违章抓拍需求通过web界面设置事件优先度，事件优先度1～18可设，设置后可按事件优先度进行违章抓拍及图片存储。</w:t>
            </w:r>
          </w:p>
          <w:p w14:paraId="631EAF96">
            <w:pPr>
              <w:widowControl/>
              <w:spacing w:line="360" w:lineRule="auto"/>
              <w:jc w:val="left"/>
              <w:textAlignment w:val="center"/>
              <w:rPr>
                <w:rFonts w:ascii="宋体" w:hAnsi="宋体" w:cs="宋体"/>
                <w:b/>
                <w:bCs/>
                <w:kern w:val="0"/>
                <w:szCs w:val="21"/>
                <w:lang w:bidi="ar"/>
              </w:rPr>
            </w:pPr>
            <w:r>
              <w:rPr>
                <w:rFonts w:hint="eastAsia" w:ascii="宋体" w:hAnsi="宋体" w:cs="宋体"/>
                <w:b/>
                <w:bCs/>
                <w:szCs w:val="21"/>
              </w:rPr>
              <w:t>二、</w:t>
            </w:r>
            <w:r>
              <w:rPr>
                <w:rFonts w:hint="eastAsia" w:ascii="宋体" w:hAnsi="宋体" w:cs="宋体"/>
                <w:b/>
                <w:szCs w:val="21"/>
              </w:rPr>
              <w:t>提供6套环保补光灯产品配套服务</w:t>
            </w:r>
            <w:r>
              <w:rPr>
                <w:rFonts w:hint="eastAsia" w:ascii="宋体" w:hAnsi="宋体" w:cs="宋体"/>
                <w:b/>
                <w:bCs/>
                <w:kern w:val="0"/>
                <w:szCs w:val="21"/>
                <w:lang w:bidi="ar"/>
              </w:rPr>
              <w:t>，需具备以下功能：</w:t>
            </w:r>
          </w:p>
          <w:p w14:paraId="2B42EBD4">
            <w:pPr>
              <w:pStyle w:val="9"/>
              <w:spacing w:line="360" w:lineRule="auto"/>
              <w:jc w:val="left"/>
              <w:rPr>
                <w:rFonts w:ascii="宋体" w:hAnsi="宋体" w:cs="宋体"/>
                <w:szCs w:val="21"/>
              </w:rPr>
            </w:pPr>
            <w:r>
              <w:rPr>
                <w:rFonts w:hint="eastAsia" w:ascii="宋体" w:hAnsi="宋体" w:cs="宋体"/>
                <w:szCs w:val="21"/>
              </w:rPr>
              <w:t>1、符合GA/T 1202-2022《交通技术监控成像补光装置通用技术条件》。</w:t>
            </w:r>
          </w:p>
          <w:p w14:paraId="415DF1CB">
            <w:pPr>
              <w:pStyle w:val="9"/>
              <w:spacing w:line="360" w:lineRule="auto"/>
              <w:jc w:val="left"/>
              <w:rPr>
                <w:rFonts w:ascii="宋体" w:hAnsi="宋体" w:cs="宋体"/>
                <w:szCs w:val="21"/>
              </w:rPr>
            </w:pPr>
            <w:r>
              <w:rPr>
                <w:rFonts w:hint="eastAsia" w:ascii="宋体" w:hAnsi="宋体" w:cs="宋体"/>
                <w:szCs w:val="21"/>
              </w:rPr>
              <w:t>2、补光装置光源包括LED光源（一级频闪）和气体放电光源（二级脉冲）。</w:t>
            </w:r>
          </w:p>
          <w:p w14:paraId="4C11C10D">
            <w:pPr>
              <w:pStyle w:val="9"/>
              <w:spacing w:line="360" w:lineRule="auto"/>
              <w:jc w:val="left"/>
              <w:rPr>
                <w:rFonts w:ascii="宋体" w:hAnsi="宋体" w:cs="宋体"/>
                <w:szCs w:val="21"/>
              </w:rPr>
            </w:pPr>
            <w:r>
              <w:rPr>
                <w:rFonts w:hint="eastAsia" w:ascii="宋体" w:hAnsi="宋体" w:cs="宋体"/>
                <w:szCs w:val="21"/>
              </w:rPr>
              <w:t>3、采用LED光源和气灯放电两种光源，LED光源呈圆形排布，气体补光控制具有峰值抑制功能。</w:t>
            </w:r>
          </w:p>
          <w:p w14:paraId="6027F46D">
            <w:pPr>
              <w:pStyle w:val="9"/>
              <w:spacing w:line="360" w:lineRule="auto"/>
              <w:jc w:val="left"/>
              <w:rPr>
                <w:rFonts w:ascii="宋体" w:hAnsi="宋体" w:cs="宋体"/>
                <w:szCs w:val="21"/>
              </w:rPr>
            </w:pPr>
            <w:r>
              <w:rPr>
                <w:rFonts w:hint="eastAsia" w:ascii="宋体" w:hAnsi="宋体" w:cs="宋体"/>
                <w:szCs w:val="21"/>
              </w:rPr>
              <w:t>4、覆盖范围为单车道，支持LED频闪、LED爆闪、白光气体爆闪等3种补光方式，可通过远程控制切换。</w:t>
            </w:r>
          </w:p>
          <w:p w14:paraId="77D8D83B">
            <w:pPr>
              <w:pStyle w:val="9"/>
              <w:spacing w:line="360" w:lineRule="auto"/>
              <w:jc w:val="left"/>
              <w:rPr>
                <w:rFonts w:ascii="宋体" w:hAnsi="宋体" w:cs="宋体"/>
                <w:szCs w:val="21"/>
              </w:rPr>
            </w:pPr>
            <w:r>
              <w:rPr>
                <w:rFonts w:hint="eastAsia" w:ascii="宋体" w:hAnsi="宋体" w:cs="宋体"/>
                <w:szCs w:val="21"/>
              </w:rPr>
              <w:t>5、具备但不限于以下接口：1路频闪触发输入，≥2路爆闪输入。</w:t>
            </w:r>
          </w:p>
          <w:p w14:paraId="54EC3915">
            <w:pPr>
              <w:pStyle w:val="9"/>
              <w:spacing w:line="360" w:lineRule="auto"/>
              <w:jc w:val="left"/>
              <w:rPr>
                <w:rFonts w:ascii="宋体" w:hAnsi="宋体" w:cs="宋体"/>
                <w:szCs w:val="21"/>
              </w:rPr>
            </w:pPr>
            <w:r>
              <w:rPr>
                <w:rFonts w:hint="eastAsia" w:ascii="宋体" w:hAnsi="宋体" w:cs="宋体"/>
                <w:szCs w:val="21"/>
              </w:rPr>
              <w:t>6、触发占空比 1%~39%，当占空比大于等于40%时进入自保护状态。</w:t>
            </w:r>
          </w:p>
          <w:p w14:paraId="0556B8F8">
            <w:pPr>
              <w:pStyle w:val="9"/>
              <w:spacing w:line="360" w:lineRule="auto"/>
              <w:jc w:val="left"/>
              <w:rPr>
                <w:rFonts w:ascii="宋体" w:hAnsi="宋体" w:cs="宋体"/>
                <w:szCs w:val="21"/>
              </w:rPr>
            </w:pPr>
            <w:r>
              <w:rPr>
                <w:rFonts w:hint="eastAsia" w:ascii="宋体" w:hAnsi="宋体" w:cs="宋体"/>
                <w:szCs w:val="21"/>
              </w:rPr>
              <w:t>7、支持相机误触发保护功能，触发信号输入异常时自动保护、且自动恢复。</w:t>
            </w:r>
          </w:p>
          <w:p w14:paraId="6B02A981">
            <w:pPr>
              <w:pStyle w:val="9"/>
              <w:spacing w:line="360" w:lineRule="auto"/>
              <w:jc w:val="left"/>
              <w:rPr>
                <w:rFonts w:ascii="宋体" w:hAnsi="宋体" w:cs="宋体"/>
                <w:szCs w:val="21"/>
              </w:rPr>
            </w:pPr>
            <w:r>
              <w:rPr>
                <w:rFonts w:hint="eastAsia" w:ascii="宋体" w:hAnsi="宋体" w:cs="宋体"/>
                <w:szCs w:val="21"/>
              </w:rPr>
              <w:t>8、气体光源回电时间小于67ms，支持超速连拍。</w:t>
            </w:r>
          </w:p>
          <w:p w14:paraId="602DA888">
            <w:pPr>
              <w:pStyle w:val="9"/>
              <w:spacing w:line="360" w:lineRule="auto"/>
              <w:jc w:val="left"/>
              <w:rPr>
                <w:rFonts w:ascii="宋体" w:hAnsi="宋体" w:cs="宋体"/>
                <w:szCs w:val="21"/>
              </w:rPr>
            </w:pPr>
            <w:r>
              <w:rPr>
                <w:rFonts w:hint="eastAsia" w:ascii="宋体" w:hAnsi="宋体" w:cs="宋体"/>
                <w:szCs w:val="21"/>
              </w:rPr>
              <w:t>9、防护等级≥IP66。</w:t>
            </w:r>
          </w:p>
          <w:p w14:paraId="52A74E2F">
            <w:pPr>
              <w:widowControl/>
              <w:spacing w:line="360" w:lineRule="auto"/>
              <w:jc w:val="left"/>
              <w:textAlignment w:val="center"/>
              <w:rPr>
                <w:rFonts w:ascii="宋体" w:hAnsi="宋体" w:cs="宋体"/>
                <w:b/>
                <w:bCs/>
                <w:kern w:val="0"/>
                <w:szCs w:val="21"/>
                <w:lang w:bidi="ar"/>
              </w:rPr>
            </w:pPr>
            <w:r>
              <w:rPr>
                <w:rFonts w:hint="eastAsia" w:ascii="宋体" w:hAnsi="宋体" w:cs="宋体"/>
                <w:b/>
                <w:bCs/>
                <w:szCs w:val="21"/>
              </w:rPr>
              <w:t>三</w:t>
            </w:r>
            <w:r>
              <w:rPr>
                <w:rFonts w:hint="eastAsia" w:ascii="宋体" w:hAnsi="宋体" w:cs="宋体"/>
                <w:b/>
                <w:bCs/>
                <w:kern w:val="0"/>
                <w:szCs w:val="21"/>
                <w:lang w:bidi="ar"/>
              </w:rPr>
              <w:t>、</w:t>
            </w:r>
            <w:r>
              <w:rPr>
                <w:rFonts w:hint="eastAsia" w:ascii="宋体" w:hAnsi="宋体" w:cs="宋体"/>
                <w:b/>
                <w:szCs w:val="21"/>
              </w:rPr>
              <w:t>提供3套智能枪球一体机视频采集服务</w:t>
            </w:r>
            <w:r>
              <w:rPr>
                <w:rFonts w:hint="eastAsia" w:ascii="宋体" w:hAnsi="宋体" w:cs="宋体"/>
                <w:b/>
                <w:bCs/>
                <w:kern w:val="0"/>
                <w:szCs w:val="21"/>
                <w:lang w:bidi="ar"/>
              </w:rPr>
              <w:t>，需具备以下功能：</w:t>
            </w:r>
            <w:bookmarkStart w:id="117" w:name="OLE_LINK6"/>
          </w:p>
          <w:p w14:paraId="776F46AD">
            <w:pPr>
              <w:pStyle w:val="9"/>
              <w:spacing w:line="360" w:lineRule="auto"/>
              <w:jc w:val="left"/>
              <w:rPr>
                <w:rFonts w:ascii="宋体" w:hAnsi="宋体" w:cs="宋体"/>
                <w:szCs w:val="21"/>
              </w:rPr>
            </w:pPr>
            <w:r>
              <w:rPr>
                <w:rFonts w:hint="eastAsia" w:ascii="宋体" w:hAnsi="宋体" w:cs="宋体"/>
                <w:szCs w:val="21"/>
              </w:rPr>
              <w:t>1、设备内置≥2个全景通道和≥1个细节通道，细节最大分辨率≥2688×1520。</w:t>
            </w:r>
          </w:p>
          <w:p w14:paraId="02F74061">
            <w:pPr>
              <w:pStyle w:val="9"/>
              <w:spacing w:line="360" w:lineRule="auto"/>
              <w:jc w:val="left"/>
              <w:rPr>
                <w:rFonts w:ascii="宋体" w:hAnsi="宋体" w:cs="宋体"/>
                <w:szCs w:val="21"/>
              </w:rPr>
            </w:pPr>
            <w:r>
              <w:rPr>
                <w:rFonts w:hint="eastAsia" w:ascii="宋体" w:hAnsi="宋体" w:cs="宋体"/>
                <w:szCs w:val="21"/>
              </w:rPr>
              <w:t>2、支持最低照度可达彩色≤0.0005lx，黑白≤0.0001lx。</w:t>
            </w:r>
          </w:p>
          <w:p w14:paraId="626D8182">
            <w:pPr>
              <w:pStyle w:val="9"/>
              <w:spacing w:line="360" w:lineRule="auto"/>
              <w:jc w:val="left"/>
              <w:rPr>
                <w:rFonts w:ascii="宋体" w:hAnsi="宋体" w:cs="宋体"/>
                <w:szCs w:val="21"/>
              </w:rPr>
            </w:pPr>
            <w:r>
              <w:rPr>
                <w:rFonts w:hint="eastAsia" w:ascii="宋体" w:hAnsi="宋体" w:cs="宋体"/>
                <w:szCs w:val="21"/>
              </w:rPr>
              <w:t>3、支持白光补光≥30米，红外补光≥100米。</w:t>
            </w:r>
          </w:p>
          <w:p w14:paraId="1E0E41E1">
            <w:pPr>
              <w:pStyle w:val="9"/>
              <w:spacing w:line="360" w:lineRule="auto"/>
              <w:jc w:val="left"/>
              <w:rPr>
                <w:rFonts w:ascii="宋体" w:hAnsi="宋体" w:cs="宋体"/>
                <w:szCs w:val="21"/>
              </w:rPr>
            </w:pPr>
            <w:r>
              <w:rPr>
                <w:rFonts w:hint="eastAsia" w:ascii="宋体" w:hAnsi="宋体" w:cs="宋体"/>
                <w:szCs w:val="21"/>
              </w:rPr>
              <w:t>4、设备设置为全景拼接模式下：可输出≥2个通道画面，全景通道支持分辨率设置≥3680 × 1656；设备设置为全景不拼接模式下：可输出≥3个通道画面，全景通道1和全景通道2支持分辨率设置为≥1920 × 1632。</w:t>
            </w:r>
          </w:p>
          <w:p w14:paraId="24022391">
            <w:pPr>
              <w:pStyle w:val="9"/>
              <w:spacing w:line="360" w:lineRule="auto"/>
              <w:jc w:val="left"/>
              <w:rPr>
                <w:rFonts w:ascii="宋体" w:hAnsi="宋体" w:cs="宋体"/>
                <w:szCs w:val="21"/>
              </w:rPr>
            </w:pPr>
            <w:r>
              <w:rPr>
                <w:rFonts w:hint="eastAsia" w:ascii="宋体" w:hAnsi="宋体" w:cs="宋体"/>
                <w:szCs w:val="21"/>
              </w:rPr>
              <w:t>5、细节通道支持≥25倍光学变倍，焦距≥4.8-120mm。</w:t>
            </w:r>
          </w:p>
          <w:p w14:paraId="011B2874">
            <w:pPr>
              <w:pStyle w:val="9"/>
              <w:spacing w:line="360" w:lineRule="auto"/>
              <w:jc w:val="left"/>
              <w:rPr>
                <w:rFonts w:ascii="宋体" w:hAnsi="宋体" w:cs="宋体"/>
                <w:szCs w:val="21"/>
              </w:rPr>
            </w:pPr>
            <w:r>
              <w:rPr>
                <w:rFonts w:hint="eastAsia" w:ascii="宋体" w:hAnsi="宋体" w:cs="宋体"/>
                <w:szCs w:val="21"/>
              </w:rPr>
              <w:t>6、全景通道1、2：支持水平:0°-90°，垂直0°-350°，轴心方向0°-350°，细节通道:水平:0°-360°垂直:-10°-90°。</w:t>
            </w:r>
          </w:p>
          <w:p w14:paraId="09EB9527">
            <w:pPr>
              <w:pStyle w:val="9"/>
              <w:spacing w:line="360" w:lineRule="auto"/>
              <w:jc w:val="left"/>
              <w:rPr>
                <w:rFonts w:ascii="宋体" w:hAnsi="宋体" w:cs="宋体"/>
                <w:szCs w:val="21"/>
              </w:rPr>
            </w:pPr>
            <w:r>
              <w:rPr>
                <w:rFonts w:hint="eastAsia" w:ascii="宋体" w:hAnsi="宋体" w:cs="宋体"/>
                <w:szCs w:val="21"/>
              </w:rPr>
              <w:t>7、</w:t>
            </w:r>
            <w:r>
              <w:rPr>
                <w:rFonts w:hint="eastAsia" w:ascii="Segoe UI Emoji" w:hAnsi="Segoe UI Emoji" w:eastAsia="Segoe UI Emoji" w:cs="Segoe UI Emoji"/>
                <w:szCs w:val="21"/>
              </w:rPr>
              <w:t>▲</w:t>
            </w:r>
            <w:r>
              <w:rPr>
                <w:rFonts w:hint="eastAsia" w:ascii="宋体" w:hAnsi="宋体" w:cs="宋体"/>
                <w:szCs w:val="21"/>
              </w:rPr>
              <w:t>设备支持双安装接口，1个为快速旋转安装接口，1个为多孔稳定安装接口。</w:t>
            </w:r>
          </w:p>
          <w:p w14:paraId="2DC5B6B0">
            <w:pPr>
              <w:pStyle w:val="9"/>
              <w:spacing w:line="360" w:lineRule="auto"/>
              <w:jc w:val="left"/>
              <w:rPr>
                <w:rFonts w:ascii="宋体" w:hAnsi="宋体" w:cs="宋体"/>
                <w:szCs w:val="21"/>
              </w:rPr>
            </w:pPr>
            <w:r>
              <w:rPr>
                <w:rFonts w:hint="eastAsia" w:ascii="宋体" w:hAnsi="宋体" w:cs="宋体"/>
                <w:szCs w:val="21"/>
              </w:rPr>
              <w:t>8、</w:t>
            </w:r>
            <w:r>
              <w:rPr>
                <w:rFonts w:hint="eastAsia" w:ascii="Segoe UI Emoji" w:hAnsi="Segoe UI Emoji" w:eastAsia="Segoe UI Emoji" w:cs="Segoe UI Emoji"/>
                <w:szCs w:val="21"/>
              </w:rPr>
              <w:t>▲</w:t>
            </w:r>
            <w:r>
              <w:rPr>
                <w:rFonts w:hint="eastAsia" w:ascii="宋体" w:hAnsi="宋体" w:cs="宋体"/>
                <w:szCs w:val="21"/>
              </w:rPr>
              <w:t>全景通道支持一键拼接功能，可将≥2个全景画面进行拼接输出，在拼接模式下，设备可输出全景和细节≥2个视频画面，在非拼接模式下，设备可输出全景通道1、全景通道2和细节通道共3个视频画面。</w:t>
            </w:r>
          </w:p>
          <w:p w14:paraId="14FE41CA">
            <w:pPr>
              <w:pStyle w:val="9"/>
              <w:spacing w:line="360" w:lineRule="auto"/>
              <w:jc w:val="left"/>
              <w:rPr>
                <w:rFonts w:ascii="宋体" w:hAnsi="宋体" w:cs="宋体"/>
                <w:szCs w:val="21"/>
              </w:rPr>
            </w:pPr>
            <w:r>
              <w:rPr>
                <w:rFonts w:hint="eastAsia" w:ascii="宋体" w:hAnsi="宋体" w:cs="宋体"/>
                <w:szCs w:val="21"/>
              </w:rPr>
              <w:t>9、支持H.264、H.265、MJPEG视频编码格式，可将H.264、H.265格式设置为High Profile。</w:t>
            </w:r>
          </w:p>
          <w:p w14:paraId="792E94EB">
            <w:pPr>
              <w:pStyle w:val="9"/>
              <w:spacing w:line="360" w:lineRule="auto"/>
              <w:jc w:val="left"/>
              <w:rPr>
                <w:rFonts w:ascii="宋体" w:hAnsi="宋体" w:cs="宋体"/>
                <w:szCs w:val="21"/>
              </w:rPr>
            </w:pPr>
            <w:r>
              <w:rPr>
                <w:rFonts w:hint="eastAsia" w:ascii="宋体" w:hAnsi="宋体" w:cs="宋体"/>
                <w:szCs w:val="21"/>
              </w:rPr>
              <w:t>10、细节通道可分别或同时对行人、非机动车、机动车进行检测、跟随、抓拍，支持人脸、车牌、非机动车车牌抠图，可将人脸与人体关联显示。</w:t>
            </w:r>
          </w:p>
          <w:p w14:paraId="0B13FC37">
            <w:pPr>
              <w:pStyle w:val="9"/>
              <w:spacing w:line="360" w:lineRule="auto"/>
              <w:jc w:val="left"/>
              <w:rPr>
                <w:rFonts w:ascii="宋体" w:hAnsi="宋体" w:cs="宋体"/>
                <w:szCs w:val="21"/>
              </w:rPr>
            </w:pPr>
            <w:r>
              <w:rPr>
                <w:rFonts w:hint="eastAsia" w:ascii="宋体" w:hAnsi="宋体" w:cs="宋体"/>
                <w:szCs w:val="21"/>
              </w:rPr>
              <w:t>11、设备支持双安装接口，1个为快速旋转安装接口，1个为多孔稳定安装接口。</w:t>
            </w:r>
          </w:p>
          <w:p w14:paraId="18BF7704">
            <w:pPr>
              <w:pStyle w:val="9"/>
              <w:spacing w:line="360" w:lineRule="auto"/>
              <w:jc w:val="left"/>
              <w:rPr>
                <w:rFonts w:ascii="宋体" w:hAnsi="宋体" w:cs="宋体"/>
                <w:szCs w:val="21"/>
              </w:rPr>
            </w:pPr>
            <w:r>
              <w:rPr>
                <w:rFonts w:hint="eastAsia" w:ascii="宋体" w:hAnsi="宋体" w:cs="宋体"/>
                <w:szCs w:val="21"/>
              </w:rPr>
              <w:t>12、细节通道支持smart事件、全结构化模式，智能功能可任意选择保存生效。</w:t>
            </w:r>
          </w:p>
          <w:p w14:paraId="04458E4D">
            <w:pPr>
              <w:pStyle w:val="9"/>
              <w:spacing w:line="360" w:lineRule="auto"/>
              <w:jc w:val="left"/>
              <w:rPr>
                <w:rFonts w:ascii="宋体" w:hAnsi="宋体" w:cs="宋体"/>
                <w:szCs w:val="21"/>
              </w:rPr>
            </w:pPr>
            <w:r>
              <w:rPr>
                <w:rFonts w:hint="eastAsia" w:ascii="宋体" w:hAnsi="宋体" w:cs="宋体"/>
                <w:szCs w:val="21"/>
              </w:rPr>
              <w:t>13、全景摄像机可输出2个镜头无缝拼接的全景图像，拼接后的全景画面水平视场角应≥175°，垂直视场角≥75°。</w:t>
            </w:r>
          </w:p>
          <w:p w14:paraId="7B70DC23">
            <w:pPr>
              <w:pStyle w:val="9"/>
              <w:spacing w:line="360" w:lineRule="auto"/>
              <w:jc w:val="left"/>
              <w:rPr>
                <w:rFonts w:ascii="宋体" w:hAnsi="宋体" w:cs="宋体"/>
                <w:szCs w:val="21"/>
              </w:rPr>
            </w:pPr>
            <w:r>
              <w:rPr>
                <w:rFonts w:hint="eastAsia" w:ascii="宋体" w:hAnsi="宋体" w:cs="宋体"/>
                <w:szCs w:val="21"/>
              </w:rPr>
              <w:t>14、</w:t>
            </w:r>
            <w:r>
              <w:rPr>
                <w:rFonts w:hint="eastAsia" w:ascii="Segoe UI Emoji" w:hAnsi="Segoe UI Emoji" w:eastAsia="Segoe UI Emoji" w:cs="Segoe UI Emoji"/>
                <w:szCs w:val="21"/>
              </w:rPr>
              <w:t>▲</w:t>
            </w:r>
            <w:r>
              <w:rPr>
                <w:rFonts w:hint="eastAsia" w:ascii="宋体" w:hAnsi="宋体" w:cs="宋体"/>
                <w:szCs w:val="21"/>
              </w:rPr>
              <w:t>全景通道1和全景通道2具备锁紧装置，在松开锁紧装置后，全景1通道和全景2通道可以进行水平和垂直调节。在紧固锁紧装置后，全景1通道和全景2通道不可以进行水平和垂直调节。</w:t>
            </w:r>
          </w:p>
          <w:p w14:paraId="33BA2573">
            <w:pPr>
              <w:pStyle w:val="9"/>
              <w:spacing w:line="360" w:lineRule="auto"/>
              <w:jc w:val="left"/>
              <w:rPr>
                <w:rFonts w:ascii="宋体" w:hAnsi="宋体" w:cs="宋体"/>
                <w:szCs w:val="21"/>
              </w:rPr>
            </w:pPr>
            <w:r>
              <w:rPr>
                <w:rFonts w:hint="eastAsia" w:ascii="宋体" w:hAnsi="宋体" w:cs="宋体"/>
                <w:szCs w:val="21"/>
              </w:rPr>
              <w:t>15、</w:t>
            </w:r>
            <w:r>
              <w:rPr>
                <w:rFonts w:hint="eastAsia" w:ascii="Segoe UI Emoji" w:hAnsi="Segoe UI Emoji" w:eastAsia="Segoe UI Emoji" w:cs="Segoe UI Emoji"/>
                <w:szCs w:val="21"/>
              </w:rPr>
              <w:t>▲</w:t>
            </w:r>
            <w:r>
              <w:rPr>
                <w:rFonts w:hint="eastAsia" w:ascii="宋体" w:hAnsi="宋体" w:cs="宋体"/>
                <w:szCs w:val="21"/>
              </w:rPr>
              <w:t>全景通道1和全景通道2分别内置≥1个麦克风，麦克风可随镜头一起进行旋转，旋转范围为：水平：0°～90°，垂直：0°～350°，轴心方向：0°～350°。</w:t>
            </w:r>
          </w:p>
          <w:p w14:paraId="073B74A3">
            <w:pPr>
              <w:pStyle w:val="9"/>
              <w:spacing w:line="360" w:lineRule="auto"/>
              <w:jc w:val="left"/>
              <w:rPr>
                <w:rFonts w:ascii="宋体" w:hAnsi="宋体" w:cs="宋体"/>
                <w:szCs w:val="21"/>
              </w:rPr>
            </w:pPr>
            <w:r>
              <w:rPr>
                <w:rFonts w:hint="eastAsia" w:ascii="宋体" w:hAnsi="宋体" w:cs="宋体"/>
                <w:szCs w:val="21"/>
              </w:rPr>
              <w:t>16、设备支持≥300个预置位，可按照所设置的预置位设置≥8条巡航路径。设备支持不少于2路报警输入，不少于1路报警输出，不少于1路音频输入，不少于1路音频输出，不少于1个SD卡槽，不少于1个RJ45网口，不少于1个485接口。</w:t>
            </w:r>
          </w:p>
          <w:p w14:paraId="0EF64C1D">
            <w:pPr>
              <w:widowControl/>
              <w:spacing w:line="360" w:lineRule="auto"/>
              <w:jc w:val="left"/>
              <w:textAlignment w:val="center"/>
              <w:rPr>
                <w:rFonts w:ascii="宋体" w:hAnsi="宋体" w:cs="宋体"/>
                <w:b/>
                <w:bCs/>
                <w:kern w:val="0"/>
                <w:szCs w:val="21"/>
                <w:lang w:bidi="ar"/>
              </w:rPr>
            </w:pPr>
            <w:r>
              <w:rPr>
                <w:rFonts w:hint="eastAsia" w:ascii="宋体" w:hAnsi="宋体" w:cs="宋体"/>
                <w:b/>
                <w:bCs/>
                <w:szCs w:val="21"/>
              </w:rPr>
              <w:t>四、</w:t>
            </w:r>
            <w:r>
              <w:rPr>
                <w:rFonts w:hint="eastAsia" w:ascii="宋体" w:hAnsi="宋体" w:cs="宋体"/>
                <w:b/>
                <w:szCs w:val="21"/>
              </w:rPr>
              <w:t>提供3套智能监控设备箱服务</w:t>
            </w:r>
            <w:r>
              <w:rPr>
                <w:rFonts w:hint="eastAsia" w:ascii="宋体" w:hAnsi="宋体" w:cs="宋体"/>
                <w:b/>
                <w:bCs/>
                <w:kern w:val="0"/>
                <w:szCs w:val="21"/>
                <w:lang w:bidi="ar"/>
              </w:rPr>
              <w:t>，需具备以下功能：</w:t>
            </w:r>
          </w:p>
          <w:p w14:paraId="19D29F2C">
            <w:pPr>
              <w:pStyle w:val="9"/>
              <w:spacing w:line="360" w:lineRule="auto"/>
              <w:jc w:val="left"/>
              <w:rPr>
                <w:rFonts w:ascii="宋体" w:hAnsi="宋体" w:cs="宋体"/>
                <w:szCs w:val="21"/>
              </w:rPr>
            </w:pPr>
            <w:r>
              <w:rPr>
                <w:rFonts w:hint="eastAsia" w:ascii="宋体" w:hAnsi="宋体" w:cs="宋体"/>
                <w:szCs w:val="21"/>
              </w:rPr>
              <w:t>1、箱体尺寸含帽檐约450mm×400mm×235mm（高x宽x深），不含帽檐约450mmx350mmx200mm（高x宽x深），材质采用镀锌钢板喷塑，箱体板厚度≥0.8mm，箱顶采用帽檐斜顶方式设计，具有风勾限位装置，防护等级为≥IP55；具有防盗功能，安装防水锁，所有锁芯应配统一钥匙。内部设背板、隔板、布局合理、规范、内部走线清晰。箱内配备25A空开≥1只、40KA防雷器≥1只、五孔插座≥2只（其中1路为维修插座，1路为业务插座）；5位接地铜排≥1只，并配备智能运维终端≥1只。</w:t>
            </w:r>
          </w:p>
          <w:p w14:paraId="40311C06">
            <w:pPr>
              <w:pStyle w:val="9"/>
              <w:spacing w:line="360" w:lineRule="auto"/>
              <w:jc w:val="left"/>
              <w:rPr>
                <w:rFonts w:ascii="宋体" w:hAnsi="宋体" w:cs="宋体"/>
                <w:szCs w:val="21"/>
              </w:rPr>
            </w:pPr>
            <w:r>
              <w:rPr>
                <w:rFonts w:hint="eastAsia" w:ascii="宋体" w:hAnsi="宋体" w:cs="宋体"/>
                <w:szCs w:val="21"/>
              </w:rPr>
              <w:t>2、具备指示灯状态显示功能：支持通过指示灯对设备运行、网络、通讯、故障、输出状态进行显示。</w:t>
            </w:r>
          </w:p>
          <w:p w14:paraId="370CDF22">
            <w:pPr>
              <w:pStyle w:val="9"/>
              <w:spacing w:line="360" w:lineRule="auto"/>
              <w:jc w:val="left"/>
              <w:rPr>
                <w:rFonts w:ascii="宋体" w:hAnsi="宋体" w:cs="宋体"/>
                <w:szCs w:val="21"/>
              </w:rPr>
            </w:pPr>
            <w:r>
              <w:rPr>
                <w:rFonts w:hint="eastAsia" w:ascii="宋体" w:hAnsi="宋体" w:cs="宋体"/>
                <w:szCs w:val="21"/>
              </w:rPr>
              <w:t>3、具备安全防护功能：支持外接箱门门磁检测传感器，能够在箱门异常开启时产生告警，并内置扬声器模块，可通过扬声器进行本地警告语音输出，防止恶意破坏箱体行为，最大程度保障箱体内资产和信息安全。</w:t>
            </w:r>
          </w:p>
          <w:p w14:paraId="03D8E3BC">
            <w:pPr>
              <w:pStyle w:val="9"/>
              <w:spacing w:line="360" w:lineRule="auto"/>
              <w:jc w:val="left"/>
              <w:rPr>
                <w:rFonts w:ascii="宋体" w:hAnsi="宋体" w:cs="宋体"/>
                <w:szCs w:val="21"/>
              </w:rPr>
            </w:pPr>
            <w:r>
              <w:rPr>
                <w:rFonts w:hint="eastAsia" w:ascii="宋体" w:hAnsi="宋体" w:cs="宋体"/>
                <w:szCs w:val="21"/>
              </w:rPr>
              <w:t>4、具有光感监测功能：支持光感监测功能，可在平台端区分机箱内暗光、弱光、强光三种光线环境，辅助判断箱门是否开启。</w:t>
            </w:r>
          </w:p>
          <w:p w14:paraId="32A5689B">
            <w:pPr>
              <w:pStyle w:val="9"/>
              <w:spacing w:line="360" w:lineRule="auto"/>
              <w:jc w:val="left"/>
              <w:rPr>
                <w:rFonts w:ascii="宋体" w:hAnsi="宋体" w:cs="宋体"/>
                <w:szCs w:val="21"/>
              </w:rPr>
            </w:pPr>
            <w:r>
              <w:rPr>
                <w:rFonts w:hint="eastAsia" w:ascii="宋体" w:hAnsi="宋体" w:cs="宋体"/>
                <w:szCs w:val="21"/>
              </w:rPr>
              <w:t>5、具有设备流量监测功能：支持设定流量上下限，当流量超过设定阈值时，可产生流量告警。</w:t>
            </w:r>
          </w:p>
          <w:p w14:paraId="0EAADCD3">
            <w:pPr>
              <w:pStyle w:val="9"/>
              <w:spacing w:line="360" w:lineRule="auto"/>
              <w:jc w:val="left"/>
              <w:rPr>
                <w:rFonts w:ascii="宋体" w:hAnsi="宋体" w:cs="宋体"/>
                <w:szCs w:val="21"/>
              </w:rPr>
            </w:pPr>
            <w:r>
              <w:rPr>
                <w:rFonts w:hint="eastAsia" w:ascii="宋体" w:hAnsi="宋体" w:cs="宋体"/>
                <w:szCs w:val="21"/>
              </w:rPr>
              <w:t>6、电气健康监测功能：支持输入电压、输出电流、负载功率监测功能，监测范围支持平台端自定义设置，支持电压、电流、功率异常报警功能。</w:t>
            </w:r>
          </w:p>
          <w:p w14:paraId="4BE64E50">
            <w:pPr>
              <w:pStyle w:val="9"/>
              <w:spacing w:line="360" w:lineRule="auto"/>
              <w:jc w:val="left"/>
              <w:rPr>
                <w:rFonts w:ascii="宋体" w:hAnsi="宋体" w:cs="宋体"/>
                <w:szCs w:val="21"/>
              </w:rPr>
            </w:pPr>
            <w:r>
              <w:rPr>
                <w:rFonts w:hint="eastAsia" w:ascii="宋体" w:hAnsi="宋体" w:cs="宋体"/>
                <w:szCs w:val="21"/>
              </w:rPr>
              <w:t>7、具有震动监测功能：支持机箱受到震动/冲击时，平台端产生震动告警，并支持设置震动告警的频次阈值。</w:t>
            </w:r>
          </w:p>
          <w:p w14:paraId="5D572DB9">
            <w:pPr>
              <w:pStyle w:val="9"/>
              <w:spacing w:line="360" w:lineRule="auto"/>
              <w:jc w:val="left"/>
              <w:rPr>
                <w:rFonts w:ascii="宋体" w:hAnsi="宋体" w:cs="宋体"/>
                <w:szCs w:val="21"/>
              </w:rPr>
            </w:pPr>
            <w:r>
              <w:rPr>
                <w:rFonts w:hint="eastAsia" w:ascii="宋体" w:hAnsi="宋体" w:cs="宋体"/>
                <w:szCs w:val="21"/>
              </w:rPr>
              <w:t>8、断电监测功能；内置电源监测模块，能够在不需要后备电源的情况下，区分区域掉电（如市电掉电）、箱内掉电（如空开跳闸）告警，并能将告警信息上传至平台客户端，平台具有单独的断电状态显示图标。</w:t>
            </w:r>
          </w:p>
          <w:p w14:paraId="74820A2A">
            <w:pPr>
              <w:pStyle w:val="9"/>
              <w:spacing w:line="360" w:lineRule="auto"/>
              <w:jc w:val="left"/>
              <w:rPr>
                <w:rFonts w:ascii="宋体" w:hAnsi="宋体" w:cs="宋体"/>
                <w:szCs w:val="21"/>
              </w:rPr>
            </w:pPr>
            <w:r>
              <w:rPr>
                <w:rFonts w:hint="eastAsia" w:ascii="宋体" w:hAnsi="宋体" w:cs="宋体"/>
                <w:szCs w:val="21"/>
              </w:rPr>
              <w:t>9、断网监测功能：当机箱内网络中断时，可平台端显示断网失联告警。</w:t>
            </w:r>
          </w:p>
          <w:p w14:paraId="3BCCE60B">
            <w:pPr>
              <w:pStyle w:val="9"/>
              <w:spacing w:line="360" w:lineRule="auto"/>
              <w:jc w:val="left"/>
              <w:rPr>
                <w:rFonts w:ascii="宋体" w:hAnsi="宋体" w:cs="宋体"/>
                <w:szCs w:val="21"/>
              </w:rPr>
            </w:pPr>
            <w:r>
              <w:rPr>
                <w:rFonts w:hint="eastAsia" w:ascii="宋体" w:hAnsi="宋体" w:cs="宋体"/>
                <w:szCs w:val="21"/>
              </w:rPr>
              <w:t>10、远程控制功能：支持远程控制负载供电开启、关闭和重启功能，解决前端设备死机问题。支持远程控制语音告警打开、关闭功能。</w:t>
            </w:r>
          </w:p>
          <w:p w14:paraId="3EA20658">
            <w:pPr>
              <w:pStyle w:val="9"/>
              <w:spacing w:line="360" w:lineRule="auto"/>
              <w:jc w:val="left"/>
              <w:rPr>
                <w:rFonts w:ascii="宋体" w:hAnsi="宋体" w:cs="宋体"/>
                <w:szCs w:val="21"/>
              </w:rPr>
            </w:pPr>
            <w:r>
              <w:rPr>
                <w:rFonts w:hint="eastAsia" w:ascii="宋体" w:hAnsi="宋体" w:cs="宋体"/>
                <w:szCs w:val="21"/>
              </w:rPr>
              <w:t>11、不间断负载供电功能：支持在外部供电电源正常工作情况下，当机箱智能运维终端自身发生故障时，能够保证机箱内部供电电路不间断，不影响机箱内部取电设备的正常工作。</w:t>
            </w:r>
          </w:p>
          <w:p w14:paraId="68DA2958">
            <w:pPr>
              <w:pStyle w:val="9"/>
              <w:spacing w:line="360" w:lineRule="auto"/>
              <w:jc w:val="left"/>
              <w:rPr>
                <w:rFonts w:ascii="宋体" w:hAnsi="宋体" w:cs="宋体"/>
                <w:szCs w:val="21"/>
              </w:rPr>
            </w:pPr>
            <w:r>
              <w:rPr>
                <w:rFonts w:hint="eastAsia" w:ascii="宋体" w:hAnsi="宋体" w:cs="宋体"/>
                <w:szCs w:val="21"/>
              </w:rPr>
              <w:t>12、通信加密功能：支持对通信数据进行非明文加密传输功能。</w:t>
            </w:r>
          </w:p>
          <w:p w14:paraId="14710AD5">
            <w:pPr>
              <w:pStyle w:val="9"/>
              <w:spacing w:line="360" w:lineRule="auto"/>
              <w:jc w:val="left"/>
              <w:rPr>
                <w:rFonts w:ascii="宋体" w:hAnsi="宋体" w:cs="宋体"/>
                <w:szCs w:val="21"/>
              </w:rPr>
            </w:pPr>
            <w:r>
              <w:rPr>
                <w:rFonts w:hint="eastAsia" w:ascii="宋体" w:hAnsi="宋体" w:cs="宋体"/>
                <w:szCs w:val="21"/>
              </w:rPr>
              <w:t>13、看门狗复位功能：支持当系统死机时，具有看门狗自动复位功能。</w:t>
            </w:r>
          </w:p>
          <w:p w14:paraId="4FB95C81">
            <w:pPr>
              <w:pStyle w:val="9"/>
              <w:spacing w:line="360" w:lineRule="auto"/>
              <w:jc w:val="left"/>
              <w:rPr>
                <w:rFonts w:ascii="宋体" w:hAnsi="宋体" w:cs="宋体"/>
                <w:szCs w:val="21"/>
              </w:rPr>
            </w:pPr>
            <w:r>
              <w:rPr>
                <w:rFonts w:hint="eastAsia" w:ascii="宋体" w:hAnsi="宋体" w:cs="宋体"/>
                <w:szCs w:val="21"/>
              </w:rPr>
              <w:t>14、一键复位功能：机箱智能运维终端具有一键复位实体按键，当按下复位键，终端可重置自身IP地址。</w:t>
            </w:r>
          </w:p>
          <w:p w14:paraId="151E9383">
            <w:pPr>
              <w:pStyle w:val="9"/>
              <w:spacing w:line="360" w:lineRule="auto"/>
              <w:jc w:val="left"/>
              <w:rPr>
                <w:rFonts w:ascii="宋体" w:hAnsi="宋体" w:cs="宋体"/>
                <w:szCs w:val="21"/>
              </w:rPr>
            </w:pPr>
            <w:r>
              <w:rPr>
                <w:rFonts w:hint="eastAsia" w:ascii="宋体" w:hAnsi="宋体" w:cs="宋体"/>
                <w:szCs w:val="21"/>
              </w:rPr>
              <w:t>15、心跳保活功能：支持客户端远程配置心跳保活周期，心跳保活消息定期上报。</w:t>
            </w:r>
          </w:p>
          <w:p w14:paraId="510DC97A">
            <w:pPr>
              <w:pStyle w:val="9"/>
              <w:spacing w:line="360" w:lineRule="auto"/>
              <w:jc w:val="left"/>
              <w:rPr>
                <w:rFonts w:ascii="宋体" w:hAnsi="宋体" w:cs="宋体"/>
                <w:szCs w:val="21"/>
              </w:rPr>
            </w:pPr>
            <w:r>
              <w:rPr>
                <w:rFonts w:hint="eastAsia" w:ascii="宋体" w:hAnsi="宋体" w:cs="宋体"/>
                <w:szCs w:val="21"/>
              </w:rPr>
              <w:t>16、远程查询功能：支持远程査询实时监测数据，支持远程查询设备配置参数信息，远程查询设备运行日志信息。</w:t>
            </w:r>
          </w:p>
          <w:p w14:paraId="18F732B3">
            <w:pPr>
              <w:pStyle w:val="9"/>
              <w:spacing w:line="360" w:lineRule="auto"/>
              <w:jc w:val="left"/>
              <w:rPr>
                <w:rFonts w:ascii="宋体" w:hAnsi="宋体" w:cs="宋体"/>
                <w:szCs w:val="21"/>
              </w:rPr>
            </w:pPr>
            <w:r>
              <w:rPr>
                <w:rFonts w:hint="eastAsia" w:ascii="宋体" w:hAnsi="宋体" w:cs="宋体"/>
                <w:szCs w:val="21"/>
              </w:rPr>
              <w:t>17、远程升级功能：支持通过客户端远程对设备进行系统升级更新功能。</w:t>
            </w:r>
          </w:p>
          <w:bookmarkEnd w:id="117"/>
          <w:p w14:paraId="5E60CDA6">
            <w:pPr>
              <w:widowControl/>
              <w:spacing w:line="360" w:lineRule="auto"/>
              <w:jc w:val="left"/>
              <w:textAlignment w:val="center"/>
              <w:rPr>
                <w:rFonts w:ascii="宋体" w:hAnsi="宋体" w:cs="宋体"/>
                <w:b/>
                <w:bCs/>
                <w:kern w:val="0"/>
                <w:szCs w:val="21"/>
                <w:lang w:bidi="ar"/>
              </w:rPr>
            </w:pPr>
            <w:r>
              <w:rPr>
                <w:rFonts w:hint="eastAsia" w:ascii="宋体" w:hAnsi="宋体" w:cs="宋体"/>
                <w:b/>
                <w:bCs/>
                <w:szCs w:val="21"/>
              </w:rPr>
              <w:t>五、</w:t>
            </w:r>
            <w:r>
              <w:rPr>
                <w:rFonts w:hint="eastAsia" w:ascii="宋体" w:hAnsi="宋体" w:cs="宋体"/>
                <w:b/>
                <w:szCs w:val="21"/>
              </w:rPr>
              <w:t>提供3套配套标志标牌服务</w:t>
            </w:r>
            <w:r>
              <w:rPr>
                <w:rFonts w:hint="eastAsia" w:ascii="宋体" w:hAnsi="宋体" w:cs="宋体"/>
                <w:b/>
                <w:bCs/>
                <w:kern w:val="0"/>
                <w:szCs w:val="21"/>
                <w:lang w:bidi="ar"/>
              </w:rPr>
              <w:t>，需具备以下功能：</w:t>
            </w:r>
          </w:p>
          <w:p w14:paraId="42BE443A">
            <w:pPr>
              <w:pStyle w:val="9"/>
              <w:spacing w:line="360" w:lineRule="auto"/>
              <w:jc w:val="left"/>
              <w:rPr>
                <w:rFonts w:ascii="宋体" w:hAnsi="宋体" w:cs="宋体"/>
                <w:szCs w:val="21"/>
              </w:rPr>
            </w:pPr>
            <w:r>
              <w:rPr>
                <w:rFonts w:hint="eastAsia" w:ascii="宋体" w:hAnsi="宋体" w:cs="宋体"/>
                <w:szCs w:val="21"/>
              </w:rPr>
              <w:t>1、落地提示牌：前方路段压线抓拍（蓝底白字）1200×2000mm，IV类反光膜，铝板3厚，铝槽68×2.3-4根1米，常规抱箍螺丝;</w:t>
            </w:r>
          </w:p>
          <w:p w14:paraId="184C46A1">
            <w:pPr>
              <w:pStyle w:val="9"/>
              <w:spacing w:line="360" w:lineRule="auto"/>
              <w:jc w:val="left"/>
              <w:rPr>
                <w:rFonts w:ascii="宋体" w:hAnsi="宋体" w:cs="宋体"/>
                <w:szCs w:val="21"/>
              </w:rPr>
            </w:pPr>
            <w:r>
              <w:rPr>
                <w:rFonts w:hint="eastAsia" w:ascii="宋体" w:hAnsi="宋体" w:cs="宋体"/>
                <w:szCs w:val="21"/>
              </w:rPr>
              <w:t>2、挂杆提示牌：压线抓拍（蓝底白字）600×400mm，IV类反光膜，铝板3厚，常规抱箍螺丝;</w:t>
            </w:r>
          </w:p>
          <w:p w14:paraId="413E54FF">
            <w:pPr>
              <w:pStyle w:val="9"/>
              <w:spacing w:line="360" w:lineRule="auto"/>
              <w:jc w:val="left"/>
              <w:rPr>
                <w:rFonts w:ascii="宋体" w:hAnsi="宋体" w:cs="宋体"/>
                <w:szCs w:val="21"/>
              </w:rPr>
            </w:pPr>
            <w:r>
              <w:rPr>
                <w:rFonts w:hint="eastAsia" w:ascii="宋体" w:hAnsi="宋体" w:cs="宋体"/>
                <w:szCs w:val="21"/>
              </w:rPr>
              <w:t>3、落地提示牌立杆：立杆圆柱杆，高4米，口径114-3mm，法兰260*260-10mm，杆件整体热镀锌，喷塑。配基础笼4-M16-0.5米。0.8m×0.8m×0.8m，含开挖，C25商品汞浇筑，垃圾清运等。基础笼4-M16-0.65米，含杆件搬移吊装等服务</w:t>
            </w:r>
          </w:p>
          <w:p w14:paraId="0F4F918F">
            <w:pPr>
              <w:widowControl/>
              <w:spacing w:line="360" w:lineRule="auto"/>
              <w:jc w:val="left"/>
              <w:textAlignment w:val="center"/>
              <w:rPr>
                <w:rFonts w:ascii="宋体" w:hAnsi="宋体" w:cs="宋体"/>
                <w:b/>
                <w:bCs/>
                <w:kern w:val="0"/>
                <w:szCs w:val="21"/>
                <w:lang w:bidi="ar"/>
              </w:rPr>
            </w:pPr>
            <w:r>
              <w:rPr>
                <w:rFonts w:hint="eastAsia" w:ascii="宋体" w:hAnsi="宋体" w:cs="宋体"/>
                <w:b/>
                <w:bCs/>
                <w:szCs w:val="21"/>
              </w:rPr>
              <w:t>六、</w:t>
            </w:r>
            <w:r>
              <w:rPr>
                <w:rFonts w:hint="eastAsia" w:ascii="宋体" w:hAnsi="宋体" w:cs="宋体"/>
                <w:b/>
                <w:szCs w:val="21"/>
              </w:rPr>
              <w:t>提供3套前端点位配套立杆服务</w:t>
            </w:r>
            <w:r>
              <w:rPr>
                <w:rFonts w:hint="eastAsia" w:ascii="宋体" w:hAnsi="宋体" w:cs="宋体"/>
                <w:b/>
                <w:bCs/>
                <w:kern w:val="0"/>
                <w:szCs w:val="21"/>
                <w:lang w:bidi="ar"/>
              </w:rPr>
              <w:t>，需具备以下功能：</w:t>
            </w:r>
          </w:p>
          <w:p w14:paraId="7A8FC308">
            <w:pPr>
              <w:pStyle w:val="9"/>
              <w:spacing w:line="360" w:lineRule="auto"/>
              <w:jc w:val="left"/>
              <w:rPr>
                <w:rFonts w:ascii="宋体" w:hAnsi="宋体" w:cs="宋体"/>
                <w:szCs w:val="21"/>
              </w:rPr>
            </w:pPr>
            <w:r>
              <w:rPr>
                <w:rFonts w:hint="eastAsia" w:ascii="宋体" w:hAnsi="宋体" w:cs="宋体"/>
                <w:szCs w:val="21"/>
              </w:rPr>
              <w:t>1、立杆八角杆，高6.5米，对角口径220-320-6mm，法兰500-16mm，横杆八角杆，长8米，对角口径100-200-5mm，连接法兰350*350-16mm，杆件整体热镀锌，喷塑。</w:t>
            </w:r>
          </w:p>
          <w:p w14:paraId="783A10ED">
            <w:pPr>
              <w:pStyle w:val="9"/>
              <w:spacing w:line="360" w:lineRule="auto"/>
              <w:jc w:val="left"/>
              <w:rPr>
                <w:rFonts w:ascii="宋体" w:hAnsi="宋体" w:cs="宋体"/>
                <w:szCs w:val="21"/>
              </w:rPr>
            </w:pPr>
            <w:r>
              <w:rPr>
                <w:rFonts w:hint="eastAsia" w:ascii="宋体" w:hAnsi="宋体" w:cs="宋体"/>
                <w:szCs w:val="21"/>
              </w:rPr>
              <w:t>2、1m×1m×1m，含开挖，C25商品汞浇筑，垃圾清运等。Φ10钢筋地笼，M24×8，高800mm螺栓预埋件，含杆件搬移吊装</w:t>
            </w:r>
          </w:p>
          <w:p w14:paraId="66A83A39">
            <w:pPr>
              <w:widowControl/>
              <w:numPr>
                <w:ilvl w:val="0"/>
                <w:numId w:val="6"/>
              </w:numPr>
              <w:spacing w:line="360" w:lineRule="auto"/>
              <w:jc w:val="left"/>
              <w:textAlignment w:val="center"/>
              <w:rPr>
                <w:rFonts w:ascii="宋体" w:hAnsi="宋体" w:cs="宋体"/>
                <w:b/>
                <w:bCs/>
                <w:kern w:val="0"/>
                <w:szCs w:val="21"/>
                <w:lang w:bidi="ar"/>
              </w:rPr>
            </w:pPr>
            <w:r>
              <w:rPr>
                <w:rFonts w:hint="eastAsia" w:ascii="宋体" w:hAnsi="宋体" w:cs="宋体"/>
                <w:b/>
                <w:szCs w:val="21"/>
              </w:rPr>
              <w:t>提供1项系统集成及其他服务</w:t>
            </w:r>
            <w:r>
              <w:rPr>
                <w:rFonts w:hint="eastAsia" w:ascii="宋体" w:hAnsi="宋体" w:cs="宋体"/>
                <w:b/>
                <w:bCs/>
                <w:kern w:val="0"/>
                <w:szCs w:val="21"/>
                <w:lang w:bidi="ar"/>
              </w:rPr>
              <w:t>，需具备以下功能：</w:t>
            </w:r>
          </w:p>
          <w:p w14:paraId="5ECE8CB9">
            <w:pPr>
              <w:pStyle w:val="9"/>
              <w:spacing w:line="360" w:lineRule="auto"/>
              <w:jc w:val="left"/>
              <w:rPr>
                <w:rFonts w:ascii="宋体" w:hAnsi="宋体" w:cs="宋体"/>
                <w:szCs w:val="21"/>
              </w:rPr>
            </w:pPr>
            <w:r>
              <w:rPr>
                <w:rFonts w:hint="eastAsia" w:ascii="宋体" w:hAnsi="宋体" w:cs="宋体"/>
                <w:szCs w:val="21"/>
              </w:rPr>
              <w:t>1、提供满足上述服务的安装调试服务、引电服务及各类辅材服务，含：所需的支架、万向节、抱箍、电源线、网线、控制线、扎带、胶布、各种接头、管材、围挡、锥桶，监控头前端设备安装调试服务及高空作业使用吊车使用服务，并提供前端设备所需的设备引电服务、电表申请以及3年使用电费服务；</w:t>
            </w:r>
          </w:p>
          <w:p w14:paraId="2B5F3C9A">
            <w:pPr>
              <w:pStyle w:val="9"/>
              <w:spacing w:line="360" w:lineRule="auto"/>
              <w:jc w:val="left"/>
              <w:rPr>
                <w:rFonts w:ascii="宋体" w:hAnsi="宋体"/>
                <w:szCs w:val="21"/>
              </w:rPr>
            </w:pPr>
            <w:r>
              <w:rPr>
                <w:rFonts w:hint="eastAsia" w:ascii="宋体" w:hAnsi="宋体" w:cs="宋体"/>
                <w:szCs w:val="21"/>
              </w:rPr>
              <w:t>2、提供满足上述服务的基础服务，包含：过路管道开挖服务、400*400*400MM手井制作服务、杆件防雷接地服务等。</w:t>
            </w:r>
            <w:bookmarkEnd w:id="116"/>
          </w:p>
        </w:tc>
        <w:tc>
          <w:tcPr>
            <w:tcW w:w="709" w:type="dxa"/>
            <w:vAlign w:val="center"/>
          </w:tcPr>
          <w:p w14:paraId="7FA4AB05">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673" w:type="dxa"/>
            <w:vAlign w:val="center"/>
          </w:tcPr>
          <w:p w14:paraId="6B41DF2B">
            <w:pPr>
              <w:autoSpaceDE w:val="0"/>
              <w:autoSpaceDN w:val="0"/>
              <w:adjustRightIn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4" w:type="dxa"/>
            <w:vAlign w:val="center"/>
          </w:tcPr>
          <w:p w14:paraId="591B544E">
            <w:pPr>
              <w:autoSpaceDE w:val="0"/>
              <w:autoSpaceDN w:val="0"/>
              <w:adjustRightIn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29496</w:t>
            </w:r>
          </w:p>
        </w:tc>
      </w:tr>
      <w:tr w14:paraId="16E8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673" w:type="dxa"/>
            <w:vAlign w:val="center"/>
          </w:tcPr>
          <w:p w14:paraId="4578D5BD">
            <w:pPr>
              <w:tabs>
                <w:tab w:val="left" w:pos="525"/>
              </w:tabs>
              <w:spacing w:line="380" w:lineRule="exact"/>
              <w:ind w:left="105"/>
              <w:jc w:val="center"/>
              <w:rPr>
                <w:rFonts w:ascii="宋体" w:hAnsi="宋体"/>
                <w:szCs w:val="21"/>
              </w:rPr>
            </w:pPr>
            <w:r>
              <w:rPr>
                <w:rFonts w:hint="eastAsia" w:ascii="宋体" w:hAnsi="宋体"/>
                <w:szCs w:val="21"/>
              </w:rPr>
              <w:t>3</w:t>
            </w:r>
          </w:p>
        </w:tc>
        <w:tc>
          <w:tcPr>
            <w:tcW w:w="1057" w:type="dxa"/>
            <w:gridSpan w:val="2"/>
            <w:vAlign w:val="center"/>
          </w:tcPr>
          <w:p w14:paraId="47AC9CDC">
            <w:pPr>
              <w:widowControl/>
              <w:spacing w:line="380" w:lineRule="exact"/>
              <w:jc w:val="center"/>
              <w:textAlignment w:val="center"/>
              <w:rPr>
                <w:rFonts w:ascii="宋体" w:hAnsi="宋体" w:cs="Arial"/>
                <w:bCs/>
                <w:szCs w:val="21"/>
              </w:rPr>
            </w:pPr>
            <w:r>
              <w:rPr>
                <w:rFonts w:hint="eastAsia" w:ascii="宋体" w:hAnsi="宋体" w:cs="Arial"/>
                <w:bCs/>
                <w:szCs w:val="21"/>
              </w:rPr>
              <w:t>区间测速系统服务</w:t>
            </w:r>
          </w:p>
        </w:tc>
        <w:tc>
          <w:tcPr>
            <w:tcW w:w="6379" w:type="dxa"/>
          </w:tcPr>
          <w:p w14:paraId="19DB1074">
            <w:pPr>
              <w:widowControl/>
              <w:spacing w:line="360" w:lineRule="auto"/>
              <w:jc w:val="left"/>
              <w:textAlignment w:val="top"/>
              <w:rPr>
                <w:rFonts w:ascii="宋体" w:hAnsi="宋体" w:cs="宋体"/>
                <w:b/>
                <w:bCs/>
                <w:color w:val="041EBE"/>
                <w:kern w:val="0"/>
                <w:szCs w:val="21"/>
                <w:lang w:bidi="ar"/>
              </w:rPr>
            </w:pPr>
            <w:r>
              <w:rPr>
                <w:rFonts w:hint="eastAsia" w:ascii="宋体" w:hAnsi="宋体" w:cs="宋体"/>
                <w:b/>
                <w:bCs/>
                <w:kern w:val="0"/>
                <w:szCs w:val="21"/>
                <w:lang w:bidi="ar"/>
              </w:rPr>
              <w:t>（一）服务要求</w:t>
            </w:r>
          </w:p>
          <w:p w14:paraId="0412E1B9">
            <w:pPr>
              <w:widowControl/>
              <w:spacing w:line="360" w:lineRule="auto"/>
              <w:ind w:firstLine="420" w:firstLineChars="200"/>
              <w:jc w:val="left"/>
              <w:textAlignment w:val="center"/>
              <w:rPr>
                <w:rFonts w:ascii="宋体" w:hAnsi="宋体" w:cs="宋体"/>
                <w:kern w:val="0"/>
                <w:szCs w:val="21"/>
                <w:lang w:bidi="ar"/>
              </w:rPr>
            </w:pPr>
            <w:r>
              <w:rPr>
                <w:rFonts w:hint="eastAsia" w:ascii="宋体" w:hAnsi="宋体" w:cs="宋体"/>
                <w:kern w:val="0"/>
                <w:szCs w:val="21"/>
                <w:lang w:bidi="ar"/>
              </w:rPr>
              <w:t>在选定位置完成提供</w:t>
            </w:r>
            <w:bookmarkStart w:id="118" w:name="OLE_LINK11"/>
            <w:r>
              <w:rPr>
                <w:rFonts w:hint="eastAsia" w:ascii="宋体" w:hAnsi="宋体" w:cs="宋体"/>
                <w:kern w:val="0"/>
                <w:szCs w:val="21"/>
                <w:lang w:bidi="ar"/>
              </w:rPr>
              <w:t>2套测速电子警察卡口服务</w:t>
            </w:r>
            <w:bookmarkEnd w:id="118"/>
            <w:r>
              <w:rPr>
                <w:rFonts w:hint="eastAsia" w:ascii="宋体" w:hAnsi="宋体" w:cs="宋体"/>
                <w:kern w:val="0"/>
                <w:szCs w:val="21"/>
                <w:lang w:bidi="ar"/>
              </w:rPr>
              <w:t>、</w:t>
            </w:r>
            <w:bookmarkStart w:id="119" w:name="OLE_LINK12"/>
            <w:r>
              <w:rPr>
                <w:rFonts w:hint="eastAsia" w:ascii="宋体" w:hAnsi="宋体" w:cs="宋体"/>
                <w:kern w:val="0"/>
                <w:szCs w:val="21"/>
                <w:lang w:bidi="ar"/>
              </w:rPr>
              <w:t>提供4套测速雷达服务</w:t>
            </w:r>
            <w:bookmarkEnd w:id="119"/>
            <w:r>
              <w:rPr>
                <w:rFonts w:hint="eastAsia" w:ascii="宋体" w:hAnsi="宋体" w:cs="宋体"/>
                <w:kern w:val="0"/>
                <w:szCs w:val="21"/>
                <w:lang w:bidi="ar"/>
              </w:rPr>
              <w:t>、</w:t>
            </w:r>
            <w:bookmarkStart w:id="120" w:name="OLE_LINK13"/>
            <w:r>
              <w:rPr>
                <w:rFonts w:hint="eastAsia" w:ascii="宋体" w:hAnsi="宋体" w:cs="宋体"/>
                <w:kern w:val="0"/>
                <w:szCs w:val="21"/>
                <w:lang w:bidi="ar"/>
              </w:rPr>
              <w:t>提供2套环保补光灯产品配套服务</w:t>
            </w:r>
            <w:bookmarkEnd w:id="120"/>
            <w:r>
              <w:rPr>
                <w:rFonts w:hint="eastAsia" w:ascii="宋体" w:hAnsi="宋体" w:cs="宋体"/>
                <w:kern w:val="0"/>
                <w:szCs w:val="21"/>
                <w:lang w:bidi="ar"/>
              </w:rPr>
              <w:t>、</w:t>
            </w:r>
            <w:bookmarkStart w:id="121" w:name="OLE_LINK14"/>
            <w:r>
              <w:rPr>
                <w:rFonts w:hint="eastAsia" w:ascii="宋体" w:hAnsi="宋体" w:cs="宋体"/>
                <w:kern w:val="0"/>
                <w:szCs w:val="21"/>
                <w:lang w:bidi="ar"/>
              </w:rPr>
              <w:t>提供2套智能枪球一体机视频采集服务</w:t>
            </w:r>
            <w:bookmarkEnd w:id="121"/>
            <w:r>
              <w:rPr>
                <w:rFonts w:hint="eastAsia" w:ascii="宋体" w:hAnsi="宋体" w:cs="宋体"/>
                <w:kern w:val="0"/>
                <w:szCs w:val="21"/>
                <w:lang w:bidi="ar"/>
              </w:rPr>
              <w:t>、</w:t>
            </w:r>
            <w:bookmarkStart w:id="122" w:name="OLE_LINK15"/>
            <w:r>
              <w:rPr>
                <w:rFonts w:hint="eastAsia" w:ascii="宋体" w:hAnsi="宋体" w:cs="宋体"/>
                <w:kern w:val="0"/>
                <w:szCs w:val="21"/>
                <w:lang w:bidi="ar"/>
              </w:rPr>
              <w:t>提供2套智能监控设备箱服务</w:t>
            </w:r>
            <w:bookmarkEnd w:id="122"/>
            <w:r>
              <w:rPr>
                <w:rFonts w:hint="eastAsia" w:ascii="宋体" w:hAnsi="宋体" w:cs="宋体"/>
                <w:kern w:val="0"/>
                <w:szCs w:val="21"/>
                <w:lang w:bidi="ar"/>
              </w:rPr>
              <w:t>、</w:t>
            </w:r>
            <w:bookmarkStart w:id="123" w:name="OLE_LINK16"/>
            <w:r>
              <w:rPr>
                <w:rFonts w:hint="eastAsia" w:ascii="宋体" w:hAnsi="宋体" w:cs="宋体"/>
                <w:kern w:val="0"/>
                <w:szCs w:val="21"/>
                <w:lang w:bidi="ar"/>
              </w:rPr>
              <w:t>提供1项配套标志标牌服务</w:t>
            </w:r>
            <w:bookmarkEnd w:id="123"/>
            <w:r>
              <w:rPr>
                <w:rFonts w:hint="eastAsia" w:ascii="宋体" w:hAnsi="宋体" w:cs="宋体"/>
                <w:kern w:val="0"/>
                <w:szCs w:val="21"/>
                <w:lang w:bidi="ar"/>
              </w:rPr>
              <w:t>、</w:t>
            </w:r>
            <w:bookmarkStart w:id="124" w:name="OLE_LINK17"/>
            <w:r>
              <w:rPr>
                <w:rFonts w:hint="eastAsia" w:ascii="宋体" w:hAnsi="宋体" w:cs="宋体"/>
                <w:kern w:val="0"/>
                <w:szCs w:val="21"/>
                <w:lang w:bidi="ar"/>
              </w:rPr>
              <w:t>提供1项系统集成及其他</w:t>
            </w:r>
            <w:bookmarkEnd w:id="124"/>
            <w:r>
              <w:rPr>
                <w:rFonts w:hint="eastAsia" w:ascii="宋体" w:hAnsi="宋体" w:cs="宋体"/>
                <w:kern w:val="0"/>
                <w:szCs w:val="21"/>
                <w:lang w:bidi="ar"/>
              </w:rPr>
              <w:t>服务。</w:t>
            </w:r>
          </w:p>
          <w:p w14:paraId="636A36CB">
            <w:pPr>
              <w:pStyle w:val="8"/>
              <w:spacing w:line="360" w:lineRule="auto"/>
              <w:rPr>
                <w:rFonts w:ascii="宋体" w:hAnsi="宋体" w:cs="宋体"/>
                <w:b/>
                <w:bCs/>
                <w:szCs w:val="21"/>
              </w:rPr>
            </w:pPr>
            <w:r>
              <w:rPr>
                <w:rFonts w:hint="eastAsia" w:ascii="宋体" w:hAnsi="宋体" w:cs="宋体"/>
                <w:b/>
                <w:bCs/>
                <w:kern w:val="0"/>
                <w:szCs w:val="21"/>
                <w:lang w:bidi="ar"/>
              </w:rPr>
              <w:t>（二）具体服务指标要求如下</w:t>
            </w:r>
            <w:r>
              <w:rPr>
                <w:rFonts w:hint="eastAsia" w:ascii="宋体" w:hAnsi="宋体" w:cs="宋体"/>
                <w:b/>
                <w:bCs/>
                <w:kern w:val="0"/>
                <w:szCs w:val="21"/>
              </w:rPr>
              <w:t>（各项</w:t>
            </w:r>
            <w:r>
              <w:rPr>
                <w:rFonts w:hint="eastAsia" w:ascii="宋体" w:hAnsi="宋体" w:cs="宋体"/>
                <w:b/>
                <w:bCs/>
                <w:szCs w:val="21"/>
              </w:rPr>
              <w:t>服务涉及硬件的，需在偏离表中提供服务所需硬件的品牌、规格型号）</w:t>
            </w:r>
          </w:p>
          <w:p w14:paraId="7CC4F99C">
            <w:pPr>
              <w:widowControl/>
              <w:spacing w:line="360" w:lineRule="auto"/>
              <w:jc w:val="left"/>
              <w:textAlignment w:val="center"/>
              <w:rPr>
                <w:rFonts w:ascii="宋体" w:hAnsi="宋体" w:cs="宋体"/>
                <w:b/>
                <w:bCs/>
                <w:kern w:val="0"/>
                <w:szCs w:val="21"/>
                <w:lang w:bidi="ar"/>
              </w:rPr>
            </w:pPr>
            <w:r>
              <w:rPr>
                <w:rFonts w:hint="eastAsia" w:ascii="宋体" w:hAnsi="宋体" w:cs="宋体"/>
                <w:b/>
                <w:bCs/>
                <w:szCs w:val="21"/>
              </w:rPr>
              <w:t>一、</w:t>
            </w:r>
            <w:r>
              <w:rPr>
                <w:rFonts w:hint="eastAsia" w:ascii="宋体" w:hAnsi="宋体" w:cs="宋体"/>
                <w:b/>
                <w:bCs/>
                <w:kern w:val="0"/>
                <w:szCs w:val="21"/>
                <w:lang w:bidi="ar"/>
              </w:rPr>
              <w:t>提供</w:t>
            </w:r>
            <w:r>
              <w:rPr>
                <w:rFonts w:hint="eastAsia" w:ascii="宋体" w:hAnsi="宋体" w:cs="宋体"/>
                <w:b/>
                <w:kern w:val="0"/>
                <w:szCs w:val="21"/>
                <w:lang w:bidi="ar"/>
              </w:rPr>
              <w:t>2套测速电子警察卡口服务</w:t>
            </w:r>
            <w:r>
              <w:rPr>
                <w:rFonts w:hint="eastAsia" w:ascii="宋体" w:hAnsi="宋体" w:cs="宋体"/>
                <w:b/>
                <w:bCs/>
                <w:kern w:val="0"/>
                <w:szCs w:val="21"/>
                <w:lang w:bidi="ar"/>
              </w:rPr>
              <w:t>，需具备以下功能：</w:t>
            </w:r>
          </w:p>
          <w:p w14:paraId="2BA8DD25">
            <w:pPr>
              <w:pStyle w:val="9"/>
              <w:spacing w:line="360" w:lineRule="auto"/>
              <w:jc w:val="left"/>
              <w:rPr>
                <w:rFonts w:ascii="宋体" w:hAnsi="宋体" w:cs="宋体"/>
                <w:szCs w:val="21"/>
              </w:rPr>
            </w:pPr>
            <w:r>
              <w:rPr>
                <w:rFonts w:hint="eastAsia" w:ascii="宋体" w:hAnsi="宋体" w:cs="宋体"/>
                <w:szCs w:val="21"/>
              </w:rPr>
              <w:t xml:space="preserve">1、像素≥900万，采用≥1英寸GMOS传感器，包含高清一体化嵌入式摄像机、高清镜头、室外防护罩、相机内置网络信号防雷器、电源适配器等，抓拍单元防护罩面板具有防尘防水滴功能，且内置LED补光灯。 </w:t>
            </w:r>
          </w:p>
          <w:p w14:paraId="08389782">
            <w:pPr>
              <w:pStyle w:val="9"/>
              <w:spacing w:line="360" w:lineRule="auto"/>
              <w:jc w:val="left"/>
              <w:rPr>
                <w:rFonts w:ascii="宋体" w:hAnsi="宋体" w:cs="宋体"/>
                <w:szCs w:val="21"/>
              </w:rPr>
            </w:pPr>
            <w:r>
              <w:rPr>
                <w:rFonts w:hint="eastAsia" w:ascii="宋体" w:hAnsi="宋体" w:cs="宋体"/>
                <w:szCs w:val="21"/>
              </w:rPr>
              <w:t xml:space="preserve">2、支持主码流同时输出不少于30路4096×2160、2Mbps的25帧/s图像以提供客户端浏览。 </w:t>
            </w:r>
          </w:p>
          <w:p w14:paraId="7E18F924">
            <w:pPr>
              <w:pStyle w:val="9"/>
              <w:spacing w:line="360" w:lineRule="auto"/>
              <w:jc w:val="left"/>
              <w:rPr>
                <w:rFonts w:ascii="宋体" w:hAnsi="宋体" w:cs="宋体"/>
                <w:szCs w:val="21"/>
              </w:rPr>
            </w:pPr>
            <w:r>
              <w:rPr>
                <w:rFonts w:hint="eastAsia" w:ascii="宋体" w:hAnsi="宋体" w:cs="宋体"/>
                <w:szCs w:val="21"/>
              </w:rPr>
              <w:t>3、</w:t>
            </w:r>
            <w:r>
              <w:rPr>
                <w:rFonts w:hint="eastAsia" w:ascii="Segoe UI Emoji" w:hAnsi="Segoe UI Emoji" w:eastAsia="Segoe UI Emoji" w:cs="Segoe UI Emoji"/>
                <w:szCs w:val="21"/>
              </w:rPr>
              <w:t>▲</w:t>
            </w:r>
            <w:r>
              <w:rPr>
                <w:rFonts w:hint="eastAsia" w:ascii="宋体" w:hAnsi="宋体" w:cs="宋体"/>
                <w:szCs w:val="21"/>
              </w:rPr>
              <w:t>在满足GA/T 1202-2022一级补光标准，补光≤20lx 的前提下，抓拍图片满足 GA/T 832-2014标准中3.6.1要求， 配套符合GA/T 1202-2022标准的一级补光灯，设备抓拍车牌、车身颜色、车内前排人脸及衣着均清晰可见。</w:t>
            </w:r>
          </w:p>
          <w:p w14:paraId="1F1ACCA5">
            <w:pPr>
              <w:pStyle w:val="9"/>
              <w:spacing w:line="360" w:lineRule="auto"/>
              <w:jc w:val="left"/>
              <w:rPr>
                <w:rFonts w:ascii="宋体" w:hAnsi="宋体" w:cs="宋体"/>
                <w:szCs w:val="21"/>
              </w:rPr>
            </w:pPr>
            <w:r>
              <w:rPr>
                <w:rFonts w:hint="eastAsia" w:ascii="宋体" w:hAnsi="宋体" w:cs="宋体"/>
                <w:szCs w:val="21"/>
              </w:rPr>
              <w:t>4、</w:t>
            </w:r>
            <w:r>
              <w:rPr>
                <w:rFonts w:hint="eastAsia" w:ascii="Segoe UI Emoji" w:hAnsi="Segoe UI Emoji" w:eastAsia="Segoe UI Emoji" w:cs="Segoe UI Emoji"/>
                <w:szCs w:val="21"/>
              </w:rPr>
              <w:t>▲</w:t>
            </w:r>
            <w:r>
              <w:rPr>
                <w:rFonts w:hint="eastAsia" w:ascii="宋体" w:hAnsi="宋体" w:cs="宋体"/>
                <w:szCs w:val="21"/>
              </w:rPr>
              <w:t>支持车辆抓拍，支持抓拍输出车牌局部照片、车窗局部照片、非机动车局部照片、场景全景图片，支持设置车辆抓拍位置到立杆的架设距离、设备架设高度，并在视频图像中显示位置信息。</w:t>
            </w:r>
          </w:p>
          <w:p w14:paraId="6229A570">
            <w:pPr>
              <w:pStyle w:val="9"/>
              <w:spacing w:line="360" w:lineRule="auto"/>
              <w:jc w:val="left"/>
              <w:rPr>
                <w:rFonts w:ascii="宋体" w:hAnsi="宋体" w:cs="宋体"/>
                <w:szCs w:val="21"/>
              </w:rPr>
            </w:pPr>
            <w:r>
              <w:rPr>
                <w:rFonts w:hint="eastAsia" w:ascii="宋体" w:hAnsi="宋体" w:cs="宋体"/>
                <w:szCs w:val="21"/>
              </w:rPr>
              <w:t xml:space="preserve">5、支持车辆子品牌识别并显示相应的年款，车头≥7500种，车尾≥3900种，全天识别准确率不低于99%。 </w:t>
            </w:r>
          </w:p>
          <w:p w14:paraId="72BCAF2C">
            <w:pPr>
              <w:pStyle w:val="9"/>
              <w:spacing w:line="360" w:lineRule="auto"/>
              <w:jc w:val="left"/>
              <w:rPr>
                <w:rFonts w:ascii="宋体" w:hAnsi="宋体" w:cs="宋体"/>
                <w:szCs w:val="21"/>
              </w:rPr>
            </w:pPr>
            <w:r>
              <w:rPr>
                <w:rFonts w:hint="eastAsia" w:ascii="宋体" w:hAnsi="宋体" w:cs="宋体"/>
                <w:szCs w:val="21"/>
              </w:rPr>
              <w:t>6、</w:t>
            </w:r>
            <w:r>
              <w:rPr>
                <w:rFonts w:hint="eastAsia" w:ascii="Segoe UI Emoji" w:hAnsi="Segoe UI Emoji" w:eastAsia="Segoe UI Emoji" w:cs="Segoe UI Emoji"/>
                <w:szCs w:val="21"/>
              </w:rPr>
              <w:t>▲</w:t>
            </w:r>
            <w:r>
              <w:rPr>
                <w:rFonts w:hint="eastAsia" w:ascii="宋体" w:hAnsi="宋体" w:cs="宋体"/>
                <w:szCs w:val="21"/>
              </w:rPr>
              <w:t>支持检测并跟踪指定区域内不少于245 个目标，目标包括机动车、非机动车以及行人。</w:t>
            </w:r>
          </w:p>
          <w:p w14:paraId="4B9923FE">
            <w:pPr>
              <w:pStyle w:val="9"/>
              <w:spacing w:line="360" w:lineRule="auto"/>
              <w:jc w:val="left"/>
              <w:rPr>
                <w:rFonts w:ascii="宋体" w:hAnsi="宋体" w:cs="宋体"/>
                <w:szCs w:val="21"/>
              </w:rPr>
            </w:pPr>
            <w:r>
              <w:rPr>
                <w:rFonts w:hint="eastAsia" w:ascii="宋体" w:hAnsi="宋体" w:cs="宋体"/>
                <w:szCs w:val="21"/>
              </w:rPr>
              <w:t>7、</w:t>
            </w:r>
            <w:r>
              <w:rPr>
                <w:rFonts w:hint="eastAsia" w:ascii="Segoe UI Emoji" w:hAnsi="Segoe UI Emoji" w:eastAsia="Segoe UI Emoji" w:cs="Segoe UI Emoji"/>
                <w:szCs w:val="21"/>
              </w:rPr>
              <w:t>▲</w:t>
            </w:r>
            <w:r>
              <w:rPr>
                <w:rFonts w:hint="eastAsia" w:ascii="宋体" w:hAnsi="宋体" w:cs="宋体"/>
                <w:szCs w:val="21"/>
              </w:rPr>
              <w:t>支持识别不少于 39 种车身颜色，包括白、黑、红、黄、灰、蓝、绿、粉、紫、暗紫、棕、栗色、银灰、暗灰、白烟、深橙、浅玫瑰、番茄红、橄榄、金、暗橄榄、黄绿、绿黄、森林绿、海洋绿、深天蓝、青、深蓝、深红、深绿、深黄、深粉、深紫、深棕、深青、橙、深金、粉红、其他； 支持识别车身副颜色。</w:t>
            </w:r>
          </w:p>
          <w:p w14:paraId="4D06AE99">
            <w:pPr>
              <w:pStyle w:val="9"/>
              <w:spacing w:line="360" w:lineRule="auto"/>
              <w:jc w:val="left"/>
              <w:rPr>
                <w:rFonts w:ascii="宋体" w:hAnsi="宋体" w:cs="宋体"/>
                <w:szCs w:val="21"/>
              </w:rPr>
            </w:pPr>
            <w:r>
              <w:rPr>
                <w:rFonts w:hint="eastAsia" w:ascii="宋体" w:hAnsi="宋体" w:cs="宋体"/>
                <w:szCs w:val="21"/>
              </w:rPr>
              <w:t xml:space="preserve">8、支持黄标车标志检测、异常车牌、夜间未开车灯、行人人脸检测、非机动车驾驶员属性、车窗内挂件识别、年检贴检测、危险品车检测、车身副颜色等多种检测识别功能。 </w:t>
            </w:r>
          </w:p>
          <w:p w14:paraId="14650FEE">
            <w:pPr>
              <w:pStyle w:val="9"/>
              <w:spacing w:line="360" w:lineRule="auto"/>
              <w:jc w:val="left"/>
              <w:rPr>
                <w:rFonts w:ascii="宋体" w:hAnsi="宋体" w:cs="宋体"/>
                <w:szCs w:val="21"/>
              </w:rPr>
            </w:pPr>
            <w:r>
              <w:rPr>
                <w:rFonts w:hint="eastAsia" w:ascii="宋体" w:hAnsi="宋体" w:cs="宋体"/>
                <w:szCs w:val="21"/>
              </w:rPr>
              <w:t xml:space="preserve">9、具有抓拍黄牌车、蓝牌车，绿牌车、渐变绿牌车、黑牌车、黄绿双拼牌车、白牌车、红牌车和不启用抓拍九个设置选项。支持对蓝色、黄色、绿色、渐变绿色、黑色、黄绿双拼色、白色、红色以及其他不同颜色车牌的车辆进行选择抓拍。 </w:t>
            </w:r>
          </w:p>
          <w:p w14:paraId="0420E9F7">
            <w:pPr>
              <w:pStyle w:val="9"/>
              <w:spacing w:line="360" w:lineRule="auto"/>
              <w:jc w:val="left"/>
              <w:rPr>
                <w:rFonts w:ascii="宋体" w:hAnsi="宋体" w:cs="宋体"/>
                <w:szCs w:val="21"/>
              </w:rPr>
            </w:pPr>
            <w:r>
              <w:rPr>
                <w:rFonts w:hint="eastAsia" w:ascii="宋体" w:hAnsi="宋体" w:cs="宋体"/>
                <w:szCs w:val="21"/>
              </w:rPr>
              <w:t xml:space="preserve">10、抓拍图片具备智能压缩技术，可以保证在主体目标清晰的情况下压缩图片整体大小，平均压缩率可达到原图大小的30%。 </w:t>
            </w:r>
          </w:p>
          <w:p w14:paraId="7DBC6DA9">
            <w:pPr>
              <w:pStyle w:val="9"/>
              <w:spacing w:line="360" w:lineRule="auto"/>
              <w:jc w:val="left"/>
              <w:rPr>
                <w:rFonts w:ascii="宋体" w:hAnsi="宋体" w:cs="宋体"/>
                <w:szCs w:val="21"/>
              </w:rPr>
            </w:pPr>
            <w:r>
              <w:rPr>
                <w:rFonts w:hint="eastAsia" w:ascii="宋体" w:hAnsi="宋体" w:cs="宋体"/>
                <w:szCs w:val="21"/>
              </w:rPr>
              <w:t>11、</w:t>
            </w:r>
            <w:r>
              <w:rPr>
                <w:rFonts w:hint="eastAsia" w:ascii="Segoe UI Emoji" w:hAnsi="Segoe UI Emoji" w:eastAsia="Segoe UI Emoji" w:cs="Segoe UI Emoji"/>
                <w:szCs w:val="21"/>
              </w:rPr>
              <w:t>▲</w:t>
            </w:r>
            <w:r>
              <w:rPr>
                <w:rFonts w:hint="eastAsia" w:ascii="宋体" w:hAnsi="宋体" w:cs="宋体"/>
                <w:szCs w:val="21"/>
              </w:rPr>
              <w:t>支持识别不少于50种车型，支持分别对≥11种车型（大货车、中货车、小货车、客车、小轿车、中客车、危险品运输车、校车、面包车、环卫车、其他车型）进行不同超速比设置，可设置≥18个超速比区间。在相同道路上，设备支持根据不同的超速比设置对不同车型进行超速抓拍，并输出不同的超速抓拍结果及违法代码。</w:t>
            </w:r>
          </w:p>
          <w:p w14:paraId="40C7F0CB">
            <w:pPr>
              <w:pStyle w:val="9"/>
              <w:spacing w:line="360" w:lineRule="auto"/>
              <w:jc w:val="left"/>
              <w:rPr>
                <w:rFonts w:ascii="宋体" w:hAnsi="宋体" w:cs="宋体"/>
                <w:szCs w:val="21"/>
              </w:rPr>
            </w:pPr>
            <w:r>
              <w:rPr>
                <w:rFonts w:hint="eastAsia" w:ascii="宋体" w:hAnsi="宋体" w:cs="宋体"/>
                <w:szCs w:val="21"/>
              </w:rPr>
              <w:t>12、支持机动车、二轮车（摩托车、自行车、电动二轮车）、三轮车和行人分类检测。</w:t>
            </w:r>
          </w:p>
          <w:p w14:paraId="516D7416">
            <w:pPr>
              <w:pStyle w:val="9"/>
              <w:spacing w:line="360" w:lineRule="auto"/>
              <w:jc w:val="left"/>
              <w:rPr>
                <w:rFonts w:ascii="宋体" w:hAnsi="宋体" w:cs="宋体"/>
                <w:szCs w:val="21"/>
              </w:rPr>
            </w:pPr>
            <w:r>
              <w:rPr>
                <w:rFonts w:hint="eastAsia" w:ascii="宋体" w:hAnsi="宋体" w:cs="宋体"/>
                <w:szCs w:val="21"/>
              </w:rPr>
              <w:t xml:space="preserve">13、支持按车道和时间段配置机动车违法检测抓拍规则，包括压线、违法变道、不按导向行驶、占用非机动车道、倒车、闯红灯、不按规定车道行驶、占用公交车道、逆行、违反禁止左/右转、违法掉头、违反禁货车通行。 </w:t>
            </w:r>
          </w:p>
          <w:p w14:paraId="6F0B4FBF">
            <w:pPr>
              <w:pStyle w:val="9"/>
              <w:spacing w:line="360" w:lineRule="auto"/>
              <w:jc w:val="left"/>
              <w:rPr>
                <w:rFonts w:ascii="宋体" w:hAnsi="宋体" w:cs="宋体"/>
                <w:szCs w:val="21"/>
              </w:rPr>
            </w:pPr>
            <w:r>
              <w:rPr>
                <w:rFonts w:hint="eastAsia" w:ascii="宋体" w:hAnsi="宋体" w:cs="宋体"/>
                <w:szCs w:val="21"/>
              </w:rPr>
              <w:t>14、</w:t>
            </w:r>
            <w:r>
              <w:rPr>
                <w:rFonts w:hint="eastAsia" w:ascii="Segoe UI Emoji" w:hAnsi="Segoe UI Emoji" w:eastAsia="Segoe UI Emoji" w:cs="Segoe UI Emoji"/>
                <w:szCs w:val="21"/>
              </w:rPr>
              <w:t>▲</w:t>
            </w:r>
            <w:r>
              <w:rPr>
                <w:rFonts w:hint="eastAsia" w:ascii="宋体" w:hAnsi="宋体" w:cs="宋体"/>
                <w:szCs w:val="21"/>
              </w:rPr>
              <w:t>支持对25×10 像素～1100×3000 像素的机动车车牌进行抓拍并识别；支持识别并抓拍垂直倾斜角度≤</w:t>
            </w:r>
            <w:r>
              <w:rPr>
                <w:rFonts w:ascii="宋体" w:hAnsi="宋体" w:cs="宋体"/>
                <w:szCs w:val="21"/>
              </w:rPr>
              <w:t>4</w:t>
            </w:r>
            <w:r>
              <w:rPr>
                <w:rFonts w:hint="eastAsia" w:ascii="宋体" w:hAnsi="宋体" w:cs="宋体"/>
                <w:szCs w:val="21"/>
              </w:rPr>
              <w:t>5°、水平倾斜角度≤35°、俯仰角度≤40°的机动车车牌。</w:t>
            </w:r>
          </w:p>
          <w:p w14:paraId="1FFF57D6">
            <w:pPr>
              <w:pStyle w:val="9"/>
              <w:spacing w:line="360" w:lineRule="auto"/>
              <w:jc w:val="left"/>
              <w:rPr>
                <w:rFonts w:ascii="宋体" w:hAnsi="宋体" w:cs="宋体"/>
                <w:szCs w:val="21"/>
              </w:rPr>
            </w:pPr>
            <w:r>
              <w:rPr>
                <w:rFonts w:hint="eastAsia" w:ascii="宋体" w:hAnsi="宋体" w:cs="宋体"/>
                <w:szCs w:val="21"/>
              </w:rPr>
              <w:t>15、在天气晴朗无雾，车辆无遮挡，号牌无污损白天环境光照度≥ 200lx，夜晚辅助光照度≥30lx的情况下进行测试；白天车牌号识别准确率≥99%，晚上车牌号识别准确率≥99%； 白天车身颜色识别准确率≥98%，晚上车身颜色识别准确率≥98%； 白天车辆类型识别准确率≥99%，晚上车辆类型识别准确率≥99%。</w:t>
            </w:r>
          </w:p>
          <w:p w14:paraId="21D9738D">
            <w:pPr>
              <w:pStyle w:val="9"/>
              <w:spacing w:line="360" w:lineRule="auto"/>
              <w:jc w:val="left"/>
              <w:rPr>
                <w:rFonts w:ascii="宋体" w:hAnsi="宋体" w:cs="宋体"/>
                <w:szCs w:val="21"/>
              </w:rPr>
            </w:pPr>
            <w:r>
              <w:rPr>
                <w:rFonts w:hint="eastAsia" w:ascii="宋体" w:hAnsi="宋体" w:cs="宋体"/>
                <w:szCs w:val="21"/>
              </w:rPr>
              <w:t>16、支持根据现场违章抓拍需求通过web界面设置事件优先度，事件优先度1～18可设，设置后可按事件优先度进行违章抓拍及图片存储。</w:t>
            </w:r>
          </w:p>
          <w:p w14:paraId="2E32B4A7">
            <w:pPr>
              <w:widowControl/>
              <w:numPr>
                <w:ilvl w:val="0"/>
                <w:numId w:val="7"/>
              </w:numPr>
              <w:spacing w:line="360" w:lineRule="auto"/>
              <w:jc w:val="left"/>
              <w:textAlignment w:val="center"/>
              <w:rPr>
                <w:rFonts w:ascii="宋体" w:hAnsi="宋体" w:cs="宋体"/>
                <w:b/>
                <w:bCs/>
                <w:kern w:val="0"/>
                <w:szCs w:val="21"/>
                <w:lang w:bidi="ar"/>
              </w:rPr>
            </w:pPr>
            <w:r>
              <w:rPr>
                <w:rFonts w:hint="eastAsia" w:ascii="宋体" w:hAnsi="宋体" w:cs="宋体"/>
                <w:b/>
                <w:kern w:val="0"/>
                <w:szCs w:val="21"/>
                <w:lang w:bidi="ar"/>
              </w:rPr>
              <w:t>提供4套测速雷达服务</w:t>
            </w:r>
            <w:r>
              <w:rPr>
                <w:rFonts w:hint="eastAsia" w:ascii="宋体" w:hAnsi="宋体" w:cs="宋体"/>
                <w:b/>
                <w:bCs/>
                <w:kern w:val="0"/>
                <w:szCs w:val="21"/>
                <w:lang w:bidi="ar"/>
              </w:rPr>
              <w:t>，需具备以下功能：</w:t>
            </w:r>
          </w:p>
          <w:p w14:paraId="6A4928A2">
            <w:pPr>
              <w:pStyle w:val="9"/>
              <w:spacing w:line="360" w:lineRule="auto"/>
              <w:jc w:val="left"/>
              <w:rPr>
                <w:rFonts w:ascii="宋体" w:hAnsi="宋体" w:cs="宋体"/>
                <w:szCs w:val="21"/>
              </w:rPr>
            </w:pPr>
            <w:r>
              <w:rPr>
                <w:rFonts w:hint="eastAsia" w:ascii="宋体" w:hAnsi="宋体" w:cs="宋体"/>
                <w:szCs w:val="21"/>
              </w:rPr>
              <w:t>1、测速范围检验：10km/h-250km/h，误差-4 km/h~0 km/h，频率偏离误差≤±45MHZ。</w:t>
            </w:r>
          </w:p>
          <w:p w14:paraId="13A8B103">
            <w:pPr>
              <w:pStyle w:val="9"/>
              <w:spacing w:line="360" w:lineRule="auto"/>
              <w:jc w:val="left"/>
              <w:rPr>
                <w:rFonts w:ascii="宋体" w:hAnsi="宋体" w:cs="宋体"/>
                <w:szCs w:val="21"/>
              </w:rPr>
            </w:pPr>
            <w:r>
              <w:rPr>
                <w:rFonts w:hint="eastAsia" w:ascii="宋体" w:hAnsi="宋体" w:cs="宋体"/>
                <w:szCs w:val="21"/>
              </w:rPr>
              <w:t>2、测速距离：单车道18～28m，波束宽度： 水平&lt;6°、垂直&lt;6°。</w:t>
            </w:r>
          </w:p>
          <w:p w14:paraId="499B719E">
            <w:pPr>
              <w:pStyle w:val="9"/>
              <w:spacing w:line="360" w:lineRule="auto"/>
              <w:jc w:val="left"/>
              <w:rPr>
                <w:rFonts w:ascii="宋体" w:hAnsi="宋体" w:cs="宋体"/>
                <w:szCs w:val="21"/>
              </w:rPr>
            </w:pPr>
            <w:r>
              <w:rPr>
                <w:rFonts w:hint="eastAsia" w:ascii="宋体" w:hAnsi="宋体" w:cs="宋体"/>
                <w:szCs w:val="21"/>
              </w:rPr>
              <w:t>3、内置WiFi功能，可通过WIFI连接进行升级，升级后功能正常，可进行雷达触发位置设置和雷达灵敏度进行配置。</w:t>
            </w:r>
          </w:p>
          <w:p w14:paraId="6B6296B5">
            <w:pPr>
              <w:pStyle w:val="9"/>
              <w:spacing w:line="360" w:lineRule="auto"/>
              <w:jc w:val="left"/>
              <w:rPr>
                <w:rFonts w:ascii="宋体" w:hAnsi="宋体" w:cs="宋体"/>
                <w:szCs w:val="21"/>
              </w:rPr>
            </w:pPr>
            <w:r>
              <w:rPr>
                <w:rFonts w:hint="eastAsia" w:ascii="宋体" w:hAnsi="宋体" w:cs="宋体"/>
                <w:szCs w:val="21"/>
              </w:rPr>
              <w:t>4、输入电压为9V-12V范围内测速雷达能正常工作。</w:t>
            </w:r>
          </w:p>
          <w:p w14:paraId="403C9591">
            <w:pPr>
              <w:pStyle w:val="9"/>
              <w:spacing w:line="360" w:lineRule="auto"/>
              <w:jc w:val="left"/>
              <w:rPr>
                <w:rFonts w:ascii="宋体" w:hAnsi="宋体" w:cs="宋体"/>
                <w:szCs w:val="21"/>
              </w:rPr>
            </w:pPr>
            <w:r>
              <w:rPr>
                <w:rFonts w:hint="eastAsia" w:ascii="宋体" w:hAnsi="宋体" w:cs="宋体"/>
                <w:szCs w:val="21"/>
              </w:rPr>
              <w:t>5、雷达测速单元功耗≤2.5W，频偏对测速精度无影响。</w:t>
            </w:r>
          </w:p>
          <w:p w14:paraId="6F42A03C">
            <w:pPr>
              <w:pStyle w:val="9"/>
              <w:spacing w:line="360" w:lineRule="auto"/>
              <w:jc w:val="left"/>
              <w:rPr>
                <w:rFonts w:ascii="宋体" w:hAnsi="宋体" w:cs="宋体"/>
                <w:szCs w:val="21"/>
              </w:rPr>
            </w:pPr>
            <w:r>
              <w:rPr>
                <w:rFonts w:hint="eastAsia" w:ascii="宋体" w:hAnsi="宋体" w:cs="宋体"/>
                <w:szCs w:val="21"/>
              </w:rPr>
              <w:t>6、串口升级后功能应正常，可进行雷达触发位置设置和雷达触发灵敏度设置。</w:t>
            </w:r>
          </w:p>
          <w:p w14:paraId="6A09FF5A">
            <w:pPr>
              <w:pStyle w:val="9"/>
              <w:spacing w:line="360" w:lineRule="auto"/>
              <w:jc w:val="left"/>
              <w:rPr>
                <w:rFonts w:ascii="宋体" w:hAnsi="宋体" w:cs="宋体"/>
                <w:szCs w:val="21"/>
              </w:rPr>
            </w:pPr>
            <w:r>
              <w:rPr>
                <w:rFonts w:hint="eastAsia" w:ascii="宋体" w:hAnsi="宋体" w:cs="宋体"/>
                <w:szCs w:val="21"/>
              </w:rPr>
              <w:t>7、防护等级≥IP65。</w:t>
            </w:r>
          </w:p>
          <w:p w14:paraId="1C960CB8">
            <w:pPr>
              <w:widowControl/>
              <w:numPr>
                <w:ilvl w:val="0"/>
                <w:numId w:val="7"/>
              </w:numPr>
              <w:spacing w:line="360" w:lineRule="auto"/>
              <w:jc w:val="left"/>
              <w:textAlignment w:val="center"/>
              <w:rPr>
                <w:rFonts w:ascii="宋体" w:hAnsi="宋体" w:cs="宋体"/>
                <w:b/>
                <w:bCs/>
                <w:kern w:val="0"/>
                <w:szCs w:val="21"/>
                <w:lang w:bidi="ar"/>
              </w:rPr>
            </w:pPr>
            <w:r>
              <w:rPr>
                <w:rFonts w:hint="eastAsia" w:ascii="宋体" w:hAnsi="宋体" w:cs="宋体"/>
                <w:b/>
                <w:kern w:val="0"/>
                <w:szCs w:val="21"/>
                <w:lang w:bidi="ar"/>
              </w:rPr>
              <w:t>提供2套环保补光灯产品配套服务</w:t>
            </w:r>
            <w:r>
              <w:rPr>
                <w:rFonts w:hint="eastAsia" w:ascii="宋体" w:hAnsi="宋体" w:cs="宋体"/>
                <w:b/>
                <w:bCs/>
                <w:kern w:val="0"/>
                <w:szCs w:val="21"/>
                <w:lang w:bidi="ar"/>
              </w:rPr>
              <w:t>，需具备以下功能：</w:t>
            </w:r>
          </w:p>
          <w:p w14:paraId="4372AD56">
            <w:pPr>
              <w:pStyle w:val="9"/>
              <w:spacing w:line="360" w:lineRule="auto"/>
              <w:jc w:val="left"/>
              <w:rPr>
                <w:rFonts w:ascii="宋体" w:hAnsi="宋体" w:cs="宋体"/>
                <w:szCs w:val="21"/>
              </w:rPr>
            </w:pPr>
            <w:r>
              <w:rPr>
                <w:rFonts w:hint="eastAsia" w:ascii="宋体" w:hAnsi="宋体" w:cs="宋体"/>
                <w:szCs w:val="21"/>
              </w:rPr>
              <w:t>1、符合GA/T 1202-2022《交通技术监控成像补光装置通用技术条件》。</w:t>
            </w:r>
          </w:p>
          <w:p w14:paraId="21708274">
            <w:pPr>
              <w:pStyle w:val="9"/>
              <w:spacing w:line="360" w:lineRule="auto"/>
              <w:jc w:val="left"/>
              <w:rPr>
                <w:rFonts w:ascii="宋体" w:hAnsi="宋体" w:cs="宋体"/>
                <w:szCs w:val="21"/>
              </w:rPr>
            </w:pPr>
            <w:r>
              <w:rPr>
                <w:rFonts w:hint="eastAsia" w:ascii="宋体" w:hAnsi="宋体" w:cs="宋体"/>
                <w:szCs w:val="21"/>
              </w:rPr>
              <w:t>2、补光装置光源包括LED光源（一级频闪）和气体放电光源（二级脉冲）。</w:t>
            </w:r>
          </w:p>
          <w:p w14:paraId="7449572E">
            <w:pPr>
              <w:pStyle w:val="9"/>
              <w:spacing w:line="360" w:lineRule="auto"/>
              <w:jc w:val="left"/>
              <w:rPr>
                <w:rFonts w:ascii="宋体" w:hAnsi="宋体" w:cs="宋体"/>
                <w:szCs w:val="21"/>
              </w:rPr>
            </w:pPr>
            <w:r>
              <w:rPr>
                <w:rFonts w:hint="eastAsia" w:ascii="宋体" w:hAnsi="宋体" w:cs="宋体"/>
                <w:szCs w:val="21"/>
              </w:rPr>
              <w:t>3、采用LED光源和气灯放电两种光源，LED光源呈圆形排布，气体补光控制具有峰值抑制功能。</w:t>
            </w:r>
          </w:p>
          <w:p w14:paraId="3CA28502">
            <w:pPr>
              <w:pStyle w:val="9"/>
              <w:spacing w:line="360" w:lineRule="auto"/>
              <w:jc w:val="left"/>
              <w:rPr>
                <w:rFonts w:ascii="宋体" w:hAnsi="宋体" w:cs="宋体"/>
                <w:szCs w:val="21"/>
              </w:rPr>
            </w:pPr>
            <w:r>
              <w:rPr>
                <w:rFonts w:hint="eastAsia" w:ascii="宋体" w:hAnsi="宋体" w:cs="宋体"/>
                <w:szCs w:val="21"/>
              </w:rPr>
              <w:t>4、覆盖范围为单车道，支持LED频闪、LED爆闪、白光气体爆闪等3种补光方式，可通过远程控制切换。</w:t>
            </w:r>
          </w:p>
          <w:p w14:paraId="41D57CF6">
            <w:pPr>
              <w:pStyle w:val="9"/>
              <w:spacing w:line="360" w:lineRule="auto"/>
              <w:jc w:val="left"/>
              <w:rPr>
                <w:rFonts w:ascii="宋体" w:hAnsi="宋体" w:cs="宋体"/>
                <w:szCs w:val="21"/>
              </w:rPr>
            </w:pPr>
            <w:r>
              <w:rPr>
                <w:rFonts w:hint="eastAsia" w:ascii="宋体" w:hAnsi="宋体" w:cs="宋体"/>
                <w:szCs w:val="21"/>
              </w:rPr>
              <w:t>5、具备但不限于以下接口：1路频闪触发输入，≥2路爆闪输入。</w:t>
            </w:r>
          </w:p>
          <w:p w14:paraId="3627BE09">
            <w:pPr>
              <w:pStyle w:val="9"/>
              <w:spacing w:line="360" w:lineRule="auto"/>
              <w:jc w:val="left"/>
              <w:rPr>
                <w:rFonts w:ascii="宋体" w:hAnsi="宋体" w:cs="宋体"/>
                <w:szCs w:val="21"/>
              </w:rPr>
            </w:pPr>
            <w:r>
              <w:rPr>
                <w:rFonts w:hint="eastAsia" w:ascii="宋体" w:hAnsi="宋体" w:cs="宋体"/>
                <w:szCs w:val="21"/>
              </w:rPr>
              <w:t>6、触发占空比 1%~39%，当占空比大于等于40%时进入自保护状态。</w:t>
            </w:r>
          </w:p>
          <w:p w14:paraId="2DB242DA">
            <w:pPr>
              <w:pStyle w:val="9"/>
              <w:spacing w:line="360" w:lineRule="auto"/>
              <w:jc w:val="left"/>
              <w:rPr>
                <w:rFonts w:ascii="宋体" w:hAnsi="宋体" w:cs="宋体"/>
                <w:szCs w:val="21"/>
              </w:rPr>
            </w:pPr>
            <w:r>
              <w:rPr>
                <w:rFonts w:hint="eastAsia" w:ascii="宋体" w:hAnsi="宋体" w:cs="宋体"/>
                <w:szCs w:val="21"/>
              </w:rPr>
              <w:t>7、支持相机误触发保护功能，触发信号输入异常时自动保护、且自动恢复。</w:t>
            </w:r>
          </w:p>
          <w:p w14:paraId="2ABB6808">
            <w:pPr>
              <w:pStyle w:val="9"/>
              <w:spacing w:line="360" w:lineRule="auto"/>
              <w:jc w:val="left"/>
              <w:rPr>
                <w:rFonts w:ascii="宋体" w:hAnsi="宋体" w:cs="宋体"/>
                <w:szCs w:val="21"/>
              </w:rPr>
            </w:pPr>
            <w:r>
              <w:rPr>
                <w:rFonts w:hint="eastAsia" w:ascii="宋体" w:hAnsi="宋体" w:cs="宋体"/>
                <w:szCs w:val="21"/>
              </w:rPr>
              <w:t>8、气体光源回电时间小于67ms，支持超速连拍。</w:t>
            </w:r>
          </w:p>
          <w:p w14:paraId="7292D5A4">
            <w:pPr>
              <w:pStyle w:val="9"/>
              <w:spacing w:line="360" w:lineRule="auto"/>
              <w:jc w:val="left"/>
              <w:rPr>
                <w:rFonts w:ascii="宋体" w:hAnsi="宋体" w:cs="宋体"/>
                <w:szCs w:val="21"/>
              </w:rPr>
            </w:pPr>
            <w:r>
              <w:rPr>
                <w:rFonts w:hint="eastAsia" w:ascii="宋体" w:hAnsi="宋体" w:cs="宋体"/>
                <w:szCs w:val="21"/>
              </w:rPr>
              <w:t>9、防护等级≥IP66。</w:t>
            </w:r>
          </w:p>
          <w:p w14:paraId="061AF383">
            <w:pPr>
              <w:widowControl/>
              <w:numPr>
                <w:ilvl w:val="0"/>
                <w:numId w:val="7"/>
              </w:numPr>
              <w:spacing w:line="360" w:lineRule="auto"/>
              <w:jc w:val="left"/>
              <w:textAlignment w:val="center"/>
              <w:rPr>
                <w:rFonts w:ascii="宋体" w:hAnsi="宋体" w:cs="宋体"/>
                <w:b/>
                <w:bCs/>
                <w:kern w:val="0"/>
                <w:szCs w:val="21"/>
                <w:lang w:bidi="ar"/>
              </w:rPr>
            </w:pPr>
            <w:r>
              <w:rPr>
                <w:rFonts w:hint="eastAsia" w:ascii="宋体" w:hAnsi="宋体" w:cs="宋体"/>
                <w:b/>
                <w:kern w:val="0"/>
                <w:szCs w:val="21"/>
                <w:lang w:bidi="ar"/>
              </w:rPr>
              <w:t>提供2套智能枪球一体机视频采集服务</w:t>
            </w:r>
            <w:r>
              <w:rPr>
                <w:rFonts w:hint="eastAsia" w:ascii="宋体" w:hAnsi="宋体" w:cs="宋体"/>
                <w:b/>
                <w:bCs/>
                <w:kern w:val="0"/>
                <w:szCs w:val="21"/>
                <w:lang w:bidi="ar"/>
              </w:rPr>
              <w:t>，需具备以下功能：</w:t>
            </w:r>
          </w:p>
          <w:p w14:paraId="52FC90AD">
            <w:pPr>
              <w:pStyle w:val="9"/>
              <w:spacing w:line="360" w:lineRule="auto"/>
              <w:jc w:val="left"/>
              <w:rPr>
                <w:rFonts w:ascii="宋体" w:hAnsi="宋体" w:cs="宋体"/>
                <w:szCs w:val="21"/>
              </w:rPr>
            </w:pPr>
            <w:r>
              <w:rPr>
                <w:rFonts w:hint="eastAsia" w:ascii="宋体" w:hAnsi="宋体" w:cs="宋体"/>
                <w:szCs w:val="21"/>
              </w:rPr>
              <w:t>1、设备内置≥2个全景通道和≥1个细节通道，细节最大分辨率≥2688×1520。</w:t>
            </w:r>
          </w:p>
          <w:p w14:paraId="3E471D81">
            <w:pPr>
              <w:pStyle w:val="9"/>
              <w:spacing w:line="360" w:lineRule="auto"/>
              <w:jc w:val="left"/>
              <w:rPr>
                <w:rFonts w:ascii="宋体" w:hAnsi="宋体" w:cs="宋体"/>
                <w:szCs w:val="21"/>
              </w:rPr>
            </w:pPr>
            <w:r>
              <w:rPr>
                <w:rFonts w:hint="eastAsia" w:ascii="宋体" w:hAnsi="宋体" w:cs="宋体"/>
                <w:szCs w:val="21"/>
              </w:rPr>
              <w:t>2、支持最低照度可达彩色≤0.0005lx，黑白≤0.0001lx。</w:t>
            </w:r>
          </w:p>
          <w:p w14:paraId="4943C3D7">
            <w:pPr>
              <w:pStyle w:val="9"/>
              <w:spacing w:line="360" w:lineRule="auto"/>
              <w:jc w:val="left"/>
              <w:rPr>
                <w:rFonts w:ascii="宋体" w:hAnsi="宋体" w:cs="宋体"/>
                <w:szCs w:val="21"/>
              </w:rPr>
            </w:pPr>
            <w:r>
              <w:rPr>
                <w:rFonts w:hint="eastAsia" w:ascii="宋体" w:hAnsi="宋体" w:cs="宋体"/>
                <w:szCs w:val="21"/>
              </w:rPr>
              <w:t>3、支持白光补光≥30米，红外补光≥100米。</w:t>
            </w:r>
          </w:p>
          <w:p w14:paraId="47BCF11D">
            <w:pPr>
              <w:pStyle w:val="9"/>
              <w:spacing w:line="360" w:lineRule="auto"/>
              <w:jc w:val="left"/>
              <w:rPr>
                <w:rFonts w:ascii="宋体" w:hAnsi="宋体" w:cs="宋体"/>
                <w:szCs w:val="21"/>
              </w:rPr>
            </w:pPr>
            <w:r>
              <w:rPr>
                <w:rFonts w:hint="eastAsia" w:ascii="宋体" w:hAnsi="宋体" w:cs="宋体"/>
                <w:szCs w:val="21"/>
              </w:rPr>
              <w:t>4、设备设置为全景拼接模式下：可输出≥2个通道画面，全景通道支持分辨率设置≥3680 × 1656；设备设置为全景不拼接模式下：可输出≥3个通道画面，全景通道1和全景通道2支持分辨率设置为≥1920 × 1632。</w:t>
            </w:r>
          </w:p>
          <w:p w14:paraId="367AAF7E">
            <w:pPr>
              <w:pStyle w:val="9"/>
              <w:spacing w:line="360" w:lineRule="auto"/>
              <w:jc w:val="left"/>
              <w:rPr>
                <w:rFonts w:ascii="宋体" w:hAnsi="宋体" w:cs="宋体"/>
                <w:szCs w:val="21"/>
              </w:rPr>
            </w:pPr>
            <w:r>
              <w:rPr>
                <w:rFonts w:hint="eastAsia" w:ascii="宋体" w:hAnsi="宋体" w:cs="宋体"/>
                <w:szCs w:val="21"/>
              </w:rPr>
              <w:t>5、细节通道支持≥25倍光学变倍，焦距≥4.8-120mm。</w:t>
            </w:r>
          </w:p>
          <w:p w14:paraId="1BAB32F7">
            <w:pPr>
              <w:pStyle w:val="9"/>
              <w:spacing w:line="360" w:lineRule="auto"/>
              <w:jc w:val="left"/>
              <w:rPr>
                <w:rFonts w:ascii="宋体" w:hAnsi="宋体" w:cs="宋体"/>
                <w:szCs w:val="21"/>
              </w:rPr>
            </w:pPr>
            <w:r>
              <w:rPr>
                <w:rFonts w:hint="eastAsia" w:ascii="宋体" w:hAnsi="宋体" w:cs="宋体"/>
                <w:szCs w:val="21"/>
              </w:rPr>
              <w:t>6、全景通道1、2：支持水平:0°-90°，垂直0°-350°，轴心方向0°-350°，细节通道:水平:0°-360°垂直:-10°-90°。</w:t>
            </w:r>
          </w:p>
          <w:p w14:paraId="11CEFE6E">
            <w:pPr>
              <w:pStyle w:val="9"/>
              <w:spacing w:line="360" w:lineRule="auto"/>
              <w:jc w:val="left"/>
              <w:rPr>
                <w:rFonts w:ascii="宋体" w:hAnsi="宋体" w:cs="宋体"/>
                <w:szCs w:val="21"/>
              </w:rPr>
            </w:pPr>
            <w:r>
              <w:rPr>
                <w:rFonts w:hint="eastAsia" w:ascii="宋体" w:hAnsi="宋体" w:cs="宋体"/>
                <w:szCs w:val="21"/>
              </w:rPr>
              <w:t>7、</w:t>
            </w:r>
            <w:r>
              <w:rPr>
                <w:rFonts w:hint="eastAsia" w:ascii="Segoe UI Emoji" w:hAnsi="Segoe UI Emoji" w:eastAsia="Segoe UI Emoji" w:cs="Segoe UI Emoji"/>
                <w:szCs w:val="21"/>
              </w:rPr>
              <w:t>▲</w:t>
            </w:r>
            <w:r>
              <w:rPr>
                <w:rFonts w:hint="eastAsia" w:ascii="宋体" w:hAnsi="宋体" w:cs="宋体"/>
                <w:szCs w:val="21"/>
              </w:rPr>
              <w:t>设备支持双安装接口，1个为快速旋转安装接口，1个为多孔稳定安装接口。</w:t>
            </w:r>
          </w:p>
          <w:p w14:paraId="4D038D7D">
            <w:pPr>
              <w:pStyle w:val="9"/>
              <w:spacing w:line="360" w:lineRule="auto"/>
              <w:jc w:val="left"/>
              <w:rPr>
                <w:rFonts w:ascii="宋体" w:hAnsi="宋体" w:cs="宋体"/>
                <w:szCs w:val="21"/>
              </w:rPr>
            </w:pPr>
            <w:r>
              <w:rPr>
                <w:rFonts w:hint="eastAsia" w:ascii="宋体" w:hAnsi="宋体" w:cs="宋体"/>
                <w:szCs w:val="21"/>
              </w:rPr>
              <w:t>8、</w:t>
            </w:r>
            <w:r>
              <w:rPr>
                <w:rFonts w:hint="eastAsia" w:ascii="Segoe UI Emoji" w:hAnsi="Segoe UI Emoji" w:eastAsia="Segoe UI Emoji" w:cs="Segoe UI Emoji"/>
                <w:szCs w:val="21"/>
              </w:rPr>
              <w:t>▲</w:t>
            </w:r>
            <w:r>
              <w:rPr>
                <w:rFonts w:hint="eastAsia" w:ascii="宋体" w:hAnsi="宋体" w:cs="宋体"/>
                <w:szCs w:val="21"/>
              </w:rPr>
              <w:t>全景通道支持一键拼接功能，可将≥2个全景画面进行拼接输出，在拼接模式下，设备可输出全景和细节≥2个视频画面，在非拼接模式下，设备可输出全景通道1、全景通道2和细节通道共3个视频画面。</w:t>
            </w:r>
          </w:p>
          <w:p w14:paraId="1C57D1D9">
            <w:pPr>
              <w:pStyle w:val="9"/>
              <w:spacing w:line="360" w:lineRule="auto"/>
              <w:jc w:val="left"/>
              <w:rPr>
                <w:rFonts w:ascii="宋体" w:hAnsi="宋体" w:cs="宋体"/>
                <w:szCs w:val="21"/>
              </w:rPr>
            </w:pPr>
            <w:r>
              <w:rPr>
                <w:rFonts w:hint="eastAsia" w:ascii="宋体" w:hAnsi="宋体" w:cs="宋体"/>
                <w:szCs w:val="21"/>
              </w:rPr>
              <w:t>9、支持H.264、H.265、MJPEG视频编码格式，可将H.264、H.265格式设置为High Profile。</w:t>
            </w:r>
          </w:p>
          <w:p w14:paraId="701A38B6">
            <w:pPr>
              <w:pStyle w:val="9"/>
              <w:spacing w:line="360" w:lineRule="auto"/>
              <w:jc w:val="left"/>
              <w:rPr>
                <w:rFonts w:ascii="宋体" w:hAnsi="宋体" w:cs="宋体"/>
                <w:szCs w:val="21"/>
              </w:rPr>
            </w:pPr>
            <w:r>
              <w:rPr>
                <w:rFonts w:hint="eastAsia" w:ascii="宋体" w:hAnsi="宋体" w:cs="宋体"/>
                <w:szCs w:val="21"/>
              </w:rPr>
              <w:t>10、细节通道可分别或同时对行人、非机动车、机动车进行检测、跟随、抓拍，支持人脸、车牌、非机动车车牌抠图，可将人脸与人体关联显示。</w:t>
            </w:r>
          </w:p>
          <w:p w14:paraId="38FE97E0">
            <w:pPr>
              <w:pStyle w:val="9"/>
              <w:spacing w:line="360" w:lineRule="auto"/>
              <w:jc w:val="left"/>
              <w:rPr>
                <w:rFonts w:ascii="宋体" w:hAnsi="宋体" w:cs="宋体"/>
                <w:szCs w:val="21"/>
              </w:rPr>
            </w:pPr>
            <w:r>
              <w:rPr>
                <w:rFonts w:hint="eastAsia" w:ascii="宋体" w:hAnsi="宋体" w:cs="宋体"/>
                <w:szCs w:val="21"/>
              </w:rPr>
              <w:t>11、设备支持双安装接口，1个为快速旋转安装接口，1个为多孔稳定安装接口。</w:t>
            </w:r>
          </w:p>
          <w:p w14:paraId="1A154CA9">
            <w:pPr>
              <w:pStyle w:val="9"/>
              <w:spacing w:line="360" w:lineRule="auto"/>
              <w:jc w:val="left"/>
              <w:rPr>
                <w:rFonts w:ascii="宋体" w:hAnsi="宋体" w:cs="宋体"/>
                <w:szCs w:val="21"/>
              </w:rPr>
            </w:pPr>
            <w:r>
              <w:rPr>
                <w:rFonts w:hint="eastAsia" w:ascii="宋体" w:hAnsi="宋体" w:cs="宋体"/>
                <w:szCs w:val="21"/>
              </w:rPr>
              <w:t>12、细节通道支持smart事件、全结构化模式，智能功能可任意选择保存生效。</w:t>
            </w:r>
          </w:p>
          <w:p w14:paraId="3E2AB288">
            <w:pPr>
              <w:pStyle w:val="9"/>
              <w:spacing w:line="360" w:lineRule="auto"/>
              <w:jc w:val="left"/>
              <w:rPr>
                <w:rFonts w:ascii="宋体" w:hAnsi="宋体" w:cs="宋体"/>
                <w:szCs w:val="21"/>
              </w:rPr>
            </w:pPr>
            <w:r>
              <w:rPr>
                <w:rFonts w:hint="eastAsia" w:ascii="宋体" w:hAnsi="宋体" w:cs="宋体"/>
                <w:szCs w:val="21"/>
              </w:rPr>
              <w:t>13、全景摄像机可输出2个镜头无缝拼接的全景图像，拼接后的全景画面水平视场角应≥175°，垂直视场角≥75°。</w:t>
            </w:r>
          </w:p>
          <w:p w14:paraId="070FDBA9">
            <w:pPr>
              <w:pStyle w:val="9"/>
              <w:spacing w:line="360" w:lineRule="auto"/>
              <w:jc w:val="left"/>
              <w:rPr>
                <w:rFonts w:ascii="宋体" w:hAnsi="宋体" w:cs="宋体"/>
                <w:szCs w:val="21"/>
              </w:rPr>
            </w:pPr>
            <w:r>
              <w:rPr>
                <w:rFonts w:hint="eastAsia" w:ascii="宋体" w:hAnsi="宋体" w:cs="宋体"/>
                <w:szCs w:val="21"/>
              </w:rPr>
              <w:t>14、</w:t>
            </w:r>
            <w:r>
              <w:rPr>
                <w:rFonts w:hint="eastAsia" w:ascii="Segoe UI Emoji" w:hAnsi="Segoe UI Emoji" w:eastAsia="Segoe UI Emoji" w:cs="Segoe UI Emoji"/>
                <w:szCs w:val="21"/>
              </w:rPr>
              <w:t>▲</w:t>
            </w:r>
            <w:r>
              <w:rPr>
                <w:rFonts w:hint="eastAsia" w:ascii="宋体" w:hAnsi="宋体" w:cs="宋体"/>
                <w:szCs w:val="21"/>
              </w:rPr>
              <w:t>全景通道1和全景通道2具备锁紧装置，在松开锁紧装置后，全景1通道和全景2通道可以进行水平和垂直调节。在紧固锁紧装置后，全景1通道和全景2通道不可以进行水平和垂直调节。</w:t>
            </w:r>
          </w:p>
          <w:p w14:paraId="066A841E">
            <w:pPr>
              <w:pStyle w:val="9"/>
              <w:spacing w:line="360" w:lineRule="auto"/>
              <w:jc w:val="left"/>
              <w:rPr>
                <w:rFonts w:ascii="宋体" w:hAnsi="宋体" w:cs="宋体"/>
                <w:szCs w:val="21"/>
              </w:rPr>
            </w:pPr>
            <w:r>
              <w:rPr>
                <w:rFonts w:hint="eastAsia" w:ascii="宋体" w:hAnsi="宋体" w:cs="宋体"/>
                <w:szCs w:val="21"/>
              </w:rPr>
              <w:t>15、</w:t>
            </w:r>
            <w:r>
              <w:rPr>
                <w:rFonts w:hint="eastAsia" w:ascii="Segoe UI Emoji" w:hAnsi="Segoe UI Emoji" w:eastAsia="Segoe UI Emoji" w:cs="Segoe UI Emoji"/>
                <w:szCs w:val="21"/>
              </w:rPr>
              <w:t>▲</w:t>
            </w:r>
            <w:r>
              <w:rPr>
                <w:rFonts w:hint="eastAsia" w:ascii="宋体" w:hAnsi="宋体" w:cs="宋体"/>
                <w:szCs w:val="21"/>
              </w:rPr>
              <w:t>全景通道1和全景通道2分别内置≥1个麦克风，麦克风可随镜头一起进行旋转，旋转范围为：水平：0°～90°，垂直：0°～350°，轴心方向：0°～350°。</w:t>
            </w:r>
          </w:p>
          <w:p w14:paraId="3F5B1C56">
            <w:pPr>
              <w:pStyle w:val="9"/>
              <w:spacing w:line="360" w:lineRule="auto"/>
              <w:jc w:val="left"/>
              <w:rPr>
                <w:rFonts w:ascii="宋体" w:hAnsi="宋体" w:cs="宋体"/>
                <w:szCs w:val="21"/>
              </w:rPr>
            </w:pPr>
            <w:r>
              <w:rPr>
                <w:rFonts w:hint="eastAsia" w:ascii="宋体" w:hAnsi="宋体" w:cs="宋体"/>
                <w:szCs w:val="21"/>
              </w:rPr>
              <w:t>16、设备支持≥300个预置位，可按照所设置的预置位设置≥8条巡航路径。设备支持不少于2路报警输入，不少于1路报警输出，不少于1路音频输入，不少于1路音频输出，不少于1个SD卡槽，不少于1个RJ45网口，不少于1个485接口。</w:t>
            </w:r>
          </w:p>
          <w:p w14:paraId="255AD3E1">
            <w:pPr>
              <w:widowControl/>
              <w:numPr>
                <w:ilvl w:val="0"/>
                <w:numId w:val="7"/>
              </w:numPr>
              <w:spacing w:line="360" w:lineRule="auto"/>
              <w:jc w:val="left"/>
              <w:textAlignment w:val="center"/>
              <w:rPr>
                <w:rFonts w:ascii="宋体" w:hAnsi="宋体" w:cs="宋体"/>
                <w:b/>
                <w:bCs/>
                <w:kern w:val="0"/>
                <w:szCs w:val="21"/>
                <w:lang w:bidi="ar"/>
              </w:rPr>
            </w:pPr>
            <w:r>
              <w:rPr>
                <w:rFonts w:hint="eastAsia" w:ascii="宋体" w:hAnsi="宋体" w:cs="宋体"/>
                <w:b/>
                <w:kern w:val="0"/>
                <w:szCs w:val="21"/>
                <w:lang w:bidi="ar"/>
              </w:rPr>
              <w:t>提供2套智能监控设备箱服务</w:t>
            </w:r>
            <w:r>
              <w:rPr>
                <w:rFonts w:hint="eastAsia" w:ascii="宋体" w:hAnsi="宋体" w:cs="宋体"/>
                <w:b/>
                <w:bCs/>
                <w:kern w:val="0"/>
                <w:szCs w:val="21"/>
                <w:lang w:bidi="ar"/>
              </w:rPr>
              <w:t>，需具备以下功能：</w:t>
            </w:r>
          </w:p>
          <w:p w14:paraId="287F20E7">
            <w:pPr>
              <w:pStyle w:val="9"/>
              <w:spacing w:line="360" w:lineRule="auto"/>
              <w:jc w:val="left"/>
              <w:rPr>
                <w:rFonts w:ascii="宋体" w:hAnsi="宋体" w:cs="宋体"/>
                <w:szCs w:val="21"/>
              </w:rPr>
            </w:pPr>
            <w:r>
              <w:rPr>
                <w:rFonts w:hint="eastAsia" w:ascii="宋体" w:hAnsi="宋体" w:cs="宋体"/>
                <w:szCs w:val="21"/>
              </w:rPr>
              <w:t>1、箱体尺寸含帽檐约450mm×400mm×235mm（高x宽x深），不含帽檐约450mmx350mmx200mm（高x宽x深），材质采用镀锌钢板喷塑，箱体板厚度≥0.8mm，箱顶采用帽檐斜顶方式设计，具有风勾限位装置，防护等级为≥IP55；具有防盗功能，安装防水锁，所有锁芯应配统一钥匙。内部设背板、隔板、布局合理、规范、内部走线清晰。箱内配备25A空开≥1只、40KA防雷器≥1只、五孔插座≥2只（其中1路为维修插座，1路为业务插座）；5位接地铜排≥1只，并配备智能运维终端≥1只。</w:t>
            </w:r>
          </w:p>
          <w:p w14:paraId="301E004E">
            <w:pPr>
              <w:pStyle w:val="9"/>
              <w:spacing w:line="360" w:lineRule="auto"/>
              <w:jc w:val="left"/>
              <w:rPr>
                <w:rFonts w:ascii="宋体" w:hAnsi="宋体" w:cs="宋体"/>
                <w:szCs w:val="21"/>
              </w:rPr>
            </w:pPr>
            <w:r>
              <w:rPr>
                <w:rFonts w:hint="eastAsia" w:ascii="宋体" w:hAnsi="宋体" w:cs="宋体"/>
                <w:szCs w:val="21"/>
              </w:rPr>
              <w:t>2、具备指示灯状态显示功能：支持通过指示灯对设备运行、网络、通讯、故障、输出状态进行显示。</w:t>
            </w:r>
          </w:p>
          <w:p w14:paraId="09FE87A2">
            <w:pPr>
              <w:pStyle w:val="9"/>
              <w:spacing w:line="360" w:lineRule="auto"/>
              <w:jc w:val="left"/>
              <w:rPr>
                <w:rFonts w:ascii="宋体" w:hAnsi="宋体" w:cs="宋体"/>
                <w:szCs w:val="21"/>
              </w:rPr>
            </w:pPr>
            <w:r>
              <w:rPr>
                <w:rFonts w:hint="eastAsia" w:ascii="宋体" w:hAnsi="宋体" w:cs="宋体"/>
                <w:szCs w:val="21"/>
              </w:rPr>
              <w:t>3、具备安全防护功能：支持外接箱门门磁检测传感器，能够在箱门异常开启时产生告警，并内置扬声器模块，可通过扬声器进行本地警告语音输出，防止恶意破坏箱体行为，最大程度保障箱体内资产和信息安全。</w:t>
            </w:r>
          </w:p>
          <w:p w14:paraId="04A5F66C">
            <w:pPr>
              <w:pStyle w:val="9"/>
              <w:spacing w:line="360" w:lineRule="auto"/>
              <w:jc w:val="left"/>
              <w:rPr>
                <w:rFonts w:ascii="宋体" w:hAnsi="宋体" w:cs="宋体"/>
                <w:szCs w:val="21"/>
              </w:rPr>
            </w:pPr>
            <w:r>
              <w:rPr>
                <w:rFonts w:hint="eastAsia" w:ascii="宋体" w:hAnsi="宋体" w:cs="宋体"/>
                <w:szCs w:val="21"/>
              </w:rPr>
              <w:t>4、具有光感监测功能：支持光感监测功能，可在平台端区分机箱内暗光、弱光、强光三种光线环境，辅助判断箱门是否开启。</w:t>
            </w:r>
          </w:p>
          <w:p w14:paraId="6DEB32EC">
            <w:pPr>
              <w:pStyle w:val="9"/>
              <w:spacing w:line="360" w:lineRule="auto"/>
              <w:jc w:val="left"/>
              <w:rPr>
                <w:rFonts w:ascii="宋体" w:hAnsi="宋体" w:cs="宋体"/>
                <w:szCs w:val="21"/>
              </w:rPr>
            </w:pPr>
            <w:r>
              <w:rPr>
                <w:rFonts w:hint="eastAsia" w:ascii="宋体" w:hAnsi="宋体" w:cs="宋体"/>
                <w:szCs w:val="21"/>
              </w:rPr>
              <w:t>5、具有设备流量监测功能：支持设定流量上下限，当流量超过设定阈值时，可产生流量告警。</w:t>
            </w:r>
          </w:p>
          <w:p w14:paraId="730D6F95">
            <w:pPr>
              <w:pStyle w:val="9"/>
              <w:spacing w:line="360" w:lineRule="auto"/>
              <w:jc w:val="left"/>
              <w:rPr>
                <w:rFonts w:ascii="宋体" w:hAnsi="宋体" w:cs="宋体"/>
                <w:szCs w:val="21"/>
              </w:rPr>
            </w:pPr>
            <w:r>
              <w:rPr>
                <w:rFonts w:hint="eastAsia" w:ascii="宋体" w:hAnsi="宋体" w:cs="宋体"/>
                <w:szCs w:val="21"/>
              </w:rPr>
              <w:t>6、电气健康监测功能：支持输入电压、输出电流、负载功率监测功能，监测范围支持平台端自定义设置，支持电压、电流、功率异常报警功能。</w:t>
            </w:r>
          </w:p>
          <w:p w14:paraId="657E9E0A">
            <w:pPr>
              <w:pStyle w:val="9"/>
              <w:spacing w:line="360" w:lineRule="auto"/>
              <w:jc w:val="left"/>
              <w:rPr>
                <w:rFonts w:ascii="宋体" w:hAnsi="宋体" w:cs="宋体"/>
                <w:szCs w:val="21"/>
              </w:rPr>
            </w:pPr>
            <w:r>
              <w:rPr>
                <w:rFonts w:hint="eastAsia" w:ascii="宋体" w:hAnsi="宋体" w:cs="宋体"/>
                <w:szCs w:val="21"/>
              </w:rPr>
              <w:t>7、具有震动监测功能：支持机箱受到震动/冲击时，平台端产生震动告警，并支持设置震动告警的频次阈值。</w:t>
            </w:r>
          </w:p>
          <w:p w14:paraId="4581C9A9">
            <w:pPr>
              <w:pStyle w:val="9"/>
              <w:spacing w:line="360" w:lineRule="auto"/>
              <w:jc w:val="left"/>
              <w:rPr>
                <w:rFonts w:ascii="宋体" w:hAnsi="宋体" w:cs="宋体"/>
                <w:szCs w:val="21"/>
              </w:rPr>
            </w:pPr>
            <w:r>
              <w:rPr>
                <w:rFonts w:hint="eastAsia" w:ascii="宋体" w:hAnsi="宋体" w:cs="宋体"/>
                <w:szCs w:val="21"/>
              </w:rPr>
              <w:t>8、断电监测功能；内置电源监测模块，能够在不需要后备电源的情况下，区分区域掉电（如市电掉电）、箱内掉电（如空开跳闸）告警，并能将告警信息上传至平台客户端，平台具有单独的断电状态显示图标。</w:t>
            </w:r>
          </w:p>
          <w:p w14:paraId="1F22450B">
            <w:pPr>
              <w:pStyle w:val="9"/>
              <w:spacing w:line="360" w:lineRule="auto"/>
              <w:jc w:val="left"/>
              <w:rPr>
                <w:rFonts w:ascii="宋体" w:hAnsi="宋体" w:cs="宋体"/>
                <w:szCs w:val="21"/>
              </w:rPr>
            </w:pPr>
            <w:r>
              <w:rPr>
                <w:rFonts w:hint="eastAsia" w:ascii="宋体" w:hAnsi="宋体" w:cs="宋体"/>
                <w:szCs w:val="21"/>
              </w:rPr>
              <w:t>9、断网监测功能：当机箱内网络中断时，可平台端显示断网失联告警。</w:t>
            </w:r>
          </w:p>
          <w:p w14:paraId="00BF7903">
            <w:pPr>
              <w:pStyle w:val="9"/>
              <w:spacing w:line="360" w:lineRule="auto"/>
              <w:jc w:val="left"/>
              <w:rPr>
                <w:rFonts w:ascii="宋体" w:hAnsi="宋体" w:cs="宋体"/>
                <w:szCs w:val="21"/>
              </w:rPr>
            </w:pPr>
            <w:r>
              <w:rPr>
                <w:rFonts w:hint="eastAsia" w:ascii="宋体" w:hAnsi="宋体" w:cs="宋体"/>
                <w:szCs w:val="21"/>
              </w:rPr>
              <w:t>10、远程控制功能：支持远程控制负载供电开启、关闭和重启功能，解决前端设备死机问题。支持远程控制语音告警打开、关闭功能。</w:t>
            </w:r>
          </w:p>
          <w:p w14:paraId="4C921C8A">
            <w:pPr>
              <w:pStyle w:val="9"/>
              <w:spacing w:line="360" w:lineRule="auto"/>
              <w:jc w:val="left"/>
              <w:rPr>
                <w:rFonts w:ascii="宋体" w:hAnsi="宋体" w:cs="宋体"/>
                <w:szCs w:val="21"/>
              </w:rPr>
            </w:pPr>
            <w:r>
              <w:rPr>
                <w:rFonts w:hint="eastAsia" w:ascii="宋体" w:hAnsi="宋体" w:cs="宋体"/>
                <w:szCs w:val="21"/>
              </w:rPr>
              <w:t>11、不间断负载供电功能：支持在外部供电电源正常工作情况下，当机箱智能运维终端自身发生故障时，能够保证机箱内部供电电路不间断，不影响机箱内部取电设备的正常工作。</w:t>
            </w:r>
          </w:p>
          <w:p w14:paraId="1C5DB9AC">
            <w:pPr>
              <w:pStyle w:val="9"/>
              <w:spacing w:line="360" w:lineRule="auto"/>
              <w:jc w:val="left"/>
              <w:rPr>
                <w:rFonts w:ascii="宋体" w:hAnsi="宋体" w:cs="宋体"/>
                <w:szCs w:val="21"/>
              </w:rPr>
            </w:pPr>
            <w:r>
              <w:rPr>
                <w:rFonts w:hint="eastAsia" w:ascii="宋体" w:hAnsi="宋体" w:cs="宋体"/>
                <w:szCs w:val="21"/>
              </w:rPr>
              <w:t>12、通信加密功能：支持对通信数据进行非明文加密传输功能。</w:t>
            </w:r>
          </w:p>
          <w:p w14:paraId="52A8AAC3">
            <w:pPr>
              <w:pStyle w:val="9"/>
              <w:spacing w:line="360" w:lineRule="auto"/>
              <w:jc w:val="left"/>
              <w:rPr>
                <w:rFonts w:ascii="宋体" w:hAnsi="宋体" w:cs="宋体"/>
                <w:szCs w:val="21"/>
              </w:rPr>
            </w:pPr>
            <w:r>
              <w:rPr>
                <w:rFonts w:hint="eastAsia" w:ascii="宋体" w:hAnsi="宋体" w:cs="宋体"/>
                <w:szCs w:val="21"/>
              </w:rPr>
              <w:t>13、看门狗复位功能：支持当系统死机时，具有看门狗自动复位功能。</w:t>
            </w:r>
          </w:p>
          <w:p w14:paraId="2BABEC48">
            <w:pPr>
              <w:pStyle w:val="9"/>
              <w:spacing w:line="360" w:lineRule="auto"/>
              <w:jc w:val="left"/>
              <w:rPr>
                <w:rFonts w:ascii="宋体" w:hAnsi="宋体" w:cs="宋体"/>
                <w:szCs w:val="21"/>
              </w:rPr>
            </w:pPr>
            <w:r>
              <w:rPr>
                <w:rFonts w:hint="eastAsia" w:ascii="宋体" w:hAnsi="宋体" w:cs="宋体"/>
                <w:szCs w:val="21"/>
              </w:rPr>
              <w:t>14、一键复位功能：机箱智能运维终端具有一键复位实体按键，当按下复位键，终端可重置自身IP地址。</w:t>
            </w:r>
          </w:p>
          <w:p w14:paraId="7D946024">
            <w:pPr>
              <w:pStyle w:val="9"/>
              <w:spacing w:line="360" w:lineRule="auto"/>
              <w:jc w:val="left"/>
              <w:rPr>
                <w:rFonts w:ascii="宋体" w:hAnsi="宋体" w:cs="宋体"/>
                <w:szCs w:val="21"/>
              </w:rPr>
            </w:pPr>
            <w:r>
              <w:rPr>
                <w:rFonts w:hint="eastAsia" w:ascii="宋体" w:hAnsi="宋体" w:cs="宋体"/>
                <w:szCs w:val="21"/>
              </w:rPr>
              <w:t>15、心跳保活功能：支持客户端远程配置心跳保活周期，心跳保活消息定期上报。</w:t>
            </w:r>
          </w:p>
          <w:p w14:paraId="40394B0D">
            <w:pPr>
              <w:pStyle w:val="9"/>
              <w:spacing w:line="360" w:lineRule="auto"/>
              <w:jc w:val="left"/>
              <w:rPr>
                <w:rFonts w:ascii="宋体" w:hAnsi="宋体" w:cs="宋体"/>
                <w:szCs w:val="21"/>
              </w:rPr>
            </w:pPr>
            <w:r>
              <w:rPr>
                <w:rFonts w:hint="eastAsia" w:ascii="宋体" w:hAnsi="宋体" w:cs="宋体"/>
                <w:szCs w:val="21"/>
              </w:rPr>
              <w:t>16、远程查询功能：支持远程査询实时监测数据，支持远程查询设备配置参</w:t>
            </w:r>
          </w:p>
          <w:p w14:paraId="710102DE">
            <w:pPr>
              <w:widowControl/>
              <w:numPr>
                <w:ilvl w:val="0"/>
                <w:numId w:val="7"/>
              </w:numPr>
              <w:spacing w:line="360" w:lineRule="auto"/>
              <w:jc w:val="left"/>
              <w:textAlignment w:val="center"/>
              <w:rPr>
                <w:rFonts w:ascii="宋体" w:hAnsi="宋体" w:cs="宋体"/>
                <w:b/>
                <w:bCs/>
                <w:kern w:val="0"/>
                <w:szCs w:val="21"/>
                <w:lang w:bidi="ar"/>
              </w:rPr>
            </w:pPr>
            <w:r>
              <w:rPr>
                <w:rFonts w:hint="eastAsia" w:ascii="宋体" w:hAnsi="宋体" w:cs="宋体"/>
                <w:b/>
                <w:kern w:val="0"/>
                <w:szCs w:val="21"/>
                <w:lang w:bidi="ar"/>
              </w:rPr>
              <w:t>提供1项配套标志标牌服务</w:t>
            </w:r>
            <w:r>
              <w:rPr>
                <w:rFonts w:hint="eastAsia" w:ascii="宋体" w:hAnsi="宋体" w:cs="宋体"/>
                <w:b/>
                <w:bCs/>
                <w:kern w:val="0"/>
                <w:szCs w:val="21"/>
                <w:lang w:bidi="ar"/>
              </w:rPr>
              <w:t>，需具备以下功能：</w:t>
            </w:r>
          </w:p>
          <w:p w14:paraId="4ED7F3FC">
            <w:pPr>
              <w:pStyle w:val="9"/>
              <w:spacing w:line="360" w:lineRule="auto"/>
              <w:jc w:val="left"/>
              <w:rPr>
                <w:rFonts w:ascii="宋体" w:hAnsi="宋体" w:cs="宋体"/>
                <w:szCs w:val="21"/>
              </w:rPr>
            </w:pPr>
            <w:r>
              <w:rPr>
                <w:rFonts w:hint="eastAsia" w:ascii="宋体" w:hAnsi="宋体" w:cs="宋体"/>
                <w:szCs w:val="21"/>
              </w:rPr>
              <w:t>1、挂杆提示牌：区间测速起点，全长21KM，2套（蓝底白字1200*2000），IV类反光膜，铝板3厚，铝槽68×2.3-4根1米，常规抱箍螺丝;</w:t>
            </w:r>
          </w:p>
          <w:p w14:paraId="4DB7F5C5">
            <w:pPr>
              <w:pStyle w:val="9"/>
              <w:spacing w:line="360" w:lineRule="auto"/>
              <w:jc w:val="left"/>
              <w:rPr>
                <w:rFonts w:ascii="宋体" w:hAnsi="宋体" w:cs="宋体"/>
                <w:szCs w:val="21"/>
              </w:rPr>
            </w:pPr>
            <w:r>
              <w:rPr>
                <w:rFonts w:hint="eastAsia" w:ascii="宋体" w:hAnsi="宋体" w:cs="宋体"/>
                <w:szCs w:val="21"/>
              </w:rPr>
              <w:t>2、挂杆提示牌：60限速圆牌2个（直径800mm），IV类反光膜，铝板3厚，常规抱箍螺丝;</w:t>
            </w:r>
          </w:p>
          <w:p w14:paraId="255C5DA3">
            <w:pPr>
              <w:pStyle w:val="9"/>
              <w:spacing w:line="360" w:lineRule="auto"/>
              <w:jc w:val="left"/>
              <w:rPr>
                <w:rFonts w:ascii="宋体" w:hAnsi="宋体" w:cs="宋体"/>
                <w:szCs w:val="21"/>
              </w:rPr>
            </w:pPr>
            <w:r>
              <w:rPr>
                <w:rFonts w:hint="eastAsia" w:ascii="宋体" w:hAnsi="宋体" w:cs="宋体"/>
                <w:szCs w:val="21"/>
              </w:rPr>
              <w:t>3、落地提示牌：前方区间测速2套（蓝底白字1200*2000挂立杆），IV类反光膜，铝板3厚，铝槽68×2.3-4根1米，常规抱箍螺丝;立杆蓝底白字1200*2000；</w:t>
            </w:r>
          </w:p>
          <w:p w14:paraId="6380EC3C">
            <w:pPr>
              <w:pStyle w:val="9"/>
              <w:spacing w:line="360" w:lineRule="auto"/>
              <w:jc w:val="left"/>
              <w:rPr>
                <w:rFonts w:ascii="宋体" w:hAnsi="宋体" w:cs="宋体"/>
                <w:szCs w:val="21"/>
              </w:rPr>
            </w:pPr>
            <w:r>
              <w:rPr>
                <w:rFonts w:hint="eastAsia" w:ascii="宋体" w:hAnsi="宋体" w:cs="宋体"/>
                <w:szCs w:val="21"/>
              </w:rPr>
              <w:t>4、落地提示牌：区间测速终点2套（蓝底白字1200*2000立杆）IV类反光膜，铝板3厚，铝槽68×2.3-4根1米，常规抱箍螺丝;</w:t>
            </w:r>
          </w:p>
          <w:p w14:paraId="63F3B893">
            <w:pPr>
              <w:pStyle w:val="9"/>
              <w:spacing w:line="360" w:lineRule="auto"/>
              <w:jc w:val="left"/>
              <w:rPr>
                <w:rFonts w:ascii="宋体" w:hAnsi="宋体" w:cs="宋体"/>
                <w:szCs w:val="21"/>
              </w:rPr>
            </w:pPr>
            <w:r>
              <w:rPr>
                <w:rFonts w:hint="eastAsia" w:ascii="宋体" w:hAnsi="宋体" w:cs="宋体"/>
                <w:szCs w:val="21"/>
              </w:rPr>
              <w:t>5、落地提示牌立杆：立杆圆柱杆，高4米，口径114-3mm，法兰260*260-10mm，杆件整体热镀锌，喷塑。配基础笼4-M16-0.5米。0.8m×0.8m×0.8m，含开挖，C25商品汞浇筑，垃圾清运等。基础笼4-M16-0.65米，含杆件搬移吊装等服务</w:t>
            </w:r>
          </w:p>
          <w:p w14:paraId="17FCC622">
            <w:pPr>
              <w:widowControl/>
              <w:spacing w:line="360" w:lineRule="auto"/>
              <w:jc w:val="left"/>
              <w:textAlignment w:val="center"/>
              <w:rPr>
                <w:rFonts w:ascii="宋体" w:hAnsi="宋体" w:cs="宋体"/>
                <w:b/>
                <w:bCs/>
                <w:kern w:val="0"/>
                <w:szCs w:val="21"/>
                <w:lang w:bidi="ar"/>
              </w:rPr>
            </w:pPr>
            <w:r>
              <w:rPr>
                <w:rFonts w:hint="eastAsia" w:ascii="宋体" w:hAnsi="宋体" w:cs="宋体"/>
                <w:b/>
                <w:bCs/>
                <w:szCs w:val="21"/>
              </w:rPr>
              <w:t>七、</w:t>
            </w:r>
            <w:r>
              <w:rPr>
                <w:rFonts w:hint="eastAsia" w:ascii="宋体" w:hAnsi="宋体" w:cs="宋体"/>
                <w:b/>
                <w:kern w:val="0"/>
                <w:szCs w:val="21"/>
                <w:lang w:bidi="ar"/>
              </w:rPr>
              <w:t>提供1项系统集成及其他服务</w:t>
            </w:r>
            <w:r>
              <w:rPr>
                <w:rFonts w:hint="eastAsia" w:ascii="宋体" w:hAnsi="宋体" w:cs="宋体"/>
                <w:b/>
                <w:bCs/>
                <w:kern w:val="0"/>
                <w:szCs w:val="21"/>
                <w:lang w:bidi="ar"/>
              </w:rPr>
              <w:t>，需具备以下功能：</w:t>
            </w:r>
          </w:p>
          <w:p w14:paraId="5749BAF3">
            <w:pPr>
              <w:pStyle w:val="2"/>
              <w:spacing w:line="360" w:lineRule="auto"/>
              <w:rPr>
                <w:rFonts w:ascii="宋体" w:hAnsi="宋体" w:cs="宋体"/>
                <w:color w:val="auto"/>
                <w:kern w:val="2"/>
                <w:sz w:val="21"/>
                <w:szCs w:val="21"/>
              </w:rPr>
            </w:pPr>
            <w:r>
              <w:rPr>
                <w:rFonts w:hint="eastAsia" w:ascii="宋体" w:hAnsi="宋体" w:cs="宋体"/>
                <w:color w:val="auto"/>
                <w:kern w:val="2"/>
                <w:sz w:val="21"/>
                <w:szCs w:val="21"/>
              </w:rPr>
              <w:t>1、挂杆提示牌：区间测速起点，全长21KM，2套（蓝底白字1200*2000），IV类反光膜，铝板3厚，铝槽68×2.3-4根1米，常规抱箍螺丝;</w:t>
            </w:r>
          </w:p>
          <w:p w14:paraId="4295E9BF">
            <w:pPr>
              <w:pStyle w:val="2"/>
              <w:spacing w:line="360" w:lineRule="auto"/>
              <w:rPr>
                <w:rFonts w:ascii="宋体" w:hAnsi="宋体" w:cs="宋体"/>
                <w:color w:val="auto"/>
                <w:kern w:val="2"/>
                <w:sz w:val="21"/>
                <w:szCs w:val="21"/>
              </w:rPr>
            </w:pPr>
            <w:r>
              <w:rPr>
                <w:rFonts w:hint="eastAsia" w:ascii="宋体" w:hAnsi="宋体" w:cs="宋体"/>
                <w:color w:val="auto"/>
                <w:kern w:val="2"/>
                <w:sz w:val="21"/>
                <w:szCs w:val="21"/>
              </w:rPr>
              <w:t>2、挂杆提示牌：60限速圆牌2个（直径800mm），IV类反光膜，铝板3厚，常规抱箍螺丝;</w:t>
            </w:r>
          </w:p>
          <w:p w14:paraId="0C352CB1">
            <w:pPr>
              <w:pStyle w:val="2"/>
              <w:spacing w:line="360" w:lineRule="auto"/>
              <w:rPr>
                <w:rFonts w:ascii="宋体" w:hAnsi="宋体" w:cs="宋体"/>
                <w:color w:val="auto"/>
                <w:kern w:val="2"/>
                <w:sz w:val="21"/>
                <w:szCs w:val="21"/>
              </w:rPr>
            </w:pPr>
            <w:r>
              <w:rPr>
                <w:rFonts w:hint="eastAsia" w:ascii="宋体" w:hAnsi="宋体" w:cs="宋体"/>
                <w:color w:val="auto"/>
                <w:kern w:val="2"/>
                <w:sz w:val="21"/>
                <w:szCs w:val="21"/>
              </w:rPr>
              <w:t>3、落地提示牌：前方区间测速2套（蓝底白字1200*2000挂立杆），IV类反光膜，铝板3厚，铝槽68×2.3-4根1米，常规抱箍螺丝;立杆蓝底白字1200*2000；</w:t>
            </w:r>
          </w:p>
          <w:p w14:paraId="6F002FC8">
            <w:pPr>
              <w:pStyle w:val="2"/>
              <w:spacing w:line="360" w:lineRule="auto"/>
              <w:rPr>
                <w:rFonts w:ascii="宋体" w:hAnsi="宋体" w:cs="宋体"/>
                <w:color w:val="auto"/>
                <w:kern w:val="2"/>
                <w:sz w:val="21"/>
                <w:szCs w:val="21"/>
              </w:rPr>
            </w:pPr>
            <w:r>
              <w:rPr>
                <w:rFonts w:hint="eastAsia" w:ascii="宋体" w:hAnsi="宋体" w:cs="宋体"/>
                <w:color w:val="auto"/>
                <w:kern w:val="2"/>
                <w:sz w:val="21"/>
                <w:szCs w:val="21"/>
              </w:rPr>
              <w:t>4、落地提示牌：区间测速终点2套（蓝底白字1200*2000立杆）IV类反光膜，铝板3厚，铝槽68×2.3-4根1米，常规抱箍螺丝;</w:t>
            </w:r>
          </w:p>
          <w:p w14:paraId="440A7EA9">
            <w:pPr>
              <w:widowControl/>
              <w:spacing w:line="360" w:lineRule="auto"/>
              <w:jc w:val="left"/>
              <w:rPr>
                <w:rFonts w:ascii="宋体" w:hAnsi="宋体"/>
                <w:szCs w:val="21"/>
              </w:rPr>
            </w:pPr>
            <w:r>
              <w:rPr>
                <w:rFonts w:hint="eastAsia" w:ascii="宋体" w:hAnsi="宋体" w:cs="宋体"/>
                <w:szCs w:val="21"/>
              </w:rPr>
              <w:t>5、落地提示牌立杆：立杆圆柱杆，高4米，口径114-3mm，法兰260*260-10mm，杆件整体热镀锌，喷塑。配基础笼4-M16-0.5米。0.8m×0.8m×0.8m，含开挖，C25商品汞浇筑，垃圾清运等。基础笼4-M16-0.65米，含杆件搬移吊装等服务</w:t>
            </w:r>
          </w:p>
        </w:tc>
        <w:tc>
          <w:tcPr>
            <w:tcW w:w="709" w:type="dxa"/>
            <w:vAlign w:val="center"/>
          </w:tcPr>
          <w:p w14:paraId="61A9F1F5">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673" w:type="dxa"/>
            <w:vAlign w:val="center"/>
          </w:tcPr>
          <w:p w14:paraId="4FB438AB">
            <w:pPr>
              <w:autoSpaceDE w:val="0"/>
              <w:autoSpaceDN w:val="0"/>
              <w:adjustRightIn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4" w:type="dxa"/>
            <w:vAlign w:val="center"/>
          </w:tcPr>
          <w:p w14:paraId="4FEECAD7">
            <w:pPr>
              <w:autoSpaceDE w:val="0"/>
              <w:autoSpaceDN w:val="0"/>
              <w:adjustRightIn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73810</w:t>
            </w:r>
          </w:p>
        </w:tc>
      </w:tr>
      <w:tr w14:paraId="6648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673" w:type="dxa"/>
            <w:vAlign w:val="center"/>
          </w:tcPr>
          <w:p w14:paraId="70A0F025">
            <w:pPr>
              <w:tabs>
                <w:tab w:val="left" w:pos="525"/>
              </w:tabs>
              <w:spacing w:line="380" w:lineRule="exact"/>
              <w:ind w:left="105"/>
              <w:jc w:val="center"/>
              <w:rPr>
                <w:rFonts w:ascii="宋体" w:hAnsi="宋体"/>
                <w:szCs w:val="21"/>
              </w:rPr>
            </w:pPr>
            <w:r>
              <w:rPr>
                <w:rFonts w:hint="eastAsia" w:ascii="宋体" w:hAnsi="宋体"/>
                <w:szCs w:val="21"/>
              </w:rPr>
              <w:t>4</w:t>
            </w:r>
          </w:p>
        </w:tc>
        <w:tc>
          <w:tcPr>
            <w:tcW w:w="1057" w:type="dxa"/>
            <w:gridSpan w:val="2"/>
            <w:vAlign w:val="center"/>
          </w:tcPr>
          <w:p w14:paraId="6929A157">
            <w:pPr>
              <w:widowControl/>
              <w:spacing w:line="380" w:lineRule="exact"/>
              <w:jc w:val="center"/>
              <w:textAlignment w:val="center"/>
              <w:rPr>
                <w:rFonts w:ascii="宋体" w:hAnsi="宋体" w:cs="Arial"/>
                <w:bCs/>
                <w:szCs w:val="21"/>
              </w:rPr>
            </w:pPr>
            <w:r>
              <w:rPr>
                <w:rFonts w:hint="eastAsia" w:ascii="宋体" w:hAnsi="宋体" w:cs="Arial"/>
                <w:bCs/>
                <w:szCs w:val="21"/>
              </w:rPr>
              <w:t>网络传输及维保服务</w:t>
            </w:r>
          </w:p>
        </w:tc>
        <w:tc>
          <w:tcPr>
            <w:tcW w:w="6379" w:type="dxa"/>
          </w:tcPr>
          <w:p w14:paraId="3F4FC666">
            <w:pPr>
              <w:widowControl/>
              <w:spacing w:line="360" w:lineRule="auto"/>
              <w:jc w:val="left"/>
              <w:textAlignment w:val="top"/>
              <w:rPr>
                <w:rFonts w:ascii="宋体" w:hAnsi="宋体" w:cs="宋体"/>
                <w:b/>
                <w:bCs/>
                <w:color w:val="041EBE"/>
                <w:kern w:val="0"/>
                <w:szCs w:val="21"/>
                <w:lang w:bidi="ar"/>
              </w:rPr>
            </w:pPr>
            <w:r>
              <w:rPr>
                <w:rFonts w:hint="eastAsia" w:ascii="宋体" w:hAnsi="宋体" w:cs="宋体"/>
                <w:b/>
                <w:bCs/>
                <w:kern w:val="0"/>
                <w:szCs w:val="21"/>
                <w:lang w:bidi="ar"/>
              </w:rPr>
              <w:t>（一）服务要求</w:t>
            </w:r>
          </w:p>
          <w:p w14:paraId="727B0115">
            <w:pPr>
              <w:widowControl/>
              <w:spacing w:line="360" w:lineRule="auto"/>
              <w:ind w:firstLine="420" w:firstLineChars="200"/>
              <w:jc w:val="left"/>
              <w:textAlignment w:val="center"/>
              <w:rPr>
                <w:rFonts w:ascii="宋体" w:hAnsi="宋体" w:cs="宋体"/>
                <w:kern w:val="0"/>
                <w:szCs w:val="21"/>
                <w:lang w:bidi="ar"/>
              </w:rPr>
            </w:pPr>
            <w:r>
              <w:rPr>
                <w:rFonts w:hint="eastAsia" w:ascii="宋体" w:hAnsi="宋体" w:cs="宋体"/>
                <w:kern w:val="0"/>
                <w:szCs w:val="21"/>
                <w:lang w:bidi="ar"/>
              </w:rPr>
              <w:t>在选定位置完成12条光纤电路租用服务、2张物联网卡租用服务、提供1项安全云监测服、1项前端设备及系统平台维保服务。</w:t>
            </w:r>
          </w:p>
          <w:p w14:paraId="73E56E26">
            <w:pPr>
              <w:pStyle w:val="9"/>
              <w:spacing w:line="360" w:lineRule="auto"/>
              <w:jc w:val="left"/>
              <w:rPr>
                <w:rFonts w:ascii="宋体" w:hAnsi="宋体" w:cs="宋体"/>
                <w:b/>
                <w:bCs/>
                <w:szCs w:val="21"/>
              </w:rPr>
            </w:pPr>
            <w:r>
              <w:rPr>
                <w:rFonts w:hint="eastAsia" w:ascii="宋体" w:hAnsi="宋体" w:cs="宋体"/>
                <w:b/>
                <w:bCs/>
                <w:kern w:val="0"/>
                <w:szCs w:val="21"/>
                <w:lang w:bidi="ar"/>
              </w:rPr>
              <w:t>（二）具体服务指标要求如下</w:t>
            </w:r>
          </w:p>
          <w:p w14:paraId="43BF9AD2">
            <w:pPr>
              <w:widowControl/>
              <w:spacing w:line="360" w:lineRule="auto"/>
              <w:jc w:val="left"/>
              <w:textAlignment w:val="center"/>
              <w:rPr>
                <w:rFonts w:ascii="宋体" w:hAnsi="宋体" w:cs="宋体"/>
                <w:b/>
                <w:bCs/>
                <w:szCs w:val="21"/>
              </w:rPr>
            </w:pPr>
            <w:r>
              <w:rPr>
                <w:rFonts w:hint="eastAsia" w:ascii="宋体" w:hAnsi="宋体" w:cs="宋体"/>
                <w:b/>
                <w:bCs/>
                <w:szCs w:val="21"/>
              </w:rPr>
              <w:t>一、提供12条光纤电路租用服务，需具备以下功能：</w:t>
            </w:r>
          </w:p>
          <w:p w14:paraId="28A33D3D">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1、提供前端12个监控点位数字光纤链路接入到桂林市公安局临桂分局交通管理大队中心数据机房（传输速率≥20M），提供≥12个视频专网固定IP地址。</w:t>
            </w:r>
          </w:p>
          <w:p w14:paraId="19710390">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2、网络需要扩展或升级时，投标人免费提供相应解决方案等技术支持。</w:t>
            </w:r>
          </w:p>
          <w:p w14:paraId="1FA259D8">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3、投标人提供线路的延时要求：终端网络接入ping测1M报文时间小于10毫秒。</w:t>
            </w:r>
          </w:p>
          <w:p w14:paraId="325D8597">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4、线路丢帧率：小于0.5%，且不允许出现连续丢包。</w:t>
            </w:r>
          </w:p>
          <w:p w14:paraId="48DACEB1">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5、提供的专线传输设备必须能满足后续扩容的需求。</w:t>
            </w:r>
          </w:p>
          <w:p w14:paraId="0D38382B">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6、供应商不得将线路宽带与其他单位共用。</w:t>
            </w:r>
          </w:p>
          <w:p w14:paraId="40CF7142">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7、因施工、网络割接等原因影响宽带网络运行的，应当提前二天通知使用人。</w:t>
            </w:r>
          </w:p>
          <w:p w14:paraId="7138CE2F">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8、租用3年。</w:t>
            </w:r>
          </w:p>
          <w:p w14:paraId="5C783FF8">
            <w:pPr>
              <w:widowControl/>
              <w:spacing w:line="360" w:lineRule="auto"/>
              <w:jc w:val="left"/>
              <w:textAlignment w:val="center"/>
              <w:rPr>
                <w:rFonts w:ascii="宋体" w:hAnsi="宋体" w:cs="宋体"/>
                <w:b/>
                <w:bCs/>
                <w:szCs w:val="21"/>
              </w:rPr>
            </w:pPr>
            <w:r>
              <w:rPr>
                <w:rFonts w:hint="eastAsia" w:ascii="宋体" w:hAnsi="宋体" w:cs="宋体"/>
                <w:b/>
                <w:bCs/>
                <w:szCs w:val="21"/>
              </w:rPr>
              <w:t>二、提供提供1项安全云监测服，需具备以下功能：</w:t>
            </w:r>
          </w:p>
          <w:p w14:paraId="0C3B074E">
            <w:pPr>
              <w:pStyle w:val="9"/>
              <w:spacing w:line="360" w:lineRule="auto"/>
              <w:jc w:val="left"/>
              <w:rPr>
                <w:rFonts w:ascii="宋体" w:hAnsi="宋体" w:cs="宋体"/>
                <w:szCs w:val="21"/>
              </w:rPr>
            </w:pPr>
            <w:r>
              <w:rPr>
                <w:rFonts w:hint="eastAsia" w:ascii="宋体" w:hAnsi="宋体" w:cs="宋体"/>
                <w:szCs w:val="21"/>
              </w:rPr>
              <w:t>1、支持多种畸形报文的攻击防护</w:t>
            </w:r>
          </w:p>
          <w:p w14:paraId="4F93F8A0">
            <w:pPr>
              <w:pStyle w:val="9"/>
              <w:spacing w:line="360" w:lineRule="auto"/>
              <w:jc w:val="left"/>
              <w:rPr>
                <w:rFonts w:ascii="宋体" w:hAnsi="宋体" w:cs="宋体"/>
                <w:szCs w:val="21"/>
              </w:rPr>
            </w:pPr>
            <w:r>
              <w:rPr>
                <w:rFonts w:hint="eastAsia" w:ascii="宋体" w:hAnsi="宋体" w:cs="宋体"/>
                <w:szCs w:val="21"/>
              </w:rPr>
              <w:t>2、支持SYN Flood、DNS Query Flood等多种DoS/DDoS攻击防护</w:t>
            </w:r>
          </w:p>
          <w:p w14:paraId="7AB6024A">
            <w:pPr>
              <w:pStyle w:val="9"/>
              <w:spacing w:line="360" w:lineRule="auto"/>
              <w:jc w:val="left"/>
              <w:rPr>
                <w:rFonts w:ascii="宋体" w:hAnsi="宋体" w:cs="宋体"/>
                <w:szCs w:val="21"/>
              </w:rPr>
            </w:pPr>
            <w:r>
              <w:rPr>
                <w:rFonts w:hint="eastAsia" w:ascii="宋体" w:hAnsi="宋体" w:cs="宋体"/>
                <w:szCs w:val="21"/>
              </w:rPr>
              <w:t>3、支持ARP攻击防护</w:t>
            </w:r>
          </w:p>
          <w:p w14:paraId="3382CDDD">
            <w:pPr>
              <w:pStyle w:val="9"/>
              <w:spacing w:line="360" w:lineRule="auto"/>
              <w:jc w:val="left"/>
              <w:rPr>
                <w:rFonts w:ascii="宋体" w:hAnsi="宋体" w:cs="宋体"/>
                <w:szCs w:val="21"/>
              </w:rPr>
            </w:pPr>
            <w:r>
              <w:rPr>
                <w:rFonts w:hint="eastAsia" w:ascii="宋体" w:hAnsi="宋体" w:cs="宋体"/>
                <w:szCs w:val="21"/>
              </w:rPr>
              <w:t>4、支持IPv6的DNS query flood，支持IPv4和IPv6的DNS reply flood</w:t>
            </w:r>
          </w:p>
          <w:p w14:paraId="3C20703A">
            <w:pPr>
              <w:pStyle w:val="9"/>
              <w:spacing w:line="360" w:lineRule="auto"/>
              <w:jc w:val="left"/>
              <w:rPr>
                <w:rFonts w:ascii="宋体" w:hAnsi="宋体" w:cs="宋体"/>
                <w:szCs w:val="21"/>
              </w:rPr>
            </w:pPr>
            <w:r>
              <w:rPr>
                <w:rFonts w:hint="eastAsia" w:ascii="宋体" w:hAnsi="宋体" w:cs="宋体"/>
                <w:szCs w:val="21"/>
              </w:rPr>
              <w:t>5、AD功能支持目的IP地址白名单</w:t>
            </w:r>
          </w:p>
          <w:p w14:paraId="437E2BD9">
            <w:pPr>
              <w:pStyle w:val="9"/>
              <w:spacing w:line="360" w:lineRule="auto"/>
              <w:jc w:val="left"/>
              <w:rPr>
                <w:rFonts w:ascii="宋体" w:hAnsi="宋体" w:cs="宋体"/>
                <w:szCs w:val="21"/>
              </w:rPr>
            </w:pPr>
            <w:r>
              <w:rPr>
                <w:rFonts w:hint="eastAsia" w:ascii="宋体" w:hAnsi="宋体" w:cs="宋体"/>
                <w:szCs w:val="21"/>
              </w:rPr>
              <w:t>6、应用层安全功能支持一键Bypass功能</w:t>
            </w:r>
          </w:p>
          <w:p w14:paraId="5A65084F">
            <w:pPr>
              <w:pStyle w:val="9"/>
              <w:spacing w:line="360" w:lineRule="auto"/>
              <w:jc w:val="left"/>
              <w:rPr>
                <w:rFonts w:ascii="宋体" w:hAnsi="宋体" w:cs="宋体"/>
                <w:szCs w:val="21"/>
              </w:rPr>
            </w:pPr>
            <w:r>
              <w:rPr>
                <w:rFonts w:hint="eastAsia" w:ascii="宋体" w:hAnsi="宋体" w:cs="宋体"/>
                <w:szCs w:val="21"/>
              </w:rPr>
              <w:t>7、支持服务器健康检查和服务器会话保护、支持会话保持</w:t>
            </w:r>
          </w:p>
          <w:p w14:paraId="70FCAECA">
            <w:pPr>
              <w:pStyle w:val="9"/>
              <w:spacing w:line="360" w:lineRule="auto"/>
              <w:jc w:val="left"/>
              <w:rPr>
                <w:rFonts w:ascii="宋体" w:hAnsi="宋体" w:cs="宋体"/>
                <w:szCs w:val="21"/>
              </w:rPr>
            </w:pPr>
            <w:r>
              <w:rPr>
                <w:rFonts w:hint="eastAsia" w:ascii="宋体" w:hAnsi="宋体" w:cs="宋体"/>
                <w:szCs w:val="21"/>
              </w:rPr>
              <w:t>8、支持加权哈希、加权轮询、加权最小会话数等算法</w:t>
            </w:r>
          </w:p>
          <w:p w14:paraId="28CA7166">
            <w:pPr>
              <w:pStyle w:val="9"/>
              <w:spacing w:line="360" w:lineRule="auto"/>
              <w:jc w:val="left"/>
              <w:rPr>
                <w:rFonts w:ascii="宋体" w:hAnsi="宋体" w:cs="宋体"/>
                <w:szCs w:val="21"/>
              </w:rPr>
            </w:pPr>
            <w:r>
              <w:rPr>
                <w:rFonts w:hint="eastAsia" w:ascii="宋体" w:hAnsi="宋体" w:cs="宋体"/>
                <w:szCs w:val="21"/>
              </w:rPr>
              <w:t>9、支持服务器会话状态的监控</w:t>
            </w:r>
          </w:p>
          <w:p w14:paraId="796D0CD3">
            <w:pPr>
              <w:pStyle w:val="9"/>
              <w:spacing w:line="360" w:lineRule="auto"/>
              <w:jc w:val="left"/>
              <w:rPr>
                <w:rFonts w:ascii="宋体" w:hAnsi="宋体" w:cs="宋体"/>
                <w:szCs w:val="21"/>
              </w:rPr>
            </w:pPr>
            <w:r>
              <w:rPr>
                <w:rFonts w:hint="eastAsia" w:ascii="宋体" w:hAnsi="宋体" w:cs="宋体"/>
                <w:szCs w:val="21"/>
              </w:rPr>
              <w:t>10、基于状态、精准的高性能攻击检测和防御</w:t>
            </w:r>
          </w:p>
          <w:p w14:paraId="6791F263">
            <w:pPr>
              <w:pStyle w:val="9"/>
              <w:spacing w:line="360" w:lineRule="auto"/>
              <w:jc w:val="left"/>
              <w:rPr>
                <w:rFonts w:ascii="宋体" w:hAnsi="宋体" w:cs="宋体"/>
                <w:szCs w:val="21"/>
              </w:rPr>
            </w:pPr>
            <w:r>
              <w:rPr>
                <w:rFonts w:hint="eastAsia" w:ascii="宋体" w:hAnsi="宋体" w:cs="宋体"/>
                <w:szCs w:val="21"/>
              </w:rPr>
              <w:t>11、实时攻击源阻断、IP 屏蔽、攻击事件记录</w:t>
            </w:r>
          </w:p>
          <w:p w14:paraId="650CA3FE">
            <w:pPr>
              <w:pStyle w:val="9"/>
              <w:spacing w:line="360" w:lineRule="auto"/>
              <w:jc w:val="left"/>
              <w:rPr>
                <w:rFonts w:ascii="宋体" w:hAnsi="宋体" w:cs="宋体"/>
                <w:szCs w:val="21"/>
              </w:rPr>
            </w:pPr>
            <w:r>
              <w:rPr>
                <w:rFonts w:hint="eastAsia" w:ascii="宋体" w:hAnsi="宋体" w:cs="宋体"/>
                <w:szCs w:val="21"/>
              </w:rPr>
              <w:t>12、支持针对HTTP、SMTP、IMAP、POP3、VOIP、NETBIOS等20余种协议和应用的攻击检测和种的应用识别及控制</w:t>
            </w:r>
          </w:p>
          <w:p w14:paraId="30FC33EC">
            <w:pPr>
              <w:pStyle w:val="9"/>
              <w:spacing w:line="360" w:lineRule="auto"/>
              <w:jc w:val="left"/>
              <w:rPr>
                <w:rFonts w:ascii="宋体" w:hAnsi="宋体" w:cs="宋体"/>
                <w:szCs w:val="21"/>
              </w:rPr>
            </w:pPr>
            <w:r>
              <w:rPr>
                <w:rFonts w:hint="eastAsia" w:ascii="宋体" w:hAnsi="宋体" w:cs="宋体"/>
                <w:szCs w:val="21"/>
              </w:rPr>
              <w:t>13、支持应用类别、风险等级、应用技术等多维度的应用定义</w:t>
            </w:r>
          </w:p>
          <w:p w14:paraId="5660A6BF">
            <w:pPr>
              <w:pStyle w:val="9"/>
              <w:spacing w:line="360" w:lineRule="auto"/>
              <w:jc w:val="left"/>
              <w:rPr>
                <w:rFonts w:ascii="宋体" w:hAnsi="宋体" w:cs="宋体"/>
                <w:szCs w:val="21"/>
              </w:rPr>
            </w:pPr>
            <w:r>
              <w:rPr>
                <w:rFonts w:hint="eastAsia" w:ascii="宋体" w:hAnsi="宋体" w:cs="宋体"/>
                <w:szCs w:val="21"/>
              </w:rPr>
              <w:t>14、支持根据安全域、接口、地址、用户/用户组、服务/服务组、应用/应用组、TOS、VLAN、TrafficClass等信息设置管道匹配条件</w:t>
            </w:r>
          </w:p>
          <w:p w14:paraId="54E9C833">
            <w:pPr>
              <w:pStyle w:val="9"/>
              <w:spacing w:line="360" w:lineRule="auto"/>
              <w:jc w:val="left"/>
              <w:rPr>
                <w:rFonts w:ascii="宋体" w:hAnsi="宋体" w:cs="宋体"/>
                <w:szCs w:val="21"/>
              </w:rPr>
            </w:pPr>
            <w:r>
              <w:rPr>
                <w:rFonts w:hint="eastAsia" w:ascii="宋体" w:hAnsi="宋体" w:cs="宋体"/>
                <w:szCs w:val="21"/>
              </w:rPr>
              <w:t>15、支持两层八级管道嵌套功能</w:t>
            </w:r>
          </w:p>
          <w:p w14:paraId="27B22C10">
            <w:pPr>
              <w:pStyle w:val="9"/>
              <w:spacing w:line="360" w:lineRule="auto"/>
              <w:jc w:val="left"/>
              <w:rPr>
                <w:rFonts w:ascii="宋体" w:hAnsi="宋体" w:cs="宋体"/>
                <w:szCs w:val="21"/>
              </w:rPr>
            </w:pPr>
            <w:r>
              <w:rPr>
                <w:rFonts w:hint="eastAsia" w:ascii="宋体" w:hAnsi="宋体" w:cs="宋体"/>
                <w:szCs w:val="21"/>
              </w:rPr>
              <w:t>16、支持对多层级管道进行最大带宽限制、最小带宽保证、每IP或每用户的最大带宽限制和最小带宽保证</w:t>
            </w:r>
          </w:p>
          <w:p w14:paraId="79512BFD">
            <w:pPr>
              <w:pStyle w:val="9"/>
              <w:spacing w:line="360" w:lineRule="auto"/>
              <w:jc w:val="left"/>
              <w:rPr>
                <w:rFonts w:ascii="宋体" w:hAnsi="宋体" w:cs="宋体"/>
                <w:szCs w:val="21"/>
              </w:rPr>
            </w:pPr>
            <w:r>
              <w:rPr>
                <w:rFonts w:hint="eastAsia" w:ascii="宋体" w:hAnsi="宋体" w:cs="宋体"/>
                <w:szCs w:val="21"/>
              </w:rPr>
              <w:t>17、支持用户应用流量、URL访问等统计分析</w:t>
            </w:r>
          </w:p>
          <w:p w14:paraId="3A11825F">
            <w:pPr>
              <w:pStyle w:val="9"/>
              <w:spacing w:line="360" w:lineRule="auto"/>
              <w:jc w:val="left"/>
              <w:rPr>
                <w:rFonts w:ascii="宋体" w:hAnsi="宋体" w:cs="宋体"/>
                <w:szCs w:val="21"/>
              </w:rPr>
            </w:pPr>
            <w:r>
              <w:rPr>
                <w:rFonts w:hint="eastAsia" w:ascii="宋体" w:hAnsi="宋体" w:cs="宋体"/>
                <w:szCs w:val="21"/>
              </w:rPr>
              <w:t>18、支持应用的多维度统计监控，包括应用风险、类别、特征、所用技术等</w:t>
            </w:r>
          </w:p>
          <w:p w14:paraId="4CC33AEC">
            <w:pPr>
              <w:pStyle w:val="9"/>
              <w:spacing w:line="360" w:lineRule="auto"/>
              <w:jc w:val="left"/>
              <w:rPr>
                <w:rFonts w:ascii="宋体" w:hAnsi="宋体" w:cs="宋体"/>
                <w:szCs w:val="21"/>
              </w:rPr>
            </w:pPr>
            <w:r>
              <w:rPr>
                <w:rFonts w:hint="eastAsia" w:ascii="宋体" w:hAnsi="宋体" w:cs="宋体"/>
                <w:szCs w:val="21"/>
              </w:rPr>
              <w:t>19、支持URL访问和URL类别统计分析</w:t>
            </w:r>
          </w:p>
          <w:p w14:paraId="78B8435A">
            <w:pPr>
              <w:widowControl/>
              <w:spacing w:line="360" w:lineRule="auto"/>
              <w:jc w:val="left"/>
              <w:textAlignment w:val="center"/>
              <w:rPr>
                <w:rFonts w:ascii="宋体" w:hAnsi="宋体" w:cs="宋体"/>
                <w:b/>
                <w:bCs/>
                <w:szCs w:val="21"/>
              </w:rPr>
            </w:pPr>
            <w:r>
              <w:rPr>
                <w:rFonts w:hint="eastAsia" w:ascii="宋体" w:hAnsi="宋体" w:cs="宋体"/>
                <w:b/>
                <w:bCs/>
                <w:szCs w:val="21"/>
              </w:rPr>
              <w:t>四、提供1项前端设备及系统平台维保服务，需具备以下功能：</w:t>
            </w:r>
          </w:p>
          <w:p w14:paraId="4FFCC8CF">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提供本次新增的前端监控设备以及视频监控管理平台的维护保修服务，为确保有形的设备和物理环境（前端监控头、闪光灯、主机、云存储、服务器、软件等）在使用期内正常运行，所必需的维护、保养等，提供3年。</w:t>
            </w:r>
          </w:p>
          <w:p w14:paraId="7D1F8801">
            <w:pPr>
              <w:widowControl/>
              <w:spacing w:line="360" w:lineRule="auto"/>
              <w:jc w:val="left"/>
              <w:rPr>
                <w:rFonts w:asciiTheme="minorEastAsia" w:hAnsiTheme="minorEastAsia" w:eastAsiaTheme="minorEastAsia"/>
                <w:szCs w:val="21"/>
              </w:rPr>
            </w:pPr>
            <w:r>
              <w:rPr>
                <w:rFonts w:hint="eastAsia" w:ascii="宋体" w:hAnsi="宋体" w:cs="宋体"/>
                <w:kern w:val="0"/>
                <w:szCs w:val="21"/>
                <w:lang w:bidi="ar"/>
              </w:rPr>
              <w:t>2、提供本次优化及新增的前端监控设备的画面在线维护服务，确保前端每个月的在线率达到95%以上。</w:t>
            </w:r>
          </w:p>
        </w:tc>
        <w:tc>
          <w:tcPr>
            <w:tcW w:w="709" w:type="dxa"/>
            <w:vAlign w:val="center"/>
          </w:tcPr>
          <w:p w14:paraId="3DB182CD">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673" w:type="dxa"/>
            <w:vAlign w:val="center"/>
          </w:tcPr>
          <w:p w14:paraId="5DF3D6CD">
            <w:pPr>
              <w:autoSpaceDE w:val="0"/>
              <w:autoSpaceDN w:val="0"/>
              <w:adjustRightIn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134" w:type="dxa"/>
            <w:vAlign w:val="center"/>
          </w:tcPr>
          <w:p w14:paraId="6E8458A0">
            <w:pPr>
              <w:autoSpaceDE w:val="0"/>
              <w:autoSpaceDN w:val="0"/>
              <w:adjustRightInd w:val="0"/>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34600</w:t>
            </w:r>
          </w:p>
        </w:tc>
      </w:tr>
      <w:tr w14:paraId="6EBCE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 w:hRule="atLeast"/>
        </w:trPr>
        <w:tc>
          <w:tcPr>
            <w:tcW w:w="10625" w:type="dxa"/>
            <w:gridSpan w:val="7"/>
            <w:tcBorders>
              <w:top w:val="single" w:color="auto" w:sz="4" w:space="0"/>
              <w:left w:val="single" w:color="auto" w:sz="4" w:space="0"/>
              <w:bottom w:val="single" w:color="auto" w:sz="4" w:space="0"/>
              <w:right w:val="single" w:color="auto" w:sz="4" w:space="0"/>
            </w:tcBorders>
            <w:vAlign w:val="center"/>
          </w:tcPr>
          <w:p w14:paraId="40E28419">
            <w:pPr>
              <w:spacing w:line="400" w:lineRule="exact"/>
              <w:jc w:val="left"/>
              <w:rPr>
                <w:rFonts w:ascii="宋体" w:hAnsi="宋体"/>
                <w:b/>
                <w:color w:val="000000"/>
                <w:szCs w:val="21"/>
              </w:rPr>
            </w:pPr>
            <w:r>
              <w:rPr>
                <w:rFonts w:hint="eastAsia" w:ascii="宋体" w:hAnsi="宋体"/>
                <w:b/>
                <w:color w:val="000000"/>
                <w:szCs w:val="21"/>
              </w:rPr>
              <w:t>商务条款</w:t>
            </w:r>
          </w:p>
        </w:tc>
      </w:tr>
      <w:tr w14:paraId="02E09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14:paraId="5F6CAB80">
            <w:pPr>
              <w:spacing w:line="400" w:lineRule="exact"/>
              <w:jc w:val="center"/>
              <w:rPr>
                <w:rFonts w:ascii="宋体" w:hAnsi="宋体"/>
                <w:b/>
                <w:color w:val="000000"/>
                <w:szCs w:val="21"/>
              </w:rPr>
            </w:pPr>
            <w:r>
              <w:rPr>
                <w:rFonts w:hint="eastAsia" w:ascii="宋体" w:hAnsi="宋体" w:cs="宋体"/>
                <w:b/>
                <w:bCs/>
                <w:color w:val="000000"/>
                <w:kern w:val="0"/>
                <w:szCs w:val="21"/>
                <w:lang w:bidi="ar"/>
              </w:rPr>
              <w:t>交付期及服务时间</w:t>
            </w:r>
          </w:p>
        </w:tc>
        <w:tc>
          <w:tcPr>
            <w:tcW w:w="9155" w:type="dxa"/>
            <w:gridSpan w:val="5"/>
            <w:tcBorders>
              <w:top w:val="single" w:color="auto" w:sz="4" w:space="0"/>
              <w:left w:val="single" w:color="auto" w:sz="4" w:space="0"/>
              <w:bottom w:val="single" w:color="auto" w:sz="4" w:space="0"/>
              <w:right w:val="single" w:color="auto" w:sz="4" w:space="0"/>
            </w:tcBorders>
            <w:vAlign w:val="center"/>
          </w:tcPr>
          <w:p w14:paraId="3E3D30CF">
            <w:pPr>
              <w:spacing w:line="380" w:lineRule="atLeast"/>
              <w:jc w:val="left"/>
              <w:rPr>
                <w:rFonts w:ascii="宋体" w:hAnsi="宋体" w:cs="宋体"/>
                <w:kern w:val="0"/>
                <w:szCs w:val="21"/>
                <w:lang w:bidi="ar"/>
              </w:rPr>
            </w:pPr>
            <w:r>
              <w:rPr>
                <w:rFonts w:hint="eastAsia" w:ascii="宋体" w:hAnsi="宋体" w:cs="宋体"/>
                <w:kern w:val="0"/>
                <w:szCs w:val="21"/>
                <w:lang w:bidi="ar"/>
              </w:rPr>
              <w:t>一、服务期限：3年（“采购需求”中特别规定的，按规定执行）。</w:t>
            </w:r>
          </w:p>
          <w:p w14:paraId="4C865329">
            <w:pPr>
              <w:spacing w:line="380" w:lineRule="atLeast"/>
              <w:jc w:val="left"/>
              <w:rPr>
                <w:rFonts w:ascii="宋体" w:hAnsi="宋体" w:cs="宋体"/>
                <w:kern w:val="0"/>
                <w:szCs w:val="21"/>
                <w:lang w:bidi="ar"/>
              </w:rPr>
            </w:pPr>
            <w:r>
              <w:rPr>
                <w:rFonts w:hint="eastAsia" w:ascii="宋体" w:hAnsi="宋体" w:cs="宋体"/>
                <w:kern w:val="0"/>
                <w:szCs w:val="21"/>
                <w:lang w:bidi="ar"/>
              </w:rPr>
              <w:t>二、交付使用期及地点：</w:t>
            </w:r>
          </w:p>
          <w:p w14:paraId="58311D31">
            <w:pPr>
              <w:spacing w:line="380" w:lineRule="atLeast"/>
              <w:jc w:val="left"/>
              <w:rPr>
                <w:rFonts w:ascii="宋体" w:hAnsi="宋体" w:cs="宋体"/>
                <w:kern w:val="0"/>
                <w:szCs w:val="21"/>
                <w:lang w:bidi="ar"/>
              </w:rPr>
            </w:pPr>
            <w:r>
              <w:rPr>
                <w:rFonts w:hint="eastAsia" w:ascii="宋体" w:hAnsi="宋体" w:cs="宋体"/>
                <w:kern w:val="0"/>
                <w:szCs w:val="21"/>
                <w:lang w:bidi="ar"/>
              </w:rPr>
              <w:t>1、交付使用期：签订合同之日起30个日历日内安装完毕交付使用，服务期限3年；</w:t>
            </w:r>
          </w:p>
          <w:p w14:paraId="0F8B119E">
            <w:pPr>
              <w:spacing w:line="400" w:lineRule="exact"/>
              <w:jc w:val="left"/>
              <w:rPr>
                <w:rFonts w:ascii="宋体" w:hAnsi="宋体"/>
                <w:color w:val="000000"/>
                <w:szCs w:val="21"/>
              </w:rPr>
            </w:pPr>
            <w:r>
              <w:rPr>
                <w:rFonts w:hint="eastAsia" w:ascii="宋体" w:hAnsi="宋体" w:cs="宋体"/>
                <w:kern w:val="0"/>
                <w:szCs w:val="21"/>
                <w:lang w:bidi="ar"/>
              </w:rPr>
              <w:t>2、服务地点：采购人指定地点。</w:t>
            </w:r>
          </w:p>
        </w:tc>
      </w:tr>
      <w:tr w14:paraId="25908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14:paraId="7D4769D9">
            <w:pPr>
              <w:spacing w:line="400" w:lineRule="exact"/>
              <w:jc w:val="center"/>
              <w:rPr>
                <w:rFonts w:ascii="宋体" w:hAnsi="宋体"/>
                <w:b/>
                <w:color w:val="000000"/>
              </w:rPr>
            </w:pPr>
            <w:r>
              <w:rPr>
                <w:rFonts w:hint="eastAsia" w:ascii="宋体" w:hAnsi="宋体"/>
                <w:b/>
                <w:color w:val="000000"/>
              </w:rPr>
              <w:t>服务要求</w:t>
            </w:r>
          </w:p>
        </w:tc>
        <w:tc>
          <w:tcPr>
            <w:tcW w:w="9155" w:type="dxa"/>
            <w:gridSpan w:val="5"/>
            <w:tcBorders>
              <w:top w:val="single" w:color="auto" w:sz="4" w:space="0"/>
              <w:left w:val="single" w:color="auto" w:sz="4" w:space="0"/>
              <w:bottom w:val="single" w:color="auto" w:sz="4" w:space="0"/>
              <w:right w:val="single" w:color="auto" w:sz="4" w:space="0"/>
            </w:tcBorders>
          </w:tcPr>
          <w:p w14:paraId="7A775FE4">
            <w:pPr>
              <w:spacing w:line="380" w:lineRule="atLeast"/>
              <w:jc w:val="left"/>
              <w:rPr>
                <w:rFonts w:ascii="宋体" w:hAnsi="宋体"/>
                <w:szCs w:val="21"/>
              </w:rPr>
            </w:pPr>
            <w:r>
              <w:rPr>
                <w:rFonts w:hint="eastAsia" w:ascii="宋体" w:hAnsi="宋体"/>
                <w:szCs w:val="21"/>
              </w:rPr>
              <w:t>1、定期进行回访并对今后系统升级改造后的软硬件继续提供技术支持。</w:t>
            </w:r>
          </w:p>
          <w:p w14:paraId="6D375279">
            <w:pPr>
              <w:spacing w:line="400" w:lineRule="exact"/>
              <w:rPr>
                <w:rFonts w:ascii="宋体" w:hAnsi="宋体" w:cs="宋体"/>
                <w:color w:val="000000"/>
                <w:szCs w:val="21"/>
              </w:rPr>
            </w:pPr>
            <w:r>
              <w:rPr>
                <w:rFonts w:hint="eastAsia" w:ascii="宋体" w:hAnsi="宋体"/>
                <w:szCs w:val="21"/>
              </w:rPr>
              <w:t>2、应急响应服务：提供7×24小时上门服务，接采购人报故障电话2小时内响应，产品生产厂家或其授权工程师需在4小时内抵达现场。</w:t>
            </w:r>
          </w:p>
        </w:tc>
      </w:tr>
      <w:tr w14:paraId="749DF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14:paraId="35255DCD">
            <w:pPr>
              <w:spacing w:line="360" w:lineRule="auto"/>
              <w:jc w:val="center"/>
              <w:rPr>
                <w:rFonts w:ascii="宋体" w:hAnsi="宋体" w:cs="仿宋"/>
                <w:b/>
                <w:color w:val="000000"/>
                <w:szCs w:val="21"/>
              </w:rPr>
            </w:pPr>
            <w:r>
              <w:rPr>
                <w:rFonts w:hint="eastAsia" w:ascii="宋体" w:hAnsi="宋体" w:cs="宋体"/>
                <w:b/>
                <w:bCs/>
                <w:kern w:val="0"/>
                <w:szCs w:val="21"/>
              </w:rPr>
              <w:t>现场勘查</w:t>
            </w:r>
          </w:p>
        </w:tc>
        <w:tc>
          <w:tcPr>
            <w:tcW w:w="9155" w:type="dxa"/>
            <w:gridSpan w:val="5"/>
            <w:tcBorders>
              <w:top w:val="single" w:color="auto" w:sz="4" w:space="0"/>
              <w:left w:val="single" w:color="auto" w:sz="4" w:space="0"/>
              <w:bottom w:val="single" w:color="auto" w:sz="4" w:space="0"/>
              <w:right w:val="single" w:color="auto" w:sz="4" w:space="0"/>
            </w:tcBorders>
            <w:vAlign w:val="center"/>
          </w:tcPr>
          <w:p w14:paraId="239D47D0">
            <w:pPr>
              <w:spacing w:line="380" w:lineRule="atLeast"/>
              <w:jc w:val="left"/>
              <w:rPr>
                <w:rFonts w:ascii="宋体" w:hAnsi="宋体"/>
                <w:szCs w:val="21"/>
              </w:rPr>
            </w:pPr>
            <w:r>
              <w:rPr>
                <w:rFonts w:hint="eastAsia" w:ascii="宋体" w:hAnsi="宋体"/>
                <w:szCs w:val="21"/>
              </w:rPr>
              <w:t>1、潜在供应商可自行（非强制性要求）勘查现场，本项目需要安装的设备点位覆盖临桂区内，每个覆盖点位的立杆施工及杆件长度不一致，潜在投标人通过现场勘察制定设计及安装施工方案。</w:t>
            </w:r>
          </w:p>
          <w:p w14:paraId="5AA1300E">
            <w:pPr>
              <w:spacing w:line="400" w:lineRule="exact"/>
              <w:jc w:val="left"/>
              <w:rPr>
                <w:rFonts w:ascii="宋体" w:hAnsi="宋体" w:cs="??"/>
                <w:color w:val="000000"/>
                <w:kern w:val="0"/>
                <w:szCs w:val="21"/>
              </w:rPr>
            </w:pPr>
            <w:r>
              <w:rPr>
                <w:rFonts w:hint="eastAsia" w:ascii="宋体" w:hAnsi="宋体"/>
                <w:szCs w:val="21"/>
              </w:rPr>
              <w:t>2、由各潜在投标人自行勘查，联系人：唐明才，联系电话：0773-5592422，请参加人员自行准备交通工具，现场勘察所发生的一切费用及人生安全自行承担。</w:t>
            </w:r>
          </w:p>
        </w:tc>
      </w:tr>
      <w:tr w14:paraId="2DD8B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14:paraId="6A7A5AA7">
            <w:pPr>
              <w:spacing w:line="400" w:lineRule="exact"/>
              <w:jc w:val="center"/>
              <w:rPr>
                <w:rFonts w:ascii="宋体" w:hAnsi="宋体"/>
                <w:b/>
                <w:color w:val="000000"/>
                <w:szCs w:val="21"/>
              </w:rPr>
            </w:pPr>
            <w:r>
              <w:rPr>
                <w:rFonts w:hint="eastAsia" w:ascii="宋体" w:hAnsi="宋体"/>
                <w:b/>
                <w:color w:val="000000"/>
              </w:rPr>
              <w:t>付款方式</w:t>
            </w:r>
          </w:p>
        </w:tc>
        <w:tc>
          <w:tcPr>
            <w:tcW w:w="9155" w:type="dxa"/>
            <w:gridSpan w:val="5"/>
            <w:tcBorders>
              <w:top w:val="single" w:color="auto" w:sz="4" w:space="0"/>
              <w:left w:val="single" w:color="auto" w:sz="4" w:space="0"/>
              <w:bottom w:val="single" w:color="auto" w:sz="4" w:space="0"/>
              <w:right w:val="single" w:color="auto" w:sz="4" w:space="0"/>
            </w:tcBorders>
            <w:vAlign w:val="center"/>
          </w:tcPr>
          <w:p w14:paraId="20AB6E38">
            <w:pPr>
              <w:spacing w:line="400" w:lineRule="exact"/>
              <w:jc w:val="left"/>
              <w:rPr>
                <w:rFonts w:ascii="宋体" w:hAnsi="宋体"/>
                <w:color w:val="000000"/>
                <w:szCs w:val="21"/>
                <w:lang w:val="zh-CN"/>
              </w:rPr>
            </w:pPr>
            <w:r>
              <w:rPr>
                <w:rFonts w:hint="eastAsia"/>
              </w:rPr>
              <w:t>项目验收合格正常使用后分三年支付，第1年支付合同金额的三分之一，第2年支付合同金额的三分之一，第3年支付合同金额的三分之一；</w:t>
            </w:r>
          </w:p>
        </w:tc>
      </w:tr>
      <w:tr w14:paraId="639BD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470" w:type="dxa"/>
            <w:gridSpan w:val="2"/>
            <w:tcBorders>
              <w:top w:val="single" w:color="auto" w:sz="4" w:space="0"/>
              <w:left w:val="single" w:color="auto" w:sz="4" w:space="0"/>
              <w:bottom w:val="single" w:color="auto" w:sz="4" w:space="0"/>
              <w:right w:val="single" w:color="auto" w:sz="4" w:space="0"/>
            </w:tcBorders>
            <w:vAlign w:val="center"/>
          </w:tcPr>
          <w:p w14:paraId="6EECA1A9">
            <w:pPr>
              <w:spacing w:line="400" w:lineRule="exact"/>
              <w:jc w:val="center"/>
              <w:rPr>
                <w:rFonts w:ascii="宋体" w:hAnsi="宋体"/>
                <w:b/>
                <w:color w:val="000000"/>
              </w:rPr>
            </w:pPr>
            <w:r>
              <w:rPr>
                <w:rFonts w:hint="eastAsia" w:ascii="宋体" w:hAnsi="宋体"/>
                <w:b/>
                <w:color w:val="000000"/>
              </w:rPr>
              <w:t xml:space="preserve">其他要求 </w:t>
            </w:r>
          </w:p>
        </w:tc>
        <w:tc>
          <w:tcPr>
            <w:tcW w:w="9155" w:type="dxa"/>
            <w:gridSpan w:val="5"/>
            <w:tcBorders>
              <w:top w:val="single" w:color="auto" w:sz="4" w:space="0"/>
              <w:left w:val="single" w:color="auto" w:sz="4" w:space="0"/>
              <w:bottom w:val="single" w:color="auto" w:sz="4" w:space="0"/>
              <w:right w:val="single" w:color="auto" w:sz="4" w:space="0"/>
            </w:tcBorders>
            <w:vAlign w:val="center"/>
          </w:tcPr>
          <w:p w14:paraId="523409FB">
            <w:pPr>
              <w:numPr>
                <w:ilvl w:val="0"/>
                <w:numId w:val="8"/>
              </w:numPr>
              <w:spacing w:line="360" w:lineRule="auto"/>
              <w:rPr>
                <w:rFonts w:ascii="宋体" w:hAnsi="宋体" w:cs="宋体"/>
                <w:szCs w:val="21"/>
              </w:rPr>
            </w:pPr>
            <w:r>
              <w:rPr>
                <w:rFonts w:hint="eastAsia" w:ascii="宋体" w:hAnsi="宋体" w:cs="宋体"/>
                <w:szCs w:val="21"/>
              </w:rPr>
              <w:t>为保证系统稳定性及兼容性，投标人必须确保本期新建的前端服务</w:t>
            </w:r>
            <w:r>
              <w:rPr>
                <w:rFonts w:hint="eastAsia" w:ascii="宋体" w:hAnsi="宋体" w:cs="宋体"/>
                <w:b/>
                <w:bCs/>
                <w:szCs w:val="21"/>
              </w:rPr>
              <w:t>（9套车牌车速道路安全预警终端采集服务、3套环保抓拍电警视频采集服务、</w:t>
            </w:r>
            <w:r>
              <w:rPr>
                <w:rFonts w:hint="eastAsia" w:ascii="宋体" w:hAnsi="宋体" w:cs="宋体"/>
                <w:b/>
                <w:bCs/>
                <w:kern w:val="0"/>
                <w:szCs w:val="21"/>
                <w:lang w:bidi="ar"/>
              </w:rPr>
              <w:t>2套测速电子警察卡口服务</w:t>
            </w:r>
            <w:r>
              <w:rPr>
                <w:rFonts w:hint="eastAsia" w:ascii="宋体" w:hAnsi="宋体" w:cs="宋体"/>
                <w:b/>
                <w:bCs/>
                <w:szCs w:val="21"/>
              </w:rPr>
              <w:t>）</w:t>
            </w:r>
            <w:r>
              <w:rPr>
                <w:rFonts w:hint="eastAsia" w:ascii="宋体" w:hAnsi="宋体" w:cs="宋体"/>
                <w:szCs w:val="21"/>
              </w:rPr>
              <w:t>能与采购人现有智能交通管理平台（海康威视IVMS-8600）无缝对接，通过GB/T28181-2016协议实现视频资源的统一管理和联网控制，投标时必须提供互联互通承诺书，未提供，投标无效。</w:t>
            </w:r>
          </w:p>
          <w:p w14:paraId="316FC970">
            <w:pPr>
              <w:tabs>
                <w:tab w:val="left" w:pos="7797"/>
              </w:tabs>
              <w:snapToGrid w:val="0"/>
              <w:spacing w:line="360" w:lineRule="auto"/>
              <w:rPr>
                <w:rFonts w:ascii="宋体" w:hAnsi="宋体" w:cs="宋体"/>
                <w:bCs/>
                <w:kern w:val="0"/>
                <w:szCs w:val="21"/>
              </w:rPr>
            </w:pPr>
            <w:r>
              <w:rPr>
                <w:rFonts w:hint="eastAsia" w:ascii="宋体" w:hAnsi="宋体" w:cs="宋体"/>
                <w:bCs/>
                <w:kern w:val="0"/>
                <w:szCs w:val="21"/>
              </w:rPr>
              <w:t>2、本标服务不接受进口产品（即通过中国海关报关验放进入中国境内且产自关境外的产品）参与投标，如有此类产品参与投标的，作投标无效处理。</w:t>
            </w:r>
          </w:p>
          <w:p w14:paraId="6019D467">
            <w:pPr>
              <w:tabs>
                <w:tab w:val="left" w:pos="180"/>
                <w:tab w:val="left" w:pos="1620"/>
              </w:tabs>
              <w:spacing w:line="400" w:lineRule="exact"/>
              <w:rPr>
                <w:rFonts w:ascii="宋体" w:hAnsi="宋体" w:cs="宋体"/>
                <w:color w:val="000000"/>
                <w:szCs w:val="21"/>
              </w:rPr>
            </w:pPr>
            <w:r>
              <w:rPr>
                <w:rFonts w:hint="eastAsia" w:ascii="宋体" w:hAnsi="宋体" w:cs="宋体"/>
                <w:color w:val="000000"/>
                <w:szCs w:val="21"/>
              </w:rPr>
              <w:t>3、本项目政府采购预算金额为人民币：</w:t>
            </w:r>
            <w:r>
              <w:rPr>
                <w:rFonts w:hint="eastAsia" w:ascii="宋体" w:hAnsi="宋体" w:cs="宋体"/>
                <w:b/>
                <w:bCs/>
                <w:color w:val="000000"/>
                <w:szCs w:val="21"/>
              </w:rPr>
              <w:t>壹佰贰拾柒万陆仟壹佰玖拾肆元整（¥12</w:t>
            </w:r>
            <w:r>
              <w:rPr>
                <w:rFonts w:ascii="宋体" w:hAnsi="宋体" w:cs="宋体"/>
                <w:b/>
                <w:bCs/>
                <w:color w:val="000000"/>
                <w:szCs w:val="21"/>
              </w:rPr>
              <w:t>76</w:t>
            </w:r>
            <w:r>
              <w:rPr>
                <w:rFonts w:hint="eastAsia" w:ascii="宋体" w:hAnsi="宋体" w:cs="宋体"/>
                <w:b/>
                <w:bCs/>
                <w:color w:val="000000"/>
                <w:szCs w:val="21"/>
              </w:rPr>
              <w:t>194.00元）最高限价：壹佰贰拾壹万壹仟壹佰玖拾肆元整（¥1211194.00元）</w:t>
            </w:r>
            <w:r>
              <w:rPr>
                <w:rFonts w:hint="eastAsia" w:ascii="宋体" w:hAnsi="宋体" w:cs="宋体"/>
                <w:color w:val="000000"/>
                <w:szCs w:val="21"/>
              </w:rPr>
              <w:t>，投标报价超出采购预算金额</w:t>
            </w:r>
            <w:r>
              <w:rPr>
                <w:rFonts w:hint="eastAsia" w:ascii="宋体" w:hAnsi="宋体" w:cs="宋体"/>
                <w:b/>
                <w:color w:val="000000"/>
                <w:szCs w:val="21"/>
              </w:rPr>
              <w:t>（最高限价）</w:t>
            </w:r>
            <w:r>
              <w:rPr>
                <w:rFonts w:hint="eastAsia" w:ascii="宋体" w:hAnsi="宋体" w:cs="宋体"/>
                <w:color w:val="000000"/>
                <w:szCs w:val="21"/>
              </w:rPr>
              <w:t>的将被视为无效投标。投标报价超出采购预算金额的将被视为无效投标。</w:t>
            </w:r>
          </w:p>
        </w:tc>
      </w:tr>
    </w:tbl>
    <w:p w14:paraId="6D38978C">
      <w:pPr>
        <w:pStyle w:val="3"/>
        <w:tabs>
          <w:tab w:val="left" w:pos="0"/>
        </w:tabs>
        <w:autoSpaceDE w:val="0"/>
        <w:autoSpaceDN w:val="0"/>
        <w:adjustRightInd w:val="0"/>
        <w:spacing w:before="0" w:after="0" w:line="360" w:lineRule="auto"/>
        <w:jc w:val="center"/>
        <w:rPr>
          <w:rFonts w:ascii="宋体" w:hAnsi="宋体" w:cs="宋体"/>
          <w:sz w:val="32"/>
          <w:szCs w:val="32"/>
        </w:rPr>
      </w:pPr>
    </w:p>
    <w:p w14:paraId="2F1AC4C1">
      <w:pPr>
        <w:pStyle w:val="3"/>
        <w:tabs>
          <w:tab w:val="left" w:pos="0"/>
        </w:tabs>
        <w:autoSpaceDE w:val="0"/>
        <w:autoSpaceDN w:val="0"/>
        <w:adjustRightInd w:val="0"/>
        <w:spacing w:before="0" w:after="0" w:line="360" w:lineRule="auto"/>
        <w:jc w:val="center"/>
        <w:rPr>
          <w:rFonts w:ascii="宋体" w:hAnsi="宋体" w:cs="宋体"/>
          <w:sz w:val="32"/>
          <w:szCs w:val="32"/>
        </w:rPr>
      </w:pPr>
    </w:p>
    <w:p w14:paraId="30FAF35C">
      <w:pPr>
        <w:pStyle w:val="3"/>
        <w:tabs>
          <w:tab w:val="left" w:pos="0"/>
        </w:tabs>
        <w:autoSpaceDE w:val="0"/>
        <w:autoSpaceDN w:val="0"/>
        <w:adjustRightInd w:val="0"/>
        <w:spacing w:before="0" w:after="0" w:line="360" w:lineRule="auto"/>
        <w:jc w:val="center"/>
        <w:rPr>
          <w:rFonts w:ascii="宋体" w:hAnsi="宋体" w:cs="宋体"/>
          <w:sz w:val="32"/>
          <w:szCs w:val="32"/>
        </w:rPr>
      </w:pPr>
    </w:p>
    <w:p w14:paraId="2656E2B2">
      <w:pPr>
        <w:pStyle w:val="3"/>
        <w:tabs>
          <w:tab w:val="left" w:pos="0"/>
        </w:tabs>
        <w:autoSpaceDE w:val="0"/>
        <w:autoSpaceDN w:val="0"/>
        <w:adjustRightInd w:val="0"/>
        <w:spacing w:before="0" w:after="0" w:line="360" w:lineRule="auto"/>
        <w:jc w:val="center"/>
        <w:rPr>
          <w:rFonts w:ascii="宋体" w:hAnsi="宋体" w:cs="宋体"/>
          <w:sz w:val="32"/>
          <w:szCs w:val="32"/>
        </w:rPr>
      </w:pPr>
    </w:p>
    <w:p w14:paraId="6E438B12">
      <w:pPr>
        <w:pStyle w:val="3"/>
        <w:tabs>
          <w:tab w:val="left" w:pos="0"/>
        </w:tabs>
        <w:autoSpaceDE w:val="0"/>
        <w:autoSpaceDN w:val="0"/>
        <w:adjustRightInd w:val="0"/>
        <w:spacing w:before="0" w:after="0" w:line="360" w:lineRule="auto"/>
        <w:rPr>
          <w:rFonts w:ascii="宋体" w:hAnsi="宋体" w:cs="宋体"/>
          <w:sz w:val="32"/>
          <w:szCs w:val="32"/>
        </w:rPr>
      </w:pPr>
    </w:p>
    <w:p w14:paraId="5C0DA37B">
      <w:pPr>
        <w:pStyle w:val="2"/>
        <w:rPr>
          <w:rFonts w:ascii="宋体" w:hAnsi="宋体" w:cs="宋体"/>
          <w:sz w:val="32"/>
          <w:szCs w:val="32"/>
        </w:rPr>
      </w:pPr>
    </w:p>
    <w:p w14:paraId="12458944">
      <w:pPr>
        <w:pStyle w:val="2"/>
        <w:rPr>
          <w:rFonts w:ascii="宋体" w:hAnsi="宋体" w:cs="宋体"/>
          <w:sz w:val="32"/>
          <w:szCs w:val="32"/>
        </w:rPr>
      </w:pPr>
    </w:p>
    <w:p w14:paraId="10AFB88B">
      <w:pPr>
        <w:widowControl/>
        <w:jc w:val="left"/>
        <w:rPr>
          <w:rFonts w:ascii="宋体" w:hAnsi="宋体" w:cs="宋体"/>
          <w:b/>
          <w:bCs/>
          <w:kern w:val="44"/>
          <w:sz w:val="32"/>
          <w:szCs w:val="32"/>
        </w:rPr>
      </w:pPr>
      <w:r>
        <w:rPr>
          <w:rFonts w:ascii="宋体" w:hAnsi="宋体" w:cs="宋体"/>
          <w:sz w:val="32"/>
          <w:szCs w:val="32"/>
        </w:rPr>
        <w:br w:type="page"/>
      </w:r>
    </w:p>
    <w:p w14:paraId="404760DF">
      <w:pPr>
        <w:pStyle w:val="3"/>
        <w:tabs>
          <w:tab w:val="left" w:pos="0"/>
        </w:tabs>
        <w:autoSpaceDE w:val="0"/>
        <w:autoSpaceDN w:val="0"/>
        <w:adjustRightInd w:val="0"/>
        <w:spacing w:before="0" w:after="0" w:line="360" w:lineRule="auto"/>
        <w:jc w:val="center"/>
        <w:rPr>
          <w:rFonts w:ascii="宋体" w:hAnsi="宋体" w:cs="宋体"/>
          <w:sz w:val="32"/>
          <w:szCs w:val="32"/>
        </w:rPr>
      </w:pPr>
      <w:bookmarkStart w:id="125" w:name="_Toc102642521"/>
      <w:r>
        <w:rPr>
          <w:rFonts w:hint="eastAsia" w:ascii="宋体" w:hAnsi="宋体" w:cs="宋体"/>
          <w:sz w:val="32"/>
          <w:szCs w:val="32"/>
        </w:rPr>
        <w:t>第四章 评审办法</w:t>
      </w:r>
      <w:bookmarkEnd w:id="107"/>
      <w:bookmarkEnd w:id="125"/>
    </w:p>
    <w:p w14:paraId="0D5C2395">
      <w:pPr>
        <w:spacing w:line="360" w:lineRule="exact"/>
        <w:ind w:firstLine="420" w:firstLineChars="200"/>
        <w:rPr>
          <w:rFonts w:ascii="宋体" w:hAnsi="宋体" w:cs="宋体"/>
          <w:b/>
          <w:bCs/>
          <w:color w:val="000000" w:themeColor="text1"/>
          <w:szCs w:val="21"/>
        </w:rPr>
      </w:pPr>
      <w:r>
        <w:rPr>
          <w:rFonts w:hint="eastAsia" w:ascii="宋体" w:hAnsi="宋体" w:cs="宋体"/>
          <w:b/>
          <w:bCs/>
          <w:color w:val="000000" w:themeColor="text1"/>
          <w:szCs w:val="21"/>
        </w:rPr>
        <w:t>一、评审依据</w:t>
      </w:r>
    </w:p>
    <w:p w14:paraId="3406AC89">
      <w:pPr>
        <w:pStyle w:val="12"/>
        <w:spacing w:line="360" w:lineRule="auto"/>
        <w:ind w:firstLine="420" w:firstLineChars="200"/>
        <w:rPr>
          <w:rFonts w:hAnsi="宋体"/>
        </w:rPr>
      </w:pPr>
      <w:r>
        <w:rPr>
          <w:rFonts w:hint="eastAsia" w:hAnsi="宋体"/>
        </w:rPr>
        <w:t>1. 评标依据：评标委员会以竞争性磋商文件和响应文件为评标依据，对磋商供应商的投标报价、技术、服务承诺、履约能力等四个方面内容按百分制打分。</w:t>
      </w:r>
    </w:p>
    <w:p w14:paraId="7F15D8E2">
      <w:pPr>
        <w:pStyle w:val="12"/>
        <w:spacing w:line="360" w:lineRule="auto"/>
        <w:ind w:left="210" w:leftChars="100" w:firstLine="210" w:firstLineChars="100"/>
        <w:rPr>
          <w:rFonts w:hAnsi="宋体"/>
        </w:rPr>
      </w:pPr>
      <w:r>
        <w:rPr>
          <w:rFonts w:hint="eastAsia" w:hAnsi="宋体"/>
        </w:rPr>
        <w:t>2. 评标方式：以封闭方式进行评标。</w:t>
      </w:r>
    </w:p>
    <w:p w14:paraId="042E637F">
      <w:pPr>
        <w:pStyle w:val="12"/>
        <w:spacing w:line="360" w:lineRule="auto"/>
        <w:ind w:left="210" w:leftChars="100" w:firstLine="210" w:firstLineChars="100"/>
        <w:rPr>
          <w:rFonts w:hAnsi="宋体"/>
        </w:rPr>
      </w:pPr>
      <w:r>
        <w:rPr>
          <w:rFonts w:hint="eastAsia" w:hAnsi="宋体"/>
        </w:rPr>
        <w:t>3. 根据财库〔2012〕69号文规定，采购人和采购代理机构、评标委员会成员要严格遵守政府采购相关法律制度，依法履行各自职责，公正、客观、审慎地组织和参与评审工作。</w:t>
      </w:r>
    </w:p>
    <w:p w14:paraId="02ABA953">
      <w:pPr>
        <w:pStyle w:val="12"/>
        <w:spacing w:line="360" w:lineRule="auto"/>
        <w:ind w:firstLine="420" w:firstLineChars="200"/>
        <w:rPr>
          <w:rFonts w:hAnsi="宋体"/>
          <w:b/>
          <w:bCs/>
        </w:rPr>
      </w:pPr>
      <w:r>
        <w:rPr>
          <w:rFonts w:hint="eastAsia" w:hAnsi="宋体"/>
          <w:b/>
          <w:bCs/>
        </w:rPr>
        <w:t>二、评标办法</w:t>
      </w:r>
    </w:p>
    <w:p w14:paraId="0E8B92BF">
      <w:pPr>
        <w:pStyle w:val="12"/>
        <w:spacing w:line="360" w:lineRule="auto"/>
        <w:ind w:firstLine="420" w:firstLineChars="200"/>
        <w:rPr>
          <w:rFonts w:hAnsi="宋体"/>
          <w:bCs/>
        </w:rPr>
      </w:pPr>
      <w:r>
        <w:rPr>
          <w:rFonts w:hint="eastAsia" w:hAnsi="宋体"/>
          <w:bCs/>
        </w:rPr>
        <w:t>（一）对进入详评的，采用综合评分法。</w:t>
      </w:r>
    </w:p>
    <w:p w14:paraId="1B8968B5">
      <w:pPr>
        <w:pStyle w:val="12"/>
        <w:spacing w:line="360" w:lineRule="auto"/>
        <w:ind w:firstLine="420" w:firstLineChars="200"/>
        <w:rPr>
          <w:rFonts w:hAnsi="宋体"/>
          <w:bCs/>
        </w:rPr>
      </w:pPr>
      <w:r>
        <w:rPr>
          <w:rFonts w:hint="eastAsia" w:hAnsi="宋体"/>
          <w:bCs/>
        </w:rPr>
        <w:t>（二）计分办法（按四舍五入取至小数点后二位）</w:t>
      </w:r>
    </w:p>
    <w:p w14:paraId="01829E88">
      <w:pPr>
        <w:pStyle w:val="12"/>
        <w:spacing w:line="360" w:lineRule="auto"/>
        <w:ind w:firstLine="420"/>
        <w:rPr>
          <w:rFonts w:hAnsi="宋体"/>
          <w:b/>
        </w:rPr>
      </w:pPr>
      <w:r>
        <w:rPr>
          <w:rFonts w:hint="eastAsia" w:hAnsi="宋体"/>
          <w:b/>
        </w:rPr>
        <w:t>1. 价格分………………………………………………………………………………………………</w:t>
      </w:r>
      <w:r>
        <w:rPr>
          <w:rFonts w:hAnsi="宋体"/>
          <w:b/>
        </w:rPr>
        <w:t>3</w:t>
      </w:r>
      <w:r>
        <w:rPr>
          <w:rFonts w:hint="eastAsia" w:hAnsi="宋体"/>
          <w:b/>
        </w:rPr>
        <w:t>0分</w:t>
      </w:r>
    </w:p>
    <w:p w14:paraId="0B08726B">
      <w:pPr>
        <w:spacing w:line="360" w:lineRule="auto"/>
        <w:ind w:firstLine="420" w:firstLineChars="200"/>
        <w:rPr>
          <w:rFonts w:ascii="宋体" w:hAnsi="宋体"/>
          <w:bCs/>
          <w:szCs w:val="21"/>
        </w:rPr>
      </w:pPr>
      <w:r>
        <w:rPr>
          <w:rFonts w:hint="eastAsia" w:ascii="宋体" w:hAnsi="宋体"/>
          <w:bCs/>
          <w:szCs w:val="21"/>
        </w:rPr>
        <w:t>（1）</w:t>
      </w:r>
      <w:r>
        <w:rPr>
          <w:rFonts w:hint="eastAsia" w:ascii="宋体" w:hAnsi="宋体"/>
          <w:szCs w:val="21"/>
        </w:rPr>
        <w:t>按照《政府采购促进中小企业发展管理办法》（财库[2020]46号）规定：</w:t>
      </w:r>
    </w:p>
    <w:p w14:paraId="5E1A3063">
      <w:pPr>
        <w:spacing w:line="360" w:lineRule="auto"/>
        <w:ind w:firstLine="420" w:firstLineChars="200"/>
        <w:rPr>
          <w:rFonts w:ascii="宋体" w:hAnsi="宋体"/>
          <w:szCs w:val="21"/>
        </w:rPr>
      </w:pPr>
      <w:r>
        <w:rPr>
          <w:rFonts w:hint="eastAsia" w:ascii="宋体" w:hAnsi="宋体"/>
          <w:szCs w:val="21"/>
        </w:rPr>
        <w:t>对磋商供应商认定为小型和微型企业且所投产品均为小型、微型企业产品的（以投标文件提供的符合规定的有关证明材料为准），投标价给予</w:t>
      </w:r>
      <w:r>
        <w:rPr>
          <w:rFonts w:hint="eastAsia" w:ascii="宋体" w:hAnsi="宋体"/>
          <w:szCs w:val="21"/>
          <w:lang w:val="en-US" w:eastAsia="zh-CN"/>
        </w:rPr>
        <w:t>1</w:t>
      </w:r>
      <w:r>
        <w:rPr>
          <w:rFonts w:hint="eastAsia" w:ascii="宋体" w:hAnsi="宋体"/>
          <w:szCs w:val="21"/>
        </w:rPr>
        <w:t>0%的扣除，扣除后的价格为评标报价，即评标报价=投标报价×（1-</w:t>
      </w:r>
      <w:r>
        <w:rPr>
          <w:rFonts w:hint="eastAsia" w:ascii="宋体" w:hAnsi="宋体"/>
          <w:szCs w:val="21"/>
          <w:lang w:val="en-US" w:eastAsia="zh-CN"/>
        </w:rPr>
        <w:t>1</w:t>
      </w:r>
      <w:r>
        <w:rPr>
          <w:rFonts w:hint="eastAsia" w:ascii="宋体" w:hAnsi="宋体"/>
          <w:szCs w:val="21"/>
        </w:rPr>
        <w:t>0%）；</w:t>
      </w:r>
    </w:p>
    <w:p w14:paraId="2DBF302D">
      <w:pPr>
        <w:spacing w:line="360" w:lineRule="auto"/>
        <w:ind w:firstLine="420" w:firstLineChars="200"/>
        <w:rPr>
          <w:rFonts w:ascii="宋体" w:hAnsi="宋体" w:cs="Arial"/>
          <w:kern w:val="0"/>
          <w:szCs w:val="21"/>
        </w:rPr>
      </w:pPr>
      <w:r>
        <w:rPr>
          <w:rFonts w:hint="eastAsia" w:ascii="宋体" w:hAnsi="宋体"/>
          <w:szCs w:val="21"/>
        </w:rPr>
        <w:t>除上述情况外，评标报价=投标报价。</w:t>
      </w:r>
    </w:p>
    <w:p w14:paraId="1AA80737">
      <w:pPr>
        <w:pStyle w:val="12"/>
        <w:spacing w:line="360" w:lineRule="auto"/>
        <w:ind w:firstLine="200"/>
        <w:rPr>
          <w:rFonts w:hAnsi="宋体"/>
        </w:rPr>
      </w:pPr>
      <w:r>
        <w:rPr>
          <w:rFonts w:hint="eastAsia" w:hAnsi="宋体"/>
          <w:b/>
        </w:rPr>
        <w:t>注：小型、微型企业提供中型企业制造的货物的，视同为中型企业。</w:t>
      </w:r>
    </w:p>
    <w:p w14:paraId="3B298CCB">
      <w:pPr>
        <w:pStyle w:val="12"/>
        <w:spacing w:line="360" w:lineRule="auto"/>
        <w:ind w:firstLine="420"/>
        <w:rPr>
          <w:rFonts w:hAnsi="宋体" w:cs="Arial"/>
        </w:rPr>
      </w:pPr>
      <w:r>
        <w:rPr>
          <w:rFonts w:hint="eastAsia" w:hAnsi="宋体"/>
        </w:rPr>
        <w:t>（2）</w:t>
      </w:r>
      <w:r>
        <w:rPr>
          <w:rFonts w:hint="eastAsia" w:hAnsi="宋体" w:cs="Arial"/>
        </w:rPr>
        <w:t>根据财政部、司法部关于政府采购支持监狱企业发展有关问题的通知（财库[2014]68号），监狱企业视同小型、微型企业，享受小型、微型企业评审中价格扣除的政府采购政策。</w:t>
      </w:r>
    </w:p>
    <w:p w14:paraId="440B09FC">
      <w:pPr>
        <w:pStyle w:val="12"/>
        <w:spacing w:line="360" w:lineRule="auto"/>
        <w:ind w:firstLine="420"/>
        <w:rPr>
          <w:rFonts w:hAnsi="宋体"/>
          <w:bCs/>
        </w:rPr>
      </w:pPr>
      <w:r>
        <w:rPr>
          <w:rFonts w:hint="eastAsia" w:hAnsi="宋体"/>
        </w:rPr>
        <w:t>（3）以进入评标的最低的评标报价为</w:t>
      </w:r>
      <w:r>
        <w:rPr>
          <w:rFonts w:hAnsi="宋体"/>
        </w:rPr>
        <w:t>3</w:t>
      </w:r>
      <w:r>
        <w:rPr>
          <w:rFonts w:hint="eastAsia" w:hAnsi="宋体"/>
        </w:rPr>
        <w:t>0分。</w:t>
      </w:r>
    </w:p>
    <w:p w14:paraId="768AD1E6">
      <w:pPr>
        <w:pStyle w:val="12"/>
        <w:spacing w:line="360" w:lineRule="auto"/>
        <w:ind w:firstLine="3087" w:firstLineChars="1470"/>
        <w:rPr>
          <w:rFonts w:hAnsi="宋体"/>
          <w:bCs/>
        </w:rPr>
      </w:pPr>
      <w:r>
        <w:rPr>
          <w:rFonts w:hint="eastAsia" w:hAnsi="宋体"/>
          <w:bCs/>
        </w:rPr>
        <w:t>磋商供应商最低</w:t>
      </w:r>
      <w:r>
        <w:rPr>
          <w:rFonts w:hint="eastAsia" w:hAnsi="宋体"/>
        </w:rPr>
        <w:t>评标报价</w:t>
      </w:r>
      <w:r>
        <w:rPr>
          <w:rFonts w:hint="eastAsia" w:hAnsi="宋体"/>
          <w:bCs/>
        </w:rPr>
        <w:t xml:space="preserve">金额          </w:t>
      </w:r>
    </w:p>
    <w:p w14:paraId="46A35E17">
      <w:pPr>
        <w:pStyle w:val="12"/>
        <w:spacing w:line="360" w:lineRule="auto"/>
        <w:ind w:firstLine="420"/>
        <w:rPr>
          <w:rFonts w:hAnsi="宋体"/>
          <w:bCs/>
        </w:rPr>
      </w:pPr>
      <w:r>
        <w:pict>
          <v:line id="直接连接符 6" o:spid="_x0000_s1029" o:spt="20" style="position:absolute;left:0pt;margin-left:135pt;margin-top:10.2pt;height:0pt;width:173.25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">
            <v:path arrowok="t"/>
            <v:fill focussize="0,0"/>
            <v:stroke/>
            <v:imagedata o:title=""/>
            <o:lock v:ext="edit"/>
          </v:line>
        </w:pict>
      </w:r>
      <w:r>
        <w:rPr>
          <w:rFonts w:hint="eastAsia" w:hAnsi="宋体"/>
          <w:bCs/>
        </w:rPr>
        <w:t>（4）磋商供应商价格分 =                                       ×</w:t>
      </w:r>
      <w:r>
        <w:rPr>
          <w:rFonts w:hAnsi="宋体"/>
          <w:bCs/>
        </w:rPr>
        <w:t>3</w:t>
      </w:r>
      <w:r>
        <w:rPr>
          <w:rFonts w:hint="eastAsia" w:hAnsi="宋体"/>
          <w:bCs/>
        </w:rPr>
        <w:t>0分</w:t>
      </w:r>
    </w:p>
    <w:p w14:paraId="045D63D0">
      <w:pPr>
        <w:pStyle w:val="12"/>
        <w:spacing w:line="360" w:lineRule="auto"/>
        <w:ind w:firstLine="420" w:firstLineChars="200"/>
        <w:rPr>
          <w:rFonts w:hAnsi="宋体"/>
          <w:bCs/>
        </w:rPr>
      </w:pPr>
      <w:r>
        <w:rPr>
          <w:rFonts w:hint="eastAsia" w:hAnsi="宋体"/>
          <w:bCs/>
        </w:rPr>
        <w:t xml:space="preserve">                           磋商供应商</w:t>
      </w:r>
      <w:r>
        <w:rPr>
          <w:rFonts w:hint="eastAsia" w:hAnsi="宋体"/>
        </w:rPr>
        <w:t>评标报价</w:t>
      </w:r>
      <w:r>
        <w:rPr>
          <w:rFonts w:hint="eastAsia" w:hAnsi="宋体"/>
          <w:bCs/>
        </w:rPr>
        <w:t xml:space="preserve">金额  </w:t>
      </w:r>
    </w:p>
    <w:p w14:paraId="0DCAD2AB">
      <w:pPr>
        <w:pStyle w:val="12"/>
        <w:spacing w:line="360" w:lineRule="auto"/>
        <w:ind w:firstLine="420" w:firstLineChars="200"/>
        <w:rPr>
          <w:rFonts w:hAnsi="宋体"/>
          <w:bCs/>
        </w:rPr>
      </w:pPr>
      <w:r>
        <w:rPr>
          <w:rFonts w:hint="eastAsia" w:hAnsi="宋体"/>
          <w:bCs/>
        </w:rPr>
        <w:t>（5）为了确保采购项目的完成质量和维护公平的竞争及合同的正常履行，根据《中华人民共和国财政部第87号令》第六十条评标委员会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评标委员会应当将其作为无效投标处理。</w:t>
      </w:r>
    </w:p>
    <w:p w14:paraId="03DBA58F">
      <w:pPr>
        <w:pStyle w:val="12"/>
        <w:adjustRightInd w:val="0"/>
        <w:snapToGrid w:val="0"/>
        <w:spacing w:line="500" w:lineRule="exact"/>
        <w:ind w:firstLine="420" w:firstLineChars="200"/>
        <w:rPr>
          <w:rFonts w:hAnsi="宋体" w:cs="宋体"/>
          <w:b/>
          <w:szCs w:val="21"/>
          <w:highlight w:val="yellow"/>
        </w:rPr>
      </w:pPr>
      <w:r>
        <w:rPr>
          <w:rFonts w:hint="eastAsia" w:hAnsi="宋体" w:cs="宋体"/>
          <w:b/>
          <w:szCs w:val="21"/>
        </w:rPr>
        <w:t>2.技术分</w:t>
      </w:r>
      <w:r>
        <w:rPr>
          <w:rFonts w:hint="eastAsia" w:hAnsi="宋体" w:cs="宋体"/>
          <w:b/>
          <w:bCs/>
          <w:kern w:val="0"/>
          <w:szCs w:val="21"/>
        </w:rPr>
        <w:t>……………………………………………………………………………………………………</w:t>
      </w:r>
      <w:r>
        <w:rPr>
          <w:rFonts w:hAnsi="宋体" w:cs="宋体"/>
          <w:b/>
          <w:szCs w:val="21"/>
        </w:rPr>
        <w:t>30</w:t>
      </w:r>
      <w:r>
        <w:rPr>
          <w:rFonts w:hint="eastAsia" w:hAnsi="宋体" w:cs="宋体"/>
          <w:b/>
          <w:szCs w:val="21"/>
        </w:rPr>
        <w:t>分</w:t>
      </w:r>
    </w:p>
    <w:p w14:paraId="4840C9D0">
      <w:pPr>
        <w:spacing w:line="360" w:lineRule="auto"/>
        <w:ind w:firstLine="420" w:firstLineChars="200"/>
        <w:jc w:val="left"/>
        <w:rPr>
          <w:rFonts w:ascii="宋体" w:hAnsi="宋体" w:cs="宋体"/>
          <w:szCs w:val="21"/>
        </w:rPr>
      </w:pPr>
      <w:r>
        <w:rPr>
          <w:rFonts w:hint="eastAsia" w:ascii="宋体" w:hAnsi="宋体" w:cs="宋体"/>
          <w:szCs w:val="21"/>
        </w:rPr>
        <w:t>服务采购需求表中标注“▲”的技术服务参数，系本服务项目重要技术指标、服务性能条款，标注“▲”号的功能条款、技术指标均能提供由国家认证认可的第三方检测机构出具的检测（验）报告复印件或相关证明文件复印件并加盖投标人公章（CA签章）的，且标“▲”的内容需在投标文件中逐点应答出检测（验）报告具体位置，每提供一项标“▲”号提供检验报告或检验报告的得1</w:t>
      </w:r>
      <w:r>
        <w:rPr>
          <w:rFonts w:ascii="宋体" w:hAnsi="宋体" w:cs="宋体"/>
          <w:szCs w:val="21"/>
        </w:rPr>
        <w:t>.5</w:t>
      </w:r>
      <w:r>
        <w:rPr>
          <w:rFonts w:hint="eastAsia" w:ascii="宋体" w:hAnsi="宋体" w:cs="宋体"/>
          <w:szCs w:val="21"/>
        </w:rPr>
        <w:t>分，满分30分。</w:t>
      </w:r>
    </w:p>
    <w:p w14:paraId="474B1F57">
      <w:pPr>
        <w:pStyle w:val="12"/>
        <w:spacing w:line="360" w:lineRule="auto"/>
        <w:ind w:firstLine="420" w:firstLineChars="200"/>
        <w:rPr>
          <w:rFonts w:hAnsi="宋体"/>
          <w:bCs/>
        </w:rPr>
      </w:pPr>
      <w:r>
        <w:rPr>
          <w:rFonts w:hint="eastAsia" w:hAnsi="宋体"/>
          <w:b/>
          <w:bCs/>
        </w:rPr>
        <w:t>3、实施方案</w:t>
      </w:r>
      <w:r>
        <w:rPr>
          <w:rFonts w:hint="eastAsia" w:hAnsi="宋体" w:cs="宋体"/>
          <w:b/>
          <w:bCs/>
          <w:szCs w:val="21"/>
          <w:lang w:val="zh-TW"/>
        </w:rPr>
        <w:t>分</w:t>
      </w:r>
      <w:r>
        <w:rPr>
          <w:rFonts w:hint="eastAsia" w:hAnsi="宋体"/>
          <w:bCs/>
        </w:rPr>
        <w:t>…………………………………………………………………………………………</w:t>
      </w:r>
      <w:r>
        <w:rPr>
          <w:rFonts w:hint="eastAsia" w:hAnsi="宋体"/>
          <w:b/>
          <w:bCs/>
        </w:rPr>
        <w:t>……</w:t>
      </w:r>
      <w:r>
        <w:rPr>
          <w:rFonts w:hAnsi="宋体"/>
          <w:b/>
          <w:bCs/>
        </w:rPr>
        <w:t>12</w:t>
      </w:r>
      <w:r>
        <w:rPr>
          <w:rFonts w:hint="eastAsia" w:hAnsi="宋体"/>
          <w:b/>
          <w:bCs/>
        </w:rPr>
        <w:t>分</w:t>
      </w:r>
    </w:p>
    <w:p w14:paraId="501FDD27">
      <w:pPr>
        <w:spacing w:line="360" w:lineRule="auto"/>
        <w:ind w:firstLine="420" w:firstLineChars="200"/>
        <w:jc w:val="left"/>
        <w:rPr>
          <w:rFonts w:ascii="宋体" w:hAnsi="宋体" w:cs="宋体"/>
          <w:kern w:val="0"/>
          <w:szCs w:val="21"/>
        </w:rPr>
      </w:pPr>
      <w:r>
        <w:rPr>
          <w:rFonts w:hint="eastAsia" w:ascii="宋体" w:hAnsi="宋体" w:cs="宋体"/>
          <w:kern w:val="0"/>
          <w:szCs w:val="21"/>
        </w:rPr>
        <w:t>一档（4分）：实施方案较简单，拟投入人员、技术服务及措施基本满足本项目实施需求，</w:t>
      </w:r>
    </w:p>
    <w:p w14:paraId="7174075E">
      <w:pPr>
        <w:spacing w:line="360" w:lineRule="auto"/>
        <w:ind w:firstLine="420" w:firstLineChars="200"/>
        <w:jc w:val="left"/>
        <w:rPr>
          <w:rFonts w:ascii="宋体" w:hAnsi="宋体" w:cs="宋体"/>
          <w:kern w:val="0"/>
          <w:szCs w:val="21"/>
        </w:rPr>
      </w:pPr>
      <w:r>
        <w:rPr>
          <w:rFonts w:hint="eastAsia" w:ascii="宋体" w:hAnsi="宋体" w:cs="宋体"/>
          <w:kern w:val="0"/>
          <w:szCs w:val="21"/>
        </w:rPr>
        <w:t>二档（8分）：实施方案较详细，保证项目实施的技术力量安排满足项目实施要求，技术服务、技术培训的服务内容和措施同比较完善，拟投入本项目实施项目经理1人具有高级信息系统项目管理师证书，拟投入本项目其他实施人员10人及以上，且投标人或投标人所投的投标产品厂商具有优秀安防系统集成商证书，能提供相关证明复印件并加盖单位公章（CA签章），满足以上相关要求的，进入二档。</w:t>
      </w:r>
    </w:p>
    <w:p w14:paraId="0B4B9810">
      <w:pPr>
        <w:spacing w:line="360" w:lineRule="auto"/>
        <w:ind w:firstLine="420" w:firstLineChars="200"/>
        <w:jc w:val="left"/>
        <w:rPr>
          <w:rFonts w:ascii="宋体" w:hAnsi="宋体" w:cs="宋体"/>
          <w:kern w:val="0"/>
          <w:szCs w:val="21"/>
        </w:rPr>
      </w:pPr>
      <w:r>
        <w:rPr>
          <w:rFonts w:hint="eastAsia" w:ascii="宋体" w:hAnsi="宋体" w:cs="宋体"/>
          <w:kern w:val="0"/>
          <w:szCs w:val="21"/>
        </w:rPr>
        <w:t>三档（12分）：满足二档的情况下，实施方案详实，方案能满足项目需求且清楚的表明对本项目的熟悉程度包括定点测速预警设计点位、违规变道设计点位的设备、立杆、经度、纬度信息，技术路线清晰可信，保证项目实施的技术力量安排充足，技术服务、技术培训的服务内容和措施完善，建议的安装、调试、验收方法或方案同比更完善有效、更优化、切实可行的；拟投入本项目实施项目经理1人同时具备高级信息系统项目管理师证书和注册信息安全专业人员（CISP），拟投入本项目其他实施人员15人及以上，为保证投标人或投标人所投的产品厂商的生产应符合智能制造标准化，可提供省级或以上智能制造标准化工作先进的相关奖项复印件并加盖单位公章（CA签章），满足以上相关要求的，进入三档。</w:t>
      </w:r>
    </w:p>
    <w:p w14:paraId="7E6F9343">
      <w:pPr>
        <w:pStyle w:val="12"/>
        <w:adjustRightInd w:val="0"/>
        <w:snapToGrid w:val="0"/>
        <w:spacing w:line="500" w:lineRule="exact"/>
        <w:ind w:firstLine="420" w:firstLineChars="200"/>
        <w:rPr>
          <w:rFonts w:hAnsi="宋体" w:cs="宋体"/>
          <w:b/>
          <w:szCs w:val="21"/>
        </w:rPr>
      </w:pPr>
      <w:r>
        <w:rPr>
          <w:rFonts w:hint="eastAsia" w:hAnsi="宋体" w:cs="宋体"/>
          <w:b/>
          <w:color w:val="000000"/>
          <w:szCs w:val="21"/>
        </w:rPr>
        <w:t>4</w:t>
      </w:r>
      <w:r>
        <w:rPr>
          <w:rFonts w:hint="eastAsia" w:hAnsi="宋体" w:cs="宋体"/>
          <w:b/>
          <w:szCs w:val="21"/>
        </w:rPr>
        <w:t>.服务能力分</w:t>
      </w:r>
      <w:r>
        <w:rPr>
          <w:rFonts w:hint="eastAsia" w:hAnsi="宋体" w:cs="宋体"/>
          <w:b/>
          <w:bCs/>
          <w:kern w:val="0"/>
          <w:szCs w:val="21"/>
        </w:rPr>
        <w:t>……………………………………………………………………………………………………</w:t>
      </w:r>
      <w:r>
        <w:rPr>
          <w:rFonts w:hAnsi="宋体" w:cs="宋体"/>
          <w:b/>
          <w:szCs w:val="21"/>
        </w:rPr>
        <w:t>14</w:t>
      </w:r>
      <w:r>
        <w:rPr>
          <w:rFonts w:hint="eastAsia" w:hAnsi="宋体" w:cs="宋体"/>
          <w:b/>
          <w:szCs w:val="21"/>
        </w:rPr>
        <w:t>分</w:t>
      </w:r>
    </w:p>
    <w:p w14:paraId="0690F551">
      <w:pPr>
        <w:tabs>
          <w:tab w:val="left" w:pos="4214"/>
        </w:tabs>
        <w:spacing w:line="400" w:lineRule="exact"/>
        <w:ind w:firstLine="420" w:firstLineChars="200"/>
        <w:rPr>
          <w:rFonts w:ascii="宋体" w:hAnsi="宋体"/>
        </w:rPr>
      </w:pPr>
      <w:r>
        <w:rPr>
          <w:rFonts w:hint="eastAsia" w:ascii="宋体" w:hAnsi="宋体"/>
        </w:rPr>
        <w:t>（1）由评委根据投标文件中提供的项目售后服务方案，按照分档标准独立打分。</w:t>
      </w:r>
    </w:p>
    <w:p w14:paraId="021FCDCA">
      <w:pPr>
        <w:tabs>
          <w:tab w:val="left" w:pos="4214"/>
        </w:tabs>
        <w:spacing w:line="400" w:lineRule="exact"/>
        <w:ind w:firstLine="420" w:firstLineChars="200"/>
        <w:rPr>
          <w:rFonts w:ascii="宋体" w:hAnsi="宋体"/>
        </w:rPr>
      </w:pPr>
      <w:r>
        <w:rPr>
          <w:rFonts w:hint="eastAsia" w:ascii="宋体" w:hAnsi="宋体"/>
        </w:rPr>
        <w:t>一档（4分）投标人的售后服务方案可行，对质保期、响应时间、服务团队配备、培训计划、备品备件、应急预案、保密承诺、故障解决方案等有所描述，故障响应时间不超过</w:t>
      </w:r>
      <w:r>
        <w:rPr>
          <w:rFonts w:ascii="宋体" w:hAnsi="宋体"/>
        </w:rPr>
        <w:t>2</w:t>
      </w:r>
      <w:r>
        <w:rPr>
          <w:rFonts w:hint="eastAsia" w:ascii="宋体" w:hAnsi="宋体"/>
        </w:rPr>
        <w:t>个小时。能提供运行维护车辆。</w:t>
      </w:r>
    </w:p>
    <w:p w14:paraId="19267C0D">
      <w:pPr>
        <w:tabs>
          <w:tab w:val="left" w:pos="4214"/>
        </w:tabs>
        <w:spacing w:line="400" w:lineRule="exact"/>
        <w:ind w:firstLine="420" w:firstLineChars="200"/>
        <w:rPr>
          <w:rFonts w:ascii="宋体" w:hAnsi="宋体"/>
        </w:rPr>
      </w:pPr>
      <w:r>
        <w:rPr>
          <w:rFonts w:hint="eastAsia" w:ascii="宋体" w:hAnsi="宋体"/>
        </w:rPr>
        <w:t>二档（8分）在满足一档的基础上，投标人的售后服务方案详细，对质保期、响应时间、服务团队配备、培训计划、备品备件、应急预案、保密承诺、故障解决方案等详细描述，有合理的服务流程，故障响应时间不超过1个小时，12小时内达到现场，并注明投标人服务网点详细地址、联系人及联系电话等相关信息）。并且投标人能够为采购人提供无人机对视频采集服务进行巡检的，投标人配备 ≥2 名具有国家认可的民用无人机飞行执照的驾驶员。</w:t>
      </w:r>
    </w:p>
    <w:p w14:paraId="19EC6060">
      <w:pPr>
        <w:tabs>
          <w:tab w:val="left" w:pos="4214"/>
        </w:tabs>
        <w:spacing w:line="360" w:lineRule="auto"/>
        <w:ind w:firstLine="420" w:firstLineChars="200"/>
        <w:rPr>
          <w:rFonts w:ascii="宋体" w:hAnsi="宋体" w:cs="宋体"/>
          <w:bCs/>
          <w:szCs w:val="21"/>
        </w:rPr>
      </w:pPr>
      <w:r>
        <w:rPr>
          <w:rFonts w:hint="eastAsia" w:hAnsi="宋体"/>
        </w:rPr>
        <w:t>三档（14分）在满足二档的基础上，投标人的售后服务方案全面，对质保期、响应时间、服务团队配备、培训计划、备品备件、应急预案、保密承诺、故障解决方案等全面描述，有合理的服务流程，故障响应时间不超过1个小时，12小时到现场，并注明投标人服务网点详细地址、联系人及联系电话等相关信息）。拟投入3名具备信息与通信工程的高级工程师为项目服务经理（需通过广西壮族自治区人力资源和社会保障厅或以上机构认可），服务团队人员≥15人，且分工明确，服务团队人员熟练掌握设备管理专业知识及系统管理专业知识均通过工业和信息化人才专业知识评测（设备管理科目和系统管理科目）测评，项目服务经理以及售后服务团队人员需提供相关有效证明材料的；并且投标人能够为采购人提供无人机对视频采集服务进行巡检的，投标人配备 ≥2 名具有国家认可的民用无人机飞行执照的驾驶员</w:t>
      </w:r>
      <w:r>
        <w:rPr>
          <w:rFonts w:hint="eastAsia" w:ascii="宋体" w:hAnsi="宋体" w:cs="宋体"/>
          <w:bCs/>
          <w:szCs w:val="21"/>
        </w:rPr>
        <w:t>。</w:t>
      </w:r>
    </w:p>
    <w:p w14:paraId="74E7711F">
      <w:pPr>
        <w:spacing w:line="360" w:lineRule="auto"/>
        <w:ind w:firstLine="420" w:firstLineChars="200"/>
        <w:rPr>
          <w:rFonts w:ascii="宋体" w:hAnsi="宋体" w:cs="宋体"/>
          <w:b/>
          <w:color w:val="000000"/>
          <w:szCs w:val="21"/>
        </w:rPr>
      </w:pPr>
      <w:r>
        <w:rPr>
          <w:rFonts w:hint="eastAsia" w:ascii="宋体" w:hAnsi="宋体" w:cs="宋体"/>
          <w:b/>
          <w:color w:val="000000"/>
          <w:szCs w:val="21"/>
        </w:rPr>
        <w:t>5</w:t>
      </w:r>
      <w:r>
        <w:rPr>
          <w:rFonts w:ascii="宋体" w:hAnsi="宋体" w:cs="宋体"/>
          <w:b/>
          <w:color w:val="000000"/>
          <w:szCs w:val="21"/>
        </w:rPr>
        <w:t>.</w:t>
      </w:r>
      <w:r>
        <w:rPr>
          <w:rFonts w:hint="eastAsia" w:ascii="宋体" w:hAnsi="宋体" w:cs="宋体"/>
          <w:b/>
          <w:color w:val="000000"/>
          <w:szCs w:val="21"/>
        </w:rPr>
        <w:t>履约能力分</w:t>
      </w:r>
      <w:r>
        <w:rPr>
          <w:rFonts w:hint="eastAsia" w:hAnsi="宋体" w:cs="宋体"/>
          <w:b/>
          <w:bCs/>
          <w:kern w:val="0"/>
          <w:szCs w:val="21"/>
        </w:rPr>
        <w:t>…………………………………………………………………………………………………</w:t>
      </w:r>
      <w:r>
        <w:rPr>
          <w:rFonts w:hAnsi="宋体" w:cs="宋体"/>
          <w:b/>
          <w:bCs/>
          <w:kern w:val="0"/>
          <w:szCs w:val="21"/>
        </w:rPr>
        <w:t>14</w:t>
      </w:r>
      <w:r>
        <w:rPr>
          <w:rFonts w:hint="eastAsia" w:hAnsi="宋体" w:cs="宋体"/>
          <w:b/>
          <w:szCs w:val="21"/>
        </w:rPr>
        <w:t>分</w:t>
      </w:r>
    </w:p>
    <w:p w14:paraId="014E2D0F">
      <w:pPr>
        <w:spacing w:line="360" w:lineRule="auto"/>
        <w:ind w:firstLine="420" w:firstLineChars="200"/>
        <w:jc w:val="left"/>
        <w:rPr>
          <w:rFonts w:ascii="宋体" w:hAnsi="宋体" w:cs="宋体"/>
          <w:szCs w:val="21"/>
          <w:lang w:bidi="ar"/>
        </w:rPr>
      </w:pPr>
      <w:bookmarkStart w:id="126" w:name="_Toc32076"/>
      <w:r>
        <w:rPr>
          <w:rFonts w:hint="eastAsia" w:ascii="宋体" w:hAnsi="宋体" w:cs="宋体"/>
          <w:szCs w:val="21"/>
          <w:lang w:bidi="ar"/>
        </w:rPr>
        <w:t>（1）供应商或其上级单位具有 ISO9001质量管理体系认证、ISO/IEC20000信息技术服务管理体系认证、ISO/IEC27001信息安全管理体系认证及ISO45001职业健康安全管理体系认证（提供有效认证证书复印并加盖供应商公章（或CA签章）)，每提供一项，得1.5分；满分6分。</w:t>
      </w:r>
      <w:bookmarkEnd w:id="126"/>
    </w:p>
    <w:p w14:paraId="2F233B84">
      <w:pPr>
        <w:spacing w:line="360" w:lineRule="auto"/>
        <w:ind w:firstLine="420" w:firstLineChars="200"/>
        <w:jc w:val="left"/>
        <w:rPr>
          <w:rFonts w:ascii="宋体" w:hAnsi="宋体" w:cs="宋体"/>
          <w:szCs w:val="21"/>
        </w:rPr>
      </w:pPr>
      <w:r>
        <w:rPr>
          <w:rFonts w:hint="eastAsia" w:ascii="宋体" w:hAnsi="宋体" w:cs="宋体"/>
          <w:szCs w:val="21"/>
          <w:lang w:bidi="ar"/>
        </w:rPr>
        <w:t>（2）投标人或其上级公司获得供应商综合实力评价认证证书，符合 GB/T 23793-2017《合格供应商信用评价规范》的，得2分（（提供相关证明材料复印件并加盖单位公章（CA签章））</w:t>
      </w:r>
    </w:p>
    <w:p w14:paraId="75AF1117">
      <w:pPr>
        <w:tabs>
          <w:tab w:val="left" w:pos="4214"/>
        </w:tabs>
        <w:spacing w:line="360" w:lineRule="auto"/>
        <w:ind w:firstLine="420" w:firstLineChars="200"/>
        <w:rPr>
          <w:rFonts w:ascii="宋体" w:hAnsi="宋体" w:cs="宋体"/>
          <w:szCs w:val="21"/>
          <w:lang w:bidi="ar"/>
        </w:rPr>
      </w:pPr>
      <w:r>
        <w:rPr>
          <w:rFonts w:hint="eastAsia" w:ascii="宋体" w:hAnsi="宋体" w:cs="宋体"/>
          <w:szCs w:val="21"/>
          <w:lang w:bidi="ar"/>
        </w:rPr>
        <w:t>（3）供应商或其上级单位具有 GB/T 33136-2016 ITSS信息技术服务标准符合性证书的（提供有效认证证书复印并加盖供应商公章（或CA签章）)，得4分，不提供不得分，满分4分。</w:t>
      </w:r>
    </w:p>
    <w:p w14:paraId="582F9867">
      <w:pPr>
        <w:tabs>
          <w:tab w:val="left" w:pos="4214"/>
        </w:tabs>
        <w:spacing w:line="360" w:lineRule="auto"/>
        <w:ind w:firstLine="420" w:firstLineChars="200"/>
        <w:rPr>
          <w:rFonts w:ascii="宋体" w:hAnsi="宋体" w:cs="宋体"/>
          <w:szCs w:val="21"/>
          <w:lang w:bidi="ar"/>
        </w:rPr>
      </w:pPr>
      <w:bookmarkStart w:id="127" w:name="_Toc28600"/>
      <w:r>
        <w:rPr>
          <w:rFonts w:hint="eastAsia" w:ascii="宋体" w:hAnsi="宋体" w:cs="宋体"/>
          <w:szCs w:val="21"/>
          <w:lang w:bidi="ar"/>
        </w:rPr>
        <w:t>（4）供应商或其上级单位具有信息系统安全集成服务的信息安全服务资质认证证书（提供有效证书复印并加盖供应商公章（或CA签章），不提供不得分)，得2分。</w:t>
      </w:r>
      <w:bookmarkEnd w:id="127"/>
    </w:p>
    <w:p w14:paraId="17D4ABBC">
      <w:pPr>
        <w:pStyle w:val="40"/>
        <w:spacing w:line="360" w:lineRule="auto"/>
        <w:ind w:firstLine="420"/>
        <w:rPr>
          <w:rFonts w:ascii="宋体" w:hAnsi="宋体" w:cs="宋体"/>
          <w:b/>
          <w:color w:val="000000"/>
          <w:szCs w:val="21"/>
        </w:rPr>
      </w:pPr>
      <w:r>
        <w:rPr>
          <w:rFonts w:ascii="宋体" w:hAnsi="宋体" w:cs="宋体"/>
          <w:b/>
          <w:color w:val="000000"/>
          <w:szCs w:val="21"/>
        </w:rPr>
        <w:t>6</w:t>
      </w:r>
      <w:r>
        <w:rPr>
          <w:rFonts w:hint="eastAsia" w:ascii="宋体" w:hAnsi="宋体" w:cs="宋体"/>
          <w:b/>
          <w:color w:val="000000"/>
          <w:szCs w:val="21"/>
        </w:rPr>
        <w:t>.综合得分＝1+2+3+4</w:t>
      </w:r>
      <w:r>
        <w:rPr>
          <w:rFonts w:ascii="宋体" w:hAnsi="宋体" w:cs="宋体"/>
          <w:b/>
          <w:color w:val="000000"/>
          <w:szCs w:val="21"/>
        </w:rPr>
        <w:t>+5</w:t>
      </w:r>
    </w:p>
    <w:p w14:paraId="54CCF7E1">
      <w:pPr>
        <w:spacing w:line="360" w:lineRule="auto"/>
        <w:ind w:firstLine="420" w:firstLineChars="200"/>
        <w:rPr>
          <w:b/>
          <w:bCs/>
          <w:color w:val="000000"/>
        </w:rPr>
      </w:pPr>
      <w:r>
        <w:rPr>
          <w:rFonts w:hint="eastAsia" w:hAnsi="宋体" w:cs="宋体"/>
          <w:b/>
          <w:bCs/>
          <w:color w:val="000000"/>
          <w:szCs w:val="21"/>
        </w:rPr>
        <w:t>注：以上证书提供相关复印件，如查实为虚假的投标无效，未提供不计分。</w:t>
      </w:r>
    </w:p>
    <w:p w14:paraId="564E4F80">
      <w:pPr>
        <w:pStyle w:val="12"/>
        <w:tabs>
          <w:tab w:val="left" w:pos="4214"/>
        </w:tabs>
        <w:spacing w:line="360" w:lineRule="auto"/>
        <w:ind w:firstLine="420" w:firstLineChars="200"/>
        <w:rPr>
          <w:rFonts w:hAnsi="宋体" w:cs="宋体"/>
          <w:b/>
          <w:color w:val="000000"/>
          <w:szCs w:val="21"/>
        </w:rPr>
      </w:pPr>
      <w:r>
        <w:rPr>
          <w:rFonts w:hint="eastAsia" w:hAnsi="宋体" w:cs="宋体"/>
          <w:b/>
          <w:color w:val="000000"/>
          <w:szCs w:val="21"/>
        </w:rPr>
        <w:t>三、推荐及确定成交候选供应商原则</w:t>
      </w:r>
    </w:p>
    <w:p w14:paraId="154CB666">
      <w:pPr>
        <w:pStyle w:val="12"/>
        <w:tabs>
          <w:tab w:val="left" w:pos="4214"/>
        </w:tabs>
        <w:spacing w:line="360" w:lineRule="auto"/>
        <w:ind w:firstLine="420" w:firstLineChars="200"/>
        <w:rPr>
          <w:rFonts w:hAnsi="宋体" w:cs="宋体"/>
          <w:color w:val="000000"/>
          <w:szCs w:val="21"/>
        </w:rPr>
      </w:pPr>
      <w:r>
        <w:rPr>
          <w:rFonts w:hint="eastAsia" w:hAnsi="宋体" w:cs="宋体"/>
          <w:color w:val="000000"/>
          <w:szCs w:val="21"/>
        </w:rPr>
        <w:t>1.评标委员会根据综合得分由高到低排列次序，若得分相同时，按评标价由低到高顺序排列；得分相同且评标价也相同的由评标委员会按照抽签的方式决定排次次序。</w:t>
      </w:r>
    </w:p>
    <w:p w14:paraId="3AFE12D0">
      <w:pPr>
        <w:pStyle w:val="12"/>
        <w:tabs>
          <w:tab w:val="left" w:pos="4214"/>
        </w:tabs>
        <w:spacing w:line="360" w:lineRule="auto"/>
        <w:ind w:firstLine="420" w:firstLineChars="200"/>
        <w:rPr>
          <w:rFonts w:hAnsi="宋体" w:cs="宋体"/>
          <w:color w:val="000000"/>
          <w:szCs w:val="21"/>
        </w:rPr>
      </w:pPr>
      <w:r>
        <w:rPr>
          <w:rFonts w:hint="eastAsia" w:hAnsi="宋体" w:cs="宋体"/>
          <w:color w:val="000000"/>
          <w:szCs w:val="21"/>
        </w:rPr>
        <w:t>2.评标委员会可推荐前三名为成交候选人，采购人应当确定评标委员会推荐排名第一的成交候选人为成交人。</w:t>
      </w:r>
    </w:p>
    <w:p w14:paraId="40249266">
      <w:pPr>
        <w:pStyle w:val="12"/>
        <w:tabs>
          <w:tab w:val="left" w:pos="4214"/>
        </w:tabs>
        <w:spacing w:line="360" w:lineRule="auto"/>
        <w:ind w:firstLine="420" w:firstLineChars="200"/>
        <w:rPr>
          <w:rFonts w:hAnsi="宋体" w:cs="宋体"/>
          <w:color w:val="000000"/>
          <w:szCs w:val="21"/>
        </w:rPr>
      </w:pPr>
      <w:r>
        <w:rPr>
          <w:rFonts w:hint="eastAsia" w:hAnsi="宋体" w:cs="宋体"/>
          <w:color w:val="000000"/>
          <w:szCs w:val="21"/>
        </w:rPr>
        <w:t>3.排名第一的成交候选人放弃成交、因不可抗力提出不能履行合同，或者招标文件规定应当提交履约保证金而在规定的期限内未能提交的，或因失信行为被取消成交候选人资格的，采购人可以确定排名第二的成交候选人为成交人，并依此类推。</w:t>
      </w:r>
    </w:p>
    <w:p w14:paraId="56112EEA">
      <w:pPr>
        <w:spacing w:line="360" w:lineRule="auto"/>
        <w:ind w:firstLine="424" w:firstLineChars="202"/>
        <w:jc w:val="left"/>
        <w:rPr>
          <w:rFonts w:ascii="宋体" w:hAnsi="宋体" w:cs="宋体"/>
          <w:b/>
          <w:color w:val="000000"/>
          <w:szCs w:val="21"/>
        </w:rPr>
      </w:pPr>
      <w:r>
        <w:rPr>
          <w:rFonts w:hint="eastAsia" w:ascii="宋体" w:hAnsi="宋体" w:cs="宋体"/>
          <w:b/>
          <w:color w:val="000000"/>
          <w:szCs w:val="21"/>
        </w:rPr>
        <w:t>四、特别说明</w:t>
      </w:r>
    </w:p>
    <w:p w14:paraId="6C41BB5E">
      <w:pPr>
        <w:spacing w:line="340" w:lineRule="exact"/>
        <w:ind w:firstLine="420" w:firstLineChars="200"/>
        <w:rPr>
          <w:rFonts w:ascii="宋体" w:hAnsi="宋体" w:cs="宋体"/>
          <w:color w:val="000000"/>
          <w:kern w:val="0"/>
        </w:rPr>
      </w:pPr>
      <w:r>
        <w:rPr>
          <w:rFonts w:hint="eastAsia" w:ascii="宋体" w:hAnsi="宋体" w:cs="宋体"/>
          <w:b/>
          <w:bCs/>
          <w:color w:val="000000"/>
          <w:szCs w:val="21"/>
          <w:u w:val="doubl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61798D">
      <w:pPr>
        <w:pStyle w:val="9"/>
        <w:spacing w:line="360" w:lineRule="auto"/>
        <w:rPr>
          <w:rFonts w:ascii="宋体" w:hAnsi="宋体" w:cs="宋体"/>
          <w:b/>
          <w:bCs/>
          <w:szCs w:val="21"/>
        </w:rPr>
      </w:pPr>
    </w:p>
    <w:p w14:paraId="45EEC954">
      <w:pPr>
        <w:pStyle w:val="22"/>
        <w:ind w:left="0" w:leftChars="0" w:firstLine="0" w:firstLineChars="0"/>
        <w:rPr>
          <w:rFonts w:ascii="宋体" w:hAnsi="宋体" w:cs="宋体"/>
          <w:b/>
          <w:sz w:val="28"/>
          <w:szCs w:val="28"/>
        </w:rPr>
      </w:pPr>
    </w:p>
    <w:p w14:paraId="74AE7700">
      <w:pPr>
        <w:spacing w:line="280" w:lineRule="exact"/>
        <w:rPr>
          <w:rFonts w:ascii="宋体" w:hAnsi="宋体" w:cs="宋体"/>
          <w:b/>
          <w:bCs/>
          <w:sz w:val="24"/>
        </w:rPr>
      </w:pPr>
    </w:p>
    <w:p w14:paraId="641832E2">
      <w:pPr>
        <w:widowControl/>
        <w:jc w:val="left"/>
        <w:rPr>
          <w:rFonts w:ascii="Calibri" w:hAnsi="Calibri"/>
          <w:b/>
          <w:sz w:val="32"/>
        </w:rPr>
      </w:pPr>
      <w:r>
        <w:br w:type="page"/>
      </w:r>
    </w:p>
    <w:p w14:paraId="0F64F9EC">
      <w:pPr>
        <w:pStyle w:val="5"/>
      </w:pPr>
      <w:bookmarkStart w:id="128" w:name="_Toc102642522"/>
      <w:r>
        <w:rPr>
          <w:rFonts w:hint="eastAsia"/>
        </w:rPr>
        <w:t>附表</w:t>
      </w:r>
      <w:bookmarkEnd w:id="128"/>
    </w:p>
    <w:p w14:paraId="2FD482D7">
      <w:pPr>
        <w:widowControl/>
        <w:spacing w:before="156" w:beforeLines="50" w:after="156" w:afterLines="50" w:line="280" w:lineRule="exact"/>
        <w:jc w:val="center"/>
        <w:rPr>
          <w:rFonts w:ascii="宋体" w:hAnsi="宋体" w:cs="宋体"/>
          <w:b/>
          <w:bCs/>
          <w:kern w:val="0"/>
          <w:sz w:val="30"/>
          <w:szCs w:val="30"/>
        </w:rPr>
      </w:pPr>
      <w:bookmarkStart w:id="129" w:name="_Toc28361_WPSOffice_Level2"/>
      <w:r>
        <w:rPr>
          <w:rFonts w:hint="eastAsia" w:ascii="宋体" w:hAnsi="宋体" w:cs="宋体"/>
          <w:b/>
          <w:bCs/>
          <w:kern w:val="0"/>
          <w:sz w:val="30"/>
          <w:szCs w:val="30"/>
        </w:rPr>
        <w:t>统计上大中小微型企业划分标准</w:t>
      </w:r>
      <w:bookmarkEnd w:id="129"/>
    </w:p>
    <w:tbl>
      <w:tblPr>
        <w:tblStyle w:val="2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CAB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14:paraId="06AC3D1D">
            <w:pPr>
              <w:widowControl/>
              <w:spacing w:line="28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shd w:val="clear" w:color="auto" w:fill="FFFFFF"/>
            <w:vAlign w:val="center"/>
          </w:tcPr>
          <w:p w14:paraId="18B12E32">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shd w:val="clear" w:color="auto" w:fill="FFFFFF"/>
            <w:vAlign w:val="center"/>
          </w:tcPr>
          <w:p w14:paraId="6045F187">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计量</w:t>
            </w:r>
            <w:r>
              <w:rPr>
                <w:rFonts w:hint="eastAsia" w:ascii="宋体" w:hAnsi="宋体" w:cs="宋体"/>
                <w:b/>
                <w:bCs/>
                <w:kern w:val="0"/>
                <w:sz w:val="18"/>
                <w:szCs w:val="18"/>
              </w:rPr>
              <w:br w:type="textWrapping"/>
            </w:r>
            <w:r>
              <w:rPr>
                <w:rFonts w:hint="eastAsia" w:ascii="宋体" w:hAnsi="宋体" w:cs="宋体"/>
                <w:b/>
                <w:bCs/>
                <w:kern w:val="0"/>
                <w:sz w:val="18"/>
                <w:szCs w:val="18"/>
              </w:rPr>
              <w:t>单位</w:t>
            </w:r>
          </w:p>
        </w:tc>
        <w:tc>
          <w:tcPr>
            <w:tcW w:w="1125" w:type="dxa"/>
            <w:shd w:val="clear" w:color="auto" w:fill="FFFFFF"/>
            <w:vAlign w:val="center"/>
          </w:tcPr>
          <w:p w14:paraId="764FBF2D">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shd w:val="clear" w:color="auto" w:fill="FFFFFF"/>
            <w:vAlign w:val="center"/>
          </w:tcPr>
          <w:p w14:paraId="6C661A34">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shd w:val="clear" w:color="auto" w:fill="FFFFFF"/>
            <w:vAlign w:val="center"/>
          </w:tcPr>
          <w:p w14:paraId="24083CA5">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shd w:val="clear" w:color="auto" w:fill="FFFFFF"/>
            <w:vAlign w:val="center"/>
          </w:tcPr>
          <w:p w14:paraId="6B0B543D">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微型</w:t>
            </w:r>
          </w:p>
        </w:tc>
      </w:tr>
      <w:tr w14:paraId="1CEF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4F55B5BE">
            <w:pPr>
              <w:widowControl/>
              <w:spacing w:line="28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369" w:type="dxa"/>
            <w:vAlign w:val="center"/>
          </w:tcPr>
          <w:p w14:paraId="262A1B48">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38656A28">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25A64192">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14:paraId="762E4AFD">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14:paraId="68FFBAA7">
            <w:pPr>
              <w:widowControl/>
              <w:spacing w:line="280" w:lineRule="exact"/>
              <w:jc w:val="center"/>
              <w:rPr>
                <w:rFonts w:ascii="宋体" w:hAnsi="宋体" w:cs="宋体"/>
                <w:kern w:val="0"/>
                <w:sz w:val="18"/>
                <w:szCs w:val="18"/>
              </w:rPr>
            </w:pPr>
            <w:r>
              <w:rPr>
                <w:rFonts w:hint="eastAsia" w:ascii="宋体" w:hAnsi="宋体" w:cs="宋体"/>
                <w:kern w:val="0"/>
                <w:sz w:val="18"/>
                <w:szCs w:val="18"/>
              </w:rPr>
              <w:t>50≤Y＜500</w:t>
            </w:r>
          </w:p>
        </w:tc>
        <w:tc>
          <w:tcPr>
            <w:tcW w:w="992" w:type="dxa"/>
            <w:vAlign w:val="center"/>
          </w:tcPr>
          <w:p w14:paraId="35A8847E">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14:paraId="30C7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EA1B4B4">
            <w:pPr>
              <w:widowControl/>
              <w:spacing w:line="280" w:lineRule="exact"/>
              <w:jc w:val="left"/>
              <w:rPr>
                <w:rFonts w:ascii="宋体" w:hAnsi="宋体" w:cs="宋体"/>
                <w:kern w:val="0"/>
                <w:sz w:val="18"/>
                <w:szCs w:val="18"/>
              </w:rPr>
            </w:pPr>
            <w:r>
              <w:rPr>
                <w:rFonts w:hint="eastAsia" w:ascii="宋体" w:hAnsi="宋体" w:cs="宋体"/>
                <w:kern w:val="0"/>
                <w:sz w:val="18"/>
                <w:szCs w:val="18"/>
              </w:rPr>
              <w:t>工业 *</w:t>
            </w:r>
          </w:p>
        </w:tc>
        <w:tc>
          <w:tcPr>
            <w:tcW w:w="1369" w:type="dxa"/>
            <w:vAlign w:val="center"/>
          </w:tcPr>
          <w:p w14:paraId="0C9E38CE">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2CF60164">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74A028E6">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14:paraId="3F4DFC03">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14:paraId="2DC9CDB1">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14:paraId="31E4C788">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14:paraId="7CFD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20B69D5">
            <w:pPr>
              <w:widowControl/>
              <w:spacing w:line="280" w:lineRule="exact"/>
              <w:jc w:val="left"/>
              <w:rPr>
                <w:rFonts w:ascii="宋体" w:hAnsi="宋体" w:cs="宋体"/>
                <w:kern w:val="0"/>
                <w:sz w:val="18"/>
                <w:szCs w:val="18"/>
              </w:rPr>
            </w:pPr>
          </w:p>
        </w:tc>
        <w:tc>
          <w:tcPr>
            <w:tcW w:w="1369" w:type="dxa"/>
            <w:vAlign w:val="center"/>
          </w:tcPr>
          <w:p w14:paraId="3AE7F9A7">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70615D72">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624AE030">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14:paraId="6D87825A">
            <w:pPr>
              <w:widowControl/>
              <w:spacing w:line="280" w:lineRule="exact"/>
              <w:jc w:val="center"/>
              <w:rPr>
                <w:rFonts w:ascii="宋体" w:hAnsi="宋体" w:cs="宋体"/>
                <w:kern w:val="0"/>
                <w:sz w:val="18"/>
                <w:szCs w:val="18"/>
              </w:rPr>
            </w:pPr>
            <w:r>
              <w:rPr>
                <w:rFonts w:hint="eastAsia" w:ascii="宋体" w:hAnsi="宋体" w:cs="宋体"/>
                <w:kern w:val="0"/>
                <w:sz w:val="18"/>
                <w:szCs w:val="18"/>
              </w:rPr>
              <w:t>2000≤Y＜40000</w:t>
            </w:r>
          </w:p>
        </w:tc>
        <w:tc>
          <w:tcPr>
            <w:tcW w:w="1426" w:type="dxa"/>
            <w:vAlign w:val="center"/>
          </w:tcPr>
          <w:p w14:paraId="02A0ACA3">
            <w:pPr>
              <w:widowControl/>
              <w:spacing w:line="280" w:lineRule="exact"/>
              <w:jc w:val="center"/>
              <w:rPr>
                <w:rFonts w:ascii="宋体" w:hAnsi="宋体" w:cs="宋体"/>
                <w:kern w:val="0"/>
                <w:sz w:val="18"/>
                <w:szCs w:val="18"/>
              </w:rPr>
            </w:pPr>
            <w:r>
              <w:rPr>
                <w:rFonts w:hint="eastAsia" w:ascii="宋体" w:hAnsi="宋体" w:cs="宋体"/>
                <w:kern w:val="0"/>
                <w:sz w:val="18"/>
                <w:szCs w:val="18"/>
              </w:rPr>
              <w:t>300≤Y＜2000</w:t>
            </w:r>
          </w:p>
        </w:tc>
        <w:tc>
          <w:tcPr>
            <w:tcW w:w="992" w:type="dxa"/>
            <w:vAlign w:val="center"/>
          </w:tcPr>
          <w:p w14:paraId="690B9918">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14:paraId="51C3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27C7D1A">
            <w:pPr>
              <w:widowControl/>
              <w:spacing w:line="280" w:lineRule="exact"/>
              <w:jc w:val="left"/>
              <w:rPr>
                <w:rFonts w:ascii="宋体" w:hAnsi="宋体" w:cs="宋体"/>
                <w:kern w:val="0"/>
                <w:sz w:val="18"/>
                <w:szCs w:val="18"/>
              </w:rPr>
            </w:pPr>
            <w:r>
              <w:rPr>
                <w:rFonts w:hint="eastAsia" w:ascii="宋体" w:hAnsi="宋体" w:cs="宋体"/>
                <w:kern w:val="0"/>
                <w:sz w:val="18"/>
                <w:szCs w:val="18"/>
              </w:rPr>
              <w:t>建筑业</w:t>
            </w:r>
          </w:p>
        </w:tc>
        <w:tc>
          <w:tcPr>
            <w:tcW w:w="1369" w:type="dxa"/>
            <w:vAlign w:val="center"/>
          </w:tcPr>
          <w:p w14:paraId="4CD8019F">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15C30CED">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76D3A39B">
            <w:pPr>
              <w:widowControl/>
              <w:spacing w:line="280" w:lineRule="exact"/>
              <w:jc w:val="center"/>
              <w:rPr>
                <w:rFonts w:ascii="宋体" w:hAnsi="宋体" w:cs="宋体"/>
                <w:kern w:val="0"/>
                <w:sz w:val="18"/>
                <w:szCs w:val="18"/>
              </w:rPr>
            </w:pPr>
            <w:r>
              <w:rPr>
                <w:rFonts w:hint="eastAsia" w:ascii="宋体" w:hAnsi="宋体" w:cs="宋体"/>
                <w:kern w:val="0"/>
                <w:sz w:val="18"/>
                <w:szCs w:val="18"/>
              </w:rPr>
              <w:t>Y≥80000</w:t>
            </w:r>
          </w:p>
        </w:tc>
        <w:tc>
          <w:tcPr>
            <w:tcW w:w="1701" w:type="dxa"/>
            <w:vAlign w:val="center"/>
          </w:tcPr>
          <w:p w14:paraId="30386466">
            <w:pPr>
              <w:widowControl/>
              <w:spacing w:line="280" w:lineRule="exact"/>
              <w:jc w:val="center"/>
              <w:rPr>
                <w:rFonts w:ascii="宋体" w:hAnsi="宋体" w:cs="宋体"/>
                <w:kern w:val="0"/>
                <w:sz w:val="18"/>
                <w:szCs w:val="18"/>
              </w:rPr>
            </w:pPr>
            <w:r>
              <w:rPr>
                <w:rFonts w:hint="eastAsia" w:ascii="宋体" w:hAnsi="宋体" w:cs="宋体"/>
                <w:kern w:val="0"/>
                <w:sz w:val="18"/>
                <w:szCs w:val="18"/>
              </w:rPr>
              <w:t>6000≤Y＜80000</w:t>
            </w:r>
          </w:p>
        </w:tc>
        <w:tc>
          <w:tcPr>
            <w:tcW w:w="1426" w:type="dxa"/>
            <w:vAlign w:val="center"/>
          </w:tcPr>
          <w:p w14:paraId="7E7076E4">
            <w:pPr>
              <w:widowControl/>
              <w:spacing w:line="280" w:lineRule="exact"/>
              <w:jc w:val="center"/>
              <w:rPr>
                <w:rFonts w:ascii="宋体" w:hAnsi="宋体" w:cs="宋体"/>
                <w:kern w:val="0"/>
                <w:sz w:val="18"/>
                <w:szCs w:val="18"/>
              </w:rPr>
            </w:pPr>
            <w:r>
              <w:rPr>
                <w:rFonts w:hint="eastAsia" w:ascii="宋体" w:hAnsi="宋体" w:cs="宋体"/>
                <w:kern w:val="0"/>
                <w:sz w:val="18"/>
                <w:szCs w:val="18"/>
              </w:rPr>
              <w:t>300≤Y＜6000</w:t>
            </w:r>
          </w:p>
        </w:tc>
        <w:tc>
          <w:tcPr>
            <w:tcW w:w="992" w:type="dxa"/>
            <w:vAlign w:val="center"/>
          </w:tcPr>
          <w:p w14:paraId="3B8E00DD">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14:paraId="789D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60735D0">
            <w:pPr>
              <w:widowControl/>
              <w:spacing w:line="280" w:lineRule="exact"/>
              <w:jc w:val="left"/>
              <w:rPr>
                <w:rFonts w:ascii="宋体" w:hAnsi="宋体" w:cs="宋体"/>
                <w:kern w:val="0"/>
                <w:sz w:val="18"/>
                <w:szCs w:val="18"/>
              </w:rPr>
            </w:pPr>
          </w:p>
        </w:tc>
        <w:tc>
          <w:tcPr>
            <w:tcW w:w="1369" w:type="dxa"/>
            <w:vAlign w:val="center"/>
          </w:tcPr>
          <w:p w14:paraId="3DA85670">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14:paraId="7E08D369">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33A36359">
            <w:pPr>
              <w:widowControl/>
              <w:spacing w:line="280" w:lineRule="exact"/>
              <w:jc w:val="center"/>
              <w:rPr>
                <w:rFonts w:ascii="宋体" w:hAnsi="宋体" w:cs="宋体"/>
                <w:kern w:val="0"/>
                <w:sz w:val="18"/>
                <w:szCs w:val="18"/>
              </w:rPr>
            </w:pPr>
            <w:r>
              <w:rPr>
                <w:rFonts w:hint="eastAsia" w:ascii="宋体" w:hAnsi="宋体" w:cs="宋体"/>
                <w:kern w:val="0"/>
                <w:sz w:val="18"/>
                <w:szCs w:val="18"/>
              </w:rPr>
              <w:t>Z≥80000</w:t>
            </w:r>
          </w:p>
        </w:tc>
        <w:tc>
          <w:tcPr>
            <w:tcW w:w="1701" w:type="dxa"/>
            <w:vAlign w:val="center"/>
          </w:tcPr>
          <w:p w14:paraId="1E271F15">
            <w:pPr>
              <w:widowControl/>
              <w:spacing w:line="280" w:lineRule="exact"/>
              <w:jc w:val="center"/>
              <w:rPr>
                <w:rFonts w:ascii="宋体" w:hAnsi="宋体" w:cs="宋体"/>
                <w:kern w:val="0"/>
                <w:sz w:val="18"/>
                <w:szCs w:val="18"/>
              </w:rPr>
            </w:pPr>
            <w:r>
              <w:rPr>
                <w:rFonts w:hint="eastAsia" w:ascii="宋体" w:hAnsi="宋体" w:cs="宋体"/>
                <w:kern w:val="0"/>
                <w:sz w:val="18"/>
                <w:szCs w:val="18"/>
              </w:rPr>
              <w:t>5000≤Z＜80000</w:t>
            </w:r>
          </w:p>
        </w:tc>
        <w:tc>
          <w:tcPr>
            <w:tcW w:w="1426" w:type="dxa"/>
            <w:vAlign w:val="center"/>
          </w:tcPr>
          <w:p w14:paraId="5DE0229F">
            <w:pPr>
              <w:widowControl/>
              <w:spacing w:line="280" w:lineRule="exact"/>
              <w:jc w:val="center"/>
              <w:rPr>
                <w:rFonts w:ascii="宋体" w:hAnsi="宋体" w:cs="宋体"/>
                <w:kern w:val="0"/>
                <w:sz w:val="18"/>
                <w:szCs w:val="18"/>
              </w:rPr>
            </w:pPr>
            <w:r>
              <w:rPr>
                <w:rFonts w:hint="eastAsia" w:ascii="宋体" w:hAnsi="宋体" w:cs="宋体"/>
                <w:kern w:val="0"/>
                <w:sz w:val="18"/>
                <w:szCs w:val="18"/>
              </w:rPr>
              <w:t>300≤Z＜5000</w:t>
            </w:r>
          </w:p>
        </w:tc>
        <w:tc>
          <w:tcPr>
            <w:tcW w:w="992" w:type="dxa"/>
            <w:vAlign w:val="center"/>
          </w:tcPr>
          <w:p w14:paraId="7A9D1E3A">
            <w:pPr>
              <w:widowControl/>
              <w:spacing w:line="280" w:lineRule="exact"/>
              <w:jc w:val="center"/>
              <w:rPr>
                <w:rFonts w:ascii="宋体" w:hAnsi="宋体" w:cs="宋体"/>
                <w:kern w:val="0"/>
                <w:sz w:val="18"/>
                <w:szCs w:val="18"/>
              </w:rPr>
            </w:pPr>
            <w:r>
              <w:rPr>
                <w:rFonts w:hint="eastAsia" w:ascii="宋体" w:hAnsi="宋体" w:cs="宋体"/>
                <w:kern w:val="0"/>
                <w:sz w:val="18"/>
                <w:szCs w:val="18"/>
              </w:rPr>
              <w:t>Z＜300</w:t>
            </w:r>
          </w:p>
        </w:tc>
      </w:tr>
      <w:tr w14:paraId="62CC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EB321C5">
            <w:pPr>
              <w:widowControl/>
              <w:spacing w:line="280" w:lineRule="exact"/>
              <w:jc w:val="left"/>
              <w:rPr>
                <w:rFonts w:ascii="宋体" w:hAnsi="宋体" w:cs="宋体"/>
                <w:kern w:val="0"/>
                <w:sz w:val="18"/>
                <w:szCs w:val="18"/>
              </w:rPr>
            </w:pPr>
            <w:r>
              <w:rPr>
                <w:rFonts w:hint="eastAsia" w:ascii="宋体" w:hAnsi="宋体" w:cs="宋体"/>
                <w:kern w:val="0"/>
                <w:sz w:val="18"/>
                <w:szCs w:val="18"/>
              </w:rPr>
              <w:t>批发业</w:t>
            </w:r>
          </w:p>
        </w:tc>
        <w:tc>
          <w:tcPr>
            <w:tcW w:w="1369" w:type="dxa"/>
            <w:vAlign w:val="center"/>
          </w:tcPr>
          <w:p w14:paraId="49234EEB">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6A976ABB">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4DE66E36">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14:paraId="1C1EE523">
            <w:pPr>
              <w:widowControl/>
              <w:spacing w:line="280" w:lineRule="exact"/>
              <w:jc w:val="center"/>
              <w:rPr>
                <w:rFonts w:ascii="宋体" w:hAnsi="宋体" w:cs="宋体"/>
                <w:kern w:val="0"/>
                <w:sz w:val="18"/>
                <w:szCs w:val="18"/>
              </w:rPr>
            </w:pPr>
            <w:r>
              <w:rPr>
                <w:rFonts w:hint="eastAsia" w:ascii="宋体" w:hAnsi="宋体" w:cs="宋体"/>
                <w:kern w:val="0"/>
                <w:sz w:val="18"/>
                <w:szCs w:val="18"/>
              </w:rPr>
              <w:t>20≤X＜200</w:t>
            </w:r>
          </w:p>
        </w:tc>
        <w:tc>
          <w:tcPr>
            <w:tcW w:w="1426" w:type="dxa"/>
            <w:vAlign w:val="center"/>
          </w:tcPr>
          <w:p w14:paraId="6849292F">
            <w:pPr>
              <w:widowControl/>
              <w:spacing w:line="280" w:lineRule="exact"/>
              <w:jc w:val="center"/>
              <w:rPr>
                <w:rFonts w:ascii="宋体" w:hAnsi="宋体" w:cs="宋体"/>
                <w:kern w:val="0"/>
                <w:sz w:val="18"/>
                <w:szCs w:val="18"/>
              </w:rPr>
            </w:pPr>
            <w:r>
              <w:rPr>
                <w:rFonts w:hint="eastAsia" w:ascii="宋体" w:hAnsi="宋体" w:cs="宋体"/>
                <w:kern w:val="0"/>
                <w:sz w:val="18"/>
                <w:szCs w:val="18"/>
              </w:rPr>
              <w:t>5≤X＜20</w:t>
            </w:r>
          </w:p>
        </w:tc>
        <w:tc>
          <w:tcPr>
            <w:tcW w:w="992" w:type="dxa"/>
            <w:vAlign w:val="center"/>
          </w:tcPr>
          <w:p w14:paraId="59BDD620">
            <w:pPr>
              <w:widowControl/>
              <w:spacing w:line="280" w:lineRule="exact"/>
              <w:jc w:val="center"/>
              <w:rPr>
                <w:rFonts w:ascii="宋体" w:hAnsi="宋体" w:cs="宋体"/>
                <w:kern w:val="0"/>
                <w:sz w:val="18"/>
                <w:szCs w:val="18"/>
              </w:rPr>
            </w:pPr>
            <w:r>
              <w:rPr>
                <w:rFonts w:hint="eastAsia" w:ascii="宋体" w:hAnsi="宋体" w:cs="宋体"/>
                <w:kern w:val="0"/>
                <w:sz w:val="18"/>
                <w:szCs w:val="18"/>
              </w:rPr>
              <w:t>X＜5</w:t>
            </w:r>
          </w:p>
        </w:tc>
      </w:tr>
      <w:tr w14:paraId="3B2E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85543C7">
            <w:pPr>
              <w:widowControl/>
              <w:spacing w:line="280" w:lineRule="exact"/>
              <w:jc w:val="left"/>
              <w:rPr>
                <w:rFonts w:ascii="宋体" w:hAnsi="宋体" w:cs="宋体"/>
                <w:kern w:val="0"/>
                <w:sz w:val="18"/>
                <w:szCs w:val="18"/>
              </w:rPr>
            </w:pPr>
          </w:p>
        </w:tc>
        <w:tc>
          <w:tcPr>
            <w:tcW w:w="1369" w:type="dxa"/>
            <w:vAlign w:val="center"/>
          </w:tcPr>
          <w:p w14:paraId="5A160E38">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1B2C6DE3">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12805464">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14:paraId="60323946">
            <w:pPr>
              <w:widowControl/>
              <w:spacing w:line="280" w:lineRule="exact"/>
              <w:jc w:val="center"/>
              <w:rPr>
                <w:rFonts w:ascii="宋体" w:hAnsi="宋体" w:cs="宋体"/>
                <w:kern w:val="0"/>
                <w:sz w:val="18"/>
                <w:szCs w:val="18"/>
              </w:rPr>
            </w:pPr>
            <w:r>
              <w:rPr>
                <w:rFonts w:hint="eastAsia" w:ascii="宋体" w:hAnsi="宋体" w:cs="宋体"/>
                <w:kern w:val="0"/>
                <w:sz w:val="18"/>
                <w:szCs w:val="18"/>
              </w:rPr>
              <w:t>5000≤Y＜40000</w:t>
            </w:r>
          </w:p>
        </w:tc>
        <w:tc>
          <w:tcPr>
            <w:tcW w:w="1426" w:type="dxa"/>
            <w:vAlign w:val="center"/>
          </w:tcPr>
          <w:p w14:paraId="01CC0E12">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992" w:type="dxa"/>
            <w:vAlign w:val="center"/>
          </w:tcPr>
          <w:p w14:paraId="0C4481A3">
            <w:pPr>
              <w:widowControl/>
              <w:spacing w:line="280" w:lineRule="exact"/>
              <w:jc w:val="center"/>
              <w:rPr>
                <w:rFonts w:ascii="宋体" w:hAnsi="宋体" w:cs="宋体"/>
                <w:kern w:val="0"/>
                <w:sz w:val="18"/>
                <w:szCs w:val="18"/>
              </w:rPr>
            </w:pPr>
            <w:r>
              <w:rPr>
                <w:rFonts w:hint="eastAsia" w:ascii="宋体" w:hAnsi="宋体" w:cs="宋体"/>
                <w:kern w:val="0"/>
                <w:sz w:val="18"/>
                <w:szCs w:val="18"/>
              </w:rPr>
              <w:t>Y＜1000</w:t>
            </w:r>
          </w:p>
        </w:tc>
      </w:tr>
      <w:tr w14:paraId="48E4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0C5FCCE">
            <w:pPr>
              <w:widowControl/>
              <w:spacing w:line="280" w:lineRule="exact"/>
              <w:jc w:val="left"/>
              <w:rPr>
                <w:rFonts w:ascii="宋体" w:hAnsi="宋体" w:cs="宋体"/>
                <w:kern w:val="0"/>
                <w:sz w:val="18"/>
                <w:szCs w:val="18"/>
              </w:rPr>
            </w:pPr>
            <w:r>
              <w:rPr>
                <w:rFonts w:hint="eastAsia" w:ascii="宋体" w:hAnsi="宋体" w:cs="宋体"/>
                <w:kern w:val="0"/>
                <w:sz w:val="18"/>
                <w:szCs w:val="18"/>
              </w:rPr>
              <w:t>零售业</w:t>
            </w:r>
          </w:p>
        </w:tc>
        <w:tc>
          <w:tcPr>
            <w:tcW w:w="1369" w:type="dxa"/>
            <w:vAlign w:val="center"/>
          </w:tcPr>
          <w:p w14:paraId="7680632B">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36695E09">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03494B07">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2DCFF129">
            <w:pPr>
              <w:widowControl/>
              <w:spacing w:line="280" w:lineRule="exact"/>
              <w:jc w:val="center"/>
              <w:rPr>
                <w:rFonts w:ascii="宋体" w:hAnsi="宋体" w:cs="宋体"/>
                <w:kern w:val="0"/>
                <w:sz w:val="18"/>
                <w:szCs w:val="18"/>
              </w:rPr>
            </w:pPr>
            <w:r>
              <w:rPr>
                <w:rFonts w:hint="eastAsia" w:ascii="宋体" w:hAnsi="宋体" w:cs="宋体"/>
                <w:kern w:val="0"/>
                <w:sz w:val="18"/>
                <w:szCs w:val="18"/>
              </w:rPr>
              <w:t>50≤X＜300</w:t>
            </w:r>
          </w:p>
        </w:tc>
        <w:tc>
          <w:tcPr>
            <w:tcW w:w="1426" w:type="dxa"/>
            <w:vAlign w:val="center"/>
          </w:tcPr>
          <w:p w14:paraId="1D636C6B">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992" w:type="dxa"/>
            <w:vAlign w:val="center"/>
          </w:tcPr>
          <w:p w14:paraId="0A430A09">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4279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613DDF4">
            <w:pPr>
              <w:widowControl/>
              <w:spacing w:line="280" w:lineRule="exact"/>
              <w:jc w:val="left"/>
              <w:rPr>
                <w:rFonts w:ascii="宋体" w:hAnsi="宋体" w:cs="宋体"/>
                <w:kern w:val="0"/>
                <w:sz w:val="18"/>
                <w:szCs w:val="18"/>
              </w:rPr>
            </w:pPr>
          </w:p>
        </w:tc>
        <w:tc>
          <w:tcPr>
            <w:tcW w:w="1369" w:type="dxa"/>
            <w:vAlign w:val="center"/>
          </w:tcPr>
          <w:p w14:paraId="43368D31">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1ED36971">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2F80E952">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14:paraId="7F83BD63">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14:paraId="7C056D8E">
            <w:pPr>
              <w:widowControl/>
              <w:spacing w:line="280" w:lineRule="exact"/>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992" w:type="dxa"/>
            <w:vAlign w:val="center"/>
          </w:tcPr>
          <w:p w14:paraId="7748E4AE">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1F0C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B088FBC">
            <w:pPr>
              <w:widowControl/>
              <w:spacing w:line="28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369" w:type="dxa"/>
            <w:vAlign w:val="center"/>
          </w:tcPr>
          <w:p w14:paraId="727F03D9">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0DC392E5">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22E726CC">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14:paraId="18C81E27">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14:paraId="503980EE">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14:paraId="4913FE3B">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14:paraId="6979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FE44530">
            <w:pPr>
              <w:widowControl/>
              <w:spacing w:line="280" w:lineRule="exact"/>
              <w:jc w:val="left"/>
              <w:rPr>
                <w:rFonts w:ascii="宋体" w:hAnsi="宋体" w:cs="宋体"/>
                <w:kern w:val="0"/>
                <w:sz w:val="18"/>
                <w:szCs w:val="18"/>
              </w:rPr>
            </w:pPr>
          </w:p>
        </w:tc>
        <w:tc>
          <w:tcPr>
            <w:tcW w:w="1369" w:type="dxa"/>
            <w:vAlign w:val="center"/>
          </w:tcPr>
          <w:p w14:paraId="033F18AF">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26A2A7AD">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490750DF">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14:paraId="38B64E42">
            <w:pPr>
              <w:widowControl/>
              <w:spacing w:line="280" w:lineRule="exact"/>
              <w:jc w:val="center"/>
              <w:rPr>
                <w:rFonts w:ascii="宋体" w:hAnsi="宋体" w:cs="宋体"/>
                <w:kern w:val="0"/>
                <w:sz w:val="18"/>
                <w:szCs w:val="18"/>
              </w:rPr>
            </w:pPr>
            <w:r>
              <w:rPr>
                <w:rFonts w:hint="eastAsia" w:ascii="宋体" w:hAnsi="宋体" w:cs="宋体"/>
                <w:kern w:val="0"/>
                <w:sz w:val="18"/>
                <w:szCs w:val="18"/>
              </w:rPr>
              <w:t>3000≤Y＜30000</w:t>
            </w:r>
          </w:p>
        </w:tc>
        <w:tc>
          <w:tcPr>
            <w:tcW w:w="1426" w:type="dxa"/>
            <w:vAlign w:val="center"/>
          </w:tcPr>
          <w:p w14:paraId="44E50C3F">
            <w:pPr>
              <w:widowControl/>
              <w:spacing w:line="280" w:lineRule="exact"/>
              <w:jc w:val="center"/>
              <w:rPr>
                <w:rFonts w:ascii="宋体" w:hAnsi="宋体" w:cs="宋体"/>
                <w:kern w:val="0"/>
                <w:sz w:val="18"/>
                <w:szCs w:val="18"/>
              </w:rPr>
            </w:pPr>
            <w:r>
              <w:rPr>
                <w:rFonts w:hint="eastAsia" w:ascii="宋体" w:hAnsi="宋体" w:cs="宋体"/>
                <w:kern w:val="0"/>
                <w:sz w:val="18"/>
                <w:szCs w:val="18"/>
              </w:rPr>
              <w:t>200≤Y＜3000</w:t>
            </w:r>
          </w:p>
        </w:tc>
        <w:tc>
          <w:tcPr>
            <w:tcW w:w="992" w:type="dxa"/>
            <w:vAlign w:val="center"/>
          </w:tcPr>
          <w:p w14:paraId="2213B7A9">
            <w:pPr>
              <w:widowControl/>
              <w:spacing w:line="280" w:lineRule="exact"/>
              <w:jc w:val="center"/>
              <w:rPr>
                <w:rFonts w:ascii="宋体" w:hAnsi="宋体" w:cs="宋体"/>
                <w:kern w:val="0"/>
                <w:sz w:val="18"/>
                <w:szCs w:val="18"/>
              </w:rPr>
            </w:pPr>
            <w:r>
              <w:rPr>
                <w:rFonts w:hint="eastAsia" w:ascii="宋体" w:hAnsi="宋体" w:cs="宋体"/>
                <w:kern w:val="0"/>
                <w:sz w:val="18"/>
                <w:szCs w:val="18"/>
              </w:rPr>
              <w:t>Y＜200</w:t>
            </w:r>
          </w:p>
        </w:tc>
      </w:tr>
      <w:tr w14:paraId="550A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A494233">
            <w:pPr>
              <w:widowControl/>
              <w:spacing w:line="280" w:lineRule="exact"/>
              <w:jc w:val="left"/>
              <w:rPr>
                <w:rFonts w:ascii="宋体" w:hAnsi="宋体" w:cs="宋体"/>
                <w:kern w:val="0"/>
                <w:sz w:val="18"/>
                <w:szCs w:val="18"/>
              </w:rPr>
            </w:pPr>
            <w:r>
              <w:rPr>
                <w:rFonts w:hint="eastAsia" w:ascii="宋体" w:hAnsi="宋体" w:cs="宋体"/>
                <w:kern w:val="0"/>
                <w:sz w:val="18"/>
                <w:szCs w:val="18"/>
              </w:rPr>
              <w:t>仓储业*</w:t>
            </w:r>
          </w:p>
        </w:tc>
        <w:tc>
          <w:tcPr>
            <w:tcW w:w="1369" w:type="dxa"/>
            <w:vAlign w:val="center"/>
          </w:tcPr>
          <w:p w14:paraId="677D9B0E">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58B26417">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4EB6B7CC">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14:paraId="52B5E719">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426" w:type="dxa"/>
            <w:vAlign w:val="center"/>
          </w:tcPr>
          <w:p w14:paraId="276F89B1">
            <w:pPr>
              <w:widowControl/>
              <w:spacing w:line="280" w:lineRule="exact"/>
              <w:jc w:val="center"/>
              <w:rPr>
                <w:rFonts w:ascii="宋体" w:hAnsi="宋体" w:cs="宋体"/>
                <w:kern w:val="0"/>
                <w:sz w:val="18"/>
                <w:szCs w:val="18"/>
              </w:rPr>
            </w:pPr>
            <w:r>
              <w:rPr>
                <w:rFonts w:hint="eastAsia" w:ascii="宋体" w:hAnsi="宋体" w:cs="宋体"/>
                <w:kern w:val="0"/>
                <w:sz w:val="18"/>
                <w:szCs w:val="18"/>
              </w:rPr>
              <w:t>20≤X＜100</w:t>
            </w:r>
          </w:p>
        </w:tc>
        <w:tc>
          <w:tcPr>
            <w:tcW w:w="992" w:type="dxa"/>
            <w:vAlign w:val="center"/>
          </w:tcPr>
          <w:p w14:paraId="7D021C72">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14:paraId="4C4A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3E34EFA">
            <w:pPr>
              <w:widowControl/>
              <w:spacing w:line="280" w:lineRule="exact"/>
              <w:jc w:val="left"/>
              <w:rPr>
                <w:rFonts w:ascii="宋体" w:hAnsi="宋体" w:cs="宋体"/>
                <w:kern w:val="0"/>
                <w:sz w:val="18"/>
                <w:szCs w:val="18"/>
              </w:rPr>
            </w:pPr>
          </w:p>
        </w:tc>
        <w:tc>
          <w:tcPr>
            <w:tcW w:w="1369" w:type="dxa"/>
            <w:vAlign w:val="center"/>
          </w:tcPr>
          <w:p w14:paraId="42597D86">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7E315A10">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46591697">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14:paraId="62C48595">
            <w:pPr>
              <w:widowControl/>
              <w:spacing w:line="280" w:lineRule="exact"/>
              <w:jc w:val="center"/>
              <w:rPr>
                <w:rFonts w:ascii="宋体" w:hAnsi="宋体" w:cs="宋体"/>
                <w:kern w:val="0"/>
                <w:sz w:val="18"/>
                <w:szCs w:val="18"/>
              </w:rPr>
            </w:pPr>
            <w:r>
              <w:rPr>
                <w:rFonts w:hint="eastAsia" w:ascii="宋体" w:hAnsi="宋体" w:cs="宋体"/>
                <w:kern w:val="0"/>
                <w:sz w:val="18"/>
                <w:szCs w:val="18"/>
              </w:rPr>
              <w:t>1000≤Y＜30000</w:t>
            </w:r>
          </w:p>
        </w:tc>
        <w:tc>
          <w:tcPr>
            <w:tcW w:w="1426" w:type="dxa"/>
            <w:vAlign w:val="center"/>
          </w:tcPr>
          <w:p w14:paraId="28458018">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14:paraId="0D4FDFD4">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568C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29B297C">
            <w:pPr>
              <w:widowControl/>
              <w:spacing w:line="280" w:lineRule="exact"/>
              <w:jc w:val="left"/>
              <w:rPr>
                <w:rFonts w:ascii="宋体" w:hAnsi="宋体" w:cs="宋体"/>
                <w:kern w:val="0"/>
                <w:sz w:val="18"/>
                <w:szCs w:val="18"/>
              </w:rPr>
            </w:pPr>
            <w:r>
              <w:rPr>
                <w:rFonts w:hint="eastAsia" w:ascii="宋体" w:hAnsi="宋体" w:cs="宋体"/>
                <w:kern w:val="0"/>
                <w:sz w:val="18"/>
                <w:szCs w:val="18"/>
              </w:rPr>
              <w:t>邮政业</w:t>
            </w:r>
          </w:p>
        </w:tc>
        <w:tc>
          <w:tcPr>
            <w:tcW w:w="1369" w:type="dxa"/>
            <w:vAlign w:val="center"/>
          </w:tcPr>
          <w:p w14:paraId="75935DB3">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317E8C32">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5ED530DB">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14:paraId="33C02178">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14:paraId="6CD0BF40">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14:paraId="1F45DF1B">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14:paraId="46B8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3DA9B99">
            <w:pPr>
              <w:widowControl/>
              <w:spacing w:line="280" w:lineRule="exact"/>
              <w:jc w:val="left"/>
              <w:rPr>
                <w:rFonts w:ascii="宋体" w:hAnsi="宋体" w:cs="宋体"/>
                <w:kern w:val="0"/>
                <w:sz w:val="18"/>
                <w:szCs w:val="18"/>
              </w:rPr>
            </w:pPr>
          </w:p>
        </w:tc>
        <w:tc>
          <w:tcPr>
            <w:tcW w:w="1369" w:type="dxa"/>
            <w:vAlign w:val="center"/>
          </w:tcPr>
          <w:p w14:paraId="249039A4">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4C000233">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37612C27">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14:paraId="25E7B4E7">
            <w:pPr>
              <w:widowControl/>
              <w:spacing w:line="280" w:lineRule="exact"/>
              <w:jc w:val="center"/>
              <w:rPr>
                <w:rFonts w:ascii="宋体" w:hAnsi="宋体" w:cs="宋体"/>
                <w:kern w:val="0"/>
                <w:sz w:val="18"/>
                <w:szCs w:val="18"/>
              </w:rPr>
            </w:pPr>
            <w:r>
              <w:rPr>
                <w:rFonts w:hint="eastAsia" w:ascii="宋体" w:hAnsi="宋体" w:cs="宋体"/>
                <w:kern w:val="0"/>
                <w:sz w:val="18"/>
                <w:szCs w:val="18"/>
              </w:rPr>
              <w:t>2000≤Y＜30000</w:t>
            </w:r>
          </w:p>
        </w:tc>
        <w:tc>
          <w:tcPr>
            <w:tcW w:w="1426" w:type="dxa"/>
            <w:vAlign w:val="center"/>
          </w:tcPr>
          <w:p w14:paraId="4513C880">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14:paraId="22FFB463">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5A05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C899248">
            <w:pPr>
              <w:widowControl/>
              <w:spacing w:line="280" w:lineRule="exact"/>
              <w:jc w:val="left"/>
              <w:rPr>
                <w:rFonts w:ascii="宋体" w:hAnsi="宋体" w:cs="宋体"/>
                <w:kern w:val="0"/>
                <w:sz w:val="18"/>
                <w:szCs w:val="18"/>
              </w:rPr>
            </w:pPr>
            <w:r>
              <w:rPr>
                <w:rFonts w:hint="eastAsia" w:ascii="宋体" w:hAnsi="宋体" w:cs="宋体"/>
                <w:kern w:val="0"/>
                <w:sz w:val="18"/>
                <w:szCs w:val="18"/>
              </w:rPr>
              <w:t>住宿业</w:t>
            </w:r>
          </w:p>
        </w:tc>
        <w:tc>
          <w:tcPr>
            <w:tcW w:w="1369" w:type="dxa"/>
            <w:vAlign w:val="center"/>
          </w:tcPr>
          <w:p w14:paraId="64BD903F">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5753B4A6">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4146367F">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3DA57915">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14:paraId="1022F765">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28798C39">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111A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561F9DB">
            <w:pPr>
              <w:widowControl/>
              <w:spacing w:line="280" w:lineRule="exact"/>
              <w:jc w:val="left"/>
              <w:rPr>
                <w:rFonts w:ascii="宋体" w:hAnsi="宋体" w:cs="宋体"/>
                <w:kern w:val="0"/>
                <w:sz w:val="18"/>
                <w:szCs w:val="18"/>
              </w:rPr>
            </w:pPr>
          </w:p>
        </w:tc>
        <w:tc>
          <w:tcPr>
            <w:tcW w:w="1369" w:type="dxa"/>
            <w:vAlign w:val="center"/>
          </w:tcPr>
          <w:p w14:paraId="6ABAFC0E">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22649974">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085FADFE">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14:paraId="59A29B40">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14:paraId="4E2AC602">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14:paraId="59FB19CF">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1802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E96B412">
            <w:pPr>
              <w:widowControl/>
              <w:spacing w:line="280" w:lineRule="exact"/>
              <w:jc w:val="left"/>
              <w:rPr>
                <w:rFonts w:ascii="宋体" w:hAnsi="宋体" w:cs="宋体"/>
                <w:kern w:val="0"/>
                <w:sz w:val="18"/>
                <w:szCs w:val="18"/>
              </w:rPr>
            </w:pPr>
            <w:r>
              <w:rPr>
                <w:rFonts w:hint="eastAsia" w:ascii="宋体" w:hAnsi="宋体" w:cs="宋体"/>
                <w:kern w:val="0"/>
                <w:sz w:val="18"/>
                <w:szCs w:val="18"/>
              </w:rPr>
              <w:t>餐饮业</w:t>
            </w:r>
          </w:p>
        </w:tc>
        <w:tc>
          <w:tcPr>
            <w:tcW w:w="1369" w:type="dxa"/>
            <w:vAlign w:val="center"/>
          </w:tcPr>
          <w:p w14:paraId="6686D8A0">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5E3153E8">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256CC6B2">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590F6537">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14:paraId="3EAAE4EB">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3D1CE177">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7436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E46B3BE">
            <w:pPr>
              <w:widowControl/>
              <w:spacing w:line="280" w:lineRule="exact"/>
              <w:jc w:val="left"/>
              <w:rPr>
                <w:rFonts w:ascii="宋体" w:hAnsi="宋体" w:cs="宋体"/>
                <w:kern w:val="0"/>
                <w:sz w:val="18"/>
                <w:szCs w:val="18"/>
              </w:rPr>
            </w:pPr>
          </w:p>
        </w:tc>
        <w:tc>
          <w:tcPr>
            <w:tcW w:w="1369" w:type="dxa"/>
            <w:vAlign w:val="center"/>
          </w:tcPr>
          <w:p w14:paraId="696A3B84">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2B7A1956">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062ABEAE">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14:paraId="30E1C2CC">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14:paraId="5FFADEAE">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14:paraId="363D997F">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4DFA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5182DAD">
            <w:pPr>
              <w:widowControl/>
              <w:spacing w:line="28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369" w:type="dxa"/>
            <w:vAlign w:val="center"/>
          </w:tcPr>
          <w:p w14:paraId="6B9D345D">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08EED0EB">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4CD18809">
            <w:pPr>
              <w:widowControl/>
              <w:spacing w:line="280" w:lineRule="exact"/>
              <w:jc w:val="center"/>
              <w:rPr>
                <w:rFonts w:ascii="宋体" w:hAnsi="宋体" w:cs="宋体"/>
                <w:kern w:val="0"/>
                <w:sz w:val="18"/>
                <w:szCs w:val="18"/>
              </w:rPr>
            </w:pPr>
            <w:r>
              <w:rPr>
                <w:rFonts w:hint="eastAsia" w:ascii="宋体" w:hAnsi="宋体" w:cs="宋体"/>
                <w:kern w:val="0"/>
                <w:sz w:val="18"/>
                <w:szCs w:val="18"/>
              </w:rPr>
              <w:t>X≥2000</w:t>
            </w:r>
          </w:p>
        </w:tc>
        <w:tc>
          <w:tcPr>
            <w:tcW w:w="1701" w:type="dxa"/>
            <w:vAlign w:val="center"/>
          </w:tcPr>
          <w:p w14:paraId="1D5C91BF">
            <w:pPr>
              <w:widowControl/>
              <w:spacing w:line="280" w:lineRule="exact"/>
              <w:jc w:val="center"/>
              <w:rPr>
                <w:rFonts w:ascii="宋体" w:hAnsi="宋体" w:cs="宋体"/>
                <w:kern w:val="0"/>
                <w:sz w:val="18"/>
                <w:szCs w:val="18"/>
              </w:rPr>
            </w:pPr>
            <w:r>
              <w:rPr>
                <w:rFonts w:hint="eastAsia" w:ascii="宋体" w:hAnsi="宋体" w:cs="宋体"/>
                <w:kern w:val="0"/>
                <w:sz w:val="18"/>
                <w:szCs w:val="18"/>
              </w:rPr>
              <w:t>100≤X＜2000</w:t>
            </w:r>
          </w:p>
        </w:tc>
        <w:tc>
          <w:tcPr>
            <w:tcW w:w="1426" w:type="dxa"/>
            <w:vAlign w:val="center"/>
          </w:tcPr>
          <w:p w14:paraId="03500303">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2F904D87">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00C2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04E2270">
            <w:pPr>
              <w:widowControl/>
              <w:spacing w:line="280" w:lineRule="exact"/>
              <w:jc w:val="left"/>
              <w:rPr>
                <w:rFonts w:ascii="宋体" w:hAnsi="宋体" w:cs="宋体"/>
                <w:kern w:val="0"/>
                <w:sz w:val="18"/>
                <w:szCs w:val="18"/>
              </w:rPr>
            </w:pPr>
          </w:p>
        </w:tc>
        <w:tc>
          <w:tcPr>
            <w:tcW w:w="1369" w:type="dxa"/>
            <w:vAlign w:val="center"/>
          </w:tcPr>
          <w:p w14:paraId="408BEAEB">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52C0171B">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2E434991">
            <w:pPr>
              <w:widowControl/>
              <w:spacing w:line="280" w:lineRule="exact"/>
              <w:jc w:val="center"/>
              <w:rPr>
                <w:rFonts w:ascii="宋体" w:hAnsi="宋体" w:cs="宋体"/>
                <w:kern w:val="0"/>
                <w:sz w:val="18"/>
                <w:szCs w:val="18"/>
              </w:rPr>
            </w:pPr>
            <w:r>
              <w:rPr>
                <w:rFonts w:hint="eastAsia" w:ascii="宋体" w:hAnsi="宋体" w:cs="宋体"/>
                <w:kern w:val="0"/>
                <w:sz w:val="18"/>
                <w:szCs w:val="18"/>
              </w:rPr>
              <w:t>Y≥100000</w:t>
            </w:r>
          </w:p>
        </w:tc>
        <w:tc>
          <w:tcPr>
            <w:tcW w:w="1701" w:type="dxa"/>
            <w:vAlign w:val="center"/>
          </w:tcPr>
          <w:p w14:paraId="666A0296">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1000≤Y＜100000</w:t>
            </w:r>
          </w:p>
        </w:tc>
        <w:tc>
          <w:tcPr>
            <w:tcW w:w="1426" w:type="dxa"/>
            <w:vAlign w:val="center"/>
          </w:tcPr>
          <w:p w14:paraId="0BF21634">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14:paraId="614A76F8">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252B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375D08D">
            <w:pPr>
              <w:widowControl/>
              <w:spacing w:line="28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69" w:type="dxa"/>
            <w:vAlign w:val="center"/>
          </w:tcPr>
          <w:p w14:paraId="69CE8AD6">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33B12256">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2D7F1AFB">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003ACB94">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14:paraId="6AA0AFAD">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3180618F">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5BBF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D2B3DC1">
            <w:pPr>
              <w:widowControl/>
              <w:spacing w:line="280" w:lineRule="exact"/>
              <w:jc w:val="left"/>
              <w:rPr>
                <w:rFonts w:ascii="宋体" w:hAnsi="宋体" w:cs="宋体"/>
                <w:spacing w:val="-12"/>
                <w:kern w:val="0"/>
                <w:sz w:val="18"/>
                <w:szCs w:val="18"/>
              </w:rPr>
            </w:pPr>
          </w:p>
        </w:tc>
        <w:tc>
          <w:tcPr>
            <w:tcW w:w="1369" w:type="dxa"/>
            <w:vAlign w:val="center"/>
          </w:tcPr>
          <w:p w14:paraId="4EECCC56">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6D67D40F">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433F34F7">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14:paraId="6ADFC8C3">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w:t>
            </w:r>
          </w:p>
        </w:tc>
        <w:tc>
          <w:tcPr>
            <w:tcW w:w="1426" w:type="dxa"/>
            <w:vAlign w:val="center"/>
          </w:tcPr>
          <w:p w14:paraId="2625C34C">
            <w:pPr>
              <w:widowControl/>
              <w:spacing w:line="280" w:lineRule="exact"/>
              <w:jc w:val="center"/>
              <w:rPr>
                <w:rFonts w:ascii="宋体" w:hAnsi="宋体" w:cs="宋体"/>
                <w:kern w:val="0"/>
                <w:sz w:val="18"/>
                <w:szCs w:val="18"/>
              </w:rPr>
            </w:pPr>
            <w:r>
              <w:rPr>
                <w:rFonts w:hint="eastAsia" w:ascii="宋体" w:hAnsi="宋体" w:cs="宋体"/>
                <w:kern w:val="0"/>
                <w:sz w:val="18"/>
                <w:szCs w:val="18"/>
              </w:rPr>
              <w:t>50≤Y＜1000</w:t>
            </w:r>
          </w:p>
        </w:tc>
        <w:tc>
          <w:tcPr>
            <w:tcW w:w="992" w:type="dxa"/>
            <w:vAlign w:val="center"/>
          </w:tcPr>
          <w:p w14:paraId="11C2082A">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14:paraId="7609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C00AC18">
            <w:pPr>
              <w:widowControl/>
              <w:spacing w:line="28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369" w:type="dxa"/>
            <w:vAlign w:val="center"/>
          </w:tcPr>
          <w:p w14:paraId="70D71897">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06D74D13">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0CB47AE4">
            <w:pPr>
              <w:widowControl/>
              <w:spacing w:line="280" w:lineRule="exact"/>
              <w:jc w:val="center"/>
              <w:rPr>
                <w:rFonts w:ascii="宋体" w:hAnsi="宋体" w:cs="宋体"/>
                <w:kern w:val="0"/>
                <w:sz w:val="18"/>
                <w:szCs w:val="18"/>
              </w:rPr>
            </w:pPr>
            <w:r>
              <w:rPr>
                <w:rFonts w:hint="eastAsia" w:ascii="宋体" w:hAnsi="宋体" w:cs="宋体"/>
                <w:kern w:val="0"/>
                <w:sz w:val="18"/>
                <w:szCs w:val="18"/>
              </w:rPr>
              <w:t>Y≥200000</w:t>
            </w:r>
          </w:p>
        </w:tc>
        <w:tc>
          <w:tcPr>
            <w:tcW w:w="1701" w:type="dxa"/>
            <w:vAlign w:val="center"/>
          </w:tcPr>
          <w:p w14:paraId="02DB3E05">
            <w:pPr>
              <w:widowControl/>
              <w:spacing w:line="280" w:lineRule="exact"/>
              <w:jc w:val="center"/>
              <w:rPr>
                <w:rFonts w:ascii="宋体" w:hAnsi="宋体" w:cs="宋体"/>
                <w:kern w:val="0"/>
                <w:sz w:val="18"/>
                <w:szCs w:val="18"/>
              </w:rPr>
            </w:pPr>
            <w:r>
              <w:rPr>
                <w:rFonts w:hint="eastAsia" w:ascii="宋体" w:hAnsi="宋体" w:cs="宋体"/>
                <w:kern w:val="0"/>
                <w:sz w:val="18"/>
                <w:szCs w:val="18"/>
              </w:rPr>
              <w:t>1000≤Y＜200000</w:t>
            </w:r>
          </w:p>
        </w:tc>
        <w:tc>
          <w:tcPr>
            <w:tcW w:w="1426" w:type="dxa"/>
            <w:vAlign w:val="center"/>
          </w:tcPr>
          <w:p w14:paraId="2FE6FA58">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14:paraId="4B1EC21C">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14:paraId="39D4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6E28D33">
            <w:pPr>
              <w:widowControl/>
              <w:spacing w:line="280" w:lineRule="exact"/>
              <w:jc w:val="left"/>
              <w:rPr>
                <w:rFonts w:ascii="宋体" w:hAnsi="宋体" w:cs="宋体"/>
                <w:kern w:val="0"/>
                <w:sz w:val="18"/>
                <w:szCs w:val="18"/>
              </w:rPr>
            </w:pPr>
          </w:p>
        </w:tc>
        <w:tc>
          <w:tcPr>
            <w:tcW w:w="1369" w:type="dxa"/>
            <w:vAlign w:val="center"/>
          </w:tcPr>
          <w:p w14:paraId="1C4FC59B">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14:paraId="3B5C8A40">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683082E7">
            <w:pPr>
              <w:widowControl/>
              <w:spacing w:line="280" w:lineRule="exact"/>
              <w:jc w:val="center"/>
              <w:rPr>
                <w:rFonts w:ascii="宋体" w:hAnsi="宋体" w:cs="宋体"/>
                <w:kern w:val="0"/>
                <w:sz w:val="18"/>
                <w:szCs w:val="18"/>
              </w:rPr>
            </w:pPr>
            <w:r>
              <w:rPr>
                <w:rFonts w:hint="eastAsia" w:ascii="宋体" w:hAnsi="宋体" w:cs="宋体"/>
                <w:kern w:val="0"/>
                <w:sz w:val="18"/>
                <w:szCs w:val="18"/>
              </w:rPr>
              <w:t>Z≥10000</w:t>
            </w:r>
          </w:p>
        </w:tc>
        <w:tc>
          <w:tcPr>
            <w:tcW w:w="1701" w:type="dxa"/>
            <w:vAlign w:val="center"/>
          </w:tcPr>
          <w:p w14:paraId="281AC6F7">
            <w:pPr>
              <w:widowControl/>
              <w:spacing w:line="280" w:lineRule="exact"/>
              <w:jc w:val="center"/>
              <w:rPr>
                <w:rFonts w:ascii="宋体" w:hAnsi="宋体" w:cs="宋体"/>
                <w:kern w:val="0"/>
                <w:sz w:val="18"/>
                <w:szCs w:val="18"/>
              </w:rPr>
            </w:pPr>
            <w:r>
              <w:rPr>
                <w:rFonts w:hint="eastAsia" w:ascii="宋体" w:hAnsi="宋体" w:cs="宋体"/>
                <w:kern w:val="0"/>
                <w:sz w:val="18"/>
                <w:szCs w:val="18"/>
              </w:rPr>
              <w:t>5000≤Z＜10000</w:t>
            </w:r>
          </w:p>
        </w:tc>
        <w:tc>
          <w:tcPr>
            <w:tcW w:w="1426" w:type="dxa"/>
            <w:vAlign w:val="center"/>
          </w:tcPr>
          <w:p w14:paraId="264FAC8D">
            <w:pPr>
              <w:widowControl/>
              <w:spacing w:line="280" w:lineRule="exact"/>
              <w:jc w:val="center"/>
              <w:rPr>
                <w:rFonts w:ascii="宋体" w:hAnsi="宋体" w:cs="宋体"/>
                <w:kern w:val="0"/>
                <w:sz w:val="18"/>
                <w:szCs w:val="18"/>
              </w:rPr>
            </w:pPr>
            <w:r>
              <w:rPr>
                <w:rFonts w:hint="eastAsia" w:ascii="宋体" w:hAnsi="宋体" w:cs="宋体"/>
                <w:kern w:val="0"/>
                <w:sz w:val="18"/>
                <w:szCs w:val="18"/>
              </w:rPr>
              <w:t>2000≤Z＜5000</w:t>
            </w:r>
          </w:p>
        </w:tc>
        <w:tc>
          <w:tcPr>
            <w:tcW w:w="992" w:type="dxa"/>
            <w:vAlign w:val="center"/>
          </w:tcPr>
          <w:p w14:paraId="599B6740">
            <w:pPr>
              <w:widowControl/>
              <w:spacing w:line="280" w:lineRule="exact"/>
              <w:jc w:val="center"/>
              <w:rPr>
                <w:rFonts w:ascii="宋体" w:hAnsi="宋体" w:cs="宋体"/>
                <w:kern w:val="0"/>
                <w:sz w:val="18"/>
                <w:szCs w:val="18"/>
              </w:rPr>
            </w:pPr>
            <w:r>
              <w:rPr>
                <w:rFonts w:hint="eastAsia" w:ascii="宋体" w:hAnsi="宋体" w:cs="宋体"/>
                <w:kern w:val="0"/>
                <w:sz w:val="18"/>
                <w:szCs w:val="18"/>
              </w:rPr>
              <w:t>Z＜2000</w:t>
            </w:r>
          </w:p>
        </w:tc>
      </w:tr>
      <w:tr w14:paraId="293F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8B29182">
            <w:pPr>
              <w:widowControl/>
              <w:spacing w:line="280" w:lineRule="exact"/>
              <w:jc w:val="left"/>
              <w:rPr>
                <w:rFonts w:ascii="宋体" w:hAnsi="宋体" w:cs="宋体"/>
                <w:kern w:val="0"/>
                <w:sz w:val="18"/>
                <w:szCs w:val="18"/>
              </w:rPr>
            </w:pPr>
            <w:r>
              <w:rPr>
                <w:rFonts w:hint="eastAsia" w:ascii="宋体" w:hAnsi="宋体" w:cs="宋体"/>
                <w:kern w:val="0"/>
                <w:sz w:val="18"/>
                <w:szCs w:val="18"/>
              </w:rPr>
              <w:t>物业管理</w:t>
            </w:r>
          </w:p>
        </w:tc>
        <w:tc>
          <w:tcPr>
            <w:tcW w:w="1369" w:type="dxa"/>
            <w:vAlign w:val="center"/>
          </w:tcPr>
          <w:p w14:paraId="3584F421">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48966FE7">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4E4FC98F">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14:paraId="65F44837">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14:paraId="67835AF1">
            <w:pPr>
              <w:widowControl/>
              <w:spacing w:line="280" w:lineRule="exact"/>
              <w:jc w:val="center"/>
              <w:rPr>
                <w:rFonts w:ascii="宋体" w:hAnsi="宋体" w:cs="宋体"/>
                <w:kern w:val="0"/>
                <w:sz w:val="18"/>
                <w:szCs w:val="18"/>
              </w:rPr>
            </w:pPr>
            <w:r>
              <w:rPr>
                <w:rFonts w:hint="eastAsia" w:ascii="宋体" w:hAnsi="宋体" w:cs="宋体"/>
                <w:kern w:val="0"/>
                <w:sz w:val="18"/>
                <w:szCs w:val="18"/>
              </w:rPr>
              <w:t>100≤X＜300</w:t>
            </w:r>
          </w:p>
        </w:tc>
        <w:tc>
          <w:tcPr>
            <w:tcW w:w="992" w:type="dxa"/>
            <w:vAlign w:val="center"/>
          </w:tcPr>
          <w:p w14:paraId="3544BE25">
            <w:pPr>
              <w:widowControl/>
              <w:spacing w:line="280" w:lineRule="exact"/>
              <w:jc w:val="center"/>
              <w:rPr>
                <w:rFonts w:ascii="宋体" w:hAnsi="宋体" w:cs="宋体"/>
                <w:kern w:val="0"/>
                <w:sz w:val="18"/>
                <w:szCs w:val="18"/>
              </w:rPr>
            </w:pPr>
            <w:r>
              <w:rPr>
                <w:rFonts w:hint="eastAsia" w:ascii="宋体" w:hAnsi="宋体" w:cs="宋体"/>
                <w:kern w:val="0"/>
                <w:sz w:val="18"/>
                <w:szCs w:val="18"/>
              </w:rPr>
              <w:t>X＜100</w:t>
            </w:r>
          </w:p>
        </w:tc>
      </w:tr>
      <w:tr w14:paraId="3CBF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198F41B">
            <w:pPr>
              <w:widowControl/>
              <w:spacing w:line="280" w:lineRule="exact"/>
              <w:jc w:val="left"/>
              <w:rPr>
                <w:rFonts w:ascii="宋体" w:hAnsi="宋体" w:cs="宋体"/>
                <w:kern w:val="0"/>
                <w:sz w:val="18"/>
                <w:szCs w:val="18"/>
              </w:rPr>
            </w:pPr>
          </w:p>
        </w:tc>
        <w:tc>
          <w:tcPr>
            <w:tcW w:w="1369" w:type="dxa"/>
            <w:vAlign w:val="center"/>
          </w:tcPr>
          <w:p w14:paraId="63D972B8">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14:paraId="2812DE8E">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76F0A721">
            <w:pPr>
              <w:widowControl/>
              <w:spacing w:line="280" w:lineRule="exact"/>
              <w:jc w:val="center"/>
              <w:rPr>
                <w:rFonts w:ascii="宋体" w:hAnsi="宋体" w:cs="宋体"/>
                <w:kern w:val="0"/>
                <w:sz w:val="18"/>
                <w:szCs w:val="18"/>
              </w:rPr>
            </w:pPr>
            <w:r>
              <w:rPr>
                <w:rFonts w:hint="eastAsia" w:ascii="宋体" w:hAnsi="宋体" w:cs="宋体"/>
                <w:kern w:val="0"/>
                <w:sz w:val="18"/>
                <w:szCs w:val="18"/>
              </w:rPr>
              <w:t>Y≥5000</w:t>
            </w:r>
          </w:p>
        </w:tc>
        <w:tc>
          <w:tcPr>
            <w:tcW w:w="1701" w:type="dxa"/>
            <w:vAlign w:val="center"/>
          </w:tcPr>
          <w:p w14:paraId="09488A03">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426" w:type="dxa"/>
            <w:vAlign w:val="center"/>
          </w:tcPr>
          <w:p w14:paraId="3EE353A8">
            <w:pPr>
              <w:widowControl/>
              <w:spacing w:line="280" w:lineRule="exact"/>
              <w:jc w:val="center"/>
              <w:rPr>
                <w:rFonts w:ascii="宋体" w:hAnsi="宋体" w:cs="宋体"/>
                <w:kern w:val="0"/>
                <w:sz w:val="18"/>
                <w:szCs w:val="18"/>
              </w:rPr>
            </w:pPr>
            <w:r>
              <w:rPr>
                <w:rFonts w:hint="eastAsia" w:ascii="宋体" w:hAnsi="宋体" w:cs="宋体"/>
                <w:kern w:val="0"/>
                <w:sz w:val="18"/>
                <w:szCs w:val="18"/>
              </w:rPr>
              <w:t>500≤Y＜1000</w:t>
            </w:r>
          </w:p>
        </w:tc>
        <w:tc>
          <w:tcPr>
            <w:tcW w:w="992" w:type="dxa"/>
            <w:vAlign w:val="center"/>
          </w:tcPr>
          <w:p w14:paraId="320D2135">
            <w:pPr>
              <w:widowControl/>
              <w:spacing w:line="280" w:lineRule="exact"/>
              <w:jc w:val="center"/>
              <w:rPr>
                <w:rFonts w:ascii="宋体" w:hAnsi="宋体" w:cs="宋体"/>
                <w:kern w:val="0"/>
                <w:sz w:val="18"/>
                <w:szCs w:val="18"/>
              </w:rPr>
            </w:pPr>
            <w:r>
              <w:rPr>
                <w:rFonts w:hint="eastAsia" w:ascii="宋体" w:hAnsi="宋体" w:cs="宋体"/>
                <w:kern w:val="0"/>
                <w:sz w:val="18"/>
                <w:szCs w:val="18"/>
              </w:rPr>
              <w:t>Y＜500</w:t>
            </w:r>
          </w:p>
        </w:tc>
      </w:tr>
      <w:tr w14:paraId="4FD1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4F04C72">
            <w:pPr>
              <w:widowControl/>
              <w:spacing w:line="28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369" w:type="dxa"/>
            <w:vAlign w:val="center"/>
          </w:tcPr>
          <w:p w14:paraId="31B166B0">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7DBD4D65">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624F0543">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0C89D900">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14:paraId="1F567991">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53827BBA">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14:paraId="0E79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1B8DDA2">
            <w:pPr>
              <w:widowControl/>
              <w:spacing w:line="280" w:lineRule="exact"/>
              <w:jc w:val="left"/>
              <w:rPr>
                <w:rFonts w:ascii="宋体" w:hAnsi="宋体" w:cs="宋体"/>
                <w:kern w:val="0"/>
                <w:sz w:val="18"/>
                <w:szCs w:val="18"/>
              </w:rPr>
            </w:pPr>
          </w:p>
        </w:tc>
        <w:tc>
          <w:tcPr>
            <w:tcW w:w="1369" w:type="dxa"/>
            <w:vAlign w:val="center"/>
          </w:tcPr>
          <w:p w14:paraId="1C1B65DF">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14:paraId="621FE391">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14:paraId="7C6A1D6B">
            <w:pPr>
              <w:widowControl/>
              <w:spacing w:line="280" w:lineRule="exact"/>
              <w:jc w:val="center"/>
              <w:rPr>
                <w:rFonts w:ascii="宋体" w:hAnsi="宋体" w:cs="宋体"/>
                <w:kern w:val="0"/>
                <w:sz w:val="18"/>
                <w:szCs w:val="18"/>
              </w:rPr>
            </w:pPr>
            <w:r>
              <w:rPr>
                <w:rFonts w:hint="eastAsia" w:ascii="宋体" w:hAnsi="宋体" w:cs="宋体"/>
                <w:kern w:val="0"/>
                <w:sz w:val="18"/>
                <w:szCs w:val="18"/>
              </w:rPr>
              <w:t>Z≥120000</w:t>
            </w:r>
          </w:p>
        </w:tc>
        <w:tc>
          <w:tcPr>
            <w:tcW w:w="1701" w:type="dxa"/>
            <w:vAlign w:val="center"/>
          </w:tcPr>
          <w:p w14:paraId="0DF799B8">
            <w:pPr>
              <w:widowControl/>
              <w:spacing w:line="280" w:lineRule="exact"/>
              <w:jc w:val="center"/>
              <w:rPr>
                <w:rFonts w:ascii="宋体" w:hAnsi="宋体" w:cs="宋体"/>
                <w:kern w:val="0"/>
                <w:sz w:val="18"/>
                <w:szCs w:val="18"/>
              </w:rPr>
            </w:pPr>
            <w:r>
              <w:rPr>
                <w:rFonts w:hint="eastAsia" w:ascii="宋体" w:hAnsi="宋体" w:cs="宋体"/>
                <w:kern w:val="0"/>
                <w:sz w:val="18"/>
                <w:szCs w:val="18"/>
              </w:rPr>
              <w:t>8000≤Z＜120000</w:t>
            </w:r>
          </w:p>
        </w:tc>
        <w:tc>
          <w:tcPr>
            <w:tcW w:w="1426" w:type="dxa"/>
            <w:vAlign w:val="center"/>
          </w:tcPr>
          <w:p w14:paraId="6ED0E775">
            <w:pPr>
              <w:widowControl/>
              <w:spacing w:line="280" w:lineRule="exact"/>
              <w:jc w:val="center"/>
              <w:rPr>
                <w:rFonts w:ascii="宋体" w:hAnsi="宋体" w:cs="宋体"/>
                <w:kern w:val="0"/>
                <w:sz w:val="18"/>
                <w:szCs w:val="18"/>
              </w:rPr>
            </w:pPr>
            <w:r>
              <w:rPr>
                <w:rFonts w:hint="eastAsia" w:ascii="宋体" w:hAnsi="宋体" w:cs="宋体"/>
                <w:kern w:val="0"/>
                <w:sz w:val="18"/>
                <w:szCs w:val="18"/>
              </w:rPr>
              <w:t>100≤Z＜8000</w:t>
            </w:r>
          </w:p>
        </w:tc>
        <w:tc>
          <w:tcPr>
            <w:tcW w:w="992" w:type="dxa"/>
            <w:vAlign w:val="center"/>
          </w:tcPr>
          <w:p w14:paraId="5F4C5582">
            <w:pPr>
              <w:widowControl/>
              <w:spacing w:line="280" w:lineRule="exact"/>
              <w:jc w:val="center"/>
              <w:rPr>
                <w:rFonts w:ascii="宋体" w:hAnsi="宋体" w:cs="宋体"/>
                <w:kern w:val="0"/>
                <w:sz w:val="18"/>
                <w:szCs w:val="18"/>
              </w:rPr>
            </w:pPr>
            <w:r>
              <w:rPr>
                <w:rFonts w:hint="eastAsia" w:ascii="宋体" w:hAnsi="宋体" w:cs="宋体"/>
                <w:kern w:val="0"/>
                <w:sz w:val="18"/>
                <w:szCs w:val="18"/>
              </w:rPr>
              <w:t>Z＜100</w:t>
            </w:r>
          </w:p>
        </w:tc>
      </w:tr>
      <w:tr w14:paraId="35AA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5E7A550C">
            <w:pPr>
              <w:widowControl/>
              <w:spacing w:line="28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369" w:type="dxa"/>
            <w:vAlign w:val="center"/>
          </w:tcPr>
          <w:p w14:paraId="161DA46C">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14:paraId="0A398EC4">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14:paraId="5D26AC46">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14:paraId="2FABE6AD">
            <w:pPr>
              <w:widowControl/>
              <w:spacing w:line="28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14:paraId="70BD4E3D">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14:paraId="296F80BC">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bl>
    <w:p w14:paraId="65767199">
      <w:pPr>
        <w:widowControl/>
        <w:spacing w:line="280" w:lineRule="exact"/>
        <w:rPr>
          <w:rFonts w:ascii="宋体" w:hAnsi="宋体" w:cs="宋体"/>
          <w:spacing w:val="8"/>
          <w:kern w:val="0"/>
          <w:sz w:val="24"/>
        </w:rPr>
      </w:pPr>
    </w:p>
    <w:p w14:paraId="0BF0E8A8">
      <w:pPr>
        <w:widowControl/>
        <w:spacing w:line="280" w:lineRule="exact"/>
        <w:rPr>
          <w:rFonts w:ascii="宋体" w:hAnsi="宋体" w:cs="宋体"/>
          <w:spacing w:val="8"/>
          <w:kern w:val="0"/>
          <w:sz w:val="24"/>
        </w:rPr>
      </w:pPr>
    </w:p>
    <w:p w14:paraId="341A21FD">
      <w:pPr>
        <w:widowControl/>
        <w:spacing w:line="280" w:lineRule="exact"/>
        <w:rPr>
          <w:rFonts w:ascii="宋体" w:hAnsi="宋体" w:cs="宋体"/>
          <w:spacing w:val="8"/>
          <w:kern w:val="0"/>
          <w:sz w:val="24"/>
        </w:rPr>
      </w:pPr>
    </w:p>
    <w:p w14:paraId="6996C026">
      <w:pPr>
        <w:widowControl/>
        <w:spacing w:line="280" w:lineRule="exact"/>
        <w:rPr>
          <w:rFonts w:ascii="宋体" w:hAnsi="宋体" w:cs="宋体"/>
          <w:spacing w:val="8"/>
          <w:kern w:val="0"/>
          <w:sz w:val="24"/>
        </w:rPr>
      </w:pPr>
      <w:r>
        <w:rPr>
          <w:rFonts w:hint="eastAsia" w:ascii="宋体" w:hAnsi="宋体" w:cs="宋体"/>
          <w:spacing w:val="8"/>
          <w:kern w:val="0"/>
          <w:sz w:val="24"/>
        </w:rPr>
        <w:t>说明：</w:t>
      </w:r>
    </w:p>
    <w:p w14:paraId="57565875">
      <w:pPr>
        <w:pStyle w:val="12"/>
        <w:adjustRightInd w:val="0"/>
        <w:spacing w:line="280" w:lineRule="exact"/>
        <w:ind w:firstLine="512" w:firstLineChars="200"/>
        <w:contextualSpacing/>
        <w:rPr>
          <w:rFonts w:hAnsi="宋体" w:cs="宋体"/>
          <w:spacing w:val="8"/>
          <w:kern w:val="0"/>
          <w:sz w:val="24"/>
          <w:szCs w:val="24"/>
        </w:rPr>
      </w:pPr>
      <w:r>
        <w:rPr>
          <w:rFonts w:hint="eastAsia" w:hAnsi="宋体" w:cs="宋体"/>
          <w:spacing w:val="8"/>
          <w:kern w:val="0"/>
          <w:sz w:val="24"/>
          <w:szCs w:val="24"/>
        </w:rPr>
        <w:t>1.大型、中型和小型企业须同时满足所列指标的下限，否则下划一档；微型企业只须满足所列指标中的一项即可。</w:t>
      </w:r>
    </w:p>
    <w:p w14:paraId="268C5480">
      <w:pPr>
        <w:pStyle w:val="12"/>
        <w:adjustRightInd w:val="0"/>
        <w:spacing w:line="280" w:lineRule="exact"/>
        <w:ind w:firstLine="512" w:firstLineChars="200"/>
        <w:contextualSpacing/>
        <w:rPr>
          <w:rFonts w:hAnsi="宋体" w:cs="宋体"/>
          <w:spacing w:val="8"/>
          <w:kern w:val="0"/>
          <w:sz w:val="24"/>
          <w:szCs w:val="24"/>
        </w:rPr>
      </w:pPr>
      <w:r>
        <w:rPr>
          <w:rFonts w:hint="eastAsia" w:hAnsi="宋体" w:cs="宋体"/>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0927DBA">
      <w:pPr>
        <w:pStyle w:val="12"/>
        <w:spacing w:line="280" w:lineRule="exact"/>
        <w:ind w:firstLine="512" w:firstLineChars="200"/>
        <w:rPr>
          <w:rFonts w:hAnsi="宋体" w:cs="宋体"/>
          <w:spacing w:val="8"/>
          <w:kern w:val="0"/>
          <w:sz w:val="24"/>
          <w:szCs w:val="24"/>
        </w:rPr>
      </w:pPr>
      <w:r>
        <w:rPr>
          <w:rFonts w:hint="eastAsia" w:hAnsi="宋体" w:cs="宋体"/>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30" w:name="_Toc4774"/>
      <w:bookmarkStart w:id="131" w:name="_Toc8466"/>
    </w:p>
    <w:p w14:paraId="3EEE307F">
      <w:pPr>
        <w:pStyle w:val="7"/>
        <w:rPr>
          <w:rFonts w:ascii="宋体" w:hAnsi="宋体" w:cs="宋体"/>
          <w:spacing w:val="8"/>
          <w:kern w:val="0"/>
          <w:sz w:val="24"/>
        </w:rPr>
      </w:pPr>
    </w:p>
    <w:p w14:paraId="52C74F94">
      <w:pPr>
        <w:rPr>
          <w:rFonts w:ascii="宋体" w:hAnsi="宋体" w:cs="宋体"/>
          <w:spacing w:val="8"/>
          <w:kern w:val="0"/>
          <w:sz w:val="24"/>
        </w:rPr>
      </w:pPr>
    </w:p>
    <w:p w14:paraId="4344B9A1">
      <w:pPr>
        <w:pStyle w:val="2"/>
        <w:rPr>
          <w:rFonts w:ascii="宋体" w:hAnsi="宋体" w:cs="宋体"/>
        </w:rPr>
      </w:pPr>
    </w:p>
    <w:p w14:paraId="3E923FA9">
      <w:pPr>
        <w:pStyle w:val="2"/>
        <w:rPr>
          <w:rFonts w:ascii="宋体" w:hAnsi="宋体" w:cs="宋体"/>
        </w:rPr>
      </w:pPr>
    </w:p>
    <w:p w14:paraId="0BA11EFF">
      <w:pPr>
        <w:pStyle w:val="2"/>
        <w:rPr>
          <w:rFonts w:ascii="宋体" w:hAnsi="宋体" w:cs="宋体"/>
        </w:rPr>
      </w:pPr>
    </w:p>
    <w:p w14:paraId="3F2EE5FE">
      <w:pPr>
        <w:pStyle w:val="2"/>
        <w:rPr>
          <w:rFonts w:ascii="宋体" w:hAnsi="宋体" w:cs="宋体"/>
        </w:rPr>
      </w:pPr>
    </w:p>
    <w:p w14:paraId="053A1473">
      <w:pPr>
        <w:pStyle w:val="2"/>
        <w:rPr>
          <w:rFonts w:ascii="宋体" w:hAnsi="宋体" w:cs="宋体"/>
        </w:rPr>
      </w:pPr>
    </w:p>
    <w:p w14:paraId="202F24B8">
      <w:pPr>
        <w:pStyle w:val="2"/>
        <w:rPr>
          <w:rFonts w:ascii="宋体" w:hAnsi="宋体" w:cs="宋体"/>
        </w:rPr>
      </w:pPr>
    </w:p>
    <w:p w14:paraId="4BA06F60">
      <w:pPr>
        <w:pStyle w:val="2"/>
        <w:rPr>
          <w:rFonts w:ascii="宋体" w:hAnsi="宋体" w:cs="宋体"/>
        </w:rPr>
      </w:pPr>
    </w:p>
    <w:p w14:paraId="64DD891E">
      <w:pPr>
        <w:pStyle w:val="2"/>
        <w:rPr>
          <w:rFonts w:ascii="宋体" w:hAnsi="宋体" w:cs="宋体"/>
        </w:rPr>
      </w:pPr>
    </w:p>
    <w:p w14:paraId="21E23C89">
      <w:pPr>
        <w:pStyle w:val="2"/>
        <w:rPr>
          <w:rFonts w:ascii="宋体" w:hAnsi="宋体" w:cs="宋体"/>
        </w:rPr>
      </w:pPr>
    </w:p>
    <w:p w14:paraId="7F39182D">
      <w:pPr>
        <w:pStyle w:val="2"/>
        <w:rPr>
          <w:rFonts w:ascii="宋体" w:hAnsi="宋体" w:cs="宋体"/>
        </w:rPr>
      </w:pPr>
    </w:p>
    <w:p w14:paraId="4C617055">
      <w:pPr>
        <w:pStyle w:val="2"/>
        <w:rPr>
          <w:rFonts w:ascii="宋体" w:hAnsi="宋体" w:cs="宋体"/>
        </w:rPr>
      </w:pPr>
    </w:p>
    <w:p w14:paraId="511F3BA1">
      <w:pPr>
        <w:pStyle w:val="2"/>
        <w:rPr>
          <w:rFonts w:ascii="宋体" w:hAnsi="宋体" w:cs="宋体"/>
        </w:rPr>
      </w:pPr>
    </w:p>
    <w:p w14:paraId="363F65A8">
      <w:pPr>
        <w:pStyle w:val="2"/>
        <w:rPr>
          <w:rFonts w:ascii="宋体" w:hAnsi="宋体" w:cs="宋体"/>
        </w:rPr>
      </w:pPr>
    </w:p>
    <w:p w14:paraId="392BB386">
      <w:pPr>
        <w:pStyle w:val="2"/>
        <w:rPr>
          <w:rFonts w:ascii="宋体" w:hAnsi="宋体" w:cs="宋体"/>
        </w:rPr>
      </w:pPr>
    </w:p>
    <w:p w14:paraId="5C92FF2F">
      <w:pPr>
        <w:pStyle w:val="2"/>
        <w:rPr>
          <w:rFonts w:ascii="宋体" w:hAnsi="宋体" w:cs="宋体"/>
        </w:rPr>
      </w:pPr>
    </w:p>
    <w:p w14:paraId="0E54904F">
      <w:pPr>
        <w:pStyle w:val="2"/>
        <w:rPr>
          <w:rFonts w:ascii="宋体" w:hAnsi="宋体" w:cs="宋体"/>
        </w:rPr>
      </w:pPr>
    </w:p>
    <w:p w14:paraId="5D30DF32">
      <w:pPr>
        <w:pStyle w:val="2"/>
        <w:rPr>
          <w:rFonts w:ascii="宋体" w:hAnsi="宋体" w:cs="宋体"/>
        </w:rPr>
      </w:pPr>
    </w:p>
    <w:p w14:paraId="36EF595B">
      <w:pPr>
        <w:pStyle w:val="2"/>
        <w:rPr>
          <w:rFonts w:ascii="宋体" w:hAnsi="宋体" w:cs="宋体"/>
        </w:rPr>
      </w:pPr>
    </w:p>
    <w:p w14:paraId="1743C9E2">
      <w:pPr>
        <w:pStyle w:val="2"/>
        <w:rPr>
          <w:rFonts w:ascii="宋体" w:hAnsi="宋体" w:cs="宋体"/>
        </w:rPr>
      </w:pPr>
    </w:p>
    <w:p w14:paraId="1EA4A411">
      <w:pPr>
        <w:pStyle w:val="2"/>
        <w:rPr>
          <w:rFonts w:ascii="宋体" w:hAnsi="宋体" w:cs="宋体"/>
        </w:rPr>
      </w:pPr>
    </w:p>
    <w:p w14:paraId="2D36E629">
      <w:pPr>
        <w:pStyle w:val="2"/>
        <w:rPr>
          <w:rFonts w:ascii="宋体" w:hAnsi="宋体" w:cs="宋体"/>
        </w:rPr>
      </w:pPr>
    </w:p>
    <w:p w14:paraId="2E287F66">
      <w:pPr>
        <w:pStyle w:val="2"/>
        <w:rPr>
          <w:rFonts w:ascii="宋体" w:hAnsi="宋体" w:cs="宋体"/>
        </w:rPr>
      </w:pPr>
    </w:p>
    <w:p w14:paraId="62AC30FD">
      <w:pPr>
        <w:pStyle w:val="2"/>
        <w:rPr>
          <w:rFonts w:ascii="宋体" w:hAnsi="宋体" w:cs="宋体"/>
        </w:rPr>
      </w:pPr>
    </w:p>
    <w:p w14:paraId="02E037F3">
      <w:pPr>
        <w:pStyle w:val="2"/>
        <w:rPr>
          <w:rFonts w:ascii="宋体" w:hAnsi="宋体" w:cs="宋体"/>
        </w:rPr>
      </w:pPr>
    </w:p>
    <w:p w14:paraId="6ECF172D">
      <w:pPr>
        <w:rPr>
          <w:rFonts w:ascii="宋体" w:hAnsi="宋体" w:cs="宋体"/>
        </w:rPr>
      </w:pPr>
    </w:p>
    <w:p w14:paraId="19B91882">
      <w:pPr>
        <w:pStyle w:val="3"/>
        <w:tabs>
          <w:tab w:val="left" w:pos="0"/>
        </w:tabs>
        <w:autoSpaceDE w:val="0"/>
        <w:autoSpaceDN w:val="0"/>
        <w:adjustRightInd w:val="0"/>
        <w:spacing w:before="0" w:after="0" w:line="360" w:lineRule="auto"/>
        <w:jc w:val="center"/>
        <w:rPr>
          <w:rFonts w:ascii="宋体" w:hAnsi="宋体" w:cs="宋体"/>
          <w:sz w:val="32"/>
          <w:szCs w:val="32"/>
        </w:rPr>
      </w:pPr>
      <w:bookmarkStart w:id="132" w:name="_Toc102642523"/>
      <w:r>
        <w:rPr>
          <w:rFonts w:hint="eastAsia" w:ascii="宋体" w:hAnsi="宋体" w:cs="宋体"/>
          <w:sz w:val="32"/>
          <w:szCs w:val="32"/>
        </w:rPr>
        <w:t>第五章 采购合同（合同主要条款及格式）</w:t>
      </w:r>
      <w:bookmarkEnd w:id="130"/>
      <w:bookmarkEnd w:id="131"/>
      <w:bookmarkEnd w:id="132"/>
    </w:p>
    <w:p w14:paraId="6CEDE0B5">
      <w:pPr>
        <w:spacing w:line="420" w:lineRule="exact"/>
        <w:rPr>
          <w:rFonts w:hint="eastAsia" w:ascii="宋体" w:hAnsi="宋体" w:eastAsia="宋体" w:cs="宋体"/>
          <w:szCs w:val="21"/>
          <w:lang w:eastAsia="zh-CN"/>
        </w:rPr>
      </w:pPr>
      <w:r>
        <w:rPr>
          <w:rFonts w:hint="eastAsia" w:ascii="宋体" w:hAnsi="宋体" w:cs="宋体"/>
          <w:szCs w:val="21"/>
        </w:rPr>
        <w:t>合同编号：</w:t>
      </w:r>
      <w:r>
        <w:rPr>
          <w:rFonts w:hint="eastAsia" w:ascii="宋体" w:hAnsi="宋体" w:cs="宋体"/>
          <w:szCs w:val="21"/>
          <w:lang w:eastAsia="zh-CN"/>
        </w:rPr>
        <w:t>GLZC2024-C3-120108-GXAZ</w:t>
      </w:r>
    </w:p>
    <w:p w14:paraId="7CD26368">
      <w:pPr>
        <w:spacing w:line="420" w:lineRule="exact"/>
        <w:rPr>
          <w:rFonts w:ascii="宋体" w:hAnsi="宋体" w:cs="宋体"/>
          <w:szCs w:val="21"/>
        </w:rPr>
      </w:pPr>
      <w:r>
        <w:rPr>
          <w:rFonts w:hint="eastAsia" w:ascii="宋体" w:hAnsi="宋体" w:cs="宋体"/>
          <w:szCs w:val="21"/>
        </w:rPr>
        <w:t>项目名称：</w:t>
      </w:r>
      <w:r>
        <w:rPr>
          <w:rFonts w:hint="eastAsia" w:ascii="宋体" w:hAnsi="宋体" w:cs="宋体"/>
          <w:szCs w:val="21"/>
          <w:lang w:eastAsia="zh-CN"/>
        </w:rPr>
        <w:t>国道321线交通监控系统服务项目</w:t>
      </w:r>
      <w:r>
        <w:rPr>
          <w:rFonts w:hint="eastAsia" w:ascii="宋体" w:hAnsi="宋体" w:cs="宋体"/>
          <w:szCs w:val="21"/>
        </w:rPr>
        <w:t xml:space="preserve">  </w:t>
      </w:r>
    </w:p>
    <w:p w14:paraId="2E3C7D1A">
      <w:pPr>
        <w:spacing w:line="360" w:lineRule="auto"/>
        <w:rPr>
          <w:rFonts w:ascii="宋体" w:hAnsi="宋体" w:cs="宋体"/>
        </w:rPr>
      </w:pPr>
    </w:p>
    <w:p w14:paraId="61980CB6">
      <w:pPr>
        <w:spacing w:line="360" w:lineRule="auto"/>
        <w:rPr>
          <w:rFonts w:ascii="宋体" w:hAnsi="宋体" w:cs="宋体"/>
        </w:rPr>
      </w:pPr>
      <w:r>
        <w:rPr>
          <w:rFonts w:hint="eastAsia" w:ascii="宋体" w:hAnsi="宋体" w:cs="宋体"/>
        </w:rPr>
        <w:t>甲方：</w:t>
      </w:r>
      <w:r>
        <w:rPr>
          <w:rFonts w:hint="eastAsia" w:ascii="宋体" w:hAnsi="宋体" w:cs="宋体"/>
          <w:u w:val="single"/>
        </w:rPr>
        <w:t xml:space="preserve">    业主单位名称         </w:t>
      </w:r>
      <w:r>
        <w:rPr>
          <w:rFonts w:hint="eastAsia" w:ascii="宋体" w:hAnsi="宋体" w:cs="宋体"/>
        </w:rPr>
        <w:t>（采购人）</w:t>
      </w:r>
    </w:p>
    <w:p w14:paraId="212C79C9">
      <w:pPr>
        <w:spacing w:line="360" w:lineRule="auto"/>
        <w:rPr>
          <w:rFonts w:ascii="宋体" w:hAnsi="宋体" w:cs="宋体"/>
        </w:rPr>
      </w:pPr>
      <w:r>
        <w:rPr>
          <w:rFonts w:hint="eastAsia" w:ascii="宋体" w:hAnsi="宋体" w:cs="宋体"/>
        </w:rPr>
        <w:t>乙方：</w:t>
      </w:r>
      <w:r>
        <w:rPr>
          <w:rFonts w:hint="eastAsia" w:ascii="宋体" w:hAnsi="宋体" w:cs="宋体"/>
          <w:u w:val="single"/>
        </w:rPr>
        <w:t xml:space="preserve">                                                      </w:t>
      </w:r>
      <w:r>
        <w:rPr>
          <w:rFonts w:hint="eastAsia" w:ascii="宋体" w:hAnsi="宋体" w:cs="宋体"/>
        </w:rPr>
        <w:t>（成交供应商）</w:t>
      </w:r>
    </w:p>
    <w:p w14:paraId="4248DB6D">
      <w:pPr>
        <w:widowControl/>
        <w:ind w:firstLine="420" w:firstLineChars="200"/>
        <w:jc w:val="left"/>
        <w:rPr>
          <w:rFonts w:ascii="宋体" w:hAnsi="宋体" w:cs="宋体"/>
        </w:rPr>
      </w:pPr>
      <w:r>
        <w:rPr>
          <w:rFonts w:hint="eastAsia" w:ascii="宋体" w:hAnsi="宋体" w:cs="宋体"/>
        </w:rPr>
        <w:t>根据《中华人民共和国政府采购法》《中华人民共和国政府采购法实施条例》《中华人民共和国民法典》等法律、法规规定，按照竞争性磋商文件（以下简称磋商文件）、竞争性磋商响应文件（以下简称响应文件）规定条款和成交供应商的承诺、甲乙双方签订本合同。</w:t>
      </w:r>
    </w:p>
    <w:p w14:paraId="0016C269">
      <w:pPr>
        <w:pStyle w:val="4"/>
        <w:ind w:left="567" w:leftChars="200" w:hanging="147" w:hangingChars="70"/>
        <w:rPr>
          <w:rFonts w:ascii="宋体" w:hAnsi="宋体" w:cs="宋体"/>
          <w:b/>
          <w:bCs w:val="0"/>
          <w:color w:val="auto"/>
          <w:sz w:val="21"/>
          <w:szCs w:val="21"/>
        </w:rPr>
      </w:pPr>
      <w:bookmarkStart w:id="133" w:name="_Toc20217"/>
      <w:bookmarkStart w:id="134" w:name="_Toc30275"/>
      <w:bookmarkStart w:id="135" w:name="_Toc102642524"/>
      <w:r>
        <w:rPr>
          <w:rFonts w:hint="eastAsia" w:ascii="宋体" w:hAnsi="宋体" w:cs="宋体"/>
          <w:b/>
          <w:bCs w:val="0"/>
          <w:color w:val="auto"/>
          <w:sz w:val="21"/>
          <w:szCs w:val="21"/>
        </w:rPr>
        <w:t>第一条 合同文件</w:t>
      </w:r>
      <w:bookmarkEnd w:id="133"/>
      <w:bookmarkEnd w:id="134"/>
      <w:bookmarkEnd w:id="135"/>
    </w:p>
    <w:p w14:paraId="042CF982">
      <w:pPr>
        <w:spacing w:line="360" w:lineRule="auto"/>
        <w:ind w:firstLine="420" w:firstLineChars="200"/>
        <w:rPr>
          <w:rFonts w:ascii="宋体" w:hAnsi="宋体" w:cs="宋体"/>
        </w:rPr>
      </w:pPr>
      <w:r>
        <w:rPr>
          <w:rFonts w:hint="eastAsia" w:ascii="宋体" w:hAnsi="宋体" w:cs="宋体"/>
        </w:rPr>
        <w:t>1、本合同所附下列文件是构成本合同不可分割的部分：</w:t>
      </w:r>
    </w:p>
    <w:p w14:paraId="4C6CAF04">
      <w:pPr>
        <w:spacing w:line="360" w:lineRule="auto"/>
        <w:ind w:firstLine="315" w:firstLineChars="150"/>
        <w:rPr>
          <w:rFonts w:ascii="宋体" w:hAnsi="宋体" w:cs="宋体"/>
        </w:rPr>
      </w:pPr>
      <w:r>
        <w:rPr>
          <w:rFonts w:hint="eastAsia" w:ascii="宋体" w:hAnsi="宋体" w:cs="宋体"/>
        </w:rPr>
        <w:t>（1）成交供应商提交的</w:t>
      </w:r>
      <w:r>
        <w:rPr>
          <w:rFonts w:hint="eastAsia" w:ascii="宋体" w:hAnsi="宋体" w:cs="宋体"/>
          <w:szCs w:val="21"/>
        </w:rPr>
        <w:t>磋商</w:t>
      </w:r>
      <w:r>
        <w:rPr>
          <w:rFonts w:hint="eastAsia" w:ascii="宋体" w:hAnsi="宋体" w:cs="宋体"/>
        </w:rPr>
        <w:t>报价表、</w:t>
      </w:r>
      <w:r>
        <w:rPr>
          <w:rFonts w:hint="eastAsia" w:ascii="宋体" w:hAnsi="宋体" w:cs="宋体"/>
          <w:szCs w:val="21"/>
        </w:rPr>
        <w:t>针对本项目的服务承诺书、服务方案</w:t>
      </w:r>
      <w:r>
        <w:rPr>
          <w:rFonts w:hint="eastAsia" w:ascii="宋体" w:hAnsi="宋体" w:cs="宋体"/>
        </w:rPr>
        <w:t>；</w:t>
      </w:r>
    </w:p>
    <w:p w14:paraId="00831C32">
      <w:pPr>
        <w:spacing w:line="360" w:lineRule="auto"/>
        <w:ind w:firstLine="315" w:firstLineChars="150"/>
        <w:rPr>
          <w:rFonts w:ascii="宋体" w:hAnsi="宋体" w:cs="宋体"/>
        </w:rPr>
      </w:pPr>
      <w:r>
        <w:rPr>
          <w:rFonts w:hint="eastAsia" w:ascii="宋体" w:hAnsi="宋体" w:cs="宋体"/>
        </w:rPr>
        <w:t>（2）成交通知书；</w:t>
      </w:r>
    </w:p>
    <w:p w14:paraId="40DD4F1B">
      <w:pPr>
        <w:spacing w:line="360" w:lineRule="auto"/>
        <w:ind w:firstLine="315" w:firstLineChars="150"/>
        <w:rPr>
          <w:rFonts w:ascii="宋体" w:hAnsi="宋体" w:cs="宋体"/>
        </w:rPr>
      </w:pPr>
      <w:r>
        <w:rPr>
          <w:rFonts w:hint="eastAsia" w:ascii="宋体" w:hAnsi="宋体" w:cs="宋体"/>
        </w:rPr>
        <w:t>（3）本合同协议书及有关补充资料；</w:t>
      </w:r>
    </w:p>
    <w:p w14:paraId="05308758">
      <w:pPr>
        <w:spacing w:line="360" w:lineRule="auto"/>
        <w:ind w:firstLine="315" w:firstLineChars="150"/>
        <w:rPr>
          <w:rFonts w:ascii="宋体" w:hAnsi="宋体" w:cs="宋体"/>
        </w:rPr>
      </w:pPr>
      <w:r>
        <w:rPr>
          <w:rFonts w:hint="eastAsia" w:ascii="宋体" w:hAnsi="宋体" w:cs="宋体"/>
        </w:rPr>
        <w:t>（4）磋商文件的条款要求。</w:t>
      </w:r>
    </w:p>
    <w:p w14:paraId="31C4F351">
      <w:pPr>
        <w:tabs>
          <w:tab w:val="left" w:pos="1305"/>
        </w:tabs>
        <w:spacing w:line="360" w:lineRule="auto"/>
        <w:ind w:firstLine="420" w:firstLineChars="200"/>
        <w:rPr>
          <w:rFonts w:ascii="宋体" w:hAnsi="宋体" w:cs="宋体"/>
          <w:szCs w:val="21"/>
        </w:rPr>
      </w:pPr>
      <w:r>
        <w:rPr>
          <w:rFonts w:hint="eastAsia" w:ascii="宋体" w:hAnsi="宋体" w:cs="宋体"/>
          <w:szCs w:val="21"/>
        </w:rPr>
        <w:t>2、合同价金额包括：服务过程中相关的一切费用。</w:t>
      </w:r>
    </w:p>
    <w:p w14:paraId="6BB734AD">
      <w:pPr>
        <w:pStyle w:val="4"/>
        <w:ind w:left="567" w:leftChars="200" w:hanging="147" w:hangingChars="70"/>
        <w:rPr>
          <w:rFonts w:ascii="宋体" w:hAnsi="宋体" w:cs="宋体"/>
          <w:b/>
          <w:bCs w:val="0"/>
          <w:color w:val="auto"/>
          <w:sz w:val="21"/>
          <w:szCs w:val="21"/>
        </w:rPr>
      </w:pPr>
      <w:bookmarkStart w:id="136" w:name="_Toc102642525"/>
      <w:bookmarkStart w:id="137" w:name="_Toc6972"/>
      <w:bookmarkStart w:id="138" w:name="_Toc28710"/>
      <w:r>
        <w:rPr>
          <w:rFonts w:hint="eastAsia" w:ascii="宋体" w:hAnsi="宋体" w:cs="宋体"/>
          <w:b/>
          <w:bCs w:val="0"/>
          <w:color w:val="auto"/>
          <w:sz w:val="21"/>
          <w:szCs w:val="21"/>
        </w:rPr>
        <w:t>第二条　合同金额</w:t>
      </w:r>
      <w:bookmarkEnd w:id="136"/>
      <w:bookmarkEnd w:id="137"/>
      <w:bookmarkEnd w:id="138"/>
    </w:p>
    <w:p w14:paraId="6E6CD146">
      <w:pPr>
        <w:spacing w:line="360" w:lineRule="auto"/>
        <w:ind w:firstLine="411" w:firstLineChars="196"/>
        <w:rPr>
          <w:rFonts w:ascii="宋体" w:hAnsi="宋体" w:cs="宋体"/>
          <w:szCs w:val="21"/>
        </w:rPr>
      </w:pPr>
      <w:r>
        <w:rPr>
          <w:rFonts w:hint="eastAsia" w:ascii="宋体" w:hAnsi="宋体" w:cs="宋体"/>
          <w:szCs w:val="21"/>
        </w:rPr>
        <w:t>根据《成交通知书》的成交内容，合同的总金额为：（大写）</w:t>
      </w:r>
      <w:r>
        <w:rPr>
          <w:rFonts w:hint="eastAsia" w:ascii="宋体" w:hAnsi="宋体" w:cs="宋体"/>
          <w:szCs w:val="21"/>
          <w:u w:val="single"/>
        </w:rPr>
        <w:t xml:space="preserve">                 </w:t>
      </w:r>
      <w:r>
        <w:rPr>
          <w:rFonts w:hint="eastAsia" w:ascii="宋体" w:hAnsi="宋体" w:cs="宋体"/>
          <w:szCs w:val="21"/>
        </w:rPr>
        <w:t>人民币（¥</w:t>
      </w:r>
      <w:r>
        <w:rPr>
          <w:rFonts w:hint="eastAsia" w:ascii="宋体" w:hAnsi="宋体" w:cs="宋体"/>
          <w:szCs w:val="21"/>
          <w:u w:val="single"/>
        </w:rPr>
        <w:t xml:space="preserve">                 </w:t>
      </w:r>
      <w:r>
        <w:rPr>
          <w:rFonts w:hint="eastAsia" w:ascii="宋体" w:hAnsi="宋体" w:cs="宋体"/>
          <w:szCs w:val="21"/>
        </w:rPr>
        <w:t>元）</w:t>
      </w:r>
    </w:p>
    <w:p w14:paraId="5FA55128">
      <w:pPr>
        <w:pStyle w:val="4"/>
        <w:ind w:left="567" w:leftChars="200" w:hanging="147" w:hangingChars="70"/>
        <w:rPr>
          <w:rFonts w:ascii="宋体" w:hAnsi="宋体" w:cs="宋体"/>
          <w:b/>
          <w:bCs w:val="0"/>
          <w:color w:val="auto"/>
          <w:sz w:val="21"/>
          <w:szCs w:val="21"/>
        </w:rPr>
      </w:pPr>
      <w:bookmarkStart w:id="139" w:name="_Toc102642526"/>
      <w:bookmarkStart w:id="140" w:name="_Toc9581"/>
      <w:bookmarkStart w:id="141" w:name="_Toc16138"/>
      <w:r>
        <w:rPr>
          <w:rFonts w:hint="eastAsia" w:ascii="宋体" w:hAnsi="宋体" w:cs="宋体"/>
          <w:b/>
          <w:bCs w:val="0"/>
          <w:color w:val="auto"/>
          <w:sz w:val="21"/>
          <w:szCs w:val="21"/>
        </w:rPr>
        <w:t>第三条  服务保证</w:t>
      </w:r>
      <w:bookmarkEnd w:id="139"/>
      <w:bookmarkEnd w:id="140"/>
      <w:bookmarkEnd w:id="141"/>
    </w:p>
    <w:p w14:paraId="64274691">
      <w:pPr>
        <w:snapToGrid w:val="0"/>
        <w:spacing w:line="400" w:lineRule="exact"/>
        <w:ind w:firstLine="420" w:firstLineChars="200"/>
        <w:rPr>
          <w:rFonts w:ascii="宋体" w:hAnsi="宋体" w:cs="宋体"/>
          <w:szCs w:val="21"/>
        </w:rPr>
      </w:pPr>
      <w:r>
        <w:rPr>
          <w:rFonts w:hint="eastAsia" w:ascii="宋体" w:hAnsi="宋体" w:cs="宋体"/>
          <w:szCs w:val="21"/>
        </w:rPr>
        <w:t>成交供应商应按磋商文件、响应文件和承诺规定的服务内容向采购人提供相应服务。</w:t>
      </w:r>
    </w:p>
    <w:p w14:paraId="51CB1D1D">
      <w:pPr>
        <w:pStyle w:val="4"/>
        <w:ind w:left="567" w:leftChars="200" w:hanging="147" w:hangingChars="70"/>
        <w:rPr>
          <w:rFonts w:ascii="宋体" w:hAnsi="宋体" w:cs="宋体"/>
          <w:b/>
          <w:bCs w:val="0"/>
          <w:color w:val="auto"/>
          <w:sz w:val="21"/>
          <w:szCs w:val="21"/>
        </w:rPr>
      </w:pPr>
      <w:bookmarkStart w:id="142" w:name="_Toc8669"/>
      <w:bookmarkStart w:id="143" w:name="_Toc25056"/>
      <w:bookmarkStart w:id="144" w:name="_Toc102642527"/>
      <w:r>
        <w:rPr>
          <w:rFonts w:hint="eastAsia" w:ascii="宋体" w:hAnsi="宋体" w:cs="宋体"/>
          <w:b/>
          <w:bCs w:val="0"/>
          <w:color w:val="auto"/>
          <w:sz w:val="21"/>
          <w:szCs w:val="21"/>
        </w:rPr>
        <w:t>第四条  服务期限</w:t>
      </w:r>
      <w:bookmarkEnd w:id="142"/>
      <w:bookmarkEnd w:id="143"/>
      <w:bookmarkEnd w:id="144"/>
    </w:p>
    <w:p w14:paraId="7828C5B6">
      <w:pPr>
        <w:spacing w:line="360" w:lineRule="auto"/>
        <w:ind w:firstLine="411" w:firstLineChars="196"/>
        <w:rPr>
          <w:rFonts w:ascii="宋体" w:hAnsi="宋体" w:cs="宋体"/>
          <w:szCs w:val="21"/>
          <w:u w:val="single"/>
        </w:rPr>
      </w:pPr>
      <w:bookmarkStart w:id="145" w:name="_Toc15179"/>
      <w:bookmarkStart w:id="146" w:name="_Toc25521"/>
      <w:r>
        <w:rPr>
          <w:rFonts w:hint="eastAsia" w:ascii="宋体" w:hAnsi="宋体" w:cs="宋体"/>
          <w:szCs w:val="21"/>
        </w:rPr>
        <w:t>服务期限: 自合同签订之日起至服务期满。</w:t>
      </w:r>
    </w:p>
    <w:p w14:paraId="4F35D1B3">
      <w:pPr>
        <w:pStyle w:val="4"/>
        <w:ind w:left="567" w:leftChars="200" w:hanging="147" w:hangingChars="70"/>
        <w:rPr>
          <w:rFonts w:ascii="宋体" w:hAnsi="宋体" w:cs="宋体"/>
          <w:b/>
          <w:bCs w:val="0"/>
          <w:color w:val="auto"/>
          <w:sz w:val="21"/>
          <w:szCs w:val="21"/>
        </w:rPr>
      </w:pPr>
      <w:bookmarkStart w:id="147" w:name="_Toc102642528"/>
      <w:r>
        <w:rPr>
          <w:rFonts w:hint="eastAsia" w:ascii="宋体" w:hAnsi="宋体" w:cs="宋体"/>
          <w:b/>
          <w:bCs w:val="0"/>
          <w:color w:val="auto"/>
          <w:sz w:val="21"/>
          <w:szCs w:val="21"/>
        </w:rPr>
        <w:t>第五条  交付</w:t>
      </w:r>
      <w:bookmarkEnd w:id="145"/>
      <w:bookmarkEnd w:id="146"/>
      <w:bookmarkEnd w:id="147"/>
    </w:p>
    <w:p w14:paraId="5EBAA029">
      <w:pPr>
        <w:spacing w:line="360" w:lineRule="auto"/>
        <w:ind w:firstLine="420" w:firstLineChars="200"/>
        <w:rPr>
          <w:rFonts w:ascii="宋体" w:hAnsi="宋体" w:cs="宋体"/>
          <w:szCs w:val="21"/>
          <w:u w:val="single"/>
        </w:rPr>
      </w:pPr>
      <w:bookmarkStart w:id="148" w:name="_Toc22519"/>
      <w:bookmarkStart w:id="149" w:name="_Toc8253"/>
      <w:r>
        <w:rPr>
          <w:rFonts w:hint="eastAsia" w:ascii="宋体" w:hAnsi="宋体" w:cs="宋体"/>
          <w:szCs w:val="21"/>
        </w:rPr>
        <w:t>1、服务时间 ：</w:t>
      </w:r>
      <w:r>
        <w:rPr>
          <w:rFonts w:ascii="宋体" w:hAnsi="宋体" w:cs="宋体"/>
          <w:szCs w:val="21"/>
          <w:u w:val="single"/>
        </w:rPr>
        <w:t xml:space="preserve">                  </w:t>
      </w:r>
      <w:r>
        <w:rPr>
          <w:rFonts w:hint="eastAsia" w:ascii="宋体" w:hAnsi="宋体" w:cs="宋体"/>
          <w:szCs w:val="21"/>
        </w:rPr>
        <w:t>。</w:t>
      </w:r>
    </w:p>
    <w:p w14:paraId="389F2075">
      <w:pPr>
        <w:spacing w:line="360" w:lineRule="auto"/>
        <w:ind w:firstLine="735" w:firstLineChars="350"/>
        <w:rPr>
          <w:rFonts w:ascii="宋体" w:hAnsi="宋体" w:cs="宋体"/>
          <w:szCs w:val="21"/>
        </w:rPr>
      </w:pPr>
      <w:r>
        <w:rPr>
          <w:rFonts w:hint="eastAsia" w:ascii="宋体" w:hAnsi="宋体" w:cs="宋体"/>
          <w:szCs w:val="21"/>
        </w:rPr>
        <w:t>地点：</w:t>
      </w:r>
      <w:r>
        <w:rPr>
          <w:rFonts w:hint="eastAsia" w:ascii="宋体" w:hAnsi="宋体" w:cs="宋体"/>
          <w:szCs w:val="21"/>
          <w:u w:val="single"/>
        </w:rPr>
        <w:t xml:space="preserve">   采购人指定地点 </w:t>
      </w:r>
      <w:r>
        <w:rPr>
          <w:rFonts w:hint="eastAsia" w:ascii="宋体" w:hAnsi="宋体" w:cs="宋体"/>
          <w:szCs w:val="21"/>
        </w:rPr>
        <w:t>。</w:t>
      </w:r>
    </w:p>
    <w:p w14:paraId="4BAD00FE">
      <w:pPr>
        <w:spacing w:line="360" w:lineRule="auto"/>
        <w:ind w:firstLine="420" w:firstLineChars="200"/>
        <w:rPr>
          <w:rFonts w:ascii="宋体" w:hAnsi="宋体" w:cs="宋体"/>
          <w:szCs w:val="21"/>
        </w:rPr>
      </w:pPr>
      <w:r>
        <w:rPr>
          <w:rFonts w:hint="eastAsia" w:ascii="宋体" w:hAnsi="宋体" w:cs="宋体"/>
          <w:szCs w:val="21"/>
        </w:rPr>
        <w:t>2、成交供应商提供不符合磋商文件、响应文件和本合同规定的服务，采购人有权拒绝接受。</w:t>
      </w:r>
    </w:p>
    <w:p w14:paraId="470BFDF8">
      <w:pPr>
        <w:pStyle w:val="4"/>
        <w:ind w:left="567" w:leftChars="200" w:hanging="147" w:hangingChars="70"/>
        <w:rPr>
          <w:rFonts w:ascii="宋体" w:hAnsi="宋体" w:cs="宋体"/>
          <w:b/>
          <w:bCs w:val="0"/>
          <w:color w:val="auto"/>
          <w:sz w:val="21"/>
          <w:szCs w:val="21"/>
        </w:rPr>
      </w:pPr>
      <w:bookmarkStart w:id="150" w:name="_Toc102642529"/>
      <w:r>
        <w:rPr>
          <w:rFonts w:hint="eastAsia" w:ascii="宋体" w:hAnsi="宋体" w:cs="宋体"/>
          <w:b/>
          <w:bCs w:val="0"/>
          <w:color w:val="auto"/>
          <w:sz w:val="21"/>
          <w:szCs w:val="21"/>
        </w:rPr>
        <w:t>第六条  税费</w:t>
      </w:r>
      <w:bookmarkEnd w:id="148"/>
      <w:bookmarkEnd w:id="149"/>
      <w:bookmarkEnd w:id="150"/>
    </w:p>
    <w:p w14:paraId="321AE9F0">
      <w:pPr>
        <w:spacing w:line="360" w:lineRule="auto"/>
        <w:ind w:firstLine="411" w:firstLineChars="196"/>
        <w:rPr>
          <w:rFonts w:ascii="宋体" w:hAnsi="宋体" w:cs="宋体"/>
          <w:szCs w:val="21"/>
        </w:rPr>
      </w:pPr>
      <w:r>
        <w:rPr>
          <w:rFonts w:hint="eastAsia" w:ascii="宋体" w:hAnsi="宋体" w:cs="宋体"/>
          <w:szCs w:val="21"/>
        </w:rPr>
        <w:t>本合同执行中相关的一切税费均由成交供应商负担。</w:t>
      </w:r>
    </w:p>
    <w:p w14:paraId="4D8D63AB">
      <w:pPr>
        <w:pStyle w:val="4"/>
        <w:ind w:left="567" w:leftChars="200" w:hanging="147" w:hangingChars="70"/>
        <w:rPr>
          <w:rFonts w:ascii="宋体" w:hAnsi="宋体" w:cs="宋体"/>
          <w:b/>
          <w:bCs w:val="0"/>
          <w:color w:val="auto"/>
          <w:sz w:val="21"/>
          <w:szCs w:val="21"/>
        </w:rPr>
      </w:pPr>
      <w:bookmarkStart w:id="151" w:name="_Toc11829"/>
      <w:bookmarkStart w:id="152" w:name="_Toc31516"/>
      <w:bookmarkStart w:id="153" w:name="_Toc102642530"/>
      <w:r>
        <w:rPr>
          <w:rFonts w:hint="eastAsia" w:ascii="宋体" w:hAnsi="宋体" w:cs="宋体"/>
          <w:b/>
          <w:bCs w:val="0"/>
          <w:color w:val="auto"/>
          <w:sz w:val="21"/>
          <w:szCs w:val="21"/>
        </w:rPr>
        <w:t>第七条  付款方式</w:t>
      </w:r>
      <w:bookmarkEnd w:id="151"/>
      <w:bookmarkEnd w:id="152"/>
      <w:bookmarkEnd w:id="153"/>
    </w:p>
    <w:p w14:paraId="44357BE6">
      <w:pPr>
        <w:pStyle w:val="9"/>
        <w:ind w:firstLine="525" w:firstLineChars="250"/>
      </w:pPr>
      <w:bookmarkStart w:id="154" w:name="_Toc2652"/>
      <w:bookmarkStart w:id="155" w:name="_Toc7272"/>
      <w:r>
        <w:rPr>
          <w:rFonts w:hint="eastAsia"/>
        </w:rPr>
        <w:t>项目验收合格正常使用后分三年支付，第1年支付合同金额的三分之一，第2年支付合同金额的三分之一，第3年支付合同金额的三分之一</w:t>
      </w:r>
      <w:r>
        <w:rPr>
          <w:rFonts w:hint="eastAsia" w:ascii="宋体" w:hAnsi="宋体"/>
          <w:color w:val="000000"/>
          <w:szCs w:val="21"/>
          <w:lang w:val="zh-CN"/>
        </w:rPr>
        <w:t>。</w:t>
      </w:r>
    </w:p>
    <w:p w14:paraId="52DF0C28">
      <w:pPr>
        <w:widowControl/>
        <w:spacing w:line="400" w:lineRule="exact"/>
        <w:ind w:firstLine="422" w:firstLineChars="201"/>
        <w:jc w:val="left"/>
        <w:rPr>
          <w:rFonts w:ascii="宋体" w:hAnsi="宋体" w:cs="宋体"/>
          <w:color w:val="000000"/>
          <w:kern w:val="0"/>
          <w:szCs w:val="21"/>
        </w:rPr>
      </w:pPr>
      <w:r>
        <w:rPr>
          <w:rFonts w:hint="eastAsia" w:ascii="宋体" w:hAnsi="宋体" w:cs="宋体"/>
          <w:b/>
          <w:szCs w:val="21"/>
        </w:rPr>
        <w:t xml:space="preserve">第八条 </w:t>
      </w:r>
      <w:r>
        <w:rPr>
          <w:rFonts w:hint="eastAsia" w:ascii="宋体" w:hAnsi="宋体" w:cs="宋体"/>
          <w:color w:val="000000"/>
          <w:kern w:val="0"/>
          <w:szCs w:val="21"/>
        </w:rPr>
        <w:t xml:space="preserve"> </w:t>
      </w:r>
      <w:r>
        <w:rPr>
          <w:rFonts w:hint="eastAsia" w:ascii="宋体" w:hAnsi="宋体" w:cs="宋体"/>
          <w:b/>
          <w:szCs w:val="21"/>
        </w:rPr>
        <w:t>履约保证金</w:t>
      </w:r>
    </w:p>
    <w:p w14:paraId="51E2400F">
      <w:pPr>
        <w:pStyle w:val="4"/>
        <w:ind w:leftChars="200" w:hanging="147" w:hangingChars="70"/>
        <w:rPr>
          <w:rFonts w:ascii="宋体" w:hAnsi="宋体"/>
          <w:bCs w:val="0"/>
          <w:color w:val="auto"/>
          <w:sz w:val="21"/>
          <w:szCs w:val="21"/>
          <w:lang w:val="en-US"/>
        </w:rPr>
      </w:pPr>
      <w:bookmarkStart w:id="156" w:name="_Toc102642531"/>
      <w:r>
        <w:rPr>
          <w:rFonts w:hint="eastAsia" w:ascii="宋体" w:hAnsi="宋体"/>
          <w:bCs w:val="0"/>
          <w:color w:val="auto"/>
          <w:sz w:val="21"/>
          <w:szCs w:val="21"/>
          <w:lang w:val="en-US"/>
        </w:rPr>
        <w:t>本项目无需缴纳履约保证金。</w:t>
      </w:r>
      <w:bookmarkEnd w:id="156"/>
    </w:p>
    <w:p w14:paraId="6FC05E02">
      <w:pPr>
        <w:pStyle w:val="4"/>
        <w:ind w:left="567" w:leftChars="200" w:hanging="147" w:hangingChars="70"/>
        <w:rPr>
          <w:rFonts w:ascii="宋体" w:hAnsi="宋体" w:cs="宋体"/>
          <w:b/>
          <w:bCs w:val="0"/>
          <w:color w:val="auto"/>
          <w:sz w:val="21"/>
          <w:szCs w:val="21"/>
        </w:rPr>
      </w:pPr>
      <w:bookmarkStart w:id="157" w:name="_Toc102642532"/>
      <w:r>
        <w:rPr>
          <w:rFonts w:hint="eastAsia" w:ascii="宋体" w:hAnsi="宋体" w:cs="宋体"/>
          <w:b/>
          <w:bCs w:val="0"/>
          <w:color w:val="auto"/>
          <w:sz w:val="21"/>
          <w:szCs w:val="21"/>
        </w:rPr>
        <w:t>第九条  违约责任</w:t>
      </w:r>
      <w:bookmarkEnd w:id="154"/>
      <w:bookmarkEnd w:id="155"/>
      <w:bookmarkEnd w:id="157"/>
    </w:p>
    <w:p w14:paraId="41E35568">
      <w:pPr>
        <w:spacing w:line="380" w:lineRule="exact"/>
        <w:ind w:firstLine="420" w:firstLineChars="200"/>
        <w:rPr>
          <w:rFonts w:ascii="宋体" w:hAnsi="宋体" w:cs="宋体"/>
          <w:szCs w:val="21"/>
        </w:rPr>
      </w:pPr>
      <w:r>
        <w:rPr>
          <w:rFonts w:hint="eastAsia" w:ascii="宋体" w:hAnsi="宋体" w:cs="宋体"/>
          <w:szCs w:val="21"/>
        </w:rPr>
        <w:t>1、乙方所提供的服务质量不合格的，应及时调整，调整不及时的按逾期处罚，乙方应向甲方支付合同金额</w:t>
      </w:r>
      <w:r>
        <w:rPr>
          <w:rFonts w:hint="eastAsia" w:ascii="宋体" w:hAnsi="宋体" w:cs="宋体"/>
          <w:szCs w:val="21"/>
          <w:u w:val="single"/>
        </w:rPr>
        <w:t xml:space="preserve">   %</w:t>
      </w:r>
      <w:r>
        <w:rPr>
          <w:rFonts w:hint="eastAsia" w:ascii="宋体" w:hAnsi="宋体" w:cs="宋体"/>
          <w:szCs w:val="21"/>
        </w:rPr>
        <w:t>违约金并赔偿甲方经济损失。</w:t>
      </w:r>
    </w:p>
    <w:p w14:paraId="49505929">
      <w:pPr>
        <w:spacing w:line="380" w:lineRule="exact"/>
        <w:ind w:firstLine="411" w:firstLineChars="196"/>
        <w:rPr>
          <w:rFonts w:ascii="宋体" w:hAnsi="宋体" w:cs="宋体"/>
          <w:szCs w:val="21"/>
        </w:rPr>
      </w:pPr>
      <w:r>
        <w:rPr>
          <w:rFonts w:hint="eastAsia" w:ascii="宋体" w:hAnsi="宋体" w:cs="宋体"/>
          <w:szCs w:val="21"/>
        </w:rPr>
        <w:t>2、乙方提供的服务如果侵犯了第三方合法权益而引发的任何纠纷或诉讼，均由乙方负责交涉并承担全部责任。</w:t>
      </w:r>
    </w:p>
    <w:p w14:paraId="2A7966B1">
      <w:pPr>
        <w:spacing w:line="360" w:lineRule="auto"/>
        <w:ind w:firstLine="420" w:firstLineChars="200"/>
        <w:rPr>
          <w:rFonts w:ascii="宋体" w:hAnsi="宋体" w:cs="宋体"/>
          <w:szCs w:val="21"/>
        </w:rPr>
      </w:pPr>
      <w:r>
        <w:rPr>
          <w:rFonts w:hint="eastAsia" w:ascii="宋体" w:hAnsi="宋体" w:cs="宋体"/>
          <w:szCs w:val="21"/>
        </w:rPr>
        <w:t>3、乙方无故延期服务交付的，每天向甲方偿付违约合同金额</w:t>
      </w:r>
      <w:r>
        <w:rPr>
          <w:rFonts w:hint="eastAsia" w:ascii="宋体" w:hAnsi="宋体" w:cs="宋体"/>
          <w:szCs w:val="21"/>
          <w:u w:val="single"/>
        </w:rPr>
        <w:t xml:space="preserve">   </w:t>
      </w:r>
      <w:r>
        <w:rPr>
          <w:rFonts w:hint="eastAsia" w:ascii="宋体" w:hAnsi="宋体" w:cs="宋体"/>
          <w:szCs w:val="21"/>
        </w:rPr>
        <w:t>违约金，但违约金累计不得超过合同金额</w:t>
      </w:r>
      <w:r>
        <w:rPr>
          <w:rFonts w:hint="eastAsia" w:ascii="宋体" w:hAnsi="宋体" w:cs="宋体"/>
          <w:szCs w:val="21"/>
          <w:u w:val="single"/>
        </w:rPr>
        <w:t xml:space="preserve">    </w:t>
      </w:r>
      <w:r>
        <w:rPr>
          <w:rFonts w:hint="eastAsia" w:ascii="宋体" w:hAnsi="宋体" w:cs="宋体"/>
          <w:szCs w:val="21"/>
        </w:rPr>
        <w:t>，超过</w:t>
      </w:r>
      <w:r>
        <w:rPr>
          <w:rFonts w:hint="eastAsia" w:ascii="宋体" w:hAnsi="宋体" w:cs="宋体"/>
          <w:szCs w:val="21"/>
          <w:u w:val="single"/>
        </w:rPr>
        <w:t xml:space="preserve">   </w:t>
      </w:r>
      <w:r>
        <w:rPr>
          <w:rFonts w:hint="eastAsia" w:ascii="宋体" w:hAnsi="宋体" w:cs="宋体"/>
          <w:szCs w:val="21"/>
        </w:rPr>
        <w:t>天甲方有权解除合同，违约方承担因此给对方造成经济损失；甲方不能按期付款的，每天向乙方偿付延合同金额</w:t>
      </w:r>
      <w:r>
        <w:rPr>
          <w:rFonts w:hint="eastAsia" w:ascii="宋体" w:hAnsi="宋体" w:cs="宋体"/>
          <w:szCs w:val="21"/>
          <w:u w:val="single"/>
        </w:rPr>
        <w:t xml:space="preserve">     </w:t>
      </w:r>
      <w:r>
        <w:rPr>
          <w:rFonts w:hint="eastAsia" w:ascii="宋体" w:hAnsi="宋体" w:cs="宋体"/>
          <w:szCs w:val="21"/>
        </w:rPr>
        <w:t>滞纳金，但滞纳金累计不得超过合同金额</w:t>
      </w:r>
      <w:r>
        <w:rPr>
          <w:rFonts w:hint="eastAsia" w:ascii="宋体" w:hAnsi="宋体" w:cs="宋体"/>
          <w:szCs w:val="21"/>
          <w:u w:val="single"/>
        </w:rPr>
        <w:t xml:space="preserve">    </w:t>
      </w:r>
      <w:r>
        <w:rPr>
          <w:rFonts w:hint="eastAsia" w:ascii="宋体" w:hAnsi="宋体" w:cs="宋体"/>
          <w:szCs w:val="21"/>
        </w:rPr>
        <w:t>。</w:t>
      </w:r>
    </w:p>
    <w:p w14:paraId="0E656441">
      <w:pPr>
        <w:spacing w:line="380" w:lineRule="exact"/>
        <w:ind w:firstLine="411" w:firstLineChars="196"/>
        <w:rPr>
          <w:rFonts w:ascii="宋体" w:hAnsi="宋体" w:cs="宋体"/>
          <w:szCs w:val="21"/>
        </w:rPr>
      </w:pPr>
      <w:r>
        <w:rPr>
          <w:rFonts w:hint="eastAsia" w:ascii="宋体" w:hAnsi="宋体" w:cs="宋体"/>
          <w:szCs w:val="21"/>
        </w:rPr>
        <w:t>4、乙方未按本合同和投标文件中规定的服务承诺提供服务的，乙方应按本合同合同金额</w:t>
      </w:r>
      <w:r>
        <w:rPr>
          <w:rFonts w:hint="eastAsia" w:ascii="宋体" w:hAnsi="宋体" w:cs="宋体"/>
          <w:szCs w:val="21"/>
          <w:u w:val="single"/>
        </w:rPr>
        <w:t xml:space="preserve">    </w:t>
      </w:r>
      <w:r>
        <w:rPr>
          <w:rFonts w:hint="eastAsia" w:ascii="宋体" w:hAnsi="宋体" w:cs="宋体"/>
          <w:szCs w:val="21"/>
        </w:rPr>
        <w:t>向甲方支付违约金。</w:t>
      </w:r>
    </w:p>
    <w:p w14:paraId="62C3BDD2">
      <w:pPr>
        <w:spacing w:line="360" w:lineRule="auto"/>
        <w:ind w:firstLine="420" w:firstLineChars="200"/>
        <w:rPr>
          <w:rFonts w:ascii="宋体" w:hAnsi="宋体" w:cs="宋体"/>
          <w:szCs w:val="21"/>
        </w:rPr>
      </w:pPr>
      <w:r>
        <w:rPr>
          <w:rFonts w:hint="eastAsia" w:ascii="宋体" w:hAnsi="宋体" w:cs="宋体"/>
          <w:szCs w:val="21"/>
        </w:rPr>
        <w:t>5、其他违约行为按照合同金额额</w:t>
      </w:r>
      <w:r>
        <w:rPr>
          <w:rFonts w:hint="eastAsia" w:ascii="宋体" w:hAnsi="宋体" w:cs="宋体"/>
          <w:szCs w:val="21"/>
          <w:u w:val="single"/>
        </w:rPr>
        <w:t xml:space="preserve">     </w:t>
      </w:r>
      <w:r>
        <w:rPr>
          <w:rFonts w:hint="eastAsia" w:ascii="宋体" w:hAnsi="宋体" w:cs="宋体"/>
          <w:szCs w:val="21"/>
        </w:rPr>
        <w:t>收取违约金并赔偿经济损失。</w:t>
      </w:r>
    </w:p>
    <w:p w14:paraId="0A560193">
      <w:pPr>
        <w:pStyle w:val="4"/>
        <w:ind w:left="567" w:leftChars="200" w:hanging="147" w:hangingChars="70"/>
        <w:rPr>
          <w:rFonts w:ascii="宋体" w:hAnsi="宋体" w:cs="宋体"/>
          <w:b/>
          <w:bCs w:val="0"/>
          <w:color w:val="auto"/>
          <w:sz w:val="21"/>
          <w:szCs w:val="21"/>
        </w:rPr>
      </w:pPr>
      <w:bookmarkStart w:id="158" w:name="_Toc1538"/>
      <w:bookmarkStart w:id="159" w:name="_Toc8363"/>
      <w:bookmarkStart w:id="160" w:name="_Toc102642533"/>
      <w:r>
        <w:rPr>
          <w:rFonts w:hint="eastAsia" w:ascii="宋体" w:hAnsi="宋体" w:cs="宋体"/>
          <w:b/>
          <w:bCs w:val="0"/>
          <w:color w:val="auto"/>
          <w:sz w:val="21"/>
          <w:szCs w:val="21"/>
        </w:rPr>
        <w:t>第十条  不可抗力事件处理</w:t>
      </w:r>
      <w:bookmarkEnd w:id="158"/>
      <w:bookmarkEnd w:id="159"/>
      <w:bookmarkEnd w:id="160"/>
    </w:p>
    <w:p w14:paraId="2087278A">
      <w:pPr>
        <w:spacing w:line="360" w:lineRule="auto"/>
        <w:ind w:firstLine="420" w:firstLineChars="200"/>
        <w:rPr>
          <w:rFonts w:ascii="宋体" w:hAnsi="宋体" w:cs="宋体"/>
          <w:szCs w:val="21"/>
        </w:rPr>
      </w:pPr>
      <w:r>
        <w:rPr>
          <w:rFonts w:hint="eastAsia" w:ascii="宋体" w:hAnsi="宋体" w:cs="宋体"/>
          <w:szCs w:val="21"/>
        </w:rPr>
        <w:t>1、在合同有效期内，成交供应商因不可抗力事件导致不能履行合同，则合同履行期可延长，其延长期与不可抗力影响期相同。</w:t>
      </w:r>
    </w:p>
    <w:p w14:paraId="7C04A961">
      <w:pPr>
        <w:numPr>
          <w:ilvl w:val="0"/>
          <w:numId w:val="9"/>
        </w:numPr>
        <w:spacing w:line="360" w:lineRule="auto"/>
        <w:rPr>
          <w:rFonts w:ascii="宋体" w:hAnsi="宋体" w:cs="宋体"/>
          <w:szCs w:val="21"/>
        </w:rPr>
      </w:pPr>
      <w:r>
        <w:rPr>
          <w:rFonts w:hint="eastAsia" w:ascii="宋体" w:hAnsi="宋体" w:cs="宋体"/>
          <w:szCs w:val="21"/>
        </w:rPr>
        <w:t>不可抗力事件发生后，应立即通知对方，并寄送有关权威机构出具的证明。</w:t>
      </w:r>
    </w:p>
    <w:p w14:paraId="59E2DCAE">
      <w:pPr>
        <w:numPr>
          <w:ilvl w:val="0"/>
          <w:numId w:val="9"/>
        </w:numPr>
        <w:spacing w:line="360" w:lineRule="auto"/>
        <w:rPr>
          <w:rFonts w:ascii="宋体" w:hAnsi="宋体" w:cs="宋体"/>
          <w:szCs w:val="21"/>
        </w:rPr>
      </w:pPr>
      <w:r>
        <w:rPr>
          <w:rFonts w:hint="eastAsia" w:ascii="宋体" w:hAnsi="宋体" w:cs="宋体"/>
          <w:szCs w:val="21"/>
        </w:rPr>
        <w:t>不可抗力事件延续一百二十天以上，双方应通过友好协商，确定是否继续履行合同。</w:t>
      </w:r>
    </w:p>
    <w:p w14:paraId="6F38F585">
      <w:pPr>
        <w:pStyle w:val="4"/>
        <w:ind w:left="567" w:leftChars="200" w:hanging="147" w:hangingChars="70"/>
        <w:rPr>
          <w:rFonts w:ascii="宋体" w:hAnsi="宋体" w:cs="宋体"/>
          <w:b/>
          <w:bCs w:val="0"/>
          <w:color w:val="auto"/>
          <w:sz w:val="21"/>
          <w:szCs w:val="21"/>
        </w:rPr>
      </w:pPr>
      <w:bookmarkStart w:id="161" w:name="_Toc7311"/>
      <w:bookmarkStart w:id="162" w:name="_Toc102642534"/>
      <w:bookmarkStart w:id="163" w:name="_Toc8638"/>
      <w:r>
        <w:rPr>
          <w:rFonts w:hint="eastAsia" w:ascii="宋体" w:hAnsi="宋体" w:cs="宋体"/>
          <w:b/>
          <w:bCs w:val="0"/>
          <w:color w:val="auto"/>
          <w:sz w:val="21"/>
          <w:szCs w:val="21"/>
        </w:rPr>
        <w:t>第十一条  合同争议解决</w:t>
      </w:r>
      <w:bookmarkEnd w:id="161"/>
      <w:bookmarkEnd w:id="162"/>
      <w:bookmarkEnd w:id="163"/>
    </w:p>
    <w:p w14:paraId="772FE83F">
      <w:pPr>
        <w:spacing w:line="360" w:lineRule="auto"/>
        <w:ind w:firstLine="420" w:firstLineChars="200"/>
        <w:rPr>
          <w:rFonts w:ascii="宋体" w:hAnsi="宋体" w:cs="宋体"/>
          <w:szCs w:val="21"/>
        </w:rPr>
      </w:pPr>
      <w:r>
        <w:rPr>
          <w:rFonts w:hint="eastAsia" w:ascii="宋体" w:hAnsi="宋体" w:cs="宋体"/>
          <w:szCs w:val="21"/>
        </w:rPr>
        <w:t>1、因服务问题发生争议的，应邀请国家认可的相关机构进行鉴定。服务符合要求的，鉴定费由采购人承担；服务不符合要求的，鉴定费由成交供应商承担。</w:t>
      </w:r>
    </w:p>
    <w:p w14:paraId="03EDBFB0">
      <w:pPr>
        <w:spacing w:line="360" w:lineRule="auto"/>
        <w:ind w:firstLine="420" w:firstLineChars="200"/>
        <w:rPr>
          <w:rFonts w:ascii="宋体" w:hAnsi="宋体" w:cs="宋体"/>
          <w:szCs w:val="21"/>
        </w:rPr>
      </w:pPr>
      <w:r>
        <w:rPr>
          <w:rFonts w:hint="eastAsia" w:ascii="宋体" w:hAnsi="宋体" w:cs="宋体"/>
          <w:szCs w:val="21"/>
        </w:rPr>
        <w:t>2、因履行本合同引起的或与本合同有关的争议，甲乙双方应首先通过友好协商解决，如果协商不能解决，可向</w:t>
      </w:r>
      <w:r>
        <w:rPr>
          <w:rFonts w:hint="eastAsia" w:ascii="宋体" w:hAnsi="宋体" w:cs="宋体"/>
        </w:rPr>
        <w:t>项目所在地</w:t>
      </w:r>
      <w:r>
        <w:rPr>
          <w:rFonts w:hint="eastAsia" w:ascii="宋体" w:hAnsi="宋体" w:cs="宋体"/>
          <w:szCs w:val="21"/>
        </w:rPr>
        <w:t>人民法院提起诉讼。</w:t>
      </w:r>
    </w:p>
    <w:p w14:paraId="52DF6DB9">
      <w:pPr>
        <w:spacing w:line="360" w:lineRule="auto"/>
        <w:ind w:left="435"/>
        <w:rPr>
          <w:rFonts w:ascii="宋体" w:hAnsi="宋体" w:cs="宋体"/>
          <w:szCs w:val="21"/>
        </w:rPr>
      </w:pPr>
      <w:r>
        <w:rPr>
          <w:rFonts w:hint="eastAsia" w:ascii="宋体" w:hAnsi="宋体" w:cs="宋体"/>
          <w:szCs w:val="21"/>
        </w:rPr>
        <w:t>3、诉讼期间，本合同继续履行。</w:t>
      </w:r>
    </w:p>
    <w:p w14:paraId="6081212E">
      <w:pPr>
        <w:pStyle w:val="4"/>
        <w:ind w:left="567" w:leftChars="200" w:hanging="147" w:hangingChars="70"/>
        <w:rPr>
          <w:rFonts w:ascii="宋体" w:hAnsi="宋体" w:cs="宋体"/>
          <w:b/>
          <w:bCs w:val="0"/>
          <w:color w:val="auto"/>
          <w:sz w:val="21"/>
          <w:szCs w:val="21"/>
        </w:rPr>
      </w:pPr>
      <w:bookmarkStart w:id="164" w:name="_Toc27483"/>
      <w:bookmarkStart w:id="165" w:name="_Toc102642535"/>
      <w:bookmarkStart w:id="166" w:name="_Toc17823"/>
      <w:r>
        <w:rPr>
          <w:rFonts w:hint="eastAsia" w:ascii="宋体" w:hAnsi="宋体" w:cs="宋体"/>
          <w:b/>
          <w:bCs w:val="0"/>
          <w:color w:val="auto"/>
          <w:sz w:val="21"/>
          <w:szCs w:val="21"/>
        </w:rPr>
        <w:t>第十二条  合同生效及其它</w:t>
      </w:r>
      <w:bookmarkEnd w:id="164"/>
      <w:bookmarkEnd w:id="165"/>
      <w:bookmarkEnd w:id="166"/>
    </w:p>
    <w:p w14:paraId="54E2CCC8">
      <w:pPr>
        <w:spacing w:line="360" w:lineRule="auto"/>
        <w:ind w:firstLine="420" w:firstLineChars="200"/>
        <w:rPr>
          <w:rFonts w:ascii="宋体" w:hAnsi="宋体" w:cs="宋体"/>
          <w:szCs w:val="21"/>
        </w:rPr>
      </w:pPr>
      <w:r>
        <w:rPr>
          <w:rFonts w:hint="eastAsia" w:ascii="宋体" w:hAnsi="宋体" w:cs="宋体"/>
          <w:szCs w:val="21"/>
        </w:rPr>
        <w:t>1、合同经甲乙双方法定代表人或授权代表签字并加盖单位公章后生效。</w:t>
      </w:r>
    </w:p>
    <w:p w14:paraId="1BD70427">
      <w:pPr>
        <w:spacing w:line="360" w:lineRule="auto"/>
        <w:ind w:firstLine="420" w:firstLineChars="200"/>
        <w:rPr>
          <w:rFonts w:ascii="宋体" w:hAnsi="宋体" w:cs="宋体"/>
          <w:szCs w:val="21"/>
        </w:rPr>
      </w:pPr>
      <w:r>
        <w:rPr>
          <w:rFonts w:hint="eastAsia" w:ascii="宋体" w:hAnsi="宋体" w:cs="宋体"/>
          <w:szCs w:val="21"/>
        </w:rPr>
        <w:t>2、合同执行中涉及采购资金和采购内容修改或补充的，需本级财政部门审批，并签订书面补充协议报</w:t>
      </w:r>
      <w:r>
        <w:rPr>
          <w:rFonts w:hint="eastAsia" w:ascii="宋体" w:hAnsi="宋体" w:cs="宋体"/>
        </w:rPr>
        <w:t>本级财政部门</w:t>
      </w:r>
      <w:r>
        <w:rPr>
          <w:rFonts w:hint="eastAsia" w:ascii="宋体" w:hAnsi="宋体" w:cs="宋体"/>
          <w:szCs w:val="21"/>
        </w:rPr>
        <w:t>备案，方可作为主合同不可分割的一部分。</w:t>
      </w:r>
    </w:p>
    <w:p w14:paraId="22C70A6F">
      <w:pPr>
        <w:spacing w:line="360" w:lineRule="auto"/>
        <w:ind w:left="435"/>
        <w:rPr>
          <w:rFonts w:ascii="宋体" w:hAnsi="宋体" w:cs="宋体"/>
          <w:szCs w:val="21"/>
        </w:rPr>
      </w:pPr>
      <w:r>
        <w:rPr>
          <w:rFonts w:hint="eastAsia" w:ascii="宋体" w:hAnsi="宋体" w:cs="宋体"/>
          <w:szCs w:val="21"/>
        </w:rPr>
        <w:t>3、本合同未尽事宜，遵照《中华人民共和国民法典》有关条文执行。</w:t>
      </w:r>
    </w:p>
    <w:p w14:paraId="48E81BFD">
      <w:pPr>
        <w:pStyle w:val="4"/>
        <w:ind w:left="567" w:leftChars="200" w:hanging="147" w:hangingChars="70"/>
        <w:rPr>
          <w:rFonts w:ascii="宋体" w:hAnsi="宋体" w:cs="宋体"/>
          <w:b/>
          <w:bCs w:val="0"/>
          <w:color w:val="auto"/>
          <w:sz w:val="21"/>
          <w:szCs w:val="21"/>
        </w:rPr>
      </w:pPr>
      <w:bookmarkStart w:id="167" w:name="_Toc102642536"/>
      <w:bookmarkStart w:id="168" w:name="_Toc31438"/>
      <w:bookmarkStart w:id="169" w:name="_Toc12956"/>
      <w:r>
        <w:rPr>
          <w:rFonts w:hint="eastAsia" w:ascii="宋体" w:hAnsi="宋体" w:cs="宋体"/>
          <w:b/>
          <w:bCs w:val="0"/>
          <w:color w:val="auto"/>
          <w:sz w:val="21"/>
          <w:szCs w:val="21"/>
        </w:rPr>
        <w:t>第十三条  合同的变更、终止与转让</w:t>
      </w:r>
      <w:bookmarkEnd w:id="167"/>
      <w:bookmarkEnd w:id="168"/>
      <w:bookmarkEnd w:id="169"/>
    </w:p>
    <w:p w14:paraId="0B86A6AF">
      <w:pPr>
        <w:spacing w:line="360" w:lineRule="auto"/>
        <w:ind w:firstLine="420" w:firstLineChars="200"/>
        <w:rPr>
          <w:rFonts w:ascii="宋体" w:hAnsi="宋体" w:cs="宋体"/>
          <w:szCs w:val="21"/>
        </w:rPr>
      </w:pPr>
      <w:r>
        <w:rPr>
          <w:rFonts w:hint="eastAsia" w:ascii="宋体" w:hAnsi="宋体" w:cs="宋体"/>
          <w:szCs w:val="21"/>
        </w:rPr>
        <w:t>1、除《中华人民共和国政府采购法》第五十条规定的情形外，本合同一经签订，甲乙双方不得擅自变更，中止或终止。</w:t>
      </w:r>
    </w:p>
    <w:p w14:paraId="47B53F05">
      <w:pPr>
        <w:numPr>
          <w:ilvl w:val="0"/>
          <w:numId w:val="10"/>
        </w:numPr>
        <w:spacing w:line="360" w:lineRule="auto"/>
        <w:rPr>
          <w:rFonts w:ascii="宋体" w:hAnsi="宋体" w:cs="宋体"/>
          <w:szCs w:val="21"/>
        </w:rPr>
      </w:pPr>
      <w:r>
        <w:rPr>
          <w:rFonts w:hint="eastAsia" w:ascii="宋体" w:hAnsi="宋体" w:cs="宋体"/>
          <w:szCs w:val="21"/>
        </w:rPr>
        <w:t>成交供应商不得擅自转让其应履行的合同义务。</w:t>
      </w:r>
    </w:p>
    <w:p w14:paraId="0F3F8C8B">
      <w:pPr>
        <w:pStyle w:val="4"/>
        <w:ind w:left="567" w:leftChars="200" w:hanging="147" w:hangingChars="70"/>
        <w:rPr>
          <w:rFonts w:ascii="宋体" w:hAnsi="宋体" w:cs="宋体"/>
          <w:b/>
          <w:bCs w:val="0"/>
          <w:color w:val="auto"/>
          <w:sz w:val="21"/>
          <w:szCs w:val="21"/>
        </w:rPr>
      </w:pPr>
      <w:bookmarkStart w:id="170" w:name="_Toc102642537"/>
      <w:bookmarkStart w:id="171" w:name="_Toc14327"/>
      <w:bookmarkStart w:id="172" w:name="_Toc32608"/>
      <w:r>
        <w:rPr>
          <w:rFonts w:hint="eastAsia" w:ascii="宋体" w:hAnsi="宋体" w:cs="宋体"/>
          <w:b/>
          <w:bCs w:val="0"/>
          <w:color w:val="auto"/>
          <w:sz w:val="21"/>
          <w:szCs w:val="21"/>
        </w:rPr>
        <w:t>第十四条  签订本合同依据</w:t>
      </w:r>
      <w:bookmarkEnd w:id="170"/>
      <w:bookmarkEnd w:id="171"/>
      <w:bookmarkEnd w:id="172"/>
    </w:p>
    <w:p w14:paraId="13FF6F4A">
      <w:pPr>
        <w:spacing w:line="360" w:lineRule="auto"/>
        <w:ind w:left="420"/>
        <w:rPr>
          <w:rFonts w:ascii="宋体" w:hAnsi="宋体" w:cs="宋体"/>
          <w:szCs w:val="21"/>
        </w:rPr>
      </w:pPr>
      <w:r>
        <w:rPr>
          <w:rFonts w:hint="eastAsia" w:ascii="宋体" w:hAnsi="宋体" w:cs="宋体"/>
          <w:szCs w:val="21"/>
        </w:rPr>
        <w:t>1、竞争性磋商文件；</w:t>
      </w:r>
    </w:p>
    <w:p w14:paraId="495D259A">
      <w:pPr>
        <w:spacing w:line="360" w:lineRule="auto"/>
        <w:ind w:left="224" w:leftChars="107" w:firstLine="210" w:firstLineChars="100"/>
        <w:rPr>
          <w:rFonts w:ascii="宋体" w:hAnsi="宋体" w:cs="宋体"/>
          <w:szCs w:val="21"/>
        </w:rPr>
      </w:pPr>
      <w:r>
        <w:rPr>
          <w:rFonts w:hint="eastAsia" w:ascii="宋体" w:hAnsi="宋体" w:cs="宋体"/>
          <w:szCs w:val="21"/>
        </w:rPr>
        <w:t>2、成交供应商的响应（或应答）文件；</w:t>
      </w:r>
    </w:p>
    <w:p w14:paraId="157855DF">
      <w:pPr>
        <w:spacing w:line="360" w:lineRule="auto"/>
        <w:ind w:left="224" w:leftChars="107" w:firstLine="210" w:firstLineChars="100"/>
        <w:rPr>
          <w:rFonts w:ascii="宋体" w:hAnsi="宋体" w:cs="宋体"/>
          <w:szCs w:val="21"/>
        </w:rPr>
      </w:pPr>
      <w:r>
        <w:rPr>
          <w:rFonts w:hint="eastAsia" w:ascii="宋体" w:hAnsi="宋体" w:cs="宋体"/>
          <w:szCs w:val="21"/>
        </w:rPr>
        <w:t>3、服务承诺书、服务方案；</w:t>
      </w:r>
    </w:p>
    <w:p w14:paraId="44830615">
      <w:pPr>
        <w:spacing w:line="360" w:lineRule="auto"/>
        <w:ind w:left="224" w:leftChars="107" w:firstLine="210" w:firstLineChars="100"/>
        <w:rPr>
          <w:rFonts w:ascii="宋体" w:hAnsi="宋体" w:cs="宋体"/>
          <w:szCs w:val="21"/>
        </w:rPr>
      </w:pPr>
      <w:r>
        <w:rPr>
          <w:rFonts w:hint="eastAsia" w:ascii="宋体" w:hAnsi="宋体" w:cs="宋体"/>
          <w:szCs w:val="21"/>
        </w:rPr>
        <w:t>4、磋商中的磋商记录；</w:t>
      </w:r>
    </w:p>
    <w:p w14:paraId="718D24B3">
      <w:pPr>
        <w:spacing w:line="360" w:lineRule="auto"/>
        <w:ind w:left="224" w:leftChars="107" w:firstLine="210" w:firstLineChars="100"/>
        <w:rPr>
          <w:rFonts w:ascii="宋体" w:hAnsi="宋体" w:cs="宋体"/>
          <w:szCs w:val="21"/>
        </w:rPr>
      </w:pPr>
      <w:r>
        <w:rPr>
          <w:rFonts w:hint="eastAsia" w:ascii="宋体" w:hAnsi="宋体" w:cs="宋体"/>
          <w:szCs w:val="21"/>
        </w:rPr>
        <w:t>5、成交通知书。</w:t>
      </w:r>
    </w:p>
    <w:p w14:paraId="4EC5D565">
      <w:pPr>
        <w:spacing w:line="360" w:lineRule="auto"/>
        <w:ind w:firstLine="420" w:firstLineChars="200"/>
        <w:rPr>
          <w:rFonts w:ascii="宋体" w:hAnsi="宋体" w:cs="宋体"/>
        </w:rPr>
      </w:pPr>
      <w:r>
        <w:rPr>
          <w:rFonts w:hint="eastAsia" w:ascii="宋体" w:hAnsi="宋体" w:cs="宋体"/>
        </w:rPr>
        <w:t>本合同甲乙双方签字盖章后生效，一式四份，具有同等法律效力，甲乙双方各持一份。双方自签订之日起一个工作日内，乙方将合同原件一份交采购代理机构。采购人于合同签订之日起七个工作日内将一份合同原件送本级财政部门备案。</w:t>
      </w:r>
    </w:p>
    <w:p w14:paraId="169872F6">
      <w:pPr>
        <w:spacing w:line="360" w:lineRule="auto"/>
        <w:rPr>
          <w:rFonts w:ascii="宋体" w:hAnsi="宋体" w:cs="宋体"/>
          <w:szCs w:val="21"/>
        </w:rPr>
      </w:pPr>
    </w:p>
    <w:p w14:paraId="717F1717">
      <w:pPr>
        <w:spacing w:line="360" w:lineRule="auto"/>
        <w:rPr>
          <w:rFonts w:ascii="宋体" w:hAnsi="宋体" w:cs="宋体"/>
          <w:szCs w:val="21"/>
          <w:u w:val="single"/>
        </w:rPr>
      </w:pPr>
      <w:r>
        <w:rPr>
          <w:rFonts w:hint="eastAsia" w:ascii="宋体" w:hAnsi="宋体" w:cs="宋体"/>
          <w:szCs w:val="21"/>
        </w:rPr>
        <w:t>采购人名称（公章）：</w:t>
      </w:r>
      <w:r>
        <w:rPr>
          <w:rFonts w:hint="eastAsia" w:ascii="宋体" w:hAnsi="宋体" w:cs="宋体"/>
          <w:szCs w:val="21"/>
          <w:u w:val="single"/>
        </w:rPr>
        <w:t xml:space="preserve">                      </w:t>
      </w:r>
      <w:r>
        <w:rPr>
          <w:rFonts w:hint="eastAsia" w:ascii="宋体" w:hAnsi="宋体" w:cs="宋体"/>
          <w:szCs w:val="21"/>
        </w:rPr>
        <w:t xml:space="preserve">     成交供应商名称（公章）：</w:t>
      </w:r>
      <w:r>
        <w:rPr>
          <w:rFonts w:hint="eastAsia" w:ascii="宋体" w:hAnsi="宋体" w:cs="宋体"/>
          <w:szCs w:val="21"/>
          <w:u w:val="single"/>
        </w:rPr>
        <w:t xml:space="preserve">                                                    </w:t>
      </w:r>
    </w:p>
    <w:p w14:paraId="33A5B163">
      <w:pPr>
        <w:spacing w:line="360" w:lineRule="auto"/>
        <w:rPr>
          <w:rFonts w:ascii="宋体" w:hAnsi="宋体" w:cs="宋体"/>
          <w:szCs w:val="21"/>
          <w:u w:val="single"/>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 xml:space="preserve">        法定代表人：</w:t>
      </w:r>
      <w:r>
        <w:rPr>
          <w:rFonts w:hint="eastAsia" w:ascii="宋体" w:hAnsi="宋体" w:cs="宋体"/>
          <w:szCs w:val="21"/>
          <w:u w:val="single"/>
        </w:rPr>
        <w:t xml:space="preserve">                                 </w:t>
      </w:r>
    </w:p>
    <w:p w14:paraId="7692E952">
      <w:pPr>
        <w:tabs>
          <w:tab w:val="left" w:pos="4680"/>
        </w:tabs>
        <w:spacing w:line="360" w:lineRule="auto"/>
        <w:rPr>
          <w:rFonts w:ascii="宋体" w:hAnsi="宋体" w:cs="宋体"/>
          <w:szCs w:val="21"/>
          <w:u w:val="single"/>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委托代理人：</w:t>
      </w:r>
      <w:r>
        <w:rPr>
          <w:rFonts w:hint="eastAsia" w:ascii="宋体" w:hAnsi="宋体" w:cs="宋体"/>
          <w:szCs w:val="21"/>
          <w:u w:val="single"/>
        </w:rPr>
        <w:t xml:space="preserve">                                 </w:t>
      </w:r>
    </w:p>
    <w:p w14:paraId="7D0DDE21">
      <w:pPr>
        <w:tabs>
          <w:tab w:val="left" w:pos="5040"/>
        </w:tabs>
        <w:spacing w:line="360" w:lineRule="auto"/>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 </w:t>
      </w:r>
      <w:r>
        <w:rPr>
          <w:rFonts w:hint="eastAsia" w:ascii="宋体" w:hAnsi="宋体" w:cs="宋体"/>
          <w:szCs w:val="21"/>
          <w:u w:val="single"/>
        </w:rPr>
        <w:t xml:space="preserve">                                  </w:t>
      </w:r>
    </w:p>
    <w:p w14:paraId="180F9532">
      <w:pPr>
        <w:tabs>
          <w:tab w:val="left" w:pos="5040"/>
        </w:tabs>
        <w:spacing w:line="360" w:lineRule="auto"/>
        <w:rPr>
          <w:rFonts w:ascii="宋体" w:hAnsi="宋体" w:cs="宋体"/>
          <w:szCs w:val="21"/>
        </w:rPr>
      </w:pPr>
      <w:r>
        <w:rPr>
          <w:rFonts w:hint="eastAsia" w:ascii="宋体" w:hAnsi="宋体" w:cs="宋体"/>
          <w:szCs w:val="21"/>
        </w:rPr>
        <w:t>开户名称：</w:t>
      </w:r>
      <w:r>
        <w:rPr>
          <w:rFonts w:hint="eastAsia" w:ascii="宋体" w:hAnsi="宋体" w:cs="宋体"/>
          <w:szCs w:val="21"/>
          <w:u w:val="single"/>
        </w:rPr>
        <w:t xml:space="preserve">                             </w:t>
      </w:r>
      <w:r>
        <w:rPr>
          <w:rFonts w:hint="eastAsia" w:ascii="宋体" w:hAnsi="宋体" w:cs="宋体"/>
          <w:szCs w:val="21"/>
        </w:rPr>
        <w:t xml:space="preserve">        开户名称：</w:t>
      </w:r>
      <w:r>
        <w:rPr>
          <w:rFonts w:hint="eastAsia" w:ascii="宋体" w:hAnsi="宋体" w:cs="宋体"/>
          <w:szCs w:val="21"/>
          <w:u w:val="single"/>
        </w:rPr>
        <w:t xml:space="preserve">                                   </w:t>
      </w:r>
      <w:r>
        <w:rPr>
          <w:rFonts w:hint="eastAsia" w:ascii="宋体" w:hAnsi="宋体" w:cs="宋体"/>
          <w:szCs w:val="21"/>
        </w:rPr>
        <w:t xml:space="preserve">     </w:t>
      </w:r>
    </w:p>
    <w:p w14:paraId="28DB66B9">
      <w:pPr>
        <w:tabs>
          <w:tab w:val="left" w:pos="5040"/>
        </w:tabs>
        <w:spacing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r>
        <w:rPr>
          <w:rFonts w:hint="eastAsia" w:ascii="宋体" w:hAnsi="宋体" w:cs="宋体"/>
          <w:szCs w:val="21"/>
        </w:rPr>
        <w:t xml:space="preserve">     </w:t>
      </w:r>
    </w:p>
    <w:p w14:paraId="04008C98">
      <w:pPr>
        <w:tabs>
          <w:tab w:val="left" w:pos="5040"/>
        </w:tabs>
        <w:spacing w:line="360" w:lineRule="auto"/>
        <w:rPr>
          <w:rFonts w:ascii="宋体" w:hAnsi="宋体" w:cs="宋体"/>
          <w:szCs w:val="21"/>
        </w:rPr>
      </w:pPr>
      <w:r>
        <w:rPr>
          <w:rFonts w:hint="eastAsia" w:ascii="宋体" w:hAnsi="宋体" w:cs="宋体"/>
          <w:szCs w:val="21"/>
        </w:rPr>
        <w:t>银行账号：</w:t>
      </w:r>
      <w:r>
        <w:rPr>
          <w:rFonts w:hint="eastAsia" w:ascii="宋体" w:hAnsi="宋体" w:cs="宋体"/>
          <w:szCs w:val="21"/>
          <w:u w:val="single"/>
        </w:rPr>
        <w:t xml:space="preserve">                             </w:t>
      </w:r>
      <w:r>
        <w:rPr>
          <w:rFonts w:hint="eastAsia" w:ascii="宋体" w:hAnsi="宋体" w:cs="宋体"/>
          <w:szCs w:val="21"/>
        </w:rPr>
        <w:t xml:space="preserve">        银行账号：</w:t>
      </w:r>
      <w:r>
        <w:rPr>
          <w:rFonts w:hint="eastAsia" w:ascii="宋体" w:hAnsi="宋体" w:cs="宋体"/>
          <w:szCs w:val="21"/>
          <w:u w:val="single"/>
        </w:rPr>
        <w:t xml:space="preserve">                                  </w:t>
      </w:r>
      <w:r>
        <w:rPr>
          <w:rFonts w:hint="eastAsia" w:ascii="宋体" w:hAnsi="宋体" w:cs="宋体"/>
          <w:szCs w:val="21"/>
        </w:rPr>
        <w:t xml:space="preserve">     </w:t>
      </w:r>
    </w:p>
    <w:p w14:paraId="241E5E57">
      <w:pPr>
        <w:tabs>
          <w:tab w:val="left" w:pos="5040"/>
        </w:tabs>
        <w:spacing w:line="360" w:lineRule="auto"/>
        <w:rPr>
          <w:rFonts w:ascii="宋体" w:hAnsi="宋体" w:cs="宋体"/>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 xml:space="preserve"> </w:t>
      </w:r>
    </w:p>
    <w:p w14:paraId="3C15EF25">
      <w:pPr>
        <w:rPr>
          <w:rFonts w:ascii="宋体" w:hAnsi="宋体" w:cs="宋体"/>
        </w:rPr>
      </w:pPr>
    </w:p>
    <w:p w14:paraId="3084397B">
      <w:pPr>
        <w:pStyle w:val="9"/>
        <w:rPr>
          <w:rFonts w:ascii="宋体" w:hAnsi="宋体" w:cs="宋体"/>
        </w:rPr>
      </w:pPr>
    </w:p>
    <w:p w14:paraId="5B9DF1C2">
      <w:pPr>
        <w:pStyle w:val="4"/>
        <w:ind w:left="0" w:firstLine="0"/>
        <w:rPr>
          <w:rFonts w:ascii="宋体" w:hAnsi="宋体" w:cs="宋体"/>
          <w:b/>
          <w:color w:val="auto"/>
          <w:kern w:val="44"/>
          <w:sz w:val="32"/>
        </w:rPr>
      </w:pPr>
      <w:bookmarkStart w:id="173" w:name="_Toc24269"/>
      <w:bookmarkStart w:id="174" w:name="_Toc10014"/>
    </w:p>
    <w:p w14:paraId="555083A8">
      <w:pPr>
        <w:rPr>
          <w:rFonts w:ascii="宋体" w:hAnsi="宋体" w:cs="宋体"/>
          <w:b/>
          <w:bCs/>
          <w:kern w:val="44"/>
          <w:sz w:val="32"/>
          <w:szCs w:val="32"/>
        </w:rPr>
      </w:pPr>
    </w:p>
    <w:p w14:paraId="0CD79841">
      <w:pPr>
        <w:pStyle w:val="9"/>
        <w:rPr>
          <w:rFonts w:ascii="宋体" w:hAnsi="宋体" w:cs="宋体"/>
          <w:b/>
          <w:bCs/>
          <w:kern w:val="44"/>
          <w:sz w:val="32"/>
          <w:szCs w:val="32"/>
        </w:rPr>
      </w:pPr>
    </w:p>
    <w:p w14:paraId="45F8AF62"/>
    <w:p w14:paraId="706D1E29">
      <w:pPr>
        <w:widowControl/>
        <w:jc w:val="left"/>
        <w:rPr>
          <w:rFonts w:ascii="宋体" w:hAnsi="宋体" w:cs="宋体"/>
          <w:b/>
          <w:bCs/>
          <w:kern w:val="44"/>
          <w:sz w:val="32"/>
          <w:szCs w:val="32"/>
          <w:lang w:val="pt-BR"/>
        </w:rPr>
      </w:pPr>
      <w:r>
        <w:rPr>
          <w:rFonts w:ascii="宋体" w:hAnsi="宋体" w:cs="宋体"/>
          <w:b/>
          <w:kern w:val="44"/>
          <w:sz w:val="32"/>
        </w:rPr>
        <w:br w:type="page"/>
      </w:r>
    </w:p>
    <w:p w14:paraId="252B09C0">
      <w:pPr>
        <w:pStyle w:val="4"/>
        <w:ind w:left="0" w:firstLine="0"/>
        <w:jc w:val="center"/>
        <w:rPr>
          <w:rFonts w:ascii="宋体" w:hAnsi="宋体" w:cs="宋体"/>
          <w:b/>
        </w:rPr>
      </w:pPr>
      <w:bookmarkStart w:id="175" w:name="_Toc102642538"/>
      <w:r>
        <w:rPr>
          <w:rFonts w:hint="eastAsia" w:ascii="宋体" w:hAnsi="宋体" w:cs="宋体"/>
          <w:b/>
          <w:color w:val="auto"/>
          <w:kern w:val="44"/>
          <w:sz w:val="32"/>
        </w:rPr>
        <w:t xml:space="preserve">第六章  </w:t>
      </w:r>
      <w:bookmarkEnd w:id="173"/>
      <w:bookmarkEnd w:id="174"/>
      <w:bookmarkStart w:id="176" w:name="_Toc13185"/>
      <w:r>
        <w:rPr>
          <w:rFonts w:hint="eastAsia" w:ascii="宋体" w:hAnsi="宋体" w:cs="宋体"/>
          <w:b/>
          <w:color w:val="auto"/>
          <w:sz w:val="32"/>
        </w:rPr>
        <w:t>响应文件（格式）</w:t>
      </w:r>
      <w:bookmarkEnd w:id="175"/>
      <w:bookmarkEnd w:id="176"/>
    </w:p>
    <w:p w14:paraId="7F21D227">
      <w:pPr>
        <w:rPr>
          <w:rFonts w:ascii="宋体" w:hAnsi="宋体" w:cs="宋体"/>
        </w:rPr>
      </w:pPr>
    </w:p>
    <w:p w14:paraId="4F882657">
      <w:pPr>
        <w:pStyle w:val="12"/>
        <w:rPr>
          <w:rFonts w:hAnsi="宋体" w:cs="宋体"/>
          <w:b/>
          <w:sz w:val="32"/>
        </w:rPr>
      </w:pPr>
      <w:bookmarkStart w:id="177" w:name="_Toc18351"/>
      <w:bookmarkStart w:id="178" w:name="_Toc497927069"/>
      <w:bookmarkStart w:id="179" w:name="_Toc21496"/>
      <w:r>
        <w:rPr>
          <w:rFonts w:hint="eastAsia" w:hAnsi="宋体" w:cs="宋体"/>
          <w:b/>
          <w:sz w:val="32"/>
        </w:rPr>
        <w:t>一、响应文件袋（盒、箱）标记</w:t>
      </w:r>
      <w:bookmarkEnd w:id="177"/>
      <w:bookmarkEnd w:id="178"/>
      <w:bookmarkEnd w:id="179"/>
    </w:p>
    <w:p w14:paraId="3533C155">
      <w:pPr>
        <w:adjustRightInd w:val="0"/>
        <w:snapToGrid w:val="0"/>
        <w:rPr>
          <w:rFonts w:ascii="宋体" w:hAnsi="宋体" w:cs="宋体"/>
          <w:b/>
          <w:sz w:val="44"/>
          <w:szCs w:val="44"/>
        </w:rPr>
      </w:pPr>
    </w:p>
    <w:p w14:paraId="1D8C98AC">
      <w:pPr>
        <w:pStyle w:val="2"/>
        <w:rPr>
          <w:rFonts w:ascii="宋体" w:hAnsi="宋体" w:cs="宋体"/>
        </w:rPr>
      </w:pPr>
    </w:p>
    <w:p w14:paraId="35C9BA34">
      <w:pPr>
        <w:snapToGrid w:val="0"/>
        <w:spacing w:before="156" w:beforeLines="50" w:after="50"/>
        <w:jc w:val="center"/>
        <w:rPr>
          <w:rFonts w:ascii="宋体" w:hAnsi="宋体" w:cs="宋体"/>
          <w:b/>
          <w:sz w:val="36"/>
          <w:szCs w:val="36"/>
        </w:rPr>
      </w:pPr>
      <w:r>
        <w:rPr>
          <w:rFonts w:hint="eastAsia" w:ascii="宋体" w:hAnsi="宋体" w:cs="宋体"/>
          <w:b/>
          <w:sz w:val="36"/>
          <w:szCs w:val="36"/>
        </w:rPr>
        <w:t>响 应 文 件</w:t>
      </w:r>
    </w:p>
    <w:p w14:paraId="16F92DD1">
      <w:pPr>
        <w:snapToGrid w:val="0"/>
        <w:spacing w:before="156" w:beforeLines="50" w:after="50"/>
        <w:ind w:firstLine="480" w:firstLineChars="150"/>
        <w:rPr>
          <w:rFonts w:ascii="宋体" w:hAnsi="宋体" w:cs="宋体"/>
          <w:b/>
          <w:sz w:val="28"/>
          <w:szCs w:val="28"/>
        </w:rPr>
      </w:pPr>
      <w:r>
        <w:rPr>
          <w:rFonts w:hint="eastAsia" w:ascii="宋体" w:hAnsi="宋体" w:cs="宋体"/>
          <w:sz w:val="32"/>
          <w:szCs w:val="32"/>
        </w:rPr>
        <w:t xml:space="preserve">                       </w:t>
      </w:r>
    </w:p>
    <w:p w14:paraId="705F64FE">
      <w:pPr>
        <w:snapToGrid w:val="0"/>
        <w:spacing w:before="156" w:beforeLines="50" w:after="50"/>
        <w:ind w:firstLine="420" w:firstLineChars="150"/>
        <w:rPr>
          <w:rFonts w:ascii="宋体" w:hAnsi="宋体" w:cs="宋体"/>
          <w:b/>
          <w:sz w:val="28"/>
          <w:szCs w:val="28"/>
        </w:rPr>
      </w:pPr>
    </w:p>
    <w:p w14:paraId="16B25BB6">
      <w:pPr>
        <w:snapToGrid w:val="0"/>
        <w:spacing w:before="156" w:beforeLines="50" w:after="50"/>
        <w:ind w:firstLine="420" w:firstLineChars="150"/>
        <w:rPr>
          <w:rFonts w:ascii="宋体" w:hAnsi="宋体" w:cs="宋体"/>
          <w:b/>
          <w:sz w:val="28"/>
          <w:szCs w:val="28"/>
        </w:rPr>
      </w:pPr>
    </w:p>
    <w:p w14:paraId="53751D46">
      <w:pPr>
        <w:snapToGrid w:val="0"/>
        <w:spacing w:before="156" w:beforeLines="50" w:after="50"/>
        <w:ind w:firstLine="2693" w:firstLineChars="962"/>
        <w:rPr>
          <w:rFonts w:hint="eastAsia" w:ascii="宋体" w:hAnsi="宋体" w:eastAsia="宋体" w:cs="宋体"/>
          <w:b/>
          <w:sz w:val="28"/>
          <w:szCs w:val="28"/>
          <w:u w:val="single"/>
          <w:lang w:eastAsia="zh-CN"/>
        </w:rPr>
      </w:pPr>
      <w:r>
        <w:rPr>
          <w:rFonts w:hint="eastAsia" w:ascii="宋体" w:hAnsi="宋体" w:cs="宋体"/>
          <w:b/>
          <w:sz w:val="28"/>
          <w:szCs w:val="28"/>
        </w:rPr>
        <w:t>项目名称：</w:t>
      </w:r>
      <w:r>
        <w:rPr>
          <w:rFonts w:hint="eastAsia" w:ascii="宋体" w:hAnsi="宋体" w:cs="宋体"/>
          <w:b/>
          <w:sz w:val="28"/>
          <w:szCs w:val="28"/>
          <w:u w:val="single"/>
          <w:lang w:eastAsia="zh-CN"/>
        </w:rPr>
        <w:t>国道321线交通监控系统服务项目</w:t>
      </w:r>
    </w:p>
    <w:p w14:paraId="4EF0DD32">
      <w:pPr>
        <w:snapToGrid w:val="0"/>
        <w:spacing w:before="156" w:beforeLines="50" w:after="50"/>
        <w:ind w:firstLine="2693" w:firstLineChars="962"/>
        <w:rPr>
          <w:rFonts w:ascii="宋体" w:hAnsi="宋体" w:cs="宋体"/>
          <w:b/>
          <w:sz w:val="28"/>
          <w:szCs w:val="28"/>
        </w:rPr>
      </w:pPr>
    </w:p>
    <w:p w14:paraId="0962AE0B">
      <w:pPr>
        <w:snapToGrid w:val="0"/>
        <w:spacing w:before="156" w:beforeLines="50" w:after="50"/>
        <w:ind w:firstLine="2693" w:firstLineChars="962"/>
        <w:rPr>
          <w:rFonts w:hint="eastAsia" w:ascii="宋体" w:hAnsi="宋体" w:eastAsia="宋体" w:cs="宋体"/>
          <w:b/>
          <w:sz w:val="28"/>
          <w:szCs w:val="28"/>
          <w:lang w:eastAsia="zh-CN"/>
        </w:rPr>
      </w:pPr>
      <w:r>
        <w:rPr>
          <w:rFonts w:hint="eastAsia" w:ascii="宋体" w:hAnsi="宋体" w:cs="宋体"/>
          <w:b/>
          <w:sz w:val="28"/>
          <w:szCs w:val="28"/>
        </w:rPr>
        <w:t>项目编号：</w:t>
      </w:r>
      <w:r>
        <w:rPr>
          <w:rFonts w:hint="eastAsia" w:ascii="宋体" w:hAnsi="宋体" w:cs="宋体"/>
          <w:b/>
          <w:sz w:val="28"/>
          <w:szCs w:val="28"/>
          <w:u w:val="single"/>
          <w:lang w:eastAsia="zh-CN"/>
        </w:rPr>
        <w:t>GLZC2024-C3-120108-GXAZ</w:t>
      </w:r>
    </w:p>
    <w:p w14:paraId="29BB9E89">
      <w:pPr>
        <w:rPr>
          <w:rFonts w:ascii="宋体" w:hAnsi="宋体" w:cs="宋体"/>
          <w:b/>
        </w:rPr>
      </w:pPr>
    </w:p>
    <w:p w14:paraId="1DBDACA3">
      <w:pPr>
        <w:spacing w:line="400" w:lineRule="exact"/>
        <w:ind w:firstLine="2693" w:firstLineChars="962"/>
        <w:rPr>
          <w:rFonts w:ascii="宋体" w:hAnsi="宋体" w:cs="宋体"/>
          <w:b/>
          <w:sz w:val="28"/>
          <w:szCs w:val="28"/>
        </w:rPr>
      </w:pPr>
    </w:p>
    <w:p w14:paraId="1094ABE7">
      <w:pPr>
        <w:pStyle w:val="2"/>
        <w:rPr>
          <w:rFonts w:ascii="宋体" w:hAnsi="宋体" w:cs="宋体"/>
          <w:b/>
          <w:color w:val="auto"/>
          <w:sz w:val="28"/>
          <w:szCs w:val="28"/>
        </w:rPr>
      </w:pPr>
    </w:p>
    <w:p w14:paraId="329389B8">
      <w:pPr>
        <w:pStyle w:val="2"/>
        <w:rPr>
          <w:rFonts w:ascii="宋体" w:hAnsi="宋体" w:cs="宋体"/>
          <w:b/>
          <w:color w:val="auto"/>
          <w:sz w:val="28"/>
          <w:szCs w:val="28"/>
        </w:rPr>
      </w:pPr>
    </w:p>
    <w:p w14:paraId="611738A6">
      <w:pPr>
        <w:pStyle w:val="2"/>
        <w:rPr>
          <w:rFonts w:ascii="宋体" w:hAnsi="宋体" w:cs="宋体"/>
          <w:b/>
          <w:color w:val="auto"/>
          <w:sz w:val="28"/>
          <w:szCs w:val="28"/>
        </w:rPr>
      </w:pPr>
    </w:p>
    <w:p w14:paraId="52E52C38">
      <w:pPr>
        <w:snapToGrid w:val="0"/>
        <w:spacing w:before="156" w:beforeLines="50" w:after="50"/>
        <w:ind w:firstLine="2693" w:firstLineChars="962"/>
        <w:rPr>
          <w:rFonts w:ascii="宋体" w:hAnsi="宋体" w:cs="宋体"/>
          <w:b/>
          <w:sz w:val="28"/>
          <w:szCs w:val="28"/>
          <w:u w:val="single"/>
        </w:rPr>
      </w:pPr>
      <w:r>
        <w:rPr>
          <w:rFonts w:hint="eastAsia" w:ascii="宋体" w:hAnsi="宋体" w:cs="宋体"/>
          <w:b/>
          <w:sz w:val="28"/>
          <w:szCs w:val="28"/>
        </w:rPr>
        <w:t>采购代理机构：</w:t>
      </w:r>
      <w:r>
        <w:rPr>
          <w:rFonts w:hint="eastAsia" w:ascii="宋体" w:hAnsi="宋体" w:cs="宋体"/>
          <w:b/>
          <w:sz w:val="28"/>
          <w:szCs w:val="28"/>
          <w:u w:val="single"/>
        </w:rPr>
        <w:t xml:space="preserve"> 广西安臻工程管理有限公司   </w:t>
      </w:r>
    </w:p>
    <w:p w14:paraId="3CDE3A1C">
      <w:pPr>
        <w:pStyle w:val="10"/>
        <w:ind w:left="980" w:hanging="560" w:hangingChars="200"/>
        <w:rPr>
          <w:rFonts w:ascii="宋体" w:hAnsi="宋体" w:cs="宋体"/>
          <w:bCs/>
          <w:sz w:val="28"/>
          <w:szCs w:val="28"/>
        </w:rPr>
      </w:pPr>
      <w:bookmarkStart w:id="180" w:name="_Toc4932_WPSOffice_Level2"/>
      <w:bookmarkStart w:id="181" w:name="_Toc20319_WPSOffice_Level2"/>
      <w:r>
        <w:rPr>
          <w:rFonts w:hint="eastAsia" w:ascii="宋体" w:hAnsi="宋体" w:cs="宋体"/>
          <w:bCs/>
          <w:sz w:val="28"/>
          <w:szCs w:val="28"/>
        </w:rPr>
        <w:t>磋商供应商[公章(CA签章)、自然人除外]：</w:t>
      </w:r>
      <w:r>
        <w:rPr>
          <w:rFonts w:hint="eastAsia" w:ascii="宋体" w:hAnsi="宋体" w:cs="宋体"/>
          <w:bCs/>
          <w:sz w:val="28"/>
          <w:szCs w:val="28"/>
          <w:u w:val="single"/>
        </w:rPr>
        <w:t xml:space="preserve">                       </w:t>
      </w:r>
      <w:bookmarkEnd w:id="180"/>
      <w:bookmarkEnd w:id="181"/>
      <w:r>
        <w:rPr>
          <w:rFonts w:hint="eastAsia" w:ascii="宋体" w:hAnsi="宋体" w:cs="宋体"/>
          <w:bCs/>
          <w:sz w:val="28"/>
          <w:szCs w:val="28"/>
          <w:u w:val="single"/>
        </w:rPr>
        <w:t xml:space="preserve">       </w:t>
      </w:r>
    </w:p>
    <w:p w14:paraId="34680EE0">
      <w:pPr>
        <w:pStyle w:val="12"/>
        <w:spacing w:line="320" w:lineRule="exact"/>
        <w:ind w:firstLine="420"/>
        <w:rPr>
          <w:rFonts w:hAnsi="宋体" w:cs="宋体"/>
          <w:sz w:val="28"/>
          <w:szCs w:val="28"/>
        </w:rPr>
      </w:pPr>
      <w:bookmarkStart w:id="182" w:name="_Toc32056_WPSOffice_Level2"/>
      <w:bookmarkStart w:id="183" w:name="_Toc9622_WPSOffice_Level2"/>
      <w:r>
        <w:rPr>
          <w:rFonts w:hint="eastAsia" w:hAnsi="宋体" w:cs="宋体"/>
          <w:sz w:val="28"/>
          <w:szCs w:val="28"/>
        </w:rPr>
        <w:t>法定代表人、负责人、自然人或相应的委托代理人签字[或盖章(CA签章)]</w:t>
      </w:r>
    </w:p>
    <w:p w14:paraId="170F84E3">
      <w:pPr>
        <w:pStyle w:val="10"/>
        <w:ind w:left="980" w:hanging="560" w:hangingChars="200"/>
        <w:rPr>
          <w:rFonts w:ascii="宋体" w:hAnsi="宋体" w:cs="宋体"/>
          <w:sz w:val="28"/>
          <w:szCs w:val="28"/>
          <w:u w:val="single"/>
        </w:rPr>
      </w:pPr>
      <w:r>
        <w:rPr>
          <w:rFonts w:hint="eastAsia" w:ascii="宋体" w:hAnsi="宋体" w:cs="宋体"/>
          <w:sz w:val="28"/>
          <w:szCs w:val="28"/>
        </w:rPr>
        <w:t>（属自然人的应在签名处加盖大拇指指印或个人CA签章）：</w:t>
      </w:r>
      <w:r>
        <w:rPr>
          <w:rFonts w:hint="eastAsia" w:ascii="宋体" w:hAnsi="宋体" w:cs="宋体"/>
          <w:sz w:val="28"/>
          <w:szCs w:val="28"/>
          <w:u w:val="single"/>
        </w:rPr>
        <w:t xml:space="preserve">              </w:t>
      </w:r>
    </w:p>
    <w:p w14:paraId="4969C651">
      <w:pPr>
        <w:pStyle w:val="10"/>
        <w:ind w:left="980" w:hanging="560" w:hangingChars="200"/>
        <w:rPr>
          <w:rFonts w:ascii="宋体" w:hAnsi="宋体" w:cs="宋体"/>
          <w:bCs/>
          <w:sz w:val="28"/>
          <w:szCs w:val="28"/>
          <w:u w:val="single"/>
        </w:rPr>
      </w:pPr>
      <w:r>
        <w:rPr>
          <w:rFonts w:hint="eastAsia" w:ascii="宋体" w:hAnsi="宋体" w:cs="宋体"/>
          <w:bCs/>
          <w:sz w:val="28"/>
          <w:szCs w:val="28"/>
        </w:rPr>
        <w:t>联系电话：</w:t>
      </w:r>
      <w:bookmarkEnd w:id="182"/>
      <w:bookmarkEnd w:id="183"/>
      <w:r>
        <w:rPr>
          <w:rFonts w:hint="eastAsia" w:ascii="宋体" w:hAnsi="宋体" w:cs="宋体"/>
          <w:bCs/>
          <w:sz w:val="28"/>
          <w:szCs w:val="28"/>
          <w:u w:val="single"/>
        </w:rPr>
        <w:t xml:space="preserve">                                                </w:t>
      </w:r>
    </w:p>
    <w:p w14:paraId="79E9E0B2">
      <w:pPr>
        <w:pStyle w:val="10"/>
        <w:ind w:left="980" w:hanging="560" w:hangingChars="200"/>
        <w:rPr>
          <w:rFonts w:ascii="宋体" w:hAnsi="宋体" w:cs="宋体"/>
          <w:bCs/>
          <w:sz w:val="28"/>
          <w:szCs w:val="28"/>
        </w:rPr>
      </w:pPr>
      <w:bookmarkStart w:id="184" w:name="_Toc26465_WPSOffice_Level2"/>
      <w:bookmarkStart w:id="185" w:name="_Toc15933_WPSOffice_Level2"/>
      <w:r>
        <w:rPr>
          <w:rFonts w:hint="eastAsia" w:ascii="宋体" w:hAnsi="宋体" w:cs="宋体"/>
          <w:bCs/>
          <w:sz w:val="28"/>
          <w:szCs w:val="28"/>
        </w:rPr>
        <w:t>日期：</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bookmarkEnd w:id="184"/>
      <w:bookmarkEnd w:id="185"/>
    </w:p>
    <w:p w14:paraId="1C5E139D">
      <w:pPr>
        <w:pStyle w:val="10"/>
        <w:ind w:left="980" w:hanging="560" w:hangingChars="200"/>
        <w:rPr>
          <w:rFonts w:ascii="宋体" w:hAnsi="宋体" w:cs="宋体"/>
          <w:bCs/>
          <w:sz w:val="28"/>
          <w:szCs w:val="28"/>
        </w:rPr>
      </w:pPr>
    </w:p>
    <w:p w14:paraId="602326C1">
      <w:pPr>
        <w:pStyle w:val="10"/>
        <w:ind w:left="980" w:hanging="560" w:hangingChars="200"/>
        <w:rPr>
          <w:rFonts w:ascii="宋体" w:hAnsi="宋体" w:cs="宋体"/>
          <w:bCs/>
          <w:sz w:val="28"/>
          <w:szCs w:val="28"/>
        </w:rPr>
      </w:pPr>
    </w:p>
    <w:p w14:paraId="3F92A736">
      <w:pPr>
        <w:numPr>
          <w:ilvl w:val="0"/>
          <w:numId w:val="11"/>
        </w:numPr>
        <w:rPr>
          <w:rFonts w:ascii="宋体" w:hAnsi="宋体" w:cs="宋体"/>
          <w:b/>
          <w:bCs/>
          <w:sz w:val="32"/>
          <w:szCs w:val="32"/>
        </w:rPr>
      </w:pPr>
      <w:bookmarkStart w:id="186" w:name="_Toc21615"/>
      <w:bookmarkStart w:id="187" w:name="_Toc19430"/>
      <w:bookmarkStart w:id="188" w:name="_Toc497927070"/>
      <w:r>
        <w:rPr>
          <w:rFonts w:hint="eastAsia" w:ascii="宋体" w:hAnsi="宋体" w:cs="宋体"/>
          <w:b/>
          <w:bCs/>
          <w:sz w:val="32"/>
          <w:szCs w:val="32"/>
        </w:rPr>
        <w:t>响应文件组成</w:t>
      </w:r>
      <w:bookmarkEnd w:id="186"/>
      <w:bookmarkEnd w:id="187"/>
      <w:bookmarkEnd w:id="188"/>
    </w:p>
    <w:p w14:paraId="78258813">
      <w:pPr>
        <w:pStyle w:val="9"/>
        <w:rPr>
          <w:rFonts w:ascii="宋体" w:hAnsi="宋体" w:cs="宋体"/>
        </w:rPr>
      </w:pPr>
    </w:p>
    <w:p w14:paraId="52E2295A">
      <w:pPr>
        <w:pStyle w:val="9"/>
        <w:rPr>
          <w:rFonts w:ascii="宋体" w:hAnsi="宋体" w:cs="宋体"/>
        </w:rPr>
      </w:pPr>
    </w:p>
    <w:p w14:paraId="495943A0">
      <w:pPr>
        <w:spacing w:line="400" w:lineRule="exact"/>
        <w:rPr>
          <w:rFonts w:ascii="宋体" w:hAnsi="宋体" w:cs="宋体"/>
          <w:b/>
          <w:bCs/>
          <w:sz w:val="28"/>
          <w:szCs w:val="28"/>
        </w:rPr>
      </w:pPr>
    </w:p>
    <w:p w14:paraId="00843A7A">
      <w:pPr>
        <w:pStyle w:val="9"/>
        <w:rPr>
          <w:rFonts w:ascii="宋体" w:hAnsi="宋体" w:cs="宋体"/>
          <w:b/>
          <w:bCs/>
          <w:sz w:val="28"/>
          <w:szCs w:val="28"/>
        </w:rPr>
      </w:pPr>
    </w:p>
    <w:p w14:paraId="6BC41CA1">
      <w:pPr>
        <w:numPr>
          <w:ilvl w:val="0"/>
          <w:numId w:val="12"/>
        </w:numPr>
        <w:spacing w:line="400" w:lineRule="exact"/>
        <w:ind w:firstLine="565" w:firstLineChars="202"/>
        <w:rPr>
          <w:rFonts w:ascii="宋体" w:hAnsi="宋体" w:cs="宋体"/>
          <w:b/>
          <w:bCs/>
          <w:sz w:val="28"/>
          <w:szCs w:val="28"/>
        </w:rPr>
      </w:pPr>
      <w:r>
        <w:rPr>
          <w:rFonts w:hint="eastAsia" w:ascii="宋体" w:hAnsi="宋体" w:cs="宋体"/>
          <w:b/>
          <w:bCs/>
          <w:sz w:val="28"/>
          <w:szCs w:val="28"/>
        </w:rPr>
        <w:t>资格性响应证明材料</w:t>
      </w:r>
    </w:p>
    <w:p w14:paraId="5D8B432D">
      <w:pPr>
        <w:pStyle w:val="9"/>
        <w:rPr>
          <w:rFonts w:ascii="宋体" w:hAnsi="宋体" w:cs="宋体"/>
          <w:b/>
          <w:bCs/>
          <w:sz w:val="28"/>
          <w:szCs w:val="28"/>
        </w:rPr>
      </w:pPr>
    </w:p>
    <w:p w14:paraId="429CEFF0">
      <w:pPr>
        <w:pStyle w:val="9"/>
        <w:rPr>
          <w:rFonts w:ascii="宋体" w:hAnsi="宋体" w:cs="宋体"/>
          <w:b/>
          <w:bCs/>
          <w:sz w:val="28"/>
          <w:szCs w:val="28"/>
        </w:rPr>
      </w:pPr>
    </w:p>
    <w:p w14:paraId="19AD94D2">
      <w:pPr>
        <w:numPr>
          <w:ilvl w:val="0"/>
          <w:numId w:val="12"/>
        </w:numPr>
        <w:spacing w:line="400" w:lineRule="exact"/>
        <w:ind w:firstLine="565" w:firstLineChars="202"/>
        <w:rPr>
          <w:rFonts w:ascii="宋体" w:hAnsi="宋体" w:cs="宋体"/>
          <w:b/>
          <w:bCs/>
          <w:sz w:val="28"/>
          <w:szCs w:val="28"/>
        </w:rPr>
      </w:pPr>
      <w:r>
        <w:rPr>
          <w:rFonts w:hint="eastAsia" w:ascii="宋体" w:hAnsi="宋体" w:cs="宋体"/>
          <w:b/>
          <w:bCs/>
          <w:sz w:val="28"/>
          <w:szCs w:val="28"/>
        </w:rPr>
        <w:t>符合性响应证明材料</w:t>
      </w:r>
    </w:p>
    <w:p w14:paraId="3332EC78">
      <w:pPr>
        <w:pStyle w:val="9"/>
        <w:rPr>
          <w:rFonts w:ascii="宋体" w:hAnsi="宋体" w:cs="宋体"/>
          <w:b/>
          <w:bCs/>
          <w:sz w:val="28"/>
          <w:szCs w:val="28"/>
        </w:rPr>
      </w:pPr>
    </w:p>
    <w:p w14:paraId="43A68991">
      <w:pPr>
        <w:pStyle w:val="9"/>
        <w:rPr>
          <w:rFonts w:ascii="宋体" w:hAnsi="宋体" w:cs="宋体"/>
          <w:b/>
          <w:bCs/>
          <w:sz w:val="28"/>
          <w:szCs w:val="28"/>
        </w:rPr>
      </w:pPr>
    </w:p>
    <w:p w14:paraId="66F84E93">
      <w:pPr>
        <w:numPr>
          <w:ilvl w:val="0"/>
          <w:numId w:val="12"/>
        </w:numPr>
        <w:spacing w:line="400" w:lineRule="exact"/>
        <w:ind w:firstLine="565" w:firstLineChars="202"/>
        <w:rPr>
          <w:rFonts w:ascii="宋体" w:hAnsi="宋体" w:cs="宋体"/>
          <w:b/>
          <w:bCs/>
          <w:sz w:val="28"/>
          <w:szCs w:val="28"/>
        </w:rPr>
      </w:pPr>
      <w:r>
        <w:rPr>
          <w:rFonts w:hint="eastAsia" w:ascii="宋体" w:hAnsi="宋体" w:cs="宋体"/>
          <w:b/>
          <w:bCs/>
          <w:sz w:val="28"/>
          <w:szCs w:val="28"/>
        </w:rPr>
        <w:t>其他有效证明材料</w:t>
      </w:r>
    </w:p>
    <w:p w14:paraId="5EEB4181">
      <w:pPr>
        <w:pStyle w:val="2"/>
        <w:rPr>
          <w:rFonts w:ascii="宋体" w:hAnsi="宋体" w:cs="宋体"/>
          <w:color w:val="auto"/>
        </w:rPr>
      </w:pPr>
    </w:p>
    <w:p w14:paraId="023CE57B">
      <w:pPr>
        <w:tabs>
          <w:tab w:val="left" w:pos="5040"/>
        </w:tabs>
        <w:spacing w:line="400" w:lineRule="exact"/>
        <w:rPr>
          <w:rFonts w:ascii="宋体" w:hAnsi="宋体" w:cs="宋体"/>
          <w:szCs w:val="21"/>
        </w:rPr>
      </w:pPr>
    </w:p>
    <w:p w14:paraId="753C5D92">
      <w:pPr>
        <w:pStyle w:val="9"/>
        <w:rPr>
          <w:rFonts w:ascii="宋体" w:hAnsi="宋体" w:cs="宋体"/>
          <w:szCs w:val="21"/>
        </w:rPr>
      </w:pPr>
    </w:p>
    <w:p w14:paraId="27DEAB98">
      <w:pPr>
        <w:pStyle w:val="9"/>
        <w:rPr>
          <w:rFonts w:ascii="宋体" w:hAnsi="宋体" w:cs="宋体"/>
          <w:szCs w:val="21"/>
        </w:rPr>
      </w:pPr>
    </w:p>
    <w:p w14:paraId="2469B2DF">
      <w:pPr>
        <w:pStyle w:val="9"/>
        <w:rPr>
          <w:rFonts w:ascii="宋体" w:hAnsi="宋体" w:cs="宋体"/>
          <w:szCs w:val="21"/>
        </w:rPr>
      </w:pPr>
    </w:p>
    <w:p w14:paraId="05FFE7E3">
      <w:pPr>
        <w:pStyle w:val="9"/>
        <w:rPr>
          <w:rFonts w:ascii="宋体" w:hAnsi="宋体" w:cs="宋体"/>
          <w:szCs w:val="21"/>
        </w:rPr>
      </w:pPr>
    </w:p>
    <w:p w14:paraId="456F9EE5">
      <w:pPr>
        <w:rPr>
          <w:rFonts w:ascii="宋体" w:hAnsi="宋体" w:cs="宋体"/>
          <w:szCs w:val="21"/>
        </w:rPr>
      </w:pPr>
    </w:p>
    <w:p w14:paraId="662F9034">
      <w:pPr>
        <w:pStyle w:val="2"/>
        <w:rPr>
          <w:rFonts w:ascii="宋体" w:hAnsi="宋体" w:cs="宋体"/>
          <w:color w:val="auto"/>
          <w:szCs w:val="21"/>
        </w:rPr>
      </w:pPr>
    </w:p>
    <w:p w14:paraId="49BC1300">
      <w:pPr>
        <w:pStyle w:val="2"/>
        <w:rPr>
          <w:rFonts w:ascii="宋体" w:hAnsi="宋体" w:cs="宋体"/>
          <w:color w:val="auto"/>
          <w:szCs w:val="21"/>
        </w:rPr>
      </w:pPr>
    </w:p>
    <w:p w14:paraId="4F31C75B">
      <w:pPr>
        <w:pStyle w:val="2"/>
        <w:rPr>
          <w:rFonts w:ascii="宋体" w:hAnsi="宋体" w:cs="宋体"/>
          <w:color w:val="auto"/>
          <w:szCs w:val="21"/>
        </w:rPr>
      </w:pPr>
    </w:p>
    <w:p w14:paraId="43B9DE87">
      <w:pPr>
        <w:pStyle w:val="2"/>
        <w:rPr>
          <w:rFonts w:ascii="宋体" w:hAnsi="宋体" w:cs="宋体"/>
          <w:color w:val="auto"/>
          <w:szCs w:val="21"/>
        </w:rPr>
      </w:pPr>
    </w:p>
    <w:p w14:paraId="4C9AAD2B">
      <w:pPr>
        <w:pStyle w:val="2"/>
        <w:rPr>
          <w:rFonts w:ascii="宋体" w:hAnsi="宋体" w:cs="宋体"/>
          <w:color w:val="auto"/>
          <w:szCs w:val="21"/>
        </w:rPr>
      </w:pPr>
    </w:p>
    <w:p w14:paraId="64F23970">
      <w:pPr>
        <w:pStyle w:val="2"/>
        <w:rPr>
          <w:rFonts w:ascii="宋体" w:hAnsi="宋体" w:cs="宋体"/>
          <w:color w:val="auto"/>
          <w:szCs w:val="21"/>
        </w:rPr>
      </w:pPr>
    </w:p>
    <w:p w14:paraId="3B927054">
      <w:pPr>
        <w:pStyle w:val="2"/>
        <w:rPr>
          <w:rFonts w:ascii="宋体" w:hAnsi="宋体" w:cs="宋体"/>
          <w:color w:val="auto"/>
          <w:szCs w:val="21"/>
        </w:rPr>
      </w:pPr>
    </w:p>
    <w:p w14:paraId="7BEC1CE8">
      <w:pPr>
        <w:pStyle w:val="2"/>
        <w:rPr>
          <w:rFonts w:ascii="宋体" w:hAnsi="宋体" w:cs="宋体"/>
          <w:color w:val="auto"/>
          <w:szCs w:val="21"/>
        </w:rPr>
      </w:pPr>
    </w:p>
    <w:p w14:paraId="2C1DDAAE">
      <w:pPr>
        <w:pStyle w:val="2"/>
        <w:rPr>
          <w:rFonts w:ascii="宋体" w:hAnsi="宋体" w:cs="宋体"/>
          <w:color w:val="auto"/>
          <w:szCs w:val="21"/>
        </w:rPr>
      </w:pPr>
    </w:p>
    <w:p w14:paraId="105B1C5B">
      <w:pPr>
        <w:pStyle w:val="2"/>
        <w:rPr>
          <w:rFonts w:ascii="宋体" w:hAnsi="宋体" w:cs="宋体"/>
          <w:color w:val="auto"/>
          <w:szCs w:val="21"/>
        </w:rPr>
      </w:pPr>
    </w:p>
    <w:p w14:paraId="125B8C0E">
      <w:pPr>
        <w:pStyle w:val="2"/>
        <w:rPr>
          <w:rFonts w:ascii="宋体" w:hAnsi="宋体" w:cs="宋体"/>
          <w:color w:val="auto"/>
          <w:szCs w:val="21"/>
        </w:rPr>
      </w:pPr>
    </w:p>
    <w:p w14:paraId="5D18A304">
      <w:pPr>
        <w:pStyle w:val="2"/>
        <w:rPr>
          <w:rFonts w:ascii="宋体" w:hAnsi="宋体" w:cs="宋体"/>
          <w:color w:val="auto"/>
          <w:szCs w:val="21"/>
        </w:rPr>
      </w:pPr>
    </w:p>
    <w:p w14:paraId="1532B78F">
      <w:pPr>
        <w:pStyle w:val="2"/>
        <w:rPr>
          <w:rFonts w:ascii="宋体" w:hAnsi="宋体" w:cs="宋体"/>
          <w:color w:val="auto"/>
          <w:szCs w:val="21"/>
        </w:rPr>
      </w:pPr>
    </w:p>
    <w:p w14:paraId="55B89A07">
      <w:pPr>
        <w:pStyle w:val="2"/>
        <w:rPr>
          <w:rFonts w:ascii="宋体" w:hAnsi="宋体" w:cs="宋体"/>
          <w:color w:val="auto"/>
          <w:szCs w:val="21"/>
        </w:rPr>
      </w:pPr>
    </w:p>
    <w:p w14:paraId="25F9D769">
      <w:pPr>
        <w:rPr>
          <w:rFonts w:ascii="宋体" w:hAnsi="宋体" w:cs="宋体"/>
        </w:rPr>
      </w:pPr>
      <w:bookmarkStart w:id="189" w:name="_Toc7185"/>
      <w:bookmarkStart w:id="190" w:name="_Toc11067"/>
      <w:bookmarkStart w:id="191" w:name="_Toc497927071"/>
    </w:p>
    <w:p w14:paraId="7CC99AF4">
      <w:pPr>
        <w:pStyle w:val="6"/>
        <w:jc w:val="center"/>
        <w:rPr>
          <w:rFonts w:ascii="宋体" w:hAnsi="宋体" w:cs="宋体"/>
          <w:sz w:val="32"/>
          <w:szCs w:val="32"/>
        </w:rPr>
      </w:pPr>
      <w:r>
        <w:rPr>
          <w:rFonts w:hint="eastAsia" w:ascii="宋体" w:hAnsi="宋体" w:cs="宋体"/>
          <w:sz w:val="32"/>
          <w:szCs w:val="32"/>
        </w:rPr>
        <w:t>（一）资格性响应证明材料目录</w:t>
      </w:r>
      <w:bookmarkEnd w:id="189"/>
      <w:bookmarkEnd w:id="190"/>
      <w:bookmarkEnd w:id="191"/>
    </w:p>
    <w:p w14:paraId="5D4A6B3D">
      <w:pPr>
        <w:rPr>
          <w:rFonts w:ascii="宋体" w:hAnsi="宋体" w:cs="宋体"/>
        </w:rPr>
      </w:pPr>
    </w:p>
    <w:p w14:paraId="0B00F2E2">
      <w:pPr>
        <w:spacing w:line="360" w:lineRule="auto"/>
        <w:ind w:firstLine="480" w:firstLineChars="200"/>
        <w:rPr>
          <w:rFonts w:ascii="宋体" w:hAnsi="宋体" w:cs="宋体"/>
          <w:sz w:val="24"/>
        </w:rPr>
      </w:pPr>
      <w:r>
        <w:rPr>
          <w:rFonts w:hint="eastAsia" w:ascii="宋体" w:hAnsi="宋体" w:cs="宋体"/>
          <w:sz w:val="24"/>
        </w:rPr>
        <w:t>1.供应商相应的法定代表人、负责人、自然人身份证正反两面复印件</w:t>
      </w:r>
      <w:r>
        <w:rPr>
          <w:rFonts w:hint="eastAsia" w:ascii="宋体" w:hAnsi="宋体" w:cs="宋体"/>
          <w:b/>
          <w:bCs/>
          <w:sz w:val="24"/>
        </w:rPr>
        <w:t>（必须提供）</w:t>
      </w:r>
      <w:r>
        <w:rPr>
          <w:rFonts w:hint="eastAsia" w:ascii="宋体" w:hAnsi="宋体" w:cs="宋体"/>
          <w:sz w:val="24"/>
        </w:rPr>
        <w:t>；</w:t>
      </w:r>
    </w:p>
    <w:p w14:paraId="3E7274E9">
      <w:pPr>
        <w:spacing w:line="360" w:lineRule="auto"/>
        <w:ind w:firstLine="480" w:firstLineChars="200"/>
        <w:rPr>
          <w:rFonts w:ascii="宋体" w:hAnsi="宋体" w:cs="宋体"/>
          <w:sz w:val="24"/>
        </w:rPr>
      </w:pPr>
      <w:r>
        <w:rPr>
          <w:rFonts w:hint="eastAsia" w:ascii="宋体" w:hAnsi="宋体" w:cs="宋体"/>
          <w:sz w:val="24"/>
        </w:rPr>
        <w:t>2.供应商的授权委托书原件、委托代理人身份证正反面复印件以及由县级以上（含县级）社会养老保险经办机构出具的供应商为委托代理人交纳的响应文件递交截止时间前三个月内任意一个月养老保险证明复印件，除供应商为以下三种情形的：</w:t>
      </w:r>
    </w:p>
    <w:p w14:paraId="47FBD9F3">
      <w:pPr>
        <w:spacing w:line="360" w:lineRule="auto"/>
        <w:ind w:firstLine="480" w:firstLineChars="200"/>
        <w:rPr>
          <w:rFonts w:ascii="宋体" w:hAnsi="宋体" w:cs="宋体"/>
          <w:sz w:val="24"/>
        </w:rPr>
      </w:pPr>
      <w:r>
        <w:rPr>
          <w:rFonts w:hint="eastAsia" w:ascii="宋体" w:hAnsi="宋体" w:cs="宋体"/>
          <w:sz w:val="24"/>
        </w:rPr>
        <w:t>（1） 如供应商为截标时间前60日以内成立的公司，可以提供供应商与委托代理人签订的劳动合同复印件代替养老保险证明复印件；</w:t>
      </w:r>
    </w:p>
    <w:p w14:paraId="23E507CF">
      <w:pPr>
        <w:spacing w:line="360" w:lineRule="auto"/>
        <w:ind w:firstLine="480" w:firstLineChars="200"/>
        <w:rPr>
          <w:rFonts w:ascii="宋体" w:hAnsi="宋体" w:cs="宋体"/>
          <w:sz w:val="24"/>
        </w:rPr>
      </w:pPr>
      <w:r>
        <w:rPr>
          <w:rFonts w:hint="eastAsia" w:ascii="宋体" w:hAnsi="宋体" w:cs="宋体"/>
          <w:sz w:val="24"/>
        </w:rPr>
        <w:t>（2）如供应商为事业单位，可以提供事业单位机构编制管理证复印件或事业单位机构为其发放工资的工资条复印件代替养老保险证明复印件；</w:t>
      </w:r>
    </w:p>
    <w:p w14:paraId="24696372">
      <w:pPr>
        <w:spacing w:line="360" w:lineRule="auto"/>
        <w:ind w:firstLine="480" w:firstLineChars="200"/>
        <w:rPr>
          <w:rFonts w:ascii="宋体" w:hAnsi="宋体" w:cs="宋体"/>
          <w:sz w:val="24"/>
        </w:rPr>
      </w:pPr>
      <w:r>
        <w:rPr>
          <w:rFonts w:hint="eastAsia" w:ascii="宋体" w:hAnsi="宋体" w:cs="宋体"/>
          <w:sz w:val="24"/>
        </w:rPr>
        <w:t>（3）如委托代理人为免缴纳社保人员，提供免缴纳社保的证明材料复印件及供应商与委托代理人签订的劳动合同复印件代替养老保险证明复印件。</w:t>
      </w:r>
    </w:p>
    <w:p w14:paraId="7A18DEAF">
      <w:pPr>
        <w:spacing w:line="360" w:lineRule="auto"/>
        <w:ind w:firstLine="480" w:firstLineChars="200"/>
        <w:rPr>
          <w:rFonts w:ascii="宋体" w:hAnsi="宋体" w:cs="宋体"/>
          <w:b/>
          <w:bCs/>
          <w:sz w:val="24"/>
        </w:rPr>
      </w:pPr>
      <w:r>
        <w:rPr>
          <w:rFonts w:hint="eastAsia" w:ascii="宋体" w:hAnsi="宋体" w:cs="宋体"/>
          <w:b/>
          <w:bCs/>
          <w:sz w:val="24"/>
        </w:rPr>
        <w:t>【属自然人的应提供由县级以上（含县级）社会养老保险经办机构出具的自然人本人及委托代理人所交纳的响应文件递交截止时间前三个月内任意一个月养老保险证明复印件</w:t>
      </w:r>
      <w:r>
        <w:rPr>
          <w:rFonts w:hint="eastAsia" w:ascii="宋体" w:hAnsi="宋体" w:cs="宋体"/>
          <w:sz w:val="24"/>
        </w:rPr>
        <w:t>】</w:t>
      </w:r>
      <w:r>
        <w:rPr>
          <w:rFonts w:hint="eastAsia" w:ascii="宋体" w:hAnsi="宋体" w:cs="宋体"/>
          <w:b/>
          <w:bCs/>
          <w:sz w:val="24"/>
        </w:rPr>
        <w:t>（委托代理时必须提供）；</w:t>
      </w:r>
    </w:p>
    <w:p w14:paraId="2723CA59">
      <w:pPr>
        <w:spacing w:line="360" w:lineRule="auto"/>
        <w:ind w:firstLine="480" w:firstLineChars="200"/>
        <w:rPr>
          <w:rFonts w:ascii="宋体" w:hAnsi="宋体" w:cs="宋体"/>
          <w:b/>
          <w:bCs/>
          <w:sz w:val="24"/>
        </w:rPr>
      </w:pPr>
      <w:r>
        <w:rPr>
          <w:rFonts w:hint="eastAsia" w:ascii="宋体" w:hAnsi="宋体" w:cs="宋体"/>
          <w:sz w:val="24"/>
        </w:rPr>
        <w:t>3.供应商参加政府采购活动前3年内在经营活动中没有重大违法记录及有关信用信息的书面声明</w:t>
      </w:r>
      <w:r>
        <w:rPr>
          <w:rFonts w:hint="eastAsia" w:ascii="宋体" w:hAnsi="宋体" w:cs="宋体"/>
          <w:b/>
          <w:bCs/>
          <w:sz w:val="24"/>
        </w:rPr>
        <w:t>（必须提供）；</w:t>
      </w:r>
    </w:p>
    <w:p w14:paraId="23168C07">
      <w:pPr>
        <w:spacing w:line="360" w:lineRule="auto"/>
        <w:ind w:firstLine="480" w:firstLineChars="200"/>
        <w:rPr>
          <w:rFonts w:ascii="宋体" w:hAnsi="宋体" w:cs="宋体"/>
          <w:b/>
          <w:bCs/>
          <w:sz w:val="24"/>
        </w:rPr>
      </w:pPr>
      <w:r>
        <w:rPr>
          <w:rFonts w:hint="eastAsia" w:ascii="宋体" w:hAnsi="宋体" w:cs="宋体"/>
          <w:sz w:val="24"/>
        </w:rPr>
        <w:t>4.供应商的法人或者其他组织营业执照等证明文件复印件</w:t>
      </w:r>
      <w:r>
        <w:rPr>
          <w:rFonts w:hint="eastAsia" w:ascii="宋体" w:hAnsi="宋体" w:cs="宋体"/>
          <w:b/>
          <w:bCs/>
          <w:sz w:val="24"/>
        </w:rPr>
        <w:t>（必须提供，自然人除外）；</w:t>
      </w:r>
    </w:p>
    <w:p w14:paraId="3306BE43">
      <w:pPr>
        <w:spacing w:line="360" w:lineRule="auto"/>
        <w:ind w:firstLine="480" w:firstLineChars="200"/>
        <w:rPr>
          <w:rFonts w:ascii="宋体" w:hAnsi="宋体" w:cs="宋体"/>
          <w:b/>
          <w:bCs/>
          <w:sz w:val="24"/>
        </w:rPr>
      </w:pPr>
      <w:r>
        <w:rPr>
          <w:rFonts w:hint="eastAsia" w:ascii="宋体" w:hAnsi="宋体" w:cs="宋体"/>
          <w:sz w:val="24"/>
        </w:rPr>
        <w:t>5.供应商的财务状况报告（或银行出具的资信证明）</w:t>
      </w:r>
      <w:r>
        <w:rPr>
          <w:rFonts w:hint="eastAsia" w:ascii="宋体" w:hAnsi="宋体" w:cs="宋体"/>
          <w:b/>
          <w:bCs/>
          <w:sz w:val="24"/>
        </w:rPr>
        <w:t>（必须提供）；</w:t>
      </w:r>
    </w:p>
    <w:p w14:paraId="24BDE263">
      <w:pPr>
        <w:spacing w:line="360" w:lineRule="auto"/>
        <w:ind w:firstLine="480" w:firstLineChars="200"/>
        <w:rPr>
          <w:rFonts w:ascii="宋体" w:hAnsi="宋体" w:cs="宋体"/>
          <w:b/>
          <w:bCs/>
          <w:sz w:val="24"/>
        </w:rPr>
      </w:pPr>
      <w:r>
        <w:rPr>
          <w:rFonts w:hint="eastAsia" w:ascii="宋体" w:hAnsi="宋体" w:cs="宋体"/>
          <w:sz w:val="24"/>
        </w:rPr>
        <w:t>6.供应商在磋商当天前近半年内任意一个月或任一季度依法缴纳税收的证明材料（增值税发票(税收完税证明)或企业所得税完税证明或税务部门出具的免税证明）复印件</w:t>
      </w:r>
      <w:r>
        <w:rPr>
          <w:rFonts w:hint="eastAsia" w:ascii="宋体" w:hAnsi="宋体" w:cs="宋体"/>
          <w:b/>
          <w:bCs/>
          <w:sz w:val="24"/>
        </w:rPr>
        <w:t>（必须提供）；</w:t>
      </w:r>
    </w:p>
    <w:p w14:paraId="16E492D9">
      <w:pPr>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w:t>
      </w:r>
      <w:r>
        <w:rPr>
          <w:rFonts w:hint="eastAsia" w:ascii="宋体" w:hAnsi="宋体" w:cs="宋体"/>
          <w:sz w:val="24"/>
        </w:rPr>
        <w:t xml:space="preserve"> 供应商近半年内任意一个月或任一季度依法缴纳社会保障资金的相关材料（必须提供）；</w:t>
      </w:r>
    </w:p>
    <w:p w14:paraId="23A2C5D6">
      <w:pPr>
        <w:pStyle w:val="9"/>
        <w:spacing w:line="360" w:lineRule="auto"/>
        <w:ind w:firstLine="480" w:firstLineChars="200"/>
        <w:rPr>
          <w:rFonts w:ascii="宋体" w:hAnsi="宋体" w:cs="宋体"/>
          <w:sz w:val="24"/>
        </w:rPr>
      </w:pPr>
      <w:r>
        <w:rPr>
          <w:rFonts w:ascii="宋体" w:hAnsi="宋体" w:cs="宋体"/>
          <w:sz w:val="24"/>
        </w:rPr>
        <w:t>8</w:t>
      </w:r>
      <w:r>
        <w:rPr>
          <w:rFonts w:hint="eastAsia" w:ascii="宋体" w:hAnsi="宋体" w:cs="宋体"/>
          <w:sz w:val="24"/>
        </w:rPr>
        <w:t>.《中小企业声明函》（见附件）</w:t>
      </w:r>
      <w:r>
        <w:rPr>
          <w:rFonts w:hint="eastAsia" w:ascii="宋体" w:hAnsi="宋体" w:cs="宋体"/>
          <w:b/>
          <w:bCs/>
          <w:sz w:val="24"/>
        </w:rPr>
        <w:t>（如有，请提供）</w:t>
      </w:r>
      <w:r>
        <w:rPr>
          <w:rFonts w:hint="eastAsia" w:ascii="宋体" w:hAnsi="宋体" w:cs="宋体"/>
          <w:sz w:val="24"/>
        </w:rPr>
        <w:t>；</w:t>
      </w:r>
    </w:p>
    <w:p w14:paraId="368C5C5D">
      <w:pPr>
        <w:pStyle w:val="9"/>
        <w:spacing w:line="360" w:lineRule="auto"/>
        <w:ind w:firstLine="480" w:firstLineChars="200"/>
        <w:rPr>
          <w:rFonts w:ascii="宋体" w:hAnsi="宋体" w:cs="宋体"/>
          <w:sz w:val="24"/>
        </w:rPr>
      </w:pPr>
      <w:r>
        <w:rPr>
          <w:rFonts w:ascii="宋体" w:hAnsi="宋体" w:cs="宋体"/>
          <w:sz w:val="24"/>
        </w:rPr>
        <w:t>9</w:t>
      </w:r>
      <w:r>
        <w:rPr>
          <w:rFonts w:hint="eastAsia" w:ascii="宋体" w:hAnsi="宋体" w:cs="宋体"/>
          <w:sz w:val="24"/>
        </w:rPr>
        <w:t>.如提供服务的供应商属于监狱企业的，应当提供由省级以上监狱管理局、戒毒管理局等（含新疆生产建设兵团）出具的属于监狱企业的证明文件, 否则不予享受优惠政策</w:t>
      </w:r>
      <w:r>
        <w:rPr>
          <w:rFonts w:hint="eastAsia" w:ascii="宋体" w:hAnsi="宋体" w:cs="宋体"/>
          <w:b/>
          <w:bCs/>
          <w:sz w:val="24"/>
        </w:rPr>
        <w:t>（如有，请提供）</w:t>
      </w:r>
      <w:r>
        <w:rPr>
          <w:rFonts w:hint="eastAsia" w:ascii="宋体" w:hAnsi="宋体" w:cs="宋体"/>
          <w:sz w:val="24"/>
        </w:rPr>
        <w:t>；</w:t>
      </w:r>
    </w:p>
    <w:p w14:paraId="41C02969">
      <w:pPr>
        <w:pStyle w:val="9"/>
        <w:spacing w:line="360" w:lineRule="auto"/>
        <w:ind w:left="420" w:leftChars="200"/>
        <w:rPr>
          <w:rFonts w:ascii="宋体" w:hAnsi="宋体" w:cs="宋体"/>
          <w:sz w:val="24"/>
        </w:rPr>
      </w:pPr>
      <w:r>
        <w:rPr>
          <w:rFonts w:ascii="宋体" w:hAnsi="宋体" w:cs="宋体"/>
          <w:sz w:val="24"/>
        </w:rPr>
        <w:t>10</w:t>
      </w:r>
      <w:r>
        <w:rPr>
          <w:rFonts w:hint="eastAsia" w:ascii="宋体" w:hAnsi="宋体" w:cs="宋体"/>
          <w:sz w:val="24"/>
        </w:rPr>
        <w:t>.符合条件的残疾人福利性单位在参加政府采购活动时，应当提供《残疾人福利性单位声明函》（见附件），并对声明的真实性负责；</w:t>
      </w:r>
      <w:r>
        <w:rPr>
          <w:rFonts w:hint="eastAsia" w:ascii="宋体" w:hAnsi="宋体" w:cs="宋体"/>
          <w:b/>
          <w:bCs/>
          <w:sz w:val="24"/>
        </w:rPr>
        <w:t>（如有，请提供）。</w:t>
      </w:r>
    </w:p>
    <w:p w14:paraId="040181E2">
      <w:pPr>
        <w:pStyle w:val="2"/>
        <w:rPr>
          <w:rFonts w:ascii="宋体" w:hAnsi="宋体" w:cs="宋体"/>
          <w:color w:val="auto"/>
        </w:rPr>
      </w:pPr>
    </w:p>
    <w:p w14:paraId="70EAAC5E">
      <w:pPr>
        <w:pStyle w:val="2"/>
        <w:rPr>
          <w:rFonts w:ascii="宋体" w:hAnsi="宋体" w:cs="宋体"/>
          <w:color w:val="auto"/>
        </w:rPr>
      </w:pPr>
    </w:p>
    <w:p w14:paraId="3EDF99FC">
      <w:pPr>
        <w:pStyle w:val="2"/>
        <w:rPr>
          <w:rFonts w:ascii="宋体" w:hAnsi="宋体" w:cs="宋体"/>
          <w:color w:val="auto"/>
        </w:rPr>
      </w:pPr>
    </w:p>
    <w:p w14:paraId="48E05B52">
      <w:pPr>
        <w:spacing w:line="440" w:lineRule="atLeast"/>
        <w:rPr>
          <w:rFonts w:ascii="宋体" w:hAnsi="宋体" w:cs="宋体"/>
          <w:b/>
          <w:sz w:val="28"/>
          <w:szCs w:val="28"/>
        </w:rPr>
      </w:pPr>
      <w:r>
        <w:rPr>
          <w:rFonts w:hint="eastAsia" w:ascii="宋体" w:hAnsi="宋体" w:cs="宋体"/>
          <w:b/>
          <w:sz w:val="28"/>
          <w:szCs w:val="28"/>
        </w:rPr>
        <w:t>1.供应商相应的法定代表人、负责人、自然人身份证正反两面复印件（必须提供）；</w:t>
      </w:r>
    </w:p>
    <w:p w14:paraId="621C36AC">
      <w:pPr>
        <w:spacing w:line="440" w:lineRule="atLeast"/>
        <w:rPr>
          <w:rFonts w:ascii="宋体" w:hAnsi="宋体" w:cs="宋体"/>
          <w:b/>
          <w:sz w:val="28"/>
          <w:szCs w:val="28"/>
        </w:rPr>
      </w:pPr>
    </w:p>
    <w:p w14:paraId="6F6A552D">
      <w:pPr>
        <w:spacing w:line="440" w:lineRule="atLeast"/>
        <w:rPr>
          <w:rFonts w:ascii="宋体" w:hAnsi="宋体" w:cs="宋体"/>
          <w:b/>
          <w:sz w:val="28"/>
          <w:szCs w:val="28"/>
        </w:rPr>
      </w:pPr>
      <w:r>
        <w:rPr>
          <w:rFonts w:hint="eastAsia" w:ascii="宋体" w:hAnsi="宋体" w:cs="宋体"/>
          <w:b/>
          <w:sz w:val="28"/>
          <w:szCs w:val="28"/>
        </w:rPr>
        <w:t>2.供应商的授权委托书原件、委托代理人身份证正反面复印件以及由县级以上（含县级）社会养老保险经办机构出具的供应商为委托代理人交纳的响应文件递交截止时间前三个月内任意一个月养老保险证明复印件，除供应商为以下三种情形的：</w:t>
      </w:r>
    </w:p>
    <w:p w14:paraId="5D528061">
      <w:pPr>
        <w:spacing w:line="440" w:lineRule="atLeast"/>
        <w:rPr>
          <w:rFonts w:ascii="宋体" w:hAnsi="宋体" w:cs="宋体"/>
          <w:b/>
          <w:sz w:val="28"/>
          <w:szCs w:val="28"/>
        </w:rPr>
      </w:pPr>
      <w:r>
        <w:rPr>
          <w:rFonts w:hint="eastAsia" w:ascii="宋体" w:hAnsi="宋体" w:cs="宋体"/>
          <w:b/>
          <w:sz w:val="28"/>
          <w:szCs w:val="28"/>
        </w:rPr>
        <w:t>（1） 如供应商为截标时间前60日以内成立的公司，可以提供供应商与委托代理人签订的劳动合同复印件代替养老保险证明复印件；</w:t>
      </w:r>
    </w:p>
    <w:p w14:paraId="4113EBC5">
      <w:pPr>
        <w:spacing w:line="440" w:lineRule="atLeast"/>
        <w:rPr>
          <w:rFonts w:ascii="宋体" w:hAnsi="宋体" w:cs="宋体"/>
          <w:b/>
          <w:sz w:val="28"/>
          <w:szCs w:val="28"/>
        </w:rPr>
      </w:pPr>
      <w:r>
        <w:rPr>
          <w:rFonts w:hint="eastAsia" w:ascii="宋体" w:hAnsi="宋体" w:cs="宋体"/>
          <w:b/>
          <w:sz w:val="28"/>
          <w:szCs w:val="28"/>
        </w:rPr>
        <w:t>（2）如供应商为事业单位，可以提供事业单位机构编制管理证复印件或事业单位机构为其发放工资的工资条复印件代替养老保险证明复印件；</w:t>
      </w:r>
    </w:p>
    <w:p w14:paraId="3448B8F0">
      <w:pPr>
        <w:spacing w:line="440" w:lineRule="atLeast"/>
        <w:rPr>
          <w:rFonts w:ascii="宋体" w:hAnsi="宋体" w:cs="宋体"/>
          <w:b/>
          <w:sz w:val="28"/>
          <w:szCs w:val="28"/>
        </w:rPr>
      </w:pPr>
      <w:r>
        <w:rPr>
          <w:rFonts w:hint="eastAsia" w:ascii="宋体" w:hAnsi="宋体" w:cs="宋体"/>
          <w:b/>
          <w:sz w:val="28"/>
          <w:szCs w:val="28"/>
        </w:rPr>
        <w:t>（3）如委托代理人为免缴纳社保人员，提供免缴纳社保的证明材料复印件及供应商与委托代理人签订的劳动合同复印件代替养老保险证明复印件。</w:t>
      </w:r>
    </w:p>
    <w:p w14:paraId="64EB96E4">
      <w:pPr>
        <w:spacing w:line="440" w:lineRule="atLeast"/>
        <w:rPr>
          <w:rFonts w:ascii="宋体" w:hAnsi="宋体" w:cs="宋体"/>
          <w:b/>
          <w:sz w:val="28"/>
          <w:szCs w:val="28"/>
        </w:rPr>
      </w:pPr>
      <w:r>
        <w:rPr>
          <w:rFonts w:hint="eastAsia" w:ascii="宋体" w:hAnsi="宋体" w:cs="宋体"/>
          <w:b/>
          <w:sz w:val="28"/>
          <w:szCs w:val="28"/>
        </w:rPr>
        <w:t>【属自然人的应提供由县级以上（含县级）社会养老保险经办机构出具的自然人本人及委托代理人所交纳的响应文件递交截止时间前三个月内任意一个月养老保险证明复印件】（委托代理时必须提供；如为联合体的，授权委托书原件须由牵头人出具）</w:t>
      </w:r>
    </w:p>
    <w:p w14:paraId="3D08A283">
      <w:pPr>
        <w:spacing w:line="440" w:lineRule="atLeast"/>
        <w:rPr>
          <w:rFonts w:ascii="宋体" w:hAnsi="宋体" w:cs="宋体"/>
          <w:b/>
          <w:sz w:val="28"/>
          <w:szCs w:val="28"/>
        </w:rPr>
      </w:pPr>
    </w:p>
    <w:p w14:paraId="0F4F54D5">
      <w:pPr>
        <w:pStyle w:val="12"/>
        <w:rPr>
          <w:rFonts w:hAnsi="宋体" w:cs="宋体"/>
          <w:b/>
          <w:sz w:val="32"/>
        </w:rPr>
      </w:pPr>
    </w:p>
    <w:p w14:paraId="71762FAA">
      <w:pPr>
        <w:rPr>
          <w:rFonts w:ascii="宋体" w:hAnsi="宋体" w:cs="宋体"/>
          <w:b/>
          <w:sz w:val="32"/>
        </w:rPr>
      </w:pPr>
    </w:p>
    <w:p w14:paraId="5E0F871D">
      <w:pPr>
        <w:pStyle w:val="9"/>
        <w:rPr>
          <w:rFonts w:ascii="宋体" w:hAnsi="宋体" w:cs="宋体"/>
          <w:b/>
          <w:sz w:val="32"/>
        </w:rPr>
      </w:pPr>
    </w:p>
    <w:p w14:paraId="14BF5534">
      <w:pPr>
        <w:pStyle w:val="9"/>
        <w:rPr>
          <w:rFonts w:ascii="宋体" w:hAnsi="宋体" w:cs="宋体"/>
          <w:b/>
          <w:sz w:val="32"/>
        </w:rPr>
      </w:pPr>
    </w:p>
    <w:p w14:paraId="0B34746D">
      <w:pPr>
        <w:rPr>
          <w:rFonts w:ascii="宋体" w:hAnsi="宋体" w:cs="宋体"/>
        </w:rPr>
      </w:pPr>
    </w:p>
    <w:p w14:paraId="7663267A">
      <w:pPr>
        <w:pStyle w:val="4"/>
        <w:rPr>
          <w:rFonts w:ascii="宋体" w:hAnsi="宋体" w:cs="宋体"/>
        </w:rPr>
      </w:pPr>
    </w:p>
    <w:p w14:paraId="54C80EF4">
      <w:pPr>
        <w:rPr>
          <w:rFonts w:ascii="宋体" w:hAnsi="宋体" w:cs="宋体"/>
        </w:rPr>
      </w:pPr>
    </w:p>
    <w:p w14:paraId="19F29191">
      <w:pPr>
        <w:pStyle w:val="12"/>
        <w:rPr>
          <w:rFonts w:hAnsi="宋体" w:cs="宋体"/>
          <w:b/>
          <w:sz w:val="32"/>
        </w:rPr>
      </w:pPr>
      <w:r>
        <w:rPr>
          <w:rFonts w:hint="eastAsia" w:hAnsi="宋体" w:cs="宋体"/>
          <w:b/>
          <w:sz w:val="32"/>
        </w:rPr>
        <w:t xml:space="preserve">附件：            </w:t>
      </w:r>
    </w:p>
    <w:p w14:paraId="09C722DF">
      <w:pPr>
        <w:pStyle w:val="12"/>
        <w:ind w:firstLine="627" w:firstLineChars="196"/>
        <w:jc w:val="center"/>
        <w:rPr>
          <w:rFonts w:hAnsi="宋体" w:cs="宋体"/>
          <w:b/>
          <w:sz w:val="32"/>
        </w:rPr>
      </w:pPr>
      <w:bookmarkStart w:id="192" w:name="_Toc964_WPSOffice_Level1"/>
      <w:bookmarkStart w:id="193" w:name="_Toc5420_WPSOffice_Level1"/>
      <w:r>
        <w:rPr>
          <w:rFonts w:hint="eastAsia" w:hAnsi="宋体" w:cs="宋体"/>
          <w:b/>
          <w:sz w:val="32"/>
        </w:rPr>
        <w:t>授权委托书（格式一）</w:t>
      </w:r>
      <w:bookmarkEnd w:id="192"/>
      <w:bookmarkEnd w:id="193"/>
    </w:p>
    <w:p w14:paraId="37918B85">
      <w:pPr>
        <w:pStyle w:val="12"/>
        <w:rPr>
          <w:rFonts w:hAnsi="宋体" w:cs="宋体"/>
        </w:rPr>
      </w:pPr>
    </w:p>
    <w:p w14:paraId="65A2443B">
      <w:pPr>
        <w:spacing w:line="400" w:lineRule="exact"/>
        <w:rPr>
          <w:rFonts w:ascii="宋体" w:hAnsi="宋体" w:cs="宋体"/>
        </w:rPr>
      </w:pPr>
      <w:r>
        <w:rPr>
          <w:rFonts w:hint="eastAsia" w:ascii="宋体" w:hAnsi="宋体" w:cs="宋体"/>
          <w:szCs w:val="21"/>
        </w:rPr>
        <w:t>致：</w:t>
      </w:r>
      <w:r>
        <w:rPr>
          <w:rFonts w:hint="eastAsia" w:ascii="宋体" w:hAnsi="宋体" w:cs="宋体"/>
          <w:szCs w:val="21"/>
          <w:u w:val="single"/>
        </w:rPr>
        <w:t xml:space="preserve"> 广西安臻工程管理有限公司 </w:t>
      </w:r>
    </w:p>
    <w:p w14:paraId="1D208040">
      <w:pPr>
        <w:spacing w:line="400" w:lineRule="exact"/>
        <w:rPr>
          <w:rFonts w:ascii="宋体" w:hAnsi="宋体" w:cs="宋体"/>
          <w:szCs w:val="21"/>
        </w:rPr>
      </w:pPr>
    </w:p>
    <w:p w14:paraId="02E4D18C">
      <w:pPr>
        <w:pStyle w:val="12"/>
        <w:spacing w:line="400" w:lineRule="exact"/>
        <w:ind w:firstLine="420" w:firstLineChars="200"/>
        <w:rPr>
          <w:rFonts w:hAnsi="宋体" w:cs="宋体"/>
        </w:rPr>
      </w:pPr>
      <w:r>
        <w:rPr>
          <w:rFonts w:hint="eastAsia" w:hAnsi="宋体" w:cs="宋体"/>
          <w:kern w:val="0"/>
        </w:rPr>
        <w:t>我</w:t>
      </w:r>
      <w:r>
        <w:rPr>
          <w:rFonts w:hint="eastAsia" w:hAnsi="宋体" w:cs="宋体"/>
          <w:kern w:val="0"/>
          <w:u w:val="single"/>
        </w:rPr>
        <w:t xml:space="preserve">              </w:t>
      </w:r>
      <w:r>
        <w:rPr>
          <w:rFonts w:hint="eastAsia" w:hAnsi="宋体" w:cs="宋体"/>
          <w:kern w:val="0"/>
        </w:rPr>
        <w:t>（姓名）系</w:t>
      </w:r>
      <w:r>
        <w:rPr>
          <w:rFonts w:hint="eastAsia" w:hAnsi="宋体" w:cs="宋体"/>
          <w:kern w:val="0"/>
          <w:u w:val="single"/>
        </w:rPr>
        <w:t xml:space="preserve">                              </w:t>
      </w:r>
      <w:r>
        <w:rPr>
          <w:rFonts w:hint="eastAsia" w:hAnsi="宋体" w:cs="宋体"/>
          <w:kern w:val="0"/>
        </w:rPr>
        <w:t>（供应商名称）的法定代表人（负责人），现授权委托本单位在职职工</w:t>
      </w:r>
      <w:r>
        <w:rPr>
          <w:rFonts w:hint="eastAsia" w:hAnsi="宋体" w:cs="宋体"/>
          <w:kern w:val="0"/>
          <w:u w:val="single"/>
        </w:rPr>
        <w:t xml:space="preserve">            </w:t>
      </w:r>
      <w:r>
        <w:rPr>
          <w:rFonts w:hint="eastAsia" w:hAnsi="宋体" w:cs="宋体"/>
          <w:kern w:val="0"/>
        </w:rPr>
        <w:t>（姓 名）以我公司名义参加</w:t>
      </w:r>
      <w:r>
        <w:rPr>
          <w:rFonts w:hint="eastAsia" w:hAnsi="宋体" w:cs="宋体"/>
          <w:kern w:val="0"/>
          <w:u w:val="single"/>
        </w:rPr>
        <w:t xml:space="preserve">      </w:t>
      </w:r>
      <w:r>
        <w:rPr>
          <w:rFonts w:hint="eastAsia" w:hAnsi="宋体" w:cs="宋体"/>
          <w:u w:val="single"/>
        </w:rPr>
        <w:t xml:space="preserve">（项目名称及项目编号）        </w:t>
      </w:r>
      <w:r>
        <w:rPr>
          <w:rFonts w:hint="eastAsia" w:hAnsi="宋体" w:cs="宋体"/>
        </w:rPr>
        <w:t>项目的磋商活动，并代表我方全权办理针对上述项目的磋商、签约等具体事务和签署相关文件。</w:t>
      </w:r>
    </w:p>
    <w:p w14:paraId="1F47A77A">
      <w:pPr>
        <w:pStyle w:val="12"/>
        <w:spacing w:line="400" w:lineRule="exact"/>
        <w:ind w:firstLine="420" w:firstLineChars="200"/>
        <w:rPr>
          <w:rFonts w:hAnsi="宋体" w:cs="宋体"/>
        </w:rPr>
      </w:pPr>
      <w:r>
        <w:rPr>
          <w:rFonts w:hint="eastAsia" w:hAnsi="宋体" w:cs="宋体"/>
        </w:rPr>
        <w:t>我方对被授权人的签字事项负全部责任。</w:t>
      </w:r>
    </w:p>
    <w:p w14:paraId="1AF0AEF8">
      <w:pPr>
        <w:pStyle w:val="12"/>
        <w:spacing w:line="400" w:lineRule="exact"/>
        <w:ind w:firstLine="420" w:firstLineChars="200"/>
        <w:rPr>
          <w:rFonts w:hAnsi="宋体" w:cs="宋体"/>
          <w:u w:val="single"/>
        </w:rPr>
      </w:pPr>
      <w:r>
        <w:rPr>
          <w:rFonts w:hint="eastAsia" w:hAnsi="宋体" w:cs="宋体"/>
        </w:rPr>
        <w:t>授权委托代理期限：从</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 xml:space="preserve"> 日起至</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日止。</w:t>
      </w:r>
    </w:p>
    <w:p w14:paraId="1E751AB1">
      <w:pPr>
        <w:pStyle w:val="12"/>
        <w:spacing w:line="400" w:lineRule="exact"/>
        <w:rPr>
          <w:rFonts w:hAnsi="宋体" w:cs="宋体"/>
          <w:u w:val="single"/>
        </w:rPr>
      </w:pPr>
      <w:r>
        <w:rPr>
          <w:rFonts w:hint="eastAsia" w:hAnsi="宋体" w:cs="宋体"/>
        </w:rPr>
        <w:t xml:space="preserve">                                                                                             </w:t>
      </w:r>
    </w:p>
    <w:p w14:paraId="0D8DAD6E">
      <w:pPr>
        <w:spacing w:line="400" w:lineRule="exact"/>
        <w:ind w:firstLine="420" w:firstLineChars="200"/>
        <w:rPr>
          <w:rFonts w:ascii="宋体" w:hAnsi="宋体" w:cs="宋体"/>
          <w:kern w:val="0"/>
        </w:rPr>
      </w:pPr>
      <w:r>
        <w:rPr>
          <w:rFonts w:hint="eastAsia" w:ascii="宋体" w:hAnsi="宋体" w:cs="宋体"/>
          <w:kern w:val="0"/>
        </w:rPr>
        <w:t xml:space="preserve">代理人无转委托权,特此委托。 </w:t>
      </w:r>
    </w:p>
    <w:p w14:paraId="0F43001F">
      <w:pPr>
        <w:spacing w:line="400" w:lineRule="exact"/>
        <w:ind w:firstLine="420" w:firstLineChars="200"/>
        <w:rPr>
          <w:rFonts w:ascii="宋体" w:hAnsi="宋体" w:cs="宋体"/>
          <w:kern w:val="0"/>
        </w:rPr>
      </w:pPr>
    </w:p>
    <w:p w14:paraId="186870B8">
      <w:pPr>
        <w:spacing w:line="400" w:lineRule="exact"/>
        <w:ind w:firstLine="420" w:firstLineChars="200"/>
        <w:rPr>
          <w:rFonts w:ascii="宋体" w:hAnsi="宋体" w:cs="宋体"/>
          <w:szCs w:val="21"/>
        </w:rPr>
      </w:pPr>
      <w:r>
        <w:rPr>
          <w:rFonts w:hint="eastAsia" w:ascii="宋体" w:hAnsi="宋体" w:cs="宋体"/>
          <w:szCs w:val="21"/>
        </w:rPr>
        <w:t>我已在下面签字，以资证明。</w:t>
      </w:r>
    </w:p>
    <w:p w14:paraId="79B8F2F2">
      <w:pPr>
        <w:spacing w:line="400" w:lineRule="exact"/>
        <w:ind w:firstLine="420" w:firstLineChars="200"/>
        <w:rPr>
          <w:rFonts w:ascii="宋体" w:hAnsi="宋体" w:cs="宋体"/>
          <w:szCs w:val="21"/>
        </w:rPr>
      </w:pPr>
    </w:p>
    <w:p w14:paraId="474D1F48">
      <w:pPr>
        <w:spacing w:line="400" w:lineRule="exact"/>
        <w:ind w:firstLine="420" w:firstLineChars="200"/>
        <w:rPr>
          <w:rFonts w:ascii="宋体" w:hAnsi="宋体" w:cs="宋体"/>
          <w:szCs w:val="21"/>
        </w:rPr>
      </w:pPr>
    </w:p>
    <w:p w14:paraId="74B5E040">
      <w:pPr>
        <w:snapToGrid w:val="0"/>
        <w:spacing w:line="400" w:lineRule="exact"/>
        <w:ind w:firstLine="420"/>
        <w:rPr>
          <w:rFonts w:ascii="宋体" w:hAnsi="宋体" w:cs="宋体"/>
          <w:szCs w:val="21"/>
          <w:u w:val="single"/>
        </w:rPr>
      </w:pPr>
      <w:r>
        <w:rPr>
          <w:rFonts w:hint="eastAsia" w:ascii="宋体" w:hAnsi="宋体" w:cs="宋体"/>
          <w:szCs w:val="21"/>
        </w:rPr>
        <w:t>磋商供应商[公章（CA签章）]：</w:t>
      </w:r>
      <w:r>
        <w:rPr>
          <w:rFonts w:hint="eastAsia" w:ascii="宋体" w:hAnsi="宋体" w:cs="宋体"/>
          <w:szCs w:val="21"/>
          <w:u w:val="single"/>
        </w:rPr>
        <w:t xml:space="preserve">                                   </w:t>
      </w:r>
    </w:p>
    <w:p w14:paraId="0068E1F4">
      <w:pPr>
        <w:snapToGrid w:val="0"/>
        <w:spacing w:line="400" w:lineRule="exact"/>
        <w:ind w:firstLine="420"/>
        <w:rPr>
          <w:rFonts w:ascii="宋体" w:hAnsi="宋体" w:cs="宋体"/>
          <w:szCs w:val="21"/>
        </w:rPr>
      </w:pPr>
    </w:p>
    <w:p w14:paraId="52B0F3EE">
      <w:pPr>
        <w:snapToGrid w:val="0"/>
        <w:spacing w:line="400" w:lineRule="exact"/>
        <w:ind w:firstLine="420"/>
        <w:rPr>
          <w:rFonts w:ascii="宋体" w:hAnsi="宋体" w:cs="宋体"/>
          <w:szCs w:val="21"/>
        </w:rPr>
      </w:pPr>
      <w:r>
        <w:rPr>
          <w:rFonts w:hint="eastAsia" w:ascii="宋体" w:hAnsi="宋体" w:cs="宋体"/>
          <w:szCs w:val="21"/>
        </w:rPr>
        <w:t>法定代表人（负责人）签字（或个人CA签章）：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98AC455">
      <w:pPr>
        <w:snapToGrid w:val="0"/>
        <w:spacing w:line="400" w:lineRule="exact"/>
        <w:ind w:firstLine="420"/>
        <w:rPr>
          <w:rFonts w:ascii="宋体" w:hAnsi="宋体" w:cs="宋体"/>
          <w:szCs w:val="21"/>
        </w:rPr>
      </w:pPr>
    </w:p>
    <w:p w14:paraId="0B9AD510">
      <w:pPr>
        <w:pStyle w:val="9"/>
        <w:rPr>
          <w:rFonts w:ascii="宋体" w:hAnsi="宋体" w:cs="宋体"/>
        </w:rPr>
      </w:pPr>
    </w:p>
    <w:p w14:paraId="4DEC74AB">
      <w:pPr>
        <w:pStyle w:val="12"/>
        <w:spacing w:line="340" w:lineRule="exact"/>
        <w:ind w:firstLine="480" w:firstLineChars="200"/>
        <w:rPr>
          <w:rFonts w:hAnsi="宋体" w:cs="宋体"/>
        </w:rPr>
      </w:pPr>
      <w:r>
        <w:rPr>
          <w:rFonts w:hint="eastAsia" w:hAnsi="宋体" w:cs="宋体"/>
          <w:b/>
          <w:color w:val="000000"/>
          <w:sz w:val="24"/>
        </w:rPr>
        <w:t>注：投标人的授权委托书原件、委托代理人身份证正反面复印件以及由县级以上（含县级）社会养老保险经办机构出具的投标人为委托代理人交纳的开标截止时间前三个月内任意一个月养老保险证明复印件（如投标人为截标时间前60日以内成立的公司，可以提供投标人与委托代理人签订的劳动合同复印件代替养老保险证明复印件；如投标人为事业单位，可以提供事业单位机构编制管理证复印件或事业单位机构为其发放工资的工资条复印件代替养老保险证明复印件；如委托代理人为免缴纳社保人员，提供免缴纳社保的证明材料复印件及投标人与委托代理人签订的劳动合同复印件代替养老保险证明复印件）委托代理时必须提供。</w:t>
      </w:r>
    </w:p>
    <w:p w14:paraId="0344A442">
      <w:pPr>
        <w:pStyle w:val="12"/>
        <w:spacing w:line="340" w:lineRule="exact"/>
        <w:ind w:firstLine="420" w:firstLineChars="200"/>
        <w:rPr>
          <w:rFonts w:hAnsi="宋体" w:cs="宋体"/>
        </w:rPr>
      </w:pPr>
    </w:p>
    <w:p w14:paraId="7B5E2D2C">
      <w:pPr>
        <w:pStyle w:val="9"/>
        <w:rPr>
          <w:rFonts w:ascii="宋体" w:hAnsi="宋体" w:cs="宋体"/>
        </w:rPr>
      </w:pPr>
    </w:p>
    <w:p w14:paraId="66F7EFD7">
      <w:pPr>
        <w:pStyle w:val="9"/>
        <w:rPr>
          <w:rFonts w:ascii="宋体" w:hAnsi="宋体" w:cs="宋体"/>
        </w:rPr>
      </w:pPr>
    </w:p>
    <w:p w14:paraId="50B8E971">
      <w:pPr>
        <w:pStyle w:val="9"/>
        <w:rPr>
          <w:rFonts w:ascii="宋体" w:hAnsi="宋体" w:cs="宋体"/>
        </w:rPr>
      </w:pPr>
    </w:p>
    <w:p w14:paraId="60E061D3">
      <w:pPr>
        <w:rPr>
          <w:rFonts w:ascii="宋体" w:hAnsi="宋体" w:cs="宋体"/>
        </w:rPr>
      </w:pPr>
    </w:p>
    <w:p w14:paraId="1B15CA53">
      <w:pPr>
        <w:pStyle w:val="4"/>
        <w:rPr>
          <w:rFonts w:ascii="宋体" w:hAnsi="宋体" w:cs="宋体"/>
          <w:color w:val="auto"/>
        </w:rPr>
      </w:pPr>
    </w:p>
    <w:p w14:paraId="2DFF907E"/>
    <w:p w14:paraId="40571068">
      <w:pPr>
        <w:pStyle w:val="12"/>
        <w:jc w:val="center"/>
        <w:rPr>
          <w:rFonts w:hAnsi="宋体" w:cs="宋体"/>
          <w:b/>
          <w:sz w:val="32"/>
        </w:rPr>
      </w:pPr>
      <w:bookmarkStart w:id="194" w:name="_Toc21370_WPSOffice_Level1"/>
      <w:bookmarkStart w:id="195" w:name="_Toc6975_WPSOffice_Level1"/>
      <w:r>
        <w:rPr>
          <w:rFonts w:hint="eastAsia" w:hAnsi="宋体" w:cs="宋体"/>
          <w:b/>
          <w:sz w:val="32"/>
        </w:rPr>
        <w:t>授权委托书（格式二）</w:t>
      </w:r>
      <w:bookmarkEnd w:id="194"/>
      <w:bookmarkEnd w:id="195"/>
    </w:p>
    <w:p w14:paraId="671D4F6E">
      <w:pPr>
        <w:pStyle w:val="12"/>
        <w:rPr>
          <w:rFonts w:hAnsi="宋体" w:cs="宋体"/>
          <w:b/>
          <w:sz w:val="32"/>
        </w:rPr>
      </w:pPr>
    </w:p>
    <w:p w14:paraId="6A7D0D25">
      <w:pPr>
        <w:pStyle w:val="12"/>
        <w:rPr>
          <w:rFonts w:hAnsi="宋体" w:cs="宋体"/>
          <w:szCs w:val="21"/>
          <w:u w:val="single"/>
        </w:rPr>
      </w:pPr>
      <w:r>
        <w:rPr>
          <w:rFonts w:hint="eastAsia" w:hAnsi="宋体" w:cs="宋体"/>
          <w:b/>
          <w:szCs w:val="21"/>
        </w:rPr>
        <w:t>致</w:t>
      </w:r>
      <w:r>
        <w:rPr>
          <w:rFonts w:hint="eastAsia" w:hAnsi="宋体" w:cs="宋体"/>
          <w:szCs w:val="21"/>
        </w:rPr>
        <w:t>：</w:t>
      </w:r>
      <w:r>
        <w:rPr>
          <w:rFonts w:hint="eastAsia" w:hAnsi="宋体" w:cs="宋体"/>
          <w:szCs w:val="21"/>
          <w:u w:val="single"/>
        </w:rPr>
        <w:t xml:space="preserve"> 广西安臻工程管理有限公司 </w:t>
      </w:r>
    </w:p>
    <w:p w14:paraId="5A6E2AA4">
      <w:pPr>
        <w:rPr>
          <w:rFonts w:ascii="宋体" w:hAnsi="宋体" w:cs="宋体"/>
        </w:rPr>
      </w:pPr>
    </w:p>
    <w:p w14:paraId="4F66CC7D">
      <w:pPr>
        <w:pStyle w:val="12"/>
        <w:spacing w:line="340" w:lineRule="exact"/>
        <w:ind w:firstLine="420" w:firstLineChars="200"/>
        <w:rPr>
          <w:rFonts w:hAnsi="宋体" w:cs="宋体"/>
        </w:rPr>
      </w:pPr>
      <w:r>
        <w:rPr>
          <w:rFonts w:hint="eastAsia" w:hAnsi="宋体" w:cs="宋体"/>
          <w:kern w:val="0"/>
        </w:rPr>
        <w:t>我</w:t>
      </w:r>
      <w:r>
        <w:rPr>
          <w:rFonts w:hint="eastAsia" w:hAnsi="宋体" w:cs="宋体"/>
          <w:kern w:val="0"/>
          <w:u w:val="single"/>
        </w:rPr>
        <w:t xml:space="preserve">              </w:t>
      </w:r>
      <w:r>
        <w:rPr>
          <w:rFonts w:hint="eastAsia" w:hAnsi="宋体" w:cs="宋体"/>
          <w:kern w:val="0"/>
        </w:rPr>
        <w:t>（姓名）系自然人，现授权委托</w:t>
      </w:r>
      <w:r>
        <w:rPr>
          <w:rFonts w:hint="eastAsia" w:hAnsi="宋体" w:cs="宋体"/>
          <w:kern w:val="0"/>
          <w:u w:val="single"/>
        </w:rPr>
        <w:t xml:space="preserve">            </w:t>
      </w:r>
      <w:r>
        <w:rPr>
          <w:rFonts w:hint="eastAsia" w:hAnsi="宋体" w:cs="宋体"/>
          <w:kern w:val="0"/>
        </w:rPr>
        <w:t>（姓 名）以本人名义参加</w:t>
      </w:r>
      <w:r>
        <w:rPr>
          <w:rFonts w:hint="eastAsia" w:hAnsi="宋体" w:cs="宋体"/>
          <w:kern w:val="0"/>
          <w:u w:val="single"/>
        </w:rPr>
        <w:t xml:space="preserve">      </w:t>
      </w:r>
      <w:r>
        <w:rPr>
          <w:rFonts w:hint="eastAsia" w:hAnsi="宋体" w:cs="宋体"/>
          <w:u w:val="single"/>
        </w:rPr>
        <w:t xml:space="preserve">（项目名称及项目编号）        </w:t>
      </w:r>
      <w:r>
        <w:rPr>
          <w:rFonts w:hint="eastAsia" w:hAnsi="宋体" w:cs="宋体"/>
        </w:rPr>
        <w:t>项目的磋商活动，并代表本人全权办理针对上述项目的磋商、签约等具体事务和签署相关文件。</w:t>
      </w:r>
    </w:p>
    <w:p w14:paraId="35BFBB5E">
      <w:pPr>
        <w:pStyle w:val="12"/>
        <w:spacing w:line="340" w:lineRule="exact"/>
        <w:ind w:firstLine="420" w:firstLineChars="200"/>
        <w:rPr>
          <w:rFonts w:hAnsi="宋体" w:cs="宋体"/>
        </w:rPr>
      </w:pPr>
      <w:r>
        <w:rPr>
          <w:rFonts w:hint="eastAsia" w:hAnsi="宋体" w:cs="宋体"/>
        </w:rPr>
        <w:t>本人对被授权人的签字事项负全部责任。</w:t>
      </w:r>
    </w:p>
    <w:p w14:paraId="1783C477">
      <w:pPr>
        <w:pStyle w:val="12"/>
        <w:spacing w:line="340" w:lineRule="exact"/>
        <w:ind w:firstLine="420" w:firstLineChars="200"/>
        <w:rPr>
          <w:rFonts w:hAnsi="宋体" w:cs="宋体"/>
          <w:u w:val="single"/>
        </w:rPr>
      </w:pPr>
      <w:r>
        <w:rPr>
          <w:rFonts w:hint="eastAsia" w:hAnsi="宋体" w:cs="宋体"/>
        </w:rPr>
        <w:t>授权委托代理期限：从</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 xml:space="preserve"> 日起至</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 xml:space="preserve">月 </w:t>
      </w:r>
      <w:r>
        <w:rPr>
          <w:rFonts w:hint="eastAsia" w:hAnsi="宋体" w:cs="宋体"/>
          <w:u w:val="single"/>
        </w:rPr>
        <w:t xml:space="preserve">     </w:t>
      </w:r>
      <w:r>
        <w:rPr>
          <w:rFonts w:hint="eastAsia" w:hAnsi="宋体" w:cs="宋体"/>
        </w:rPr>
        <w:t>日止。</w:t>
      </w:r>
    </w:p>
    <w:p w14:paraId="3514CF5D">
      <w:pPr>
        <w:pStyle w:val="12"/>
        <w:spacing w:line="340" w:lineRule="exact"/>
        <w:rPr>
          <w:rFonts w:hAnsi="宋体" w:cs="宋体"/>
          <w:u w:val="single"/>
        </w:rPr>
      </w:pPr>
      <w:r>
        <w:rPr>
          <w:rFonts w:hint="eastAsia" w:hAnsi="宋体" w:cs="宋体"/>
        </w:rPr>
        <w:t xml:space="preserve">                                                                                             </w:t>
      </w:r>
    </w:p>
    <w:p w14:paraId="7A63FD38">
      <w:pPr>
        <w:spacing w:line="340" w:lineRule="exact"/>
        <w:ind w:firstLine="420" w:firstLineChars="200"/>
        <w:rPr>
          <w:rFonts w:ascii="宋体" w:hAnsi="宋体" w:cs="宋体"/>
          <w:kern w:val="0"/>
        </w:rPr>
      </w:pPr>
      <w:r>
        <w:rPr>
          <w:rFonts w:hint="eastAsia" w:ascii="宋体" w:hAnsi="宋体" w:cs="宋体"/>
          <w:kern w:val="0"/>
        </w:rPr>
        <w:t xml:space="preserve">代理人无转委托权,特此委托。 </w:t>
      </w:r>
    </w:p>
    <w:p w14:paraId="68F656C3">
      <w:pPr>
        <w:spacing w:line="340" w:lineRule="exact"/>
        <w:ind w:firstLine="420" w:firstLineChars="200"/>
        <w:rPr>
          <w:rFonts w:ascii="宋体" w:hAnsi="宋体" w:cs="宋体"/>
          <w:kern w:val="0"/>
        </w:rPr>
      </w:pPr>
    </w:p>
    <w:p w14:paraId="4D6B55C6">
      <w:pPr>
        <w:spacing w:line="340" w:lineRule="exact"/>
        <w:ind w:firstLine="420" w:firstLineChars="200"/>
        <w:rPr>
          <w:rFonts w:ascii="宋体" w:hAnsi="宋体" w:cs="宋体"/>
          <w:szCs w:val="21"/>
        </w:rPr>
      </w:pPr>
      <w:r>
        <w:rPr>
          <w:rFonts w:hint="eastAsia" w:ascii="宋体" w:hAnsi="宋体" w:cs="宋体"/>
          <w:szCs w:val="21"/>
        </w:rPr>
        <w:t>我已在下面签字，以资证明。</w:t>
      </w:r>
    </w:p>
    <w:p w14:paraId="29C66C17">
      <w:pPr>
        <w:spacing w:line="340" w:lineRule="exact"/>
        <w:ind w:firstLine="420" w:firstLineChars="200"/>
        <w:rPr>
          <w:rFonts w:ascii="宋体" w:hAnsi="宋体" w:cs="宋体"/>
          <w:szCs w:val="21"/>
        </w:rPr>
      </w:pPr>
    </w:p>
    <w:p w14:paraId="3C2D7C0F">
      <w:pPr>
        <w:snapToGrid w:val="0"/>
        <w:spacing w:line="340" w:lineRule="exact"/>
        <w:ind w:firstLine="420"/>
        <w:rPr>
          <w:rFonts w:ascii="宋体" w:hAnsi="宋体" w:cs="宋体"/>
          <w:szCs w:val="21"/>
        </w:rPr>
      </w:pPr>
      <w:r>
        <w:rPr>
          <w:rFonts w:hint="eastAsia" w:ascii="宋体" w:hAnsi="宋体" w:cs="宋体"/>
          <w:szCs w:val="21"/>
        </w:rPr>
        <w:t>自然人签字并在签名处加盖大拇指指印或个人CA签章：</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7FD0CCA">
      <w:pPr>
        <w:pStyle w:val="12"/>
        <w:spacing w:line="400" w:lineRule="exact"/>
        <w:ind w:left="420" w:leftChars="200"/>
        <w:rPr>
          <w:rFonts w:hAnsi="宋体" w:cs="宋体"/>
          <w:szCs w:val="21"/>
        </w:rPr>
      </w:pPr>
    </w:p>
    <w:p w14:paraId="01E063D9">
      <w:pPr>
        <w:pStyle w:val="12"/>
        <w:spacing w:line="400" w:lineRule="exact"/>
        <w:rPr>
          <w:rFonts w:hAnsi="宋体" w:cs="宋体"/>
          <w:b/>
          <w:szCs w:val="21"/>
        </w:rPr>
      </w:pPr>
      <w:r>
        <w:rPr>
          <w:rFonts w:hint="eastAsia" w:hAnsi="宋体" w:cs="宋体"/>
          <w:b/>
          <w:szCs w:val="21"/>
        </w:rPr>
        <w:t>附：委托代理人身份证正反面复印件</w:t>
      </w:r>
    </w:p>
    <w:p w14:paraId="186333BB">
      <w:pPr>
        <w:rPr>
          <w:rFonts w:ascii="宋体" w:hAnsi="宋体" w:cs="宋体"/>
          <w:b/>
          <w:szCs w:val="21"/>
        </w:rPr>
      </w:pPr>
    </w:p>
    <w:p w14:paraId="30C453BF">
      <w:pPr>
        <w:pStyle w:val="9"/>
        <w:rPr>
          <w:rFonts w:ascii="宋体" w:hAnsi="宋体" w:cs="宋体"/>
          <w:b/>
          <w:szCs w:val="21"/>
        </w:rPr>
      </w:pPr>
    </w:p>
    <w:p w14:paraId="76CD8373">
      <w:pPr>
        <w:pStyle w:val="9"/>
        <w:rPr>
          <w:rFonts w:ascii="宋体" w:hAnsi="宋体" w:cs="宋体"/>
          <w:b/>
          <w:szCs w:val="21"/>
        </w:rPr>
      </w:pPr>
    </w:p>
    <w:p w14:paraId="4538D467">
      <w:pPr>
        <w:pStyle w:val="9"/>
        <w:rPr>
          <w:rFonts w:ascii="宋体" w:hAnsi="宋体" w:cs="宋体"/>
          <w:b/>
          <w:szCs w:val="21"/>
        </w:rPr>
      </w:pPr>
    </w:p>
    <w:p w14:paraId="3039568D">
      <w:pPr>
        <w:pStyle w:val="9"/>
        <w:rPr>
          <w:rFonts w:ascii="宋体" w:hAnsi="宋体" w:cs="宋体"/>
          <w:b/>
          <w:szCs w:val="21"/>
        </w:rPr>
      </w:pPr>
    </w:p>
    <w:p w14:paraId="22BA1E9D">
      <w:pPr>
        <w:pStyle w:val="9"/>
        <w:rPr>
          <w:rFonts w:ascii="宋体" w:hAnsi="宋体" w:cs="宋体"/>
          <w:b/>
          <w:szCs w:val="21"/>
        </w:rPr>
      </w:pPr>
    </w:p>
    <w:p w14:paraId="59353A23">
      <w:pPr>
        <w:pStyle w:val="9"/>
        <w:rPr>
          <w:rFonts w:ascii="宋体" w:hAnsi="宋体" w:cs="宋体"/>
          <w:b/>
          <w:szCs w:val="21"/>
        </w:rPr>
      </w:pPr>
    </w:p>
    <w:p w14:paraId="6A042708">
      <w:pPr>
        <w:pStyle w:val="9"/>
        <w:rPr>
          <w:rFonts w:ascii="宋体" w:hAnsi="宋体" w:cs="宋体"/>
          <w:b/>
          <w:szCs w:val="21"/>
        </w:rPr>
      </w:pPr>
    </w:p>
    <w:p w14:paraId="3C5A4156">
      <w:pPr>
        <w:pStyle w:val="9"/>
        <w:rPr>
          <w:rFonts w:ascii="宋体" w:hAnsi="宋体" w:cs="宋体"/>
          <w:b/>
          <w:szCs w:val="21"/>
        </w:rPr>
      </w:pPr>
    </w:p>
    <w:p w14:paraId="6D895B81">
      <w:pPr>
        <w:pStyle w:val="9"/>
        <w:rPr>
          <w:rFonts w:ascii="宋体" w:hAnsi="宋体" w:cs="宋体"/>
          <w:b/>
          <w:szCs w:val="21"/>
        </w:rPr>
      </w:pPr>
    </w:p>
    <w:p w14:paraId="498846D8">
      <w:pPr>
        <w:pStyle w:val="9"/>
        <w:rPr>
          <w:rFonts w:ascii="宋体" w:hAnsi="宋体" w:cs="宋体"/>
          <w:b/>
          <w:szCs w:val="21"/>
        </w:rPr>
      </w:pPr>
    </w:p>
    <w:p w14:paraId="0C12A45D">
      <w:pPr>
        <w:pStyle w:val="9"/>
        <w:rPr>
          <w:rFonts w:ascii="宋体" w:hAnsi="宋体" w:cs="宋体"/>
          <w:b/>
          <w:szCs w:val="21"/>
        </w:rPr>
      </w:pPr>
    </w:p>
    <w:p w14:paraId="423839BC">
      <w:pPr>
        <w:pStyle w:val="9"/>
        <w:rPr>
          <w:rFonts w:ascii="宋体" w:hAnsi="宋体" w:cs="宋体"/>
          <w:b/>
          <w:szCs w:val="21"/>
        </w:rPr>
      </w:pPr>
    </w:p>
    <w:p w14:paraId="020BB2BF">
      <w:pPr>
        <w:pStyle w:val="9"/>
        <w:rPr>
          <w:rFonts w:ascii="宋体" w:hAnsi="宋体" w:cs="宋体"/>
          <w:b/>
          <w:szCs w:val="21"/>
        </w:rPr>
      </w:pPr>
    </w:p>
    <w:p w14:paraId="15D50DE0">
      <w:pPr>
        <w:pStyle w:val="9"/>
        <w:rPr>
          <w:rFonts w:ascii="宋体" w:hAnsi="宋体" w:cs="宋体"/>
          <w:b/>
          <w:szCs w:val="21"/>
        </w:rPr>
      </w:pPr>
    </w:p>
    <w:p w14:paraId="2981FE9B">
      <w:pPr>
        <w:pStyle w:val="9"/>
        <w:rPr>
          <w:rFonts w:ascii="宋体" w:hAnsi="宋体" w:cs="宋体"/>
          <w:b/>
          <w:szCs w:val="21"/>
        </w:rPr>
      </w:pPr>
    </w:p>
    <w:p w14:paraId="7B113B93">
      <w:pPr>
        <w:pStyle w:val="9"/>
        <w:rPr>
          <w:rFonts w:ascii="宋体" w:hAnsi="宋体" w:cs="宋体"/>
          <w:b/>
          <w:szCs w:val="21"/>
        </w:rPr>
      </w:pPr>
    </w:p>
    <w:p w14:paraId="5F276A3D">
      <w:pPr>
        <w:pStyle w:val="9"/>
        <w:rPr>
          <w:rFonts w:ascii="宋体" w:hAnsi="宋体" w:cs="宋体"/>
          <w:b/>
          <w:szCs w:val="21"/>
        </w:rPr>
      </w:pPr>
    </w:p>
    <w:p w14:paraId="06239F79">
      <w:pPr>
        <w:pStyle w:val="9"/>
        <w:rPr>
          <w:rFonts w:ascii="宋体" w:hAnsi="宋体" w:cs="宋体"/>
          <w:b/>
          <w:szCs w:val="21"/>
        </w:rPr>
      </w:pPr>
    </w:p>
    <w:p w14:paraId="1FA99B5B">
      <w:pPr>
        <w:pStyle w:val="9"/>
        <w:rPr>
          <w:rFonts w:ascii="宋体" w:hAnsi="宋体" w:cs="宋体"/>
          <w:b/>
          <w:szCs w:val="21"/>
        </w:rPr>
      </w:pPr>
    </w:p>
    <w:p w14:paraId="48B9C6F4">
      <w:pPr>
        <w:pStyle w:val="9"/>
        <w:rPr>
          <w:rFonts w:ascii="宋体" w:hAnsi="宋体" w:cs="宋体"/>
          <w:b/>
          <w:szCs w:val="21"/>
        </w:rPr>
      </w:pPr>
    </w:p>
    <w:p w14:paraId="1A1250C4">
      <w:pPr>
        <w:rPr>
          <w:rFonts w:ascii="宋体" w:hAnsi="宋体" w:cs="宋体"/>
          <w:b/>
          <w:szCs w:val="21"/>
        </w:rPr>
      </w:pPr>
    </w:p>
    <w:p w14:paraId="4BB125AD">
      <w:pPr>
        <w:rPr>
          <w:rFonts w:ascii="宋体" w:hAnsi="宋体" w:cs="宋体"/>
        </w:rPr>
      </w:pPr>
    </w:p>
    <w:p w14:paraId="65FF39B5">
      <w:pPr>
        <w:spacing w:line="440" w:lineRule="atLeast"/>
        <w:rPr>
          <w:rFonts w:ascii="宋体" w:hAnsi="宋体" w:cs="宋体"/>
          <w:b/>
          <w:sz w:val="28"/>
          <w:szCs w:val="28"/>
        </w:rPr>
      </w:pPr>
      <w:r>
        <w:rPr>
          <w:rFonts w:hint="eastAsia" w:ascii="宋体" w:hAnsi="宋体" w:cs="宋体"/>
          <w:b/>
          <w:sz w:val="28"/>
          <w:szCs w:val="28"/>
        </w:rPr>
        <w:t>3.供应商参加政府采购活动前3年内在经营活动中没有重大违法记录及有关信用信息的书面声明（必须提供）；</w:t>
      </w:r>
    </w:p>
    <w:p w14:paraId="0B55C91F">
      <w:pPr>
        <w:pStyle w:val="12"/>
        <w:spacing w:line="400" w:lineRule="exact"/>
        <w:ind w:left="420" w:leftChars="200" w:firstLine="156" w:firstLineChars="49"/>
        <w:rPr>
          <w:rFonts w:hAnsi="宋体" w:cs="宋体"/>
          <w:b/>
          <w:sz w:val="32"/>
          <w:szCs w:val="32"/>
        </w:rPr>
      </w:pPr>
      <w:r>
        <w:rPr>
          <w:rFonts w:hint="eastAsia" w:hAnsi="宋体" w:cs="宋体"/>
          <w:b/>
          <w:sz w:val="32"/>
          <w:szCs w:val="32"/>
        </w:rPr>
        <w:t xml:space="preserve">                       </w:t>
      </w:r>
    </w:p>
    <w:p w14:paraId="7511611B">
      <w:pPr>
        <w:pStyle w:val="12"/>
        <w:spacing w:line="400" w:lineRule="exact"/>
        <w:rPr>
          <w:rFonts w:hAnsi="宋体" w:cs="宋体"/>
          <w:b/>
          <w:sz w:val="32"/>
          <w:szCs w:val="32"/>
        </w:rPr>
      </w:pPr>
      <w:r>
        <w:rPr>
          <w:rFonts w:hint="eastAsia" w:hAnsi="宋体" w:cs="宋体"/>
          <w:b/>
          <w:sz w:val="32"/>
          <w:szCs w:val="32"/>
        </w:rPr>
        <w:t>附件：</w:t>
      </w:r>
    </w:p>
    <w:p w14:paraId="36C74783">
      <w:pPr>
        <w:pStyle w:val="12"/>
        <w:spacing w:line="400" w:lineRule="exact"/>
        <w:jc w:val="center"/>
        <w:rPr>
          <w:rFonts w:hAnsi="宋体" w:cs="宋体"/>
          <w:b/>
          <w:sz w:val="32"/>
          <w:szCs w:val="32"/>
        </w:rPr>
      </w:pPr>
      <w:bookmarkStart w:id="196" w:name="_Toc30890_WPSOffice_Level1"/>
      <w:bookmarkStart w:id="197" w:name="_Toc30304_WPSOffice_Level1"/>
      <w:r>
        <w:rPr>
          <w:rFonts w:hint="eastAsia" w:hAnsi="宋体" w:cs="宋体"/>
          <w:b/>
          <w:sz w:val="32"/>
          <w:szCs w:val="32"/>
        </w:rPr>
        <w:t>声   明</w:t>
      </w:r>
      <w:bookmarkEnd w:id="196"/>
      <w:bookmarkEnd w:id="197"/>
    </w:p>
    <w:p w14:paraId="160F4C6D">
      <w:pPr>
        <w:pStyle w:val="12"/>
        <w:spacing w:line="400" w:lineRule="exact"/>
        <w:rPr>
          <w:rFonts w:hAnsi="宋体" w:cs="宋体"/>
          <w:b/>
          <w:sz w:val="32"/>
          <w:szCs w:val="32"/>
        </w:rPr>
      </w:pPr>
    </w:p>
    <w:p w14:paraId="63F3B149">
      <w:pPr>
        <w:pStyle w:val="12"/>
        <w:spacing w:line="400" w:lineRule="exact"/>
        <w:rPr>
          <w:rFonts w:hAnsi="宋体" w:cs="宋体"/>
          <w:szCs w:val="21"/>
          <w:u w:val="single"/>
        </w:rPr>
      </w:pPr>
      <w:r>
        <w:rPr>
          <w:rFonts w:hint="eastAsia" w:hAnsi="宋体" w:cs="宋体"/>
          <w:b/>
          <w:szCs w:val="21"/>
        </w:rPr>
        <w:t>致</w:t>
      </w:r>
      <w:r>
        <w:rPr>
          <w:rFonts w:hint="eastAsia" w:hAnsi="宋体" w:cs="宋体"/>
          <w:szCs w:val="21"/>
        </w:rPr>
        <w:t>：</w:t>
      </w:r>
      <w:r>
        <w:rPr>
          <w:rFonts w:hint="eastAsia" w:hAnsi="宋体" w:cs="宋体"/>
          <w:szCs w:val="21"/>
          <w:u w:val="single"/>
        </w:rPr>
        <w:t xml:space="preserve"> 广西安臻工程管理有限公司 </w:t>
      </w:r>
    </w:p>
    <w:p w14:paraId="16E5267F">
      <w:pPr>
        <w:rPr>
          <w:rFonts w:ascii="宋体" w:hAnsi="宋体" w:cs="宋体"/>
          <w:szCs w:val="21"/>
          <w:u w:val="single"/>
        </w:rPr>
      </w:pPr>
    </w:p>
    <w:p w14:paraId="70029BF8">
      <w:pPr>
        <w:pStyle w:val="9"/>
        <w:rPr>
          <w:rFonts w:ascii="宋体" w:hAnsi="宋体" w:cs="宋体"/>
        </w:rPr>
      </w:pPr>
    </w:p>
    <w:p w14:paraId="2F265E06">
      <w:pPr>
        <w:pStyle w:val="12"/>
        <w:spacing w:line="400" w:lineRule="exact"/>
        <w:ind w:firstLine="420" w:firstLineChars="200"/>
        <w:rPr>
          <w:rFonts w:hAnsi="宋体" w:cs="宋体"/>
        </w:rPr>
      </w:pPr>
      <w:r>
        <w:rPr>
          <w:rFonts w:hint="eastAsia" w:hAnsi="宋体" w:cs="宋体"/>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DF1D96E">
      <w:pPr>
        <w:rPr>
          <w:rFonts w:ascii="宋体" w:hAnsi="宋体" w:cs="宋体"/>
        </w:rPr>
      </w:pPr>
    </w:p>
    <w:p w14:paraId="722F3536">
      <w:pPr>
        <w:snapToGrid w:val="0"/>
        <w:spacing w:line="400" w:lineRule="exact"/>
        <w:ind w:firstLine="1890" w:firstLineChars="900"/>
        <w:rPr>
          <w:rFonts w:ascii="宋体" w:hAnsi="宋体" w:cs="宋体"/>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14:paraId="18195A52">
      <w:pPr>
        <w:pStyle w:val="12"/>
        <w:ind w:firstLine="3990" w:firstLineChars="1900"/>
        <w:rPr>
          <w:rFonts w:hAnsi="宋体" w:cs="宋体"/>
          <w:u w:val="single"/>
        </w:rPr>
      </w:pPr>
      <w:r>
        <w:rPr>
          <w:rFonts w:hint="eastAsia" w:hAnsi="宋体" w:cs="宋体"/>
        </w:rPr>
        <w:t>日          期：</w:t>
      </w:r>
      <w:r>
        <w:rPr>
          <w:rFonts w:hint="eastAsia" w:hAnsi="宋体" w:cs="宋体"/>
          <w:u w:val="single"/>
        </w:rPr>
        <w:t xml:space="preserve">                            </w:t>
      </w:r>
    </w:p>
    <w:p w14:paraId="1FAABF74">
      <w:pPr>
        <w:pStyle w:val="12"/>
        <w:spacing w:line="340" w:lineRule="exact"/>
        <w:rPr>
          <w:rFonts w:hAnsi="宋体" w:cs="宋体"/>
          <w:b/>
          <w:sz w:val="28"/>
          <w:szCs w:val="28"/>
        </w:rPr>
      </w:pPr>
    </w:p>
    <w:p w14:paraId="747F7970">
      <w:pPr>
        <w:pStyle w:val="12"/>
        <w:spacing w:line="340" w:lineRule="exact"/>
        <w:rPr>
          <w:rFonts w:hAnsi="宋体" w:cs="宋体"/>
          <w:b/>
          <w:sz w:val="28"/>
          <w:szCs w:val="28"/>
        </w:rPr>
      </w:pPr>
      <w:r>
        <w:rPr>
          <w:rFonts w:hint="eastAsia" w:hAnsi="宋体" w:cs="宋体"/>
          <w:b/>
          <w:sz w:val="28"/>
          <w:szCs w:val="28"/>
        </w:rPr>
        <w:t>4.供应商的法人或者其他组织营业执照等证明文件复印件（必须提供，自然人除外）；</w:t>
      </w:r>
    </w:p>
    <w:p w14:paraId="5962B5A5">
      <w:pPr>
        <w:tabs>
          <w:tab w:val="left" w:pos="1305"/>
        </w:tabs>
        <w:spacing w:line="340" w:lineRule="exact"/>
        <w:rPr>
          <w:rFonts w:ascii="宋体" w:hAnsi="宋体" w:cs="宋体"/>
          <w:b/>
          <w:szCs w:val="21"/>
        </w:rPr>
      </w:pPr>
    </w:p>
    <w:p w14:paraId="3ADF73CD">
      <w:pPr>
        <w:tabs>
          <w:tab w:val="left" w:pos="1305"/>
        </w:tabs>
        <w:spacing w:line="400" w:lineRule="exact"/>
        <w:rPr>
          <w:rFonts w:ascii="宋体" w:hAnsi="宋体" w:cs="宋体"/>
          <w:b/>
          <w:szCs w:val="21"/>
        </w:rPr>
      </w:pPr>
      <w:r>
        <w:rPr>
          <w:rFonts w:hint="eastAsia" w:ascii="宋体" w:hAnsi="宋体" w:cs="宋体"/>
          <w:b/>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如为分支机构或分公司参与投标，需提供具有法人资格的总公司的营业执照副本复印件及授权书，授权书须加盖总公司的公章。总公司可就本项目在一定范围及时间内出具授权书。已由总公司授权的，总公司取得的相关资质证书对分支机构或分公司有效，法律法规或者行业另有规定的除外。（所需材料均为复印件）</w:t>
      </w:r>
    </w:p>
    <w:p w14:paraId="296A58CA">
      <w:pPr>
        <w:rPr>
          <w:rFonts w:ascii="宋体" w:hAnsi="宋体" w:cs="宋体"/>
          <w:b/>
          <w:bCs/>
          <w:sz w:val="28"/>
          <w:szCs w:val="28"/>
        </w:rPr>
      </w:pPr>
    </w:p>
    <w:p w14:paraId="6FDD04A3">
      <w:pPr>
        <w:pStyle w:val="12"/>
        <w:spacing w:line="340" w:lineRule="exact"/>
        <w:rPr>
          <w:rFonts w:hAnsi="宋体" w:cs="宋体"/>
          <w:b/>
          <w:sz w:val="28"/>
          <w:szCs w:val="28"/>
        </w:rPr>
      </w:pPr>
      <w:r>
        <w:rPr>
          <w:rFonts w:hint="eastAsia" w:hAnsi="宋体" w:cs="宋体"/>
          <w:b/>
          <w:sz w:val="28"/>
          <w:szCs w:val="28"/>
        </w:rPr>
        <w:t>5.供应商的财务状况报告（或银行出具的资信证明）（必须提供）；</w:t>
      </w:r>
    </w:p>
    <w:p w14:paraId="0D07D775">
      <w:pPr>
        <w:pStyle w:val="12"/>
        <w:spacing w:line="340" w:lineRule="exact"/>
        <w:rPr>
          <w:rFonts w:hAnsi="宋体" w:cs="宋体"/>
          <w:b/>
          <w:sz w:val="28"/>
          <w:szCs w:val="28"/>
        </w:rPr>
      </w:pPr>
    </w:p>
    <w:p w14:paraId="00E148E6">
      <w:pPr>
        <w:pStyle w:val="7"/>
        <w:rPr>
          <w:rFonts w:ascii="宋体" w:hAnsi="宋体" w:cs="宋体"/>
        </w:rPr>
      </w:pPr>
    </w:p>
    <w:p w14:paraId="5DB6452B">
      <w:pPr>
        <w:pStyle w:val="7"/>
        <w:numPr>
          <w:ilvl w:val="0"/>
          <w:numId w:val="0"/>
        </w:numPr>
        <w:rPr>
          <w:rFonts w:ascii="宋体" w:hAnsi="宋体" w:cs="宋体"/>
          <w:b/>
          <w:sz w:val="28"/>
          <w:szCs w:val="28"/>
        </w:rPr>
      </w:pPr>
      <w:r>
        <w:rPr>
          <w:rFonts w:hint="eastAsia" w:ascii="宋体" w:hAnsi="宋体" w:cs="宋体"/>
          <w:b/>
          <w:sz w:val="28"/>
          <w:szCs w:val="28"/>
          <w:lang w:val="en-US" w:eastAsia="zh-CN"/>
        </w:rPr>
        <w:t>6.供应商近半年内任意一个月或任一季度依法缴纳税收的证明材料【增值税发票(税收完税证明)或企业所得税完税证明或税务部门出具的免税证明】复印件</w:t>
      </w:r>
      <w:r>
        <w:rPr>
          <w:rFonts w:hint="eastAsia" w:ascii="宋体" w:hAnsi="宋体" w:cs="宋体"/>
          <w:b/>
          <w:sz w:val="28"/>
          <w:szCs w:val="28"/>
        </w:rPr>
        <w:t>（必须提供）；</w:t>
      </w:r>
    </w:p>
    <w:p w14:paraId="0071E67E"/>
    <w:p w14:paraId="4F6E8BCF">
      <w:pPr>
        <w:pStyle w:val="2"/>
      </w:pPr>
    </w:p>
    <w:p w14:paraId="4D939ABB">
      <w:pPr>
        <w:pStyle w:val="7"/>
        <w:ind w:left="0"/>
        <w:rPr>
          <w:rFonts w:ascii="宋体" w:hAnsi="宋体" w:cs="宋体"/>
          <w:b/>
          <w:sz w:val="28"/>
          <w:szCs w:val="28"/>
        </w:rPr>
      </w:pPr>
      <w:r>
        <w:rPr>
          <w:rFonts w:ascii="宋体" w:hAnsi="宋体" w:cs="宋体"/>
          <w:b/>
          <w:sz w:val="28"/>
          <w:szCs w:val="28"/>
        </w:rPr>
        <w:t>7.</w:t>
      </w:r>
      <w:r>
        <w:rPr>
          <w:rFonts w:hint="eastAsia" w:ascii="宋体" w:hAnsi="宋体" w:cs="宋体"/>
          <w:b/>
          <w:sz w:val="28"/>
          <w:szCs w:val="28"/>
        </w:rPr>
        <w:t xml:space="preserve"> 供应商近半年内任意一个月或任一季度依法缴纳社会保障资金的相关材料（必须提供）；</w:t>
      </w:r>
    </w:p>
    <w:p w14:paraId="34886381">
      <w:pPr>
        <w:pStyle w:val="9"/>
        <w:rPr>
          <w:rFonts w:ascii="宋体" w:hAnsi="Courier New"/>
          <w:b/>
          <w:kern w:val="0"/>
          <w:sz w:val="28"/>
          <w:szCs w:val="28"/>
        </w:rPr>
      </w:pPr>
    </w:p>
    <w:p w14:paraId="6F5E2BD8"/>
    <w:p w14:paraId="0AC4F176">
      <w:pPr>
        <w:pStyle w:val="9"/>
        <w:rPr>
          <w:rFonts w:ascii="宋体" w:hAnsi="Courier New"/>
          <w:b/>
          <w:kern w:val="0"/>
          <w:sz w:val="28"/>
          <w:szCs w:val="28"/>
        </w:rPr>
      </w:pPr>
      <w:r>
        <w:rPr>
          <w:rFonts w:ascii="宋体" w:hAnsi="Courier New"/>
          <w:b/>
          <w:kern w:val="0"/>
          <w:sz w:val="28"/>
          <w:szCs w:val="28"/>
        </w:rPr>
        <w:t>8</w:t>
      </w:r>
      <w:r>
        <w:rPr>
          <w:rFonts w:hint="eastAsia" w:ascii="宋体" w:hAnsi="Courier New"/>
          <w:b/>
          <w:kern w:val="0"/>
          <w:sz w:val="28"/>
          <w:szCs w:val="28"/>
        </w:rPr>
        <w:t>.《中小企业声明函》（见附件）（如有，请提供）；</w:t>
      </w:r>
    </w:p>
    <w:p w14:paraId="406FF63D">
      <w:pPr>
        <w:pStyle w:val="12"/>
        <w:rPr>
          <w:rFonts w:ascii="Times New Roman" w:hAnsi="Times New Roman"/>
          <w:b/>
          <w:bCs/>
          <w:sz w:val="32"/>
          <w:szCs w:val="32"/>
        </w:rPr>
      </w:pPr>
      <w:r>
        <w:rPr>
          <w:rFonts w:hint="eastAsia" w:ascii="Times New Roman" w:hAnsi="Times New Roman"/>
          <w:b/>
          <w:bCs/>
          <w:sz w:val="32"/>
          <w:szCs w:val="32"/>
        </w:rPr>
        <w:t>附件：</w:t>
      </w:r>
    </w:p>
    <w:p w14:paraId="224648BF">
      <w:pPr>
        <w:pStyle w:val="12"/>
        <w:spacing w:line="440" w:lineRule="exact"/>
        <w:jc w:val="center"/>
        <w:rPr>
          <w:rFonts w:ascii="Times New Roman" w:hAnsi="Times New Roman"/>
          <w:b/>
          <w:bCs/>
          <w:sz w:val="28"/>
          <w:szCs w:val="28"/>
        </w:rPr>
      </w:pPr>
      <w:r>
        <w:rPr>
          <w:rFonts w:ascii="Times New Roman" w:hAnsi="Times New Roman"/>
          <w:b/>
          <w:bCs/>
          <w:sz w:val="28"/>
          <w:szCs w:val="28"/>
        </w:rPr>
        <w:t>中小企业声明函</w:t>
      </w:r>
    </w:p>
    <w:p w14:paraId="7D617EE8">
      <w:pPr>
        <w:pStyle w:val="12"/>
        <w:spacing w:line="440" w:lineRule="exact"/>
        <w:ind w:firstLine="504" w:firstLineChars="200"/>
        <w:rPr>
          <w:rFonts w:hAnsi="宋体" w:cs="宋体"/>
          <w:spacing w:val="6"/>
          <w:sz w:val="24"/>
          <w:szCs w:val="24"/>
        </w:rPr>
      </w:pPr>
      <w:r>
        <w:rPr>
          <w:rFonts w:hint="eastAsia" w:hAnsi="宋体" w:cs="宋体"/>
          <w:spacing w:val="6"/>
          <w:sz w:val="24"/>
          <w:szCs w:val="24"/>
        </w:rPr>
        <w:t>本公司（联合体）郑重声明，根据《政府采购促进中小企业发展管理办法》（财库﹝2020﹞46 号）的规定，本公司（联合体）参加（</w:t>
      </w:r>
      <w:r>
        <w:rPr>
          <w:rFonts w:hint="eastAsia" w:hAnsi="宋体" w:cs="宋体"/>
          <w:spacing w:val="6"/>
          <w:sz w:val="24"/>
          <w:szCs w:val="24"/>
          <w:u w:val="single"/>
        </w:rPr>
        <w:t>单位名称</w:t>
      </w:r>
      <w:r>
        <w:rPr>
          <w:rFonts w:hint="eastAsia" w:hAnsi="宋体" w:cs="宋体"/>
          <w:spacing w:val="6"/>
          <w:sz w:val="24"/>
          <w:szCs w:val="24"/>
        </w:rPr>
        <w:t>）的（</w:t>
      </w:r>
      <w:r>
        <w:rPr>
          <w:rFonts w:hint="eastAsia" w:hAnsi="宋体" w:cs="宋体"/>
          <w:spacing w:val="6"/>
          <w:sz w:val="24"/>
          <w:szCs w:val="24"/>
          <w:u w:val="single"/>
        </w:rPr>
        <w:t>项目名称</w:t>
      </w:r>
      <w:r>
        <w:rPr>
          <w:rFonts w:hint="eastAsia" w:hAnsi="宋体" w:cs="宋体"/>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04E7AFA">
      <w:pPr>
        <w:pStyle w:val="12"/>
        <w:spacing w:line="440" w:lineRule="exact"/>
        <w:ind w:firstLine="504" w:firstLineChars="200"/>
      </w:pPr>
      <w:r>
        <w:rPr>
          <w:rFonts w:hint="eastAsia" w:hAnsi="宋体" w:cs="宋体"/>
          <w:spacing w:val="6"/>
          <w:sz w:val="24"/>
          <w:szCs w:val="24"/>
        </w:rPr>
        <w:t>1.</w:t>
      </w:r>
      <w:r>
        <w:rPr>
          <w:rFonts w:hint="eastAsia" w:hAnsi="宋体" w:cs="宋体"/>
          <w:spacing w:val="6"/>
          <w:sz w:val="24"/>
          <w:szCs w:val="24"/>
          <w:u w:val="single"/>
        </w:rPr>
        <w:t xml:space="preserve">（标的名称） </w:t>
      </w:r>
      <w:r>
        <w:rPr>
          <w:rFonts w:hint="eastAsia" w:hAnsi="宋体" w:cs="宋体"/>
          <w:spacing w:val="6"/>
          <w:sz w:val="24"/>
          <w:szCs w:val="24"/>
        </w:rPr>
        <w:t>，属于</w:t>
      </w:r>
      <w:r>
        <w:rPr>
          <w:rFonts w:hint="eastAsia" w:hAnsi="宋体" w:cs="宋体"/>
          <w:spacing w:val="6"/>
          <w:sz w:val="24"/>
          <w:szCs w:val="24"/>
          <w:u w:val="single"/>
        </w:rPr>
        <w:t>（采购文件中明确的所属行业）</w:t>
      </w:r>
      <w:r>
        <w:rPr>
          <w:rFonts w:hint="eastAsia" w:hAnsi="宋体" w:cs="宋体"/>
          <w:spacing w:val="6"/>
          <w:sz w:val="24"/>
          <w:szCs w:val="24"/>
        </w:rPr>
        <w:t>； 承建（承接）企业为（</w:t>
      </w:r>
      <w:r>
        <w:rPr>
          <w:rFonts w:hint="eastAsia" w:hAnsi="宋体" w:cs="宋体"/>
          <w:spacing w:val="6"/>
          <w:sz w:val="24"/>
          <w:szCs w:val="24"/>
          <w:u w:val="single"/>
        </w:rPr>
        <w:t>企业名称</w:t>
      </w:r>
      <w:r>
        <w:rPr>
          <w:rFonts w:hint="eastAsia" w:hAnsi="宋体" w:cs="宋体"/>
          <w:spacing w:val="6"/>
          <w:sz w:val="24"/>
          <w:szCs w:val="24"/>
        </w:rPr>
        <w:t>），从业人员</w:t>
      </w:r>
      <w:r>
        <w:rPr>
          <w:rFonts w:hint="eastAsia" w:hAnsi="宋体" w:cs="宋体"/>
          <w:spacing w:val="6"/>
          <w:sz w:val="24"/>
          <w:szCs w:val="24"/>
          <w:u w:val="single"/>
        </w:rPr>
        <w:t xml:space="preserve">   </w:t>
      </w:r>
      <w:r>
        <w:rPr>
          <w:rFonts w:hint="eastAsia" w:hAnsi="宋体" w:cs="宋体"/>
          <w:spacing w:val="6"/>
          <w:sz w:val="24"/>
          <w:szCs w:val="24"/>
        </w:rPr>
        <w:t>人，营业 收入为</w:t>
      </w:r>
      <w:r>
        <w:rPr>
          <w:rFonts w:hint="eastAsia" w:hAnsi="宋体" w:cs="宋体"/>
          <w:spacing w:val="6"/>
          <w:sz w:val="24"/>
          <w:szCs w:val="24"/>
          <w:u w:val="single"/>
        </w:rPr>
        <w:t xml:space="preserve">  </w:t>
      </w:r>
      <w:r>
        <w:rPr>
          <w:rFonts w:hint="eastAsia" w:hAnsi="宋体" w:cs="宋体"/>
          <w:spacing w:val="6"/>
          <w:sz w:val="24"/>
          <w:szCs w:val="24"/>
        </w:rPr>
        <w:t>万元，资产总额为 万元，属于（</w:t>
      </w:r>
      <w:r>
        <w:rPr>
          <w:rFonts w:hint="eastAsia" w:hAnsi="宋体" w:cs="宋体"/>
          <w:spacing w:val="6"/>
          <w:sz w:val="24"/>
          <w:szCs w:val="24"/>
          <w:u w:val="single"/>
        </w:rPr>
        <w:t>中型企业、 小型企业、微型企业</w:t>
      </w:r>
      <w:r>
        <w:rPr>
          <w:rFonts w:hint="eastAsia" w:hAnsi="宋体" w:cs="宋体"/>
          <w:spacing w:val="6"/>
          <w:sz w:val="24"/>
          <w:szCs w:val="24"/>
        </w:rPr>
        <w:t>）</w:t>
      </w:r>
    </w:p>
    <w:p w14:paraId="7DD0837C">
      <w:pPr>
        <w:widowControl/>
        <w:ind w:firstLine="504" w:firstLineChars="200"/>
        <w:jc w:val="left"/>
        <w:rPr>
          <w:rFonts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 xml:space="preserve">（标的名称） </w:t>
      </w:r>
      <w:r>
        <w:rPr>
          <w:rFonts w:hint="eastAsia" w:ascii="宋体" w:hAnsi="宋体" w:cs="宋体"/>
          <w:spacing w:val="6"/>
          <w:sz w:val="24"/>
        </w:rPr>
        <w:t>，属于</w:t>
      </w:r>
      <w:r>
        <w:rPr>
          <w:rFonts w:hint="eastAsia" w:ascii="宋体" w:hAnsi="宋体" w:cs="宋体"/>
          <w:spacing w:val="6"/>
          <w:sz w:val="24"/>
          <w:u w:val="single"/>
        </w:rPr>
        <w:t>（采购文件中明确的所属行业）</w:t>
      </w:r>
      <w:r>
        <w:rPr>
          <w:rFonts w:hint="eastAsia" w:ascii="宋体" w:hAnsi="宋体" w:cs="宋体"/>
          <w:spacing w:val="6"/>
          <w:sz w:val="24"/>
        </w:rPr>
        <w:t>；承建（承接）企业为（</w:t>
      </w:r>
      <w:r>
        <w:rPr>
          <w:rFonts w:hint="eastAsia" w:ascii="宋体" w:hAnsi="宋体" w:cs="宋体"/>
          <w:spacing w:val="6"/>
          <w:sz w:val="24"/>
          <w:u w:val="single"/>
        </w:rPr>
        <w:t>企业名称</w:t>
      </w:r>
      <w:r>
        <w:rPr>
          <w:rFonts w:hint="eastAsia" w:ascii="宋体" w:hAnsi="宋体" w:cs="宋体"/>
          <w:spacing w:val="6"/>
          <w:sz w:val="24"/>
        </w:rPr>
        <w:t>），从业人员</w:t>
      </w:r>
      <w:r>
        <w:rPr>
          <w:rFonts w:hint="eastAsia" w:ascii="宋体" w:hAnsi="宋体" w:cs="宋体"/>
          <w:spacing w:val="6"/>
          <w:sz w:val="24"/>
          <w:u w:val="single"/>
        </w:rPr>
        <w:t xml:space="preserve">  </w:t>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中型企业、 小型企业、微型企业</w:t>
      </w:r>
      <w:r>
        <w:rPr>
          <w:rFonts w:hint="eastAsia" w:ascii="宋体" w:hAnsi="宋体" w:cs="宋体"/>
          <w:spacing w:val="6"/>
          <w:sz w:val="24"/>
        </w:rPr>
        <w:t>）；</w:t>
      </w:r>
    </w:p>
    <w:p w14:paraId="435134DE">
      <w:pPr>
        <w:pStyle w:val="7"/>
        <w:ind w:left="0"/>
      </w:pPr>
      <w:r>
        <w:rPr>
          <w:rFonts w:hint="eastAsia"/>
        </w:rPr>
        <w:t>……</w:t>
      </w:r>
    </w:p>
    <w:p w14:paraId="1D65F634">
      <w:pPr>
        <w:widowControl/>
        <w:jc w:val="left"/>
        <w:rPr>
          <w:rFonts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14:paraId="6BA2DC4A">
      <w:pPr>
        <w:widowControl/>
        <w:jc w:val="left"/>
        <w:rPr>
          <w:rFonts w:ascii="宋体" w:hAnsi="宋体" w:cs="宋体"/>
          <w:spacing w:val="6"/>
          <w:sz w:val="24"/>
        </w:rPr>
      </w:pPr>
      <w:r>
        <w:rPr>
          <w:rFonts w:hint="eastAsia" w:ascii="宋体" w:hAnsi="宋体" w:cs="宋体"/>
          <w:spacing w:val="6"/>
          <w:sz w:val="24"/>
        </w:rPr>
        <w:t xml:space="preserve">本企业对上述声明内容的真实性负责。如有虚假，将依法承担相应责任。 </w:t>
      </w:r>
    </w:p>
    <w:p w14:paraId="61E9F3F3">
      <w:pPr>
        <w:widowControl/>
        <w:ind w:firstLine="5796" w:firstLineChars="2300"/>
        <w:jc w:val="left"/>
        <w:rPr>
          <w:rFonts w:ascii="宋体" w:hAnsi="宋体" w:cs="宋体"/>
          <w:spacing w:val="6"/>
          <w:sz w:val="24"/>
        </w:rPr>
      </w:pPr>
      <w:r>
        <w:rPr>
          <w:rFonts w:hint="eastAsia" w:ascii="宋体" w:hAnsi="宋体" w:cs="宋体"/>
          <w:spacing w:val="6"/>
          <w:sz w:val="24"/>
        </w:rPr>
        <w:t xml:space="preserve">企业名称（盖章）： </w:t>
      </w:r>
    </w:p>
    <w:p w14:paraId="67408EDC">
      <w:pPr>
        <w:widowControl/>
        <w:ind w:firstLine="5796" w:firstLineChars="2300"/>
        <w:jc w:val="left"/>
        <w:rPr>
          <w:rFonts w:ascii="宋体" w:hAnsi="宋体" w:cs="宋体"/>
          <w:spacing w:val="6"/>
          <w:sz w:val="24"/>
        </w:rPr>
      </w:pPr>
      <w:r>
        <w:rPr>
          <w:rFonts w:hint="eastAsia" w:ascii="宋体" w:hAnsi="宋体" w:cs="宋体"/>
          <w:spacing w:val="6"/>
          <w:sz w:val="24"/>
        </w:rPr>
        <w:t>日 期：</w:t>
      </w:r>
    </w:p>
    <w:p w14:paraId="32B5891B">
      <w:pPr>
        <w:pStyle w:val="7"/>
        <w:ind w:left="0"/>
      </w:pPr>
    </w:p>
    <w:p w14:paraId="79599BF5">
      <w:pPr>
        <w:widowControl/>
        <w:jc w:val="left"/>
      </w:pPr>
    </w:p>
    <w:p w14:paraId="7DC10D52">
      <w:pPr>
        <w:widowControl/>
        <w:jc w:val="left"/>
        <w:rPr>
          <w:rFonts w:ascii="宋体" w:hAnsi="Courier New"/>
          <w:b/>
          <w:kern w:val="0"/>
          <w:sz w:val="28"/>
          <w:szCs w:val="28"/>
        </w:rPr>
      </w:pPr>
      <w:r>
        <w:rPr>
          <w:rFonts w:hint="eastAsia" w:ascii="宋体" w:hAnsi="宋体" w:cs="宋体"/>
          <w:color w:val="000000"/>
          <w:kern w:val="0"/>
          <w:sz w:val="18"/>
          <w:szCs w:val="18"/>
        </w:rPr>
        <w:t>注：从业人员、营业收入、资产总额填报上一年度数据，无上一年度数据的新成立企业可不填报。</w:t>
      </w:r>
    </w:p>
    <w:p w14:paraId="722904C9">
      <w:pPr>
        <w:pStyle w:val="9"/>
        <w:rPr>
          <w:rFonts w:ascii="宋体" w:hAnsi="Courier New"/>
          <w:b/>
          <w:kern w:val="0"/>
          <w:sz w:val="28"/>
          <w:szCs w:val="28"/>
        </w:rPr>
      </w:pPr>
    </w:p>
    <w:p w14:paraId="2AA998EB">
      <w:pPr>
        <w:pStyle w:val="9"/>
        <w:rPr>
          <w:rFonts w:ascii="宋体" w:hAnsi="Courier New"/>
          <w:b/>
          <w:kern w:val="0"/>
          <w:sz w:val="28"/>
          <w:szCs w:val="28"/>
        </w:rPr>
      </w:pPr>
    </w:p>
    <w:p w14:paraId="74477C2D"/>
    <w:p w14:paraId="475C39A0">
      <w:pPr>
        <w:pStyle w:val="9"/>
        <w:rPr>
          <w:rFonts w:ascii="宋体" w:hAnsi="Courier New"/>
          <w:b/>
          <w:kern w:val="0"/>
          <w:sz w:val="28"/>
          <w:szCs w:val="28"/>
        </w:rPr>
      </w:pPr>
    </w:p>
    <w:p w14:paraId="381B8931">
      <w:pPr>
        <w:pStyle w:val="9"/>
        <w:rPr>
          <w:rFonts w:ascii="宋体" w:hAnsi="Courier New"/>
          <w:b/>
          <w:kern w:val="0"/>
          <w:sz w:val="28"/>
          <w:szCs w:val="28"/>
        </w:rPr>
      </w:pPr>
    </w:p>
    <w:p w14:paraId="05ADAF7C">
      <w:pPr>
        <w:pStyle w:val="9"/>
        <w:rPr>
          <w:rFonts w:ascii="宋体" w:hAnsi="Courier New"/>
          <w:b/>
          <w:kern w:val="0"/>
          <w:sz w:val="28"/>
          <w:szCs w:val="28"/>
        </w:rPr>
      </w:pPr>
      <w:r>
        <w:rPr>
          <w:rFonts w:ascii="宋体" w:hAnsi="Courier New"/>
          <w:b/>
          <w:kern w:val="0"/>
          <w:sz w:val="28"/>
          <w:szCs w:val="28"/>
        </w:rPr>
        <w:t>9</w:t>
      </w:r>
      <w:r>
        <w:rPr>
          <w:rFonts w:hint="eastAsia" w:ascii="宋体" w:hAnsi="Courier New"/>
          <w:b/>
          <w:kern w:val="0"/>
          <w:sz w:val="28"/>
          <w:szCs w:val="28"/>
        </w:rPr>
        <w:t>.如提供服务的供应商属于监狱企业的，应当提供由省级以上监狱管理局、戒毒管理局等（含新疆生产建设兵团）出具的属于监狱企业的证明文件, 否则不予享受优惠政策（如有，请提供）；</w:t>
      </w:r>
    </w:p>
    <w:p w14:paraId="7331D108">
      <w:pPr>
        <w:spacing w:line="588" w:lineRule="exact"/>
        <w:jc w:val="center"/>
        <w:rPr>
          <w:rFonts w:ascii="宋体" w:hAnsi="宋体" w:cs="宋体"/>
          <w:b/>
          <w:spacing w:val="6"/>
          <w:sz w:val="28"/>
          <w:szCs w:val="28"/>
        </w:rPr>
      </w:pPr>
    </w:p>
    <w:p w14:paraId="592D0775">
      <w:pPr>
        <w:spacing w:line="588" w:lineRule="exact"/>
        <w:jc w:val="center"/>
        <w:rPr>
          <w:rFonts w:ascii="宋体" w:cs="宋体"/>
          <w:b/>
          <w:spacing w:val="6"/>
          <w:sz w:val="28"/>
          <w:szCs w:val="28"/>
        </w:rPr>
      </w:pPr>
      <w:r>
        <w:rPr>
          <w:rFonts w:hint="eastAsia" w:ascii="宋体" w:hAnsi="宋体" w:cs="宋体"/>
          <w:b/>
          <w:spacing w:val="6"/>
          <w:sz w:val="28"/>
          <w:szCs w:val="28"/>
        </w:rPr>
        <w:t>残疾人福利性单位声明函</w:t>
      </w:r>
    </w:p>
    <w:p w14:paraId="2F83EE8B">
      <w:pPr>
        <w:spacing w:line="588" w:lineRule="exact"/>
        <w:ind w:firstLine="504" w:firstLineChars="200"/>
        <w:rPr>
          <w:rFonts w:ascii="宋体" w:cs="宋体"/>
          <w:spacing w:val="6"/>
          <w:sz w:val="24"/>
        </w:rPr>
      </w:pPr>
      <w:r>
        <w:rPr>
          <w:rFonts w:hint="eastAsia" w:ascii="宋体" w:hAnsi="宋体" w:cs="宋体"/>
          <w:spacing w:val="6"/>
          <w:sz w:val="24"/>
        </w:rPr>
        <w:t>本单位郑重声明，根据《财政部</w:t>
      </w:r>
      <w:r>
        <w:rPr>
          <w:rFonts w:ascii="宋体" w:hAnsi="宋体" w:cs="宋体"/>
          <w:spacing w:val="6"/>
          <w:sz w:val="24"/>
        </w:rPr>
        <w:t xml:space="preserve"> </w:t>
      </w:r>
      <w:r>
        <w:rPr>
          <w:rFonts w:hint="eastAsia" w:ascii="宋体" w:hAnsi="宋体" w:cs="宋体"/>
          <w:spacing w:val="6"/>
          <w:sz w:val="24"/>
        </w:rPr>
        <w:t>民政部</w:t>
      </w:r>
      <w:r>
        <w:rPr>
          <w:rFonts w:ascii="宋体" w:hAnsi="宋体" w:cs="宋体"/>
          <w:spacing w:val="6"/>
          <w:sz w:val="24"/>
        </w:rPr>
        <w:t xml:space="preserve"> </w:t>
      </w:r>
      <w:r>
        <w:rPr>
          <w:rFonts w:hint="eastAsia" w:ascii="宋体" w:hAnsi="宋体" w:cs="宋体"/>
          <w:spacing w:val="6"/>
          <w:sz w:val="24"/>
        </w:rPr>
        <w:t>中国残疾人联合会关于促进残疾人就业政府采购政策的通知》（财库</w:t>
      </w:r>
      <w:r>
        <w:rPr>
          <w:rFonts w:hint="eastAsia" w:ascii="宋体" w:hAnsi="宋体" w:cs="宋体"/>
          <w:sz w:val="24"/>
        </w:rPr>
        <w:t>〔</w:t>
      </w:r>
      <w:r>
        <w:rPr>
          <w:rFonts w:ascii="宋体" w:hAnsi="宋体" w:cs="宋体"/>
          <w:sz w:val="24"/>
        </w:rPr>
        <w:t>2017</w:t>
      </w:r>
      <w:r>
        <w:rPr>
          <w:rFonts w:hint="eastAsia" w:ascii="宋体" w:hAnsi="宋体" w:cs="宋体"/>
          <w:sz w:val="24"/>
        </w:rPr>
        <w:t>〕</w:t>
      </w:r>
      <w:r>
        <w:rPr>
          <w:rFonts w:ascii="宋体" w:hAnsi="宋体" w:cs="宋体"/>
          <w:sz w:val="24"/>
        </w:rPr>
        <w:t xml:space="preserve"> 141</w:t>
      </w:r>
      <w:r>
        <w:rPr>
          <w:rFonts w:hint="eastAsia" w:ascii="宋体" w:hAnsi="宋体" w:cs="宋体"/>
          <w:spacing w:val="6"/>
          <w:sz w:val="24"/>
        </w:rPr>
        <w:t>号）的规定，本单位为符合条件的残疾人福利性单位，且本单位参加</w:t>
      </w:r>
      <w:r>
        <w:rPr>
          <w:rFonts w:ascii="宋体" w:hAnsi="宋体" w:cs="宋体"/>
          <w:spacing w:val="6"/>
          <w:sz w:val="24"/>
        </w:rPr>
        <w:t>______</w:t>
      </w:r>
      <w:r>
        <w:rPr>
          <w:rFonts w:hint="eastAsia" w:ascii="宋体" w:hAnsi="宋体" w:cs="宋体"/>
          <w:spacing w:val="6"/>
          <w:sz w:val="24"/>
        </w:rPr>
        <w:t>单位的</w:t>
      </w:r>
      <w:r>
        <w:rPr>
          <w:rFonts w:ascii="宋体" w:hAnsi="宋体" w:cs="宋体"/>
          <w:spacing w:val="6"/>
          <w:sz w:val="24"/>
        </w:rPr>
        <w:t>______</w:t>
      </w:r>
      <w:r>
        <w:rPr>
          <w:rFonts w:hint="eastAsia" w:ascii="宋体" w:hAnsi="宋体" w:cs="宋体"/>
          <w:spacing w:val="6"/>
          <w:sz w:val="24"/>
        </w:rPr>
        <w:t>项目采购活动提供本单位制造的货物（由本单位承担工程</w:t>
      </w:r>
      <w:r>
        <w:rPr>
          <w:rFonts w:ascii="宋体" w:hAnsi="宋体" w:cs="宋体"/>
          <w:spacing w:val="6"/>
          <w:sz w:val="24"/>
        </w:rPr>
        <w:t>/</w:t>
      </w:r>
      <w:r>
        <w:rPr>
          <w:rFonts w:hint="eastAsia" w:ascii="宋体" w:hAnsi="宋体" w:cs="宋体"/>
          <w:spacing w:val="6"/>
          <w:sz w:val="24"/>
        </w:rPr>
        <w:t>提供服务），或者提供其他残疾人福利性单位制造的货物（不包括使用非残疾人福利性单位注册商标的货物）。</w:t>
      </w:r>
    </w:p>
    <w:p w14:paraId="73631892">
      <w:pPr>
        <w:spacing w:line="588" w:lineRule="exact"/>
        <w:ind w:firstLine="504" w:firstLineChars="200"/>
        <w:rPr>
          <w:rFonts w:ascii="宋体" w:cs="宋体"/>
          <w:spacing w:val="6"/>
          <w:sz w:val="24"/>
        </w:rPr>
      </w:pPr>
      <w:r>
        <w:rPr>
          <w:rFonts w:hint="eastAsia" w:ascii="宋体" w:hAnsi="宋体" w:cs="宋体"/>
          <w:spacing w:val="6"/>
          <w:sz w:val="24"/>
        </w:rPr>
        <w:t>本单位对上述声明的真实性负责。如有虚假，将依法承担相应责任。</w:t>
      </w:r>
    </w:p>
    <w:p w14:paraId="3BB27D38">
      <w:pPr>
        <w:rPr>
          <w:rFonts w:ascii="宋体" w:cs="宋体"/>
        </w:rPr>
      </w:pPr>
    </w:p>
    <w:p w14:paraId="497AA1A3">
      <w:pPr>
        <w:tabs>
          <w:tab w:val="left" w:pos="4860"/>
        </w:tabs>
        <w:spacing w:line="588" w:lineRule="exact"/>
        <w:ind w:right="1560" w:firstLine="584" w:firstLineChars="200"/>
        <w:jc w:val="center"/>
        <w:rPr>
          <w:rFonts w:ascii="宋体" w:cs="宋体"/>
          <w:spacing w:val="6"/>
          <w:sz w:val="24"/>
        </w:rPr>
      </w:pPr>
      <w:r>
        <w:rPr>
          <w:rFonts w:ascii="宋体" w:hAnsi="宋体" w:cs="宋体"/>
          <w:spacing w:val="6"/>
          <w:sz w:val="28"/>
          <w:szCs w:val="28"/>
        </w:rPr>
        <w:t xml:space="preserve">          </w:t>
      </w:r>
      <w:r>
        <w:rPr>
          <w:rFonts w:ascii="宋体" w:hAnsi="宋体" w:cs="宋体"/>
          <w:spacing w:val="6"/>
          <w:sz w:val="24"/>
        </w:rPr>
        <w:t xml:space="preserve">  </w:t>
      </w:r>
      <w:r>
        <w:rPr>
          <w:rFonts w:hint="eastAsia" w:ascii="宋体" w:hAnsi="宋体" w:cs="宋体"/>
          <w:spacing w:val="6"/>
          <w:sz w:val="24"/>
        </w:rPr>
        <w:t>单位名称（公章(CA签章)）：</w:t>
      </w:r>
      <w:r>
        <w:rPr>
          <w:rFonts w:ascii="宋体" w:hAnsi="宋体" w:cs="宋体"/>
          <w:spacing w:val="6"/>
          <w:sz w:val="24"/>
        </w:rPr>
        <w:t xml:space="preserve"> </w:t>
      </w:r>
    </w:p>
    <w:p w14:paraId="0097D152">
      <w:pPr>
        <w:pStyle w:val="12"/>
        <w:ind w:firstLine="4032" w:firstLineChars="1600"/>
        <w:rPr>
          <w:rFonts w:hAnsi="宋体" w:cs="宋体"/>
          <w:spacing w:val="6"/>
          <w:sz w:val="24"/>
          <w:szCs w:val="24"/>
        </w:rPr>
      </w:pPr>
      <w:r>
        <w:rPr>
          <w:rFonts w:hint="eastAsia" w:hAnsi="宋体" w:cs="宋体"/>
          <w:spacing w:val="6"/>
          <w:sz w:val="24"/>
          <w:szCs w:val="24"/>
        </w:rPr>
        <w:t>日</w:t>
      </w:r>
      <w:r>
        <w:rPr>
          <w:rFonts w:hAnsi="宋体" w:cs="宋体"/>
          <w:spacing w:val="6"/>
          <w:sz w:val="24"/>
          <w:szCs w:val="24"/>
        </w:rPr>
        <w:t xml:space="preserve">    </w:t>
      </w:r>
      <w:r>
        <w:rPr>
          <w:rFonts w:hint="eastAsia" w:hAnsi="宋体" w:cs="宋体"/>
          <w:spacing w:val="6"/>
          <w:sz w:val="24"/>
          <w:szCs w:val="24"/>
        </w:rPr>
        <w:t>期：</w:t>
      </w:r>
      <w:r>
        <w:rPr>
          <w:rFonts w:hAnsi="宋体" w:cs="宋体"/>
          <w:spacing w:val="6"/>
          <w:sz w:val="24"/>
          <w:szCs w:val="24"/>
        </w:rPr>
        <w:t xml:space="preserve">  </w:t>
      </w:r>
      <w:r>
        <w:rPr>
          <w:rFonts w:hint="eastAsia" w:hAnsi="宋体" w:cs="宋体"/>
          <w:spacing w:val="6"/>
          <w:sz w:val="24"/>
          <w:szCs w:val="24"/>
        </w:rPr>
        <w:t>年</w:t>
      </w:r>
      <w:r>
        <w:rPr>
          <w:rFonts w:hAnsi="宋体" w:cs="宋体"/>
          <w:spacing w:val="6"/>
          <w:sz w:val="24"/>
          <w:szCs w:val="24"/>
        </w:rPr>
        <w:t xml:space="preserve">  </w:t>
      </w:r>
      <w:r>
        <w:rPr>
          <w:rFonts w:hint="eastAsia" w:hAnsi="宋体" w:cs="宋体"/>
          <w:spacing w:val="6"/>
          <w:sz w:val="24"/>
          <w:szCs w:val="24"/>
        </w:rPr>
        <w:t>月</w:t>
      </w:r>
      <w:r>
        <w:rPr>
          <w:rFonts w:hAnsi="宋体" w:cs="宋体"/>
          <w:spacing w:val="6"/>
          <w:sz w:val="24"/>
          <w:szCs w:val="24"/>
        </w:rPr>
        <w:t xml:space="preserve">  </w:t>
      </w:r>
      <w:r>
        <w:rPr>
          <w:rFonts w:hint="eastAsia" w:hAnsi="宋体" w:cs="宋体"/>
          <w:spacing w:val="6"/>
          <w:sz w:val="24"/>
          <w:szCs w:val="24"/>
        </w:rPr>
        <w:t>日</w:t>
      </w:r>
    </w:p>
    <w:p w14:paraId="5B45E7DE">
      <w:pPr>
        <w:rPr>
          <w:rFonts w:hAnsi="宋体" w:cs="宋体"/>
          <w:spacing w:val="6"/>
          <w:sz w:val="24"/>
        </w:rPr>
      </w:pPr>
    </w:p>
    <w:p w14:paraId="23DD0884">
      <w:pPr>
        <w:pStyle w:val="9"/>
      </w:pPr>
    </w:p>
    <w:p w14:paraId="719C7F39">
      <w:pPr>
        <w:pStyle w:val="9"/>
        <w:tabs>
          <w:tab w:val="left" w:pos="2299"/>
        </w:tabs>
      </w:pPr>
      <w:r>
        <w:rPr>
          <w:rFonts w:hint="eastAsia"/>
        </w:rPr>
        <w:tab/>
      </w:r>
    </w:p>
    <w:p w14:paraId="1BC9B4A8">
      <w:pPr>
        <w:pStyle w:val="9"/>
      </w:pPr>
    </w:p>
    <w:p w14:paraId="242449C1">
      <w:pPr>
        <w:tabs>
          <w:tab w:val="left" w:pos="1305"/>
        </w:tabs>
        <w:rPr>
          <w:rFonts w:ascii="宋体" w:hAnsi="宋体" w:cs="宋体"/>
          <w:sz w:val="24"/>
        </w:rPr>
      </w:pPr>
      <w:r>
        <w:rPr>
          <w:rFonts w:hint="eastAsia" w:ascii="宋体" w:hAnsi="宋体" w:cs="宋体"/>
          <w:b/>
          <w:bCs/>
          <w:sz w:val="24"/>
        </w:rPr>
        <w:t>注：</w:t>
      </w:r>
      <w:r>
        <w:rPr>
          <w:rFonts w:hint="eastAsia" w:ascii="宋体" w:hAnsi="宋体" w:cs="宋体"/>
          <w:b/>
          <w:szCs w:val="21"/>
        </w:rPr>
        <w:t>中标、成交供应商为残疾人福利性单位的，采购人或者其委托的采购代理机构应当随中标、成交结果同时公告其《残疾人福利性单位声明函》，接受社会监督</w:t>
      </w:r>
      <w:r>
        <w:rPr>
          <w:rFonts w:hint="eastAsia" w:ascii="宋体" w:hAnsi="宋体" w:cs="宋体"/>
          <w:sz w:val="24"/>
        </w:rPr>
        <w:t>。</w:t>
      </w:r>
    </w:p>
    <w:p w14:paraId="1F2E37D9">
      <w:pPr>
        <w:pStyle w:val="9"/>
        <w:rPr>
          <w:rFonts w:ascii="宋体" w:hAnsi="Courier New"/>
          <w:b/>
          <w:kern w:val="0"/>
          <w:sz w:val="28"/>
          <w:szCs w:val="28"/>
        </w:rPr>
      </w:pPr>
    </w:p>
    <w:p w14:paraId="4B21454A">
      <w:pPr>
        <w:pStyle w:val="9"/>
        <w:rPr>
          <w:rFonts w:ascii="宋体" w:hAnsi="Courier New"/>
          <w:b/>
          <w:kern w:val="0"/>
          <w:sz w:val="28"/>
          <w:szCs w:val="28"/>
        </w:rPr>
      </w:pPr>
    </w:p>
    <w:p w14:paraId="566C1055">
      <w:pPr>
        <w:pStyle w:val="9"/>
        <w:rPr>
          <w:rFonts w:ascii="宋体" w:hAnsi="Courier New"/>
          <w:b/>
          <w:kern w:val="0"/>
          <w:sz w:val="28"/>
          <w:szCs w:val="28"/>
        </w:rPr>
      </w:pPr>
      <w:r>
        <w:rPr>
          <w:rFonts w:ascii="宋体" w:hAnsi="Courier New"/>
          <w:b/>
          <w:kern w:val="0"/>
          <w:sz w:val="28"/>
          <w:szCs w:val="28"/>
        </w:rPr>
        <w:t>10</w:t>
      </w:r>
      <w:r>
        <w:rPr>
          <w:rFonts w:hint="eastAsia" w:ascii="宋体" w:hAnsi="Courier New"/>
          <w:b/>
          <w:kern w:val="0"/>
          <w:sz w:val="28"/>
          <w:szCs w:val="28"/>
        </w:rPr>
        <w:t>.符合条件的残疾人福利性单位在参加政府采购活动时，应当提供《残疾人福利性单位声明函》（见附件），并对声明的真实性负责；（如有，请提供）；</w:t>
      </w:r>
    </w:p>
    <w:p w14:paraId="0ABB6EAA"/>
    <w:p w14:paraId="539124CE">
      <w:pPr>
        <w:pStyle w:val="2"/>
      </w:pPr>
    </w:p>
    <w:p w14:paraId="023DE3C2">
      <w:pPr>
        <w:pStyle w:val="2"/>
        <w:rPr>
          <w:rFonts w:ascii="宋体" w:hAnsi="宋体" w:cs="宋体"/>
        </w:rPr>
      </w:pPr>
    </w:p>
    <w:p w14:paraId="7B406007">
      <w:pPr>
        <w:widowControl/>
        <w:jc w:val="left"/>
        <w:rPr>
          <w:rFonts w:ascii="宋体" w:hAnsi="宋体" w:cs="宋体"/>
          <w:b/>
          <w:bCs/>
          <w:sz w:val="32"/>
          <w:szCs w:val="32"/>
        </w:rPr>
      </w:pPr>
      <w:r>
        <w:rPr>
          <w:rFonts w:ascii="宋体" w:hAnsi="宋体" w:cs="宋体"/>
          <w:b/>
          <w:bCs/>
          <w:sz w:val="32"/>
          <w:szCs w:val="32"/>
        </w:rPr>
        <w:br w:type="page"/>
      </w:r>
      <w:r>
        <w:rPr>
          <w:rFonts w:hint="eastAsia" w:ascii="宋体" w:hAnsi="宋体" w:cs="宋体"/>
          <w:b/>
          <w:bCs/>
          <w:sz w:val="32"/>
          <w:szCs w:val="32"/>
        </w:rPr>
        <w:t>（二）符合性响应证明材料目录</w:t>
      </w:r>
    </w:p>
    <w:p w14:paraId="6FB0F86E">
      <w:pPr>
        <w:numPr>
          <w:ilvl w:val="0"/>
          <w:numId w:val="13"/>
        </w:numPr>
        <w:spacing w:line="360" w:lineRule="auto"/>
        <w:ind w:firstLine="480"/>
        <w:rPr>
          <w:rFonts w:ascii="宋体" w:hAnsi="宋体" w:cs="宋体"/>
          <w:sz w:val="24"/>
        </w:rPr>
      </w:pPr>
      <w:r>
        <w:rPr>
          <w:rFonts w:hint="eastAsia" w:ascii="宋体" w:hAnsi="宋体" w:cs="宋体"/>
          <w:sz w:val="24"/>
        </w:rPr>
        <w:t>响应函</w:t>
      </w:r>
      <w:r>
        <w:rPr>
          <w:rFonts w:hint="eastAsia" w:ascii="宋体" w:hAnsi="宋体" w:cs="宋体"/>
          <w:b/>
          <w:bCs/>
          <w:sz w:val="24"/>
        </w:rPr>
        <w:t>（格式见附件）（必须提供</w:t>
      </w:r>
      <w:r>
        <w:t>）</w:t>
      </w:r>
      <w:r>
        <w:rPr>
          <w:rFonts w:hint="eastAsia" w:ascii="宋体" w:hAnsi="宋体" w:cs="宋体"/>
          <w:b/>
          <w:bCs/>
          <w:sz w:val="24"/>
        </w:rPr>
        <w:t>；</w:t>
      </w:r>
    </w:p>
    <w:p w14:paraId="733798F5">
      <w:pPr>
        <w:spacing w:line="360" w:lineRule="auto"/>
        <w:rPr>
          <w:rFonts w:ascii="宋体" w:hAnsi="宋体" w:cs="宋体"/>
          <w:sz w:val="24"/>
        </w:rPr>
      </w:pPr>
    </w:p>
    <w:p w14:paraId="36F3D8BB">
      <w:pPr>
        <w:numPr>
          <w:ilvl w:val="0"/>
          <w:numId w:val="13"/>
        </w:numPr>
        <w:spacing w:line="360" w:lineRule="auto"/>
        <w:ind w:firstLine="480"/>
        <w:rPr>
          <w:rFonts w:ascii="宋体" w:hAnsi="宋体" w:cs="宋体"/>
          <w:b/>
          <w:bCs/>
          <w:sz w:val="24"/>
        </w:rPr>
      </w:pPr>
      <w:r>
        <w:rPr>
          <w:rFonts w:hint="eastAsia" w:ascii="宋体" w:hAnsi="宋体" w:cs="宋体"/>
          <w:sz w:val="24"/>
        </w:rPr>
        <w:t>磋商报价表</w:t>
      </w:r>
      <w:r>
        <w:rPr>
          <w:rFonts w:hint="eastAsia" w:ascii="宋体" w:hAnsi="宋体" w:cs="宋体"/>
          <w:b/>
          <w:bCs/>
          <w:sz w:val="24"/>
        </w:rPr>
        <w:t>（格式见附件）（必须提供）；</w:t>
      </w:r>
    </w:p>
    <w:p w14:paraId="43CE3CCC">
      <w:pPr>
        <w:pStyle w:val="9"/>
        <w:rPr>
          <w:rFonts w:ascii="宋体" w:hAnsi="宋体" w:cs="宋体"/>
        </w:rPr>
      </w:pPr>
    </w:p>
    <w:p w14:paraId="59FF4728">
      <w:pPr>
        <w:numPr>
          <w:ilvl w:val="0"/>
          <w:numId w:val="13"/>
        </w:numPr>
        <w:spacing w:line="360" w:lineRule="auto"/>
        <w:ind w:firstLine="480"/>
        <w:rPr>
          <w:rFonts w:ascii="宋体" w:hAnsi="宋体" w:cs="宋体"/>
          <w:sz w:val="24"/>
        </w:rPr>
      </w:pPr>
      <w:r>
        <w:rPr>
          <w:rFonts w:hint="eastAsia" w:ascii="宋体" w:hAnsi="宋体" w:cs="宋体"/>
          <w:b w:val="0"/>
          <w:bCs w:val="0"/>
          <w:sz w:val="24"/>
        </w:rPr>
        <w:t>服务（技术）响应、商务偏离情况说明表</w:t>
      </w:r>
      <w:r>
        <w:rPr>
          <w:rFonts w:hint="eastAsia" w:ascii="宋体" w:hAnsi="宋体" w:cs="宋体"/>
          <w:b/>
          <w:bCs/>
          <w:sz w:val="24"/>
        </w:rPr>
        <w:t>（格式见附件）（必须提供）；</w:t>
      </w:r>
    </w:p>
    <w:p w14:paraId="3159BCB2">
      <w:pPr>
        <w:pStyle w:val="9"/>
        <w:rPr>
          <w:rFonts w:ascii="宋体" w:hAnsi="宋体" w:cs="宋体"/>
        </w:rPr>
      </w:pPr>
    </w:p>
    <w:p w14:paraId="5AA8D978">
      <w:pPr>
        <w:numPr>
          <w:ilvl w:val="0"/>
          <w:numId w:val="13"/>
        </w:numPr>
        <w:spacing w:line="360" w:lineRule="auto"/>
        <w:ind w:firstLine="480"/>
        <w:rPr>
          <w:rFonts w:ascii="宋体" w:hAnsi="宋体" w:cs="宋体"/>
          <w:b/>
          <w:bCs/>
          <w:sz w:val="24"/>
        </w:rPr>
      </w:pPr>
      <w:r>
        <w:rPr>
          <w:rFonts w:hint="eastAsia" w:ascii="宋体" w:hAnsi="宋体" w:cs="宋体"/>
          <w:sz w:val="24"/>
        </w:rPr>
        <w:t>服务承诺书、服务方案（由供应商根据本项目采购需求、特点及供应商自身的处理能力自行编写，承诺书内容至少应包括“采购需求”的所有服务条款）</w:t>
      </w:r>
      <w:r>
        <w:rPr>
          <w:rFonts w:hint="eastAsia" w:ascii="宋体" w:hAnsi="宋体" w:cs="宋体"/>
          <w:b/>
          <w:bCs/>
          <w:sz w:val="24"/>
        </w:rPr>
        <w:t>（格式见附件）（必须提供）；</w:t>
      </w:r>
    </w:p>
    <w:p w14:paraId="1AABC483">
      <w:pPr>
        <w:numPr>
          <w:ilvl w:val="0"/>
          <w:numId w:val="13"/>
        </w:numPr>
        <w:spacing w:line="360" w:lineRule="auto"/>
        <w:ind w:firstLine="480"/>
        <w:rPr>
          <w:rFonts w:ascii="宋体" w:hAnsi="宋体" w:cs="宋体"/>
          <w:sz w:val="24"/>
        </w:rPr>
      </w:pPr>
      <w:r>
        <w:rPr>
          <w:rFonts w:hint="eastAsia" w:ascii="宋体" w:hAnsi="宋体" w:cs="宋体"/>
          <w:sz w:val="24"/>
        </w:rPr>
        <w:t>针对本项目的项目实施方案</w:t>
      </w:r>
      <w:r>
        <w:rPr>
          <w:rFonts w:hint="eastAsia" w:ascii="宋体" w:hAnsi="宋体" w:cs="宋体"/>
          <w:b/>
          <w:bCs/>
          <w:sz w:val="24"/>
        </w:rPr>
        <w:t>（格式见附件）（必须提供）。</w:t>
      </w:r>
    </w:p>
    <w:p w14:paraId="4A9E88FE">
      <w:pPr>
        <w:pStyle w:val="2"/>
        <w:rPr>
          <w:rFonts w:ascii="宋体" w:hAnsi="宋体" w:cs="宋体"/>
          <w:color w:val="auto"/>
        </w:rPr>
      </w:pPr>
    </w:p>
    <w:p w14:paraId="3EFA42FA">
      <w:pPr>
        <w:pStyle w:val="9"/>
        <w:rPr>
          <w:rFonts w:ascii="宋体" w:hAnsi="宋体" w:cs="宋体"/>
        </w:rPr>
      </w:pPr>
    </w:p>
    <w:p w14:paraId="21E84E55">
      <w:pPr>
        <w:pStyle w:val="12"/>
        <w:spacing w:line="340" w:lineRule="exact"/>
        <w:rPr>
          <w:rFonts w:hAnsi="宋体" w:cs="宋体"/>
          <w:b/>
          <w:sz w:val="28"/>
          <w:szCs w:val="28"/>
        </w:rPr>
      </w:pPr>
    </w:p>
    <w:p w14:paraId="6811E0BA">
      <w:pPr>
        <w:pStyle w:val="12"/>
        <w:spacing w:line="340" w:lineRule="exact"/>
        <w:rPr>
          <w:rFonts w:hAnsi="宋体" w:cs="宋体"/>
          <w:b/>
          <w:sz w:val="28"/>
          <w:szCs w:val="28"/>
        </w:rPr>
      </w:pPr>
    </w:p>
    <w:p w14:paraId="10E73536">
      <w:pPr>
        <w:rPr>
          <w:rFonts w:ascii="宋体" w:hAnsi="宋体" w:cs="宋体"/>
          <w:b/>
          <w:sz w:val="28"/>
          <w:szCs w:val="28"/>
        </w:rPr>
      </w:pPr>
    </w:p>
    <w:p w14:paraId="10F112D7">
      <w:pPr>
        <w:pStyle w:val="9"/>
        <w:rPr>
          <w:rFonts w:ascii="宋体" w:hAnsi="宋体" w:cs="宋体"/>
          <w:b/>
          <w:sz w:val="28"/>
          <w:szCs w:val="28"/>
        </w:rPr>
      </w:pPr>
    </w:p>
    <w:p w14:paraId="0B6C7AC1">
      <w:pPr>
        <w:rPr>
          <w:rFonts w:ascii="宋体" w:hAnsi="宋体" w:cs="宋体"/>
          <w:b/>
          <w:sz w:val="28"/>
          <w:szCs w:val="28"/>
        </w:rPr>
      </w:pPr>
    </w:p>
    <w:p w14:paraId="5BADFDE0">
      <w:pPr>
        <w:pStyle w:val="9"/>
        <w:rPr>
          <w:rFonts w:ascii="宋体" w:hAnsi="宋体" w:cs="宋体"/>
          <w:b/>
          <w:sz w:val="28"/>
          <w:szCs w:val="28"/>
        </w:rPr>
      </w:pPr>
    </w:p>
    <w:p w14:paraId="3CF16A52">
      <w:pPr>
        <w:rPr>
          <w:rFonts w:ascii="宋体" w:hAnsi="宋体" w:cs="宋体"/>
          <w:b/>
          <w:sz w:val="28"/>
          <w:szCs w:val="28"/>
        </w:rPr>
      </w:pPr>
    </w:p>
    <w:p w14:paraId="14888D81">
      <w:pPr>
        <w:pStyle w:val="9"/>
        <w:rPr>
          <w:rFonts w:ascii="宋体" w:hAnsi="宋体" w:cs="宋体"/>
          <w:b/>
          <w:sz w:val="28"/>
          <w:szCs w:val="28"/>
        </w:rPr>
      </w:pPr>
    </w:p>
    <w:p w14:paraId="55A94CCD">
      <w:pPr>
        <w:rPr>
          <w:rFonts w:ascii="宋体" w:hAnsi="宋体" w:cs="宋体"/>
          <w:b/>
          <w:sz w:val="28"/>
          <w:szCs w:val="28"/>
        </w:rPr>
      </w:pPr>
    </w:p>
    <w:p w14:paraId="5AF4447D">
      <w:pPr>
        <w:pStyle w:val="9"/>
        <w:rPr>
          <w:rFonts w:ascii="宋体" w:hAnsi="宋体" w:cs="宋体"/>
          <w:b/>
          <w:sz w:val="28"/>
          <w:szCs w:val="28"/>
        </w:rPr>
      </w:pPr>
    </w:p>
    <w:p w14:paraId="67F45E74">
      <w:pPr>
        <w:rPr>
          <w:rFonts w:ascii="宋体" w:hAnsi="宋体" w:cs="宋体"/>
          <w:b/>
          <w:sz w:val="28"/>
          <w:szCs w:val="28"/>
        </w:rPr>
      </w:pPr>
    </w:p>
    <w:p w14:paraId="24D86953">
      <w:pPr>
        <w:pStyle w:val="9"/>
        <w:rPr>
          <w:rFonts w:ascii="宋体" w:hAnsi="宋体" w:cs="宋体"/>
          <w:b/>
          <w:sz w:val="28"/>
          <w:szCs w:val="28"/>
        </w:rPr>
      </w:pPr>
    </w:p>
    <w:p w14:paraId="1D4D5F2F">
      <w:pPr>
        <w:rPr>
          <w:rFonts w:ascii="宋体" w:hAnsi="宋体" w:cs="宋体"/>
          <w:b/>
          <w:sz w:val="28"/>
          <w:szCs w:val="28"/>
        </w:rPr>
      </w:pPr>
    </w:p>
    <w:p w14:paraId="3C49533C">
      <w:pPr>
        <w:pStyle w:val="9"/>
        <w:rPr>
          <w:rFonts w:ascii="宋体" w:hAnsi="宋体" w:cs="宋体"/>
          <w:b/>
          <w:sz w:val="28"/>
          <w:szCs w:val="28"/>
        </w:rPr>
      </w:pPr>
    </w:p>
    <w:p w14:paraId="640AF15F">
      <w:pPr>
        <w:pStyle w:val="9"/>
      </w:pPr>
    </w:p>
    <w:p w14:paraId="12DABBC8">
      <w:pPr>
        <w:spacing w:line="400" w:lineRule="exact"/>
        <w:rPr>
          <w:rFonts w:ascii="宋体" w:hAnsi="宋体" w:cs="宋体"/>
          <w:b/>
          <w:bCs/>
          <w:sz w:val="28"/>
          <w:szCs w:val="28"/>
        </w:rPr>
      </w:pPr>
      <w:bookmarkStart w:id="198" w:name="_Toc17617"/>
      <w:bookmarkStart w:id="199" w:name="_Toc497927072"/>
      <w:bookmarkStart w:id="200" w:name="_Toc12920"/>
      <w:r>
        <w:rPr>
          <w:rFonts w:hint="eastAsia" w:ascii="宋体" w:hAnsi="宋体" w:cs="宋体"/>
          <w:b/>
          <w:bCs/>
          <w:sz w:val="28"/>
          <w:szCs w:val="28"/>
        </w:rPr>
        <w:t>1.响应函（格式见附件）（必须提供）</w:t>
      </w:r>
      <w:bookmarkEnd w:id="198"/>
      <w:bookmarkEnd w:id="199"/>
      <w:bookmarkEnd w:id="200"/>
    </w:p>
    <w:p w14:paraId="6C629B34">
      <w:pPr>
        <w:pStyle w:val="2"/>
        <w:rPr>
          <w:rFonts w:ascii="宋体" w:hAnsi="宋体" w:cs="宋体"/>
        </w:rPr>
      </w:pPr>
    </w:p>
    <w:p w14:paraId="1DE918E6">
      <w:pPr>
        <w:pStyle w:val="12"/>
        <w:rPr>
          <w:rFonts w:hAnsi="宋体" w:cs="宋体"/>
          <w:b/>
          <w:sz w:val="32"/>
        </w:rPr>
      </w:pPr>
      <w:r>
        <w:rPr>
          <w:rFonts w:hint="eastAsia" w:hAnsi="宋体" w:cs="宋体"/>
          <w:b/>
          <w:sz w:val="32"/>
        </w:rPr>
        <w:t>附件：</w:t>
      </w:r>
    </w:p>
    <w:p w14:paraId="126CDE8A">
      <w:pPr>
        <w:pStyle w:val="12"/>
        <w:ind w:firstLine="800" w:firstLineChars="250"/>
        <w:jc w:val="center"/>
        <w:rPr>
          <w:rFonts w:hAnsi="宋体" w:cs="宋体"/>
          <w:b/>
          <w:sz w:val="32"/>
        </w:rPr>
      </w:pPr>
      <w:bookmarkStart w:id="201" w:name="_Toc7273_WPSOffice_Level1"/>
      <w:bookmarkStart w:id="202" w:name="_Toc17832_WPSOffice_Level1"/>
      <w:r>
        <w:rPr>
          <w:rFonts w:hint="eastAsia" w:hAnsi="宋体" w:cs="宋体"/>
          <w:b/>
          <w:sz w:val="32"/>
        </w:rPr>
        <w:t>响 应 函 （格 式）</w:t>
      </w:r>
      <w:bookmarkEnd w:id="201"/>
      <w:bookmarkEnd w:id="202"/>
    </w:p>
    <w:p w14:paraId="75A20356">
      <w:pPr>
        <w:spacing w:line="240" w:lineRule="exact"/>
        <w:jc w:val="center"/>
        <w:rPr>
          <w:rFonts w:ascii="宋体" w:hAnsi="宋体" w:cs="宋体"/>
          <w:sz w:val="32"/>
        </w:rPr>
      </w:pPr>
    </w:p>
    <w:p w14:paraId="6366E4B7">
      <w:pPr>
        <w:spacing w:line="400" w:lineRule="exact"/>
        <w:rPr>
          <w:rFonts w:ascii="宋体" w:hAnsi="宋体" w:cs="宋体"/>
        </w:rPr>
      </w:pPr>
      <w:r>
        <w:rPr>
          <w:rFonts w:hint="eastAsia" w:ascii="宋体" w:hAnsi="宋体" w:cs="宋体"/>
          <w:szCs w:val="21"/>
        </w:rPr>
        <w:t>致</w:t>
      </w:r>
      <w:r>
        <w:rPr>
          <w:rFonts w:hint="eastAsia" w:ascii="宋体" w:hAnsi="宋体" w:cs="宋体"/>
          <w:szCs w:val="21"/>
          <w:u w:val="single"/>
        </w:rPr>
        <w:t>：广西安臻工程管理有限公司</w:t>
      </w:r>
    </w:p>
    <w:p w14:paraId="7D611EA9">
      <w:pPr>
        <w:spacing w:line="400" w:lineRule="exact"/>
        <w:rPr>
          <w:rFonts w:ascii="宋体" w:hAnsi="宋体" w:cs="宋体"/>
          <w:szCs w:val="21"/>
        </w:rPr>
      </w:pPr>
    </w:p>
    <w:p w14:paraId="11E245F7">
      <w:pPr>
        <w:pStyle w:val="12"/>
        <w:spacing w:line="360" w:lineRule="exact"/>
        <w:ind w:firstLine="420"/>
        <w:rPr>
          <w:rFonts w:hAnsi="宋体" w:cs="宋体"/>
        </w:rPr>
      </w:pPr>
      <w:r>
        <w:rPr>
          <w:rFonts w:hint="eastAsia" w:hAnsi="宋体" w:cs="宋体"/>
        </w:rPr>
        <w:t>根据贵方</w:t>
      </w:r>
      <w:r>
        <w:rPr>
          <w:rFonts w:hint="eastAsia" w:hAnsi="宋体" w:cs="宋体"/>
          <w:u w:val="single"/>
        </w:rPr>
        <w:t xml:space="preserve">       </w:t>
      </w:r>
      <w:r>
        <w:rPr>
          <w:rFonts w:hint="eastAsia" w:hAnsi="宋体" w:cs="宋体"/>
        </w:rPr>
        <w:t>项目竞争性磋商文件，项目编号：</w:t>
      </w:r>
      <w:r>
        <w:rPr>
          <w:rFonts w:hint="eastAsia" w:hAnsi="宋体" w:cs="宋体"/>
          <w:szCs w:val="21"/>
          <w:u w:val="single"/>
        </w:rPr>
        <w:t xml:space="preserve">            </w:t>
      </w:r>
      <w:r>
        <w:rPr>
          <w:rFonts w:hint="eastAsia" w:hAnsi="宋体" w:cs="宋体"/>
          <w:szCs w:val="21"/>
        </w:rPr>
        <w:t>，签字代表</w:t>
      </w:r>
      <w:r>
        <w:rPr>
          <w:rFonts w:hint="eastAsia" w:hAnsi="宋体" w:cs="宋体"/>
          <w:u w:val="single"/>
        </w:rPr>
        <w:t xml:space="preserve">         </w:t>
      </w:r>
      <w:r>
        <w:rPr>
          <w:rFonts w:hint="eastAsia" w:hAnsi="宋体" w:cs="宋体"/>
        </w:rPr>
        <w:t xml:space="preserve">（姓名）经正式授权并代表供应商 </w:t>
      </w:r>
      <w:r>
        <w:rPr>
          <w:rFonts w:hint="eastAsia" w:hAnsi="宋体" w:cs="宋体"/>
          <w:u w:val="single"/>
        </w:rPr>
        <w:t xml:space="preserve">                                   （</w:t>
      </w:r>
      <w:r>
        <w:rPr>
          <w:rFonts w:hint="eastAsia" w:hAnsi="宋体" w:cs="宋体"/>
        </w:rPr>
        <w:t>供应商单位名称），提交电子响应文件。</w:t>
      </w:r>
    </w:p>
    <w:p w14:paraId="30A2BEEB">
      <w:pPr>
        <w:pStyle w:val="12"/>
        <w:spacing w:line="360" w:lineRule="exact"/>
        <w:ind w:firstLine="420"/>
        <w:rPr>
          <w:rFonts w:hAnsi="宋体" w:cs="宋体"/>
        </w:rPr>
      </w:pPr>
      <w:r>
        <w:rPr>
          <w:rFonts w:hint="eastAsia" w:hAnsi="宋体" w:cs="宋体"/>
        </w:rPr>
        <w:t>据此函，签字代表宣布同意如下：</w:t>
      </w:r>
    </w:p>
    <w:p w14:paraId="6E82FAF6">
      <w:pPr>
        <w:pStyle w:val="12"/>
        <w:spacing w:line="360" w:lineRule="exact"/>
        <w:ind w:firstLine="420"/>
        <w:rPr>
          <w:rFonts w:hAnsi="宋体" w:cs="宋体"/>
        </w:rPr>
      </w:pPr>
      <w:r>
        <w:rPr>
          <w:rFonts w:hint="eastAsia" w:hAnsi="宋体" w:cs="宋体"/>
        </w:rPr>
        <w:t>1. 按磋商文件采购需求和磋商报价表：</w:t>
      </w:r>
    </w:p>
    <w:p w14:paraId="31E2950C">
      <w:pPr>
        <w:pStyle w:val="12"/>
        <w:spacing w:line="360" w:lineRule="exact"/>
        <w:ind w:firstLine="420"/>
        <w:rPr>
          <w:rFonts w:hAnsi="宋体" w:cs="宋体"/>
        </w:rPr>
      </w:pPr>
      <w:r>
        <w:rPr>
          <w:rFonts w:hint="eastAsia" w:hAnsi="宋体" w:cs="宋体"/>
        </w:rPr>
        <w:t>磋商总报价（大写）</w:t>
      </w:r>
      <w:r>
        <w:rPr>
          <w:rFonts w:hint="eastAsia" w:hAnsi="宋体" w:cs="宋体"/>
          <w:u w:val="single"/>
        </w:rPr>
        <w:t xml:space="preserve">                </w:t>
      </w:r>
      <w:r>
        <w:rPr>
          <w:rFonts w:hint="eastAsia" w:hAnsi="宋体" w:cs="宋体"/>
        </w:rPr>
        <w:t>元人民币(￥</w:t>
      </w:r>
      <w:r>
        <w:rPr>
          <w:rFonts w:hint="eastAsia" w:hAnsi="宋体" w:cs="宋体"/>
          <w:u w:val="single"/>
        </w:rPr>
        <w:t xml:space="preserve">            </w:t>
      </w:r>
      <w:r>
        <w:rPr>
          <w:rFonts w:hint="eastAsia" w:hAnsi="宋体" w:cs="宋体"/>
        </w:rPr>
        <w:t>)。</w:t>
      </w:r>
    </w:p>
    <w:p w14:paraId="5C7CB391">
      <w:pPr>
        <w:pStyle w:val="12"/>
        <w:spacing w:line="360" w:lineRule="exact"/>
        <w:ind w:firstLine="420"/>
        <w:rPr>
          <w:rFonts w:hAnsi="宋体" w:cs="宋体"/>
        </w:rPr>
      </w:pPr>
      <w:r>
        <w:rPr>
          <w:rFonts w:hint="eastAsia" w:hAnsi="宋体" w:cs="宋体"/>
        </w:rPr>
        <w:t>2.我方承诺已具备磋商文件规定的供应商资格条件。</w:t>
      </w:r>
    </w:p>
    <w:p w14:paraId="3701A315">
      <w:pPr>
        <w:pStyle w:val="12"/>
        <w:spacing w:line="360" w:lineRule="exact"/>
        <w:ind w:firstLine="420"/>
        <w:rPr>
          <w:rFonts w:hAnsi="宋体" w:cs="宋体"/>
        </w:rPr>
      </w:pPr>
      <w:r>
        <w:rPr>
          <w:rFonts w:hint="eastAsia" w:hAnsi="宋体" w:cs="宋体"/>
        </w:rPr>
        <w:t>3.我方已详细审核磋商文件，包括修改文件（如有的话）和有关附件，将自行承担因对全部磋商文件理解不正确或误解而产生的相应后果。</w:t>
      </w:r>
    </w:p>
    <w:p w14:paraId="54DA3B90">
      <w:pPr>
        <w:pStyle w:val="12"/>
        <w:spacing w:line="360" w:lineRule="exact"/>
        <w:ind w:firstLine="420"/>
        <w:rPr>
          <w:rFonts w:hAnsi="宋体" w:cs="宋体"/>
        </w:rPr>
      </w:pPr>
      <w:r>
        <w:rPr>
          <w:rFonts w:hint="eastAsia" w:hAnsi="宋体" w:cs="宋体"/>
        </w:rPr>
        <w:t>4. 响应文件有效期为</w:t>
      </w:r>
      <w:r>
        <w:rPr>
          <w:rFonts w:hint="eastAsia" w:hAnsi="宋体" w:cs="宋体"/>
          <w:szCs w:val="21"/>
        </w:rPr>
        <w:t>响应文件递交截止时间之日起90天。</w:t>
      </w:r>
    </w:p>
    <w:p w14:paraId="532BE278">
      <w:pPr>
        <w:pStyle w:val="12"/>
        <w:spacing w:line="360" w:lineRule="exact"/>
        <w:ind w:firstLine="420"/>
        <w:rPr>
          <w:rFonts w:hAnsi="宋体" w:cs="宋体"/>
        </w:rPr>
      </w:pPr>
      <w:r>
        <w:rPr>
          <w:rFonts w:hint="eastAsia" w:hAnsi="宋体" w:cs="宋体"/>
        </w:rPr>
        <w:t>5. 如我方成交：</w:t>
      </w:r>
    </w:p>
    <w:p w14:paraId="559C09A8">
      <w:pPr>
        <w:pStyle w:val="12"/>
        <w:spacing w:line="360" w:lineRule="exact"/>
        <w:ind w:firstLine="420"/>
        <w:rPr>
          <w:rFonts w:hAnsi="宋体" w:cs="宋体"/>
        </w:rPr>
      </w:pPr>
      <w:r>
        <w:rPr>
          <w:rFonts w:hint="eastAsia" w:hAnsi="宋体" w:cs="宋体"/>
        </w:rPr>
        <w:t>（1）我方承诺在收到成交通知书后，在成交通知书规定的期限内与采购人签订合同。</w:t>
      </w:r>
    </w:p>
    <w:p w14:paraId="5E2B59BB">
      <w:pPr>
        <w:pStyle w:val="12"/>
        <w:spacing w:line="360" w:lineRule="exact"/>
        <w:ind w:firstLine="420"/>
        <w:rPr>
          <w:rFonts w:hAnsi="宋体" w:cs="宋体"/>
          <w:szCs w:val="21"/>
        </w:rPr>
      </w:pPr>
      <w:r>
        <w:rPr>
          <w:rFonts w:hint="eastAsia" w:hAnsi="宋体" w:cs="宋体"/>
          <w:szCs w:val="21"/>
        </w:rPr>
        <w:t>（2）我方承诺按照磋商文件规定递交履约担保。</w:t>
      </w:r>
    </w:p>
    <w:p w14:paraId="401E43C2">
      <w:pPr>
        <w:pStyle w:val="12"/>
        <w:spacing w:line="360" w:lineRule="exact"/>
        <w:ind w:firstLine="420"/>
        <w:rPr>
          <w:rFonts w:hAnsi="宋体" w:cs="宋体"/>
          <w:szCs w:val="21"/>
        </w:rPr>
      </w:pPr>
      <w:r>
        <w:rPr>
          <w:rFonts w:hint="eastAsia" w:hAnsi="宋体" w:cs="宋体"/>
          <w:szCs w:val="21"/>
        </w:rPr>
        <w:t>（3）我方承诺本响应文件至本项目合同履行完毕止均保持有效，按磋商文件及政府采购法律、法规的规定履行合同责任和义务。</w:t>
      </w:r>
    </w:p>
    <w:p w14:paraId="641A47BC">
      <w:pPr>
        <w:pStyle w:val="12"/>
        <w:spacing w:line="360" w:lineRule="exact"/>
        <w:ind w:firstLine="420"/>
        <w:rPr>
          <w:rFonts w:hAnsi="宋体" w:cs="宋体"/>
          <w:szCs w:val="21"/>
        </w:rPr>
      </w:pPr>
      <w:r>
        <w:rPr>
          <w:rFonts w:hint="eastAsia" w:hAnsi="宋体" w:cs="宋体"/>
          <w:szCs w:val="21"/>
        </w:rPr>
        <w:t>与本项目有关的正式通讯地址为：</w:t>
      </w:r>
    </w:p>
    <w:p w14:paraId="5F3EE477">
      <w:pPr>
        <w:rPr>
          <w:rFonts w:ascii="宋体" w:hAnsi="宋体" w:cs="宋体"/>
          <w:szCs w:val="21"/>
        </w:rPr>
      </w:pPr>
    </w:p>
    <w:p w14:paraId="0ACF9C06">
      <w:pPr>
        <w:pStyle w:val="12"/>
        <w:spacing w:line="320" w:lineRule="exact"/>
        <w:ind w:firstLine="420"/>
        <w:rPr>
          <w:rFonts w:hAnsi="宋体" w:cs="宋体"/>
          <w:szCs w:val="21"/>
          <w:u w:val="single"/>
        </w:rPr>
      </w:pPr>
      <w:r>
        <w:rPr>
          <w:rFonts w:hint="eastAsia" w:hAnsi="宋体" w:cs="宋体"/>
          <w:szCs w:val="21"/>
        </w:rPr>
        <w:t>地址：</w:t>
      </w:r>
      <w:r>
        <w:rPr>
          <w:rFonts w:hint="eastAsia" w:hAnsi="宋体" w:cs="宋体"/>
          <w:szCs w:val="21"/>
          <w:u w:val="single"/>
        </w:rPr>
        <w:t xml:space="preserve">                                   </w:t>
      </w:r>
      <w:r>
        <w:rPr>
          <w:rFonts w:hint="eastAsia" w:hAnsi="宋体" w:cs="宋体"/>
          <w:szCs w:val="21"/>
        </w:rPr>
        <w:t xml:space="preserve"> 邮编：</w:t>
      </w:r>
      <w:r>
        <w:rPr>
          <w:rFonts w:hint="eastAsia" w:hAnsi="宋体" w:cs="宋体"/>
          <w:szCs w:val="21"/>
          <w:u w:val="single"/>
        </w:rPr>
        <w:t xml:space="preserve">          </w:t>
      </w:r>
      <w:r>
        <w:rPr>
          <w:rFonts w:hint="eastAsia" w:hAnsi="宋体" w:cs="宋体"/>
          <w:szCs w:val="21"/>
        </w:rPr>
        <w:t xml:space="preserve">  电话、传真：</w:t>
      </w:r>
      <w:r>
        <w:rPr>
          <w:rFonts w:hint="eastAsia" w:hAnsi="宋体" w:cs="宋体"/>
          <w:szCs w:val="21"/>
          <w:u w:val="single"/>
        </w:rPr>
        <w:t xml:space="preserve">            </w:t>
      </w:r>
    </w:p>
    <w:p w14:paraId="59A15025">
      <w:pPr>
        <w:pStyle w:val="12"/>
        <w:spacing w:line="320" w:lineRule="exact"/>
        <w:ind w:firstLine="420"/>
        <w:rPr>
          <w:rFonts w:hAnsi="宋体" w:cs="宋体"/>
          <w:szCs w:val="21"/>
        </w:rPr>
      </w:pPr>
      <w:r>
        <w:rPr>
          <w:rFonts w:hint="eastAsia" w:hAnsi="宋体" w:cs="宋体"/>
          <w:szCs w:val="21"/>
        </w:rPr>
        <w:t>开户名称：</w:t>
      </w:r>
      <w:r>
        <w:rPr>
          <w:rFonts w:hint="eastAsia" w:hAnsi="宋体" w:cs="宋体"/>
          <w:szCs w:val="21"/>
          <w:u w:val="single"/>
        </w:rPr>
        <w:t xml:space="preserve">                                        </w:t>
      </w:r>
    </w:p>
    <w:p w14:paraId="1C8C7D9A">
      <w:pPr>
        <w:pStyle w:val="12"/>
        <w:spacing w:line="320" w:lineRule="exact"/>
        <w:ind w:firstLine="420"/>
        <w:rPr>
          <w:rFonts w:hAnsi="宋体" w:cs="宋体"/>
          <w:szCs w:val="21"/>
        </w:rPr>
      </w:pPr>
      <w:r>
        <w:rPr>
          <w:rFonts w:hint="eastAsia" w:hAnsi="宋体" w:cs="宋体"/>
          <w:szCs w:val="21"/>
        </w:rPr>
        <w:t>开户银行：</w:t>
      </w:r>
      <w:r>
        <w:rPr>
          <w:rFonts w:hint="eastAsia" w:hAnsi="宋体" w:cs="宋体"/>
          <w:szCs w:val="21"/>
          <w:u w:val="single"/>
        </w:rPr>
        <w:t xml:space="preserve">                               　       </w:t>
      </w:r>
    </w:p>
    <w:p w14:paraId="54BB2E79">
      <w:pPr>
        <w:pStyle w:val="12"/>
        <w:spacing w:line="320" w:lineRule="exact"/>
        <w:ind w:firstLine="420"/>
        <w:rPr>
          <w:rFonts w:hAnsi="宋体" w:cs="宋体"/>
          <w:szCs w:val="21"/>
        </w:rPr>
      </w:pPr>
      <w:r>
        <w:rPr>
          <w:rFonts w:hint="eastAsia" w:hAnsi="宋体" w:cs="宋体"/>
          <w:szCs w:val="21"/>
        </w:rPr>
        <w:t>账号：</w:t>
      </w:r>
      <w:r>
        <w:rPr>
          <w:rFonts w:hint="eastAsia" w:hAnsi="宋体" w:cs="宋体"/>
          <w:szCs w:val="21"/>
          <w:u w:val="single"/>
        </w:rPr>
        <w:t xml:space="preserve">                                   　　　   </w:t>
      </w:r>
    </w:p>
    <w:p w14:paraId="2BF2B445">
      <w:pPr>
        <w:pStyle w:val="12"/>
        <w:spacing w:line="320" w:lineRule="exact"/>
        <w:ind w:firstLine="420"/>
        <w:rPr>
          <w:rFonts w:hAnsi="宋体" w:cs="宋体"/>
          <w:bCs/>
          <w:szCs w:val="21"/>
          <w:u w:val="single"/>
        </w:rPr>
      </w:pPr>
      <w:r>
        <w:rPr>
          <w:rFonts w:hint="eastAsia" w:hAnsi="宋体" w:cs="宋体"/>
          <w:bCs/>
          <w:szCs w:val="21"/>
        </w:rPr>
        <w:t>供应商[公章(CA签章)、自然人除外]：</w:t>
      </w:r>
      <w:r>
        <w:rPr>
          <w:rFonts w:hint="eastAsia" w:hAnsi="宋体" w:cs="宋体"/>
          <w:bCs/>
          <w:szCs w:val="21"/>
          <w:u w:val="single"/>
        </w:rPr>
        <w:t xml:space="preserve">                              </w:t>
      </w:r>
    </w:p>
    <w:p w14:paraId="18FA8C84">
      <w:pPr>
        <w:pStyle w:val="12"/>
        <w:spacing w:line="320" w:lineRule="exact"/>
        <w:ind w:firstLine="420"/>
        <w:rPr>
          <w:rFonts w:hAnsi="宋体" w:cs="宋体"/>
          <w:szCs w:val="21"/>
          <w:u w:val="single"/>
        </w:rPr>
      </w:pPr>
      <w:r>
        <w:rPr>
          <w:rFonts w:hint="eastAsia" w:hAnsi="宋体" w:cs="宋体"/>
          <w:szCs w:val="21"/>
        </w:rPr>
        <w:t>法定代表人、负责人、自然人或相应的委托代理人签字[或盖章(CA签章)]（属自然人的应在签名处加盖大拇指指印或个人CA签章）：</w:t>
      </w:r>
      <w:r>
        <w:rPr>
          <w:rFonts w:hint="eastAsia" w:hAnsi="宋体" w:cs="宋体"/>
          <w:szCs w:val="21"/>
          <w:u w:val="single"/>
        </w:rPr>
        <w:t xml:space="preserve">              </w:t>
      </w:r>
    </w:p>
    <w:p w14:paraId="5EED6870">
      <w:pPr>
        <w:pStyle w:val="12"/>
        <w:spacing w:line="320" w:lineRule="exact"/>
        <w:ind w:firstLine="420"/>
        <w:rPr>
          <w:rFonts w:hAnsi="宋体" w:cs="宋体"/>
          <w:szCs w:val="21"/>
          <w:u w:val="single"/>
        </w:rPr>
      </w:pPr>
      <w:r>
        <w:rPr>
          <w:rFonts w:hint="eastAsia" w:hAnsi="宋体" w:cs="宋体"/>
          <w:bCs/>
          <w:szCs w:val="21"/>
        </w:rPr>
        <w:t>响应</w:t>
      </w:r>
      <w:r>
        <w:rPr>
          <w:rFonts w:hint="eastAsia" w:hAnsi="宋体" w:cs="宋体"/>
          <w:szCs w:val="21"/>
        </w:rPr>
        <w:t>日期：</w:t>
      </w:r>
      <w:r>
        <w:rPr>
          <w:rFonts w:hint="eastAsia" w:hAnsi="宋体" w:cs="宋体"/>
          <w:szCs w:val="21"/>
          <w:u w:val="single"/>
        </w:rPr>
        <w:t xml:space="preserve">                               </w:t>
      </w:r>
    </w:p>
    <w:p w14:paraId="54CC6B46">
      <w:pPr>
        <w:pStyle w:val="7"/>
        <w:rPr>
          <w:rFonts w:ascii="宋体" w:hAnsi="宋体" w:cs="宋体"/>
          <w:szCs w:val="21"/>
          <w:u w:val="single"/>
        </w:rPr>
      </w:pPr>
    </w:p>
    <w:p w14:paraId="413C4D6C">
      <w:pPr>
        <w:rPr>
          <w:rFonts w:ascii="宋体" w:hAnsi="宋体" w:cs="宋体"/>
          <w:szCs w:val="21"/>
          <w:u w:val="single"/>
        </w:rPr>
      </w:pPr>
    </w:p>
    <w:p w14:paraId="4172FEC7">
      <w:pPr>
        <w:pStyle w:val="4"/>
        <w:rPr>
          <w:rFonts w:ascii="宋体" w:hAnsi="宋体" w:cs="宋体"/>
          <w:color w:val="auto"/>
          <w:sz w:val="21"/>
          <w:szCs w:val="21"/>
          <w:u w:val="single"/>
        </w:rPr>
      </w:pPr>
    </w:p>
    <w:p w14:paraId="73A4EA43">
      <w:pPr>
        <w:rPr>
          <w:rFonts w:ascii="宋体" w:hAnsi="宋体" w:cs="宋体"/>
          <w:szCs w:val="21"/>
          <w:u w:val="single"/>
        </w:rPr>
      </w:pPr>
    </w:p>
    <w:p w14:paraId="18BC019B">
      <w:pPr>
        <w:pStyle w:val="4"/>
      </w:pPr>
    </w:p>
    <w:p w14:paraId="7F96551F">
      <w:pPr>
        <w:pStyle w:val="12"/>
        <w:spacing w:line="340" w:lineRule="exact"/>
        <w:rPr>
          <w:rFonts w:hAnsi="宋体" w:cs="宋体"/>
          <w:b/>
          <w:sz w:val="28"/>
          <w:szCs w:val="28"/>
        </w:rPr>
      </w:pPr>
    </w:p>
    <w:p w14:paraId="454C80D8">
      <w:pPr>
        <w:pStyle w:val="12"/>
        <w:spacing w:line="340" w:lineRule="exact"/>
        <w:rPr>
          <w:rFonts w:hAnsi="宋体" w:cs="宋体"/>
        </w:rPr>
      </w:pPr>
      <w:r>
        <w:rPr>
          <w:rFonts w:hint="eastAsia" w:hAnsi="宋体" w:cs="宋体"/>
          <w:b/>
          <w:sz w:val="28"/>
          <w:szCs w:val="28"/>
        </w:rPr>
        <w:t>2. 磋商报价表（必须提供）；</w:t>
      </w:r>
    </w:p>
    <w:p w14:paraId="22F7BE9B">
      <w:pPr>
        <w:pStyle w:val="12"/>
        <w:spacing w:line="320" w:lineRule="exact"/>
        <w:jc w:val="left"/>
        <w:rPr>
          <w:rFonts w:hAnsi="宋体" w:cs="宋体"/>
          <w:b/>
          <w:sz w:val="28"/>
          <w:szCs w:val="28"/>
        </w:rPr>
      </w:pPr>
    </w:p>
    <w:p w14:paraId="1557F583">
      <w:pPr>
        <w:pStyle w:val="7"/>
        <w:ind w:left="0"/>
        <w:rPr>
          <w:rFonts w:ascii="宋体" w:hAnsi="宋体" w:cs="宋体"/>
          <w:color w:val="000000"/>
        </w:rPr>
      </w:pPr>
      <w:r>
        <w:rPr>
          <w:rFonts w:hint="eastAsia" w:ascii="宋体" w:hAnsi="宋体" w:cs="宋体"/>
          <w:b/>
          <w:bCs/>
          <w:color w:val="000000"/>
          <w:sz w:val="30"/>
          <w:szCs w:val="30"/>
        </w:rPr>
        <w:t>附件：</w:t>
      </w:r>
    </w:p>
    <w:p w14:paraId="6A7254B7">
      <w:pPr>
        <w:pStyle w:val="12"/>
        <w:spacing w:line="480" w:lineRule="exact"/>
        <w:ind w:left="420"/>
        <w:jc w:val="center"/>
        <w:rPr>
          <w:rFonts w:hAnsi="宋体" w:cs="宋体"/>
          <w:b/>
          <w:color w:val="000000"/>
          <w:szCs w:val="21"/>
        </w:rPr>
      </w:pPr>
      <w:r>
        <w:rPr>
          <w:rFonts w:hint="eastAsia" w:hAnsi="宋体" w:cs="宋体"/>
          <w:b/>
          <w:color w:val="000000"/>
          <w:szCs w:val="21"/>
        </w:rPr>
        <w:t>磋商报价表（格式）</w:t>
      </w:r>
    </w:p>
    <w:tbl>
      <w:tblPr>
        <w:tblStyle w:val="23"/>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570"/>
        <w:gridCol w:w="1740"/>
        <w:gridCol w:w="780"/>
        <w:gridCol w:w="855"/>
        <w:gridCol w:w="810"/>
        <w:gridCol w:w="1785"/>
        <w:gridCol w:w="1710"/>
      </w:tblGrid>
      <w:tr w14:paraId="0CB67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bottom w:val="single" w:color="auto" w:sz="4" w:space="0"/>
              <w:right w:val="single" w:color="auto" w:sz="4" w:space="0"/>
            </w:tcBorders>
            <w:vAlign w:val="center"/>
          </w:tcPr>
          <w:p w14:paraId="3F28DE2D">
            <w:pPr>
              <w:spacing w:line="300" w:lineRule="exact"/>
              <w:jc w:val="center"/>
              <w:rPr>
                <w:rFonts w:ascii="宋体" w:hAnsi="宋体" w:cs="宋体"/>
                <w:color w:val="000000"/>
                <w:szCs w:val="21"/>
              </w:rPr>
            </w:pPr>
            <w:r>
              <w:rPr>
                <w:rFonts w:hint="eastAsia" w:ascii="宋体" w:hAnsi="宋体" w:cs="宋体"/>
                <w:color w:val="000000"/>
                <w:szCs w:val="21"/>
              </w:rPr>
              <w:t>项号</w:t>
            </w:r>
          </w:p>
        </w:tc>
        <w:tc>
          <w:tcPr>
            <w:tcW w:w="1570" w:type="dxa"/>
            <w:tcBorders>
              <w:top w:val="single" w:color="auto" w:sz="4" w:space="0"/>
              <w:left w:val="single" w:color="auto" w:sz="4" w:space="0"/>
              <w:bottom w:val="single" w:color="auto" w:sz="4" w:space="0"/>
              <w:right w:val="single" w:color="auto" w:sz="4" w:space="0"/>
            </w:tcBorders>
            <w:vAlign w:val="center"/>
          </w:tcPr>
          <w:p w14:paraId="1DE03B31">
            <w:pPr>
              <w:spacing w:line="280" w:lineRule="exact"/>
              <w:jc w:val="center"/>
              <w:rPr>
                <w:rFonts w:ascii="宋体" w:hAnsi="宋体" w:cs="宋体"/>
                <w:color w:val="000000"/>
                <w:szCs w:val="21"/>
              </w:rPr>
            </w:pPr>
            <w:r>
              <w:rPr>
                <w:rFonts w:hint="eastAsia" w:ascii="宋体" w:hAnsi="宋体" w:cs="宋体"/>
                <w:color w:val="000000"/>
                <w:szCs w:val="21"/>
              </w:rPr>
              <w:t>采购内容名称</w:t>
            </w:r>
          </w:p>
        </w:tc>
        <w:tc>
          <w:tcPr>
            <w:tcW w:w="1740" w:type="dxa"/>
            <w:tcBorders>
              <w:top w:val="single" w:color="auto" w:sz="4" w:space="0"/>
              <w:left w:val="single" w:color="auto" w:sz="4" w:space="0"/>
              <w:bottom w:val="single" w:color="auto" w:sz="4" w:space="0"/>
              <w:right w:val="single" w:color="auto" w:sz="4" w:space="0"/>
            </w:tcBorders>
            <w:vAlign w:val="center"/>
          </w:tcPr>
          <w:p w14:paraId="3E4B8E48">
            <w:pPr>
              <w:spacing w:line="300" w:lineRule="exact"/>
              <w:jc w:val="center"/>
              <w:rPr>
                <w:rFonts w:ascii="宋体" w:hAnsi="宋体" w:cs="宋体"/>
                <w:color w:val="000000"/>
                <w:szCs w:val="21"/>
              </w:rPr>
            </w:pPr>
            <w:r>
              <w:rPr>
                <w:rFonts w:hint="eastAsia" w:ascii="宋体" w:hAnsi="宋体" w:cs="宋体"/>
                <w:color w:val="000000"/>
                <w:szCs w:val="21"/>
              </w:rPr>
              <w:t>服务内容及承诺</w:t>
            </w:r>
          </w:p>
        </w:tc>
        <w:tc>
          <w:tcPr>
            <w:tcW w:w="780" w:type="dxa"/>
            <w:tcBorders>
              <w:top w:val="single" w:color="auto" w:sz="4" w:space="0"/>
              <w:left w:val="single" w:color="auto" w:sz="4" w:space="0"/>
              <w:bottom w:val="single" w:color="auto" w:sz="4" w:space="0"/>
              <w:right w:val="single" w:color="auto" w:sz="4" w:space="0"/>
            </w:tcBorders>
            <w:vAlign w:val="center"/>
          </w:tcPr>
          <w:p w14:paraId="739E44EF">
            <w:pPr>
              <w:spacing w:line="300" w:lineRule="exact"/>
              <w:jc w:val="center"/>
              <w:rPr>
                <w:rFonts w:ascii="宋体" w:hAnsi="宋体" w:cs="宋体"/>
                <w:color w:val="000000"/>
                <w:szCs w:val="21"/>
              </w:rPr>
            </w:pPr>
            <w:r>
              <w:rPr>
                <w:rFonts w:hint="eastAsia" w:ascii="宋体" w:hAnsi="宋体" w:cs="宋体"/>
                <w:color w:val="000000"/>
                <w:szCs w:val="21"/>
              </w:rPr>
              <w:t>数量①</w:t>
            </w:r>
          </w:p>
        </w:tc>
        <w:tc>
          <w:tcPr>
            <w:tcW w:w="855" w:type="dxa"/>
            <w:tcBorders>
              <w:top w:val="single" w:color="auto" w:sz="4" w:space="0"/>
              <w:left w:val="single" w:color="auto" w:sz="4" w:space="0"/>
              <w:bottom w:val="single" w:color="auto" w:sz="4" w:space="0"/>
              <w:right w:val="single" w:color="auto" w:sz="4" w:space="0"/>
            </w:tcBorders>
            <w:vAlign w:val="center"/>
          </w:tcPr>
          <w:p w14:paraId="19C76A6E">
            <w:pPr>
              <w:spacing w:line="300" w:lineRule="exact"/>
              <w:jc w:val="center"/>
              <w:rPr>
                <w:rFonts w:ascii="宋体" w:hAnsi="宋体" w:cs="宋体"/>
                <w:color w:val="000000"/>
                <w:szCs w:val="21"/>
              </w:rPr>
            </w:pPr>
            <w:r>
              <w:rPr>
                <w:rFonts w:hint="eastAsia" w:ascii="宋体" w:hAnsi="宋体" w:cs="宋体"/>
                <w:color w:val="000000"/>
                <w:szCs w:val="21"/>
              </w:rPr>
              <w:t>单位</w:t>
            </w:r>
          </w:p>
        </w:tc>
        <w:tc>
          <w:tcPr>
            <w:tcW w:w="810" w:type="dxa"/>
            <w:tcBorders>
              <w:top w:val="single" w:color="auto" w:sz="4" w:space="0"/>
              <w:left w:val="single" w:color="auto" w:sz="4" w:space="0"/>
              <w:bottom w:val="single" w:color="auto" w:sz="4" w:space="0"/>
              <w:right w:val="single" w:color="auto" w:sz="4" w:space="0"/>
            </w:tcBorders>
            <w:vAlign w:val="center"/>
          </w:tcPr>
          <w:p w14:paraId="124ABD21">
            <w:pPr>
              <w:spacing w:line="300" w:lineRule="exact"/>
              <w:jc w:val="center"/>
              <w:rPr>
                <w:rFonts w:ascii="宋体" w:hAnsi="宋体" w:cs="宋体"/>
                <w:color w:val="000000"/>
                <w:szCs w:val="21"/>
              </w:rPr>
            </w:pPr>
            <w:r>
              <w:rPr>
                <w:rFonts w:hint="eastAsia" w:ascii="宋体" w:hAnsi="宋体" w:cs="宋体"/>
                <w:color w:val="000000"/>
                <w:szCs w:val="21"/>
              </w:rPr>
              <w:t>单价②</w:t>
            </w:r>
          </w:p>
        </w:tc>
        <w:tc>
          <w:tcPr>
            <w:tcW w:w="1785" w:type="dxa"/>
            <w:tcBorders>
              <w:top w:val="single" w:color="auto" w:sz="4" w:space="0"/>
              <w:left w:val="single" w:color="auto" w:sz="4" w:space="0"/>
              <w:bottom w:val="single" w:color="auto" w:sz="4" w:space="0"/>
              <w:right w:val="single" w:color="auto" w:sz="4" w:space="0"/>
            </w:tcBorders>
            <w:vAlign w:val="center"/>
          </w:tcPr>
          <w:p w14:paraId="5846532F">
            <w:pPr>
              <w:spacing w:line="300" w:lineRule="exact"/>
              <w:jc w:val="center"/>
              <w:rPr>
                <w:rFonts w:ascii="宋体" w:hAnsi="宋体" w:cs="宋体"/>
              </w:rPr>
            </w:pPr>
            <w:r>
              <w:rPr>
                <w:rFonts w:hint="eastAsia" w:ascii="宋体" w:hAnsi="宋体" w:cs="宋体"/>
              </w:rPr>
              <w:t>单项合计=数量×单价</w:t>
            </w:r>
          </w:p>
          <w:p w14:paraId="1CF214C2">
            <w:pPr>
              <w:jc w:val="center"/>
              <w:rPr>
                <w:rFonts w:ascii="宋体" w:hAnsi="宋体" w:cs="宋体"/>
              </w:rPr>
            </w:pPr>
            <w:r>
              <w:rPr>
                <w:rFonts w:hint="eastAsia" w:ascii="宋体" w:hAnsi="宋体" w:cs="宋体"/>
              </w:rPr>
              <w:t>③=</w:t>
            </w:r>
            <w:r>
              <w:rPr>
                <w:rFonts w:hint="eastAsia" w:ascii="宋体" w:hAnsi="宋体" w:cs="宋体"/>
                <w:color w:val="000000"/>
                <w:szCs w:val="21"/>
              </w:rPr>
              <w:t>①</w:t>
            </w:r>
            <w:r>
              <w:rPr>
                <w:rFonts w:hint="eastAsia" w:ascii="宋体" w:hAnsi="宋体" w:cs="宋体"/>
              </w:rPr>
              <w:t>×</w:t>
            </w:r>
            <w:r>
              <w:rPr>
                <w:rFonts w:hint="eastAsia" w:ascii="宋体" w:hAnsi="宋体" w:cs="宋体"/>
                <w:color w:val="000000"/>
                <w:szCs w:val="21"/>
              </w:rPr>
              <w:t>②</w:t>
            </w:r>
          </w:p>
        </w:tc>
        <w:tc>
          <w:tcPr>
            <w:tcW w:w="1710" w:type="dxa"/>
            <w:tcBorders>
              <w:top w:val="single" w:color="auto" w:sz="4" w:space="0"/>
              <w:bottom w:val="single" w:color="auto" w:sz="4" w:space="0"/>
            </w:tcBorders>
            <w:vAlign w:val="center"/>
          </w:tcPr>
          <w:p w14:paraId="0E13126C">
            <w:pPr>
              <w:spacing w:line="300" w:lineRule="exact"/>
              <w:jc w:val="center"/>
              <w:rPr>
                <w:rFonts w:ascii="宋体" w:hAnsi="宋体" w:cs="宋体"/>
                <w:color w:val="000000"/>
                <w:szCs w:val="21"/>
              </w:rPr>
            </w:pPr>
            <w:r>
              <w:rPr>
                <w:rFonts w:hint="eastAsia" w:ascii="宋体" w:hAnsi="宋体" w:cs="宋体"/>
                <w:color w:val="000000"/>
                <w:szCs w:val="21"/>
              </w:rPr>
              <w:t>备注</w:t>
            </w:r>
          </w:p>
        </w:tc>
      </w:tr>
      <w:tr w14:paraId="45B5A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4F413F19">
            <w:pPr>
              <w:jc w:val="center"/>
              <w:rPr>
                <w:rFonts w:ascii="宋体" w:hAnsi="宋体" w:cs="宋体"/>
                <w:color w:val="000000"/>
                <w:szCs w:val="21"/>
              </w:rPr>
            </w:pPr>
            <w:r>
              <w:rPr>
                <w:rFonts w:hint="eastAsia" w:ascii="宋体" w:hAnsi="宋体" w:cs="宋体"/>
                <w:color w:val="000000"/>
                <w:szCs w:val="21"/>
              </w:rPr>
              <w:t>1</w:t>
            </w:r>
          </w:p>
        </w:tc>
        <w:tc>
          <w:tcPr>
            <w:tcW w:w="1570" w:type="dxa"/>
            <w:tcBorders>
              <w:top w:val="single" w:color="auto" w:sz="4" w:space="0"/>
              <w:left w:val="single" w:color="auto" w:sz="4" w:space="0"/>
              <w:bottom w:val="single" w:color="auto" w:sz="4" w:space="0"/>
              <w:right w:val="single" w:color="auto" w:sz="4" w:space="0"/>
            </w:tcBorders>
            <w:vAlign w:val="center"/>
          </w:tcPr>
          <w:p w14:paraId="151E7448">
            <w:pPr>
              <w:spacing w:line="360" w:lineRule="auto"/>
              <w:jc w:val="center"/>
              <w:rPr>
                <w:rFonts w:ascii="宋体" w:hAnsi="宋体" w:cs="宋体"/>
                <w:color w:val="000000"/>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4C5FAB99">
            <w:pPr>
              <w:jc w:val="center"/>
              <w:rPr>
                <w:rFonts w:ascii="宋体" w:hAnsi="宋体" w:cs="宋体"/>
                <w:color w:val="000000"/>
                <w:szCs w:val="21"/>
              </w:rPr>
            </w:pPr>
          </w:p>
        </w:tc>
        <w:tc>
          <w:tcPr>
            <w:tcW w:w="780" w:type="dxa"/>
            <w:tcBorders>
              <w:top w:val="single" w:color="auto" w:sz="4" w:space="0"/>
              <w:left w:val="single" w:color="auto" w:sz="4" w:space="0"/>
              <w:bottom w:val="single" w:color="auto" w:sz="4" w:space="0"/>
              <w:right w:val="single" w:color="auto" w:sz="4" w:space="0"/>
            </w:tcBorders>
            <w:vAlign w:val="center"/>
          </w:tcPr>
          <w:p w14:paraId="0D46E454">
            <w:pPr>
              <w:jc w:val="center"/>
              <w:rPr>
                <w:rFonts w:ascii="宋体" w:hAnsi="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vAlign w:val="center"/>
          </w:tcPr>
          <w:p w14:paraId="73B21286">
            <w:pPr>
              <w:jc w:val="center"/>
              <w:rPr>
                <w:rFonts w:ascii="宋体" w:hAnsi="宋体" w:cs="宋体"/>
                <w:color w:val="000000"/>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117D9EBC">
            <w:pPr>
              <w:jc w:val="center"/>
              <w:rPr>
                <w:rFonts w:ascii="宋体" w:hAnsi="宋体" w:cs="宋体"/>
                <w:color w:val="000000"/>
                <w:szCs w:val="21"/>
              </w:rPr>
            </w:pPr>
          </w:p>
        </w:tc>
        <w:tc>
          <w:tcPr>
            <w:tcW w:w="1785" w:type="dxa"/>
            <w:tcBorders>
              <w:top w:val="single" w:color="auto" w:sz="4" w:space="0"/>
              <w:left w:val="single" w:color="auto" w:sz="4" w:space="0"/>
              <w:bottom w:val="single" w:color="auto" w:sz="4" w:space="0"/>
              <w:right w:val="single" w:color="auto" w:sz="4" w:space="0"/>
            </w:tcBorders>
            <w:vAlign w:val="center"/>
          </w:tcPr>
          <w:p w14:paraId="1B3F561C">
            <w:pPr>
              <w:spacing w:line="300" w:lineRule="exact"/>
              <w:jc w:val="center"/>
              <w:rPr>
                <w:rFonts w:ascii="宋体" w:hAnsi="宋体" w:cs="宋体"/>
                <w:b/>
                <w:bCs/>
                <w:color w:val="000000"/>
                <w:szCs w:val="21"/>
              </w:rPr>
            </w:pPr>
          </w:p>
        </w:tc>
        <w:tc>
          <w:tcPr>
            <w:tcW w:w="1710" w:type="dxa"/>
            <w:tcBorders>
              <w:top w:val="single" w:color="auto" w:sz="4" w:space="0"/>
              <w:bottom w:val="single" w:color="auto" w:sz="4" w:space="0"/>
            </w:tcBorders>
            <w:vAlign w:val="center"/>
          </w:tcPr>
          <w:p w14:paraId="67D73268">
            <w:pPr>
              <w:spacing w:line="300" w:lineRule="exact"/>
              <w:jc w:val="center"/>
              <w:rPr>
                <w:rFonts w:ascii="宋体" w:hAnsi="宋体" w:cs="宋体"/>
                <w:b/>
                <w:bCs/>
                <w:color w:val="000000"/>
                <w:szCs w:val="21"/>
              </w:rPr>
            </w:pPr>
          </w:p>
        </w:tc>
      </w:tr>
      <w:tr w14:paraId="29CAF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661A94AB">
            <w:pPr>
              <w:jc w:val="center"/>
              <w:rPr>
                <w:rFonts w:ascii="宋体" w:hAnsi="宋体" w:cs="宋体"/>
                <w:color w:val="000000"/>
                <w:szCs w:val="21"/>
              </w:rPr>
            </w:pPr>
            <w:r>
              <w:rPr>
                <w:rFonts w:hint="eastAsia" w:ascii="宋体" w:hAnsi="宋体" w:cs="宋体"/>
                <w:color w:val="000000"/>
                <w:szCs w:val="21"/>
              </w:rPr>
              <w:t>2</w:t>
            </w:r>
          </w:p>
        </w:tc>
        <w:tc>
          <w:tcPr>
            <w:tcW w:w="1570" w:type="dxa"/>
            <w:tcBorders>
              <w:top w:val="single" w:color="auto" w:sz="4" w:space="0"/>
              <w:left w:val="single" w:color="auto" w:sz="4" w:space="0"/>
              <w:bottom w:val="single" w:color="auto" w:sz="4" w:space="0"/>
              <w:right w:val="single" w:color="auto" w:sz="4" w:space="0"/>
            </w:tcBorders>
            <w:vAlign w:val="center"/>
          </w:tcPr>
          <w:p w14:paraId="24C655CA">
            <w:pPr>
              <w:spacing w:line="360" w:lineRule="auto"/>
              <w:jc w:val="center"/>
              <w:rPr>
                <w:rFonts w:ascii="宋体" w:hAnsi="宋体" w:cs="宋体"/>
                <w:color w:val="000000"/>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67D5EEE9">
            <w:pPr>
              <w:jc w:val="center"/>
              <w:rPr>
                <w:rFonts w:ascii="宋体" w:hAnsi="宋体" w:cs="宋体"/>
                <w:color w:val="000000"/>
                <w:szCs w:val="21"/>
              </w:rPr>
            </w:pPr>
          </w:p>
        </w:tc>
        <w:tc>
          <w:tcPr>
            <w:tcW w:w="780" w:type="dxa"/>
            <w:tcBorders>
              <w:top w:val="single" w:color="auto" w:sz="4" w:space="0"/>
              <w:left w:val="single" w:color="auto" w:sz="4" w:space="0"/>
              <w:bottom w:val="single" w:color="auto" w:sz="4" w:space="0"/>
              <w:right w:val="single" w:color="auto" w:sz="4" w:space="0"/>
            </w:tcBorders>
            <w:vAlign w:val="center"/>
          </w:tcPr>
          <w:p w14:paraId="153B5A42">
            <w:pPr>
              <w:jc w:val="center"/>
              <w:rPr>
                <w:rFonts w:ascii="宋体" w:hAnsi="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vAlign w:val="center"/>
          </w:tcPr>
          <w:p w14:paraId="210241E3">
            <w:pPr>
              <w:jc w:val="center"/>
              <w:rPr>
                <w:rFonts w:ascii="宋体" w:hAnsi="宋体" w:cs="宋体"/>
                <w:color w:val="000000"/>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6EA665DF">
            <w:pPr>
              <w:jc w:val="center"/>
              <w:rPr>
                <w:rFonts w:ascii="宋体" w:hAnsi="宋体" w:cs="宋体"/>
                <w:color w:val="000000"/>
                <w:szCs w:val="21"/>
              </w:rPr>
            </w:pPr>
          </w:p>
        </w:tc>
        <w:tc>
          <w:tcPr>
            <w:tcW w:w="1785" w:type="dxa"/>
            <w:tcBorders>
              <w:top w:val="single" w:color="auto" w:sz="4" w:space="0"/>
              <w:left w:val="single" w:color="auto" w:sz="4" w:space="0"/>
              <w:bottom w:val="single" w:color="auto" w:sz="4" w:space="0"/>
              <w:right w:val="single" w:color="auto" w:sz="4" w:space="0"/>
            </w:tcBorders>
            <w:vAlign w:val="center"/>
          </w:tcPr>
          <w:p w14:paraId="009F1600">
            <w:pPr>
              <w:spacing w:line="300" w:lineRule="exact"/>
              <w:jc w:val="center"/>
              <w:rPr>
                <w:rFonts w:ascii="宋体" w:hAnsi="宋体" w:cs="宋体"/>
                <w:b/>
                <w:bCs/>
                <w:color w:val="000000"/>
                <w:szCs w:val="21"/>
              </w:rPr>
            </w:pPr>
          </w:p>
        </w:tc>
        <w:tc>
          <w:tcPr>
            <w:tcW w:w="1710" w:type="dxa"/>
            <w:tcBorders>
              <w:top w:val="single" w:color="auto" w:sz="4" w:space="0"/>
              <w:bottom w:val="single" w:color="auto" w:sz="4" w:space="0"/>
            </w:tcBorders>
            <w:vAlign w:val="center"/>
          </w:tcPr>
          <w:p w14:paraId="721BA662">
            <w:pPr>
              <w:spacing w:line="300" w:lineRule="exact"/>
              <w:jc w:val="center"/>
              <w:rPr>
                <w:rFonts w:ascii="宋体" w:hAnsi="宋体" w:cs="宋体"/>
                <w:b/>
                <w:bCs/>
                <w:color w:val="000000"/>
                <w:szCs w:val="21"/>
              </w:rPr>
            </w:pPr>
          </w:p>
        </w:tc>
      </w:tr>
      <w:tr w14:paraId="7E422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6AEACB62">
            <w:pPr>
              <w:jc w:val="center"/>
              <w:rPr>
                <w:rFonts w:ascii="宋体" w:hAnsi="宋体" w:cs="宋体"/>
                <w:color w:val="000000"/>
                <w:szCs w:val="21"/>
              </w:rPr>
            </w:pPr>
            <w:r>
              <w:rPr>
                <w:rFonts w:hint="eastAsia" w:ascii="宋体" w:hAnsi="宋体" w:cs="宋体"/>
                <w:color w:val="000000"/>
                <w:szCs w:val="21"/>
              </w:rPr>
              <w:t>3</w:t>
            </w:r>
          </w:p>
        </w:tc>
        <w:tc>
          <w:tcPr>
            <w:tcW w:w="1570" w:type="dxa"/>
            <w:tcBorders>
              <w:top w:val="single" w:color="auto" w:sz="4" w:space="0"/>
              <w:left w:val="single" w:color="auto" w:sz="4" w:space="0"/>
              <w:bottom w:val="single" w:color="auto" w:sz="4" w:space="0"/>
              <w:right w:val="single" w:color="auto" w:sz="4" w:space="0"/>
            </w:tcBorders>
            <w:vAlign w:val="center"/>
          </w:tcPr>
          <w:p w14:paraId="4C89510F">
            <w:pPr>
              <w:spacing w:line="360" w:lineRule="auto"/>
              <w:jc w:val="center"/>
              <w:rPr>
                <w:rFonts w:ascii="宋体" w:hAnsi="宋体" w:cs="宋体"/>
                <w:color w:val="000000"/>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4AF77A00">
            <w:pPr>
              <w:jc w:val="center"/>
              <w:rPr>
                <w:rFonts w:ascii="宋体" w:hAnsi="宋体" w:cs="宋体"/>
                <w:color w:val="000000"/>
                <w:szCs w:val="21"/>
              </w:rPr>
            </w:pPr>
          </w:p>
        </w:tc>
        <w:tc>
          <w:tcPr>
            <w:tcW w:w="780" w:type="dxa"/>
            <w:tcBorders>
              <w:top w:val="single" w:color="auto" w:sz="4" w:space="0"/>
              <w:left w:val="single" w:color="auto" w:sz="4" w:space="0"/>
              <w:bottom w:val="single" w:color="auto" w:sz="4" w:space="0"/>
              <w:right w:val="single" w:color="auto" w:sz="4" w:space="0"/>
            </w:tcBorders>
            <w:vAlign w:val="center"/>
          </w:tcPr>
          <w:p w14:paraId="13102BC4">
            <w:pPr>
              <w:jc w:val="center"/>
              <w:rPr>
                <w:rFonts w:ascii="宋体" w:hAnsi="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vAlign w:val="center"/>
          </w:tcPr>
          <w:p w14:paraId="6E6BC8E7">
            <w:pPr>
              <w:jc w:val="center"/>
              <w:rPr>
                <w:rFonts w:ascii="宋体" w:hAnsi="宋体" w:cs="宋体"/>
                <w:color w:val="000000"/>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380749CB">
            <w:pPr>
              <w:jc w:val="center"/>
              <w:rPr>
                <w:rFonts w:ascii="宋体" w:hAnsi="宋体" w:cs="宋体"/>
                <w:color w:val="000000"/>
                <w:szCs w:val="21"/>
              </w:rPr>
            </w:pPr>
          </w:p>
        </w:tc>
        <w:tc>
          <w:tcPr>
            <w:tcW w:w="1785" w:type="dxa"/>
            <w:tcBorders>
              <w:top w:val="single" w:color="auto" w:sz="4" w:space="0"/>
              <w:left w:val="single" w:color="auto" w:sz="4" w:space="0"/>
              <w:bottom w:val="single" w:color="auto" w:sz="4" w:space="0"/>
              <w:right w:val="single" w:color="auto" w:sz="4" w:space="0"/>
            </w:tcBorders>
            <w:vAlign w:val="center"/>
          </w:tcPr>
          <w:p w14:paraId="0AA6BE9A">
            <w:pPr>
              <w:spacing w:line="300" w:lineRule="exact"/>
              <w:jc w:val="center"/>
              <w:rPr>
                <w:rFonts w:ascii="宋体" w:hAnsi="宋体" w:cs="宋体"/>
                <w:b/>
                <w:bCs/>
                <w:color w:val="000000"/>
                <w:szCs w:val="21"/>
              </w:rPr>
            </w:pPr>
          </w:p>
        </w:tc>
        <w:tc>
          <w:tcPr>
            <w:tcW w:w="1710" w:type="dxa"/>
            <w:tcBorders>
              <w:top w:val="single" w:color="auto" w:sz="4" w:space="0"/>
              <w:bottom w:val="single" w:color="auto" w:sz="4" w:space="0"/>
            </w:tcBorders>
            <w:vAlign w:val="center"/>
          </w:tcPr>
          <w:p w14:paraId="39EAC2DB">
            <w:pPr>
              <w:spacing w:line="300" w:lineRule="exact"/>
              <w:jc w:val="center"/>
              <w:rPr>
                <w:rFonts w:ascii="宋体" w:hAnsi="宋体" w:cs="宋体"/>
                <w:b/>
                <w:bCs/>
                <w:color w:val="000000"/>
                <w:szCs w:val="21"/>
              </w:rPr>
            </w:pPr>
          </w:p>
        </w:tc>
      </w:tr>
      <w:tr w14:paraId="24939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4BA44016">
            <w:pPr>
              <w:jc w:val="center"/>
              <w:rPr>
                <w:rFonts w:ascii="宋体" w:hAnsi="宋体" w:cs="宋体"/>
                <w:color w:val="000000"/>
                <w:szCs w:val="21"/>
              </w:rPr>
            </w:pPr>
            <w:r>
              <w:rPr>
                <w:rFonts w:hint="eastAsia" w:ascii="宋体" w:hAnsi="宋体" w:cs="宋体"/>
                <w:color w:val="000000"/>
                <w:szCs w:val="21"/>
              </w:rPr>
              <w:t>…</w:t>
            </w:r>
          </w:p>
        </w:tc>
        <w:tc>
          <w:tcPr>
            <w:tcW w:w="1570" w:type="dxa"/>
            <w:tcBorders>
              <w:top w:val="single" w:color="auto" w:sz="4" w:space="0"/>
              <w:left w:val="single" w:color="auto" w:sz="4" w:space="0"/>
              <w:bottom w:val="single" w:color="auto" w:sz="4" w:space="0"/>
              <w:right w:val="single" w:color="auto" w:sz="4" w:space="0"/>
            </w:tcBorders>
            <w:vAlign w:val="center"/>
          </w:tcPr>
          <w:p w14:paraId="773B721E">
            <w:pPr>
              <w:spacing w:line="360" w:lineRule="auto"/>
              <w:jc w:val="center"/>
              <w:rPr>
                <w:rFonts w:ascii="宋体" w:hAnsi="宋体" w:cs="宋体"/>
                <w:color w:val="000000"/>
                <w:szCs w:val="21"/>
              </w:rPr>
            </w:pPr>
          </w:p>
        </w:tc>
        <w:tc>
          <w:tcPr>
            <w:tcW w:w="1740" w:type="dxa"/>
            <w:tcBorders>
              <w:top w:val="single" w:color="auto" w:sz="4" w:space="0"/>
              <w:left w:val="single" w:color="auto" w:sz="4" w:space="0"/>
              <w:bottom w:val="single" w:color="auto" w:sz="4" w:space="0"/>
              <w:right w:val="single" w:color="auto" w:sz="4" w:space="0"/>
            </w:tcBorders>
            <w:vAlign w:val="center"/>
          </w:tcPr>
          <w:p w14:paraId="3E95D8D7">
            <w:pPr>
              <w:jc w:val="center"/>
              <w:rPr>
                <w:rFonts w:ascii="宋体" w:hAnsi="宋体" w:cs="宋体"/>
                <w:color w:val="000000"/>
                <w:szCs w:val="21"/>
              </w:rPr>
            </w:pPr>
          </w:p>
        </w:tc>
        <w:tc>
          <w:tcPr>
            <w:tcW w:w="780" w:type="dxa"/>
            <w:tcBorders>
              <w:top w:val="single" w:color="auto" w:sz="4" w:space="0"/>
              <w:left w:val="single" w:color="auto" w:sz="4" w:space="0"/>
              <w:bottom w:val="single" w:color="auto" w:sz="4" w:space="0"/>
              <w:right w:val="single" w:color="auto" w:sz="4" w:space="0"/>
            </w:tcBorders>
            <w:vAlign w:val="center"/>
          </w:tcPr>
          <w:p w14:paraId="15AC9855">
            <w:pPr>
              <w:jc w:val="center"/>
              <w:rPr>
                <w:rFonts w:ascii="宋体" w:hAnsi="宋体" w:cs="宋体"/>
                <w:color w:val="000000"/>
                <w:szCs w:val="21"/>
              </w:rPr>
            </w:pPr>
          </w:p>
        </w:tc>
        <w:tc>
          <w:tcPr>
            <w:tcW w:w="855" w:type="dxa"/>
            <w:tcBorders>
              <w:top w:val="single" w:color="auto" w:sz="4" w:space="0"/>
              <w:left w:val="single" w:color="auto" w:sz="4" w:space="0"/>
              <w:bottom w:val="single" w:color="auto" w:sz="4" w:space="0"/>
              <w:right w:val="single" w:color="auto" w:sz="4" w:space="0"/>
            </w:tcBorders>
            <w:vAlign w:val="center"/>
          </w:tcPr>
          <w:p w14:paraId="195CC1C2">
            <w:pPr>
              <w:jc w:val="center"/>
              <w:rPr>
                <w:rFonts w:ascii="宋体" w:hAnsi="宋体" w:cs="宋体"/>
                <w:color w:val="000000"/>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1681F0E4">
            <w:pPr>
              <w:jc w:val="center"/>
              <w:rPr>
                <w:rFonts w:ascii="宋体" w:hAnsi="宋体" w:cs="宋体"/>
                <w:color w:val="000000"/>
                <w:szCs w:val="21"/>
              </w:rPr>
            </w:pPr>
          </w:p>
        </w:tc>
        <w:tc>
          <w:tcPr>
            <w:tcW w:w="1785" w:type="dxa"/>
            <w:tcBorders>
              <w:top w:val="single" w:color="auto" w:sz="4" w:space="0"/>
              <w:left w:val="single" w:color="auto" w:sz="4" w:space="0"/>
              <w:bottom w:val="single" w:color="auto" w:sz="4" w:space="0"/>
              <w:right w:val="single" w:color="auto" w:sz="4" w:space="0"/>
            </w:tcBorders>
            <w:vAlign w:val="center"/>
          </w:tcPr>
          <w:p w14:paraId="12032443">
            <w:pPr>
              <w:spacing w:line="300" w:lineRule="exact"/>
              <w:jc w:val="center"/>
              <w:rPr>
                <w:rFonts w:ascii="宋体" w:hAnsi="宋体" w:cs="宋体"/>
                <w:b/>
                <w:bCs/>
                <w:color w:val="000000"/>
                <w:szCs w:val="21"/>
              </w:rPr>
            </w:pPr>
          </w:p>
        </w:tc>
        <w:tc>
          <w:tcPr>
            <w:tcW w:w="1710" w:type="dxa"/>
            <w:tcBorders>
              <w:top w:val="single" w:color="auto" w:sz="4" w:space="0"/>
              <w:bottom w:val="single" w:color="auto" w:sz="4" w:space="0"/>
            </w:tcBorders>
            <w:vAlign w:val="center"/>
          </w:tcPr>
          <w:p w14:paraId="1D92D21E">
            <w:pPr>
              <w:spacing w:line="300" w:lineRule="exact"/>
              <w:jc w:val="center"/>
              <w:rPr>
                <w:rFonts w:ascii="宋体" w:hAnsi="宋体" w:cs="宋体"/>
                <w:b/>
                <w:bCs/>
                <w:color w:val="000000"/>
                <w:szCs w:val="21"/>
              </w:rPr>
            </w:pPr>
          </w:p>
        </w:tc>
      </w:tr>
      <w:tr w14:paraId="666AD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9676" w:type="dxa"/>
            <w:gridSpan w:val="8"/>
            <w:tcBorders>
              <w:top w:val="single" w:color="auto" w:sz="4" w:space="0"/>
              <w:bottom w:val="single" w:color="auto" w:sz="4" w:space="0"/>
            </w:tcBorders>
            <w:vAlign w:val="center"/>
          </w:tcPr>
          <w:p w14:paraId="4C0B3E89">
            <w:pPr>
              <w:spacing w:line="300" w:lineRule="exact"/>
              <w:rPr>
                <w:rFonts w:ascii="宋体" w:hAnsi="宋体" w:cs="宋体"/>
                <w:color w:val="000000"/>
                <w:spacing w:val="-6"/>
                <w:szCs w:val="21"/>
              </w:rPr>
            </w:pPr>
            <w:r>
              <w:rPr>
                <w:rFonts w:hint="eastAsia" w:ascii="宋体" w:hAnsi="宋体" w:cs="宋体"/>
                <w:color w:val="000000"/>
                <w:spacing w:val="-6"/>
                <w:szCs w:val="21"/>
              </w:rPr>
              <w:t>磋商总报价（大写）：人民币                                                 （¥                   ）</w:t>
            </w:r>
          </w:p>
        </w:tc>
      </w:tr>
      <w:tr w14:paraId="5F04B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9676" w:type="dxa"/>
            <w:gridSpan w:val="8"/>
            <w:tcBorders>
              <w:top w:val="single" w:color="auto" w:sz="4" w:space="0"/>
              <w:bottom w:val="single" w:color="auto" w:sz="4" w:space="0"/>
            </w:tcBorders>
            <w:vAlign w:val="center"/>
          </w:tcPr>
          <w:p w14:paraId="2CC00ECE">
            <w:pPr>
              <w:spacing w:line="300" w:lineRule="exact"/>
              <w:rPr>
                <w:rFonts w:ascii="宋体" w:hAnsi="宋体" w:cs="宋体"/>
                <w:color w:val="000000"/>
                <w:spacing w:val="-6"/>
                <w:szCs w:val="21"/>
              </w:rPr>
            </w:pPr>
            <w:r>
              <w:rPr>
                <w:rFonts w:hint="eastAsia" w:ascii="宋体" w:hAnsi="宋体" w:cs="宋体"/>
                <w:color w:val="000000"/>
                <w:spacing w:val="-6"/>
                <w:szCs w:val="21"/>
              </w:rPr>
              <w:t>服务时间：</w:t>
            </w:r>
          </w:p>
        </w:tc>
      </w:tr>
      <w:tr w14:paraId="23799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676" w:type="dxa"/>
            <w:gridSpan w:val="8"/>
            <w:tcBorders>
              <w:top w:val="single" w:color="auto" w:sz="4" w:space="0"/>
              <w:bottom w:val="single" w:color="auto" w:sz="4" w:space="0"/>
            </w:tcBorders>
            <w:vAlign w:val="center"/>
          </w:tcPr>
          <w:p w14:paraId="538B5646">
            <w:pPr>
              <w:spacing w:line="340" w:lineRule="exact"/>
              <w:rPr>
                <w:rFonts w:ascii="宋体" w:hAnsi="宋体" w:cs="宋体"/>
                <w:color w:val="000000"/>
                <w:szCs w:val="21"/>
              </w:rPr>
            </w:pPr>
            <w:r>
              <w:rPr>
                <w:rFonts w:hint="eastAsia" w:ascii="宋体" w:hAnsi="宋体" w:cs="宋体"/>
                <w:color w:val="000000"/>
                <w:szCs w:val="21"/>
              </w:rPr>
              <w:t>说明：</w:t>
            </w:r>
            <w:r>
              <w:rPr>
                <w:rFonts w:hint="eastAsia" w:ascii="宋体" w:hAnsi="宋体" w:cs="宋体"/>
                <w:color w:val="000000"/>
                <w:spacing w:val="-6"/>
                <w:szCs w:val="21"/>
              </w:rPr>
              <w:t>磋商</w:t>
            </w:r>
            <w:r>
              <w:rPr>
                <w:rFonts w:hint="eastAsia" w:ascii="宋体" w:hAnsi="宋体" w:cs="宋体"/>
                <w:color w:val="000000"/>
                <w:szCs w:val="21"/>
              </w:rPr>
              <w:t>报价指本次招标采购范围内服务价款、服务随配标准附件、包装、运输、装卸、保险、税金、及其他所有成本费用的总和；供应商综合考虑在报价中。</w:t>
            </w:r>
          </w:p>
        </w:tc>
      </w:tr>
    </w:tbl>
    <w:p w14:paraId="0A85A810">
      <w:pPr>
        <w:spacing w:line="340" w:lineRule="exact"/>
        <w:rPr>
          <w:rFonts w:ascii="宋体" w:hAnsi="宋体" w:cs="宋体"/>
          <w:color w:val="000000"/>
          <w:szCs w:val="21"/>
        </w:rPr>
      </w:pPr>
    </w:p>
    <w:p w14:paraId="448D11A1">
      <w:pPr>
        <w:spacing w:line="340" w:lineRule="exact"/>
        <w:rPr>
          <w:rFonts w:ascii="宋体" w:hAnsi="宋体" w:cs="宋体"/>
          <w:color w:val="000000"/>
          <w:szCs w:val="21"/>
          <w:u w:val="single"/>
        </w:rPr>
      </w:pPr>
      <w:r>
        <w:rPr>
          <w:rFonts w:hint="eastAsia" w:ascii="宋体" w:hAnsi="宋体" w:cs="宋体"/>
          <w:color w:val="000000"/>
          <w:szCs w:val="21"/>
        </w:rPr>
        <w:t>供应商（CA签章，自然人除外）：</w:t>
      </w:r>
      <w:r>
        <w:rPr>
          <w:rFonts w:hint="eastAsia" w:ascii="宋体" w:hAnsi="宋体" w:cs="宋体"/>
          <w:color w:val="000000"/>
          <w:szCs w:val="21"/>
          <w:u w:val="single"/>
        </w:rPr>
        <w:t xml:space="preserve">                                        </w:t>
      </w:r>
    </w:p>
    <w:p w14:paraId="72EA2095">
      <w:pPr>
        <w:spacing w:line="340" w:lineRule="exact"/>
        <w:rPr>
          <w:rFonts w:ascii="宋体" w:hAnsi="宋体" w:cs="宋体"/>
          <w:color w:val="000000"/>
          <w:szCs w:val="21"/>
          <w:u w:val="single"/>
        </w:rPr>
      </w:pPr>
      <w:r>
        <w:rPr>
          <w:rFonts w:hint="eastAsia" w:ascii="宋体" w:hAnsi="宋体" w:cs="宋体"/>
          <w:color w:val="000000"/>
        </w:rPr>
        <w:t>法定代表人、负责人、自然人或相应的委托代理人签字或个人CA签章（属自然人的应在签名处加盖食指指印或个人CA签章）：</w:t>
      </w:r>
      <w:r>
        <w:rPr>
          <w:rFonts w:hint="eastAsia" w:ascii="宋体" w:hAnsi="宋体" w:cs="宋体"/>
          <w:color w:val="000000"/>
          <w:szCs w:val="21"/>
          <w:u w:val="single"/>
        </w:rPr>
        <w:t xml:space="preserve">                                    </w:t>
      </w:r>
    </w:p>
    <w:p w14:paraId="1AF0DED4">
      <w:pPr>
        <w:tabs>
          <w:tab w:val="left" w:pos="1305"/>
        </w:tabs>
        <w:spacing w:line="340" w:lineRule="exact"/>
        <w:rPr>
          <w:rFonts w:ascii="宋体" w:hAnsi="宋体" w:cs="宋体"/>
          <w:bCs/>
          <w:color w:val="000000"/>
          <w:szCs w:val="21"/>
        </w:rPr>
      </w:pPr>
    </w:p>
    <w:p w14:paraId="25A137AB">
      <w:pPr>
        <w:tabs>
          <w:tab w:val="left" w:pos="1305"/>
        </w:tabs>
        <w:spacing w:line="340" w:lineRule="exact"/>
        <w:rPr>
          <w:rFonts w:ascii="宋体" w:hAnsi="宋体" w:cs="宋体"/>
          <w:bCs/>
          <w:color w:val="000000"/>
          <w:szCs w:val="21"/>
        </w:rPr>
      </w:pPr>
      <w:r>
        <w:rPr>
          <w:rFonts w:hint="eastAsia" w:ascii="宋体" w:hAnsi="宋体" w:cs="宋体"/>
          <w:bCs/>
          <w:color w:val="000000"/>
          <w:szCs w:val="21"/>
        </w:rPr>
        <w:t>注</w:t>
      </w:r>
      <w:r>
        <w:rPr>
          <w:rFonts w:hint="eastAsia" w:ascii="宋体" w:hAnsi="宋体" w:cs="宋体"/>
          <w:b/>
          <w:bCs/>
          <w:color w:val="000000"/>
          <w:szCs w:val="21"/>
        </w:rPr>
        <w:t>：</w:t>
      </w:r>
      <w:r>
        <w:rPr>
          <w:rFonts w:hint="eastAsia" w:ascii="宋体" w:hAnsi="宋体" w:cs="宋体"/>
          <w:bCs/>
          <w:color w:val="000000"/>
          <w:szCs w:val="21"/>
        </w:rPr>
        <w:t>1.各</w:t>
      </w:r>
      <w:r>
        <w:rPr>
          <w:rFonts w:hint="eastAsia" w:ascii="宋体" w:hAnsi="宋体" w:cs="宋体"/>
          <w:color w:val="000000"/>
          <w:szCs w:val="21"/>
        </w:rPr>
        <w:t>供应商必须就“服务采购需求”中所投分标的所有内容作完整唯一报价，否则，其投标将被拒绝。投标文件只允许有一个报价。</w:t>
      </w:r>
    </w:p>
    <w:p w14:paraId="34E16DFE">
      <w:pPr>
        <w:pStyle w:val="12"/>
        <w:spacing w:line="360" w:lineRule="exact"/>
        <w:ind w:firstLine="420" w:firstLineChars="200"/>
        <w:rPr>
          <w:rFonts w:hAnsi="宋体" w:cs="宋体"/>
          <w:color w:val="000000"/>
          <w:szCs w:val="21"/>
        </w:rPr>
      </w:pPr>
      <w:r>
        <w:rPr>
          <w:rFonts w:hint="eastAsia" w:hAnsi="宋体" w:cs="宋体"/>
          <w:color w:val="000000"/>
          <w:szCs w:val="21"/>
        </w:rPr>
        <w:t>2.供应商应根据所投项目如实填写投标报价表</w:t>
      </w:r>
      <w:r>
        <w:rPr>
          <w:rFonts w:hint="eastAsia" w:hAnsi="宋体" w:cs="宋体"/>
          <w:bCs/>
          <w:color w:val="000000"/>
          <w:szCs w:val="21"/>
        </w:rPr>
        <w:t>的各项内容。</w:t>
      </w:r>
    </w:p>
    <w:p w14:paraId="47457F11">
      <w:pPr>
        <w:ind w:firstLine="420" w:firstLineChars="200"/>
        <w:rPr>
          <w:rFonts w:ascii="宋体" w:hAnsi="宋体" w:cs="宋体"/>
          <w:b/>
          <w:bCs/>
          <w:color w:val="000000"/>
          <w:sz w:val="32"/>
          <w:szCs w:val="32"/>
        </w:rPr>
      </w:pPr>
      <w:r>
        <w:rPr>
          <w:rFonts w:hint="eastAsia" w:ascii="宋体" w:hAnsi="宋体" w:cs="宋体"/>
          <w:color w:val="000000"/>
          <w:szCs w:val="21"/>
        </w:rPr>
        <w:t>3.</w:t>
      </w:r>
      <w:r>
        <w:rPr>
          <w:rFonts w:hint="eastAsia" w:ascii="宋体" w:hAnsi="宋体" w:cs="宋体"/>
          <w:color w:val="000000"/>
        </w:rPr>
        <w:t>磋商报价表须由法定代表人负责人、自然人或相应的委托代理人签字或个人CA签章（属自然人的应在签名处加盖食指指印或个人CA签章）并加盖投标人CA签章（自然人除外）。</w:t>
      </w:r>
      <w:r>
        <w:rPr>
          <w:rFonts w:hint="eastAsia" w:ascii="宋体" w:hAnsi="宋体" w:cs="宋体"/>
          <w:b/>
          <w:color w:val="000000"/>
        </w:rPr>
        <w:t>当本表由多页构成时，需逐页加盖投标人公章（属自然人的须逐页签字或个人CA签章）</w:t>
      </w:r>
    </w:p>
    <w:p w14:paraId="50288831">
      <w:pPr>
        <w:rPr>
          <w:rFonts w:ascii="宋体" w:hAnsi="宋体" w:cs="宋体"/>
          <w:b/>
          <w:bCs/>
          <w:color w:val="000000"/>
          <w:sz w:val="32"/>
          <w:szCs w:val="32"/>
        </w:rPr>
      </w:pPr>
    </w:p>
    <w:p w14:paraId="64C6377F">
      <w:pPr>
        <w:pStyle w:val="8"/>
        <w:rPr>
          <w:rFonts w:ascii="宋体" w:hAnsi="宋体" w:cs="宋体"/>
        </w:rPr>
        <w:sectPr>
          <w:headerReference r:id="rId6" w:type="default"/>
          <w:footerReference r:id="rId7" w:type="default"/>
          <w:pgSz w:w="11906" w:h="16838"/>
          <w:pgMar w:top="1440" w:right="935" w:bottom="1440" w:left="777" w:header="851" w:footer="992" w:gutter="0"/>
          <w:pgNumType w:fmt="numberInDash" w:start="1"/>
          <w:cols w:space="720" w:num="1"/>
          <w:docGrid w:type="linesAndChars" w:linePitch="312" w:charSpace="0"/>
        </w:sectPr>
      </w:pPr>
    </w:p>
    <w:p w14:paraId="43C58838">
      <w:pPr>
        <w:pStyle w:val="12"/>
        <w:spacing w:line="340" w:lineRule="exact"/>
        <w:rPr>
          <w:rFonts w:hAnsi="宋体" w:cs="宋体"/>
          <w:b/>
          <w:sz w:val="28"/>
          <w:szCs w:val="28"/>
        </w:rPr>
      </w:pPr>
      <w:r>
        <w:rPr>
          <w:rFonts w:hint="eastAsia" w:hAnsi="宋体" w:cs="宋体"/>
          <w:b/>
          <w:sz w:val="28"/>
          <w:szCs w:val="28"/>
        </w:rPr>
        <w:t>3.服务（技术）响应、商务偏离情况说明表（格式见附件）（必须提供）；</w:t>
      </w:r>
    </w:p>
    <w:p w14:paraId="0C079674">
      <w:pPr>
        <w:rPr>
          <w:rFonts w:ascii="宋体" w:hAnsi="宋体" w:cs="宋体"/>
        </w:rPr>
      </w:pPr>
    </w:p>
    <w:p w14:paraId="1A2385E8">
      <w:pPr>
        <w:pStyle w:val="12"/>
        <w:spacing w:line="340" w:lineRule="exact"/>
        <w:rPr>
          <w:rFonts w:hAnsi="宋体" w:cs="宋体"/>
          <w:b/>
          <w:sz w:val="28"/>
          <w:szCs w:val="28"/>
        </w:rPr>
      </w:pPr>
      <w:r>
        <w:rPr>
          <w:rFonts w:hint="eastAsia" w:hAnsi="宋体" w:cs="宋体"/>
          <w:b/>
          <w:sz w:val="28"/>
          <w:szCs w:val="28"/>
        </w:rPr>
        <w:t>附件：</w:t>
      </w:r>
    </w:p>
    <w:p w14:paraId="5FD4DDBC">
      <w:pPr>
        <w:spacing w:line="500" w:lineRule="exact"/>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14:paraId="044B67F1">
      <w:pPr>
        <w:spacing w:line="500" w:lineRule="exact"/>
        <w:rPr>
          <w:rFonts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w:t>
      </w:r>
    </w:p>
    <w:tbl>
      <w:tblPr>
        <w:tblStyle w:val="23"/>
        <w:tblW w:w="994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51"/>
        <w:gridCol w:w="3195"/>
        <w:gridCol w:w="1920"/>
        <w:gridCol w:w="1920"/>
      </w:tblGrid>
      <w:tr w14:paraId="6C7DA5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5BDF3894">
            <w:pPr>
              <w:jc w:val="center"/>
              <w:rPr>
                <w:rFonts w:ascii="宋体" w:hAnsi="宋体" w:cs="宋体"/>
              </w:rPr>
            </w:pPr>
            <w:r>
              <w:rPr>
                <w:rFonts w:hint="eastAsia" w:ascii="宋体" w:hAnsi="宋体" w:cs="宋体"/>
              </w:rPr>
              <w:t>序号</w:t>
            </w:r>
          </w:p>
        </w:tc>
        <w:tc>
          <w:tcPr>
            <w:tcW w:w="2251" w:type="dxa"/>
            <w:vAlign w:val="center"/>
          </w:tcPr>
          <w:p w14:paraId="1D8A702B">
            <w:pPr>
              <w:jc w:val="center"/>
              <w:rPr>
                <w:rFonts w:ascii="宋体" w:hAnsi="宋体" w:cs="宋体"/>
              </w:rPr>
            </w:pPr>
            <w:bookmarkStart w:id="203" w:name="_Toc173211901"/>
            <w:bookmarkStart w:id="204" w:name="_Toc173066402"/>
            <w:bookmarkStart w:id="205" w:name="_Toc254970589"/>
            <w:bookmarkStart w:id="206" w:name="_Toc254970730"/>
            <w:r>
              <w:rPr>
                <w:rFonts w:hint="eastAsia" w:ascii="宋体" w:hAnsi="宋体" w:cs="宋体"/>
              </w:rPr>
              <w:t>竞争性磋商文件要求</w:t>
            </w:r>
            <w:bookmarkEnd w:id="203"/>
            <w:bookmarkEnd w:id="204"/>
            <w:bookmarkEnd w:id="205"/>
            <w:bookmarkEnd w:id="206"/>
          </w:p>
        </w:tc>
        <w:tc>
          <w:tcPr>
            <w:tcW w:w="3195" w:type="dxa"/>
            <w:vAlign w:val="center"/>
          </w:tcPr>
          <w:p w14:paraId="62FDD266">
            <w:pPr>
              <w:jc w:val="center"/>
              <w:rPr>
                <w:rFonts w:ascii="宋体" w:hAnsi="宋体" w:cs="宋体"/>
              </w:rPr>
            </w:pPr>
            <w:bookmarkStart w:id="207" w:name="_Toc254970590"/>
            <w:bookmarkStart w:id="208" w:name="_Toc173066403"/>
            <w:bookmarkStart w:id="209" w:name="_Toc254970731"/>
            <w:bookmarkStart w:id="210" w:name="_Toc173211902"/>
            <w:r>
              <w:rPr>
                <w:rFonts w:hint="eastAsia" w:ascii="宋体" w:hAnsi="宋体" w:cs="宋体"/>
              </w:rPr>
              <w:t>竞争性磋商响应文件具体响应</w:t>
            </w:r>
            <w:bookmarkEnd w:id="207"/>
            <w:bookmarkEnd w:id="208"/>
            <w:bookmarkEnd w:id="209"/>
            <w:bookmarkEnd w:id="210"/>
          </w:p>
        </w:tc>
        <w:tc>
          <w:tcPr>
            <w:tcW w:w="1920" w:type="dxa"/>
            <w:vAlign w:val="center"/>
          </w:tcPr>
          <w:p w14:paraId="3E7D7669">
            <w:pPr>
              <w:jc w:val="center"/>
              <w:rPr>
                <w:rFonts w:ascii="宋体" w:hAnsi="宋体" w:cs="宋体"/>
              </w:rPr>
            </w:pPr>
            <w:bookmarkStart w:id="211" w:name="_Toc254970591"/>
            <w:bookmarkStart w:id="212" w:name="_Toc254970732"/>
            <w:bookmarkStart w:id="213" w:name="_Toc173211903"/>
            <w:bookmarkStart w:id="214" w:name="_Toc173066404"/>
            <w:r>
              <w:rPr>
                <w:rFonts w:hint="eastAsia" w:ascii="宋体" w:hAnsi="宋体" w:cs="宋体"/>
              </w:rPr>
              <w:t>响应/偏离</w:t>
            </w:r>
            <w:bookmarkEnd w:id="211"/>
            <w:bookmarkEnd w:id="212"/>
            <w:bookmarkEnd w:id="213"/>
            <w:bookmarkEnd w:id="214"/>
          </w:p>
        </w:tc>
        <w:tc>
          <w:tcPr>
            <w:tcW w:w="1920" w:type="dxa"/>
            <w:vAlign w:val="center"/>
          </w:tcPr>
          <w:p w14:paraId="6E346E70">
            <w:pPr>
              <w:jc w:val="center"/>
              <w:rPr>
                <w:rFonts w:ascii="宋体" w:hAnsi="宋体" w:cs="宋体"/>
              </w:rPr>
            </w:pPr>
            <w:bookmarkStart w:id="215" w:name="_Toc254970733"/>
            <w:bookmarkStart w:id="216" w:name="_Toc173211904"/>
            <w:bookmarkStart w:id="217" w:name="_Toc254970592"/>
            <w:bookmarkStart w:id="218" w:name="_Toc173066405"/>
            <w:r>
              <w:rPr>
                <w:rFonts w:hint="eastAsia" w:ascii="宋体" w:hAnsi="宋体" w:cs="宋体"/>
              </w:rPr>
              <w:t>说明</w:t>
            </w:r>
            <w:bookmarkEnd w:id="215"/>
            <w:bookmarkEnd w:id="216"/>
            <w:bookmarkEnd w:id="217"/>
            <w:bookmarkEnd w:id="218"/>
          </w:p>
        </w:tc>
      </w:tr>
      <w:tr w14:paraId="6C7530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41" w:type="dxa"/>
            <w:gridSpan w:val="5"/>
            <w:vAlign w:val="center"/>
          </w:tcPr>
          <w:p w14:paraId="2B4E0DD3">
            <w:pPr>
              <w:jc w:val="center"/>
              <w:rPr>
                <w:rFonts w:ascii="宋体" w:hAnsi="宋体" w:cs="宋体"/>
              </w:rPr>
            </w:pPr>
            <w:r>
              <w:rPr>
                <w:rFonts w:hint="eastAsia" w:ascii="宋体" w:hAnsi="宋体" w:cs="宋体"/>
              </w:rPr>
              <w:t>商务部分</w:t>
            </w:r>
          </w:p>
        </w:tc>
      </w:tr>
      <w:tr w14:paraId="6239EA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66D601FF">
            <w:pPr>
              <w:jc w:val="center"/>
              <w:rPr>
                <w:rFonts w:ascii="宋体" w:hAnsi="宋体" w:cs="宋体"/>
              </w:rPr>
            </w:pPr>
            <w:r>
              <w:rPr>
                <w:rFonts w:hint="eastAsia" w:ascii="宋体" w:hAnsi="宋体" w:cs="宋体"/>
              </w:rPr>
              <w:t>1</w:t>
            </w:r>
          </w:p>
        </w:tc>
        <w:tc>
          <w:tcPr>
            <w:tcW w:w="2251" w:type="dxa"/>
            <w:vAlign w:val="center"/>
          </w:tcPr>
          <w:p w14:paraId="3B177844">
            <w:pPr>
              <w:adjustRightInd w:val="0"/>
              <w:snapToGrid w:val="0"/>
              <w:spacing w:line="300" w:lineRule="auto"/>
              <w:jc w:val="center"/>
              <w:outlineLvl w:val="0"/>
              <w:rPr>
                <w:rFonts w:ascii="宋体" w:hAnsi="宋体" w:cs="宋体"/>
                <w:szCs w:val="21"/>
              </w:rPr>
            </w:pPr>
          </w:p>
        </w:tc>
        <w:tc>
          <w:tcPr>
            <w:tcW w:w="3195" w:type="dxa"/>
            <w:vAlign w:val="center"/>
          </w:tcPr>
          <w:p w14:paraId="0E6DA05F">
            <w:pPr>
              <w:adjustRightInd w:val="0"/>
              <w:snapToGrid w:val="0"/>
              <w:spacing w:line="300" w:lineRule="auto"/>
              <w:jc w:val="center"/>
              <w:outlineLvl w:val="0"/>
              <w:rPr>
                <w:rFonts w:ascii="宋体" w:hAnsi="宋体" w:cs="宋体"/>
                <w:szCs w:val="21"/>
              </w:rPr>
            </w:pPr>
          </w:p>
        </w:tc>
        <w:tc>
          <w:tcPr>
            <w:tcW w:w="1920" w:type="dxa"/>
            <w:vAlign w:val="center"/>
          </w:tcPr>
          <w:p w14:paraId="1EAE23EC">
            <w:pPr>
              <w:adjustRightInd w:val="0"/>
              <w:snapToGrid w:val="0"/>
              <w:spacing w:line="300" w:lineRule="auto"/>
              <w:jc w:val="center"/>
              <w:outlineLvl w:val="0"/>
              <w:rPr>
                <w:rFonts w:ascii="宋体" w:hAnsi="宋体" w:cs="宋体"/>
                <w:szCs w:val="21"/>
              </w:rPr>
            </w:pPr>
          </w:p>
        </w:tc>
        <w:tc>
          <w:tcPr>
            <w:tcW w:w="1920" w:type="dxa"/>
            <w:vAlign w:val="center"/>
          </w:tcPr>
          <w:p w14:paraId="19A4CC2F">
            <w:pPr>
              <w:adjustRightInd w:val="0"/>
              <w:snapToGrid w:val="0"/>
              <w:spacing w:line="300" w:lineRule="auto"/>
              <w:jc w:val="center"/>
              <w:outlineLvl w:val="0"/>
              <w:rPr>
                <w:rFonts w:ascii="宋体" w:hAnsi="宋体" w:cs="宋体"/>
                <w:szCs w:val="21"/>
              </w:rPr>
            </w:pPr>
          </w:p>
        </w:tc>
      </w:tr>
      <w:tr w14:paraId="197EF0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62E3897A">
            <w:pPr>
              <w:jc w:val="center"/>
              <w:rPr>
                <w:rFonts w:ascii="宋体" w:hAnsi="宋体" w:cs="宋体"/>
              </w:rPr>
            </w:pPr>
            <w:r>
              <w:rPr>
                <w:rFonts w:hint="eastAsia" w:ascii="宋体" w:hAnsi="宋体" w:cs="宋体"/>
              </w:rPr>
              <w:t>2</w:t>
            </w:r>
          </w:p>
        </w:tc>
        <w:tc>
          <w:tcPr>
            <w:tcW w:w="2251" w:type="dxa"/>
            <w:vAlign w:val="center"/>
          </w:tcPr>
          <w:p w14:paraId="4E1DEF67">
            <w:pPr>
              <w:adjustRightInd w:val="0"/>
              <w:snapToGrid w:val="0"/>
              <w:spacing w:line="300" w:lineRule="auto"/>
              <w:jc w:val="center"/>
              <w:outlineLvl w:val="0"/>
              <w:rPr>
                <w:rFonts w:ascii="宋体" w:hAnsi="宋体" w:cs="宋体"/>
                <w:szCs w:val="21"/>
              </w:rPr>
            </w:pPr>
          </w:p>
        </w:tc>
        <w:tc>
          <w:tcPr>
            <w:tcW w:w="3195" w:type="dxa"/>
            <w:vAlign w:val="center"/>
          </w:tcPr>
          <w:p w14:paraId="6D761357">
            <w:pPr>
              <w:adjustRightInd w:val="0"/>
              <w:snapToGrid w:val="0"/>
              <w:spacing w:line="300" w:lineRule="auto"/>
              <w:jc w:val="center"/>
              <w:outlineLvl w:val="0"/>
              <w:rPr>
                <w:rFonts w:ascii="宋体" w:hAnsi="宋体" w:cs="宋体"/>
                <w:szCs w:val="21"/>
              </w:rPr>
            </w:pPr>
          </w:p>
        </w:tc>
        <w:tc>
          <w:tcPr>
            <w:tcW w:w="1920" w:type="dxa"/>
            <w:vAlign w:val="center"/>
          </w:tcPr>
          <w:p w14:paraId="65D0D109">
            <w:pPr>
              <w:adjustRightInd w:val="0"/>
              <w:snapToGrid w:val="0"/>
              <w:spacing w:line="300" w:lineRule="auto"/>
              <w:jc w:val="center"/>
              <w:outlineLvl w:val="0"/>
              <w:rPr>
                <w:rFonts w:ascii="宋体" w:hAnsi="宋体" w:cs="宋体"/>
                <w:szCs w:val="21"/>
              </w:rPr>
            </w:pPr>
          </w:p>
        </w:tc>
        <w:tc>
          <w:tcPr>
            <w:tcW w:w="1920" w:type="dxa"/>
            <w:vAlign w:val="center"/>
          </w:tcPr>
          <w:p w14:paraId="16F03DC8">
            <w:pPr>
              <w:adjustRightInd w:val="0"/>
              <w:snapToGrid w:val="0"/>
              <w:spacing w:line="300" w:lineRule="auto"/>
              <w:jc w:val="center"/>
              <w:outlineLvl w:val="0"/>
              <w:rPr>
                <w:rFonts w:ascii="宋体" w:hAnsi="宋体" w:cs="宋体"/>
                <w:szCs w:val="21"/>
              </w:rPr>
            </w:pPr>
          </w:p>
        </w:tc>
      </w:tr>
      <w:tr w14:paraId="7BCAF1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35E23B90">
            <w:pPr>
              <w:jc w:val="center"/>
              <w:rPr>
                <w:rFonts w:ascii="宋体" w:hAnsi="宋体" w:cs="宋体"/>
              </w:rPr>
            </w:pPr>
            <w:r>
              <w:rPr>
                <w:rFonts w:hint="eastAsia" w:ascii="宋体" w:hAnsi="宋体" w:cs="宋体"/>
              </w:rPr>
              <w:t>3</w:t>
            </w:r>
          </w:p>
        </w:tc>
        <w:tc>
          <w:tcPr>
            <w:tcW w:w="2251" w:type="dxa"/>
            <w:vAlign w:val="center"/>
          </w:tcPr>
          <w:p w14:paraId="4313CC71">
            <w:pPr>
              <w:adjustRightInd w:val="0"/>
              <w:snapToGrid w:val="0"/>
              <w:spacing w:line="300" w:lineRule="auto"/>
              <w:jc w:val="center"/>
              <w:outlineLvl w:val="0"/>
              <w:rPr>
                <w:rFonts w:ascii="宋体" w:hAnsi="宋体" w:cs="宋体"/>
                <w:szCs w:val="21"/>
              </w:rPr>
            </w:pPr>
          </w:p>
        </w:tc>
        <w:tc>
          <w:tcPr>
            <w:tcW w:w="3195" w:type="dxa"/>
            <w:vAlign w:val="center"/>
          </w:tcPr>
          <w:p w14:paraId="6996EFAD">
            <w:pPr>
              <w:adjustRightInd w:val="0"/>
              <w:snapToGrid w:val="0"/>
              <w:spacing w:line="300" w:lineRule="auto"/>
              <w:jc w:val="center"/>
              <w:outlineLvl w:val="0"/>
              <w:rPr>
                <w:rFonts w:ascii="宋体" w:hAnsi="宋体" w:cs="宋体"/>
                <w:szCs w:val="21"/>
              </w:rPr>
            </w:pPr>
          </w:p>
        </w:tc>
        <w:tc>
          <w:tcPr>
            <w:tcW w:w="1920" w:type="dxa"/>
            <w:vAlign w:val="center"/>
          </w:tcPr>
          <w:p w14:paraId="5E75BDE0">
            <w:pPr>
              <w:adjustRightInd w:val="0"/>
              <w:snapToGrid w:val="0"/>
              <w:spacing w:line="300" w:lineRule="auto"/>
              <w:jc w:val="center"/>
              <w:outlineLvl w:val="0"/>
              <w:rPr>
                <w:rFonts w:ascii="宋体" w:hAnsi="宋体" w:cs="宋体"/>
                <w:szCs w:val="21"/>
              </w:rPr>
            </w:pPr>
          </w:p>
        </w:tc>
        <w:tc>
          <w:tcPr>
            <w:tcW w:w="1920" w:type="dxa"/>
            <w:vAlign w:val="center"/>
          </w:tcPr>
          <w:p w14:paraId="66022825">
            <w:pPr>
              <w:adjustRightInd w:val="0"/>
              <w:snapToGrid w:val="0"/>
              <w:spacing w:line="300" w:lineRule="auto"/>
              <w:jc w:val="center"/>
              <w:outlineLvl w:val="0"/>
              <w:rPr>
                <w:rFonts w:ascii="宋体" w:hAnsi="宋体" w:cs="宋体"/>
                <w:szCs w:val="21"/>
              </w:rPr>
            </w:pPr>
          </w:p>
        </w:tc>
      </w:tr>
      <w:tr w14:paraId="4BC633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5" w:type="dxa"/>
            <w:vAlign w:val="center"/>
          </w:tcPr>
          <w:p w14:paraId="33960DFA">
            <w:pPr>
              <w:jc w:val="center"/>
              <w:rPr>
                <w:rFonts w:ascii="宋体" w:hAnsi="宋体" w:cs="宋体"/>
              </w:rPr>
            </w:pPr>
            <w:r>
              <w:rPr>
                <w:rFonts w:hint="eastAsia" w:ascii="宋体" w:hAnsi="宋体" w:cs="宋体"/>
              </w:rPr>
              <w:t>…</w:t>
            </w:r>
          </w:p>
        </w:tc>
        <w:tc>
          <w:tcPr>
            <w:tcW w:w="2251" w:type="dxa"/>
            <w:vAlign w:val="center"/>
          </w:tcPr>
          <w:p w14:paraId="1EA2EEB0">
            <w:pPr>
              <w:adjustRightInd w:val="0"/>
              <w:snapToGrid w:val="0"/>
              <w:spacing w:line="300" w:lineRule="auto"/>
              <w:jc w:val="center"/>
              <w:outlineLvl w:val="0"/>
              <w:rPr>
                <w:rFonts w:ascii="宋体" w:hAnsi="宋体" w:cs="宋体"/>
                <w:szCs w:val="21"/>
              </w:rPr>
            </w:pPr>
          </w:p>
        </w:tc>
        <w:tc>
          <w:tcPr>
            <w:tcW w:w="3195" w:type="dxa"/>
            <w:vAlign w:val="center"/>
          </w:tcPr>
          <w:p w14:paraId="6BAB989F">
            <w:pPr>
              <w:adjustRightInd w:val="0"/>
              <w:snapToGrid w:val="0"/>
              <w:spacing w:line="300" w:lineRule="auto"/>
              <w:jc w:val="center"/>
              <w:outlineLvl w:val="0"/>
              <w:rPr>
                <w:rFonts w:ascii="宋体" w:hAnsi="宋体" w:cs="宋体"/>
                <w:szCs w:val="21"/>
              </w:rPr>
            </w:pPr>
          </w:p>
        </w:tc>
        <w:tc>
          <w:tcPr>
            <w:tcW w:w="1920" w:type="dxa"/>
            <w:tcBorders>
              <w:right w:val="single" w:color="auto" w:sz="4" w:space="0"/>
            </w:tcBorders>
            <w:vAlign w:val="center"/>
          </w:tcPr>
          <w:p w14:paraId="310AFEEE">
            <w:pPr>
              <w:adjustRightInd w:val="0"/>
              <w:snapToGrid w:val="0"/>
              <w:spacing w:line="300" w:lineRule="auto"/>
              <w:jc w:val="center"/>
              <w:outlineLvl w:val="0"/>
              <w:rPr>
                <w:rFonts w:ascii="宋体" w:hAnsi="宋体" w:cs="宋体"/>
                <w:szCs w:val="21"/>
              </w:rPr>
            </w:pPr>
          </w:p>
        </w:tc>
        <w:tc>
          <w:tcPr>
            <w:tcW w:w="1920" w:type="dxa"/>
            <w:tcBorders>
              <w:left w:val="single" w:color="auto" w:sz="4" w:space="0"/>
            </w:tcBorders>
            <w:vAlign w:val="center"/>
          </w:tcPr>
          <w:p w14:paraId="0DE2AAFC">
            <w:pPr>
              <w:adjustRightInd w:val="0"/>
              <w:snapToGrid w:val="0"/>
              <w:spacing w:line="300" w:lineRule="auto"/>
              <w:jc w:val="center"/>
              <w:outlineLvl w:val="0"/>
              <w:rPr>
                <w:rFonts w:ascii="宋体" w:hAnsi="宋体" w:cs="宋体"/>
                <w:szCs w:val="21"/>
              </w:rPr>
            </w:pPr>
          </w:p>
        </w:tc>
      </w:tr>
    </w:tbl>
    <w:p w14:paraId="0DBA5609">
      <w:pPr>
        <w:spacing w:line="340" w:lineRule="exact"/>
        <w:rPr>
          <w:rFonts w:ascii="宋体" w:hAnsi="宋体" w:cs="宋体"/>
          <w:szCs w:val="21"/>
        </w:rPr>
      </w:pPr>
    </w:p>
    <w:p w14:paraId="40836259">
      <w:pPr>
        <w:snapToGrid w:val="0"/>
        <w:spacing w:line="400" w:lineRule="exact"/>
        <w:ind w:firstLine="1890" w:firstLineChars="900"/>
        <w:rPr>
          <w:rFonts w:ascii="宋体" w:hAnsi="宋体" w:cs="宋体"/>
          <w:szCs w:val="21"/>
          <w:u w:val="single"/>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14:paraId="0B60CA53">
      <w:pPr>
        <w:spacing w:line="340" w:lineRule="exact"/>
        <w:rPr>
          <w:rFonts w:ascii="宋体" w:hAnsi="宋体" w:cs="宋体"/>
        </w:rPr>
      </w:pPr>
    </w:p>
    <w:p w14:paraId="1B3E8B66">
      <w:pPr>
        <w:snapToGrid w:val="0"/>
        <w:spacing w:line="400" w:lineRule="exact"/>
        <w:ind w:firstLine="1680" w:firstLineChars="800"/>
        <w:rPr>
          <w:rFonts w:ascii="宋体" w:hAnsi="宋体" w:cs="宋体"/>
        </w:rPr>
      </w:pPr>
    </w:p>
    <w:p w14:paraId="49769934">
      <w:pPr>
        <w:snapToGrid w:val="0"/>
        <w:spacing w:line="400" w:lineRule="exact"/>
        <w:ind w:firstLine="1680" w:firstLineChars="800"/>
        <w:rPr>
          <w:rFonts w:ascii="宋体" w:hAnsi="宋体" w:cs="宋体"/>
        </w:rPr>
      </w:pPr>
      <w:r>
        <w:rPr>
          <w:rFonts w:hint="eastAsia" w:ascii="宋体" w:hAnsi="宋体" w:cs="宋体"/>
        </w:rPr>
        <w:t xml:space="preserve"> 日          期：</w:t>
      </w:r>
      <w:r>
        <w:rPr>
          <w:rFonts w:hint="eastAsia" w:ascii="宋体" w:hAnsi="宋体" w:cs="宋体"/>
          <w:u w:val="single"/>
        </w:rPr>
        <w:t xml:space="preserve">                                                   </w:t>
      </w:r>
    </w:p>
    <w:p w14:paraId="65E02EDD">
      <w:pPr>
        <w:ind w:firstLine="1890" w:firstLineChars="900"/>
        <w:rPr>
          <w:rFonts w:ascii="宋体" w:hAnsi="宋体" w:cs="宋体"/>
          <w:u w:val="single"/>
        </w:rPr>
      </w:pPr>
    </w:p>
    <w:p w14:paraId="6472BF5B">
      <w:pPr>
        <w:ind w:firstLine="1890" w:firstLineChars="900"/>
        <w:rPr>
          <w:rFonts w:ascii="宋体" w:hAnsi="宋体" w:cs="宋体"/>
          <w:u w:val="single"/>
        </w:rPr>
      </w:pPr>
    </w:p>
    <w:p w14:paraId="2123F58E">
      <w:pPr>
        <w:spacing w:line="400" w:lineRule="exact"/>
        <w:ind w:left="982" w:leftChars="200" w:hanging="562" w:hangingChars="200"/>
        <w:rPr>
          <w:rFonts w:ascii="宋体" w:hAnsi="宋体" w:cs="宋体"/>
          <w:b/>
          <w:bCs/>
          <w:sz w:val="28"/>
          <w:szCs w:val="28"/>
        </w:rPr>
      </w:pPr>
      <w:r>
        <w:rPr>
          <w:rFonts w:hint="eastAsia" w:ascii="宋体" w:hAnsi="宋体" w:cs="宋体"/>
          <w:b/>
          <w:bCs/>
          <w:sz w:val="28"/>
          <w:szCs w:val="28"/>
        </w:rPr>
        <w:t>注：</w:t>
      </w:r>
      <w:r>
        <w:rPr>
          <w:rFonts w:hint="eastAsia" w:ascii="宋体" w:hAnsi="宋体" w:cs="宋体"/>
          <w:b/>
          <w:sz w:val="24"/>
        </w:rPr>
        <w:t>1.“商务响应表”各项内容必须如实填写。</w:t>
      </w:r>
    </w:p>
    <w:p w14:paraId="7B9006D9">
      <w:pPr>
        <w:spacing w:line="400" w:lineRule="exact"/>
        <w:ind w:firstLine="964" w:firstLineChars="400"/>
        <w:rPr>
          <w:rFonts w:ascii="宋体" w:hAnsi="宋体" w:cs="宋体"/>
          <w:b/>
          <w:bCs/>
          <w:sz w:val="28"/>
          <w:szCs w:val="28"/>
        </w:rPr>
      </w:pPr>
      <w:r>
        <w:rPr>
          <w:rFonts w:hint="eastAsia" w:ascii="宋体" w:hAnsi="宋体" w:cs="宋体"/>
          <w:b/>
          <w:sz w:val="24"/>
        </w:rPr>
        <w:t>2.当本表由多页构成时，需逐页加盖磋商供应商公章（CA签章）（属自然人的须逐页签字或个人CA签章）。</w:t>
      </w:r>
    </w:p>
    <w:p w14:paraId="5F63B0DC">
      <w:pPr>
        <w:pStyle w:val="9"/>
        <w:rPr>
          <w:rFonts w:ascii="宋体" w:hAnsi="宋体" w:cs="宋体"/>
        </w:rPr>
      </w:pPr>
    </w:p>
    <w:p w14:paraId="0E84D5D8">
      <w:pPr>
        <w:pStyle w:val="9"/>
        <w:rPr>
          <w:rFonts w:ascii="宋体" w:hAnsi="宋体" w:cs="宋体"/>
        </w:rPr>
      </w:pPr>
    </w:p>
    <w:p w14:paraId="190C84DB">
      <w:pPr>
        <w:pStyle w:val="9"/>
        <w:rPr>
          <w:rFonts w:ascii="宋体" w:hAnsi="宋体" w:cs="宋体"/>
        </w:rPr>
      </w:pPr>
    </w:p>
    <w:p w14:paraId="105180AE">
      <w:pPr>
        <w:pStyle w:val="9"/>
        <w:rPr>
          <w:rFonts w:ascii="宋体" w:hAnsi="宋体" w:cs="宋体"/>
        </w:rPr>
      </w:pPr>
    </w:p>
    <w:p w14:paraId="21C252C1">
      <w:pPr>
        <w:pStyle w:val="9"/>
        <w:rPr>
          <w:rFonts w:ascii="宋体" w:hAnsi="宋体" w:cs="宋体"/>
        </w:rPr>
      </w:pPr>
    </w:p>
    <w:p w14:paraId="36ED6ACA">
      <w:pPr>
        <w:pStyle w:val="9"/>
        <w:rPr>
          <w:rFonts w:ascii="宋体" w:hAnsi="宋体" w:cs="宋体"/>
        </w:rPr>
      </w:pPr>
    </w:p>
    <w:p w14:paraId="4D269575">
      <w:pPr>
        <w:pStyle w:val="9"/>
        <w:rPr>
          <w:rFonts w:ascii="宋体" w:hAnsi="宋体" w:cs="宋体"/>
        </w:rPr>
      </w:pPr>
    </w:p>
    <w:p w14:paraId="5C408DAE">
      <w:pPr>
        <w:rPr>
          <w:rFonts w:ascii="宋体" w:hAnsi="宋体" w:cs="宋体"/>
        </w:rPr>
      </w:pPr>
    </w:p>
    <w:p w14:paraId="338846CB">
      <w:pPr>
        <w:pStyle w:val="2"/>
        <w:rPr>
          <w:rFonts w:ascii="宋体" w:hAnsi="宋体" w:cs="宋体"/>
          <w:color w:val="auto"/>
        </w:rPr>
      </w:pPr>
    </w:p>
    <w:p w14:paraId="0E10B9E2">
      <w:pPr>
        <w:pStyle w:val="2"/>
        <w:rPr>
          <w:rFonts w:ascii="宋体" w:hAnsi="宋体" w:cs="宋体"/>
          <w:color w:val="auto"/>
        </w:rPr>
      </w:pPr>
    </w:p>
    <w:p w14:paraId="32B7C84D">
      <w:pPr>
        <w:pStyle w:val="2"/>
        <w:rPr>
          <w:rFonts w:ascii="宋体" w:hAnsi="宋体" w:cs="宋体"/>
          <w:color w:val="auto"/>
        </w:rPr>
      </w:pPr>
    </w:p>
    <w:p w14:paraId="4F8C0A76">
      <w:pPr>
        <w:pStyle w:val="2"/>
        <w:rPr>
          <w:rFonts w:ascii="宋体" w:hAnsi="宋体" w:cs="宋体"/>
          <w:color w:val="auto"/>
        </w:rPr>
      </w:pPr>
    </w:p>
    <w:p w14:paraId="4A7A3E90">
      <w:pPr>
        <w:pStyle w:val="2"/>
        <w:rPr>
          <w:rFonts w:ascii="宋体" w:hAnsi="宋体" w:cs="宋体"/>
          <w:color w:val="auto"/>
        </w:rPr>
      </w:pPr>
    </w:p>
    <w:p w14:paraId="4EBEF127">
      <w:pPr>
        <w:pStyle w:val="2"/>
        <w:rPr>
          <w:rFonts w:ascii="宋体" w:hAnsi="宋体" w:cs="宋体"/>
          <w:color w:val="auto"/>
        </w:rPr>
      </w:pPr>
    </w:p>
    <w:p w14:paraId="0E365304">
      <w:pPr>
        <w:pStyle w:val="2"/>
        <w:rPr>
          <w:rFonts w:ascii="宋体" w:hAnsi="宋体" w:cs="宋体"/>
          <w:color w:val="auto"/>
        </w:rPr>
      </w:pPr>
    </w:p>
    <w:p w14:paraId="551B7EDE">
      <w:pPr>
        <w:pStyle w:val="9"/>
        <w:rPr>
          <w:rFonts w:ascii="宋体" w:hAnsi="宋体" w:cs="宋体"/>
        </w:rPr>
      </w:pPr>
    </w:p>
    <w:p w14:paraId="1ADEF041">
      <w:pPr>
        <w:pStyle w:val="9"/>
        <w:rPr>
          <w:rFonts w:ascii="宋体" w:hAnsi="宋体" w:cs="宋体"/>
        </w:rPr>
      </w:pPr>
    </w:p>
    <w:p w14:paraId="75B3ACC6">
      <w:pPr>
        <w:pStyle w:val="9"/>
        <w:rPr>
          <w:rFonts w:ascii="宋体" w:hAnsi="宋体" w:cs="宋体"/>
        </w:rPr>
      </w:pPr>
    </w:p>
    <w:p w14:paraId="08F82CDB">
      <w:pPr>
        <w:pStyle w:val="12"/>
        <w:spacing w:line="340" w:lineRule="exact"/>
        <w:rPr>
          <w:rFonts w:hAnsi="宋体" w:cs="宋体"/>
          <w:b/>
          <w:sz w:val="28"/>
          <w:szCs w:val="28"/>
        </w:rPr>
      </w:pPr>
      <w:r>
        <w:rPr>
          <w:rFonts w:hint="eastAsia" w:hAnsi="宋体" w:cs="宋体"/>
          <w:b/>
          <w:sz w:val="28"/>
          <w:szCs w:val="28"/>
        </w:rPr>
        <w:t>4. 服务承诺书、服务方案（由供应商根据本项目采购需求、特点及供应商自身的处理能力自行编写，承诺书内容至少应包括“采购需求”的所有服务条款）（必须提供）；</w:t>
      </w:r>
    </w:p>
    <w:p w14:paraId="33DD8A07">
      <w:pPr>
        <w:rPr>
          <w:rFonts w:ascii="宋体" w:hAnsi="宋体" w:cs="宋体"/>
        </w:rPr>
      </w:pPr>
    </w:p>
    <w:p w14:paraId="5504F86C">
      <w:pPr>
        <w:pStyle w:val="12"/>
        <w:spacing w:line="340" w:lineRule="exact"/>
        <w:rPr>
          <w:rFonts w:hAnsi="宋体" w:cs="宋体"/>
          <w:b/>
          <w:sz w:val="28"/>
          <w:szCs w:val="28"/>
        </w:rPr>
      </w:pPr>
      <w:r>
        <w:rPr>
          <w:rFonts w:hint="eastAsia" w:hAnsi="宋体" w:cs="宋体"/>
          <w:b/>
          <w:sz w:val="28"/>
          <w:szCs w:val="28"/>
        </w:rPr>
        <w:t>附件：</w:t>
      </w:r>
    </w:p>
    <w:p w14:paraId="3ABB24D2">
      <w:pPr>
        <w:rPr>
          <w:rFonts w:ascii="宋体" w:hAnsi="宋体" w:cs="宋体"/>
        </w:rPr>
      </w:pPr>
    </w:p>
    <w:p w14:paraId="3880611C">
      <w:pPr>
        <w:pStyle w:val="9"/>
        <w:rPr>
          <w:rFonts w:ascii="宋体" w:hAnsi="宋体" w:cs="宋体"/>
        </w:rPr>
      </w:pPr>
    </w:p>
    <w:p w14:paraId="301A3A54">
      <w:pPr>
        <w:pStyle w:val="9"/>
        <w:rPr>
          <w:rFonts w:ascii="宋体" w:hAnsi="宋体" w:cs="宋体"/>
        </w:rPr>
      </w:pPr>
    </w:p>
    <w:p w14:paraId="793C631B">
      <w:pPr>
        <w:pStyle w:val="9"/>
        <w:rPr>
          <w:rFonts w:ascii="宋体" w:hAnsi="宋体" w:cs="宋体"/>
        </w:rPr>
      </w:pPr>
    </w:p>
    <w:p w14:paraId="1CB304A9">
      <w:pPr>
        <w:pStyle w:val="12"/>
        <w:spacing w:line="340" w:lineRule="exact"/>
        <w:jc w:val="center"/>
        <w:rPr>
          <w:rFonts w:hAnsi="宋体" w:cs="宋体"/>
          <w:b/>
          <w:sz w:val="32"/>
          <w:szCs w:val="32"/>
        </w:rPr>
      </w:pPr>
      <w:r>
        <w:rPr>
          <w:rFonts w:hint="eastAsia" w:hAnsi="宋体" w:cs="宋体"/>
          <w:b/>
          <w:sz w:val="32"/>
          <w:szCs w:val="32"/>
        </w:rPr>
        <w:t>服务承诺书、服务方案（格式）</w:t>
      </w:r>
    </w:p>
    <w:p w14:paraId="1AC698FE">
      <w:pPr>
        <w:pStyle w:val="12"/>
        <w:spacing w:line="340" w:lineRule="exact"/>
        <w:jc w:val="center"/>
        <w:rPr>
          <w:rFonts w:hAnsi="宋体" w:cs="宋体"/>
          <w:b/>
          <w:sz w:val="32"/>
          <w:szCs w:val="32"/>
        </w:rPr>
      </w:pPr>
    </w:p>
    <w:p w14:paraId="4FE81AB2">
      <w:pPr>
        <w:pStyle w:val="12"/>
        <w:spacing w:line="340" w:lineRule="exact"/>
        <w:jc w:val="center"/>
        <w:rPr>
          <w:rFonts w:hAnsi="宋体" w:cs="宋体"/>
          <w:b/>
          <w:sz w:val="32"/>
          <w:szCs w:val="32"/>
        </w:rPr>
      </w:pPr>
    </w:p>
    <w:p w14:paraId="1654F103">
      <w:pPr>
        <w:pStyle w:val="12"/>
        <w:spacing w:line="340" w:lineRule="exact"/>
        <w:jc w:val="center"/>
        <w:rPr>
          <w:rFonts w:hAnsi="宋体" w:cs="宋体"/>
          <w:b/>
          <w:sz w:val="32"/>
          <w:szCs w:val="32"/>
        </w:rPr>
      </w:pPr>
    </w:p>
    <w:p w14:paraId="53AECB78">
      <w:pPr>
        <w:rPr>
          <w:rFonts w:ascii="宋体" w:hAnsi="宋体" w:cs="宋体"/>
          <w:b/>
          <w:sz w:val="32"/>
          <w:szCs w:val="32"/>
        </w:rPr>
      </w:pPr>
    </w:p>
    <w:p w14:paraId="73C08A17">
      <w:pPr>
        <w:pStyle w:val="9"/>
        <w:rPr>
          <w:rFonts w:ascii="宋体" w:hAnsi="宋体" w:cs="宋体"/>
        </w:rPr>
      </w:pPr>
    </w:p>
    <w:p w14:paraId="3C7E89D8">
      <w:pPr>
        <w:pStyle w:val="9"/>
        <w:rPr>
          <w:rFonts w:ascii="宋体" w:hAnsi="宋体" w:cs="宋体"/>
          <w:b/>
          <w:sz w:val="32"/>
          <w:szCs w:val="32"/>
        </w:rPr>
      </w:pPr>
    </w:p>
    <w:p w14:paraId="5D7AF61D">
      <w:pPr>
        <w:pStyle w:val="12"/>
        <w:spacing w:line="340" w:lineRule="exact"/>
        <w:jc w:val="center"/>
        <w:rPr>
          <w:rFonts w:hAnsi="宋体" w:cs="宋体"/>
          <w:b/>
          <w:sz w:val="32"/>
          <w:szCs w:val="32"/>
        </w:rPr>
      </w:pPr>
    </w:p>
    <w:p w14:paraId="51409DC9">
      <w:pPr>
        <w:snapToGrid w:val="0"/>
        <w:spacing w:line="400" w:lineRule="exact"/>
        <w:ind w:firstLine="1890" w:firstLineChars="900"/>
        <w:rPr>
          <w:rFonts w:ascii="宋体" w:hAnsi="宋体" w:cs="宋体"/>
          <w:szCs w:val="21"/>
          <w:u w:val="single"/>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14:paraId="36F20D66">
      <w:pPr>
        <w:pStyle w:val="4"/>
        <w:rPr>
          <w:rFonts w:ascii="宋体" w:hAnsi="宋体" w:cs="宋体"/>
        </w:rPr>
      </w:pPr>
    </w:p>
    <w:p w14:paraId="7EF8D2AD">
      <w:pPr>
        <w:snapToGrid w:val="0"/>
        <w:spacing w:line="400" w:lineRule="exact"/>
        <w:ind w:firstLine="1680" w:firstLineChars="800"/>
        <w:rPr>
          <w:rFonts w:ascii="宋体" w:hAnsi="宋体" w:cs="宋体"/>
          <w:b/>
          <w:bCs/>
          <w:szCs w:val="21"/>
        </w:rPr>
      </w:pPr>
      <w:r>
        <w:rPr>
          <w:rFonts w:hint="eastAsia" w:ascii="宋体" w:hAnsi="宋体" w:cs="宋体"/>
        </w:rPr>
        <w:t xml:space="preserve"> 日          期：</w:t>
      </w:r>
      <w:r>
        <w:rPr>
          <w:rFonts w:hint="eastAsia" w:ascii="宋体" w:hAnsi="宋体" w:cs="宋体"/>
          <w:u w:val="single"/>
        </w:rPr>
        <w:t xml:space="preserve">                                                   </w:t>
      </w:r>
    </w:p>
    <w:p w14:paraId="2AB721C6">
      <w:pPr>
        <w:pStyle w:val="9"/>
        <w:rPr>
          <w:rFonts w:ascii="宋体" w:hAnsi="宋体" w:cs="宋体"/>
          <w:b/>
          <w:bCs/>
          <w:szCs w:val="21"/>
        </w:rPr>
      </w:pPr>
    </w:p>
    <w:p w14:paraId="4E976433">
      <w:pPr>
        <w:pStyle w:val="9"/>
        <w:rPr>
          <w:rFonts w:ascii="宋体" w:hAnsi="宋体" w:cs="宋体"/>
          <w:b/>
          <w:bCs/>
          <w:szCs w:val="21"/>
        </w:rPr>
      </w:pPr>
    </w:p>
    <w:p w14:paraId="20EBC601">
      <w:pPr>
        <w:pStyle w:val="9"/>
        <w:rPr>
          <w:rFonts w:ascii="宋体" w:hAnsi="宋体" w:cs="宋体"/>
          <w:b/>
          <w:bCs/>
          <w:szCs w:val="21"/>
        </w:rPr>
      </w:pPr>
    </w:p>
    <w:p w14:paraId="1017E72A">
      <w:pPr>
        <w:pStyle w:val="9"/>
        <w:rPr>
          <w:rFonts w:ascii="宋体" w:hAnsi="宋体" w:cs="宋体"/>
          <w:b/>
          <w:bCs/>
          <w:szCs w:val="21"/>
        </w:rPr>
      </w:pPr>
    </w:p>
    <w:p w14:paraId="000BDEB9">
      <w:pPr>
        <w:pStyle w:val="9"/>
        <w:rPr>
          <w:rFonts w:ascii="宋体" w:hAnsi="宋体" w:cs="宋体"/>
          <w:b/>
          <w:bCs/>
          <w:szCs w:val="21"/>
        </w:rPr>
      </w:pPr>
    </w:p>
    <w:p w14:paraId="626C15FA">
      <w:pPr>
        <w:rPr>
          <w:rFonts w:ascii="宋体" w:hAnsi="宋体" w:cs="宋体"/>
          <w:b/>
          <w:bCs/>
          <w:szCs w:val="21"/>
        </w:rPr>
      </w:pPr>
    </w:p>
    <w:p w14:paraId="67940F8E">
      <w:pPr>
        <w:pStyle w:val="2"/>
        <w:rPr>
          <w:rFonts w:ascii="宋体" w:hAnsi="宋体" w:cs="宋体"/>
          <w:b/>
          <w:bCs/>
          <w:color w:val="auto"/>
          <w:szCs w:val="21"/>
        </w:rPr>
      </w:pPr>
    </w:p>
    <w:p w14:paraId="3625AC1A">
      <w:pPr>
        <w:pStyle w:val="2"/>
        <w:rPr>
          <w:rFonts w:ascii="宋体" w:hAnsi="宋体" w:cs="宋体"/>
          <w:b/>
          <w:bCs/>
          <w:color w:val="auto"/>
          <w:szCs w:val="21"/>
        </w:rPr>
      </w:pPr>
    </w:p>
    <w:p w14:paraId="5E484267">
      <w:pPr>
        <w:pStyle w:val="2"/>
        <w:rPr>
          <w:rFonts w:ascii="宋体" w:hAnsi="宋体" w:cs="宋体"/>
          <w:b/>
          <w:bCs/>
          <w:color w:val="auto"/>
          <w:szCs w:val="21"/>
        </w:rPr>
      </w:pPr>
    </w:p>
    <w:p w14:paraId="152844E9">
      <w:pPr>
        <w:pStyle w:val="2"/>
        <w:rPr>
          <w:rFonts w:ascii="宋体" w:hAnsi="宋体" w:cs="宋体"/>
          <w:b/>
          <w:bCs/>
          <w:color w:val="auto"/>
          <w:szCs w:val="21"/>
        </w:rPr>
      </w:pPr>
    </w:p>
    <w:p w14:paraId="44E849CE">
      <w:pPr>
        <w:pStyle w:val="2"/>
        <w:rPr>
          <w:rFonts w:ascii="宋体" w:hAnsi="宋体" w:cs="宋体"/>
          <w:b/>
          <w:bCs/>
          <w:color w:val="auto"/>
          <w:szCs w:val="21"/>
        </w:rPr>
      </w:pPr>
    </w:p>
    <w:p w14:paraId="1E642F4B">
      <w:pPr>
        <w:pStyle w:val="2"/>
        <w:rPr>
          <w:rFonts w:ascii="宋体" w:hAnsi="宋体" w:cs="宋体"/>
          <w:b/>
          <w:bCs/>
          <w:color w:val="auto"/>
          <w:szCs w:val="21"/>
        </w:rPr>
      </w:pPr>
    </w:p>
    <w:p w14:paraId="0477005B">
      <w:pPr>
        <w:pStyle w:val="2"/>
        <w:rPr>
          <w:rFonts w:ascii="宋体" w:hAnsi="宋体" w:cs="宋体"/>
          <w:b/>
          <w:bCs/>
          <w:color w:val="auto"/>
          <w:szCs w:val="21"/>
        </w:rPr>
      </w:pPr>
    </w:p>
    <w:p w14:paraId="645547B2">
      <w:pPr>
        <w:pStyle w:val="2"/>
        <w:rPr>
          <w:rFonts w:ascii="宋体" w:hAnsi="宋体" w:cs="宋体"/>
          <w:b/>
          <w:bCs/>
          <w:color w:val="auto"/>
          <w:szCs w:val="21"/>
        </w:rPr>
      </w:pPr>
    </w:p>
    <w:p w14:paraId="36AC710C">
      <w:pPr>
        <w:pStyle w:val="2"/>
        <w:rPr>
          <w:rFonts w:ascii="宋体" w:hAnsi="宋体" w:cs="宋体"/>
          <w:b/>
          <w:bCs/>
          <w:color w:val="auto"/>
          <w:szCs w:val="21"/>
        </w:rPr>
      </w:pPr>
    </w:p>
    <w:p w14:paraId="1079BD18">
      <w:pPr>
        <w:pStyle w:val="9"/>
        <w:rPr>
          <w:rFonts w:ascii="宋体" w:hAnsi="宋体" w:cs="宋体"/>
          <w:b/>
          <w:bCs/>
          <w:szCs w:val="21"/>
        </w:rPr>
      </w:pPr>
    </w:p>
    <w:p w14:paraId="2957EC21">
      <w:pPr>
        <w:rPr>
          <w:rFonts w:ascii="宋体" w:hAnsi="宋体" w:cs="宋体"/>
        </w:rPr>
      </w:pPr>
    </w:p>
    <w:p w14:paraId="2D0A807C">
      <w:pPr>
        <w:pStyle w:val="9"/>
        <w:rPr>
          <w:rFonts w:ascii="宋体" w:hAnsi="宋体" w:cs="宋体"/>
          <w:b/>
          <w:bCs/>
          <w:szCs w:val="21"/>
        </w:rPr>
      </w:pPr>
    </w:p>
    <w:p w14:paraId="06EFEE5D">
      <w:pPr>
        <w:pStyle w:val="9"/>
        <w:rPr>
          <w:rFonts w:ascii="宋体" w:hAnsi="宋体" w:cs="宋体"/>
          <w:b/>
          <w:bCs/>
          <w:szCs w:val="21"/>
        </w:rPr>
      </w:pPr>
    </w:p>
    <w:p w14:paraId="3D982D0B">
      <w:pPr>
        <w:rPr>
          <w:rFonts w:ascii="宋体" w:hAnsi="宋体" w:cs="宋体"/>
        </w:rPr>
      </w:pPr>
    </w:p>
    <w:p w14:paraId="1204CEDF">
      <w:pPr>
        <w:pStyle w:val="9"/>
        <w:rPr>
          <w:rFonts w:ascii="宋体" w:hAnsi="宋体" w:cs="宋体"/>
          <w:b/>
          <w:bCs/>
          <w:szCs w:val="21"/>
        </w:rPr>
      </w:pPr>
    </w:p>
    <w:p w14:paraId="5D810C9D">
      <w:pPr>
        <w:pStyle w:val="12"/>
        <w:spacing w:line="340" w:lineRule="exact"/>
        <w:rPr>
          <w:rFonts w:hAnsi="宋体" w:cs="宋体"/>
          <w:b/>
          <w:sz w:val="28"/>
          <w:szCs w:val="28"/>
        </w:rPr>
      </w:pPr>
      <w:r>
        <w:rPr>
          <w:rFonts w:hint="eastAsia" w:hAnsi="宋体" w:cs="宋体"/>
          <w:b/>
          <w:sz w:val="28"/>
          <w:szCs w:val="28"/>
        </w:rPr>
        <w:t>5. 针对本项目的项目实施方案（必须提供）。</w:t>
      </w:r>
    </w:p>
    <w:p w14:paraId="3ACDC771">
      <w:pPr>
        <w:rPr>
          <w:rFonts w:ascii="宋体" w:hAnsi="宋体" w:cs="宋体"/>
        </w:rPr>
      </w:pPr>
    </w:p>
    <w:p w14:paraId="0368FCD1">
      <w:pPr>
        <w:pStyle w:val="12"/>
        <w:spacing w:line="340" w:lineRule="exact"/>
        <w:rPr>
          <w:rFonts w:hAnsi="宋体" w:cs="宋体"/>
          <w:b/>
          <w:sz w:val="28"/>
          <w:szCs w:val="28"/>
        </w:rPr>
      </w:pPr>
      <w:r>
        <w:rPr>
          <w:rFonts w:hint="eastAsia" w:hAnsi="宋体" w:cs="宋体"/>
          <w:b/>
          <w:sz w:val="28"/>
          <w:szCs w:val="28"/>
        </w:rPr>
        <w:t>附件：</w:t>
      </w:r>
    </w:p>
    <w:p w14:paraId="6DB78B54">
      <w:pPr>
        <w:rPr>
          <w:rFonts w:ascii="宋体" w:hAnsi="宋体" w:cs="宋体"/>
        </w:rPr>
      </w:pPr>
    </w:p>
    <w:p w14:paraId="35691891">
      <w:pPr>
        <w:pStyle w:val="9"/>
        <w:rPr>
          <w:rFonts w:ascii="宋体" w:hAnsi="宋体" w:cs="宋体"/>
        </w:rPr>
      </w:pPr>
    </w:p>
    <w:p w14:paraId="1BE040AE">
      <w:pPr>
        <w:rPr>
          <w:rFonts w:ascii="宋体" w:hAnsi="宋体" w:cs="宋体"/>
        </w:rPr>
      </w:pPr>
    </w:p>
    <w:p w14:paraId="051E0A10">
      <w:pPr>
        <w:pStyle w:val="12"/>
        <w:spacing w:line="340" w:lineRule="exact"/>
        <w:jc w:val="center"/>
        <w:rPr>
          <w:rFonts w:hAnsi="宋体" w:cs="宋体"/>
          <w:b/>
          <w:sz w:val="32"/>
          <w:szCs w:val="32"/>
        </w:rPr>
      </w:pPr>
      <w:r>
        <w:rPr>
          <w:rFonts w:hint="eastAsia" w:hAnsi="宋体" w:cs="宋体"/>
          <w:b/>
          <w:sz w:val="32"/>
          <w:szCs w:val="32"/>
        </w:rPr>
        <w:t>服务方案 （格式）</w:t>
      </w:r>
    </w:p>
    <w:p w14:paraId="6C74B9CA">
      <w:pPr>
        <w:rPr>
          <w:rFonts w:ascii="宋体" w:hAnsi="宋体" w:cs="宋体"/>
          <w:b/>
          <w:sz w:val="32"/>
          <w:szCs w:val="32"/>
        </w:rPr>
      </w:pPr>
    </w:p>
    <w:p w14:paraId="55085A24">
      <w:pPr>
        <w:pStyle w:val="9"/>
        <w:rPr>
          <w:rFonts w:ascii="宋体" w:hAnsi="宋体" w:cs="宋体"/>
        </w:rPr>
      </w:pPr>
    </w:p>
    <w:p w14:paraId="3C76F650">
      <w:pPr>
        <w:widowControl/>
        <w:ind w:firstLine="3092" w:firstLineChars="1100"/>
        <w:jc w:val="left"/>
        <w:rPr>
          <w:rFonts w:ascii="宋体" w:hAnsi="宋体" w:cs="宋体"/>
          <w:b/>
          <w:kern w:val="0"/>
          <w:sz w:val="28"/>
          <w:szCs w:val="28"/>
        </w:rPr>
      </w:pPr>
      <w:r>
        <w:rPr>
          <w:rFonts w:hint="eastAsia" w:ascii="宋体" w:hAnsi="宋体" w:cs="宋体"/>
          <w:b/>
          <w:kern w:val="0"/>
          <w:sz w:val="28"/>
          <w:szCs w:val="28"/>
        </w:rPr>
        <w:t>（根据采购需求自行编制）</w:t>
      </w:r>
    </w:p>
    <w:p w14:paraId="3AD42FBB">
      <w:pPr>
        <w:widowControl/>
        <w:ind w:firstLine="3092" w:firstLineChars="1100"/>
        <w:jc w:val="left"/>
        <w:rPr>
          <w:rFonts w:ascii="宋体" w:hAnsi="宋体" w:cs="宋体"/>
          <w:b/>
          <w:kern w:val="0"/>
          <w:sz w:val="28"/>
          <w:szCs w:val="28"/>
        </w:rPr>
      </w:pPr>
    </w:p>
    <w:p w14:paraId="7937FC83">
      <w:pPr>
        <w:widowControl/>
        <w:ind w:firstLine="3092" w:firstLineChars="1100"/>
        <w:jc w:val="left"/>
        <w:rPr>
          <w:rFonts w:ascii="宋体" w:hAnsi="宋体" w:cs="宋体"/>
          <w:b/>
          <w:kern w:val="0"/>
          <w:sz w:val="28"/>
          <w:szCs w:val="28"/>
        </w:rPr>
      </w:pPr>
    </w:p>
    <w:p w14:paraId="73DF16C9">
      <w:pPr>
        <w:widowControl/>
        <w:ind w:firstLine="3092" w:firstLineChars="1100"/>
        <w:jc w:val="left"/>
        <w:rPr>
          <w:rFonts w:ascii="宋体" w:hAnsi="宋体" w:cs="宋体"/>
          <w:b/>
          <w:kern w:val="0"/>
          <w:sz w:val="28"/>
          <w:szCs w:val="28"/>
        </w:rPr>
      </w:pPr>
    </w:p>
    <w:p w14:paraId="507A1E1F">
      <w:pPr>
        <w:widowControl/>
        <w:ind w:firstLine="3092" w:firstLineChars="1100"/>
        <w:jc w:val="left"/>
        <w:rPr>
          <w:rFonts w:ascii="宋体" w:hAnsi="宋体" w:cs="宋体"/>
          <w:b/>
          <w:kern w:val="0"/>
          <w:sz w:val="28"/>
          <w:szCs w:val="28"/>
        </w:rPr>
      </w:pPr>
    </w:p>
    <w:p w14:paraId="77E263E6">
      <w:pPr>
        <w:widowControl/>
        <w:ind w:firstLine="3092" w:firstLineChars="1100"/>
        <w:jc w:val="left"/>
        <w:rPr>
          <w:rFonts w:ascii="宋体" w:hAnsi="宋体" w:cs="宋体"/>
          <w:b/>
          <w:kern w:val="0"/>
          <w:sz w:val="28"/>
          <w:szCs w:val="28"/>
        </w:rPr>
      </w:pPr>
    </w:p>
    <w:p w14:paraId="431F6A30">
      <w:pPr>
        <w:widowControl/>
        <w:ind w:firstLine="1470" w:firstLineChars="700"/>
        <w:jc w:val="left"/>
        <w:rPr>
          <w:rFonts w:ascii="宋体" w:hAnsi="宋体" w:cs="宋体"/>
          <w:szCs w:val="21"/>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14:paraId="27398230">
      <w:pPr>
        <w:pStyle w:val="12"/>
        <w:spacing w:line="300" w:lineRule="exact"/>
        <w:ind w:left="2940" w:leftChars="1400" w:firstLine="630" w:firstLineChars="300"/>
        <w:rPr>
          <w:rFonts w:hAnsi="宋体" w:cs="宋体"/>
        </w:rPr>
      </w:pPr>
    </w:p>
    <w:p w14:paraId="6444419A">
      <w:pPr>
        <w:pStyle w:val="12"/>
        <w:spacing w:line="300" w:lineRule="exact"/>
        <w:ind w:firstLine="4638" w:firstLineChars="1650"/>
        <w:rPr>
          <w:rFonts w:hAnsi="宋体" w:cs="宋体"/>
          <w:b/>
          <w:sz w:val="28"/>
          <w:szCs w:val="28"/>
        </w:rPr>
      </w:pPr>
      <w:r>
        <w:rPr>
          <w:rFonts w:hint="eastAsia" w:hAnsi="宋体" w:cs="宋体"/>
          <w:b/>
          <w:sz w:val="28"/>
          <w:szCs w:val="28"/>
        </w:rPr>
        <w:t xml:space="preserve"> </w:t>
      </w:r>
    </w:p>
    <w:p w14:paraId="2995ACCE">
      <w:pPr>
        <w:pStyle w:val="12"/>
        <w:spacing w:line="300" w:lineRule="exact"/>
        <w:rPr>
          <w:rFonts w:hAnsi="宋体" w:cs="宋体"/>
          <w:b/>
          <w:sz w:val="28"/>
          <w:szCs w:val="28"/>
        </w:rPr>
      </w:pPr>
    </w:p>
    <w:p w14:paraId="6E1317FA">
      <w:pPr>
        <w:snapToGrid w:val="0"/>
        <w:spacing w:line="300" w:lineRule="exact"/>
        <w:ind w:firstLine="4830" w:firstLineChars="2300"/>
        <w:rPr>
          <w:rFonts w:ascii="宋体" w:hAnsi="宋体" w:cs="宋体"/>
          <w:u w:val="single"/>
        </w:rPr>
      </w:pPr>
      <w:r>
        <w:rPr>
          <w:rFonts w:hint="eastAsia" w:ascii="宋体" w:hAnsi="宋体" w:cs="宋体"/>
        </w:rPr>
        <w:t>日          期：</w:t>
      </w:r>
      <w:r>
        <w:rPr>
          <w:rFonts w:hint="eastAsia" w:ascii="宋体" w:hAnsi="宋体" w:cs="宋体"/>
          <w:u w:val="single"/>
        </w:rPr>
        <w:t xml:space="preserve">                              </w:t>
      </w:r>
    </w:p>
    <w:p w14:paraId="6D8BB40D">
      <w:pPr>
        <w:snapToGrid w:val="0"/>
        <w:spacing w:line="300" w:lineRule="exact"/>
        <w:ind w:firstLine="3570" w:firstLineChars="1700"/>
        <w:rPr>
          <w:rFonts w:ascii="宋体" w:hAnsi="宋体" w:cs="宋体"/>
          <w:u w:val="single"/>
        </w:rPr>
      </w:pPr>
    </w:p>
    <w:p w14:paraId="238735A9">
      <w:pPr>
        <w:pStyle w:val="9"/>
        <w:rPr>
          <w:rFonts w:ascii="宋体" w:hAnsi="宋体" w:cs="宋体"/>
          <w:u w:val="single"/>
        </w:rPr>
      </w:pPr>
    </w:p>
    <w:p w14:paraId="15224D45">
      <w:pPr>
        <w:pStyle w:val="9"/>
        <w:rPr>
          <w:rFonts w:ascii="宋体" w:hAnsi="宋体" w:cs="宋体"/>
          <w:u w:val="single"/>
        </w:rPr>
      </w:pPr>
    </w:p>
    <w:p w14:paraId="5FFAFE5F">
      <w:pPr>
        <w:pStyle w:val="9"/>
        <w:rPr>
          <w:rFonts w:ascii="宋体" w:hAnsi="宋体" w:cs="宋体"/>
          <w:b/>
          <w:bCs/>
          <w:szCs w:val="21"/>
        </w:rPr>
      </w:pPr>
    </w:p>
    <w:p w14:paraId="3AFD6618">
      <w:pPr>
        <w:pStyle w:val="9"/>
        <w:rPr>
          <w:rFonts w:ascii="宋体" w:hAnsi="宋体" w:cs="宋体"/>
          <w:b/>
          <w:bCs/>
          <w:szCs w:val="21"/>
        </w:rPr>
      </w:pPr>
    </w:p>
    <w:p w14:paraId="2642698F">
      <w:pPr>
        <w:pStyle w:val="9"/>
        <w:rPr>
          <w:rFonts w:ascii="宋体" w:hAnsi="宋体" w:cs="宋体"/>
          <w:b/>
          <w:bCs/>
          <w:szCs w:val="21"/>
        </w:rPr>
      </w:pPr>
    </w:p>
    <w:p w14:paraId="5CD84753">
      <w:pPr>
        <w:pStyle w:val="9"/>
        <w:rPr>
          <w:rFonts w:ascii="宋体" w:hAnsi="宋体" w:cs="宋体"/>
          <w:b/>
          <w:bCs/>
          <w:szCs w:val="21"/>
        </w:rPr>
      </w:pPr>
    </w:p>
    <w:p w14:paraId="703513B7">
      <w:pPr>
        <w:pStyle w:val="9"/>
        <w:rPr>
          <w:rFonts w:ascii="宋体" w:hAnsi="宋体" w:cs="宋体"/>
          <w:b/>
          <w:bCs/>
          <w:szCs w:val="21"/>
        </w:rPr>
      </w:pPr>
    </w:p>
    <w:p w14:paraId="3F424825">
      <w:pPr>
        <w:pStyle w:val="9"/>
        <w:rPr>
          <w:rFonts w:ascii="宋体" w:hAnsi="宋体" w:cs="宋体"/>
          <w:b/>
          <w:bCs/>
          <w:szCs w:val="21"/>
        </w:rPr>
      </w:pPr>
    </w:p>
    <w:p w14:paraId="6CD6863C">
      <w:pPr>
        <w:pStyle w:val="9"/>
        <w:rPr>
          <w:rFonts w:ascii="宋体" w:hAnsi="宋体" w:cs="宋体"/>
          <w:b/>
          <w:bCs/>
          <w:szCs w:val="21"/>
        </w:rPr>
      </w:pPr>
    </w:p>
    <w:p w14:paraId="7CE8A0FB">
      <w:pPr>
        <w:pStyle w:val="9"/>
        <w:rPr>
          <w:rFonts w:ascii="宋体" w:hAnsi="宋体" w:cs="宋体"/>
          <w:b/>
          <w:bCs/>
          <w:szCs w:val="21"/>
        </w:rPr>
      </w:pPr>
    </w:p>
    <w:p w14:paraId="0374C0B0">
      <w:pPr>
        <w:pStyle w:val="9"/>
        <w:rPr>
          <w:rFonts w:ascii="宋体" w:hAnsi="宋体" w:cs="宋体"/>
          <w:b/>
          <w:bCs/>
          <w:szCs w:val="21"/>
        </w:rPr>
      </w:pPr>
    </w:p>
    <w:p w14:paraId="3110CB06">
      <w:pPr>
        <w:pStyle w:val="9"/>
        <w:rPr>
          <w:rFonts w:ascii="宋体" w:hAnsi="宋体" w:cs="宋体"/>
          <w:b/>
          <w:bCs/>
          <w:szCs w:val="21"/>
        </w:rPr>
      </w:pPr>
    </w:p>
    <w:p w14:paraId="6C4969A9">
      <w:pPr>
        <w:pStyle w:val="9"/>
        <w:rPr>
          <w:rFonts w:ascii="宋体" w:hAnsi="宋体" w:cs="宋体"/>
          <w:b/>
          <w:bCs/>
          <w:szCs w:val="21"/>
        </w:rPr>
      </w:pPr>
    </w:p>
    <w:p w14:paraId="57677958">
      <w:pPr>
        <w:rPr>
          <w:rFonts w:ascii="宋体" w:hAnsi="宋体" w:cs="宋体"/>
        </w:rPr>
      </w:pPr>
    </w:p>
    <w:p w14:paraId="37A71609">
      <w:pPr>
        <w:pStyle w:val="9"/>
        <w:rPr>
          <w:rFonts w:ascii="宋体" w:hAnsi="宋体" w:cs="宋体"/>
          <w:b/>
          <w:bCs/>
          <w:szCs w:val="21"/>
        </w:rPr>
      </w:pPr>
    </w:p>
    <w:p w14:paraId="200534C8">
      <w:pPr>
        <w:pStyle w:val="12"/>
        <w:spacing w:line="340" w:lineRule="exact"/>
        <w:rPr>
          <w:rFonts w:hAnsi="宋体" w:cs="宋体"/>
          <w:b/>
          <w:sz w:val="28"/>
          <w:szCs w:val="28"/>
        </w:rPr>
      </w:pPr>
    </w:p>
    <w:p w14:paraId="02C6AA83">
      <w:pPr>
        <w:spacing w:line="340" w:lineRule="exact"/>
        <w:ind w:left="420"/>
        <w:jc w:val="center"/>
        <w:rPr>
          <w:rFonts w:ascii="宋体" w:hAnsi="宋体" w:cs="宋体"/>
          <w:szCs w:val="21"/>
        </w:rPr>
      </w:pPr>
      <w:bookmarkStart w:id="219" w:name="_Toc28672"/>
      <w:bookmarkStart w:id="220" w:name="_Toc497927084"/>
      <w:bookmarkStart w:id="221" w:name="_Toc9339"/>
      <w:r>
        <w:rPr>
          <w:rFonts w:hint="eastAsia" w:ascii="宋体" w:hAnsi="宋体" w:cs="宋体"/>
          <w:b/>
          <w:bCs/>
          <w:sz w:val="32"/>
          <w:szCs w:val="32"/>
        </w:rPr>
        <w:t>（三）其他有效证明材料目录</w:t>
      </w:r>
      <w:bookmarkEnd w:id="219"/>
      <w:bookmarkEnd w:id="220"/>
      <w:bookmarkEnd w:id="221"/>
    </w:p>
    <w:p w14:paraId="2E4842B7">
      <w:pPr>
        <w:spacing w:line="360" w:lineRule="auto"/>
        <w:ind w:firstLine="480" w:firstLineChars="200"/>
        <w:rPr>
          <w:rFonts w:ascii="宋体" w:hAnsi="宋体" w:cs="宋体"/>
          <w:b/>
          <w:bCs/>
        </w:rPr>
      </w:pPr>
      <w:r>
        <w:rPr>
          <w:rFonts w:hint="eastAsia" w:ascii="宋体" w:hAnsi="宋体" w:cs="宋体"/>
          <w:sz w:val="24"/>
        </w:rPr>
        <w:t>1.项目实施人员一览表（格式见附件）</w:t>
      </w:r>
      <w:r>
        <w:rPr>
          <w:rFonts w:hint="eastAsia" w:ascii="宋体" w:hAnsi="宋体" w:cs="宋体"/>
          <w:b/>
          <w:bCs/>
          <w:sz w:val="24"/>
        </w:rPr>
        <w:t>（如有，请提供）；</w:t>
      </w:r>
    </w:p>
    <w:p w14:paraId="253437EE">
      <w:pPr>
        <w:spacing w:line="360" w:lineRule="auto"/>
        <w:ind w:firstLine="480" w:firstLineChars="200"/>
        <w:jc w:val="left"/>
        <w:rPr>
          <w:rFonts w:ascii="宋体" w:hAnsi="宋体" w:cs="宋体"/>
          <w:b/>
          <w:bCs/>
        </w:rPr>
      </w:pPr>
      <w:r>
        <w:rPr>
          <w:rFonts w:hint="eastAsia" w:ascii="宋体" w:hAnsi="宋体" w:cs="宋体"/>
          <w:sz w:val="24"/>
        </w:rPr>
        <w:t>2.“采购需求”需提供的有效证明文件</w:t>
      </w:r>
      <w:r>
        <w:rPr>
          <w:rFonts w:hint="eastAsia" w:ascii="宋体" w:hAnsi="宋体" w:cs="宋体"/>
          <w:b/>
          <w:bCs/>
          <w:sz w:val="24"/>
        </w:rPr>
        <w:t>（如有，请提供）；</w:t>
      </w:r>
    </w:p>
    <w:p w14:paraId="5F5269F2">
      <w:pPr>
        <w:spacing w:line="360" w:lineRule="auto"/>
        <w:ind w:firstLine="480" w:firstLineChars="200"/>
        <w:rPr>
          <w:rFonts w:ascii="宋体" w:hAnsi="宋体" w:cs="宋体"/>
          <w:sz w:val="24"/>
        </w:rPr>
      </w:pPr>
      <w:r>
        <w:rPr>
          <w:rFonts w:hint="eastAsia" w:ascii="宋体" w:hAnsi="宋体" w:cs="宋体"/>
          <w:sz w:val="24"/>
        </w:rPr>
        <w:t>3.供应商20</w:t>
      </w:r>
      <w:r>
        <w:rPr>
          <w:rFonts w:ascii="宋体" w:hAnsi="宋体" w:cs="宋体"/>
          <w:sz w:val="24"/>
        </w:rPr>
        <w:t>22</w:t>
      </w:r>
      <w:r>
        <w:rPr>
          <w:rFonts w:hint="eastAsia" w:ascii="宋体" w:hAnsi="宋体" w:cs="宋体"/>
          <w:sz w:val="24"/>
        </w:rPr>
        <w:t>年1月1日以来具有同类项目业绩相关证明材料（无不良记录，以中标、成交通知书或签订的合同为准，并能清晰反映项目的名称、采购内容、采购金额、采购时间）</w:t>
      </w:r>
      <w:r>
        <w:rPr>
          <w:rFonts w:hint="eastAsia" w:ascii="宋体" w:hAnsi="宋体" w:cs="宋体"/>
          <w:b/>
          <w:bCs/>
          <w:sz w:val="24"/>
        </w:rPr>
        <w:t>（如有，请提供）；</w:t>
      </w:r>
    </w:p>
    <w:p w14:paraId="77B74380">
      <w:pPr>
        <w:spacing w:line="360" w:lineRule="auto"/>
        <w:ind w:firstLine="480" w:firstLineChars="200"/>
        <w:rPr>
          <w:rFonts w:ascii="宋体" w:hAnsi="宋体" w:cs="宋体"/>
          <w:sz w:val="24"/>
        </w:rPr>
      </w:pPr>
      <w:r>
        <w:rPr>
          <w:rFonts w:hint="eastAsia" w:ascii="宋体" w:hAnsi="宋体" w:cs="宋体"/>
          <w:sz w:val="24"/>
        </w:rPr>
        <w:t>4.供应商可结合本项目的评审办法视自身情况自行提交其它相关证明材料。</w:t>
      </w:r>
    </w:p>
    <w:p w14:paraId="4CA5767E">
      <w:pPr>
        <w:spacing w:line="360" w:lineRule="auto"/>
        <w:ind w:firstLine="480" w:firstLineChars="200"/>
        <w:rPr>
          <w:rFonts w:ascii="宋体" w:hAnsi="宋体" w:cs="宋体"/>
          <w:sz w:val="24"/>
        </w:rPr>
      </w:pPr>
    </w:p>
    <w:p w14:paraId="02BF9652">
      <w:pPr>
        <w:pStyle w:val="2"/>
        <w:rPr>
          <w:rFonts w:ascii="宋体" w:hAnsi="宋体" w:cs="宋体"/>
          <w:b/>
          <w:bCs/>
          <w:color w:val="auto"/>
        </w:rPr>
      </w:pPr>
    </w:p>
    <w:p w14:paraId="0AF67367">
      <w:pPr>
        <w:pStyle w:val="2"/>
        <w:rPr>
          <w:rFonts w:ascii="宋体" w:hAnsi="宋体" w:cs="宋体"/>
          <w:b/>
          <w:bCs/>
          <w:color w:val="auto"/>
        </w:rPr>
      </w:pPr>
    </w:p>
    <w:p w14:paraId="2BB5DEF5">
      <w:pPr>
        <w:pStyle w:val="2"/>
        <w:rPr>
          <w:rFonts w:ascii="宋体" w:hAnsi="宋体" w:cs="宋体"/>
          <w:b/>
          <w:bCs/>
          <w:color w:val="auto"/>
        </w:rPr>
      </w:pPr>
    </w:p>
    <w:p w14:paraId="7B3731BC">
      <w:pPr>
        <w:pStyle w:val="2"/>
        <w:rPr>
          <w:rFonts w:ascii="宋体" w:hAnsi="宋体" w:cs="宋体"/>
          <w:b/>
          <w:bCs/>
          <w:color w:val="auto"/>
        </w:rPr>
      </w:pPr>
    </w:p>
    <w:p w14:paraId="0F7BFAF7">
      <w:pPr>
        <w:pStyle w:val="2"/>
        <w:rPr>
          <w:rFonts w:ascii="宋体" w:hAnsi="宋体" w:cs="宋体"/>
          <w:b/>
          <w:bCs/>
          <w:color w:val="auto"/>
        </w:rPr>
      </w:pPr>
    </w:p>
    <w:p w14:paraId="225782C4">
      <w:pPr>
        <w:pStyle w:val="2"/>
        <w:rPr>
          <w:rFonts w:ascii="宋体" w:hAnsi="宋体" w:cs="宋体"/>
          <w:b/>
          <w:bCs/>
          <w:color w:val="auto"/>
        </w:rPr>
      </w:pPr>
    </w:p>
    <w:p w14:paraId="1240530D">
      <w:pPr>
        <w:pStyle w:val="2"/>
        <w:rPr>
          <w:rFonts w:ascii="宋体" w:hAnsi="宋体" w:cs="宋体"/>
          <w:b/>
          <w:bCs/>
          <w:color w:val="auto"/>
        </w:rPr>
      </w:pPr>
    </w:p>
    <w:p w14:paraId="48BED5E4">
      <w:pPr>
        <w:pStyle w:val="2"/>
        <w:rPr>
          <w:rFonts w:ascii="宋体" w:hAnsi="宋体" w:cs="宋体"/>
          <w:b/>
          <w:bCs/>
          <w:color w:val="auto"/>
        </w:rPr>
      </w:pPr>
    </w:p>
    <w:p w14:paraId="5C206032">
      <w:pPr>
        <w:pStyle w:val="2"/>
        <w:rPr>
          <w:rFonts w:ascii="宋体" w:hAnsi="宋体" w:cs="宋体"/>
          <w:b/>
          <w:bCs/>
          <w:color w:val="auto"/>
        </w:rPr>
      </w:pPr>
    </w:p>
    <w:p w14:paraId="61174C3B">
      <w:pPr>
        <w:pStyle w:val="2"/>
        <w:rPr>
          <w:rFonts w:ascii="宋体" w:hAnsi="宋体" w:cs="宋体"/>
          <w:b/>
          <w:bCs/>
          <w:color w:val="auto"/>
        </w:rPr>
      </w:pPr>
    </w:p>
    <w:p w14:paraId="55D46D1E">
      <w:pPr>
        <w:pStyle w:val="2"/>
        <w:rPr>
          <w:rFonts w:ascii="宋体" w:hAnsi="宋体" w:cs="宋体"/>
          <w:b/>
          <w:bCs/>
          <w:color w:val="auto"/>
        </w:rPr>
      </w:pPr>
    </w:p>
    <w:p w14:paraId="516AF123">
      <w:pPr>
        <w:pStyle w:val="2"/>
        <w:rPr>
          <w:rFonts w:ascii="宋体" w:hAnsi="宋体" w:cs="宋体"/>
          <w:b/>
          <w:bCs/>
          <w:color w:val="auto"/>
        </w:rPr>
      </w:pPr>
    </w:p>
    <w:p w14:paraId="0EB1B25F">
      <w:pPr>
        <w:pStyle w:val="2"/>
        <w:rPr>
          <w:rFonts w:ascii="宋体" w:hAnsi="宋体" w:cs="宋体"/>
          <w:b/>
          <w:bCs/>
          <w:color w:val="auto"/>
        </w:rPr>
      </w:pPr>
    </w:p>
    <w:p w14:paraId="52149424">
      <w:pPr>
        <w:pStyle w:val="2"/>
        <w:rPr>
          <w:rFonts w:ascii="宋体" w:hAnsi="宋体" w:cs="宋体"/>
          <w:b/>
          <w:bCs/>
          <w:color w:val="auto"/>
        </w:rPr>
      </w:pPr>
    </w:p>
    <w:p w14:paraId="7A841AAB">
      <w:pPr>
        <w:pStyle w:val="2"/>
        <w:rPr>
          <w:rFonts w:ascii="宋体" w:hAnsi="宋体" w:cs="宋体"/>
          <w:b/>
          <w:bCs/>
          <w:color w:val="auto"/>
        </w:rPr>
      </w:pPr>
    </w:p>
    <w:p w14:paraId="38FFFA0C">
      <w:pPr>
        <w:pStyle w:val="2"/>
        <w:rPr>
          <w:rFonts w:ascii="宋体" w:hAnsi="宋体" w:cs="宋体"/>
          <w:b/>
          <w:bCs/>
          <w:color w:val="auto"/>
        </w:rPr>
      </w:pPr>
    </w:p>
    <w:p w14:paraId="4F2875CD">
      <w:pPr>
        <w:pStyle w:val="2"/>
        <w:rPr>
          <w:rFonts w:ascii="宋体" w:hAnsi="宋体" w:cs="宋体"/>
          <w:b/>
          <w:bCs/>
          <w:color w:val="auto"/>
        </w:rPr>
      </w:pPr>
    </w:p>
    <w:p w14:paraId="5E3C1256">
      <w:pPr>
        <w:pStyle w:val="2"/>
        <w:rPr>
          <w:rFonts w:ascii="宋体" w:hAnsi="宋体" w:cs="宋体"/>
          <w:b/>
          <w:bCs/>
          <w:color w:val="auto"/>
        </w:rPr>
      </w:pPr>
    </w:p>
    <w:p w14:paraId="4198576A">
      <w:pPr>
        <w:pStyle w:val="2"/>
        <w:rPr>
          <w:rFonts w:ascii="宋体" w:hAnsi="宋体" w:cs="宋体"/>
          <w:b/>
          <w:bCs/>
          <w:color w:val="auto"/>
        </w:rPr>
      </w:pPr>
    </w:p>
    <w:p w14:paraId="0C5E661C">
      <w:pPr>
        <w:pStyle w:val="9"/>
        <w:rPr>
          <w:rFonts w:ascii="宋体" w:hAnsi="宋体" w:cs="宋体"/>
          <w:b/>
          <w:sz w:val="28"/>
          <w:szCs w:val="28"/>
        </w:rPr>
      </w:pPr>
    </w:p>
    <w:p w14:paraId="4287AEEE">
      <w:pPr>
        <w:widowControl/>
        <w:jc w:val="left"/>
        <w:rPr>
          <w:rFonts w:ascii="宋体" w:hAnsi="宋体" w:cs="宋体"/>
          <w:b/>
          <w:sz w:val="28"/>
          <w:szCs w:val="28"/>
        </w:rPr>
      </w:pPr>
      <w:r>
        <w:rPr>
          <w:rFonts w:hAnsi="宋体" w:cs="宋体"/>
          <w:b/>
          <w:sz w:val="28"/>
          <w:szCs w:val="28"/>
        </w:rPr>
        <w:br w:type="page"/>
      </w:r>
    </w:p>
    <w:p w14:paraId="470A8AEA">
      <w:pPr>
        <w:pStyle w:val="12"/>
        <w:numPr>
          <w:ilvl w:val="0"/>
          <w:numId w:val="14"/>
        </w:numPr>
        <w:spacing w:line="340" w:lineRule="exact"/>
        <w:ind w:firstLine="562" w:firstLineChars="200"/>
        <w:rPr>
          <w:rFonts w:hAnsi="宋体" w:cs="宋体"/>
          <w:b/>
          <w:sz w:val="28"/>
          <w:szCs w:val="28"/>
        </w:rPr>
      </w:pPr>
      <w:r>
        <w:rPr>
          <w:rFonts w:hint="eastAsia" w:hAnsi="宋体" w:cs="宋体"/>
          <w:b/>
          <w:sz w:val="28"/>
          <w:szCs w:val="28"/>
        </w:rPr>
        <w:t>项目实施人员一览表 （如有，请提供）；</w:t>
      </w:r>
    </w:p>
    <w:p w14:paraId="7A800820">
      <w:pPr>
        <w:rPr>
          <w:rFonts w:ascii="宋体" w:hAnsi="宋体" w:cs="宋体"/>
        </w:rPr>
      </w:pPr>
    </w:p>
    <w:p w14:paraId="1CC49AA7">
      <w:pPr>
        <w:pStyle w:val="12"/>
        <w:rPr>
          <w:rFonts w:hAnsi="宋体" w:cs="宋体"/>
          <w:b/>
          <w:bCs/>
          <w:sz w:val="32"/>
          <w:szCs w:val="32"/>
        </w:rPr>
      </w:pPr>
      <w:r>
        <w:rPr>
          <w:rFonts w:hint="eastAsia" w:hAnsi="宋体" w:cs="宋体"/>
          <w:b/>
          <w:bCs/>
          <w:sz w:val="32"/>
          <w:szCs w:val="32"/>
        </w:rPr>
        <w:t>附件：</w:t>
      </w:r>
    </w:p>
    <w:p w14:paraId="3D6DC937">
      <w:pPr>
        <w:pStyle w:val="12"/>
        <w:ind w:firstLine="472" w:firstLineChars="147"/>
        <w:jc w:val="center"/>
        <w:rPr>
          <w:rFonts w:hAnsi="宋体" w:cs="宋体"/>
          <w:b/>
          <w:bCs/>
          <w:sz w:val="32"/>
          <w:szCs w:val="32"/>
        </w:rPr>
      </w:pPr>
      <w:r>
        <w:rPr>
          <w:rFonts w:hint="eastAsia" w:hAnsi="宋体" w:cs="宋体"/>
          <w:b/>
          <w:bCs/>
          <w:sz w:val="32"/>
          <w:szCs w:val="32"/>
        </w:rPr>
        <w:t>项目实施人员一览表（格式）</w:t>
      </w:r>
    </w:p>
    <w:tbl>
      <w:tblPr>
        <w:tblStyle w:val="23"/>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14:paraId="7F50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14:paraId="37CD26F0">
            <w:pPr>
              <w:spacing w:line="400" w:lineRule="exact"/>
              <w:jc w:val="center"/>
              <w:rPr>
                <w:rFonts w:ascii="宋体" w:hAnsi="宋体" w:cs="宋体"/>
                <w:szCs w:val="21"/>
              </w:rPr>
            </w:pPr>
            <w:r>
              <w:rPr>
                <w:rFonts w:hint="eastAsia" w:ascii="宋体" w:hAnsi="宋体" w:cs="宋体"/>
                <w:szCs w:val="21"/>
              </w:rPr>
              <w:t>姓 名</w:t>
            </w:r>
          </w:p>
        </w:tc>
        <w:tc>
          <w:tcPr>
            <w:tcW w:w="1050" w:type="dxa"/>
            <w:vAlign w:val="center"/>
          </w:tcPr>
          <w:p w14:paraId="545B8480">
            <w:pPr>
              <w:spacing w:line="400" w:lineRule="exact"/>
              <w:jc w:val="center"/>
              <w:rPr>
                <w:rFonts w:ascii="宋体" w:hAnsi="宋体" w:cs="宋体"/>
                <w:szCs w:val="21"/>
              </w:rPr>
            </w:pPr>
            <w:r>
              <w:rPr>
                <w:rFonts w:hint="eastAsia" w:ascii="宋体" w:hAnsi="宋体" w:cs="宋体"/>
                <w:szCs w:val="21"/>
              </w:rPr>
              <w:t>职务</w:t>
            </w:r>
          </w:p>
        </w:tc>
        <w:tc>
          <w:tcPr>
            <w:tcW w:w="1665" w:type="dxa"/>
            <w:vAlign w:val="center"/>
          </w:tcPr>
          <w:p w14:paraId="55F70EFF">
            <w:pPr>
              <w:spacing w:line="400" w:lineRule="exact"/>
              <w:jc w:val="center"/>
              <w:rPr>
                <w:rFonts w:ascii="宋体" w:hAnsi="宋体" w:cs="宋体"/>
                <w:szCs w:val="21"/>
              </w:rPr>
            </w:pPr>
            <w:r>
              <w:rPr>
                <w:rFonts w:hint="eastAsia" w:ascii="宋体" w:hAnsi="宋体" w:cs="宋体"/>
                <w:szCs w:val="21"/>
              </w:rPr>
              <w:t>专业技术资格</w:t>
            </w:r>
          </w:p>
        </w:tc>
        <w:tc>
          <w:tcPr>
            <w:tcW w:w="1200" w:type="dxa"/>
            <w:vAlign w:val="center"/>
          </w:tcPr>
          <w:p w14:paraId="02072714">
            <w:pPr>
              <w:spacing w:line="400" w:lineRule="exact"/>
              <w:jc w:val="center"/>
              <w:rPr>
                <w:rFonts w:ascii="宋体" w:hAnsi="宋体" w:cs="宋体"/>
                <w:szCs w:val="21"/>
              </w:rPr>
            </w:pPr>
            <w:r>
              <w:rPr>
                <w:rFonts w:hint="eastAsia" w:ascii="宋体" w:hAnsi="宋体" w:cs="宋体"/>
                <w:szCs w:val="21"/>
              </w:rPr>
              <w:t>证书编号</w:t>
            </w:r>
          </w:p>
        </w:tc>
        <w:tc>
          <w:tcPr>
            <w:tcW w:w="2550" w:type="dxa"/>
            <w:vAlign w:val="center"/>
          </w:tcPr>
          <w:p w14:paraId="6772E6F5">
            <w:pPr>
              <w:spacing w:line="400" w:lineRule="exact"/>
              <w:rPr>
                <w:rFonts w:ascii="宋体" w:hAnsi="宋体" w:cs="宋体"/>
                <w:szCs w:val="21"/>
              </w:rPr>
            </w:pPr>
            <w:r>
              <w:rPr>
                <w:rFonts w:hint="eastAsia" w:ascii="宋体" w:hAnsi="宋体" w:cs="宋体"/>
                <w:szCs w:val="21"/>
              </w:rPr>
              <w:t>参加本单位工作时间</w:t>
            </w:r>
          </w:p>
        </w:tc>
        <w:tc>
          <w:tcPr>
            <w:tcW w:w="2610" w:type="dxa"/>
            <w:vAlign w:val="center"/>
          </w:tcPr>
          <w:p w14:paraId="3E1323CA">
            <w:pPr>
              <w:spacing w:line="400" w:lineRule="exact"/>
              <w:jc w:val="center"/>
              <w:rPr>
                <w:rFonts w:ascii="宋体" w:hAnsi="宋体" w:cs="宋体"/>
                <w:szCs w:val="21"/>
              </w:rPr>
            </w:pPr>
            <w:r>
              <w:rPr>
                <w:rFonts w:hint="eastAsia" w:ascii="宋体" w:hAnsi="宋体" w:cs="宋体"/>
                <w:szCs w:val="21"/>
              </w:rPr>
              <w:t>劳动合同编号</w:t>
            </w:r>
          </w:p>
        </w:tc>
      </w:tr>
      <w:tr w14:paraId="57BB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5D5F018C">
            <w:pPr>
              <w:spacing w:line="400" w:lineRule="exact"/>
              <w:rPr>
                <w:rFonts w:ascii="宋体" w:hAnsi="宋体" w:cs="宋体"/>
                <w:szCs w:val="21"/>
              </w:rPr>
            </w:pPr>
          </w:p>
        </w:tc>
        <w:tc>
          <w:tcPr>
            <w:tcW w:w="1050" w:type="dxa"/>
          </w:tcPr>
          <w:p w14:paraId="20CB3FCA">
            <w:pPr>
              <w:spacing w:line="400" w:lineRule="exact"/>
              <w:rPr>
                <w:rFonts w:ascii="宋体" w:hAnsi="宋体" w:cs="宋体"/>
                <w:szCs w:val="21"/>
              </w:rPr>
            </w:pPr>
          </w:p>
        </w:tc>
        <w:tc>
          <w:tcPr>
            <w:tcW w:w="1665" w:type="dxa"/>
          </w:tcPr>
          <w:p w14:paraId="305AD963">
            <w:pPr>
              <w:spacing w:line="400" w:lineRule="exact"/>
              <w:rPr>
                <w:rFonts w:ascii="宋体" w:hAnsi="宋体" w:cs="宋体"/>
                <w:szCs w:val="21"/>
              </w:rPr>
            </w:pPr>
          </w:p>
        </w:tc>
        <w:tc>
          <w:tcPr>
            <w:tcW w:w="1200" w:type="dxa"/>
          </w:tcPr>
          <w:p w14:paraId="28527CDD">
            <w:pPr>
              <w:spacing w:line="400" w:lineRule="exact"/>
              <w:rPr>
                <w:rFonts w:ascii="宋体" w:hAnsi="宋体" w:cs="宋体"/>
                <w:szCs w:val="21"/>
              </w:rPr>
            </w:pPr>
          </w:p>
        </w:tc>
        <w:tc>
          <w:tcPr>
            <w:tcW w:w="2550" w:type="dxa"/>
          </w:tcPr>
          <w:p w14:paraId="7F8CF236">
            <w:pPr>
              <w:spacing w:line="400" w:lineRule="exact"/>
              <w:rPr>
                <w:rFonts w:ascii="宋体" w:hAnsi="宋体" w:cs="宋体"/>
                <w:szCs w:val="21"/>
              </w:rPr>
            </w:pPr>
          </w:p>
        </w:tc>
        <w:tc>
          <w:tcPr>
            <w:tcW w:w="2610" w:type="dxa"/>
          </w:tcPr>
          <w:p w14:paraId="5D351034">
            <w:pPr>
              <w:spacing w:line="400" w:lineRule="exact"/>
              <w:rPr>
                <w:rFonts w:ascii="宋体" w:hAnsi="宋体" w:cs="宋体"/>
                <w:szCs w:val="21"/>
              </w:rPr>
            </w:pPr>
          </w:p>
        </w:tc>
      </w:tr>
      <w:tr w14:paraId="66AD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514B4FA2">
            <w:pPr>
              <w:spacing w:line="400" w:lineRule="exact"/>
              <w:rPr>
                <w:rFonts w:ascii="宋体" w:hAnsi="宋体" w:cs="宋体"/>
                <w:szCs w:val="21"/>
              </w:rPr>
            </w:pPr>
          </w:p>
        </w:tc>
        <w:tc>
          <w:tcPr>
            <w:tcW w:w="1050" w:type="dxa"/>
          </w:tcPr>
          <w:p w14:paraId="513AE586">
            <w:pPr>
              <w:spacing w:line="400" w:lineRule="exact"/>
              <w:rPr>
                <w:rFonts w:ascii="宋体" w:hAnsi="宋体" w:cs="宋体"/>
                <w:szCs w:val="21"/>
              </w:rPr>
            </w:pPr>
          </w:p>
        </w:tc>
        <w:tc>
          <w:tcPr>
            <w:tcW w:w="1665" w:type="dxa"/>
          </w:tcPr>
          <w:p w14:paraId="5B842031">
            <w:pPr>
              <w:spacing w:line="400" w:lineRule="exact"/>
              <w:rPr>
                <w:rFonts w:ascii="宋体" w:hAnsi="宋体" w:cs="宋体"/>
                <w:szCs w:val="21"/>
              </w:rPr>
            </w:pPr>
          </w:p>
        </w:tc>
        <w:tc>
          <w:tcPr>
            <w:tcW w:w="1200" w:type="dxa"/>
          </w:tcPr>
          <w:p w14:paraId="76D3E1D2">
            <w:pPr>
              <w:spacing w:line="400" w:lineRule="exact"/>
              <w:rPr>
                <w:rFonts w:ascii="宋体" w:hAnsi="宋体" w:cs="宋体"/>
                <w:szCs w:val="21"/>
              </w:rPr>
            </w:pPr>
          </w:p>
        </w:tc>
        <w:tc>
          <w:tcPr>
            <w:tcW w:w="2550" w:type="dxa"/>
          </w:tcPr>
          <w:p w14:paraId="398B3651">
            <w:pPr>
              <w:spacing w:line="400" w:lineRule="exact"/>
              <w:rPr>
                <w:rFonts w:ascii="宋体" w:hAnsi="宋体" w:cs="宋体"/>
                <w:szCs w:val="21"/>
              </w:rPr>
            </w:pPr>
          </w:p>
        </w:tc>
        <w:tc>
          <w:tcPr>
            <w:tcW w:w="2610" w:type="dxa"/>
          </w:tcPr>
          <w:p w14:paraId="2CAF932D">
            <w:pPr>
              <w:spacing w:line="400" w:lineRule="exact"/>
              <w:rPr>
                <w:rFonts w:ascii="宋体" w:hAnsi="宋体" w:cs="宋体"/>
                <w:szCs w:val="21"/>
              </w:rPr>
            </w:pPr>
          </w:p>
        </w:tc>
      </w:tr>
    </w:tbl>
    <w:p w14:paraId="375DFD13">
      <w:pPr>
        <w:spacing w:line="400" w:lineRule="exact"/>
        <w:rPr>
          <w:rFonts w:ascii="宋体" w:hAnsi="宋体" w:cs="宋体"/>
          <w:szCs w:val="21"/>
        </w:rPr>
      </w:pPr>
    </w:p>
    <w:p w14:paraId="2BC28E08">
      <w:pPr>
        <w:snapToGrid w:val="0"/>
        <w:spacing w:line="400" w:lineRule="exact"/>
        <w:ind w:firstLine="1890" w:firstLineChars="900"/>
        <w:rPr>
          <w:rFonts w:ascii="宋体" w:hAnsi="宋体" w:cs="宋体"/>
          <w:szCs w:val="21"/>
          <w:u w:val="single"/>
        </w:rPr>
      </w:pPr>
      <w:r>
        <w:rPr>
          <w:rFonts w:hint="eastAsia" w:ascii="宋体" w:hAnsi="宋体" w:cs="宋体"/>
          <w:szCs w:val="21"/>
        </w:rPr>
        <w:t>磋商供应商[公章(CA签章)，自然人签字或个人CA签章]：</w:t>
      </w:r>
      <w:r>
        <w:rPr>
          <w:rFonts w:hint="eastAsia" w:ascii="宋体" w:hAnsi="宋体" w:cs="宋体"/>
          <w:szCs w:val="21"/>
          <w:u w:val="single"/>
        </w:rPr>
        <w:t xml:space="preserve">                                     </w:t>
      </w:r>
    </w:p>
    <w:p w14:paraId="61CF915C">
      <w:pPr>
        <w:pStyle w:val="4"/>
        <w:rPr>
          <w:rFonts w:ascii="宋体" w:hAnsi="宋体" w:cs="宋体"/>
        </w:rPr>
      </w:pPr>
    </w:p>
    <w:p w14:paraId="7308690F">
      <w:pPr>
        <w:snapToGrid w:val="0"/>
        <w:spacing w:line="400" w:lineRule="exact"/>
        <w:ind w:firstLine="1680" w:firstLineChars="800"/>
        <w:rPr>
          <w:rFonts w:ascii="宋体" w:hAnsi="宋体" w:cs="宋体"/>
        </w:rPr>
      </w:pPr>
      <w:r>
        <w:rPr>
          <w:rFonts w:hint="eastAsia" w:ascii="宋体" w:hAnsi="宋体" w:cs="宋体"/>
        </w:rPr>
        <w:t xml:space="preserve"> 日          期：</w:t>
      </w:r>
      <w:r>
        <w:rPr>
          <w:rFonts w:hint="eastAsia" w:ascii="宋体" w:hAnsi="宋体" w:cs="宋体"/>
          <w:u w:val="single"/>
        </w:rPr>
        <w:t xml:space="preserve">                                                   </w:t>
      </w:r>
    </w:p>
    <w:p w14:paraId="24B36135">
      <w:pPr>
        <w:pStyle w:val="9"/>
        <w:rPr>
          <w:rFonts w:ascii="宋体" w:hAnsi="宋体" w:cs="宋体"/>
        </w:rPr>
      </w:pPr>
    </w:p>
    <w:p w14:paraId="10A4F25E">
      <w:pPr>
        <w:spacing w:line="360" w:lineRule="auto"/>
        <w:rPr>
          <w:rFonts w:ascii="宋体" w:hAnsi="宋体" w:cs="宋体"/>
          <w:u w:val="single"/>
        </w:rPr>
      </w:pPr>
      <w:r>
        <w:rPr>
          <w:rFonts w:hint="eastAsia" w:ascii="宋体" w:hAnsi="宋体" w:cs="宋体"/>
          <w:b/>
          <w:bCs/>
          <w:sz w:val="24"/>
        </w:rPr>
        <w:t>注：供应商根据自身情况结合本项目自行制定</w:t>
      </w:r>
    </w:p>
    <w:p w14:paraId="22F2B7E6">
      <w:pPr>
        <w:pStyle w:val="12"/>
        <w:spacing w:line="340" w:lineRule="exact"/>
        <w:rPr>
          <w:rFonts w:hAnsi="宋体" w:cs="宋体"/>
          <w:b/>
          <w:sz w:val="28"/>
          <w:szCs w:val="28"/>
        </w:rPr>
      </w:pPr>
    </w:p>
    <w:p w14:paraId="5485AB6D">
      <w:pPr>
        <w:pStyle w:val="12"/>
        <w:spacing w:line="340" w:lineRule="exact"/>
        <w:rPr>
          <w:rFonts w:hAnsi="宋体" w:cs="宋体"/>
          <w:b/>
          <w:sz w:val="28"/>
          <w:szCs w:val="28"/>
        </w:rPr>
      </w:pPr>
      <w:r>
        <w:rPr>
          <w:rFonts w:hint="eastAsia" w:hAnsi="宋体" w:cs="宋体"/>
          <w:b/>
          <w:sz w:val="28"/>
          <w:szCs w:val="28"/>
        </w:rPr>
        <w:t>2.“采购需求”需提供的有效证明文件（如有，请提供）；</w:t>
      </w:r>
    </w:p>
    <w:p w14:paraId="270E4945">
      <w:pPr>
        <w:pStyle w:val="9"/>
        <w:rPr>
          <w:rFonts w:ascii="宋体" w:hAnsi="宋体" w:cs="宋体"/>
          <w:b/>
        </w:rPr>
      </w:pPr>
    </w:p>
    <w:p w14:paraId="6A1D9948">
      <w:pPr>
        <w:pStyle w:val="12"/>
        <w:spacing w:line="340" w:lineRule="exact"/>
        <w:rPr>
          <w:rFonts w:hAnsi="宋体" w:cs="宋体"/>
          <w:b/>
          <w:sz w:val="28"/>
          <w:szCs w:val="28"/>
        </w:rPr>
      </w:pPr>
      <w:bookmarkStart w:id="222" w:name="_Toc3052"/>
      <w:bookmarkStart w:id="223" w:name="_Toc497927090"/>
      <w:bookmarkStart w:id="224" w:name="_Toc10161"/>
    </w:p>
    <w:p w14:paraId="0C8E485C">
      <w:pPr>
        <w:pStyle w:val="12"/>
        <w:spacing w:line="340" w:lineRule="exact"/>
        <w:rPr>
          <w:rFonts w:hAnsi="宋体" w:cs="宋体"/>
          <w:b/>
          <w:sz w:val="28"/>
          <w:szCs w:val="28"/>
        </w:rPr>
      </w:pPr>
      <w:r>
        <w:rPr>
          <w:rFonts w:hint="eastAsia" w:hAnsi="宋体" w:cs="宋体"/>
          <w:b/>
          <w:sz w:val="28"/>
          <w:szCs w:val="28"/>
        </w:rPr>
        <w:t>3.供应商20</w:t>
      </w:r>
      <w:r>
        <w:rPr>
          <w:rFonts w:hAnsi="宋体" w:cs="宋体"/>
          <w:b/>
          <w:sz w:val="28"/>
          <w:szCs w:val="28"/>
        </w:rPr>
        <w:t>22</w:t>
      </w:r>
      <w:r>
        <w:rPr>
          <w:rFonts w:hint="eastAsia" w:hAnsi="宋体" w:cs="宋体"/>
          <w:b/>
          <w:sz w:val="28"/>
          <w:szCs w:val="28"/>
        </w:rPr>
        <w:t>年1月1日以来具有同类项目业绩相关证明材料（无不良记录，以中标、成交通知书或签订的合同为准，并能清晰反映项目的名称、采购内容、采购金额、采购时间）（如有，请提供）；</w:t>
      </w:r>
      <w:bookmarkEnd w:id="222"/>
      <w:bookmarkEnd w:id="223"/>
      <w:bookmarkEnd w:id="224"/>
    </w:p>
    <w:p w14:paraId="497AA5CC">
      <w:pPr>
        <w:pStyle w:val="12"/>
        <w:spacing w:line="340" w:lineRule="exact"/>
        <w:rPr>
          <w:rFonts w:hAnsi="宋体" w:cs="宋体"/>
          <w:b/>
          <w:sz w:val="28"/>
          <w:szCs w:val="28"/>
        </w:rPr>
      </w:pPr>
    </w:p>
    <w:p w14:paraId="01375BAE">
      <w:pPr>
        <w:pStyle w:val="12"/>
        <w:spacing w:line="340" w:lineRule="exact"/>
        <w:rPr>
          <w:rFonts w:hAnsi="宋体" w:cs="宋体"/>
          <w:b/>
          <w:sz w:val="28"/>
          <w:szCs w:val="28"/>
        </w:rPr>
      </w:pPr>
    </w:p>
    <w:p w14:paraId="43C4CA26">
      <w:pPr>
        <w:pStyle w:val="12"/>
        <w:spacing w:line="340" w:lineRule="exact"/>
        <w:rPr>
          <w:rFonts w:hAnsi="宋体" w:cs="宋体"/>
          <w:b/>
          <w:sz w:val="28"/>
          <w:szCs w:val="28"/>
        </w:rPr>
      </w:pPr>
    </w:p>
    <w:p w14:paraId="6F8BE686">
      <w:pPr>
        <w:pStyle w:val="12"/>
        <w:spacing w:line="340" w:lineRule="exact"/>
        <w:rPr>
          <w:rFonts w:hAnsi="宋体" w:cs="宋体"/>
          <w:b/>
          <w:sz w:val="28"/>
          <w:szCs w:val="28"/>
        </w:rPr>
      </w:pPr>
    </w:p>
    <w:p w14:paraId="65179C5C">
      <w:pPr>
        <w:pStyle w:val="12"/>
        <w:spacing w:line="340" w:lineRule="exact"/>
        <w:rPr>
          <w:rFonts w:hAnsi="宋体" w:cs="宋体"/>
          <w:b/>
          <w:sz w:val="28"/>
          <w:szCs w:val="28"/>
        </w:rPr>
      </w:pPr>
    </w:p>
    <w:p w14:paraId="55D67506">
      <w:pPr>
        <w:pStyle w:val="12"/>
        <w:spacing w:line="340" w:lineRule="exact"/>
        <w:rPr>
          <w:rFonts w:hAnsi="宋体" w:cs="宋体"/>
          <w:b/>
          <w:sz w:val="28"/>
          <w:szCs w:val="28"/>
        </w:rPr>
      </w:pPr>
    </w:p>
    <w:p w14:paraId="1F544DD5">
      <w:pPr>
        <w:pStyle w:val="2"/>
        <w:rPr>
          <w:rFonts w:ascii="宋体" w:hAnsi="宋体" w:cs="宋体"/>
          <w:b/>
          <w:color w:val="auto"/>
          <w:sz w:val="28"/>
          <w:szCs w:val="28"/>
        </w:rPr>
      </w:pPr>
    </w:p>
    <w:p w14:paraId="003AB861">
      <w:pPr>
        <w:pStyle w:val="12"/>
        <w:spacing w:line="340" w:lineRule="exact"/>
        <w:rPr>
          <w:rFonts w:hAnsi="宋体" w:cs="宋体"/>
        </w:rPr>
      </w:pPr>
      <w:r>
        <w:rPr>
          <w:rFonts w:hint="eastAsia" w:hAnsi="宋体" w:cs="宋体"/>
          <w:b/>
          <w:sz w:val="28"/>
          <w:szCs w:val="28"/>
        </w:rPr>
        <w:t xml:space="preserve">4.供应商可结合本项目的评审办法视自身情况自行提交其它相关证明材料。           </w:t>
      </w:r>
      <w:r>
        <w:rPr>
          <w:rFonts w:hint="eastAsia" w:hAnsi="宋体" w:cs="宋体"/>
          <w:sz w:val="28"/>
          <w:szCs w:val="28"/>
        </w:rPr>
        <w:t xml:space="preserve"> </w:t>
      </w:r>
      <w:r>
        <w:rPr>
          <w:rFonts w:hint="eastAsia" w:hAnsi="宋体" w:cs="宋体"/>
        </w:rPr>
        <w:t xml:space="preserve">      </w:t>
      </w:r>
    </w:p>
    <w:p w14:paraId="67C0061A">
      <w:pPr>
        <w:rPr>
          <w:rFonts w:ascii="宋体" w:hAnsi="宋体" w:cs="宋体"/>
        </w:rPr>
      </w:pPr>
    </w:p>
    <w:sectPr>
      <w:pgSz w:w="11906" w:h="16838"/>
      <w:pgMar w:top="1440" w:right="935" w:bottom="1440" w:left="77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5CA57">
    <w:pPr>
      <w:pStyle w:val="14"/>
      <w:pBdr>
        <w:bottom w:val="single" w:color="auto" w:sz="4" w:space="0"/>
      </w:pBdr>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7390370">
                <w:pPr>
                  <w:pStyle w:val="14"/>
                </w:pPr>
                <w:r>
                  <w:fldChar w:fldCharType="begin"/>
                </w:r>
                <w:r>
                  <w:instrText xml:space="preserve"> PAGE  \* MERGEFORMAT </w:instrText>
                </w:r>
                <w:r>
                  <w:fldChar w:fldCharType="separate"/>
                </w:r>
                <w:r>
                  <w:t>- 1 -</w:t>
                </w:r>
                <w:r>
                  <w:fldChar w:fldCharType="end"/>
                </w:r>
              </w:p>
            </w:txbxContent>
          </v:textbox>
        </v:shape>
      </w:pict>
    </w:r>
  </w:p>
  <w:p w14:paraId="33B07001">
    <w:pPr>
      <w:pStyle w:val="14"/>
    </w:pPr>
    <w:r>
      <w:rPr>
        <w:rFonts w:hint="eastAsia"/>
      </w:rPr>
      <w:t>广西安臻工程管理有限公司                                                                   竞争性磋商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0F26">
    <w:pPr>
      <w:pStyle w:val="14"/>
      <w:pBdr>
        <w:bottom w:val="single" w:color="auto" w:sz="4" w:space="0"/>
      </w:pBdr>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578CE883">
                <w:pPr>
                  <w:pStyle w:val="14"/>
                </w:pPr>
                <w:r>
                  <w:fldChar w:fldCharType="begin"/>
                </w:r>
                <w:r>
                  <w:instrText xml:space="preserve"> PAGE  \* MERGEFORMAT </w:instrText>
                </w:r>
                <w:r>
                  <w:fldChar w:fldCharType="separate"/>
                </w:r>
                <w:r>
                  <w:t>- 2 -</w:t>
                </w:r>
                <w:r>
                  <w:fldChar w:fldCharType="end"/>
                </w:r>
              </w:p>
            </w:txbxContent>
          </v:textbox>
        </v:shape>
      </w:pict>
    </w:r>
  </w:p>
  <w:p w14:paraId="636E03E3">
    <w:pPr>
      <w:pStyle w:val="14"/>
    </w:pPr>
    <w:r>
      <w:rPr>
        <w:rFonts w:hint="eastAsia"/>
      </w:rPr>
      <w:t>广西安臻工程管理有限公司                                                                     竞争性磋商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07A62">
    <w:pPr>
      <w:pStyle w:val="14"/>
      <w:pBdr>
        <w:bottom w:val="single" w:color="auto" w:sz="4" w:space="0"/>
      </w:pBdr>
      <w:tabs>
        <w:tab w:val="clear" w:pos="4153"/>
      </w:tabs>
      <w:jc w:val="center"/>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26525669">
                <w:pPr>
                  <w:pStyle w:val="14"/>
                </w:pPr>
                <w:r>
                  <w:fldChar w:fldCharType="begin"/>
                </w:r>
                <w:r>
                  <w:instrText xml:space="preserve"> PAGE  \* MERGEFORMAT </w:instrText>
                </w:r>
                <w:r>
                  <w:fldChar w:fldCharType="separate"/>
                </w:r>
                <w:r>
                  <w:t>- 59 -</w:t>
                </w:r>
                <w:r>
                  <w:fldChar w:fldCharType="end"/>
                </w:r>
              </w:p>
            </w:txbxContent>
          </v:textbox>
        </v:shape>
      </w:pict>
    </w:r>
  </w:p>
  <w:p w14:paraId="7653EAF3">
    <w:pPr>
      <w:pStyle w:val="14"/>
    </w:pPr>
    <w:r>
      <w:rPr>
        <w:rFonts w:hint="eastAsia"/>
      </w:rPr>
      <w:t>广西安臻工程管理有限公司                                                                   竞争性磋商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E462C">
    <w:pPr>
      <w:pStyle w:val="15"/>
      <w:jc w:val="left"/>
    </w:pPr>
    <w:r>
      <w:rPr>
        <w:rFonts w:hint="eastAsia" w:ascii="宋体" w:hAnsi="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D41C5">
    <w:pPr>
      <w:pStyle w:val="15"/>
      <w:jc w:val="left"/>
    </w:pPr>
    <w:r>
      <w:rPr>
        <w:rFonts w:hint="eastAsia" w:ascii="宋体" w:hAnsi="宋体" w:cs="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D5501"/>
    <w:multiLevelType w:val="singleLevel"/>
    <w:tmpl w:val="8C9D5501"/>
    <w:lvl w:ilvl="0" w:tentative="0">
      <w:start w:val="2"/>
      <w:numFmt w:val="chineseCounting"/>
      <w:suff w:val="nothing"/>
      <w:lvlText w:val="%1、"/>
      <w:lvlJc w:val="left"/>
      <w:rPr>
        <w:rFonts w:hint="eastAsia"/>
      </w:rPr>
    </w:lvl>
  </w:abstractNum>
  <w:abstractNum w:abstractNumId="1">
    <w:nsid w:val="BB4CF58C"/>
    <w:multiLevelType w:val="singleLevel"/>
    <w:tmpl w:val="BB4CF58C"/>
    <w:lvl w:ilvl="0" w:tentative="0">
      <w:start w:val="2"/>
      <w:numFmt w:val="decimal"/>
      <w:suff w:val="nothing"/>
      <w:lvlText w:val="（%1）"/>
      <w:lvlJc w:val="left"/>
    </w:lvl>
  </w:abstractNum>
  <w:abstractNum w:abstractNumId="2">
    <w:nsid w:val="D3D4FF67"/>
    <w:multiLevelType w:val="singleLevel"/>
    <w:tmpl w:val="D3D4FF67"/>
    <w:lvl w:ilvl="0" w:tentative="0">
      <w:start w:val="1"/>
      <w:numFmt w:val="decimal"/>
      <w:suff w:val="nothing"/>
      <w:lvlText w:val="%1、"/>
      <w:lvlJc w:val="left"/>
    </w:lvl>
  </w:abstractNum>
  <w:abstractNum w:abstractNumId="3">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4">
    <w:nsid w:val="1FD97BE0"/>
    <w:multiLevelType w:val="singleLevel"/>
    <w:tmpl w:val="1FD97BE0"/>
    <w:lvl w:ilvl="0" w:tentative="0">
      <w:start w:val="1"/>
      <w:numFmt w:val="chineseCounting"/>
      <w:suff w:val="nothing"/>
      <w:lvlText w:val="（%1）"/>
      <w:lvlJc w:val="left"/>
      <w:rPr>
        <w:rFonts w:hint="eastAsia"/>
      </w:rPr>
    </w:lvl>
  </w:abstractNum>
  <w:abstractNum w:abstractNumId="5">
    <w:nsid w:val="246C8540"/>
    <w:multiLevelType w:val="singleLevel"/>
    <w:tmpl w:val="246C8540"/>
    <w:lvl w:ilvl="0" w:tentative="0">
      <w:start w:val="2"/>
      <w:numFmt w:val="chineseCounting"/>
      <w:suff w:val="nothing"/>
      <w:lvlText w:val="%1、"/>
      <w:lvlJc w:val="left"/>
      <w:rPr>
        <w:rFonts w:hint="eastAsia"/>
      </w:rPr>
    </w:lvl>
  </w:abstractNum>
  <w:abstractNum w:abstractNumId="6">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2EBEB4BA"/>
    <w:multiLevelType w:val="singleLevel"/>
    <w:tmpl w:val="2EBEB4BA"/>
    <w:lvl w:ilvl="0" w:tentative="0">
      <w:start w:val="26"/>
      <w:numFmt w:val="decimal"/>
      <w:suff w:val="space"/>
      <w:lvlText w:val="%1."/>
      <w:lvlJc w:val="left"/>
    </w:lvl>
  </w:abstractNum>
  <w:abstractNum w:abstractNumId="8">
    <w:nsid w:val="352F466E"/>
    <w:multiLevelType w:val="singleLevel"/>
    <w:tmpl w:val="352F466E"/>
    <w:lvl w:ilvl="0" w:tentative="0">
      <w:start w:val="7"/>
      <w:numFmt w:val="chineseCounting"/>
      <w:suff w:val="nothing"/>
      <w:lvlText w:val="%1、"/>
      <w:lvlJc w:val="left"/>
      <w:rPr>
        <w:rFonts w:hint="eastAsia"/>
      </w:rPr>
    </w:lvl>
  </w:abstractNum>
  <w:abstractNum w:abstractNumId="9">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abstractNum w:abstractNumId="10">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6AD43707"/>
    <w:multiLevelType w:val="singleLevel"/>
    <w:tmpl w:val="6AD43707"/>
    <w:lvl w:ilvl="0" w:tentative="0">
      <w:start w:val="5"/>
      <w:numFmt w:val="decimal"/>
      <w:suff w:val="space"/>
      <w:lvlText w:val="%1."/>
      <w:lvlJc w:val="left"/>
    </w:lvl>
  </w:abstractNum>
  <w:abstractNum w:abstractNumId="12">
    <w:nsid w:val="7771A429"/>
    <w:multiLevelType w:val="singleLevel"/>
    <w:tmpl w:val="7771A429"/>
    <w:lvl w:ilvl="0" w:tentative="0">
      <w:start w:val="2"/>
      <w:numFmt w:val="chineseCounting"/>
      <w:suff w:val="nothing"/>
      <w:lvlText w:val="%1、"/>
      <w:lvlJc w:val="left"/>
      <w:rPr>
        <w:rFonts w:hint="eastAsia"/>
      </w:rPr>
    </w:lvl>
  </w:abstractNum>
  <w:abstractNum w:abstractNumId="13">
    <w:nsid w:val="7D48D8E6"/>
    <w:multiLevelType w:val="singleLevel"/>
    <w:tmpl w:val="7D48D8E6"/>
    <w:lvl w:ilvl="0" w:tentative="0">
      <w:start w:val="1"/>
      <w:numFmt w:val="decimal"/>
      <w:lvlText w:val="%1."/>
      <w:lvlJc w:val="left"/>
      <w:pPr>
        <w:ind w:left="425" w:hanging="425"/>
      </w:pPr>
      <w:rPr>
        <w:rFonts w:hint="default"/>
      </w:rPr>
    </w:lvl>
  </w:abstractNum>
  <w:num w:numId="1">
    <w:abstractNumId w:val="3"/>
  </w:num>
  <w:num w:numId="2">
    <w:abstractNumId w:val="11"/>
  </w:num>
  <w:num w:numId="3">
    <w:abstractNumId w:val="1"/>
  </w:num>
  <w:num w:numId="4">
    <w:abstractNumId w:val="7"/>
  </w:num>
  <w:num w:numId="5">
    <w:abstractNumId w:val="12"/>
  </w:num>
  <w:num w:numId="6">
    <w:abstractNumId w:val="8"/>
  </w:num>
  <w:num w:numId="7">
    <w:abstractNumId w:val="5"/>
  </w:num>
  <w:num w:numId="8">
    <w:abstractNumId w:val="2"/>
  </w:num>
  <w:num w:numId="9">
    <w:abstractNumId w:val="10"/>
    <w:lvlOverride w:ilvl="0">
      <w:startOverride w:val="2"/>
    </w:lvlOverride>
  </w:num>
  <w:num w:numId="10">
    <w:abstractNumId w:val="6"/>
    <w:lvlOverride w:ilvl="0">
      <w:startOverride w:val="2"/>
    </w:lvlOverride>
  </w:num>
  <w:num w:numId="11">
    <w:abstractNumId w:val="0"/>
  </w:num>
  <w:num w:numId="12">
    <w:abstractNumId w:val="4"/>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U4YjdlODAwM2I5ZGM3MjMyOGI5Njg5OGNhOTU3YzAifQ=="/>
  </w:docVars>
  <w:rsids>
    <w:rsidRoot w:val="003F48A7"/>
    <w:rsid w:val="00023BB7"/>
    <w:rsid w:val="00046F39"/>
    <w:rsid w:val="00072A69"/>
    <w:rsid w:val="000A7643"/>
    <w:rsid w:val="000B6928"/>
    <w:rsid w:val="000E5348"/>
    <w:rsid w:val="000E6CED"/>
    <w:rsid w:val="001702A3"/>
    <w:rsid w:val="00244C95"/>
    <w:rsid w:val="00245E49"/>
    <w:rsid w:val="00292840"/>
    <w:rsid w:val="002A29CE"/>
    <w:rsid w:val="002F3364"/>
    <w:rsid w:val="002F6A8B"/>
    <w:rsid w:val="002F7AA1"/>
    <w:rsid w:val="00371531"/>
    <w:rsid w:val="003A1EB9"/>
    <w:rsid w:val="003B336E"/>
    <w:rsid w:val="003C240B"/>
    <w:rsid w:val="003E3C92"/>
    <w:rsid w:val="003F48A7"/>
    <w:rsid w:val="00431DAD"/>
    <w:rsid w:val="00451E30"/>
    <w:rsid w:val="004538CF"/>
    <w:rsid w:val="00453EBB"/>
    <w:rsid w:val="00466024"/>
    <w:rsid w:val="004E098B"/>
    <w:rsid w:val="00503FC5"/>
    <w:rsid w:val="00506675"/>
    <w:rsid w:val="005120BE"/>
    <w:rsid w:val="00536E2D"/>
    <w:rsid w:val="00547CA6"/>
    <w:rsid w:val="00563FEB"/>
    <w:rsid w:val="00571C1F"/>
    <w:rsid w:val="00641048"/>
    <w:rsid w:val="00690B8C"/>
    <w:rsid w:val="00693A09"/>
    <w:rsid w:val="006D490D"/>
    <w:rsid w:val="006F0A36"/>
    <w:rsid w:val="006F52D5"/>
    <w:rsid w:val="007660B1"/>
    <w:rsid w:val="00786D8A"/>
    <w:rsid w:val="00824EE9"/>
    <w:rsid w:val="00891DBA"/>
    <w:rsid w:val="0091275D"/>
    <w:rsid w:val="0094276D"/>
    <w:rsid w:val="00951F76"/>
    <w:rsid w:val="00954587"/>
    <w:rsid w:val="0097338F"/>
    <w:rsid w:val="00984D1D"/>
    <w:rsid w:val="00A10CD7"/>
    <w:rsid w:val="00A467A6"/>
    <w:rsid w:val="00A57DA5"/>
    <w:rsid w:val="00A96770"/>
    <w:rsid w:val="00AC6200"/>
    <w:rsid w:val="00B10954"/>
    <w:rsid w:val="00B70AE2"/>
    <w:rsid w:val="00BC5F17"/>
    <w:rsid w:val="00BE539C"/>
    <w:rsid w:val="00C0042E"/>
    <w:rsid w:val="00C333F1"/>
    <w:rsid w:val="00C934B4"/>
    <w:rsid w:val="00CA0711"/>
    <w:rsid w:val="00CA350F"/>
    <w:rsid w:val="00CD3890"/>
    <w:rsid w:val="00CF3162"/>
    <w:rsid w:val="00D454CF"/>
    <w:rsid w:val="00D55139"/>
    <w:rsid w:val="00D61899"/>
    <w:rsid w:val="00D761B6"/>
    <w:rsid w:val="00D82912"/>
    <w:rsid w:val="00D93E85"/>
    <w:rsid w:val="00DB595D"/>
    <w:rsid w:val="00DF4A82"/>
    <w:rsid w:val="00E340BD"/>
    <w:rsid w:val="00E3498A"/>
    <w:rsid w:val="00E63E98"/>
    <w:rsid w:val="00EA63B0"/>
    <w:rsid w:val="00EE604A"/>
    <w:rsid w:val="00F24F21"/>
    <w:rsid w:val="00F34182"/>
    <w:rsid w:val="00F56105"/>
    <w:rsid w:val="00F60F72"/>
    <w:rsid w:val="00F867CD"/>
    <w:rsid w:val="00F9514D"/>
    <w:rsid w:val="00FA13E2"/>
    <w:rsid w:val="00FB2AD9"/>
    <w:rsid w:val="00FC63D8"/>
    <w:rsid w:val="00FD1FF4"/>
    <w:rsid w:val="0100033D"/>
    <w:rsid w:val="02B95509"/>
    <w:rsid w:val="031406F5"/>
    <w:rsid w:val="036C7E00"/>
    <w:rsid w:val="05075F25"/>
    <w:rsid w:val="051031AE"/>
    <w:rsid w:val="05E82D27"/>
    <w:rsid w:val="060C5A1F"/>
    <w:rsid w:val="065000D1"/>
    <w:rsid w:val="065B15E4"/>
    <w:rsid w:val="06AE1DE6"/>
    <w:rsid w:val="076C2901"/>
    <w:rsid w:val="079052BE"/>
    <w:rsid w:val="083F7130"/>
    <w:rsid w:val="0AA70314"/>
    <w:rsid w:val="0B523DCB"/>
    <w:rsid w:val="0B6A2EE0"/>
    <w:rsid w:val="0C825799"/>
    <w:rsid w:val="0C9C22B2"/>
    <w:rsid w:val="0EBA28D2"/>
    <w:rsid w:val="0EEF64D9"/>
    <w:rsid w:val="0F152394"/>
    <w:rsid w:val="0F2549CB"/>
    <w:rsid w:val="0F6B6C1D"/>
    <w:rsid w:val="110660A6"/>
    <w:rsid w:val="125C726E"/>
    <w:rsid w:val="13916645"/>
    <w:rsid w:val="1506135C"/>
    <w:rsid w:val="17CD0A81"/>
    <w:rsid w:val="184F13F4"/>
    <w:rsid w:val="19516B4A"/>
    <w:rsid w:val="1A41745E"/>
    <w:rsid w:val="1A606D71"/>
    <w:rsid w:val="1ABB044E"/>
    <w:rsid w:val="1C08226C"/>
    <w:rsid w:val="1C624D13"/>
    <w:rsid w:val="1D1207F7"/>
    <w:rsid w:val="1FE74446"/>
    <w:rsid w:val="211F672C"/>
    <w:rsid w:val="225455FE"/>
    <w:rsid w:val="25212425"/>
    <w:rsid w:val="26FB3479"/>
    <w:rsid w:val="28534CC7"/>
    <w:rsid w:val="28C8445F"/>
    <w:rsid w:val="290B393F"/>
    <w:rsid w:val="2B336409"/>
    <w:rsid w:val="2B352B08"/>
    <w:rsid w:val="2B50775C"/>
    <w:rsid w:val="2B512E32"/>
    <w:rsid w:val="2C730BFF"/>
    <w:rsid w:val="2D2B52B3"/>
    <w:rsid w:val="2F1958D0"/>
    <w:rsid w:val="2FB344DB"/>
    <w:rsid w:val="31BF7BF7"/>
    <w:rsid w:val="33196C24"/>
    <w:rsid w:val="337A3E72"/>
    <w:rsid w:val="35033E7C"/>
    <w:rsid w:val="369E0EF6"/>
    <w:rsid w:val="375E31F0"/>
    <w:rsid w:val="37F250A8"/>
    <w:rsid w:val="389153B5"/>
    <w:rsid w:val="38BB18EB"/>
    <w:rsid w:val="39B27192"/>
    <w:rsid w:val="3B721655"/>
    <w:rsid w:val="3BC91BD6"/>
    <w:rsid w:val="3BE41159"/>
    <w:rsid w:val="3E6E4482"/>
    <w:rsid w:val="41166258"/>
    <w:rsid w:val="41A97D30"/>
    <w:rsid w:val="427A0DB5"/>
    <w:rsid w:val="429F0D52"/>
    <w:rsid w:val="43727F57"/>
    <w:rsid w:val="47226FD9"/>
    <w:rsid w:val="4822043E"/>
    <w:rsid w:val="483F0499"/>
    <w:rsid w:val="48557468"/>
    <w:rsid w:val="492B03C7"/>
    <w:rsid w:val="4A615E38"/>
    <w:rsid w:val="4B6052BB"/>
    <w:rsid w:val="4D085C18"/>
    <w:rsid w:val="4D370092"/>
    <w:rsid w:val="4DF07841"/>
    <w:rsid w:val="4E3F5A59"/>
    <w:rsid w:val="4E5C54C6"/>
    <w:rsid w:val="4E784900"/>
    <w:rsid w:val="4E8C1184"/>
    <w:rsid w:val="500B71A4"/>
    <w:rsid w:val="50A2103A"/>
    <w:rsid w:val="50DD43F7"/>
    <w:rsid w:val="51456CD1"/>
    <w:rsid w:val="520C4DC4"/>
    <w:rsid w:val="52B7266A"/>
    <w:rsid w:val="53DE45D6"/>
    <w:rsid w:val="54356616"/>
    <w:rsid w:val="54500417"/>
    <w:rsid w:val="54EA1A57"/>
    <w:rsid w:val="552A1E7A"/>
    <w:rsid w:val="558A20A7"/>
    <w:rsid w:val="55DB7536"/>
    <w:rsid w:val="55F71E06"/>
    <w:rsid w:val="567F7FA4"/>
    <w:rsid w:val="57232423"/>
    <w:rsid w:val="575E5568"/>
    <w:rsid w:val="58201313"/>
    <w:rsid w:val="58DB5A41"/>
    <w:rsid w:val="59431CCD"/>
    <w:rsid w:val="598F630D"/>
    <w:rsid w:val="5A643739"/>
    <w:rsid w:val="5BA37FCD"/>
    <w:rsid w:val="5D056076"/>
    <w:rsid w:val="5E847F27"/>
    <w:rsid w:val="5E985640"/>
    <w:rsid w:val="5EB23D46"/>
    <w:rsid w:val="61680316"/>
    <w:rsid w:val="622824E7"/>
    <w:rsid w:val="629E6C38"/>
    <w:rsid w:val="63CA40E4"/>
    <w:rsid w:val="657123B4"/>
    <w:rsid w:val="65AE1BAE"/>
    <w:rsid w:val="67386876"/>
    <w:rsid w:val="67EB1AD0"/>
    <w:rsid w:val="681B125A"/>
    <w:rsid w:val="690A0C77"/>
    <w:rsid w:val="69960D5D"/>
    <w:rsid w:val="6BB3513A"/>
    <w:rsid w:val="6C9C7F3A"/>
    <w:rsid w:val="6CE35466"/>
    <w:rsid w:val="6E9F12D8"/>
    <w:rsid w:val="7026759E"/>
    <w:rsid w:val="70D56AB2"/>
    <w:rsid w:val="71924FC1"/>
    <w:rsid w:val="719B6B25"/>
    <w:rsid w:val="72AE7DEA"/>
    <w:rsid w:val="73994D87"/>
    <w:rsid w:val="73F05BE5"/>
    <w:rsid w:val="75E26C5D"/>
    <w:rsid w:val="75E5251D"/>
    <w:rsid w:val="75FF0362"/>
    <w:rsid w:val="7645008C"/>
    <w:rsid w:val="77D31AA6"/>
    <w:rsid w:val="77DD0911"/>
    <w:rsid w:val="7C3E7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qFormat="1" w:uiPriority="99"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29"/>
    <w:qFormat/>
    <w:uiPriority w:val="0"/>
    <w:pPr>
      <w:keepNext/>
      <w:keepLines/>
      <w:outlineLvl w:val="2"/>
    </w:pPr>
    <w:rPr>
      <w:rFonts w:ascii="Calibri" w:hAnsi="Calibri"/>
      <w:b/>
      <w:sz w:val="32"/>
    </w:rPr>
  </w:style>
  <w:style w:type="paragraph" w:styleId="6">
    <w:name w:val="heading 4"/>
    <w:basedOn w:val="1"/>
    <w:next w:val="1"/>
    <w:qFormat/>
    <w:uiPriority w:val="0"/>
    <w:pPr>
      <w:keepNext/>
      <w:spacing w:before="240" w:after="60"/>
      <w:outlineLvl w:val="3"/>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index 8"/>
    <w:basedOn w:val="1"/>
    <w:next w:val="1"/>
    <w:qFormat/>
    <w:uiPriority w:val="0"/>
    <w:pPr>
      <w:ind w:left="2940"/>
    </w:pPr>
  </w:style>
  <w:style w:type="paragraph" w:styleId="8">
    <w:name w:val="annotation text"/>
    <w:basedOn w:val="1"/>
    <w:link w:val="35"/>
    <w:qFormat/>
    <w:uiPriority w:val="0"/>
    <w:pPr>
      <w:jc w:val="left"/>
    </w:pPr>
  </w:style>
  <w:style w:type="paragraph" w:styleId="9">
    <w:name w:val="Body Text"/>
    <w:basedOn w:val="1"/>
    <w:next w:val="1"/>
    <w:link w:val="39"/>
    <w:qFormat/>
    <w:uiPriority w:val="99"/>
  </w:style>
  <w:style w:type="paragraph" w:styleId="10">
    <w:name w:val="Body Text Indent"/>
    <w:basedOn w:val="1"/>
    <w:qFormat/>
    <w:uiPriority w:val="0"/>
    <w:pPr>
      <w:spacing w:after="120"/>
      <w:ind w:left="420" w:leftChars="200"/>
    </w:pPr>
  </w:style>
  <w:style w:type="paragraph" w:styleId="11">
    <w:name w:val="toc 3"/>
    <w:basedOn w:val="1"/>
    <w:next w:val="1"/>
    <w:unhideWhenUsed/>
    <w:qFormat/>
    <w:uiPriority w:val="39"/>
    <w:pPr>
      <w:ind w:left="840" w:leftChars="400"/>
    </w:pPr>
  </w:style>
  <w:style w:type="paragraph" w:styleId="12">
    <w:name w:val="Plain Text"/>
    <w:basedOn w:val="1"/>
    <w:next w:val="7"/>
    <w:link w:val="33"/>
    <w:qFormat/>
    <w:uiPriority w:val="0"/>
    <w:rPr>
      <w:rFonts w:ascii="宋体" w:hAnsi="Courier New"/>
      <w:szCs w:val="20"/>
    </w:rPr>
  </w:style>
  <w:style w:type="paragraph" w:styleId="13">
    <w:name w:val="Balloon Text"/>
    <w:basedOn w:val="1"/>
    <w:link w:val="37"/>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List 4"/>
    <w:basedOn w:val="1"/>
    <w:unhideWhenUsed/>
    <w:qFormat/>
    <w:uiPriority w:val="99"/>
    <w:pPr>
      <w:ind w:left="100" w:leftChars="600" w:hanging="200" w:hangingChars="200"/>
      <w:contextualSpacing/>
    </w:p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index 1"/>
    <w:basedOn w:val="1"/>
    <w:next w:val="1"/>
    <w:semiHidden/>
    <w:qFormat/>
    <w:uiPriority w:val="0"/>
    <w:pPr>
      <w:spacing w:line="400" w:lineRule="exact"/>
      <w:ind w:firstLine="420" w:firstLineChars="200"/>
    </w:pPr>
    <w:rPr>
      <w:rFonts w:ascii="宋体" w:hAnsi="Courier New"/>
      <w:b/>
      <w:szCs w:val="20"/>
    </w:rPr>
  </w:style>
  <w:style w:type="paragraph" w:styleId="21">
    <w:name w:val="annotation subject"/>
    <w:basedOn w:val="8"/>
    <w:next w:val="8"/>
    <w:link w:val="36"/>
    <w:qFormat/>
    <w:uiPriority w:val="0"/>
    <w:rPr>
      <w:b/>
      <w:bCs/>
    </w:rPr>
  </w:style>
  <w:style w:type="paragraph" w:styleId="22">
    <w:name w:val="Body Text First Indent 2"/>
    <w:basedOn w:val="10"/>
    <w:unhideWhenUsed/>
    <w:qFormat/>
    <w:uiPriority w:val="99"/>
    <w:pPr>
      <w:ind w:firstLine="420" w:firstLineChars="200"/>
    </w:p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qFormat/>
    <w:uiPriority w:val="99"/>
    <w:rPr>
      <w:color w:val="0000FF" w:themeColor="hyperlink"/>
      <w:u w:val="single"/>
    </w:rPr>
  </w:style>
  <w:style w:type="character" w:styleId="27">
    <w:name w:val="annotation reference"/>
    <w:basedOn w:val="25"/>
    <w:qFormat/>
    <w:uiPriority w:val="0"/>
    <w:rPr>
      <w:sz w:val="21"/>
      <w:szCs w:val="21"/>
    </w:rPr>
  </w:style>
  <w:style w:type="paragraph" w:customStyle="1" w:styleId="28">
    <w:name w:val="列出段落1"/>
    <w:basedOn w:val="1"/>
    <w:qFormat/>
    <w:uiPriority w:val="99"/>
    <w:pPr>
      <w:ind w:firstLine="420" w:firstLineChars="200"/>
    </w:pPr>
  </w:style>
  <w:style w:type="character" w:customStyle="1" w:styleId="29">
    <w:name w:val="标题 3 字符"/>
    <w:link w:val="5"/>
    <w:qFormat/>
    <w:uiPriority w:val="0"/>
    <w:rPr>
      <w:rFonts w:ascii="Calibri" w:hAnsi="Calibri" w:eastAsia="宋体"/>
      <w:b/>
      <w:sz w:val="32"/>
    </w:rPr>
  </w:style>
  <w:style w:type="paragraph" w:customStyle="1" w:styleId="30">
    <w:name w:val="Char1 Char Char Char Char Char Char"/>
    <w:basedOn w:val="1"/>
    <w:qFormat/>
    <w:uiPriority w:val="0"/>
    <w:rPr>
      <w:rFonts w:ascii="Tahoma" w:hAnsi="Tahoma"/>
      <w:sz w:val="24"/>
      <w:szCs w:val="20"/>
    </w:rPr>
  </w:style>
  <w:style w:type="character" w:customStyle="1" w:styleId="31">
    <w:name w:val="unnamed4"/>
    <w:basedOn w:val="25"/>
    <w:qFormat/>
    <w:uiPriority w:val="0"/>
  </w:style>
  <w:style w:type="character" w:customStyle="1" w:styleId="32">
    <w:name w:val="unnamed2"/>
    <w:basedOn w:val="25"/>
    <w:qFormat/>
    <w:uiPriority w:val="0"/>
  </w:style>
  <w:style w:type="character" w:customStyle="1" w:styleId="33">
    <w:name w:val="纯文本 字符"/>
    <w:basedOn w:val="25"/>
    <w:link w:val="12"/>
    <w:qFormat/>
    <w:uiPriority w:val="0"/>
    <w:rPr>
      <w:rFonts w:ascii="宋体" w:hAnsi="Courier New"/>
      <w:kern w:val="2"/>
      <w:sz w:val="21"/>
    </w:rPr>
  </w:style>
  <w:style w:type="paragraph" w:customStyle="1" w:styleId="34">
    <w:name w:val="样式 正文文本 + 宋体 首行缩进:  0.74 厘米 行距: 1.5 倍行距"/>
    <w:basedOn w:val="9"/>
    <w:qFormat/>
    <w:uiPriority w:val="0"/>
    <w:pPr>
      <w:spacing w:after="120" w:line="360" w:lineRule="auto"/>
      <w:ind w:firstLine="200" w:firstLineChars="200"/>
    </w:pPr>
    <w:rPr>
      <w:rFonts w:ascii="Calibri" w:hAnsi="Calibri"/>
      <w:sz w:val="24"/>
      <w:szCs w:val="22"/>
    </w:rPr>
  </w:style>
  <w:style w:type="character" w:customStyle="1" w:styleId="35">
    <w:name w:val="批注文字 字符"/>
    <w:basedOn w:val="25"/>
    <w:link w:val="8"/>
    <w:qFormat/>
    <w:uiPriority w:val="0"/>
    <w:rPr>
      <w:kern w:val="2"/>
      <w:sz w:val="21"/>
      <w:szCs w:val="24"/>
    </w:rPr>
  </w:style>
  <w:style w:type="character" w:customStyle="1" w:styleId="36">
    <w:name w:val="批注主题 字符"/>
    <w:basedOn w:val="35"/>
    <w:link w:val="21"/>
    <w:qFormat/>
    <w:uiPriority w:val="0"/>
    <w:rPr>
      <w:kern w:val="2"/>
      <w:sz w:val="21"/>
      <w:szCs w:val="24"/>
    </w:rPr>
  </w:style>
  <w:style w:type="character" w:customStyle="1" w:styleId="37">
    <w:name w:val="批注框文本 字符"/>
    <w:basedOn w:val="25"/>
    <w:link w:val="13"/>
    <w:qFormat/>
    <w:uiPriority w:val="0"/>
    <w:rPr>
      <w:kern w:val="2"/>
      <w:sz w:val="18"/>
      <w:szCs w:val="18"/>
    </w:rPr>
  </w:style>
  <w:style w:type="paragraph" w:styleId="38">
    <w:name w:val="List Paragraph"/>
    <w:basedOn w:val="1"/>
    <w:unhideWhenUsed/>
    <w:qFormat/>
    <w:uiPriority w:val="34"/>
    <w:pPr>
      <w:ind w:firstLine="420" w:firstLineChars="200"/>
    </w:pPr>
  </w:style>
  <w:style w:type="character" w:customStyle="1" w:styleId="39">
    <w:name w:val="正文文本 字符"/>
    <w:basedOn w:val="25"/>
    <w:link w:val="9"/>
    <w:qFormat/>
    <w:uiPriority w:val="99"/>
    <w:rPr>
      <w:kern w:val="2"/>
      <w:sz w:val="21"/>
      <w:szCs w:val="24"/>
    </w:rPr>
  </w:style>
  <w:style w:type="paragraph" w:customStyle="1" w:styleId="40">
    <w:name w:val="_Style 1"/>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5534</Words>
  <Characters>6367</Characters>
  <Lines>413</Lines>
  <Paragraphs>116</Paragraphs>
  <TotalTime>3</TotalTime>
  <ScaleCrop>false</ScaleCrop>
  <LinksUpToDate>false</LinksUpToDate>
  <CharactersWithSpaces>6901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2021-07-09T04:30:00Z</dcterms:created>
  <dc:creator>Administrator</dc:creator>
  <cp:lastModifiedBy>越努力越幸运</cp:lastModifiedBy>
  <dcterms:modified xsi:type="dcterms:W3CDTF">2024-12-27T07:40:41Z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E40AE4D9A8394659B6F96CA17FECFA26</vt:lpwstr>
  </property>
  <property fmtid="{D5CDD505-2E9C-101B-9397-08002B2CF9AE}" pid="4" name="KSOTemplateDocerSaveRecord">
    <vt:lpwstr>eyJoZGlkIjoiMDI5N2EzZDVkZmUzMDQ0ODdkOGYyYjJjODk4OWE4MjkiLCJ1c2VySWQiOiI0MjIwNjMwNTUifQ==</vt:lpwstr>
  </property>
</Properties>
</file>