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807BE">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华文新魏" w:eastAsia="华文新魏"/>
          <w:b/>
          <w:bCs/>
          <w:color w:val="auto"/>
          <w:spacing w:val="80"/>
          <w:sz w:val="64"/>
          <w:highlight w:val="none"/>
        </w:rPr>
      </w:pPr>
    </w:p>
    <w:p w14:paraId="04874F53">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宋体" w:hAnsi="宋体" w:eastAsia="宋体" w:cs="Times New Roman"/>
          <w:b/>
          <w:bCs/>
          <w:color w:val="auto"/>
          <w:kern w:val="0"/>
          <w:sz w:val="60"/>
          <w:szCs w:val="60"/>
          <w:highlight w:val="none"/>
          <w:lang w:eastAsia="zh-CN"/>
        </w:rPr>
      </w:pPr>
      <w:r>
        <w:rPr>
          <w:rFonts w:hint="eastAsia" w:ascii="宋体" w:hAnsi="宋体" w:cs="Times New Roman"/>
          <w:b/>
          <w:bCs/>
          <w:color w:val="auto"/>
          <w:kern w:val="0"/>
          <w:sz w:val="60"/>
          <w:szCs w:val="60"/>
          <w:highlight w:val="none"/>
          <w:lang w:eastAsia="zh-CN"/>
        </w:rPr>
        <w:t>桂林聚格项目管理有限公司</w:t>
      </w:r>
    </w:p>
    <w:p w14:paraId="13BAB12E">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highlight w:val="none"/>
        </w:rPr>
      </w:pPr>
      <w:bookmarkStart w:id="1214" w:name="_GoBack"/>
      <w:bookmarkEnd w:id="1214"/>
    </w:p>
    <w:p w14:paraId="59A434F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highlight w:val="none"/>
          <w:lang w:eastAsia="zh-CN"/>
        </w:rPr>
      </w:pPr>
      <w:r>
        <w:rPr>
          <w:rFonts w:hint="eastAsia" w:ascii="文鼎中隶简" w:hAnsi="Times New Roman" w:eastAsia="文鼎中隶简" w:cs="Times New Roman"/>
          <w:color w:val="auto"/>
          <w:sz w:val="52"/>
          <w:highlight w:val="none"/>
        </w:rPr>
        <w:cr/>
      </w:r>
      <w:r>
        <w:rPr>
          <w:rFonts w:hint="eastAsia"/>
          <w:color w:val="auto"/>
          <w:sz w:val="72"/>
          <w:highlight w:val="none"/>
        </w:rPr>
        <w:cr/>
      </w:r>
      <w:r>
        <w:rPr>
          <w:rFonts w:hint="eastAsia" w:ascii="楷体_GB2312" w:hAnsi="Times New Roman" w:eastAsia="楷体_GB2312" w:cs="Times New Roman"/>
          <w:b/>
          <w:color w:val="auto"/>
          <w:kern w:val="0"/>
          <w:sz w:val="84"/>
          <w:szCs w:val="84"/>
          <w:highlight w:val="none"/>
        </w:rPr>
        <w:t>竞争性磋商文件</w:t>
      </w:r>
    </w:p>
    <w:p w14:paraId="40C95683">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E4B3C31">
      <w:pPr>
        <w:pStyle w:val="2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2C00426D">
      <w:pPr>
        <w:pStyle w:val="2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57A308BF">
      <w:pPr>
        <w:pStyle w:val="24"/>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highlight w:val="none"/>
        </w:rPr>
      </w:pPr>
    </w:p>
    <w:p w14:paraId="2FE15D1A">
      <w:pPr>
        <w:pStyle w:val="24"/>
        <w:ind w:left="0" w:leftChars="0" w:firstLine="0" w:firstLineChars="0"/>
        <w:rPr>
          <w:rFonts w:hint="eastAsia"/>
          <w:color w:val="auto"/>
          <w:highlight w:val="none"/>
        </w:rPr>
      </w:pPr>
    </w:p>
    <w:p w14:paraId="6603AC20">
      <w:pPr>
        <w:pStyle w:val="496"/>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HYPERLINK "https://www.zcygov.cn/proj-procurement/project-result-detail/5ee91e3b852a171e" \t "https://www.zcygov.cn/bid-inviting/purchaseFileMake/_blank"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灌阳县2024年中央财政水利发展资金小型水库工程维修养护项目</w:t>
      </w:r>
      <w:r>
        <w:rPr>
          <w:rFonts w:hint="eastAsia" w:ascii="宋体" w:hAnsi="宋体" w:cs="宋体"/>
          <w:b/>
          <w:bCs/>
          <w:color w:val="auto"/>
          <w:sz w:val="32"/>
          <w:szCs w:val="32"/>
          <w:highlight w:val="none"/>
          <w:lang w:val="en-US" w:eastAsia="zh-CN"/>
        </w:rPr>
        <w:fldChar w:fldCharType="end"/>
      </w:r>
    </w:p>
    <w:p w14:paraId="3B0C4995">
      <w:pPr>
        <w:jc w:val="center"/>
        <w:rPr>
          <w:rFonts w:hint="eastAsia"/>
          <w:color w:val="auto"/>
          <w:highlight w:val="none"/>
          <w:lang w:val="en-US" w:eastAsia="zh-CN"/>
        </w:rPr>
      </w:pPr>
    </w:p>
    <w:p w14:paraId="646489DB">
      <w:pPr>
        <w:jc w:val="center"/>
        <w:rPr>
          <w:rFonts w:hint="eastAsia"/>
          <w:color w:val="auto"/>
          <w:highlight w:val="none"/>
        </w:rPr>
      </w:pPr>
    </w:p>
    <w:p w14:paraId="7FE48712">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项目编号：GLZC2025-C2-270008-GLJG</w:t>
      </w:r>
    </w:p>
    <w:p w14:paraId="1FE7F2D2">
      <w:pPr>
        <w:jc w:val="center"/>
        <w:rPr>
          <w:rFonts w:ascii="宋体" w:hAnsi="宋体" w:cs="宋体"/>
          <w:color w:val="auto"/>
          <w:sz w:val="32"/>
          <w:szCs w:val="32"/>
          <w:highlight w:val="none"/>
        </w:rPr>
      </w:pPr>
    </w:p>
    <w:p w14:paraId="40A8539D">
      <w:pPr>
        <w:spacing w:line="480" w:lineRule="auto"/>
        <w:ind w:firstLine="964" w:firstLineChars="300"/>
        <w:rPr>
          <w:rStyle w:val="274"/>
          <w:rFonts w:hint="eastAsia" w:ascii="宋体" w:hAnsi="宋体" w:eastAsia="宋体"/>
          <w:b/>
          <w:bCs/>
          <w:color w:val="auto"/>
          <w:sz w:val="32"/>
          <w:highlight w:val="none"/>
          <w:lang w:eastAsia="zh-CN"/>
        </w:rPr>
      </w:pPr>
      <w:r>
        <w:rPr>
          <w:rStyle w:val="274"/>
          <w:rFonts w:ascii="宋体" w:hAnsi="宋体"/>
          <w:b/>
          <w:bCs/>
          <w:color w:val="auto"/>
          <w:sz w:val="32"/>
          <w:highlight w:val="none"/>
        </w:rPr>
        <w:t>采购人：</w:t>
      </w:r>
      <w:r>
        <w:rPr>
          <w:rStyle w:val="274"/>
          <w:rFonts w:hint="eastAsia" w:ascii="宋体" w:hAnsi="宋体"/>
          <w:b/>
          <w:bCs/>
          <w:color w:val="auto"/>
          <w:sz w:val="32"/>
          <w:highlight w:val="none"/>
          <w:lang w:eastAsia="zh-CN"/>
        </w:rPr>
        <w:t>灌阳县水利局</w:t>
      </w:r>
    </w:p>
    <w:p w14:paraId="0AF07B80">
      <w:pPr>
        <w:pStyle w:val="49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20803154">
      <w:pPr>
        <w:pStyle w:val="496"/>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52E592BE">
      <w:pPr>
        <w:spacing w:line="480" w:lineRule="auto"/>
        <w:ind w:firstLine="964" w:firstLineChars="300"/>
        <w:jc w:val="both"/>
        <w:rPr>
          <w:rStyle w:val="274"/>
          <w:rFonts w:hint="eastAsia" w:ascii="宋体" w:hAnsi="宋体" w:eastAsia="宋体"/>
          <w:b/>
          <w:bCs/>
          <w:color w:val="auto"/>
          <w:spacing w:val="40"/>
          <w:sz w:val="24"/>
          <w:highlight w:val="none"/>
          <w:lang w:eastAsia="zh-CN"/>
        </w:rPr>
      </w:pPr>
      <w:r>
        <w:rPr>
          <w:rStyle w:val="274"/>
          <w:rFonts w:ascii="宋体" w:hAnsi="宋体"/>
          <w:b/>
          <w:bCs/>
          <w:color w:val="auto"/>
          <w:sz w:val="32"/>
          <w:highlight w:val="none"/>
        </w:rPr>
        <w:t>采购代理机构：</w:t>
      </w:r>
      <w:r>
        <w:rPr>
          <w:rStyle w:val="274"/>
          <w:rFonts w:hint="eastAsia" w:ascii="宋体" w:hAnsi="宋体"/>
          <w:b/>
          <w:bCs/>
          <w:color w:val="auto"/>
          <w:sz w:val="32"/>
          <w:highlight w:val="none"/>
          <w:lang w:eastAsia="zh-CN"/>
        </w:rPr>
        <w:t>桂林聚格项目管理有限公司</w:t>
      </w:r>
    </w:p>
    <w:p w14:paraId="6F4BF15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274"/>
          <w:rFonts w:ascii="宋体" w:hAnsi="宋体"/>
          <w:b/>
          <w:bCs/>
          <w:color w:val="auto"/>
          <w:sz w:val="32"/>
          <w:highlight w:val="none"/>
        </w:rPr>
      </w:pPr>
    </w:p>
    <w:p w14:paraId="649D4403">
      <w:pPr>
        <w:spacing w:line="480" w:lineRule="auto"/>
        <w:ind w:firstLine="964" w:firstLineChars="300"/>
        <w:jc w:val="both"/>
        <w:rPr>
          <w:rStyle w:val="274"/>
          <w:rFonts w:hint="eastAsia" w:ascii="黑体" w:eastAsia="宋体"/>
          <w:color w:val="auto"/>
          <w:sz w:val="32"/>
          <w:highlight w:val="none"/>
          <w:lang w:eastAsia="zh-CN"/>
        </w:rPr>
      </w:pPr>
      <w:r>
        <w:rPr>
          <w:rStyle w:val="274"/>
          <w:rFonts w:hint="eastAsia" w:ascii="宋体" w:hAnsi="宋体"/>
          <w:b/>
          <w:bCs/>
          <w:color w:val="auto"/>
          <w:sz w:val="32"/>
          <w:highlight w:val="none"/>
          <w:lang w:eastAsia="zh-CN"/>
        </w:rPr>
        <w:t>发布日期：20</w:t>
      </w:r>
      <w:r>
        <w:rPr>
          <w:rStyle w:val="274"/>
          <w:rFonts w:hint="eastAsia" w:ascii="宋体" w:hAnsi="宋体"/>
          <w:b/>
          <w:bCs/>
          <w:color w:val="auto"/>
          <w:sz w:val="32"/>
          <w:highlight w:val="none"/>
          <w:lang w:val="en-US" w:eastAsia="zh-CN"/>
        </w:rPr>
        <w:t>25</w:t>
      </w:r>
      <w:r>
        <w:rPr>
          <w:rStyle w:val="274"/>
          <w:rFonts w:hint="eastAsia" w:ascii="宋体" w:hAnsi="宋体"/>
          <w:b/>
          <w:bCs/>
          <w:color w:val="auto"/>
          <w:sz w:val="32"/>
          <w:highlight w:val="none"/>
          <w:lang w:eastAsia="zh-CN"/>
        </w:rPr>
        <w:t>年</w:t>
      </w:r>
      <w:r>
        <w:rPr>
          <w:rStyle w:val="274"/>
          <w:rFonts w:hint="eastAsia" w:ascii="宋体" w:hAnsi="宋体"/>
          <w:b/>
          <w:bCs/>
          <w:color w:val="auto"/>
          <w:sz w:val="32"/>
          <w:highlight w:val="none"/>
          <w:lang w:val="en-US" w:eastAsia="zh-CN"/>
        </w:rPr>
        <w:t>3</w:t>
      </w:r>
      <w:r>
        <w:rPr>
          <w:rStyle w:val="274"/>
          <w:rFonts w:hint="eastAsia" w:ascii="宋体" w:hAnsi="宋体"/>
          <w:b/>
          <w:bCs/>
          <w:color w:val="auto"/>
          <w:sz w:val="32"/>
          <w:highlight w:val="none"/>
          <w:lang w:eastAsia="zh-CN"/>
        </w:rPr>
        <w:t>月</w:t>
      </w:r>
      <w:r>
        <w:rPr>
          <w:rStyle w:val="274"/>
          <w:rFonts w:hint="eastAsia" w:ascii="宋体" w:hAnsi="宋体"/>
          <w:b/>
          <w:bCs/>
          <w:color w:val="auto"/>
          <w:sz w:val="32"/>
          <w:highlight w:val="none"/>
          <w:lang w:val="en-US" w:eastAsia="zh-CN"/>
        </w:rPr>
        <w:t>25</w:t>
      </w:r>
      <w:r>
        <w:rPr>
          <w:rStyle w:val="274"/>
          <w:rFonts w:hint="eastAsia" w:ascii="宋体" w:hAnsi="宋体"/>
          <w:b/>
          <w:bCs/>
          <w:color w:val="auto"/>
          <w:sz w:val="32"/>
          <w:highlight w:val="none"/>
          <w:lang w:eastAsia="zh-CN"/>
        </w:rPr>
        <w:t>日</w:t>
      </w:r>
    </w:p>
    <w:p w14:paraId="3D8D92A5">
      <w:pPr>
        <w:pStyle w:val="28"/>
        <w:spacing w:line="420" w:lineRule="exact"/>
        <w:jc w:val="center"/>
        <w:rPr>
          <w:rFonts w:hint="eastAsia" w:ascii="宋体" w:hAnsi="宋体" w:eastAsia="宋体"/>
          <w:b/>
          <w:bCs/>
          <w:color w:val="auto"/>
          <w:sz w:val="44"/>
          <w:szCs w:val="20"/>
          <w:highlight w:val="none"/>
          <w:lang w:val="en-US" w:eastAsia="zh-CN"/>
        </w:rPr>
      </w:pPr>
    </w:p>
    <w:p w14:paraId="34917A68">
      <w:pPr>
        <w:pStyle w:val="28"/>
        <w:spacing w:line="420" w:lineRule="exact"/>
        <w:jc w:val="center"/>
        <w:rPr>
          <w:rFonts w:hint="eastAsia" w:ascii="宋体" w:hAnsi="宋体" w:eastAsia="宋体"/>
          <w:b/>
          <w:bCs/>
          <w:color w:val="auto"/>
          <w:sz w:val="44"/>
          <w:szCs w:val="20"/>
          <w:highlight w:val="none"/>
          <w:lang w:val="en-US" w:eastAsia="zh-CN"/>
        </w:rPr>
      </w:pPr>
    </w:p>
    <w:p w14:paraId="59FCE32F">
      <w:pPr>
        <w:pStyle w:val="28"/>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23D07A82">
      <w:pPr>
        <w:pStyle w:val="13"/>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039D7B41">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_Toc8415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第一章  竞争性磋商公告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_Toc8415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51A3255">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_Toc25758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第二章  供应商须知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_Toc25758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6270812B">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_Toc22630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 xml:space="preserve">第三章  </w:t>
      </w:r>
      <w:r>
        <w:rPr>
          <w:rFonts w:hint="eastAsia" w:ascii="宋体" w:hAnsi="宋体" w:eastAsia="宋体" w:cs="宋体"/>
          <w:b/>
          <w:bCs/>
          <w:color w:val="auto"/>
          <w:sz w:val="32"/>
          <w:szCs w:val="32"/>
          <w:highlight w:val="none"/>
          <w:lang w:val="en-US" w:eastAsia="zh-CN"/>
        </w:rPr>
        <w:t>工程量</w:t>
      </w:r>
      <w:r>
        <w:rPr>
          <w:rFonts w:hint="eastAsia" w:ascii="宋体" w:hAnsi="宋体" w:eastAsia="宋体" w:cs="宋体"/>
          <w:b/>
          <w:bCs/>
          <w:color w:val="auto"/>
          <w:kern w:val="2"/>
          <w:sz w:val="32"/>
          <w:szCs w:val="32"/>
          <w:highlight w:val="none"/>
          <w:lang w:val="en-US" w:eastAsia="zh-CN" w:bidi="ar-SA"/>
        </w:rPr>
        <w:t>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_Toc22630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15C48220">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_Toc8615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评审办法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_Toc8615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541924D1">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_Toc2913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采购合同（合同主要条款及格式）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_Toc2913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5F894C1">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_Toc31864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rPr>
        <w:t>第六章  响应文件（格式）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_Toc31864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103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6A001A19">
      <w:pPr>
        <w:pStyle w:val="3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_Toc13075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第七章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_Toc13075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121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765587C">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rPr>
      </w:pPr>
    </w:p>
    <w:p w14:paraId="56A8201E">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pacing w:val="-6"/>
          <w:kern w:val="0"/>
          <w:sz w:val="32"/>
          <w:szCs w:val="32"/>
          <w:highlight w:val="none"/>
        </w:rPr>
        <w:fldChar w:fldCharType="end"/>
      </w:r>
    </w:p>
    <w:p w14:paraId="62D3D08D">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40" w:right="1083" w:bottom="1440" w:left="1083" w:header="851" w:footer="992" w:gutter="0"/>
          <w:pgNumType w:fmt="upperRoman" w:start="1"/>
          <w:cols w:space="0" w:num="1"/>
          <w:titlePg/>
          <w:rtlGutter w:val="0"/>
          <w:docGrid w:type="lines" w:linePitch="312" w:charSpace="0"/>
        </w:sectPr>
      </w:pPr>
      <w:bookmarkStart w:id="0" w:name="_Toc28359011"/>
      <w:bookmarkStart w:id="1" w:name="_Toc30170"/>
      <w:bookmarkStart w:id="2" w:name="_Toc35393797"/>
      <w:bookmarkStart w:id="3" w:name="_Toc21930"/>
      <w:bookmarkStart w:id="4" w:name="_Toc26809"/>
      <w:bookmarkStart w:id="5" w:name="_Toc1752"/>
    </w:p>
    <w:p w14:paraId="7B5ABB35">
      <w:pPr>
        <w:pStyle w:val="3"/>
        <w:pageBreakBefore w:val="0"/>
        <w:widowControl w:val="0"/>
        <w:kinsoku/>
        <w:overflowPunct/>
        <w:topLinePunct w:val="0"/>
        <w:bidi w:val="0"/>
        <w:snapToGrid/>
        <w:spacing w:before="0" w:after="0" w:line="440" w:lineRule="exact"/>
        <w:jc w:val="center"/>
        <w:textAlignment w:val="auto"/>
        <w:rPr>
          <w:rFonts w:hint="default" w:eastAsia="宋体"/>
          <w:color w:val="auto"/>
          <w:sz w:val="24"/>
          <w:szCs w:val="24"/>
          <w:highlight w:val="none"/>
          <w:lang w:val="en-US" w:eastAsia="zh-CN"/>
        </w:rPr>
      </w:pPr>
      <w:bookmarkStart w:id="6" w:name="_Toc8415"/>
      <w:r>
        <w:rPr>
          <w:rFonts w:hint="default" w:eastAsia="宋体"/>
          <w:color w:val="auto"/>
          <w:sz w:val="32"/>
          <w:szCs w:val="32"/>
          <w:highlight w:val="none"/>
          <w:lang w:val="en-US" w:eastAsia="zh-CN"/>
        </w:rPr>
        <w:t>第一章 竞争性磋商公告</w:t>
      </w:r>
      <w:bookmarkEnd w:id="0"/>
      <w:bookmarkEnd w:id="1"/>
      <w:bookmarkEnd w:id="2"/>
      <w:bookmarkEnd w:id="3"/>
      <w:bookmarkEnd w:id="4"/>
      <w:bookmarkEnd w:id="5"/>
      <w:bookmarkEnd w:id="6"/>
    </w:p>
    <w:tbl>
      <w:tblPr>
        <w:tblStyle w:val="55"/>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5AC6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73427C6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7695C26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灌阳县2024年中央财政水利发展资金小型水库工程维修养护项目</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时30分</w:t>
            </w:r>
            <w:r>
              <w:rPr>
                <w:rFonts w:hint="eastAsia" w:ascii="宋体" w:hAnsi="宋体" w:eastAsia="宋体" w:cs="宋体"/>
                <w:color w:val="auto"/>
                <w:sz w:val="24"/>
                <w:szCs w:val="24"/>
                <w:highlight w:val="none"/>
              </w:rPr>
              <w:t>（北京时间）前提交响应文件。</w:t>
            </w:r>
          </w:p>
        </w:tc>
      </w:tr>
    </w:tbl>
    <w:p w14:paraId="16ADDA3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35393798"/>
      <w:bookmarkStart w:id="8" w:name="_Toc24797"/>
      <w:bookmarkStart w:id="9" w:name="_Toc28343"/>
      <w:bookmarkStart w:id="10" w:name="_Toc35393629"/>
      <w:bookmarkStart w:id="11" w:name="_Toc23416"/>
      <w:bookmarkStart w:id="12" w:name="_Toc28359089"/>
      <w:bookmarkStart w:id="13" w:name="_Toc28359012"/>
      <w:bookmarkStart w:id="14" w:name="_Toc15564"/>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p>
    <w:p w14:paraId="0B9EA0D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项目编号：GLZC2025-C2-270008-GLJG</w:t>
      </w:r>
    </w:p>
    <w:p w14:paraId="6A893D7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灌阳县2024年中央财政水利发展资金小型水库工程维修养护项目</w:t>
      </w:r>
    </w:p>
    <w:p w14:paraId="73A740F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t>竞争性磋商</w:t>
      </w:r>
    </w:p>
    <w:p w14:paraId="507EAC1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预算总金额（元）：</w:t>
      </w:r>
      <w:r>
        <w:rPr>
          <w:rFonts w:hint="eastAsia" w:ascii="宋体" w:hAnsi="宋体" w:cs="宋体"/>
          <w:color w:val="auto"/>
          <w:sz w:val="24"/>
          <w:szCs w:val="24"/>
          <w:highlight w:val="none"/>
          <w:u w:val="none"/>
          <w:lang w:val="en-US" w:eastAsia="zh-CN"/>
        </w:rPr>
        <w:t>1401210.31</w:t>
      </w:r>
    </w:p>
    <w:p w14:paraId="43970CB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2C46B28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灌阳县2024年中央财政水利发展资金小型水库工程维修养护项目</w:t>
      </w:r>
    </w:p>
    <w:p w14:paraId="67877C1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5F5AA3E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u w:val="none"/>
          <w:lang w:val="en-US" w:eastAsia="zh-CN"/>
        </w:rPr>
        <w:t>1401210.31</w:t>
      </w:r>
      <w:r>
        <w:rPr>
          <w:rFonts w:hint="eastAsia" w:ascii="宋体" w:hAnsi="宋体" w:cs="宋体"/>
          <w:color w:val="auto"/>
          <w:sz w:val="24"/>
          <w:szCs w:val="24"/>
          <w:highlight w:val="none"/>
          <w:lang w:val="en-US" w:eastAsia="zh-CN"/>
        </w:rPr>
        <w:t xml:space="preserve"> </w:t>
      </w:r>
    </w:p>
    <w:p w14:paraId="4FB2206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p>
    <w:p w14:paraId="5FECAA8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建设地点：</w:t>
      </w:r>
      <w:r>
        <w:rPr>
          <w:rFonts w:hint="eastAsia" w:ascii="宋体" w:hAnsi="宋体" w:eastAsia="宋体" w:cs="宋体"/>
          <w:color w:val="auto"/>
          <w:sz w:val="24"/>
          <w:szCs w:val="24"/>
          <w:highlight w:val="none"/>
          <w:lang w:val="en-US" w:eastAsia="zh-CN"/>
        </w:rPr>
        <w:t>灌阳县。</w:t>
      </w:r>
    </w:p>
    <w:p w14:paraId="2489616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）建设规模</w:t>
      </w:r>
      <w:r>
        <w:rPr>
          <w:rFonts w:hint="eastAsia" w:ascii="宋体" w:hAnsi="宋体" w:eastAsia="宋体" w:cs="宋体"/>
          <w:color w:val="auto"/>
          <w:sz w:val="24"/>
          <w:szCs w:val="24"/>
          <w:highlight w:val="none"/>
        </w:rPr>
        <w:t>：大坪山水库标准化建设，高木岭、下立源、抛水岭、东风、朴竹江、古迹塘、立田水库等7座水库维修养护</w:t>
      </w:r>
      <w:r>
        <w:rPr>
          <w:rFonts w:hint="eastAsia" w:ascii="宋体" w:hAnsi="宋体" w:eastAsia="宋体" w:cs="宋体"/>
          <w:color w:val="auto"/>
          <w:sz w:val="24"/>
          <w:szCs w:val="24"/>
          <w:highlight w:val="none"/>
          <w:lang w:val="en-US" w:eastAsia="zh-CN"/>
        </w:rPr>
        <w:t>，具体内容详见工程量清单及施工图纸。</w:t>
      </w:r>
    </w:p>
    <w:p w14:paraId="16F1566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270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w:t>
      </w:r>
    </w:p>
    <w:p w14:paraId="7EA6CE1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eastAsia="zh-CN"/>
        </w:rPr>
        <w:t>达到国家施工验收规范合格标准。</w:t>
      </w:r>
    </w:p>
    <w:p w14:paraId="6941CC9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采购范围：施工图纸范围内的工程，具体情况详见施工图纸及工程量清单</w:t>
      </w:r>
      <w:r>
        <w:rPr>
          <w:rFonts w:hint="eastAsia" w:ascii="宋体" w:hAnsi="宋体" w:eastAsia="宋体" w:cs="宋体"/>
          <w:color w:val="auto"/>
          <w:sz w:val="24"/>
          <w:szCs w:val="24"/>
          <w:highlight w:val="none"/>
          <w:lang w:eastAsia="zh-CN"/>
        </w:rPr>
        <w:t>。</w:t>
      </w:r>
    </w:p>
    <w:p w14:paraId="18279C3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szCs w:val="24"/>
          <w:highlight w:val="none"/>
          <w:lang w:val="zh-CN"/>
        </w:rPr>
        <w:t>本工程划分为1个标段</w:t>
      </w:r>
      <w:r>
        <w:rPr>
          <w:rFonts w:hint="eastAsia" w:ascii="宋体" w:hAnsi="宋体" w:eastAsia="宋体" w:cs="宋体"/>
          <w:color w:val="auto"/>
          <w:sz w:val="24"/>
          <w:szCs w:val="24"/>
          <w:highlight w:val="none"/>
        </w:rPr>
        <w:t>。</w:t>
      </w:r>
    </w:p>
    <w:p w14:paraId="0729E4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最高限价（如有）：/</w:t>
      </w:r>
    </w:p>
    <w:p w14:paraId="7318A57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合同履行期限：自合同签订之日起至免费保修期满止。</w:t>
      </w:r>
    </w:p>
    <w:p w14:paraId="2E9B660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2D52146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33C680B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5" w:name="_Toc13592"/>
      <w:bookmarkStart w:id="16" w:name="_Toc28359013"/>
      <w:bookmarkStart w:id="17" w:name="_Toc35393799"/>
      <w:bookmarkStart w:id="18" w:name="_Toc21853"/>
      <w:bookmarkStart w:id="19" w:name="_Toc4719"/>
      <w:bookmarkStart w:id="20" w:name="_Toc4261"/>
      <w:bookmarkStart w:id="21" w:name="_Toc28359090"/>
      <w:bookmarkStart w:id="22" w:name="_Toc35393630"/>
      <w:r>
        <w:rPr>
          <w:rFonts w:hint="eastAsia" w:ascii="宋体" w:hAnsi="宋体" w:eastAsia="宋体" w:cs="宋体"/>
          <w:b/>
          <w:bCs/>
          <w:color w:val="auto"/>
          <w:sz w:val="24"/>
          <w:szCs w:val="24"/>
          <w:highlight w:val="none"/>
        </w:rPr>
        <w:t>二、申请人的资格要求</w:t>
      </w:r>
      <w:bookmarkEnd w:id="15"/>
      <w:bookmarkEnd w:id="16"/>
      <w:bookmarkEnd w:id="17"/>
      <w:bookmarkEnd w:id="18"/>
      <w:bookmarkEnd w:id="19"/>
      <w:bookmarkEnd w:id="20"/>
      <w:bookmarkEnd w:id="21"/>
      <w:bookmarkEnd w:id="22"/>
    </w:p>
    <w:p w14:paraId="78088F85">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满足《中华人民共和国政府采购法》第二十二条规定；</w:t>
      </w:r>
    </w:p>
    <w:p w14:paraId="4469252D">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23" w:name="_Toc28359014"/>
      <w:bookmarkStart w:id="24" w:name="_Toc28359091"/>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val="0"/>
          <w:bCs w:val="0"/>
          <w:color w:val="auto"/>
          <w:sz w:val="24"/>
          <w:szCs w:val="24"/>
          <w:highlight w:val="none"/>
          <w:u w:val="single"/>
        </w:rPr>
        <w:t>供应商应为中小</w:t>
      </w:r>
      <w:r>
        <w:rPr>
          <w:rFonts w:hint="eastAsia" w:ascii="宋体" w:hAnsi="宋体" w:cs="宋体"/>
          <w:b w:val="0"/>
          <w:bCs w:val="0"/>
          <w:color w:val="auto"/>
          <w:sz w:val="24"/>
          <w:szCs w:val="24"/>
          <w:highlight w:val="none"/>
          <w:u w:val="single"/>
          <w:lang w:eastAsia="zh-CN"/>
        </w:rPr>
        <w:t>企业</w:t>
      </w:r>
      <w:r>
        <w:rPr>
          <w:rFonts w:hint="eastAsia" w:ascii="宋体" w:hAnsi="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eastAsia="zh-CN"/>
        </w:rPr>
        <w:t>小</w:t>
      </w:r>
      <w:r>
        <w:rPr>
          <w:rFonts w:hint="eastAsia" w:ascii="宋体" w:hAnsi="宋体" w:eastAsia="宋体" w:cs="宋体"/>
          <w:b w:val="0"/>
          <w:bCs w:val="0"/>
          <w:color w:val="auto"/>
          <w:sz w:val="24"/>
          <w:szCs w:val="24"/>
          <w:highlight w:val="none"/>
          <w:u w:val="single"/>
        </w:rPr>
        <w:t>微企业。</w:t>
      </w:r>
    </w:p>
    <w:p w14:paraId="34AEF0C1">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本项目的特定资格要求：</w:t>
      </w:r>
      <w:bookmarkStart w:id="25" w:name="_Toc35393800"/>
      <w:bookmarkStart w:id="26" w:name="_Toc35393631"/>
      <w:r>
        <w:rPr>
          <w:rFonts w:hint="eastAsia" w:ascii="宋体" w:hAnsi="宋体" w:eastAsia="宋体" w:cs="宋体"/>
          <w:color w:val="auto"/>
          <w:sz w:val="24"/>
          <w:szCs w:val="24"/>
          <w:highlight w:val="none"/>
          <w:u w:val="none"/>
        </w:rPr>
        <w:t>具备</w:t>
      </w:r>
      <w:r>
        <w:rPr>
          <w:rFonts w:hint="eastAsia" w:ascii="宋体" w:hAnsi="宋体" w:cs="宋体"/>
          <w:b/>
          <w:bCs/>
          <w:color w:val="auto"/>
          <w:sz w:val="24"/>
          <w:szCs w:val="24"/>
          <w:highlight w:val="none"/>
          <w:u w:val="single"/>
          <w:lang w:eastAsia="zh-CN"/>
        </w:rPr>
        <w:t>水利水电工程施工总承包三级</w:t>
      </w:r>
      <w:r>
        <w:rPr>
          <w:rFonts w:hint="eastAsia" w:ascii="宋体" w:hAnsi="宋体" w:eastAsia="宋体" w:cs="宋体"/>
          <w:b/>
          <w:bCs/>
          <w:color w:val="auto"/>
          <w:sz w:val="24"/>
          <w:szCs w:val="24"/>
          <w:highlight w:val="none"/>
          <w:u w:val="single"/>
        </w:rPr>
        <w:t>（含以上）</w:t>
      </w:r>
      <w:r>
        <w:rPr>
          <w:rFonts w:hint="eastAsia" w:ascii="宋体" w:hAnsi="宋体" w:eastAsia="宋体" w:cs="宋体"/>
          <w:b/>
          <w:bCs/>
          <w:color w:val="auto"/>
          <w:sz w:val="24"/>
          <w:szCs w:val="24"/>
          <w:highlight w:val="none"/>
          <w:u w:val="none"/>
        </w:rPr>
        <w:t>资质</w:t>
      </w:r>
      <w:r>
        <w:rPr>
          <w:rFonts w:hint="eastAsia" w:ascii="宋体" w:hAnsi="宋体" w:eastAsia="宋体" w:cs="宋体"/>
          <w:bCs/>
          <w:color w:val="auto"/>
          <w:sz w:val="24"/>
          <w:szCs w:val="24"/>
          <w:highlight w:val="none"/>
          <w:u w:val="none"/>
        </w:rPr>
        <w:t>，具备有效的安全生产许可证</w:t>
      </w:r>
      <w:r>
        <w:rPr>
          <w:rFonts w:hint="eastAsia" w:ascii="宋体"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并在人员、设备、资金等方面具备相应的施工能力</w:t>
      </w:r>
      <w:r>
        <w:rPr>
          <w:rFonts w:hint="eastAsia" w:ascii="宋体" w:hAnsi="宋体" w:eastAsia="宋体" w:cs="宋体"/>
          <w:color w:val="auto"/>
          <w:sz w:val="24"/>
          <w:szCs w:val="24"/>
          <w:highlight w:val="none"/>
          <w:u w:val="none"/>
          <w:lang w:eastAsia="zh-CN"/>
        </w:rPr>
        <w:t>。其中</w:t>
      </w:r>
      <w:r>
        <w:rPr>
          <w:rFonts w:hint="eastAsia" w:ascii="宋体" w:hAnsi="宋体" w:eastAsia="宋体" w:cs="宋体"/>
          <w:color w:val="auto"/>
          <w:kern w:val="2"/>
          <w:sz w:val="24"/>
          <w:szCs w:val="24"/>
          <w:highlight w:val="none"/>
          <w:lang w:val="en-US" w:eastAsia="zh-CN" w:bidi="ar-SA"/>
        </w:rPr>
        <w:t>拟派项目经理须具备</w:t>
      </w:r>
      <w:r>
        <w:rPr>
          <w:rFonts w:hint="eastAsia" w:ascii="宋体" w:hAnsi="宋体" w:cs="宋体"/>
          <w:b/>
          <w:color w:val="auto"/>
          <w:kern w:val="2"/>
          <w:sz w:val="24"/>
          <w:szCs w:val="24"/>
          <w:highlight w:val="none"/>
          <w:u w:val="single"/>
          <w:lang w:val="en-US" w:eastAsia="zh-CN" w:bidi="ar-SA"/>
        </w:rPr>
        <w:t>水利水电工程</w:t>
      </w:r>
      <w:r>
        <w:rPr>
          <w:rFonts w:hint="eastAsia" w:ascii="宋体" w:hAnsi="宋体" w:eastAsia="宋体" w:cs="宋体"/>
          <w:b/>
          <w:color w:val="auto"/>
          <w:kern w:val="2"/>
          <w:sz w:val="24"/>
          <w:szCs w:val="24"/>
          <w:highlight w:val="none"/>
          <w:u w:val="single"/>
          <w:lang w:val="en-US" w:eastAsia="zh-CN" w:bidi="ar-SA"/>
        </w:rPr>
        <w:t>专业二级以上（含本级）</w:t>
      </w:r>
      <w:r>
        <w:rPr>
          <w:rFonts w:hint="eastAsia" w:ascii="宋体" w:hAnsi="宋体" w:eastAsia="宋体" w:cs="宋体"/>
          <w:b/>
          <w:color w:val="auto"/>
          <w:kern w:val="2"/>
          <w:sz w:val="24"/>
          <w:szCs w:val="24"/>
          <w:highlight w:val="none"/>
          <w:u w:val="none"/>
          <w:lang w:val="en-US" w:eastAsia="zh-CN" w:bidi="ar-SA"/>
        </w:rPr>
        <w:t>注册建造师执业资格</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具备有效的安全生产考核合格证书（B类）</w:t>
      </w:r>
      <w:r>
        <w:rPr>
          <w:rFonts w:hint="eastAsia" w:ascii="宋体" w:hAnsi="宋体" w:eastAsia="宋体" w:cs="宋体"/>
          <w:color w:val="auto"/>
          <w:kern w:val="2"/>
          <w:sz w:val="24"/>
          <w:szCs w:val="24"/>
          <w:highlight w:val="none"/>
          <w:lang w:val="en-US" w:eastAsia="zh-CN" w:bidi="ar-SA"/>
        </w:rPr>
        <w:t>。本项目不接受有在建、已中标未开工或已列为其他项目中标候选人第一名的建造师作为项目经理。</w:t>
      </w:r>
    </w:p>
    <w:bookmarkEnd w:id="23"/>
    <w:bookmarkEnd w:id="24"/>
    <w:bookmarkEnd w:id="25"/>
    <w:bookmarkEnd w:id="26"/>
    <w:p w14:paraId="777017C2">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27" w:name="_Toc30267"/>
      <w:bookmarkStart w:id="28" w:name="_Toc17532"/>
      <w:bookmarkStart w:id="29" w:name="_Toc35393792"/>
      <w:bookmarkStart w:id="30" w:name="_Toc30519"/>
      <w:bookmarkStart w:id="31" w:name="_Toc35393623"/>
      <w:bookmarkStart w:id="32" w:name="_Toc25397"/>
      <w:bookmarkStart w:id="33" w:name="_Toc35393636"/>
      <w:bookmarkStart w:id="34" w:name="_Toc35393805"/>
      <w:bookmarkStart w:id="35" w:name="_Toc28359018"/>
      <w:bookmarkStart w:id="36" w:name="_Toc28359095"/>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7"/>
      <w:bookmarkEnd w:id="28"/>
      <w:bookmarkEnd w:id="29"/>
      <w:bookmarkEnd w:id="30"/>
      <w:bookmarkEnd w:id="31"/>
      <w:bookmarkEnd w:id="32"/>
    </w:p>
    <w:p w14:paraId="519B0E11">
      <w:pPr>
        <w:keepNext w:val="0"/>
        <w:keepLines w:val="0"/>
        <w:pageBreakBefore w:val="0"/>
        <w:widowControl w:val="0"/>
        <w:kinsoku/>
        <w:wordWrap w:val="0"/>
        <w:overflowPunct/>
        <w:topLinePunct w:val="0"/>
        <w:autoSpaceDE/>
        <w:autoSpaceDN/>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rPr>
        <w:t>，每天上午00:00至12:00，下午12:00至23:59（北京时间，法定节假日除外）</w:t>
      </w:r>
    </w:p>
    <w:p w14:paraId="1DF25E3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lang w:eastAsia="zh-CN"/>
        </w:rPr>
        <w:t>广西政府采购云平台（https://www.gcy.zfcg.gxzf.gov.cn/）</w:t>
      </w:r>
    </w:p>
    <w:p w14:paraId="786154F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在线申请获取采购文件（进入“项目采购”应用，在获取采购文件菜单中选择项目，申请获取采购文件）</w:t>
      </w:r>
    </w:p>
    <w:p w14:paraId="2B4B262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1D23DEF0">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37" w:name="_Toc35393795"/>
      <w:bookmarkStart w:id="38" w:name="_Toc1323"/>
      <w:bookmarkStart w:id="39" w:name="_Toc35393626"/>
      <w:bookmarkStart w:id="40" w:name="_Toc23691"/>
      <w:bookmarkStart w:id="41" w:name="_Toc15803"/>
      <w:bookmarkStart w:id="42" w:name="_Toc2690"/>
      <w:r>
        <w:rPr>
          <w:rFonts w:hint="eastAsia" w:ascii="宋体" w:hAnsi="宋体" w:eastAsia="宋体" w:cs="宋体"/>
          <w:b/>
          <w:color w:val="auto"/>
          <w:sz w:val="24"/>
          <w:szCs w:val="24"/>
          <w:highlight w:val="none"/>
        </w:rPr>
        <w:t>四、响应文件提交</w:t>
      </w:r>
    </w:p>
    <w:p w14:paraId="4BBC3A1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时30分（北京时间）</w:t>
      </w:r>
    </w:p>
    <w:p w14:paraId="7E7EC55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地点（网址）：登录</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在线提交。</w:t>
      </w:r>
    </w:p>
    <w:p w14:paraId="09887402">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3932EED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rPr>
        <w:t>30分（北京时间）截标后</w:t>
      </w:r>
      <w:r>
        <w:rPr>
          <w:rFonts w:hint="eastAsia" w:ascii="宋体" w:hAnsi="宋体" w:eastAsia="宋体" w:cs="宋体"/>
          <w:bCs/>
          <w:color w:val="auto"/>
          <w:sz w:val="24"/>
          <w:szCs w:val="24"/>
          <w:highlight w:val="none"/>
        </w:rPr>
        <w:t>。</w:t>
      </w:r>
    </w:p>
    <w:p w14:paraId="02290A9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地点：通过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p w14:paraId="57E7AC3F">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1E6E076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54BEB860">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37"/>
      <w:bookmarkEnd w:id="38"/>
      <w:bookmarkEnd w:id="39"/>
      <w:bookmarkEnd w:id="40"/>
      <w:bookmarkEnd w:id="41"/>
      <w:bookmarkEnd w:id="42"/>
    </w:p>
    <w:p w14:paraId="6AD7DF17">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资格条件特别说明：</w:t>
      </w:r>
    </w:p>
    <w:p w14:paraId="2A35555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F98A0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DA4EA1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2.本项目需要落实的政府采购政策：</w:t>
      </w:r>
    </w:p>
    <w:p w14:paraId="22C4084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（1）《政府采购促进中小企业发展管理办法》（财库〔2020〕46号）。</w:t>
      </w:r>
    </w:p>
    <w:p w14:paraId="55DD088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（2）《关于进一步加大政府采购支持中小企业力度的通知》（财库〔2022〕19号）。</w:t>
      </w:r>
    </w:p>
    <w:p w14:paraId="0B5BA93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（3）《关于政府采购支持监狱企业发展有关问题的通知》（财库〔2014〕68号）。</w:t>
      </w:r>
    </w:p>
    <w:p w14:paraId="05368B0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（4）《关于促进残疾人就业政府采购政策的通知》（财库〔2017〕141号）。</w:t>
      </w:r>
    </w:p>
    <w:p w14:paraId="6951CA53">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）本项目专门面向中小微企业采购。</w:t>
      </w:r>
    </w:p>
    <w:p w14:paraId="273DB540">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56FED80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3.信息公告发布媒体：</w:t>
      </w:r>
      <w:r>
        <w:rPr>
          <w:rFonts w:hint="eastAsia" w:ascii="宋体" w:hAnsi="宋体" w:eastAsia="宋体" w:cs="宋体"/>
          <w:color w:val="auto"/>
          <w:sz w:val="24"/>
          <w:szCs w:val="24"/>
          <w:highlight w:val="none"/>
        </w:rPr>
        <w:t>中国政府采购网（www.ccgp.gov.cn）、广西壮族自治区政府采购网（www.ccgp-guangxi.gov.cn）、桂林市政府采购网（zfcg.czj.guilin.gov.cn）。</w:t>
      </w:r>
    </w:p>
    <w:p w14:paraId="3CAA79E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.在线投标响应（电子投标）说明</w:t>
      </w:r>
    </w:p>
    <w:p w14:paraId="44584CD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实行在线投标响应（电子投标），供应商需要先安装</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，并按照本竞争性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编制并加密电子响应文件。供应商未按规定编制并加密的电子响应文件，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将予以拒收。</w:t>
      </w:r>
      <w:r>
        <w:rPr>
          <w:rFonts w:hint="eastAsia" w:ascii="宋体" w:hAnsi="宋体" w:eastAsia="宋体" w:cs="宋体"/>
          <w:color w:val="auto"/>
          <w:sz w:val="24"/>
          <w:szCs w:val="24"/>
          <w:highlight w:val="none"/>
          <w:lang w:eastAsia="zh-CN"/>
        </w:rPr>
        <w:t>广西政府采购云平台新版客户端（新版客户端请自行前往广西政府采购云平台或广西政府采购网依次进入“办事服务—下载专区”）下载</w:t>
      </w:r>
      <w:r>
        <w:rPr>
          <w:rFonts w:hint="eastAsia" w:ascii="宋体" w:hAnsi="宋体" w:eastAsia="宋体" w:cs="宋体"/>
          <w:color w:val="auto"/>
          <w:sz w:val="24"/>
          <w:szCs w:val="24"/>
          <w:highlight w:val="none"/>
        </w:rPr>
        <w:t>并安装；电子投标具体操作流程参考《政府采购项目电子交易管理操作指南-供应商》；</w:t>
      </w:r>
    </w:p>
    <w:p w14:paraId="486C35A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1C31F7A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（3）供应商应当在响应文件递交截止时间前，将生成的“电子响应文件”上传递交至</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。响应文件递交截止时间前可以撤回电子响应文件。补充或者修改电子响应文件的，应当先行撤回原文件，补充、修改后重新传输递交，响应文件递交截止时间前未完成传输的，视为撤回电子响应文件。</w:t>
      </w:r>
    </w:p>
    <w:p w14:paraId="6A8073A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本项目需要供应商代表在截标当天截标后，按</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小组要求及时登陆</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等候在线</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及提交最后报价。</w:t>
      </w:r>
    </w:p>
    <w:p w14:paraId="784318E0">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）本采购项目为政采云全流程电子化操作，参与</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的供应商需自备计算机和网络设备（设备需可视频通话和读取政采云CA数字证书），确保</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过程顺利进行；因供应商自身设备或网络原因造成的一切后果，由供应商自行承担。</w:t>
      </w:r>
    </w:p>
    <w:bookmarkEnd w:id="33"/>
    <w:bookmarkEnd w:id="34"/>
    <w:bookmarkEnd w:id="35"/>
    <w:bookmarkEnd w:id="36"/>
    <w:p w14:paraId="77B96566">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5DA6C2E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1B5F77D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灌阳县水利局</w:t>
      </w:r>
    </w:p>
    <w:p w14:paraId="7D90B78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桂林市灌阳县灌阳镇胜利路66号</w:t>
      </w:r>
    </w:p>
    <w:p w14:paraId="1F44840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项目联系人：翟</w:t>
      </w:r>
      <w:r>
        <w:rPr>
          <w:rFonts w:hint="eastAsia" w:ascii="宋体" w:hAnsi="宋体" w:cs="宋体"/>
          <w:bCs/>
          <w:color w:val="auto"/>
          <w:sz w:val="24"/>
          <w:szCs w:val="24"/>
          <w:highlight w:val="none"/>
          <w:lang w:eastAsia="zh-CN"/>
        </w:rPr>
        <w:t>工</w:t>
      </w:r>
    </w:p>
    <w:p w14:paraId="7585346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项目联系方式：0773-4212337</w:t>
      </w:r>
    </w:p>
    <w:p w14:paraId="6917432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43" w:name="_Toc28359086"/>
      <w:bookmarkStart w:id="44" w:name="_Toc28359009"/>
      <w:r>
        <w:rPr>
          <w:rFonts w:hint="eastAsia" w:ascii="宋体" w:hAnsi="宋体" w:eastAsia="宋体" w:cs="宋体"/>
          <w:bCs/>
          <w:color w:val="auto"/>
          <w:sz w:val="24"/>
          <w:szCs w:val="24"/>
          <w:highlight w:val="none"/>
        </w:rPr>
        <w:t>2.采购代理机构信息</w:t>
      </w:r>
      <w:bookmarkEnd w:id="43"/>
      <w:bookmarkEnd w:id="44"/>
    </w:p>
    <w:p w14:paraId="15AC2C8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桂林聚格项目管理有限公司</w:t>
      </w:r>
    </w:p>
    <w:p w14:paraId="52808F6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桂林市七星区普陀路59号综合楼</w:t>
      </w:r>
    </w:p>
    <w:p w14:paraId="59304D5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eastAsia="宋体" w:cs="宋体"/>
          <w:bCs/>
          <w:color w:val="auto"/>
          <w:sz w:val="24"/>
          <w:szCs w:val="24"/>
          <w:highlight w:val="none"/>
          <w:lang w:eastAsia="zh-CN"/>
        </w:rPr>
        <w:t>李秋云、何维</w:t>
      </w:r>
    </w:p>
    <w:p w14:paraId="65C79F2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eastAsia="宋体" w:cs="宋体"/>
          <w:bCs/>
          <w:color w:val="auto"/>
          <w:sz w:val="24"/>
          <w:szCs w:val="24"/>
          <w:highlight w:val="none"/>
          <w:lang w:eastAsia="zh-CN"/>
        </w:rPr>
        <w:t>0773-5352811</w:t>
      </w:r>
    </w:p>
    <w:p w14:paraId="33D11268">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4A8691F1">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58BA3294">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p>
    <w:p w14:paraId="6D534450">
      <w:pPr>
        <w:rPr>
          <w:rFonts w:hint="eastAsia" w:ascii="宋体" w:hAnsi="宋体" w:eastAsia="宋体" w:cs="宋体"/>
          <w:color w:val="auto"/>
          <w:highlight w:val="none"/>
        </w:rPr>
      </w:pPr>
    </w:p>
    <w:p w14:paraId="42793233">
      <w:pPr>
        <w:pStyle w:val="24"/>
        <w:ind w:left="0" w:leftChars="0" w:firstLine="0" w:firstLineChars="0"/>
        <w:rPr>
          <w:rFonts w:hint="eastAsia"/>
          <w:color w:val="auto"/>
          <w:highlight w:val="none"/>
        </w:rPr>
      </w:pPr>
    </w:p>
    <w:p w14:paraId="6BD798F1">
      <w:pPr>
        <w:jc w:val="center"/>
        <w:outlineLvl w:val="0"/>
        <w:rPr>
          <w:rFonts w:hint="eastAsia" w:ascii="华文中宋" w:hAnsi="华文中宋" w:eastAsia="华文中宋" w:cs="华文中宋"/>
          <w:b/>
          <w:bCs/>
          <w:color w:val="auto"/>
          <w:sz w:val="32"/>
          <w:szCs w:val="32"/>
          <w:highlight w:val="none"/>
          <w:lang w:val="en-US" w:eastAsia="zh-CN"/>
        </w:rPr>
      </w:pPr>
      <w:bookmarkStart w:id="45" w:name="_Toc26924"/>
      <w:bookmarkStart w:id="46" w:name="_Toc31707"/>
      <w:r>
        <w:rPr>
          <w:rFonts w:hint="eastAsia" w:ascii="华文中宋" w:hAnsi="华文中宋" w:eastAsia="华文中宋" w:cs="华文中宋"/>
          <w:b/>
          <w:bCs/>
          <w:color w:val="auto"/>
          <w:sz w:val="32"/>
          <w:szCs w:val="32"/>
          <w:highlight w:val="none"/>
          <w:lang w:val="en-US" w:eastAsia="zh-CN"/>
        </w:rPr>
        <w:br w:type="page"/>
      </w:r>
      <w:bookmarkStart w:id="47" w:name="_Toc25758"/>
      <w:r>
        <w:rPr>
          <w:rFonts w:hint="eastAsia" w:ascii="Times New Roman" w:hAnsi="Times New Roman" w:eastAsia="宋体" w:cs="Times New Roman"/>
          <w:b/>
          <w:bCs/>
          <w:color w:val="auto"/>
          <w:kern w:val="44"/>
          <w:sz w:val="32"/>
          <w:szCs w:val="32"/>
          <w:highlight w:val="none"/>
          <w:lang w:val="en-US" w:eastAsia="zh-CN" w:bidi="ar-SA"/>
        </w:rPr>
        <w:t>第二章</w:t>
      </w:r>
      <w:r>
        <w:rPr>
          <w:rFonts w:hint="eastAsia" w:eastAsia="宋体" w:cs="Times New Roman"/>
          <w:b/>
          <w:bCs/>
          <w:color w:val="auto"/>
          <w:kern w:val="44"/>
          <w:sz w:val="32"/>
          <w:szCs w:val="32"/>
          <w:highlight w:val="none"/>
          <w:lang w:val="en-US" w:eastAsia="zh-CN" w:bidi="ar-SA"/>
        </w:rPr>
        <w:t xml:space="preserve"> </w:t>
      </w:r>
      <w:r>
        <w:rPr>
          <w:rFonts w:hint="eastAsia" w:ascii="Times New Roman" w:hAnsi="Times New Roman" w:eastAsia="宋体" w:cs="Times New Roman"/>
          <w:b/>
          <w:bCs/>
          <w:color w:val="auto"/>
          <w:kern w:val="44"/>
          <w:sz w:val="32"/>
          <w:szCs w:val="32"/>
          <w:highlight w:val="none"/>
          <w:lang w:val="en-US" w:eastAsia="zh-CN" w:bidi="ar-SA"/>
        </w:rPr>
        <w:t>供应商须知</w:t>
      </w:r>
      <w:bookmarkEnd w:id="45"/>
      <w:bookmarkEnd w:id="46"/>
      <w:bookmarkEnd w:id="47"/>
    </w:p>
    <w:p w14:paraId="58345FE0">
      <w:pPr>
        <w:tabs>
          <w:tab w:val="left" w:pos="1065"/>
          <w:tab w:val="center" w:pos="4411"/>
        </w:tabs>
        <w:spacing w:line="340" w:lineRule="exact"/>
        <w:jc w:val="center"/>
        <w:rPr>
          <w:rFonts w:hint="eastAsia" w:eastAsia="宋体"/>
          <w:b/>
          <w:color w:val="auto"/>
          <w:sz w:val="28"/>
          <w:szCs w:val="28"/>
          <w:highlight w:val="none"/>
        </w:rPr>
      </w:pPr>
      <w:bookmarkStart w:id="48" w:name="_Toc10555"/>
      <w:bookmarkStart w:id="49" w:name="_Toc25063"/>
      <w:bookmarkStart w:id="50" w:name="_Toc9508"/>
      <w:bookmarkStart w:id="51" w:name="_Toc1585"/>
      <w:bookmarkStart w:id="52" w:name="_Toc13800"/>
      <w:bookmarkStart w:id="53" w:name="_Toc13547"/>
      <w:r>
        <w:rPr>
          <w:rFonts w:hint="eastAsia" w:eastAsia="宋体"/>
          <w:b/>
          <w:color w:val="auto"/>
          <w:sz w:val="28"/>
          <w:szCs w:val="28"/>
          <w:highlight w:val="none"/>
        </w:rPr>
        <w:t>供应商须知前附表</w:t>
      </w:r>
      <w:bookmarkEnd w:id="48"/>
      <w:bookmarkEnd w:id="49"/>
      <w:bookmarkEnd w:id="50"/>
      <w:bookmarkEnd w:id="51"/>
      <w:bookmarkEnd w:id="52"/>
      <w:bookmarkEnd w:id="53"/>
    </w:p>
    <w:tbl>
      <w:tblPr>
        <w:tblStyle w:val="54"/>
        <w:tblW w:w="9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42"/>
        <w:gridCol w:w="1775"/>
        <w:gridCol w:w="6221"/>
      </w:tblGrid>
      <w:tr w14:paraId="054D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02" w:type="dxa"/>
            <w:shd w:val="clear" w:color="auto" w:fill="8DB3E2"/>
            <w:noWrap w:val="0"/>
            <w:vAlign w:val="center"/>
          </w:tcPr>
          <w:p w14:paraId="4F998A6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2" w:type="dxa"/>
            <w:shd w:val="clear" w:color="auto" w:fill="8DB3E2"/>
            <w:noWrap w:val="0"/>
            <w:vAlign w:val="center"/>
          </w:tcPr>
          <w:p w14:paraId="018662D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75" w:type="dxa"/>
            <w:shd w:val="clear" w:color="auto" w:fill="8DB3E2"/>
            <w:noWrap w:val="0"/>
            <w:vAlign w:val="center"/>
          </w:tcPr>
          <w:p w14:paraId="1B30583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21" w:type="dxa"/>
            <w:shd w:val="clear" w:color="auto" w:fill="8DB3E2"/>
            <w:noWrap w:val="0"/>
            <w:vAlign w:val="center"/>
          </w:tcPr>
          <w:p w14:paraId="5B29FF0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w:t>
            </w:r>
          </w:p>
        </w:tc>
      </w:tr>
      <w:tr w14:paraId="7790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noWrap w:val="0"/>
            <w:vAlign w:val="center"/>
          </w:tcPr>
          <w:p w14:paraId="0DF1A9B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2" w:type="dxa"/>
            <w:noWrap w:val="0"/>
            <w:vAlign w:val="center"/>
          </w:tcPr>
          <w:p w14:paraId="0C8C088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5" w:type="dxa"/>
            <w:noWrap w:val="0"/>
            <w:vAlign w:val="center"/>
          </w:tcPr>
          <w:p w14:paraId="4346932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项目名称及项目编号</w:t>
            </w:r>
          </w:p>
        </w:tc>
        <w:tc>
          <w:tcPr>
            <w:tcW w:w="6221" w:type="dxa"/>
            <w:noWrap w:val="0"/>
            <w:vAlign w:val="center"/>
          </w:tcPr>
          <w:p w14:paraId="4054ECCF">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灌阳县2024年中央财政水利发展资金小型水库工程维修养护项目</w:t>
            </w:r>
          </w:p>
          <w:p w14:paraId="188930FE">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项目编号：GLZC2025-C2-270008-GLJG</w:t>
            </w:r>
          </w:p>
        </w:tc>
      </w:tr>
      <w:tr w14:paraId="14C9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802" w:type="dxa"/>
            <w:noWrap w:val="0"/>
            <w:vAlign w:val="center"/>
          </w:tcPr>
          <w:p w14:paraId="054753E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2" w:type="dxa"/>
            <w:noWrap w:val="0"/>
            <w:vAlign w:val="center"/>
          </w:tcPr>
          <w:p w14:paraId="53A519D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5" w:type="dxa"/>
            <w:noWrap w:val="0"/>
            <w:vAlign w:val="center"/>
          </w:tcPr>
          <w:p w14:paraId="0501D1C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221" w:type="dxa"/>
            <w:noWrap w:val="0"/>
            <w:vAlign w:val="center"/>
          </w:tcPr>
          <w:p w14:paraId="50E8A870">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满足《中华人民共和国政府采购法》第二十二条规定；</w:t>
            </w:r>
          </w:p>
          <w:p w14:paraId="3418C8C0">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3.2落实政府采购政策需满足的资格要求：</w:t>
            </w:r>
            <w:r>
              <w:rPr>
                <w:rFonts w:hint="eastAsia" w:ascii="宋体" w:hAnsi="宋体" w:eastAsia="宋体" w:cs="宋体"/>
                <w:b w:val="0"/>
                <w:bCs w:val="0"/>
                <w:color w:val="auto"/>
                <w:sz w:val="24"/>
                <w:szCs w:val="24"/>
                <w:highlight w:val="none"/>
                <w:u w:val="single"/>
                <w:lang w:val="en-US" w:eastAsia="zh-CN"/>
              </w:rPr>
              <w:t>供应商应为</w:t>
            </w:r>
            <w:r>
              <w:rPr>
                <w:rFonts w:hint="eastAsia" w:ascii="宋体" w:hAnsi="宋体" w:eastAsia="宋体" w:cs="宋体"/>
                <w:b w:val="0"/>
                <w:bCs w:val="0"/>
                <w:color w:val="auto"/>
                <w:sz w:val="24"/>
                <w:szCs w:val="24"/>
                <w:highlight w:val="none"/>
                <w:u w:val="single"/>
              </w:rPr>
              <w:t>中小</w:t>
            </w:r>
            <w:r>
              <w:rPr>
                <w:rFonts w:hint="eastAsia" w:ascii="宋体" w:hAnsi="宋体" w:cs="宋体"/>
                <w:b w:val="0"/>
                <w:bCs w:val="0"/>
                <w:color w:val="auto"/>
                <w:sz w:val="24"/>
                <w:szCs w:val="24"/>
                <w:highlight w:val="none"/>
                <w:u w:val="single"/>
                <w:lang w:eastAsia="zh-CN"/>
              </w:rPr>
              <w:t>企业</w:t>
            </w:r>
            <w:r>
              <w:rPr>
                <w:rFonts w:hint="eastAsia" w:ascii="宋体" w:hAnsi="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eastAsia="zh-CN"/>
              </w:rPr>
              <w:t>小</w:t>
            </w:r>
            <w:r>
              <w:rPr>
                <w:rFonts w:hint="eastAsia" w:ascii="宋体" w:hAnsi="宋体" w:eastAsia="宋体" w:cs="宋体"/>
                <w:b w:val="0"/>
                <w:bCs w:val="0"/>
                <w:color w:val="auto"/>
                <w:sz w:val="24"/>
                <w:szCs w:val="24"/>
                <w:highlight w:val="none"/>
                <w:u w:val="single"/>
              </w:rPr>
              <w:t>微企业</w:t>
            </w:r>
            <w:r>
              <w:rPr>
                <w:rFonts w:hint="eastAsia" w:ascii="宋体" w:hAnsi="宋体" w:eastAsia="宋体" w:cs="宋体"/>
                <w:b w:val="0"/>
                <w:bCs w:val="0"/>
                <w:color w:val="auto"/>
                <w:sz w:val="24"/>
                <w:szCs w:val="24"/>
                <w:highlight w:val="none"/>
                <w:u w:val="single"/>
                <w:lang w:val="en-US" w:eastAsia="zh-CN"/>
              </w:rPr>
              <w:t>。</w:t>
            </w:r>
          </w:p>
          <w:p w14:paraId="53FC6753">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本项目的特定资格要求：</w:t>
            </w:r>
            <w:r>
              <w:rPr>
                <w:rFonts w:hint="eastAsia" w:ascii="宋体" w:hAnsi="宋体" w:cs="宋体"/>
                <w:color w:val="auto"/>
                <w:sz w:val="24"/>
                <w:szCs w:val="24"/>
                <w:highlight w:val="none"/>
                <w:u w:val="single"/>
                <w:lang w:eastAsia="zh-CN"/>
              </w:rPr>
              <w:t>具备水利水电工程施工总承包三级（含以上）资质</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none"/>
              </w:rPr>
              <w:t>具备有效的安全生产许可证</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rPr>
              <w:t>并在人员、设备、资金等方面具备相应的施工能力</w:t>
            </w:r>
            <w:r>
              <w:rPr>
                <w:rFonts w:hint="eastAsia" w:ascii="宋体" w:hAnsi="宋体" w:cs="宋体"/>
                <w:bCs/>
                <w:color w:val="auto"/>
                <w:sz w:val="24"/>
                <w:szCs w:val="24"/>
                <w:highlight w:val="none"/>
                <w:lang w:eastAsia="zh-CN"/>
              </w:rPr>
              <w:t>。其中</w:t>
            </w:r>
            <w:r>
              <w:rPr>
                <w:rFonts w:hint="eastAsia" w:ascii="宋体" w:hAnsi="宋体" w:eastAsia="宋体" w:cs="宋体"/>
                <w:color w:val="auto"/>
                <w:kern w:val="2"/>
                <w:sz w:val="24"/>
                <w:szCs w:val="24"/>
                <w:highlight w:val="none"/>
                <w:lang w:val="en-US" w:eastAsia="zh-CN" w:bidi="ar-SA"/>
              </w:rPr>
              <w:t>拟派项目经理须</w:t>
            </w:r>
            <w:r>
              <w:rPr>
                <w:rFonts w:hint="eastAsia" w:ascii="宋体" w:hAnsi="宋体" w:eastAsia="宋体" w:cs="宋体"/>
                <w:color w:val="auto"/>
                <w:kern w:val="2"/>
                <w:sz w:val="24"/>
                <w:szCs w:val="24"/>
                <w:highlight w:val="none"/>
                <w:u w:val="single"/>
                <w:lang w:val="en-US" w:eastAsia="zh-CN" w:bidi="ar-SA"/>
              </w:rPr>
              <w:t>具备</w:t>
            </w:r>
            <w:r>
              <w:rPr>
                <w:rFonts w:hint="eastAsia" w:ascii="宋体" w:hAnsi="宋体" w:cs="宋体"/>
                <w:b w:val="0"/>
                <w:bCs/>
                <w:color w:val="auto"/>
                <w:kern w:val="2"/>
                <w:sz w:val="24"/>
                <w:szCs w:val="24"/>
                <w:highlight w:val="none"/>
                <w:u w:val="single"/>
                <w:lang w:val="en-US" w:eastAsia="zh-CN" w:bidi="ar-SA"/>
              </w:rPr>
              <w:t>水利水电工程专业二级以上（含本级）</w:t>
            </w:r>
            <w:r>
              <w:rPr>
                <w:rFonts w:hint="eastAsia" w:ascii="宋体" w:hAnsi="宋体" w:cs="宋体"/>
                <w:b w:val="0"/>
                <w:bCs/>
                <w:color w:val="auto"/>
                <w:kern w:val="2"/>
                <w:sz w:val="24"/>
                <w:szCs w:val="24"/>
                <w:highlight w:val="none"/>
                <w:u w:val="none"/>
                <w:lang w:val="en-US" w:eastAsia="zh-CN" w:bidi="ar-SA"/>
              </w:rPr>
              <w:t>注册建造师执业资格</w:t>
            </w:r>
            <w:r>
              <w:rPr>
                <w:rFonts w:hint="eastAsia" w:ascii="宋体" w:hAnsi="宋体" w:eastAsia="宋体" w:cs="宋体"/>
                <w:color w:val="auto"/>
                <w:kern w:val="2"/>
                <w:sz w:val="24"/>
                <w:szCs w:val="24"/>
                <w:highlight w:val="none"/>
                <w:lang w:val="en-US" w:eastAsia="zh-CN" w:bidi="ar-SA"/>
              </w:rPr>
              <w:t>，具备有效的安全生产考核合格证书（B类）。本项目不接受有在建、已中标未开工或已列为其他项目中标候选人第一名的建造师作为项目经理。</w:t>
            </w:r>
          </w:p>
          <w:p w14:paraId="432D17EE">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3.4</w:t>
            </w:r>
            <w:r>
              <w:rPr>
                <w:rFonts w:hint="eastAsia" w:ascii="宋体" w:hAnsi="宋体" w:eastAsia="宋体" w:cs="宋体"/>
                <w:b/>
                <w:bCs w:val="0"/>
                <w:color w:val="auto"/>
                <w:sz w:val="24"/>
                <w:szCs w:val="24"/>
                <w:highlight w:val="none"/>
              </w:rPr>
              <w:t>资格条件特别说明：</w:t>
            </w:r>
          </w:p>
          <w:p w14:paraId="37FCA173">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02F990">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343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noWrap w:val="0"/>
            <w:vAlign w:val="center"/>
          </w:tcPr>
          <w:p w14:paraId="30FCA31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2" w:type="dxa"/>
            <w:noWrap w:val="0"/>
            <w:vAlign w:val="center"/>
          </w:tcPr>
          <w:p w14:paraId="6F699BD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5" w:type="dxa"/>
            <w:noWrap w:val="0"/>
            <w:vAlign w:val="center"/>
          </w:tcPr>
          <w:p w14:paraId="1BAA5DE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221" w:type="dxa"/>
            <w:noWrap w:val="0"/>
            <w:vAlign w:val="center"/>
          </w:tcPr>
          <w:p w14:paraId="0314F84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不论磋商结果如何，供应商均应自行承担所有与磋商有关的全部费用。 </w:t>
            </w:r>
          </w:p>
        </w:tc>
      </w:tr>
      <w:tr w14:paraId="2FDC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802" w:type="dxa"/>
            <w:noWrap w:val="0"/>
            <w:vAlign w:val="center"/>
          </w:tcPr>
          <w:p w14:paraId="148CF9C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2" w:type="dxa"/>
            <w:noWrap w:val="0"/>
            <w:vAlign w:val="center"/>
          </w:tcPr>
          <w:p w14:paraId="33A2693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val="en-US" w:eastAsia="zh-CN"/>
              </w:rPr>
            </w:pPr>
            <w:r>
              <w:rPr>
                <w:rFonts w:hint="eastAsia" w:ascii="宋体" w:hAnsi="宋体" w:eastAsia="宋体" w:cs="宋体"/>
                <w:color w:val="auto"/>
                <w:position w:val="-2"/>
                <w:sz w:val="24"/>
                <w:szCs w:val="24"/>
                <w:highlight w:val="none"/>
                <w:lang w:val="en-US" w:eastAsia="zh-CN"/>
              </w:rPr>
              <w:t>13.1</w:t>
            </w:r>
          </w:p>
        </w:tc>
        <w:tc>
          <w:tcPr>
            <w:tcW w:w="1775" w:type="dxa"/>
            <w:noWrap w:val="0"/>
            <w:vAlign w:val="center"/>
          </w:tcPr>
          <w:p w14:paraId="773438FA">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磋商报价及采购预算金额</w:t>
            </w:r>
          </w:p>
        </w:tc>
        <w:tc>
          <w:tcPr>
            <w:tcW w:w="6221" w:type="dxa"/>
            <w:noWrap w:val="0"/>
            <w:vAlign w:val="center"/>
          </w:tcPr>
          <w:p w14:paraId="5EFF5F05">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13.1磋商报价应按磋商文件中相关附表格式填写。</w:t>
            </w:r>
          </w:p>
          <w:p w14:paraId="1B09693C">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本项目预算总造价（人民币）：</w:t>
            </w:r>
            <w:r>
              <w:rPr>
                <w:rFonts w:hint="eastAsia" w:ascii="宋体" w:hAnsi="宋体" w:cs="宋体"/>
                <w:color w:val="auto"/>
                <w:sz w:val="24"/>
                <w:szCs w:val="24"/>
                <w:highlight w:val="none"/>
                <w:lang w:val="en-US" w:eastAsia="zh-CN"/>
              </w:rPr>
              <w:t>1401210.31</w:t>
            </w:r>
            <w:r>
              <w:rPr>
                <w:rFonts w:hint="eastAsia" w:ascii="宋体" w:hAnsi="宋体" w:eastAsia="宋体" w:cs="宋体"/>
                <w:color w:val="auto"/>
                <w:sz w:val="24"/>
                <w:szCs w:val="24"/>
                <w:highlight w:val="none"/>
                <w:lang w:val="en-US" w:eastAsia="zh-CN"/>
              </w:rPr>
              <w:t>元作为招标控制价，磋商报价超过招标控制价</w:t>
            </w:r>
            <w:r>
              <w:rPr>
                <w:rFonts w:hint="eastAsia" w:ascii="宋体" w:hAnsi="宋体" w:cs="宋体"/>
                <w:color w:val="auto"/>
                <w:sz w:val="24"/>
                <w:szCs w:val="24"/>
                <w:highlight w:val="none"/>
                <w:lang w:val="en-US" w:eastAsia="zh-CN"/>
              </w:rPr>
              <w:t>1401210.31</w:t>
            </w:r>
            <w:r>
              <w:rPr>
                <w:rFonts w:hint="eastAsia" w:ascii="宋体" w:hAnsi="宋体" w:eastAsia="宋体" w:cs="宋体"/>
                <w:color w:val="auto"/>
                <w:sz w:val="24"/>
                <w:szCs w:val="24"/>
                <w:highlight w:val="none"/>
                <w:lang w:val="en-US" w:eastAsia="zh-CN"/>
              </w:rPr>
              <w:t>元的，响应文件作无效处理。</w:t>
            </w:r>
          </w:p>
          <w:p w14:paraId="071CC9D0">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55D9D9B4">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13.3供应商应在规定时间内在</w:t>
            </w:r>
            <w:r>
              <w:rPr>
                <w:rFonts w:hint="eastAsia" w:ascii="宋体" w:hAnsi="宋体" w:cs="宋体"/>
                <w:color w:val="auto"/>
                <w:sz w:val="24"/>
                <w:szCs w:val="24"/>
                <w:highlight w:val="none"/>
                <w:lang w:val="en-US" w:eastAsia="zh-CN"/>
              </w:rPr>
              <w:t>广西政府采购云平台系统</w:t>
            </w:r>
            <w:r>
              <w:rPr>
                <w:rFonts w:hint="eastAsia" w:ascii="宋体" w:hAnsi="宋体" w:eastAsia="宋体" w:cs="宋体"/>
                <w:color w:val="auto"/>
                <w:sz w:val="24"/>
                <w:szCs w:val="24"/>
                <w:highlight w:val="none"/>
                <w:lang w:val="en-US" w:eastAsia="zh-CN"/>
              </w:rPr>
              <w:t>上提交最后报价，超出评委设定的最后报价时限或其最后报价超出采购预算导致已通过评审的响应文件无效的，按供应商在提交响应文件截止时间后撤回响应文件处理。</w:t>
            </w:r>
          </w:p>
          <w:p w14:paraId="0B3CCB29">
            <w:pPr>
              <w:pStyle w:val="2"/>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5F8C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4A3258D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2" w:type="dxa"/>
            <w:noWrap w:val="0"/>
            <w:vAlign w:val="center"/>
          </w:tcPr>
          <w:p w14:paraId="391AEB3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14.1</w:t>
            </w:r>
          </w:p>
        </w:tc>
        <w:tc>
          <w:tcPr>
            <w:tcW w:w="1775" w:type="dxa"/>
            <w:noWrap w:val="0"/>
            <w:vAlign w:val="center"/>
          </w:tcPr>
          <w:p w14:paraId="64C80CF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响应文件有效期</w:t>
            </w:r>
          </w:p>
        </w:tc>
        <w:tc>
          <w:tcPr>
            <w:tcW w:w="6221" w:type="dxa"/>
            <w:noWrap w:val="0"/>
            <w:vAlign w:val="top"/>
          </w:tcPr>
          <w:p w14:paraId="18C3B0B8">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响应文件递交截止时间之日起90天，有效期不足的响应文件将被拒绝。</w:t>
            </w:r>
          </w:p>
        </w:tc>
      </w:tr>
      <w:tr w14:paraId="68F7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2097BAA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2" w:type="dxa"/>
            <w:noWrap w:val="0"/>
            <w:vAlign w:val="center"/>
          </w:tcPr>
          <w:p w14:paraId="206813D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15</w:t>
            </w:r>
          </w:p>
        </w:tc>
        <w:tc>
          <w:tcPr>
            <w:tcW w:w="1775" w:type="dxa"/>
            <w:noWrap w:val="0"/>
            <w:vAlign w:val="center"/>
          </w:tcPr>
          <w:p w14:paraId="64CCAED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lang w:val="en-US" w:eastAsia="zh-CN"/>
              </w:rPr>
              <w:t>磋商</w:t>
            </w:r>
            <w:r>
              <w:rPr>
                <w:rFonts w:hint="eastAsia" w:ascii="宋体" w:hAnsi="宋体" w:eastAsia="宋体" w:cs="宋体"/>
                <w:color w:val="auto"/>
                <w:position w:val="-2"/>
                <w:sz w:val="24"/>
                <w:szCs w:val="24"/>
                <w:highlight w:val="none"/>
              </w:rPr>
              <w:t>保证金</w:t>
            </w:r>
          </w:p>
        </w:tc>
        <w:tc>
          <w:tcPr>
            <w:tcW w:w="6221" w:type="dxa"/>
            <w:noWrap w:val="0"/>
            <w:vAlign w:val="top"/>
          </w:tcPr>
          <w:p w14:paraId="6D8F3963">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本项目无须缴纳</w:t>
            </w: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sz w:val="24"/>
                <w:szCs w:val="24"/>
                <w:highlight w:val="none"/>
                <w:lang w:val="en-US" w:eastAsia="zh-CN"/>
              </w:rPr>
              <w:t>保证金。</w:t>
            </w:r>
          </w:p>
        </w:tc>
      </w:tr>
      <w:tr w14:paraId="7577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07A786F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42" w:type="dxa"/>
            <w:noWrap w:val="0"/>
            <w:vAlign w:val="center"/>
          </w:tcPr>
          <w:p w14:paraId="0612162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75" w:type="dxa"/>
            <w:noWrap w:val="0"/>
            <w:vAlign w:val="center"/>
          </w:tcPr>
          <w:p w14:paraId="20E193B6">
            <w:pPr>
              <w:keepNext w:val="0"/>
              <w:keepLines w:val="0"/>
              <w:pageBreakBefore w:val="0"/>
              <w:widowControl w:val="0"/>
              <w:kinsoku/>
              <w:wordWrap w:val="0"/>
              <w:overflowPunct/>
              <w:topLinePunct w:val="0"/>
              <w:autoSpaceDE/>
              <w:autoSpaceDN/>
              <w:bidi w:val="0"/>
              <w:adjustRightInd/>
              <w:snapToGrid/>
              <w:spacing w:before="0" w:after="0" w:line="420" w:lineRule="exact"/>
              <w:jc w:val="center"/>
              <w:textAlignment w:val="auto"/>
              <w:outlineLvl w:val="9"/>
              <w:rPr>
                <w:rFonts w:hint="eastAsia" w:ascii="宋体" w:hAnsi="宋体" w:eastAsia="宋体" w:cs="宋体"/>
                <w:color w:val="auto"/>
                <w:sz w:val="24"/>
                <w:szCs w:val="24"/>
                <w:highlight w:val="none"/>
                <w:lang w:eastAsia="zh-CN"/>
              </w:rPr>
            </w:pPr>
            <w:bookmarkStart w:id="54" w:name="_Toc12573"/>
            <w:bookmarkStart w:id="55" w:name="_Toc27452"/>
            <w:bookmarkStart w:id="56" w:name="_Toc2356"/>
            <w:bookmarkStart w:id="57" w:name="_Toc19911"/>
            <w:bookmarkStart w:id="58" w:name="_Toc202"/>
            <w:r>
              <w:rPr>
                <w:rFonts w:hint="eastAsia" w:ascii="宋体" w:hAnsi="宋体" w:eastAsia="宋体" w:cs="宋体"/>
                <w:color w:val="auto"/>
                <w:sz w:val="24"/>
                <w:szCs w:val="24"/>
                <w:highlight w:val="none"/>
                <w:lang w:eastAsia="zh-CN"/>
              </w:rPr>
              <w:t>响应文件的制作</w:t>
            </w:r>
            <w:bookmarkEnd w:id="54"/>
            <w:bookmarkEnd w:id="55"/>
            <w:bookmarkEnd w:id="56"/>
            <w:bookmarkEnd w:id="57"/>
            <w:bookmarkEnd w:id="58"/>
          </w:p>
        </w:tc>
        <w:tc>
          <w:tcPr>
            <w:tcW w:w="6221" w:type="dxa"/>
            <w:noWrap w:val="0"/>
            <w:vAlign w:val="center"/>
          </w:tcPr>
          <w:p w14:paraId="73303CDA">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.1电子响应文件中须加盖供应商公章部分均采用 CA 签章，并根据“政府采购项目电子交易管理操作指南-供应商” 及本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文件规定的格式和顺序编制电子响应文件并进行关联定位，以便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时，点击评分项可直接定位到该评分项内容。如对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文件的某项要求，供应商的电子响应文件未能关联定位提供相应的内容与其对应，则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小组在评审时如做出对供应商不利的评审由供应商自行承担。电子响应文件如内容不完整、编排混乱导致响应文件被误读、 漏读，或者在按采购文件规定的部位查找不到相关内容的，由供应商自行承担。</w:t>
            </w:r>
          </w:p>
          <w:p w14:paraId="22CD9E1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供应商法人（负责人）或授权代表持有政采云个人CA签章的，应在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文件中涉及到签字的位置使用个人CA签章，没有办理政采云个人CA签章的可在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文件中涉及到签字的位置手写签字后扫描或者拍照做成 PDF 的格式上传即可。</w:t>
            </w:r>
          </w:p>
          <w:p w14:paraId="14E206C6">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响应文件不得涂改，若有修改错漏处，须法定代表人（负责人）或授权委托人签字</w:t>
            </w:r>
            <w:r>
              <w:rPr>
                <w:rFonts w:hint="eastAsia" w:ascii="宋体" w:hAnsi="宋体" w:eastAsia="宋体" w:cs="宋体"/>
                <w:color w:val="auto"/>
                <w:sz w:val="24"/>
                <w:szCs w:val="24"/>
                <w:highlight w:val="none"/>
                <w:lang w:eastAsia="zh-CN"/>
              </w:rPr>
              <w:t>（或个人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。响应文件因字迹潦草或表达不清所引起的后果由供应商负责。</w:t>
            </w:r>
          </w:p>
          <w:p w14:paraId="5442595F">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028E380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653B0DC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6881C6F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登录客户端进行响应文件制作。新版客户端请自行前往广西政府采购云平台或广西政府采购网依次进入“办事服务—下载专区”下载专区查看，如有问题可拨打政采云客户服务热线 95763 进行咨询。</w:t>
            </w:r>
          </w:p>
        </w:tc>
      </w:tr>
      <w:tr w14:paraId="6BB1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2" w:type="dxa"/>
            <w:noWrap w:val="0"/>
            <w:vAlign w:val="center"/>
          </w:tcPr>
          <w:p w14:paraId="060EE4A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42" w:type="dxa"/>
            <w:noWrap w:val="0"/>
            <w:vAlign w:val="center"/>
          </w:tcPr>
          <w:p w14:paraId="184688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1775" w:type="dxa"/>
            <w:noWrap w:val="0"/>
            <w:vAlign w:val="center"/>
          </w:tcPr>
          <w:p w14:paraId="6303301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221" w:type="dxa"/>
            <w:noWrap w:val="0"/>
            <w:vAlign w:val="center"/>
          </w:tcPr>
          <w:p w14:paraId="30E9AD9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8 </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电子响应文件</w:t>
            </w:r>
            <w:r>
              <w:rPr>
                <w:rFonts w:hint="eastAsia" w:ascii="宋体" w:hAnsi="宋体" w:eastAsia="宋体" w:cs="宋体"/>
                <w:color w:val="auto"/>
                <w:sz w:val="24"/>
                <w:szCs w:val="24"/>
                <w:highlight w:val="none"/>
              </w:rPr>
              <w:t>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tc>
      </w:tr>
      <w:tr w14:paraId="0114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2" w:type="dxa"/>
            <w:noWrap w:val="0"/>
            <w:vAlign w:val="center"/>
          </w:tcPr>
          <w:p w14:paraId="669C389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eastAsia="zh-CN"/>
              </w:rPr>
            </w:pPr>
            <w:r>
              <w:rPr>
                <w:rFonts w:hint="eastAsia" w:ascii="宋体" w:hAnsi="宋体" w:eastAsia="宋体" w:cs="宋体"/>
                <w:color w:val="auto"/>
                <w:position w:val="-2"/>
                <w:sz w:val="24"/>
                <w:szCs w:val="24"/>
                <w:highlight w:val="none"/>
                <w:lang w:val="en-US" w:eastAsia="zh-CN"/>
              </w:rPr>
              <w:t>9</w:t>
            </w:r>
          </w:p>
        </w:tc>
        <w:tc>
          <w:tcPr>
            <w:tcW w:w="942" w:type="dxa"/>
            <w:noWrap w:val="0"/>
            <w:vAlign w:val="center"/>
          </w:tcPr>
          <w:p w14:paraId="5FC9057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18.2</w:t>
            </w:r>
          </w:p>
        </w:tc>
        <w:tc>
          <w:tcPr>
            <w:tcW w:w="1775" w:type="dxa"/>
            <w:noWrap w:val="0"/>
            <w:vAlign w:val="center"/>
          </w:tcPr>
          <w:p w14:paraId="03AED2F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sz w:val="24"/>
                <w:szCs w:val="24"/>
                <w:highlight w:val="none"/>
                <w:lang w:eastAsia="zh-CN"/>
              </w:rPr>
              <w:t>响应文件解密时间</w:t>
            </w:r>
          </w:p>
        </w:tc>
        <w:tc>
          <w:tcPr>
            <w:tcW w:w="6221" w:type="dxa"/>
            <w:noWrap w:val="0"/>
            <w:vAlign w:val="center"/>
          </w:tcPr>
          <w:p w14:paraId="0403ED33">
            <w:pPr>
              <w:pStyle w:val="19"/>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eastAsia="宋体" w:cs="宋体"/>
                <w:color w:val="auto"/>
                <w:sz w:val="24"/>
                <w:szCs w:val="24"/>
                <w:highlight w:val="none"/>
              </w:rPr>
              <w:t>桂林市公共资源交易中心</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lang w:eastAsia="zh-CN"/>
              </w:rPr>
              <w:t>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操作规范上传至</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tc>
      </w:tr>
      <w:tr w14:paraId="7F6B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2" w:type="dxa"/>
            <w:noWrap w:val="0"/>
            <w:vAlign w:val="center"/>
          </w:tcPr>
          <w:p w14:paraId="6D29A3A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2" w:type="dxa"/>
            <w:noWrap w:val="0"/>
            <w:vAlign w:val="center"/>
          </w:tcPr>
          <w:p w14:paraId="722552CA">
            <w:pPr>
              <w:keepNext w:val="0"/>
              <w:keepLines w:val="0"/>
              <w:pageBreakBefore w:val="0"/>
              <w:widowControl w:val="0"/>
              <w:kinsoku/>
              <w:wordWrap w:val="0"/>
              <w:overflowPunct/>
              <w:topLinePunct w:val="0"/>
              <w:autoSpaceDE/>
              <w:autoSpaceDN/>
              <w:bidi w:val="0"/>
              <w:adjustRightInd/>
              <w:snapToGrid/>
              <w:spacing w:line="420" w:lineRule="exact"/>
              <w:ind w:firstLine="120" w:firstLineChars="5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19.1</w:t>
            </w:r>
          </w:p>
        </w:tc>
        <w:tc>
          <w:tcPr>
            <w:tcW w:w="1775" w:type="dxa"/>
            <w:noWrap w:val="0"/>
            <w:vAlign w:val="center"/>
          </w:tcPr>
          <w:p w14:paraId="1687AF8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磋商小组组成</w:t>
            </w:r>
          </w:p>
        </w:tc>
        <w:tc>
          <w:tcPr>
            <w:tcW w:w="6221" w:type="dxa"/>
            <w:noWrap w:val="0"/>
            <w:vAlign w:val="center"/>
          </w:tcPr>
          <w:p w14:paraId="54AD0CFA">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tc>
      </w:tr>
      <w:tr w14:paraId="7849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02" w:type="dxa"/>
            <w:noWrap w:val="0"/>
            <w:vAlign w:val="center"/>
          </w:tcPr>
          <w:p w14:paraId="48A1CF1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42" w:type="dxa"/>
            <w:noWrap w:val="0"/>
            <w:vAlign w:val="center"/>
          </w:tcPr>
          <w:p w14:paraId="288B983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1775" w:type="dxa"/>
            <w:noWrap w:val="0"/>
            <w:vAlign w:val="center"/>
          </w:tcPr>
          <w:p w14:paraId="30D5173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磋商时间、地点、人员</w:t>
            </w:r>
          </w:p>
        </w:tc>
        <w:tc>
          <w:tcPr>
            <w:tcW w:w="6221" w:type="dxa"/>
            <w:noWrap w:val="0"/>
            <w:vAlign w:val="top"/>
          </w:tcPr>
          <w:p w14:paraId="77D6ED7D">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19.2.1磋商时间：响应文件递交截止时间后。</w:t>
            </w:r>
          </w:p>
          <w:p w14:paraId="236F254A">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19.2.2磋商地点：</w:t>
            </w:r>
            <w:r>
              <w:rPr>
                <w:rFonts w:hint="eastAsia" w:ascii="宋体" w:hAnsi="宋体" w:eastAsia="宋体" w:cs="宋体"/>
                <w:bCs/>
                <w:color w:val="auto"/>
                <w:sz w:val="24"/>
                <w:szCs w:val="24"/>
                <w:highlight w:val="none"/>
              </w:rPr>
              <w:t>供应商代表在响应文件提交当天实时登录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4E2F3BB6">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19.2.3磋商参加人员：</w:t>
            </w:r>
            <w:r>
              <w:rPr>
                <w:rFonts w:hint="eastAsia" w:ascii="宋体" w:hAnsi="宋体" w:eastAsia="宋体" w:cs="宋体"/>
                <w:color w:val="auto"/>
                <w:sz w:val="24"/>
                <w:szCs w:val="24"/>
                <w:highlight w:val="none"/>
              </w:rPr>
              <w:t>供应商法定代表人、负责人、自然人或相应的委托代理人参加磋商。请供应商</w:t>
            </w:r>
            <w:r>
              <w:rPr>
                <w:rFonts w:hint="eastAsia" w:ascii="宋体" w:hAnsi="宋体" w:eastAsia="宋体" w:cs="宋体"/>
                <w:bCs/>
                <w:color w:val="auto"/>
                <w:sz w:val="24"/>
                <w:szCs w:val="24"/>
                <w:highlight w:val="none"/>
              </w:rPr>
              <w:t>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等候在线磋商。</w:t>
            </w:r>
          </w:p>
          <w:p w14:paraId="2C2F2F51">
            <w:pPr>
              <w:keepNext w:val="0"/>
              <w:keepLines w:val="0"/>
              <w:pageBreakBefore w:val="0"/>
              <w:widowControl w:val="0"/>
              <w:tabs>
                <w:tab w:val="left" w:pos="1140"/>
              </w:tabs>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19.2.4响应文件递交截止时间后，</w:t>
            </w:r>
            <w:r>
              <w:rPr>
                <w:rFonts w:hint="eastAsia" w:ascii="宋体" w:hAnsi="宋体" w:eastAsia="宋体" w:cs="宋体"/>
                <w:color w:val="auto"/>
                <w:sz w:val="24"/>
                <w:szCs w:val="24"/>
                <w:highlight w:val="none"/>
              </w:rPr>
              <w:t>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tc>
      </w:tr>
      <w:tr w14:paraId="0BC6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2" w:type="dxa"/>
            <w:noWrap w:val="0"/>
            <w:vAlign w:val="center"/>
          </w:tcPr>
          <w:p w14:paraId="3A8B337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942" w:type="dxa"/>
            <w:noWrap w:val="0"/>
            <w:vAlign w:val="center"/>
          </w:tcPr>
          <w:p w14:paraId="4DA8ED5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p>
        </w:tc>
        <w:tc>
          <w:tcPr>
            <w:tcW w:w="1775" w:type="dxa"/>
            <w:noWrap w:val="0"/>
            <w:vAlign w:val="center"/>
          </w:tcPr>
          <w:p w14:paraId="66E58EB5">
            <w:pPr>
              <w:pStyle w:val="28"/>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221" w:type="dxa"/>
            <w:noWrap w:val="0"/>
            <w:vAlign w:val="center"/>
          </w:tcPr>
          <w:p w14:paraId="36F2B615">
            <w:pPr>
              <w:keepNext w:val="0"/>
              <w:keepLines w:val="0"/>
              <w:pageBreakBefore w:val="0"/>
              <w:widowControl w:val="0"/>
              <w:tabs>
                <w:tab w:val="left" w:pos="114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具体详见第四章评审办法。</w:t>
            </w:r>
          </w:p>
        </w:tc>
      </w:tr>
      <w:tr w14:paraId="35B7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20F6A12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42" w:type="dxa"/>
            <w:noWrap w:val="0"/>
            <w:vAlign w:val="center"/>
          </w:tcPr>
          <w:p w14:paraId="3F0B06A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5" w:type="dxa"/>
            <w:noWrap w:val="0"/>
            <w:vAlign w:val="center"/>
          </w:tcPr>
          <w:p w14:paraId="3755ED6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221" w:type="dxa"/>
            <w:noWrap w:val="0"/>
            <w:vAlign w:val="center"/>
          </w:tcPr>
          <w:p w14:paraId="024B8E60">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74981E54">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7F23D40D">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⑵查询时间：成交通知书发出前；</w:t>
            </w:r>
          </w:p>
          <w:p w14:paraId="3C622FDF">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⑶信用信息查询记录和证据留存方式：在查询网站中直接打印查询记录，打印材料作为采购活动资料保存；</w:t>
            </w:r>
          </w:p>
          <w:p w14:paraId="2CD6F717">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06C7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noWrap w:val="0"/>
            <w:vAlign w:val="center"/>
          </w:tcPr>
          <w:p w14:paraId="4547F15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42" w:type="dxa"/>
            <w:noWrap w:val="0"/>
            <w:vAlign w:val="center"/>
          </w:tcPr>
          <w:p w14:paraId="5CC3574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5" w:type="dxa"/>
            <w:noWrap w:val="0"/>
            <w:vAlign w:val="center"/>
          </w:tcPr>
          <w:p w14:paraId="642B851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成交结果公告及成交通知书</w:t>
            </w:r>
          </w:p>
        </w:tc>
        <w:tc>
          <w:tcPr>
            <w:tcW w:w="6221" w:type="dxa"/>
            <w:noWrap w:val="0"/>
            <w:vAlign w:val="top"/>
          </w:tcPr>
          <w:p w14:paraId="5748EFB8">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61FDF6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27.2在发布成交公告的同时，采购代理机构向成交供应商发出成交通知书。成交供应商自接到通知之日起七个工作日内，办理成交通知书领取手续。</w:t>
            </w:r>
          </w:p>
        </w:tc>
      </w:tr>
      <w:tr w14:paraId="09C5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2" w:type="dxa"/>
            <w:noWrap w:val="0"/>
            <w:vAlign w:val="center"/>
          </w:tcPr>
          <w:p w14:paraId="35C137A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42" w:type="dxa"/>
            <w:noWrap w:val="0"/>
            <w:vAlign w:val="center"/>
          </w:tcPr>
          <w:p w14:paraId="1AD6964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.1</w:t>
            </w:r>
          </w:p>
        </w:tc>
        <w:tc>
          <w:tcPr>
            <w:tcW w:w="1775" w:type="dxa"/>
            <w:noWrap w:val="0"/>
            <w:vAlign w:val="center"/>
          </w:tcPr>
          <w:p w14:paraId="4B2C514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21" w:type="dxa"/>
            <w:noWrap w:val="0"/>
            <w:vAlign w:val="center"/>
          </w:tcPr>
          <w:p w14:paraId="6ACE2613">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根据《桂林市财政局关于贯彻落实政府采购优化营商环境百日攻坚行动方案的通知》（市财采〔2020〕24号）第四条的规定，本项目免收履约保证金。</w:t>
            </w:r>
          </w:p>
        </w:tc>
      </w:tr>
      <w:tr w14:paraId="03AA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43CC684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2" w:type="dxa"/>
            <w:noWrap w:val="0"/>
            <w:vAlign w:val="center"/>
          </w:tcPr>
          <w:p w14:paraId="1520CD4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1775" w:type="dxa"/>
            <w:noWrap w:val="0"/>
            <w:vAlign w:val="center"/>
          </w:tcPr>
          <w:p w14:paraId="0902980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6221" w:type="dxa"/>
            <w:noWrap w:val="0"/>
            <w:vAlign w:val="top"/>
          </w:tcPr>
          <w:p w14:paraId="199D4A9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eastAsia="zh-CN"/>
              </w:rPr>
              <w:t>成交通知书发出之日起8个工作日内</w:t>
            </w:r>
            <w:r>
              <w:rPr>
                <w:rFonts w:hint="eastAsia" w:ascii="宋体" w:hAnsi="宋体" w:eastAsia="宋体" w:cs="宋体"/>
                <w:bCs/>
                <w:color w:val="auto"/>
                <w:kern w:val="0"/>
                <w:sz w:val="24"/>
                <w:szCs w:val="24"/>
                <w:highlight w:val="none"/>
              </w:rPr>
              <w:t>签订合同</w:t>
            </w:r>
            <w:r>
              <w:rPr>
                <w:rFonts w:hint="eastAsia" w:ascii="宋体" w:hAnsi="宋体" w:eastAsia="宋体" w:cs="宋体"/>
                <w:color w:val="auto"/>
                <w:sz w:val="24"/>
                <w:szCs w:val="24"/>
                <w:highlight w:val="none"/>
              </w:rPr>
              <w:t>。成交供应商领取成交通知书后，应按规定与采购人签订合同。</w:t>
            </w:r>
          </w:p>
        </w:tc>
      </w:tr>
      <w:tr w14:paraId="50E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035106F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42" w:type="dxa"/>
            <w:noWrap w:val="0"/>
            <w:vAlign w:val="center"/>
          </w:tcPr>
          <w:p w14:paraId="7898410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1775" w:type="dxa"/>
            <w:noWrap w:val="0"/>
            <w:vAlign w:val="center"/>
          </w:tcPr>
          <w:p w14:paraId="08BAD9F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合同备案存档</w:t>
            </w:r>
          </w:p>
        </w:tc>
        <w:tc>
          <w:tcPr>
            <w:tcW w:w="6221" w:type="dxa"/>
            <w:noWrap w:val="0"/>
            <w:vAlign w:val="center"/>
          </w:tcPr>
          <w:p w14:paraId="684DD43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eastAsia="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tc>
      </w:tr>
      <w:tr w14:paraId="51D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2F1742A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42" w:type="dxa"/>
            <w:noWrap w:val="0"/>
            <w:vAlign w:val="center"/>
          </w:tcPr>
          <w:p w14:paraId="4425ADD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5" w:type="dxa"/>
            <w:noWrap w:val="0"/>
            <w:vAlign w:val="center"/>
          </w:tcPr>
          <w:p w14:paraId="73B868D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221" w:type="dxa"/>
            <w:noWrap w:val="0"/>
            <w:vAlign w:val="top"/>
          </w:tcPr>
          <w:p w14:paraId="611C7FC6">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成交供应商领取成交通知书前，向</w:t>
            </w:r>
            <w:r>
              <w:rPr>
                <w:rFonts w:hint="eastAsia" w:ascii="宋体" w:hAnsi="宋体" w:cs="宋体"/>
                <w:color w:val="auto"/>
                <w:sz w:val="24"/>
                <w:szCs w:val="24"/>
                <w:highlight w:val="none"/>
                <w:lang w:eastAsia="zh-CN"/>
              </w:rPr>
              <w:t>桂林聚格项目管理有限公司</w:t>
            </w:r>
            <w:r>
              <w:rPr>
                <w:rFonts w:hint="eastAsia" w:ascii="宋体" w:hAnsi="宋体" w:eastAsia="宋体" w:cs="宋体"/>
                <w:color w:val="auto"/>
                <w:sz w:val="24"/>
                <w:szCs w:val="24"/>
                <w:highlight w:val="none"/>
              </w:rPr>
              <w:t>一次性付清代理服务费，本项目的代理服务收费标准参照计价格〔2002〕1980号《招标代理服务收费管理暂行办法》</w:t>
            </w:r>
            <w:r>
              <w:rPr>
                <w:rFonts w:hint="eastAsia" w:ascii="宋体" w:hAnsi="宋体" w:eastAsia="宋体" w:cs="宋体"/>
                <w:color w:val="auto"/>
                <w:sz w:val="24"/>
                <w:szCs w:val="24"/>
                <w:highlight w:val="none"/>
                <w:lang w:eastAsia="zh-CN"/>
              </w:rPr>
              <w:t>工程类</w:t>
            </w:r>
            <w:r>
              <w:rPr>
                <w:rFonts w:hint="eastAsia" w:ascii="宋体" w:hAnsi="宋体" w:eastAsia="宋体" w:cs="宋体"/>
                <w:color w:val="auto"/>
                <w:sz w:val="24"/>
                <w:szCs w:val="24"/>
                <w:highlight w:val="none"/>
              </w:rPr>
              <w:t>收费标准（代理服务费不足人民币</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仟元时，按</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仟元收取）向成交供应商收取。</w:t>
            </w:r>
          </w:p>
        </w:tc>
      </w:tr>
      <w:tr w14:paraId="2AA9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3EDEBE0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42" w:type="dxa"/>
            <w:noWrap w:val="0"/>
            <w:vAlign w:val="center"/>
          </w:tcPr>
          <w:p w14:paraId="5266E31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775" w:type="dxa"/>
            <w:noWrap w:val="0"/>
            <w:vAlign w:val="center"/>
          </w:tcPr>
          <w:p w14:paraId="275E2DB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解释权</w:t>
            </w:r>
          </w:p>
        </w:tc>
        <w:tc>
          <w:tcPr>
            <w:tcW w:w="6221" w:type="dxa"/>
            <w:noWrap w:val="0"/>
            <w:vAlign w:val="top"/>
          </w:tcPr>
          <w:p w14:paraId="7DD530A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70D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2" w:type="dxa"/>
            <w:noWrap w:val="0"/>
            <w:vAlign w:val="center"/>
          </w:tcPr>
          <w:p w14:paraId="27E1633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42" w:type="dxa"/>
            <w:noWrap w:val="0"/>
            <w:vAlign w:val="center"/>
          </w:tcPr>
          <w:p w14:paraId="78316E7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775" w:type="dxa"/>
            <w:noWrap w:val="0"/>
            <w:vAlign w:val="center"/>
          </w:tcPr>
          <w:p w14:paraId="3469CB5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Style w:val="101"/>
                <w:rFonts w:hint="eastAsia" w:ascii="宋体" w:hAnsi="宋体" w:eastAsia="宋体" w:cs="宋体"/>
                <w:b w:val="0"/>
                <w:bCs/>
                <w:color w:val="auto"/>
                <w:sz w:val="24"/>
                <w:szCs w:val="24"/>
                <w:highlight w:val="none"/>
              </w:rPr>
              <w:t>监督</w:t>
            </w:r>
            <w:r>
              <w:rPr>
                <w:rStyle w:val="101"/>
                <w:rFonts w:hint="eastAsia" w:ascii="宋体" w:hAnsi="宋体" w:eastAsia="宋体" w:cs="宋体"/>
                <w:b w:val="0"/>
                <w:bCs/>
                <w:color w:val="auto"/>
                <w:sz w:val="24"/>
                <w:szCs w:val="24"/>
                <w:highlight w:val="none"/>
                <w:lang w:eastAsia="zh-CN"/>
              </w:rPr>
              <w:t>管理</w:t>
            </w:r>
            <w:r>
              <w:rPr>
                <w:rStyle w:val="101"/>
                <w:rFonts w:hint="eastAsia" w:ascii="宋体" w:hAnsi="宋体" w:eastAsia="宋体" w:cs="宋体"/>
                <w:b w:val="0"/>
                <w:bCs/>
                <w:color w:val="auto"/>
                <w:sz w:val="24"/>
                <w:szCs w:val="24"/>
                <w:highlight w:val="none"/>
              </w:rPr>
              <w:t>机构</w:t>
            </w:r>
          </w:p>
        </w:tc>
        <w:tc>
          <w:tcPr>
            <w:tcW w:w="6221" w:type="dxa"/>
            <w:noWrap w:val="0"/>
            <w:vAlign w:val="top"/>
          </w:tcPr>
          <w:p w14:paraId="31BB022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Style w:val="101"/>
                <w:rFonts w:hint="eastAsia" w:ascii="宋体" w:hAnsi="宋体" w:eastAsia="宋体" w:cs="宋体"/>
                <w:b w:val="0"/>
                <w:bCs/>
                <w:color w:val="auto"/>
                <w:sz w:val="24"/>
                <w:szCs w:val="24"/>
                <w:highlight w:val="none"/>
              </w:rPr>
              <w:t>监督</w:t>
            </w:r>
            <w:r>
              <w:rPr>
                <w:rStyle w:val="101"/>
                <w:rFonts w:hint="eastAsia" w:ascii="宋体" w:hAnsi="宋体" w:eastAsia="宋体" w:cs="宋体"/>
                <w:b w:val="0"/>
                <w:bCs/>
                <w:color w:val="auto"/>
                <w:sz w:val="24"/>
                <w:szCs w:val="24"/>
                <w:highlight w:val="none"/>
                <w:lang w:eastAsia="zh-CN"/>
              </w:rPr>
              <w:t>管理</w:t>
            </w:r>
            <w:r>
              <w:rPr>
                <w:rStyle w:val="101"/>
                <w:rFonts w:hint="eastAsia" w:ascii="宋体" w:hAnsi="宋体" w:eastAsia="宋体" w:cs="宋体"/>
                <w:b w:val="0"/>
                <w:bCs/>
                <w:color w:val="auto"/>
                <w:sz w:val="24"/>
                <w:szCs w:val="24"/>
                <w:highlight w:val="none"/>
              </w:rPr>
              <w:t>机构</w:t>
            </w:r>
            <w:r>
              <w:rPr>
                <w:rStyle w:val="101"/>
                <w:rFonts w:hint="eastAsia" w:ascii="宋体" w:hAnsi="宋体" w:cs="宋体"/>
                <w:b w:val="0"/>
                <w:bCs/>
                <w:color w:val="auto"/>
                <w:sz w:val="24"/>
                <w:szCs w:val="24"/>
                <w:highlight w:val="none"/>
                <w:lang w:val="en-US" w:eastAsia="zh-CN"/>
              </w:rPr>
              <w:t>：</w:t>
            </w:r>
            <w:r>
              <w:rPr>
                <w:rFonts w:hint="eastAsia" w:ascii="宋体" w:hAnsi="宋体" w:cs="宋体"/>
                <w:color w:val="auto"/>
                <w:kern w:val="0"/>
                <w:sz w:val="24"/>
                <w:szCs w:val="24"/>
                <w:highlight w:val="none"/>
                <w:lang w:eastAsia="zh-CN"/>
              </w:rPr>
              <w:t>灌阳县财政局政府采购监督管理办公室</w:t>
            </w:r>
            <w:r>
              <w:rPr>
                <w:rFonts w:hint="eastAsia" w:ascii="宋体" w:hAnsi="宋体" w:eastAsia="宋体" w:cs="宋体"/>
                <w:color w:val="auto"/>
                <w:kern w:val="0"/>
                <w:sz w:val="24"/>
                <w:szCs w:val="24"/>
                <w:highlight w:val="none"/>
              </w:rPr>
              <w:t xml:space="preserve"> </w:t>
            </w:r>
          </w:p>
          <w:p w14:paraId="4BB6C658">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cs="宋体"/>
                <w:color w:val="auto"/>
                <w:kern w:val="0"/>
                <w:sz w:val="24"/>
                <w:szCs w:val="24"/>
                <w:highlight w:val="none"/>
                <w:lang w:eastAsia="zh-CN"/>
              </w:rPr>
              <w:t>0773-4250206</w:t>
            </w:r>
          </w:p>
        </w:tc>
      </w:tr>
    </w:tbl>
    <w:p w14:paraId="749DF5E5">
      <w:pPr>
        <w:pStyle w:val="53"/>
        <w:ind w:left="0" w:leftChars="0" w:firstLine="0" w:firstLineChars="0"/>
        <w:rPr>
          <w:rFonts w:hint="eastAsia" w:ascii="宋体" w:hAnsi="宋体" w:eastAsia="宋体" w:cs="宋体"/>
          <w:b/>
          <w:color w:val="auto"/>
          <w:sz w:val="28"/>
          <w:szCs w:val="28"/>
          <w:highlight w:val="none"/>
        </w:rPr>
      </w:pPr>
    </w:p>
    <w:p w14:paraId="6CF754E0">
      <w:pPr>
        <w:pStyle w:val="53"/>
        <w:ind w:left="0" w:leftChars="0" w:firstLine="0" w:firstLineChars="0"/>
        <w:rPr>
          <w:rFonts w:hint="eastAsia" w:ascii="宋体" w:hAnsi="宋体" w:eastAsia="宋体" w:cs="宋体"/>
          <w:b/>
          <w:color w:val="auto"/>
          <w:sz w:val="28"/>
          <w:szCs w:val="28"/>
          <w:highlight w:val="none"/>
        </w:rPr>
      </w:pPr>
    </w:p>
    <w:p w14:paraId="7A541D25">
      <w:pPr>
        <w:pStyle w:val="53"/>
        <w:ind w:left="0" w:leftChars="0" w:firstLine="0" w:firstLineChars="0"/>
        <w:rPr>
          <w:rFonts w:hint="eastAsia" w:ascii="宋体" w:hAnsi="宋体" w:eastAsia="宋体" w:cs="宋体"/>
          <w:b/>
          <w:color w:val="auto"/>
          <w:sz w:val="28"/>
          <w:szCs w:val="28"/>
          <w:highlight w:val="none"/>
        </w:rPr>
      </w:pPr>
    </w:p>
    <w:p w14:paraId="483E3CFF">
      <w:pPr>
        <w:pStyle w:val="53"/>
        <w:ind w:left="0" w:leftChars="0" w:firstLine="0" w:firstLineChars="0"/>
        <w:rPr>
          <w:rFonts w:hint="eastAsia" w:ascii="宋体" w:hAnsi="宋体" w:eastAsia="宋体" w:cs="宋体"/>
          <w:b/>
          <w:color w:val="auto"/>
          <w:sz w:val="28"/>
          <w:szCs w:val="28"/>
          <w:highlight w:val="none"/>
        </w:rPr>
      </w:pPr>
    </w:p>
    <w:p w14:paraId="3061D89B">
      <w:pPr>
        <w:pStyle w:val="53"/>
        <w:ind w:left="0" w:leftChars="0" w:firstLine="0" w:firstLineChars="0"/>
        <w:rPr>
          <w:rFonts w:hint="eastAsia" w:ascii="宋体" w:hAnsi="宋体" w:eastAsia="宋体" w:cs="宋体"/>
          <w:b/>
          <w:color w:val="auto"/>
          <w:sz w:val="28"/>
          <w:szCs w:val="28"/>
          <w:highlight w:val="none"/>
        </w:rPr>
      </w:pPr>
    </w:p>
    <w:p w14:paraId="1D505939">
      <w:pPr>
        <w:pStyle w:val="53"/>
        <w:ind w:left="0" w:leftChars="0" w:firstLine="0" w:firstLineChars="0"/>
        <w:rPr>
          <w:rFonts w:hint="eastAsia" w:ascii="宋体" w:hAnsi="宋体" w:eastAsia="宋体" w:cs="宋体"/>
          <w:b/>
          <w:color w:val="auto"/>
          <w:sz w:val="28"/>
          <w:szCs w:val="28"/>
          <w:highlight w:val="none"/>
        </w:rPr>
      </w:pPr>
    </w:p>
    <w:p w14:paraId="719EAB53">
      <w:pPr>
        <w:pStyle w:val="53"/>
        <w:ind w:left="0" w:leftChars="0" w:firstLine="0" w:firstLineChars="0"/>
        <w:rPr>
          <w:rFonts w:hint="eastAsia" w:ascii="宋体" w:hAnsi="宋体" w:eastAsia="宋体" w:cs="宋体"/>
          <w:b/>
          <w:color w:val="auto"/>
          <w:sz w:val="28"/>
          <w:szCs w:val="28"/>
          <w:highlight w:val="none"/>
        </w:rPr>
      </w:pPr>
    </w:p>
    <w:p w14:paraId="2501CF37">
      <w:pPr>
        <w:pStyle w:val="53"/>
        <w:ind w:left="0" w:leftChars="0" w:firstLine="0" w:firstLineChars="0"/>
        <w:rPr>
          <w:rFonts w:hint="eastAsia" w:ascii="宋体" w:hAnsi="宋体" w:eastAsia="宋体" w:cs="宋体"/>
          <w:b/>
          <w:color w:val="auto"/>
          <w:sz w:val="28"/>
          <w:szCs w:val="28"/>
          <w:highlight w:val="none"/>
        </w:rPr>
      </w:pPr>
    </w:p>
    <w:p w14:paraId="53BDE138">
      <w:pPr>
        <w:pStyle w:val="53"/>
        <w:ind w:left="0" w:leftChars="0" w:firstLine="0" w:firstLineChars="0"/>
        <w:rPr>
          <w:rFonts w:hint="eastAsia" w:ascii="宋体" w:hAnsi="宋体" w:eastAsia="宋体" w:cs="宋体"/>
          <w:b/>
          <w:color w:val="auto"/>
          <w:sz w:val="28"/>
          <w:szCs w:val="28"/>
          <w:highlight w:val="none"/>
        </w:rPr>
      </w:pPr>
    </w:p>
    <w:p w14:paraId="6362BBD1">
      <w:pPr>
        <w:pStyle w:val="53"/>
        <w:ind w:left="0" w:leftChars="0" w:firstLine="0" w:firstLineChars="0"/>
        <w:rPr>
          <w:rFonts w:hint="eastAsia" w:ascii="宋体" w:hAnsi="宋体" w:eastAsia="宋体" w:cs="宋体"/>
          <w:b/>
          <w:color w:val="auto"/>
          <w:sz w:val="28"/>
          <w:szCs w:val="28"/>
          <w:highlight w:val="none"/>
        </w:rPr>
      </w:pPr>
    </w:p>
    <w:p w14:paraId="4D3DAF5E">
      <w:pPr>
        <w:pStyle w:val="53"/>
        <w:ind w:left="0" w:leftChars="0" w:firstLine="0" w:firstLineChars="0"/>
        <w:rPr>
          <w:rFonts w:hint="eastAsia" w:ascii="宋体" w:hAnsi="宋体" w:eastAsia="宋体" w:cs="宋体"/>
          <w:b/>
          <w:color w:val="auto"/>
          <w:sz w:val="28"/>
          <w:szCs w:val="28"/>
          <w:highlight w:val="none"/>
        </w:rPr>
      </w:pPr>
    </w:p>
    <w:p w14:paraId="4BFF6C8A">
      <w:pPr>
        <w:rPr>
          <w:rFonts w:hint="eastAsia"/>
          <w:b/>
          <w:bCs/>
          <w:color w:val="auto"/>
          <w:sz w:val="28"/>
          <w:szCs w:val="28"/>
          <w:highlight w:val="none"/>
        </w:rPr>
      </w:pPr>
      <w:bookmarkStart w:id="59" w:name="_Toc27120"/>
      <w:bookmarkStart w:id="60" w:name="_Toc22792"/>
      <w:bookmarkStart w:id="61" w:name="_Toc2231"/>
      <w:bookmarkStart w:id="62" w:name="_Toc27216"/>
      <w:r>
        <w:rPr>
          <w:rFonts w:hint="eastAsia"/>
          <w:b/>
          <w:bCs/>
          <w:color w:val="auto"/>
          <w:sz w:val="28"/>
          <w:szCs w:val="28"/>
          <w:highlight w:val="none"/>
        </w:rPr>
        <w:br w:type="page"/>
      </w:r>
    </w:p>
    <w:p w14:paraId="32AC63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color w:val="auto"/>
          <w:sz w:val="28"/>
          <w:szCs w:val="28"/>
          <w:highlight w:val="none"/>
        </w:rPr>
      </w:pPr>
      <w:r>
        <w:rPr>
          <w:rFonts w:hint="eastAsia"/>
          <w:b/>
          <w:bCs/>
          <w:color w:val="auto"/>
          <w:sz w:val="28"/>
          <w:szCs w:val="28"/>
          <w:highlight w:val="none"/>
        </w:rPr>
        <w:t>一、总则</w:t>
      </w:r>
      <w:bookmarkEnd w:id="59"/>
      <w:bookmarkEnd w:id="60"/>
      <w:bookmarkEnd w:id="61"/>
      <w:bookmarkEnd w:id="62"/>
    </w:p>
    <w:p w14:paraId="1828742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3" w:name="_Toc3367"/>
      <w:bookmarkStart w:id="64" w:name="_Toc6626"/>
      <w:bookmarkStart w:id="65" w:name="_Toc2996"/>
      <w:r>
        <w:rPr>
          <w:rFonts w:hint="eastAsia" w:ascii="宋体" w:hAnsi="宋体" w:eastAsia="宋体" w:cs="宋体"/>
          <w:b/>
          <w:bCs/>
          <w:color w:val="auto"/>
          <w:sz w:val="24"/>
          <w:szCs w:val="24"/>
          <w:highlight w:val="none"/>
        </w:rPr>
        <w:t>1. 适应范围</w:t>
      </w:r>
      <w:bookmarkEnd w:id="63"/>
      <w:bookmarkEnd w:id="64"/>
      <w:bookmarkEnd w:id="65"/>
    </w:p>
    <w:p w14:paraId="432762B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项目名称及项目编号：</w:t>
      </w:r>
    </w:p>
    <w:p w14:paraId="7492675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灌阳县2024年中央财政水利发展资金小型水库工程维修养护项目</w:t>
      </w:r>
    </w:p>
    <w:p w14:paraId="620EC4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项目编号：GLZC2025-C2-270008-GLJG</w:t>
      </w:r>
    </w:p>
    <w:p w14:paraId="5655D14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1.2本竞争性磋商文件（以下简称磋商文件）适用于本磋商项目的磋商、评审、合同履约、验收、付款等行为（法律、法规另有规定的，从其规定）。</w:t>
      </w:r>
    </w:p>
    <w:p w14:paraId="29F000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6" w:name="_Toc28336"/>
      <w:bookmarkStart w:id="67" w:name="_Toc2845"/>
      <w:bookmarkStart w:id="68" w:name="_Toc25139"/>
      <w:r>
        <w:rPr>
          <w:rFonts w:hint="eastAsia" w:ascii="宋体" w:hAnsi="宋体" w:eastAsia="宋体" w:cs="宋体"/>
          <w:b/>
          <w:bCs/>
          <w:color w:val="auto"/>
          <w:sz w:val="24"/>
          <w:szCs w:val="24"/>
          <w:highlight w:val="none"/>
        </w:rPr>
        <w:t>2. 定义</w:t>
      </w:r>
      <w:bookmarkEnd w:id="66"/>
      <w:bookmarkEnd w:id="67"/>
      <w:bookmarkEnd w:id="68"/>
    </w:p>
    <w:p w14:paraId="4EE073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2.1“供应商”是指符合本次采购项目的供应商资格并提交响应文件、参加磋商的供应商。如果该供应商在本次磋商中成交，即成为“成交供应商”。</w:t>
      </w:r>
    </w:p>
    <w:p w14:paraId="39404C9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2.2“货物”系指按磋商文件规定，供应商须向采购人提供的一切设备、保险、税金、备品备件、工具、手册及其它有关技术资料和材料。</w:t>
      </w:r>
    </w:p>
    <w:p w14:paraId="2C65AFF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2.3“服务”系指按磋商文件规定，供应商须承担的安装、调试、技术协助、校准、培训、技术指导以及其他类似的义务。</w:t>
      </w:r>
    </w:p>
    <w:p w14:paraId="2168412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2.4“项目”系指供应商按磋商文件规定向采购人提供的货物和服务。</w:t>
      </w:r>
    </w:p>
    <w:p w14:paraId="69AA72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2.5“书面形式”包括信函、传真、电报等。</w:t>
      </w:r>
    </w:p>
    <w:p w14:paraId="032436A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9" w:name="_Toc2884"/>
      <w:bookmarkStart w:id="70" w:name="_Toc25441"/>
      <w:bookmarkStart w:id="71" w:name="_Toc13017"/>
      <w:r>
        <w:rPr>
          <w:rFonts w:hint="eastAsia" w:ascii="宋体" w:hAnsi="宋体" w:eastAsia="宋体" w:cs="宋体"/>
          <w:b/>
          <w:bCs/>
          <w:color w:val="auto"/>
          <w:sz w:val="24"/>
          <w:szCs w:val="24"/>
          <w:highlight w:val="none"/>
        </w:rPr>
        <w:t>3. 供应商资格</w:t>
      </w:r>
      <w:bookmarkEnd w:id="69"/>
      <w:bookmarkEnd w:id="70"/>
      <w:bookmarkEnd w:id="71"/>
    </w:p>
    <w:p w14:paraId="0474D47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2" w:name="_Toc16496"/>
      <w:bookmarkStart w:id="73" w:name="_Toc9216"/>
      <w:bookmarkStart w:id="74" w:name="_Toc27029"/>
      <w:r>
        <w:rPr>
          <w:rFonts w:hint="eastAsia" w:ascii="宋体" w:hAnsi="宋体" w:eastAsia="宋体" w:cs="宋体"/>
          <w:b w:val="0"/>
          <w:bCs w:val="0"/>
          <w:color w:val="auto"/>
          <w:sz w:val="24"/>
          <w:szCs w:val="24"/>
          <w:highlight w:val="none"/>
          <w:lang w:val="en-US" w:eastAsia="zh-CN"/>
        </w:rPr>
        <w:t>见“供应商须知前附表”。</w:t>
      </w:r>
    </w:p>
    <w:p w14:paraId="382EBC3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磋商费用</w:t>
      </w:r>
      <w:bookmarkEnd w:id="72"/>
      <w:bookmarkEnd w:id="73"/>
      <w:bookmarkEnd w:id="74"/>
    </w:p>
    <w:p w14:paraId="18F62877">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7DFF5039">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5" w:name="_Toc25728"/>
      <w:bookmarkStart w:id="76" w:name="_Toc22877"/>
      <w:bookmarkStart w:id="77" w:name="_Toc31376"/>
      <w:r>
        <w:rPr>
          <w:rFonts w:hint="eastAsia" w:ascii="宋体" w:hAnsi="宋体" w:eastAsia="宋体" w:cs="宋体"/>
          <w:b/>
          <w:bCs/>
          <w:color w:val="auto"/>
          <w:sz w:val="24"/>
          <w:szCs w:val="24"/>
          <w:highlight w:val="none"/>
        </w:rPr>
        <w:t>联合体要求</w:t>
      </w:r>
      <w:bookmarkEnd w:id="75"/>
      <w:bookmarkEnd w:id="76"/>
      <w:bookmarkEnd w:id="77"/>
    </w:p>
    <w:p w14:paraId="551178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本项目不接受联合体参与磋商</w:t>
      </w:r>
      <w:r>
        <w:rPr>
          <w:rFonts w:hint="eastAsia" w:ascii="宋体" w:hAnsi="宋体" w:eastAsia="宋体" w:cs="宋体"/>
          <w:bCs/>
          <w:color w:val="auto"/>
          <w:sz w:val="24"/>
          <w:szCs w:val="24"/>
          <w:highlight w:val="none"/>
          <w:lang w:eastAsia="zh-CN"/>
        </w:rPr>
        <w:t>。</w:t>
      </w:r>
    </w:p>
    <w:p w14:paraId="48706D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8" w:name="_Toc4152"/>
      <w:bookmarkStart w:id="79" w:name="_Toc2772"/>
      <w:bookmarkStart w:id="80" w:name="_Toc18940"/>
      <w:r>
        <w:rPr>
          <w:rFonts w:hint="eastAsia" w:ascii="宋体" w:hAnsi="宋体" w:eastAsia="宋体" w:cs="宋体"/>
          <w:b/>
          <w:bCs/>
          <w:color w:val="auto"/>
          <w:sz w:val="24"/>
          <w:szCs w:val="24"/>
          <w:highlight w:val="none"/>
        </w:rPr>
        <w:t>6. 质疑和投诉</w:t>
      </w:r>
      <w:bookmarkEnd w:id="78"/>
      <w:bookmarkEnd w:id="79"/>
      <w:bookmarkEnd w:id="80"/>
      <w:r>
        <w:rPr>
          <w:rFonts w:hint="eastAsia" w:ascii="宋体" w:hAnsi="宋体" w:eastAsia="宋体" w:cs="宋体"/>
          <w:b/>
          <w:bCs/>
          <w:color w:val="auto"/>
          <w:sz w:val="24"/>
          <w:szCs w:val="24"/>
          <w:highlight w:val="none"/>
        </w:rPr>
        <w:tab/>
      </w:r>
    </w:p>
    <w:p w14:paraId="72420AE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color w:val="auto"/>
          <w:sz w:val="24"/>
          <w:szCs w:val="24"/>
          <w:highlight w:val="none"/>
        </w:rPr>
        <w:t>（“质疑函”格式见附表1）</w:t>
      </w:r>
      <w:r>
        <w:rPr>
          <w:rFonts w:hint="eastAsia" w:ascii="宋体" w:hAnsi="宋体" w:eastAsia="宋体" w:cs="宋体"/>
          <w:color w:val="auto"/>
          <w:sz w:val="24"/>
          <w:szCs w:val="24"/>
          <w:highlight w:val="none"/>
        </w:rPr>
        <w:t>。否则，采购代理机构有权拒收。</w:t>
      </w:r>
    </w:p>
    <w:p w14:paraId="2A2ECF1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43F1CBA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0127B2D4">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6.2供应商对采购代理机构的质疑答复不满意或者采购代理机构未在规定的时间内作出答复的，可以在答复期满后十五个工作日内向</w:t>
      </w:r>
      <w:r>
        <w:rPr>
          <w:rFonts w:hint="eastAsia" w:ascii="宋体" w:hAnsi="宋体" w:eastAsia="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政府采购监督管理机构投诉</w:t>
      </w:r>
      <w:r>
        <w:rPr>
          <w:rFonts w:hint="eastAsia" w:ascii="宋体" w:hAnsi="宋体" w:eastAsia="宋体" w:cs="宋体"/>
          <w:b/>
          <w:color w:val="auto"/>
          <w:sz w:val="24"/>
          <w:szCs w:val="24"/>
          <w:highlight w:val="none"/>
        </w:rPr>
        <w:t>（“投诉书”格式见附表2）</w:t>
      </w:r>
      <w:r>
        <w:rPr>
          <w:rFonts w:hint="eastAsia" w:ascii="宋体" w:hAnsi="宋体" w:eastAsia="宋体" w:cs="宋体"/>
          <w:color w:val="auto"/>
          <w:sz w:val="24"/>
          <w:szCs w:val="24"/>
          <w:highlight w:val="none"/>
        </w:rPr>
        <w:t>。</w:t>
      </w:r>
    </w:p>
    <w:p w14:paraId="2513152D">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color w:val="auto"/>
          <w:kern w:val="0"/>
          <w:sz w:val="24"/>
          <w:szCs w:val="24"/>
          <w:highlight w:val="none"/>
        </w:rPr>
        <w:t>。</w:t>
      </w:r>
    </w:p>
    <w:p w14:paraId="42929DB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供应商提出质疑应当提交质疑函和必要的证明材料，针对同一采购程序环节的质疑必须在法定质疑期内一次性提出。质疑函应当包括下列内容：</w:t>
      </w:r>
    </w:p>
    <w:p w14:paraId="70F321E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（1）供应商的姓名或者名称、地址、邮编、联系人及联系电话；</w:t>
      </w:r>
    </w:p>
    <w:p w14:paraId="6BA445C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（2）质疑项目的名称、编号；</w:t>
      </w:r>
    </w:p>
    <w:p w14:paraId="7BA7D9C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（3）具体、明确的质疑事项和与质疑事项相关的请求；</w:t>
      </w:r>
    </w:p>
    <w:p w14:paraId="4EE1C042">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（4）事实依据；</w:t>
      </w:r>
    </w:p>
    <w:p w14:paraId="6B94935E">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（5）必要的法律依据；</w:t>
      </w:r>
    </w:p>
    <w:p w14:paraId="6FC04DA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（6）提出质疑的日期。</w:t>
      </w:r>
    </w:p>
    <w:p w14:paraId="3C35581D">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供应商为自然人的，应当由本人签字；供应商为法人或者其他组织的，应当由法定代表人或者其授权代表签字或者盖章，并加盖公章。</w:t>
      </w:r>
    </w:p>
    <w:p w14:paraId="137EB8C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接收质疑函方式：以书面形式</w:t>
      </w:r>
    </w:p>
    <w:p w14:paraId="3D65F60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质疑联系部门及联系方式：</w:t>
      </w:r>
      <w:r>
        <w:rPr>
          <w:rFonts w:hint="eastAsia" w:ascii="宋体" w:hAnsi="宋体" w:cs="宋体"/>
          <w:color w:val="auto"/>
          <w:sz w:val="24"/>
          <w:szCs w:val="24"/>
          <w:highlight w:val="none"/>
          <w:lang w:eastAsia="zh-CN"/>
        </w:rPr>
        <w:t>桂林聚格项目管理有限公司</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李秋云、何维</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0773-5352811</w:t>
      </w: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桂林市七星区普陀路59号综合楼</w:t>
      </w:r>
      <w:r>
        <w:rPr>
          <w:rFonts w:hint="eastAsia" w:ascii="宋体" w:hAnsi="宋体" w:eastAsia="宋体" w:cs="宋体"/>
          <w:color w:val="auto"/>
          <w:sz w:val="24"/>
          <w:szCs w:val="24"/>
          <w:highlight w:val="none"/>
        </w:rPr>
        <w:t>。</w:t>
      </w:r>
    </w:p>
    <w:p w14:paraId="589E10A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1" w:name="_Toc2186"/>
      <w:bookmarkStart w:id="82" w:name="_Toc6998"/>
      <w:bookmarkStart w:id="83" w:name="_Toc5032"/>
      <w:r>
        <w:rPr>
          <w:rFonts w:hint="eastAsia" w:ascii="宋体" w:hAnsi="宋体" w:eastAsia="宋体" w:cs="宋体"/>
          <w:b/>
          <w:bCs/>
          <w:color w:val="auto"/>
          <w:sz w:val="24"/>
          <w:szCs w:val="24"/>
          <w:highlight w:val="none"/>
        </w:rPr>
        <w:t>7. 转包与分包</w:t>
      </w:r>
      <w:bookmarkEnd w:id="81"/>
      <w:bookmarkEnd w:id="82"/>
      <w:bookmarkEnd w:id="83"/>
    </w:p>
    <w:p w14:paraId="430C8CD4">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shd w:val="clear" w:color="auto" w:fill="FFFFFF"/>
          <w:lang w:bidi="ar"/>
        </w:rPr>
        <w:t>.1 本项目不允许转包。</w:t>
      </w:r>
    </w:p>
    <w:p w14:paraId="7710EA7E">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7.2 本项目不可以分包。</w:t>
      </w:r>
    </w:p>
    <w:p w14:paraId="2B7D17A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7.3 本项目不允许挂靠。</w:t>
      </w:r>
    </w:p>
    <w:p w14:paraId="22DA4E2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7.4 如发现有以上行为，采购人有权终止合同，所有损失由成交供应商承担。</w:t>
      </w:r>
    </w:p>
    <w:p w14:paraId="6EE9B07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4" w:name="_Toc3368"/>
      <w:bookmarkStart w:id="85" w:name="_Toc23428"/>
      <w:bookmarkStart w:id="86" w:name="_Toc15097"/>
      <w:r>
        <w:rPr>
          <w:rFonts w:hint="eastAsia" w:ascii="宋体" w:hAnsi="宋体" w:eastAsia="宋体" w:cs="宋体"/>
          <w:b/>
          <w:bCs/>
          <w:color w:val="auto"/>
          <w:sz w:val="24"/>
          <w:szCs w:val="24"/>
          <w:highlight w:val="none"/>
        </w:rPr>
        <w:t>8. 特别说明</w:t>
      </w:r>
      <w:bookmarkEnd w:id="84"/>
      <w:bookmarkEnd w:id="85"/>
      <w:bookmarkEnd w:id="86"/>
    </w:p>
    <w:p w14:paraId="0441409F">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关联供应商不得参加同一合同项下政府采购活动，否则响应文件将被视为无效：</w:t>
      </w:r>
    </w:p>
    <w:p w14:paraId="25D5C75F">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（1）单位负责人为同一人或者存在直接控股、管理关系的不同供应商，不得参加同一合同项下的政府采购活动。</w:t>
      </w:r>
    </w:p>
    <w:p w14:paraId="5F1168D0">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（2）为本采购项目提供整体设计、规范编制或者项目管理、监理、检测等服务的供应商，不得再参加本次采购活动。</w:t>
      </w:r>
    </w:p>
    <w:p w14:paraId="1EA36DC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87" w:name="_Toc22498"/>
      <w:bookmarkStart w:id="88" w:name="_Toc25527"/>
      <w:bookmarkStart w:id="89" w:name="_Toc29496"/>
      <w:bookmarkStart w:id="90" w:name="_Toc16417"/>
    </w:p>
    <w:p w14:paraId="66465338">
      <w:pPr>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br w:type="page"/>
      </w:r>
    </w:p>
    <w:p w14:paraId="201245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87"/>
      <w:bookmarkEnd w:id="88"/>
      <w:bookmarkEnd w:id="89"/>
      <w:bookmarkEnd w:id="90"/>
    </w:p>
    <w:p w14:paraId="4D11805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1" w:name="_Toc18964"/>
      <w:bookmarkStart w:id="92" w:name="_Toc20057"/>
      <w:bookmarkStart w:id="93" w:name="_Toc22380"/>
      <w:r>
        <w:rPr>
          <w:rFonts w:hint="eastAsia" w:ascii="宋体" w:hAnsi="宋体" w:eastAsia="宋体" w:cs="宋体"/>
          <w:b/>
          <w:bCs/>
          <w:color w:val="auto"/>
          <w:sz w:val="24"/>
          <w:szCs w:val="24"/>
          <w:highlight w:val="none"/>
          <w:lang w:val="pt-BR"/>
        </w:rPr>
        <w:t xml:space="preserve">9. </w:t>
      </w:r>
      <w:r>
        <w:rPr>
          <w:rFonts w:hint="eastAsia" w:ascii="宋体" w:hAnsi="宋体" w:eastAsia="宋体" w:cs="宋体"/>
          <w:b/>
          <w:bCs/>
          <w:color w:val="auto"/>
          <w:sz w:val="24"/>
          <w:szCs w:val="24"/>
          <w:highlight w:val="none"/>
        </w:rPr>
        <w:t>磋商文件的构成</w:t>
      </w:r>
      <w:bookmarkEnd w:id="91"/>
      <w:bookmarkEnd w:id="92"/>
      <w:bookmarkEnd w:id="93"/>
    </w:p>
    <w:p w14:paraId="13CB76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7C4E500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6D167E1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（3）工程量清单</w:t>
      </w:r>
      <w:r>
        <w:rPr>
          <w:rFonts w:hint="eastAsia" w:ascii="宋体" w:hAnsi="宋体" w:eastAsia="宋体" w:cs="宋体"/>
          <w:bCs/>
          <w:color w:val="auto"/>
          <w:sz w:val="24"/>
          <w:szCs w:val="24"/>
          <w:highlight w:val="none"/>
        </w:rPr>
        <w:t>；</w:t>
      </w:r>
    </w:p>
    <w:p w14:paraId="293016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（4）评审办法；</w:t>
      </w:r>
    </w:p>
    <w:p w14:paraId="008412A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（5）采购合同（合同主要条款及格式）；</w:t>
      </w:r>
    </w:p>
    <w:p w14:paraId="0B9657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（6）响应文件（格式）</w:t>
      </w:r>
      <w:r>
        <w:rPr>
          <w:rFonts w:hint="eastAsia" w:ascii="宋体" w:hAnsi="宋体" w:eastAsia="宋体" w:cs="宋体"/>
          <w:color w:val="auto"/>
          <w:sz w:val="24"/>
          <w:szCs w:val="24"/>
          <w:highlight w:val="none"/>
          <w:lang w:eastAsia="zh-CN"/>
        </w:rPr>
        <w:t>；</w:t>
      </w:r>
    </w:p>
    <w:p w14:paraId="2EE675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94" w:name="_Toc910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图纸。</w:t>
      </w:r>
    </w:p>
    <w:p w14:paraId="2AE7CBD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5" w:name="_Toc26702"/>
      <w:bookmarkStart w:id="96" w:name="_Toc17932"/>
      <w:r>
        <w:rPr>
          <w:rFonts w:hint="eastAsia" w:ascii="宋体" w:hAnsi="宋体" w:eastAsia="宋体" w:cs="宋体"/>
          <w:b/>
          <w:bCs/>
          <w:color w:val="auto"/>
          <w:sz w:val="24"/>
          <w:szCs w:val="24"/>
          <w:highlight w:val="none"/>
          <w:lang w:val="pt-BR"/>
        </w:rPr>
        <w:t>10. 磋商文件的澄清与修改</w:t>
      </w:r>
      <w:bookmarkEnd w:id="94"/>
      <w:bookmarkEnd w:id="95"/>
      <w:bookmarkEnd w:id="96"/>
    </w:p>
    <w:p w14:paraId="18CC49DC">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日前在本项目竞争性磋商公告发布的同一媒体上发布更正公告，不足</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日的，应当顺延首次响应文件提交截止时间。</w:t>
      </w:r>
    </w:p>
    <w:p w14:paraId="6C11BAE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9A2B76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10.3澄清或者修改的内容为磋商文件的组成部分。当澄清或者修改通知就同一内容的表述不一致时，以最后发出的书面文件为准。</w:t>
      </w:r>
    </w:p>
    <w:p w14:paraId="554C1566">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 磋商文件的澄清或者修改都应该通过本项目采购代理机构以法定形式发布，采购人非通过本机构，不得擅自澄清、答复、修改或补充磋商文件。</w:t>
      </w:r>
    </w:p>
    <w:p w14:paraId="621119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 采购代理机构可以视采购具体情况，延长响应文件提交截止时间和磋商时间，并在本项目竞争性磋商公告发布的同一媒体上发布变更公告。</w:t>
      </w:r>
    </w:p>
    <w:p w14:paraId="35C927E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97" w:name="_Toc21873"/>
      <w:bookmarkStart w:id="98" w:name="_Toc20830"/>
      <w:bookmarkStart w:id="99" w:name="_Toc32467"/>
      <w:bookmarkStart w:id="100" w:name="_Toc17820"/>
    </w:p>
    <w:p w14:paraId="2B10F700">
      <w:pPr>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br w:type="page"/>
      </w:r>
    </w:p>
    <w:p w14:paraId="145C01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三、竞争性磋商响应文件的编制</w:t>
      </w:r>
      <w:bookmarkEnd w:id="97"/>
      <w:bookmarkEnd w:id="98"/>
      <w:bookmarkEnd w:id="99"/>
      <w:bookmarkEnd w:id="100"/>
    </w:p>
    <w:p w14:paraId="36C7013D">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1" w:name="_Toc30771"/>
      <w:bookmarkStart w:id="102" w:name="_Toc19747"/>
      <w:r>
        <w:rPr>
          <w:rFonts w:hint="eastAsia" w:ascii="宋体" w:hAnsi="宋体" w:eastAsia="宋体" w:cs="宋体"/>
          <w:b/>
          <w:bCs/>
          <w:color w:val="auto"/>
          <w:sz w:val="24"/>
          <w:szCs w:val="24"/>
          <w:highlight w:val="none"/>
          <w:lang w:val="en-US" w:eastAsia="zh-CN"/>
        </w:rPr>
        <w:t>11.竞争性磋商响应文件编制基本要求</w:t>
      </w:r>
      <w:bookmarkEnd w:id="101"/>
      <w:bookmarkEnd w:id="102"/>
    </w:p>
    <w:p w14:paraId="1F732D9D">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 本项目实行电子响应，供应商应准备电子磋商响应文件：</w:t>
      </w:r>
    </w:p>
    <w:p w14:paraId="4D7DD226">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 电子响应文件按广西政府采购云平台要求及本磋商文件要求制作、加密并递交。具体操作流程可参考《政府采购项目电子交易管理操作指南-供应商》。</w:t>
      </w:r>
    </w:p>
    <w:p w14:paraId="0EBB88C0">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竞争性磋商响应文件（以下简称响应文件）的组成及要求</w:t>
      </w:r>
    </w:p>
    <w:p w14:paraId="2A20E0A0">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响应文件组成【格式见第六章“响应文件（格式）”】</w:t>
      </w:r>
    </w:p>
    <w:p w14:paraId="7F689060">
      <w:pPr>
        <w:pageBreakBefore w:val="0"/>
        <w:widowControl w:val="0"/>
        <w:kinsoku/>
        <w:wordWrap/>
        <w:overflowPunct/>
        <w:topLinePunct w:val="0"/>
        <w:autoSpaceDE/>
        <w:autoSpaceDN/>
        <w:bidi w:val="0"/>
        <w:adjustRightInd/>
        <w:snapToGrid/>
        <w:spacing w:line="420" w:lineRule="exact"/>
        <w:ind w:leftChars="0" w:firstLine="482" w:firstLineChars="200"/>
        <w:textAlignment w:val="auto"/>
        <w:outlineLvl w:val="2"/>
        <w:rPr>
          <w:rFonts w:hint="eastAsia" w:ascii="宋体" w:hAnsi="宋体" w:eastAsia="宋体" w:cs="宋体"/>
          <w:color w:val="auto"/>
          <w:sz w:val="24"/>
          <w:szCs w:val="24"/>
          <w:highlight w:val="none"/>
        </w:rPr>
      </w:pPr>
      <w:bookmarkStart w:id="103" w:name="_Toc19449"/>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资格性响应证明材料：</w:t>
      </w:r>
      <w:bookmarkEnd w:id="103"/>
    </w:p>
    <w:p w14:paraId="504601F9">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（1）供应商相应的法定</w:t>
      </w:r>
      <w:r>
        <w:rPr>
          <w:rFonts w:hint="eastAsia" w:ascii="宋体" w:hAnsi="宋体" w:eastAsia="宋体" w:cs="宋体"/>
          <w:b/>
          <w:bCs/>
          <w:color w:val="auto"/>
          <w:sz w:val="24"/>
          <w:szCs w:val="24"/>
          <w:highlight w:val="none"/>
          <w:lang w:eastAsia="zh-CN"/>
        </w:rPr>
        <w:t>代表人、负责人、自然人有效身份证正反两面复印件</w:t>
      </w:r>
      <w:r>
        <w:rPr>
          <w:rFonts w:hint="eastAsia" w:ascii="宋体" w:hAnsi="宋体" w:eastAsia="宋体" w:cs="宋体"/>
          <w:b/>
          <w:bCs/>
          <w:color w:val="auto"/>
          <w:sz w:val="24"/>
          <w:szCs w:val="24"/>
          <w:highlight w:val="none"/>
        </w:rPr>
        <w:t>（必须提供）</w:t>
      </w:r>
      <w:r>
        <w:rPr>
          <w:rFonts w:hint="eastAsia" w:ascii="宋体" w:hAnsi="宋体" w:eastAsia="宋体" w:cs="宋体"/>
          <w:color w:val="auto"/>
          <w:sz w:val="24"/>
          <w:szCs w:val="24"/>
          <w:highlight w:val="none"/>
        </w:rPr>
        <w:t>；</w:t>
      </w:r>
    </w:p>
    <w:p w14:paraId="1E689D42">
      <w:pPr>
        <w:pageBreakBefore w:val="0"/>
        <w:widowControl w:val="0"/>
        <w:kinsoku/>
        <w:wordWrap/>
        <w:overflowPunct/>
        <w:topLinePunct w:val="0"/>
        <w:autoSpaceDE/>
        <w:autoSpaceDN/>
        <w:bidi w:val="0"/>
        <w:adjustRightInd/>
        <w:snapToGrid/>
        <w:spacing w:line="420" w:lineRule="exact"/>
        <w:ind w:lef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（2）供应商的授权委托书原件、委托代理人身份证正反面复印件以及由县级以上（含县级）社会养老保险经办机构出具的供应商为委托代理人交纳的响应文件递交截止时间前</w:t>
      </w:r>
      <w:r>
        <w:rPr>
          <w:rFonts w:hint="eastAsia" w:ascii="宋体" w:hAnsi="宋体" w:eastAsia="宋体" w:cs="宋体"/>
          <w:b/>
          <w:bCs/>
          <w:color w:val="auto"/>
          <w:sz w:val="24"/>
          <w:szCs w:val="24"/>
          <w:highlight w:val="none"/>
          <w:lang w:eastAsia="zh-CN"/>
        </w:rPr>
        <w:t>三个月内任意一个月养老保险证明</w:t>
      </w:r>
      <w:r>
        <w:rPr>
          <w:rFonts w:hint="eastAsia" w:ascii="宋体" w:hAnsi="宋体" w:eastAsia="宋体" w:cs="宋体"/>
          <w:b/>
          <w:bCs/>
          <w:color w:val="auto"/>
          <w:sz w:val="24"/>
          <w:szCs w:val="24"/>
          <w:highlight w:val="none"/>
        </w:rPr>
        <w:t>复印件</w:t>
      </w:r>
      <w:r>
        <w:rPr>
          <w:rFonts w:hint="eastAsia" w:ascii="宋体" w:hAnsi="宋体" w:eastAsia="宋体" w:cs="宋体"/>
          <w:color w:val="auto"/>
          <w:sz w:val="24"/>
          <w:szCs w:val="24"/>
          <w:highlight w:val="none"/>
        </w:rPr>
        <w:t>，除供应商为以下</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种情形的：①如供应商为截标时间前60日以内成立的公司，可以提供供应商与委托代理人签订的劳动合同复印件代替</w:t>
      </w:r>
      <w:r>
        <w:rPr>
          <w:rFonts w:hint="eastAsia" w:ascii="宋体" w:hAnsi="宋体" w:eastAsia="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复印件；②如供应商为事业单位，可以提供事业单位机构编制管理证复印件或事业单位机构为其发放工资的工资条复印件代替</w:t>
      </w:r>
      <w:r>
        <w:rPr>
          <w:rFonts w:hint="eastAsia" w:ascii="宋体" w:hAnsi="宋体" w:eastAsia="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复印件；③如委托代理人为免缴纳</w:t>
      </w:r>
      <w:r>
        <w:rPr>
          <w:rFonts w:hint="eastAsia" w:ascii="宋体" w:hAnsi="宋体" w:eastAsia="宋体" w:cs="宋体"/>
          <w:color w:val="auto"/>
          <w:sz w:val="24"/>
          <w:szCs w:val="24"/>
          <w:highlight w:val="none"/>
          <w:lang w:eastAsia="zh-CN"/>
        </w:rPr>
        <w:t>养老保险</w:t>
      </w:r>
      <w:r>
        <w:rPr>
          <w:rFonts w:hint="eastAsia" w:ascii="宋体" w:hAnsi="宋体" w:eastAsia="宋体" w:cs="宋体"/>
          <w:color w:val="auto"/>
          <w:sz w:val="24"/>
          <w:szCs w:val="24"/>
          <w:highlight w:val="none"/>
        </w:rPr>
        <w:t>人员，提供免缴纳</w:t>
      </w:r>
      <w:r>
        <w:rPr>
          <w:rFonts w:hint="eastAsia" w:ascii="宋体" w:hAnsi="宋体" w:eastAsia="宋体" w:cs="宋体"/>
          <w:color w:val="auto"/>
          <w:sz w:val="24"/>
          <w:szCs w:val="24"/>
          <w:highlight w:val="none"/>
          <w:lang w:eastAsia="zh-CN"/>
        </w:rPr>
        <w:t>养老保险</w:t>
      </w:r>
      <w:r>
        <w:rPr>
          <w:rFonts w:hint="eastAsia" w:ascii="宋体" w:hAnsi="宋体" w:eastAsia="宋体" w:cs="宋体"/>
          <w:color w:val="auto"/>
          <w:sz w:val="24"/>
          <w:szCs w:val="24"/>
          <w:highlight w:val="none"/>
        </w:rPr>
        <w:t>的证明材料复印件及供应商与委托代理人签订的劳动合同复印件代替</w:t>
      </w:r>
      <w:r>
        <w:rPr>
          <w:rFonts w:hint="eastAsia" w:ascii="宋体" w:hAnsi="宋体" w:eastAsia="宋体" w:cs="宋体"/>
          <w:color w:val="auto"/>
          <w:sz w:val="24"/>
          <w:szCs w:val="24"/>
          <w:highlight w:val="none"/>
          <w:lang w:eastAsia="zh-CN"/>
        </w:rPr>
        <w:t>养老保险证明</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（委托代理时必须提供）</w:t>
      </w:r>
      <w:r>
        <w:rPr>
          <w:rFonts w:hint="eastAsia" w:ascii="宋体" w:hAnsi="宋体" w:eastAsia="宋体" w:cs="宋体"/>
          <w:b w:val="0"/>
          <w:bCs w:val="0"/>
          <w:color w:val="auto"/>
          <w:sz w:val="24"/>
          <w:szCs w:val="24"/>
          <w:highlight w:val="none"/>
          <w:lang w:eastAsia="zh-CN"/>
        </w:rPr>
        <w:t>；</w:t>
      </w:r>
    </w:p>
    <w:p w14:paraId="6108E372">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（3）供应商参加政府采购活动前3年内在经营活动中没有重大违法记录及有关信用信息的书面声明（必须提供）</w:t>
      </w:r>
      <w:r>
        <w:rPr>
          <w:rFonts w:hint="eastAsia" w:ascii="宋体" w:hAnsi="宋体" w:eastAsia="宋体" w:cs="宋体"/>
          <w:b w:val="0"/>
          <w:bCs w:val="0"/>
          <w:color w:val="auto"/>
          <w:sz w:val="24"/>
          <w:szCs w:val="24"/>
          <w:highlight w:val="none"/>
        </w:rPr>
        <w:t>；</w:t>
      </w:r>
    </w:p>
    <w:p w14:paraId="170970B4">
      <w:pPr>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供应商的法人或者其他组织营业执照等证明文件复印件（必须提供，自然人除外）</w:t>
      </w:r>
      <w:r>
        <w:rPr>
          <w:rFonts w:hint="eastAsia" w:ascii="宋体" w:hAnsi="宋体" w:eastAsia="宋体" w:cs="宋体"/>
          <w:b w:val="0"/>
          <w:bCs w:val="0"/>
          <w:color w:val="auto"/>
          <w:sz w:val="24"/>
          <w:szCs w:val="24"/>
          <w:highlight w:val="none"/>
        </w:rPr>
        <w:t>；</w:t>
      </w:r>
    </w:p>
    <w:p w14:paraId="3861EF73">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val="0"/>
          <w:bCs w:val="0"/>
          <w:color w:val="auto"/>
          <w:sz w:val="24"/>
          <w:szCs w:val="24"/>
          <w:highlight w:val="none"/>
        </w:rPr>
        <w:t>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49F26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5</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供应商有效的资质证书</w:t>
      </w:r>
      <w:r>
        <w:rPr>
          <w:rFonts w:hint="eastAsia" w:ascii="宋体" w:hAnsi="宋体" w:cs="宋体"/>
          <w:b/>
          <w:bCs w:val="0"/>
          <w:color w:val="auto"/>
          <w:kern w:val="0"/>
          <w:sz w:val="24"/>
          <w:szCs w:val="24"/>
          <w:highlight w:val="none"/>
          <w:lang w:eastAsia="zh-CN"/>
        </w:rPr>
        <w:t>及安全生产许可证</w:t>
      </w:r>
      <w:r>
        <w:rPr>
          <w:rFonts w:hint="eastAsia" w:ascii="宋体" w:hAnsi="宋体" w:eastAsia="宋体" w:cs="宋体"/>
          <w:b/>
          <w:bCs w:val="0"/>
          <w:color w:val="auto"/>
          <w:kern w:val="0"/>
          <w:sz w:val="24"/>
          <w:szCs w:val="24"/>
          <w:highlight w:val="none"/>
        </w:rPr>
        <w:t>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4C5CAC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6</w:t>
      </w:r>
      <w:r>
        <w:rPr>
          <w:rFonts w:hint="eastAsia" w:ascii="宋体" w:hAnsi="宋体" w:eastAsia="宋体" w:cs="宋体"/>
          <w:b/>
          <w:bCs w:val="0"/>
          <w:color w:val="auto"/>
          <w:kern w:val="0"/>
          <w:sz w:val="24"/>
          <w:szCs w:val="24"/>
          <w:highlight w:val="none"/>
          <w:lang w:eastAsia="zh-CN"/>
        </w:rPr>
        <w:t>）拟派项目经理的</w:t>
      </w:r>
      <w:r>
        <w:rPr>
          <w:rFonts w:hint="eastAsia" w:ascii="宋体" w:hAnsi="宋体" w:cs="宋体"/>
          <w:b/>
          <w:bCs w:val="0"/>
          <w:color w:val="auto"/>
          <w:kern w:val="0"/>
          <w:sz w:val="24"/>
          <w:szCs w:val="24"/>
          <w:highlight w:val="none"/>
          <w:lang w:eastAsia="zh-CN"/>
        </w:rPr>
        <w:t>水利水电工程</w:t>
      </w:r>
      <w:r>
        <w:rPr>
          <w:rFonts w:hint="eastAsia" w:ascii="宋体" w:hAnsi="宋体" w:eastAsia="宋体" w:cs="宋体"/>
          <w:b/>
          <w:bCs w:val="0"/>
          <w:color w:val="auto"/>
          <w:kern w:val="0"/>
          <w:sz w:val="24"/>
          <w:szCs w:val="24"/>
          <w:highlight w:val="none"/>
          <w:lang w:eastAsia="zh-CN"/>
        </w:rPr>
        <w:t>专业二级及以上注册建造师证和安全生产考核合格证书（B类）复印件</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5621EB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项目经理无在建工程承诺书（格式自拟）</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rPr>
        <w:t>；</w:t>
      </w:r>
    </w:p>
    <w:p w14:paraId="6AE688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8</w:t>
      </w:r>
      <w:r>
        <w:rPr>
          <w:rFonts w:hint="eastAsia" w:ascii="宋体" w:hAnsi="宋体" w:eastAsia="宋体" w:cs="宋体"/>
          <w:b/>
          <w:bCs w:val="0"/>
          <w:color w:val="auto"/>
          <w:kern w:val="0"/>
          <w:sz w:val="24"/>
          <w:szCs w:val="24"/>
          <w:highlight w:val="none"/>
          <w:lang w:eastAsia="zh-CN"/>
        </w:rPr>
        <w:t>）供应商2021年以来任意年度内的财务状况报告（或银行出具的资信证明）复印件（必须提供）</w:t>
      </w:r>
      <w:r>
        <w:rPr>
          <w:rFonts w:hint="eastAsia" w:ascii="宋体" w:hAnsi="宋体" w:eastAsia="宋体" w:cs="宋体"/>
          <w:b w:val="0"/>
          <w:bCs/>
          <w:color w:val="auto"/>
          <w:sz w:val="24"/>
          <w:szCs w:val="24"/>
          <w:highlight w:val="none"/>
        </w:rPr>
        <w:t>；</w:t>
      </w:r>
    </w:p>
    <w:p w14:paraId="516DE1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在</w:t>
      </w:r>
      <w:r>
        <w:rPr>
          <w:rFonts w:hint="eastAsia" w:ascii="宋体" w:hAnsi="宋体" w:eastAsia="宋体" w:cs="宋体"/>
          <w:b/>
          <w:bCs/>
          <w:color w:val="auto"/>
          <w:sz w:val="24"/>
          <w:szCs w:val="24"/>
          <w:highlight w:val="none"/>
          <w:lang w:eastAsia="zh-CN"/>
        </w:rPr>
        <w:t>响应文件递交截止时间前半年内任意</w:t>
      </w:r>
      <w:r>
        <w:rPr>
          <w:rFonts w:hint="eastAsia" w:ascii="宋体" w:hAnsi="宋体" w:eastAsia="宋体" w:cs="宋体"/>
          <w:b/>
          <w:bCs/>
          <w:color w:val="auto"/>
          <w:sz w:val="24"/>
          <w:szCs w:val="24"/>
          <w:highlight w:val="none"/>
        </w:rPr>
        <w:t>一个月或任一季度依法缴纳税收的证明材料</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增值税</w:t>
      </w:r>
      <w:r>
        <w:rPr>
          <w:rFonts w:hint="eastAsia" w:ascii="宋体" w:hAnsi="宋体" w:eastAsia="宋体" w:cs="宋体"/>
          <w:b/>
          <w:bCs/>
          <w:color w:val="auto"/>
          <w:sz w:val="24"/>
          <w:szCs w:val="24"/>
          <w:highlight w:val="none"/>
          <w:lang w:eastAsia="zh-CN"/>
        </w:rPr>
        <w:t>缴纳</w:t>
      </w:r>
      <w:r>
        <w:rPr>
          <w:rFonts w:hint="eastAsia" w:ascii="宋体" w:hAnsi="宋体" w:eastAsia="宋体" w:cs="宋体"/>
          <w:b/>
          <w:bCs/>
          <w:color w:val="auto"/>
          <w:sz w:val="24"/>
          <w:szCs w:val="24"/>
          <w:highlight w:val="none"/>
        </w:rPr>
        <w:t>发票(税收完税证明)或企业所得税完税证明或税务部门出具的免税证明</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复印件（必须提供）</w:t>
      </w:r>
      <w:r>
        <w:rPr>
          <w:rFonts w:hint="eastAsia" w:ascii="宋体" w:hAnsi="宋体" w:eastAsia="宋体" w:cs="宋体"/>
          <w:b w:val="0"/>
          <w:bCs w:val="0"/>
          <w:color w:val="auto"/>
          <w:sz w:val="24"/>
          <w:szCs w:val="24"/>
          <w:highlight w:val="none"/>
          <w:lang w:eastAsia="zh-CN"/>
        </w:rPr>
        <w:t>；</w:t>
      </w:r>
    </w:p>
    <w:p w14:paraId="3A4BC4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中小企业声明函或者残疾人福利性单位声明函（格式后附）或者</w:t>
      </w:r>
      <w:r>
        <w:rPr>
          <w:rFonts w:hint="eastAsia" w:ascii="宋体" w:hAnsi="宋体" w:eastAsia="宋体" w:cs="宋体"/>
          <w:b/>
          <w:bCs/>
          <w:i w:val="0"/>
          <w:iCs w:val="0"/>
          <w:color w:val="auto"/>
          <w:sz w:val="24"/>
          <w:szCs w:val="24"/>
          <w:highlight w:val="none"/>
          <w:lang w:eastAsia="zh-CN"/>
        </w:rPr>
        <w:t>供应商</w:t>
      </w:r>
      <w:r>
        <w:rPr>
          <w:rFonts w:hint="eastAsia" w:ascii="宋体" w:hAnsi="宋体" w:eastAsia="宋体" w:cs="宋体"/>
          <w:b/>
          <w:bCs/>
          <w:color w:val="auto"/>
          <w:sz w:val="24"/>
          <w:szCs w:val="24"/>
          <w:highlight w:val="none"/>
        </w:rPr>
        <w:t>属于监狱企业的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73B4268B">
      <w:pPr>
        <w:pStyle w:val="53"/>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color w:val="auto"/>
          <w:sz w:val="24"/>
          <w:szCs w:val="24"/>
          <w:highlight w:val="none"/>
        </w:rPr>
      </w:pPr>
      <w:bookmarkStart w:id="104" w:name="_Toc27875"/>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符合性响应证明材料：</w:t>
      </w:r>
      <w:bookmarkEnd w:id="104"/>
    </w:p>
    <w:p w14:paraId="2B6BF9CE">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bookmarkStart w:id="105" w:name="_Toc16312"/>
      <w:bookmarkStart w:id="106" w:name="_Toc28932"/>
      <w:bookmarkStart w:id="107" w:name="_Toc2809"/>
      <w:r>
        <w:rPr>
          <w:rFonts w:hint="eastAsia" w:ascii="宋体" w:hAnsi="宋体" w:eastAsia="宋体" w:cs="宋体"/>
          <w:b/>
          <w:bCs/>
          <w:color w:val="auto"/>
          <w:sz w:val="24"/>
          <w:szCs w:val="24"/>
          <w:highlight w:val="none"/>
          <w:lang w:val="en-US"/>
        </w:rPr>
        <w:t>（1）响应函（格式见附件）（必须提供）</w:t>
      </w:r>
      <w:bookmarkEnd w:id="105"/>
      <w:r>
        <w:rPr>
          <w:rFonts w:hint="eastAsia" w:ascii="宋体" w:hAnsi="宋体" w:eastAsia="宋体" w:cs="宋体"/>
          <w:b w:val="0"/>
          <w:bCs w:val="0"/>
          <w:color w:val="auto"/>
          <w:sz w:val="24"/>
          <w:szCs w:val="24"/>
          <w:highlight w:val="none"/>
          <w:lang w:val="en-US" w:eastAsia="zh-CN"/>
        </w:rPr>
        <w:t>；</w:t>
      </w:r>
      <w:bookmarkEnd w:id="106"/>
      <w:bookmarkEnd w:id="107"/>
    </w:p>
    <w:p w14:paraId="53F3809A">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已标价工程量清单（必须提供）</w:t>
      </w:r>
      <w:r>
        <w:rPr>
          <w:rFonts w:hint="eastAsia" w:ascii="宋体" w:hAnsi="宋体" w:eastAsia="宋体" w:cs="宋体"/>
          <w:b w:val="0"/>
          <w:bCs w:val="0"/>
          <w:color w:val="auto"/>
          <w:kern w:val="0"/>
          <w:sz w:val="24"/>
          <w:szCs w:val="24"/>
          <w:highlight w:val="none"/>
          <w:lang w:eastAsia="zh-CN"/>
        </w:rPr>
        <w:t>；</w:t>
      </w:r>
    </w:p>
    <w:p w14:paraId="26AAB227">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）拟投入本工程主要施工管理人员表【必须提供，并一起提供由县级以上（含县级）社会养老保险经办机构出具的投标人为项目实施人员缴纳的开标截止时间前三个月内任意一个月养老保险证明复印件</w:t>
      </w:r>
      <w:r>
        <w:rPr>
          <w:rFonts w:hint="eastAsia" w:ascii="宋体" w:hAnsi="宋体" w:eastAsia="宋体" w:cs="宋体"/>
          <w:b w:val="0"/>
          <w:bCs w:val="0"/>
          <w:color w:val="auto"/>
          <w:sz w:val="24"/>
          <w:szCs w:val="24"/>
          <w:highlight w:val="none"/>
        </w:rPr>
        <w:t>（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r>
        <w:rPr>
          <w:rFonts w:hint="eastAsia" w:ascii="宋体" w:hAnsi="宋体" w:eastAsia="宋体" w:cs="宋体"/>
          <w:b/>
          <w:bCs/>
          <w:color w:val="auto"/>
          <w:sz w:val="24"/>
          <w:szCs w:val="24"/>
          <w:highlight w:val="none"/>
        </w:rPr>
        <w:t>】</w:t>
      </w:r>
    </w:p>
    <w:p w14:paraId="1A469090">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）主要人员简历表（必须提供）</w:t>
      </w:r>
      <w:r>
        <w:rPr>
          <w:rFonts w:hint="eastAsia" w:ascii="宋体" w:hAnsi="宋体" w:eastAsia="宋体" w:cs="宋体"/>
          <w:b w:val="0"/>
          <w:bCs w:val="0"/>
          <w:color w:val="auto"/>
          <w:sz w:val="24"/>
          <w:szCs w:val="24"/>
          <w:highlight w:val="none"/>
        </w:rPr>
        <w:t>；</w:t>
      </w:r>
    </w:p>
    <w:p w14:paraId="2D6B35CC">
      <w:pPr>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施工组织设计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根据工程量清单及工程情况自行编制</w:t>
      </w:r>
      <w:r>
        <w:rPr>
          <w:rFonts w:hint="eastAsia" w:ascii="宋体" w:hAnsi="宋体" w:eastAsia="宋体" w:cs="宋体"/>
          <w:b/>
          <w:bCs/>
          <w:color w:val="auto"/>
          <w:sz w:val="24"/>
          <w:szCs w:val="24"/>
          <w:highlight w:val="none"/>
        </w:rPr>
        <w:t>）（格式自拟，必须提供）</w:t>
      </w:r>
      <w:r>
        <w:rPr>
          <w:rFonts w:hint="eastAsia" w:ascii="宋体" w:hAnsi="宋体" w:eastAsia="宋体" w:cs="宋体"/>
          <w:b w:val="0"/>
          <w:bCs w:val="0"/>
          <w:color w:val="auto"/>
          <w:sz w:val="24"/>
          <w:szCs w:val="24"/>
          <w:highlight w:val="none"/>
          <w:lang w:eastAsia="zh-CN"/>
        </w:rPr>
        <w:t>；</w:t>
      </w:r>
    </w:p>
    <w:p w14:paraId="48EFE7B8">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rPr>
        <w:t>工</w:t>
      </w:r>
      <w:r>
        <w:rPr>
          <w:rFonts w:hint="eastAsia" w:ascii="宋体" w:hAnsi="宋体" w:eastAsia="宋体" w:cs="宋体"/>
          <w:b/>
          <w:bCs/>
          <w:color w:val="auto"/>
          <w:kern w:val="0"/>
          <w:sz w:val="24"/>
          <w:szCs w:val="24"/>
          <w:highlight w:val="none"/>
        </w:rPr>
        <w:t>程完工服务承诺书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346D48E2">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农民工工资保障金交纳与使用承诺书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必须提供</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kern w:val="0"/>
          <w:sz w:val="24"/>
          <w:szCs w:val="24"/>
          <w:highlight w:val="none"/>
          <w:lang w:eastAsia="zh-CN"/>
        </w:rPr>
        <w:t>。</w:t>
      </w:r>
    </w:p>
    <w:p w14:paraId="1C6AA9F6">
      <w:pPr>
        <w:pStyle w:val="53"/>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b/>
          <w:bCs/>
          <w:color w:val="auto"/>
          <w:sz w:val="24"/>
          <w:szCs w:val="24"/>
          <w:highlight w:val="none"/>
        </w:rPr>
      </w:pPr>
      <w:bookmarkStart w:id="108" w:name="_Toc24990"/>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其他有效证明材料</w:t>
      </w:r>
      <w:bookmarkEnd w:id="108"/>
    </w:p>
    <w:p w14:paraId="0555A08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供应商2021年1月1日以来具有同类项目</w:t>
      </w:r>
      <w:r>
        <w:rPr>
          <w:rFonts w:hint="eastAsia" w:ascii="宋体" w:hAnsi="宋体" w:eastAsia="宋体" w:cs="宋体"/>
          <w:color w:val="auto"/>
          <w:sz w:val="24"/>
          <w:szCs w:val="24"/>
          <w:highlight w:val="none"/>
        </w:rPr>
        <w:t>的业绩相关证明材料（无不良记录，以中标、成交通知书或签订的合同为准，并能清晰反映</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的名称、</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eastAsia="zh-CN"/>
        </w:rPr>
        <w:t>、采购时间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（如有，请提供）</w:t>
      </w:r>
      <w:r>
        <w:rPr>
          <w:rFonts w:hint="eastAsia" w:ascii="宋体" w:hAnsi="宋体" w:eastAsia="宋体" w:cs="宋体"/>
          <w:b w:val="0"/>
          <w:bCs w:val="0"/>
          <w:color w:val="auto"/>
          <w:sz w:val="24"/>
          <w:szCs w:val="24"/>
          <w:highlight w:val="none"/>
        </w:rPr>
        <w:t>；</w:t>
      </w:r>
    </w:p>
    <w:p w14:paraId="5A54D8AB">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）供应商可结合本项目的评审办法视自身情况自行提交其它相关证明材料</w:t>
      </w:r>
      <w:r>
        <w:rPr>
          <w:rFonts w:hint="eastAsia" w:ascii="宋体" w:hAnsi="宋体" w:eastAsia="宋体" w:cs="宋体"/>
          <w:b/>
          <w:bCs/>
          <w:color w:val="auto"/>
          <w:sz w:val="24"/>
          <w:szCs w:val="24"/>
          <w:highlight w:val="none"/>
        </w:rPr>
        <w:t>（如有，请提供）</w:t>
      </w:r>
      <w:r>
        <w:rPr>
          <w:rFonts w:hint="eastAsia" w:ascii="宋体" w:hAnsi="宋体" w:eastAsia="宋体" w:cs="宋体"/>
          <w:color w:val="auto"/>
          <w:sz w:val="24"/>
          <w:szCs w:val="24"/>
          <w:highlight w:val="none"/>
        </w:rPr>
        <w:t>。</w:t>
      </w:r>
    </w:p>
    <w:p w14:paraId="14B5CBF3">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供应商提供的以上相关证明材料属于“必须提供”的文件应加盖</w:t>
      </w:r>
      <w:r>
        <w:rPr>
          <w:rFonts w:hint="eastAsia" w:ascii="宋体" w:hAnsi="宋体" w:eastAsia="宋体" w:cs="宋体"/>
          <w:b/>
          <w:bCs/>
          <w:color w:val="auto"/>
          <w:sz w:val="24"/>
          <w:szCs w:val="24"/>
          <w:highlight w:val="none"/>
          <w:lang w:eastAsia="zh-CN"/>
        </w:rPr>
        <w:t>磋商供应商</w:t>
      </w:r>
      <w:r>
        <w:rPr>
          <w:rFonts w:hint="eastAsia" w:ascii="宋体" w:hAnsi="宋体" w:eastAsia="宋体" w:cs="宋体"/>
          <w:b/>
          <w:bCs/>
          <w:color w:val="auto"/>
          <w:sz w:val="24"/>
          <w:szCs w:val="24"/>
          <w:highlight w:val="none"/>
        </w:rPr>
        <w:t>公章（CA签章）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自然人</w:t>
      </w:r>
      <w:r>
        <w:rPr>
          <w:rFonts w:hint="eastAsia" w:ascii="宋体" w:hAnsi="宋体" w:eastAsia="宋体" w:cs="宋体"/>
          <w:b/>
          <w:bCs/>
          <w:color w:val="auto"/>
          <w:sz w:val="24"/>
          <w:szCs w:val="24"/>
          <w:highlight w:val="none"/>
          <w:lang w:eastAsia="zh-CN"/>
        </w:rPr>
        <w:t>签字或</w:t>
      </w:r>
      <w:r>
        <w:rPr>
          <w:rFonts w:hint="eastAsia" w:ascii="宋体" w:hAnsi="宋体" w:eastAsia="宋体" w:cs="宋体"/>
          <w:b/>
          <w:bCs/>
          <w:color w:val="auto"/>
          <w:sz w:val="24"/>
          <w:szCs w:val="24"/>
          <w:highlight w:val="none"/>
          <w:lang w:val="en-US" w:eastAsia="zh-CN"/>
        </w:rPr>
        <w:t>个人</w:t>
      </w:r>
      <w:r>
        <w:rPr>
          <w:rFonts w:hint="eastAsia" w:ascii="宋体" w:hAnsi="宋体" w:eastAsia="宋体" w:cs="宋体"/>
          <w:b/>
          <w:bCs/>
          <w:color w:val="auto"/>
          <w:sz w:val="24"/>
          <w:szCs w:val="24"/>
          <w:highlight w:val="none"/>
        </w:rPr>
        <w:t>CA签章，否则</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p>
    <w:p w14:paraId="7FEFC78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供应商应按竞争性磋商文件第六章“响应文件（格式）”编制响应文件。</w:t>
      </w:r>
    </w:p>
    <w:p w14:paraId="1F75622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9" w:name="_Toc13660"/>
      <w:bookmarkStart w:id="110" w:name="_Toc14454"/>
      <w:bookmarkStart w:id="111" w:name="_Toc2180"/>
      <w:r>
        <w:rPr>
          <w:rFonts w:hint="eastAsia" w:ascii="宋体" w:hAnsi="宋体" w:eastAsia="宋体" w:cs="宋体"/>
          <w:b/>
          <w:bCs/>
          <w:color w:val="auto"/>
          <w:sz w:val="24"/>
          <w:szCs w:val="24"/>
          <w:highlight w:val="none"/>
          <w:lang w:val="en-US" w:eastAsia="zh-CN"/>
        </w:rPr>
        <w:t>12. 响应文件的语言及计量</w:t>
      </w:r>
      <w:bookmarkEnd w:id="109"/>
      <w:bookmarkEnd w:id="110"/>
      <w:bookmarkEnd w:id="111"/>
    </w:p>
    <w:p w14:paraId="13F37BDD">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750FDFD">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磋商计量单位，磋商文件已有明确规定的，使用磋商文件规定的计量单位；磋商文件没有规定的，应采用中华人民共和国法定计量单位（货币单位：人民币元），否则视同未响应。</w:t>
      </w:r>
    </w:p>
    <w:p w14:paraId="4F32C55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2" w:name="_Toc10838"/>
      <w:bookmarkStart w:id="113" w:name="_Toc3058"/>
      <w:bookmarkStart w:id="114" w:name="_Toc8838"/>
      <w:r>
        <w:rPr>
          <w:rFonts w:hint="eastAsia" w:ascii="宋体" w:hAnsi="宋体" w:eastAsia="宋体" w:cs="宋体"/>
          <w:b/>
          <w:bCs/>
          <w:color w:val="auto"/>
          <w:sz w:val="24"/>
          <w:szCs w:val="24"/>
          <w:highlight w:val="none"/>
          <w:lang w:val="en-US" w:eastAsia="zh-CN"/>
        </w:rPr>
        <w:t xml:space="preserve">13. </w:t>
      </w:r>
      <w:bookmarkEnd w:id="112"/>
      <w:bookmarkEnd w:id="113"/>
      <w:bookmarkEnd w:id="114"/>
      <w:r>
        <w:rPr>
          <w:rFonts w:hint="eastAsia" w:ascii="宋体" w:hAnsi="宋体" w:eastAsia="宋体" w:cs="宋体"/>
          <w:b/>
          <w:bCs/>
          <w:color w:val="auto"/>
          <w:sz w:val="24"/>
          <w:szCs w:val="24"/>
          <w:highlight w:val="none"/>
          <w:lang w:val="en-US" w:eastAsia="zh-CN"/>
        </w:rPr>
        <w:t>磋商报价及采购预算金额</w:t>
      </w:r>
    </w:p>
    <w:p w14:paraId="360DD333">
      <w:pPr>
        <w:keepNext w:val="0"/>
        <w:keepLines w:val="0"/>
        <w:pageBreakBefore w:val="0"/>
        <w:widowControl w:val="0"/>
        <w:kinsoku/>
        <w:wordWrap w:val="0"/>
        <w:overflowPunct/>
        <w:topLinePunct w:val="0"/>
        <w:autoSpaceDE/>
        <w:autoSpaceDN/>
        <w:bidi w:val="0"/>
        <w:adjustRightInd/>
        <w:snapToGrid/>
        <w:spacing w:line="420" w:lineRule="exact"/>
        <w:ind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w:t>
      </w:r>
      <w:r>
        <w:rPr>
          <w:rFonts w:hint="eastAsia" w:ascii="宋体" w:hAnsi="宋体" w:eastAsia="宋体" w:cs="宋体"/>
          <w:color w:val="auto"/>
          <w:sz w:val="24"/>
          <w:szCs w:val="24"/>
          <w:highlight w:val="none"/>
          <w:lang w:val="en-US" w:eastAsia="zh-CN"/>
        </w:rPr>
        <w:t>本项目预算总造价（人民币）：</w:t>
      </w:r>
      <w:r>
        <w:rPr>
          <w:rFonts w:hint="eastAsia" w:ascii="宋体" w:hAnsi="宋体" w:cs="宋体"/>
          <w:color w:val="auto"/>
          <w:sz w:val="24"/>
          <w:szCs w:val="24"/>
          <w:highlight w:val="none"/>
          <w:u w:val="none"/>
          <w:lang w:val="en-US" w:eastAsia="zh-CN"/>
        </w:rPr>
        <w:t>1401210.31</w:t>
      </w:r>
      <w:r>
        <w:rPr>
          <w:rFonts w:hint="eastAsia" w:ascii="宋体" w:hAnsi="宋体" w:eastAsia="宋体" w:cs="宋体"/>
          <w:color w:val="auto"/>
          <w:sz w:val="24"/>
          <w:szCs w:val="24"/>
          <w:highlight w:val="none"/>
          <w:lang w:val="en-US" w:eastAsia="zh-CN"/>
        </w:rPr>
        <w:t>元作为招标控制价，磋商报价超过招标控制价</w:t>
      </w:r>
      <w:r>
        <w:rPr>
          <w:rFonts w:hint="eastAsia" w:ascii="宋体" w:hAnsi="宋体" w:cs="宋体"/>
          <w:color w:val="auto"/>
          <w:sz w:val="24"/>
          <w:szCs w:val="24"/>
          <w:highlight w:val="none"/>
          <w:lang w:val="en-US" w:eastAsia="zh-CN"/>
        </w:rPr>
        <w:t>1401210.31</w:t>
      </w:r>
      <w:r>
        <w:rPr>
          <w:rFonts w:hint="eastAsia" w:ascii="宋体" w:hAnsi="宋体" w:eastAsia="宋体" w:cs="宋体"/>
          <w:color w:val="auto"/>
          <w:sz w:val="24"/>
          <w:szCs w:val="24"/>
          <w:highlight w:val="none"/>
          <w:lang w:val="en-US" w:eastAsia="zh-CN"/>
        </w:rPr>
        <w:t>元的，响应文件作无效处理。</w:t>
      </w:r>
    </w:p>
    <w:p w14:paraId="79E5122B">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13.2供应商必须就“工程量清单”中所有内容作完整唯一报价，否则，其响应文件无效；响应文件只允许有一个报价，有选择的或有条件的报价将不予接受。</w:t>
      </w:r>
    </w:p>
    <w:p w14:paraId="4BC0E65C">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4EC99C82">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4007BE6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2A342E5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按上述勘误修正原则及方法调整或修正响应文件的磋商报价，供应商需签字确认。</w:t>
      </w:r>
    </w:p>
    <w:p w14:paraId="2A6058F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磋商报价应包括本次采购范围内提供的服务、技术费、人工费、保险、税金、培训、版权费等全部费用，磋商供应商综合考虑在报价中。</w:t>
      </w:r>
    </w:p>
    <w:p w14:paraId="41F1EF6D">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6B39A5D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4DE0121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5" w:name="_Toc26881"/>
      <w:bookmarkStart w:id="116" w:name="_Toc30554"/>
      <w:bookmarkStart w:id="117" w:name="_Toc12156"/>
      <w:r>
        <w:rPr>
          <w:rFonts w:hint="eastAsia" w:ascii="宋体" w:hAnsi="宋体" w:eastAsia="宋体" w:cs="宋体"/>
          <w:b/>
          <w:bCs/>
          <w:color w:val="auto"/>
          <w:sz w:val="24"/>
          <w:szCs w:val="24"/>
          <w:highlight w:val="none"/>
          <w:lang w:val="en-US" w:eastAsia="zh-CN"/>
        </w:rPr>
        <w:t>14. 响应文件有效期</w:t>
      </w:r>
      <w:bookmarkEnd w:id="115"/>
      <w:bookmarkEnd w:id="116"/>
      <w:bookmarkEnd w:id="117"/>
    </w:p>
    <w:p w14:paraId="4314B93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响应文件有效期：响应文件递交截止时间之日起90天，有效期不足的响应文件将被拒绝。</w:t>
      </w:r>
    </w:p>
    <w:p w14:paraId="4BD002A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出现特殊情况下，需要延长响应文件有效期的，采购代理机构</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通知供应商延长响应文件有效期。供应商同意延长的，但不能修改响应文件。供应商拒绝延长的，其响应文件无效。</w:t>
      </w:r>
    </w:p>
    <w:p w14:paraId="068E65C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8" w:name="_Toc20698"/>
      <w:bookmarkStart w:id="119" w:name="_Toc22602"/>
      <w:bookmarkStart w:id="120" w:name="_Toc8794"/>
      <w:r>
        <w:rPr>
          <w:rFonts w:hint="eastAsia" w:ascii="宋体" w:hAnsi="宋体" w:eastAsia="宋体" w:cs="宋体"/>
          <w:b/>
          <w:bCs/>
          <w:color w:val="auto"/>
          <w:sz w:val="24"/>
          <w:szCs w:val="24"/>
          <w:highlight w:val="none"/>
          <w:lang w:val="en-US" w:eastAsia="zh-CN"/>
        </w:rPr>
        <w:t xml:space="preserve">15. </w:t>
      </w:r>
      <w:bookmarkEnd w:id="118"/>
      <w:bookmarkEnd w:id="119"/>
      <w:bookmarkEnd w:id="120"/>
      <w:r>
        <w:rPr>
          <w:rFonts w:hint="eastAsia" w:ascii="宋体" w:hAnsi="宋体" w:eastAsia="宋体" w:cs="宋体"/>
          <w:b/>
          <w:bCs/>
          <w:color w:val="auto"/>
          <w:sz w:val="24"/>
          <w:szCs w:val="24"/>
          <w:highlight w:val="none"/>
          <w:lang w:val="en-US" w:eastAsia="zh-CN"/>
        </w:rPr>
        <w:t>磋商保证金</w:t>
      </w:r>
    </w:p>
    <w:p w14:paraId="2F76AF85">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本项目无须缴纳磋商保证金。</w:t>
      </w:r>
    </w:p>
    <w:p w14:paraId="3FAE6785">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1" w:name="_Toc387"/>
      <w:bookmarkStart w:id="122" w:name="_Toc30118"/>
      <w:bookmarkStart w:id="123" w:name="_Toc19182"/>
      <w:r>
        <w:rPr>
          <w:rFonts w:hint="eastAsia" w:ascii="宋体" w:hAnsi="宋体" w:eastAsia="宋体" w:cs="宋体"/>
          <w:b/>
          <w:bCs/>
          <w:color w:val="auto"/>
          <w:sz w:val="24"/>
          <w:szCs w:val="24"/>
          <w:highlight w:val="none"/>
          <w:lang w:val="en-US" w:eastAsia="zh-CN"/>
        </w:rPr>
        <w:t>16. 响应文件的</w:t>
      </w:r>
      <w:bookmarkEnd w:id="121"/>
      <w:r>
        <w:rPr>
          <w:rFonts w:hint="eastAsia" w:ascii="宋体" w:hAnsi="宋体" w:eastAsia="宋体" w:cs="宋体"/>
          <w:b/>
          <w:bCs/>
          <w:color w:val="auto"/>
          <w:sz w:val="24"/>
          <w:szCs w:val="24"/>
          <w:highlight w:val="none"/>
          <w:lang w:val="en-US" w:eastAsia="zh-CN"/>
        </w:rPr>
        <w:t>制作</w:t>
      </w:r>
      <w:bookmarkEnd w:id="122"/>
      <w:bookmarkEnd w:id="123"/>
    </w:p>
    <w:p w14:paraId="3830B7CB">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.1 电子响应文件中须加盖供应商公章部分均采用 CA 签章，并根据“政府采购项目电子交易管理操作指南-供应商” 及本磋商文件规定的格式和顺序编制电子响应文件并进行关联定位，以便磋商小组在评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396CE39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3CA4560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.3 响应文件不得涂改，若有修改错漏处，须法定代表人（负责人）或授权委托人签字（或个人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。响应文件因字迹潦草或表达不清所引起的后果由供应商负责。</w:t>
      </w:r>
    </w:p>
    <w:p w14:paraId="6AA1548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1CE8B56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0B9692C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 xml:space="preserve">各供应商应在截标前应确保成为广西政府采购云平台正式注册入库供应商，并完成 CA 数字证书申领。因未注册入库、未办理 CA 数字证书等原因造成无法磋商或磋商失败等后果由供应商自行承担。 </w:t>
      </w:r>
    </w:p>
    <w:p w14:paraId="403B0D0D">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供应商将广西政府采购云平台新版客户端下载、安装完成后，可通过账号密码或 CA 登录客户端进行响应文件制作。客户端请至网站下载专区查看，如有问题可拨打政采云客户服务热线 95763 进行咨询。</w:t>
      </w:r>
    </w:p>
    <w:p w14:paraId="723478F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4" w:name="_Toc8793"/>
      <w:bookmarkStart w:id="125" w:name="_Toc9738"/>
      <w:r>
        <w:rPr>
          <w:rFonts w:hint="eastAsia" w:ascii="宋体" w:hAnsi="宋体" w:eastAsia="宋体" w:cs="宋体"/>
          <w:b/>
          <w:bCs/>
          <w:color w:val="auto"/>
          <w:sz w:val="24"/>
          <w:szCs w:val="24"/>
          <w:highlight w:val="none"/>
          <w:lang w:val="en-US" w:eastAsia="zh-CN"/>
        </w:rPr>
        <w:t>17. 响应文件的修改和撤回</w:t>
      </w:r>
      <w:bookmarkEnd w:id="124"/>
      <w:bookmarkEnd w:id="125"/>
    </w:p>
    <w:p w14:paraId="169EA50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0F7A6EB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在响应文件递交截止时间后的响应文件有效期内，供应商不得撤回其响应文件。</w:t>
      </w:r>
    </w:p>
    <w:p w14:paraId="40EC2E9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6" w:name="_Toc27281"/>
      <w:bookmarkStart w:id="127" w:name="_Toc30156"/>
      <w:bookmarkStart w:id="128" w:name="_Toc24690"/>
      <w:r>
        <w:rPr>
          <w:rFonts w:hint="eastAsia" w:ascii="宋体" w:hAnsi="宋体" w:eastAsia="宋体" w:cs="宋体"/>
          <w:b/>
          <w:bCs/>
          <w:color w:val="auto"/>
          <w:sz w:val="24"/>
          <w:szCs w:val="24"/>
          <w:highlight w:val="none"/>
          <w:lang w:val="en-US" w:eastAsia="zh-CN"/>
        </w:rPr>
        <w:t>18. 响应文件的递交和解密</w:t>
      </w:r>
      <w:bookmarkEnd w:id="126"/>
      <w:bookmarkEnd w:id="127"/>
      <w:bookmarkEnd w:id="128"/>
    </w:p>
    <w:p w14:paraId="615EF86F">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18.1响应文件递交截止时间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电子响应文件</w:t>
      </w:r>
      <w:r>
        <w:rPr>
          <w:rFonts w:hint="eastAsia" w:ascii="宋体" w:hAnsi="宋体" w:eastAsia="宋体" w:cs="宋体"/>
          <w:color w:val="auto"/>
          <w:sz w:val="24"/>
          <w:szCs w:val="24"/>
          <w:highlight w:val="none"/>
        </w:rPr>
        <w:t>应按照本项目磋商文件和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4644989F">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18.2响应文件</w:t>
      </w:r>
      <w:r>
        <w:rPr>
          <w:rFonts w:hint="eastAsia" w:ascii="宋体" w:hAnsi="宋体" w:eastAsia="宋体" w:cs="宋体"/>
          <w:color w:val="auto"/>
          <w:sz w:val="24"/>
          <w:szCs w:val="24"/>
          <w:highlight w:val="none"/>
          <w:lang w:eastAsia="zh-CN"/>
        </w:rPr>
        <w:t>解密时间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eastAsia="宋体" w:cs="宋体"/>
          <w:color w:val="auto"/>
          <w:sz w:val="24"/>
          <w:szCs w:val="24"/>
          <w:highlight w:val="none"/>
        </w:rPr>
        <w:t>桂林市公共资源交易中心</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lang w:eastAsia="zh-CN"/>
        </w:rPr>
        <w:t>政采开标仓</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B1BC3D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除竞争性磋商文件另有规定外，供应商所递交的响应文件不予退还。</w:t>
      </w:r>
    </w:p>
    <w:p w14:paraId="29ABCC2D">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18.4 </w:t>
      </w:r>
      <w:r>
        <w:rPr>
          <w:rFonts w:hint="eastAsia" w:ascii="宋体" w:hAnsi="宋体" w:eastAsia="宋体" w:cs="宋体"/>
          <w:color w:val="auto"/>
          <w:sz w:val="24"/>
          <w:szCs w:val="24"/>
          <w:highlight w:val="none"/>
        </w:rPr>
        <w:t>电子响应文件的相关说明</w:t>
      </w:r>
    </w:p>
    <w:p w14:paraId="17CD699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（1）供应商进行电子投标应安装客户端软件，并按照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的要求编制并加密响应文件。供应商未按规定加密的响应文件，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将拒收。供应商应当在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截止时间前完成响应文件的传输递交，并可以补充、修改或者撤回</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响应文件。补充或者修改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响应文件的，应当先行撤回原文件，补充、修改后重新传输递交。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截止时间前未完成传输的，视为撤回响应文件。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截止时间后递交的响应文件，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 xml:space="preserve">将拒收。 </w:t>
      </w:r>
    </w:p>
    <w:p w14:paraId="75A8FDD6">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（2）如有特殊情况，采购代理机构延长截止时间和开标时间，采购代理机构和供应商的权利和义务将受到新的截止时间和开标时间的约束。</w:t>
      </w:r>
    </w:p>
    <w:p w14:paraId="7A2404A8">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val="0"/>
          <w:color w:val="auto"/>
          <w:szCs w:val="28"/>
          <w:highlight w:val="none"/>
        </w:rPr>
      </w:pPr>
      <w:bookmarkStart w:id="129" w:name="_Toc2433"/>
    </w:p>
    <w:p w14:paraId="5B0A3B84">
      <w:pPr>
        <w:rPr>
          <w:rFonts w:hint="eastAsia" w:ascii="Times New Roman" w:hAnsi="Times New Roman" w:eastAsia="宋体" w:cs="Times New Roman"/>
          <w:b/>
          <w:bCs/>
          <w:color w:val="auto"/>
          <w:sz w:val="28"/>
          <w:szCs w:val="28"/>
          <w:highlight w:val="none"/>
        </w:rPr>
      </w:pPr>
      <w:bookmarkStart w:id="130" w:name="_Toc5807"/>
      <w:bookmarkStart w:id="131" w:name="_Toc27502"/>
      <w:bookmarkStart w:id="132" w:name="_Toc8366"/>
      <w:r>
        <w:rPr>
          <w:rFonts w:hint="eastAsia" w:ascii="Times New Roman" w:hAnsi="Times New Roman" w:eastAsia="宋体" w:cs="Times New Roman"/>
          <w:b/>
          <w:bCs/>
          <w:color w:val="auto"/>
          <w:sz w:val="28"/>
          <w:szCs w:val="28"/>
          <w:highlight w:val="none"/>
        </w:rPr>
        <w:br w:type="page"/>
      </w:r>
    </w:p>
    <w:p w14:paraId="29E0E5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四、竞争性磋商（简称磋商）与评审</w:t>
      </w:r>
      <w:bookmarkEnd w:id="129"/>
      <w:bookmarkEnd w:id="130"/>
      <w:bookmarkEnd w:id="131"/>
      <w:bookmarkEnd w:id="132"/>
    </w:p>
    <w:p w14:paraId="44C7E42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3" w:name="_Toc31588"/>
      <w:bookmarkStart w:id="134" w:name="_Toc9080"/>
      <w:bookmarkStart w:id="135" w:name="_Toc11021"/>
      <w:r>
        <w:rPr>
          <w:rFonts w:hint="eastAsia" w:ascii="宋体" w:hAnsi="宋体" w:eastAsia="宋体" w:cs="宋体"/>
          <w:b/>
          <w:bCs/>
          <w:color w:val="auto"/>
          <w:sz w:val="24"/>
          <w:szCs w:val="24"/>
          <w:highlight w:val="none"/>
          <w:lang w:val="en-US" w:eastAsia="zh-CN"/>
        </w:rPr>
        <w:t>19. 磋商小组组成及磋商时间、地点、人员</w:t>
      </w:r>
      <w:bookmarkEnd w:id="133"/>
      <w:bookmarkEnd w:id="134"/>
      <w:bookmarkEnd w:id="135"/>
    </w:p>
    <w:p w14:paraId="702243C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磋商小组组成：</w:t>
      </w:r>
    </w:p>
    <w:p w14:paraId="4F112C0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p w14:paraId="0B27A9A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磋商时间、地点、人员：</w:t>
      </w:r>
    </w:p>
    <w:p w14:paraId="4C7A085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19.2.1磋商时间：响应文件递交截止时间后。</w:t>
      </w:r>
    </w:p>
    <w:p w14:paraId="572FD9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19.2.2磋商地点：供应商代表在响应文件提交当天实时登录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7D8516A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19.2.3磋商参加人员：供应商法定代表人、负责人、自然人或相应的委托代理人参加磋商。请供应商实时登录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等候在线磋商。</w:t>
      </w:r>
    </w:p>
    <w:p w14:paraId="008912E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19.2.4响应文件递交截止时间后，登录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在线解密开启。</w:t>
      </w:r>
    </w:p>
    <w:p w14:paraId="00F1917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6" w:name="_Toc21088"/>
      <w:bookmarkStart w:id="137" w:name="_Toc30573"/>
      <w:bookmarkStart w:id="138" w:name="_Toc25258"/>
      <w:r>
        <w:rPr>
          <w:rFonts w:hint="eastAsia" w:ascii="宋体" w:hAnsi="宋体" w:eastAsia="宋体" w:cs="宋体"/>
          <w:b/>
          <w:bCs/>
          <w:color w:val="auto"/>
          <w:sz w:val="24"/>
          <w:szCs w:val="24"/>
          <w:highlight w:val="none"/>
          <w:lang w:val="en-US" w:eastAsia="zh-CN"/>
        </w:rPr>
        <w:t>20. 评审原则</w:t>
      </w:r>
      <w:bookmarkEnd w:id="136"/>
      <w:bookmarkEnd w:id="137"/>
      <w:bookmarkEnd w:id="138"/>
    </w:p>
    <w:p w14:paraId="20FF71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磋商小组必须坚持公平、公正、科学和择优的原则。</w:t>
      </w:r>
    </w:p>
    <w:p w14:paraId="1F08531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评审办法：具体详见第四章评审办法。</w:t>
      </w:r>
    </w:p>
    <w:p w14:paraId="3FAD0C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磋商小组应按磋商文件进行评审，不得擅自更改评审办法。</w:t>
      </w:r>
    </w:p>
    <w:p w14:paraId="03B60D1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在评审过程中，磋商小组任何人不得对某个供应商发表任何倾向性意见，不得向其他磋商小组成员明示或者暗示自己的评审意见。</w:t>
      </w:r>
    </w:p>
    <w:p w14:paraId="14ED20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磋商小组成员对需要共同认定的事项存在争议的，按照少数服从多数的原则作出结论。持不同意见的磋商小组成员应当在评审报告上签署不同意见并说明理由，否则视为同意。</w:t>
      </w:r>
    </w:p>
    <w:p w14:paraId="561D527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72FA1CA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3D76D1A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3DA3D13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681256A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61B5BA2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01A009E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9" w:name="_Toc21012"/>
      <w:bookmarkStart w:id="140" w:name="_Toc17285"/>
      <w:bookmarkStart w:id="141" w:name="_Toc27193"/>
      <w:r>
        <w:rPr>
          <w:rFonts w:hint="eastAsia" w:ascii="宋体" w:hAnsi="宋体" w:eastAsia="宋体" w:cs="宋体"/>
          <w:b/>
          <w:bCs/>
          <w:color w:val="auto"/>
          <w:sz w:val="24"/>
          <w:szCs w:val="24"/>
          <w:highlight w:val="none"/>
          <w:lang w:val="en-US" w:eastAsia="zh-CN"/>
        </w:rPr>
        <w:t>21. 评审程序及磋商要求</w:t>
      </w:r>
      <w:bookmarkEnd w:id="139"/>
      <w:bookmarkEnd w:id="140"/>
      <w:bookmarkEnd w:id="141"/>
    </w:p>
    <w:p w14:paraId="1403238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21.1磋商小组成员的通讯工具或相关电子设备交由桂林市公共资源交易中心统一保管后到达评标室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采购代理机构核实磋商小组成员身份，告知回避要求，宣布评审工作纪律和程序，推选磋商小组组长。</w:t>
      </w:r>
    </w:p>
    <w:p w14:paraId="398DF1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kern w:val="0"/>
          <w:sz w:val="24"/>
          <w:szCs w:val="24"/>
          <w:highlight w:val="none"/>
        </w:rPr>
        <w:t>磋商小组应当审查供应商的响应文件并作出评价；要求供应商解释或者澄清其响应文件；编写评审报告；告知采购人、采购代理机构在评审过程中发现的供应商的违法违规行为。</w:t>
      </w:r>
    </w:p>
    <w:p w14:paraId="1B38783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21.3 </w:t>
      </w:r>
      <w:r>
        <w:rPr>
          <w:rFonts w:hint="eastAsia" w:ascii="宋体" w:hAnsi="宋体" w:eastAsia="宋体" w:cs="宋体"/>
          <w:color w:val="auto"/>
          <w:kern w:val="0"/>
          <w:sz w:val="24"/>
          <w:szCs w:val="24"/>
          <w:highlight w:val="none"/>
        </w:rPr>
        <w:t>磋商小组依据法律法规和竞争性磋商文件的规定，</w:t>
      </w:r>
      <w:r>
        <w:rPr>
          <w:rFonts w:hint="eastAsia" w:ascii="宋体" w:hAnsi="宋体" w:eastAsia="宋体" w:cs="宋体"/>
          <w:color w:val="auto"/>
          <w:kern w:val="0"/>
          <w:sz w:val="24"/>
          <w:szCs w:val="22"/>
          <w:highlight w:val="none"/>
        </w:rPr>
        <w:t>首先对响应文件进行资格性审查，</w:t>
      </w:r>
      <w:r>
        <w:rPr>
          <w:rFonts w:hint="eastAsia" w:ascii="宋体" w:hAnsi="宋体" w:eastAsia="宋体" w:cs="宋体"/>
          <w:color w:val="auto"/>
          <w:kern w:val="0"/>
          <w:sz w:val="24"/>
          <w:szCs w:val="24"/>
          <w:highlight w:val="none"/>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eastAsia="宋体" w:cs="宋体"/>
          <w:color w:val="auto"/>
          <w:sz w:val="24"/>
          <w:szCs w:val="24"/>
          <w:highlight w:val="none"/>
        </w:rPr>
        <w:t xml:space="preserve"> </w:t>
      </w:r>
    </w:p>
    <w:p w14:paraId="5AD669D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21AB121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查询渠道：《国家企业信用信息公示系统》（网址：www.gsxt.gov.cn/index.html）</w:t>
      </w:r>
    </w:p>
    <w:p w14:paraId="0FA67F5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审查流程：</w:t>
      </w:r>
    </w:p>
    <w:p w14:paraId="2B08916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（1）进入《国家企业信用信息公示系统》（网址：www.gsxt.gov.cn/index.html），输入企业名称，进入企业信息主页面；</w:t>
      </w:r>
    </w:p>
    <w:p w14:paraId="6AF5C0C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（2）查看主页“股东及出资信息”栏，或年报中的“股东及出资信息”栏信息；</w:t>
      </w:r>
    </w:p>
    <w:p w14:paraId="7116811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（3）将各供应商的股东及出资信息进行比对，得出审查结论；</w:t>
      </w:r>
    </w:p>
    <w:p w14:paraId="0DD0C55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（4）将相关资料作为评审资料打印存档。</w:t>
      </w:r>
    </w:p>
    <w:p w14:paraId="094C5494">
      <w:pPr>
        <w:pStyle w:val="2"/>
        <w:keepNext w:val="0"/>
        <w:keepLines w:val="0"/>
        <w:pageBreakBefore w:val="0"/>
        <w:widowControl w:val="0"/>
        <w:kinsoku/>
        <w:wordWrap/>
        <w:overflowPunct/>
        <w:topLinePunct w:val="0"/>
        <w:autoSpaceDE/>
        <w:autoSpaceDN/>
        <w:bidi w:val="0"/>
        <w:adjustRightInd/>
        <w:snapToGrid/>
        <w:spacing w:after="0" w:line="420" w:lineRule="exact"/>
        <w:ind w:firstLine="482"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3D2749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21.5 磋商小组如发现供应商提供的证明文件不齐全或不符合规定格式的，应一次性告知供应商，供应商应在规定的时间内</w:t>
      </w:r>
      <w:r>
        <w:rPr>
          <w:rFonts w:hint="eastAsia" w:ascii="宋体" w:hAnsi="宋体" w:eastAsia="宋体" w:cs="宋体"/>
          <w:b w:val="0"/>
          <w:bCs w:val="0"/>
          <w:color w:val="auto"/>
          <w:sz w:val="24"/>
          <w:szCs w:val="24"/>
          <w:highlight w:val="none"/>
          <w:lang w:eastAsia="zh-CN"/>
        </w:rPr>
        <w:t>线上</w:t>
      </w:r>
      <w:r>
        <w:rPr>
          <w:rFonts w:hint="eastAsia" w:ascii="宋体" w:hAnsi="宋体" w:eastAsia="宋体" w:cs="宋体"/>
          <w:b w:val="0"/>
          <w:bCs w:val="0"/>
          <w:color w:val="auto"/>
          <w:sz w:val="24"/>
          <w:szCs w:val="24"/>
          <w:highlight w:val="none"/>
        </w:rPr>
        <w:t>补正或更正。</w:t>
      </w:r>
    </w:p>
    <w:p w14:paraId="53ED3B7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4"/>
          <w:szCs w:val="24"/>
          <w:highlight w:val="none"/>
          <w:lang w:eastAsia="zh-CN"/>
        </w:rPr>
        <w:t>（负责人、自然人）</w:t>
      </w:r>
      <w:r>
        <w:rPr>
          <w:rFonts w:hint="eastAsia" w:ascii="宋体" w:hAnsi="宋体" w:eastAsia="宋体" w:cs="宋体"/>
          <w:color w:val="auto"/>
          <w:sz w:val="24"/>
          <w:szCs w:val="24"/>
          <w:highlight w:val="none"/>
        </w:rPr>
        <w:t>或相应的授权委托代表签字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32"/>
          <w:highlight w:val="none"/>
          <w:lang w:val="en-US" w:eastAsia="zh-CN"/>
        </w:rPr>
        <w:t>个人CA签章)</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w:t>
      </w:r>
    </w:p>
    <w:p w14:paraId="5423509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根据磋商文件规定的程序、评定成交的标准等事项与实质性响应竞争性磋商文件要求的供应商进行磋商。 未实质性响应磋商文件的响应文件按无效处理，磋商小组应当告知有关供应商。 </w:t>
      </w:r>
    </w:p>
    <w:p w14:paraId="1624983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3CD94FD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磋商中，磋商小组不得透露与磋商有关的其他供应商的技术资料、价格和其他信息。 </w:t>
      </w:r>
    </w:p>
    <w:p w14:paraId="763B994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磋商小组对磋商过程和重要磋商内容进行记录，磋商双方在记录上签字确认（或电子签名、加盖电子签章）。</w:t>
      </w:r>
    </w:p>
    <w:p w14:paraId="37A5574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在磋商过程中，磋商小组可以根据磋商文件和磋商情况实质性变动项目需求中的技术、服务要求以及合同草案条款，但不得变动磋商文件中的其他内容。实质性变动的内容，须经采购人代表确认。 </w:t>
      </w:r>
    </w:p>
    <w:p w14:paraId="184F5D5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w:t>
      </w:r>
      <w:r>
        <w:rPr>
          <w:rFonts w:hint="eastAsia" w:ascii="宋体" w:hAnsi="宋体" w:eastAsia="宋体" w:cs="宋体"/>
          <w:color w:val="auto"/>
          <w:sz w:val="24"/>
          <w:szCs w:val="24"/>
          <w:highlight w:val="none"/>
          <w:lang w:eastAsia="zh-CN"/>
        </w:rPr>
        <w:t>通过广西政府采购云平台同时</w:t>
      </w:r>
      <w:r>
        <w:rPr>
          <w:rFonts w:hint="eastAsia" w:ascii="宋体" w:hAnsi="宋体" w:eastAsia="宋体" w:cs="宋体"/>
          <w:color w:val="auto"/>
          <w:sz w:val="24"/>
          <w:szCs w:val="24"/>
          <w:highlight w:val="none"/>
        </w:rPr>
        <w:t xml:space="preserve">通知所有参加磋商的供应商。 </w:t>
      </w:r>
    </w:p>
    <w:p w14:paraId="6C981EE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供应商应当按照磋商文件的变动情况和磋商小组的要求重新提交响应文件，并由其法定代表人、负责人、</w:t>
      </w:r>
      <w:r>
        <w:rPr>
          <w:rFonts w:hint="eastAsia" w:ascii="宋体" w:hAnsi="宋体" w:eastAsia="宋体" w:cs="宋体"/>
          <w:color w:val="auto"/>
          <w:sz w:val="24"/>
          <w:szCs w:val="24"/>
          <w:highlight w:val="none"/>
          <w:lang w:eastAsia="zh-CN"/>
        </w:rPr>
        <w:t>自然人或相应的授权委托代表签字（个人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 xml:space="preserve">。逾时不交的，视同放弃磋商。 </w:t>
      </w:r>
    </w:p>
    <w:p w14:paraId="133231B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最后报价</w:t>
      </w:r>
    </w:p>
    <w:p w14:paraId="36FFE35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磋商文件能够详细列明采购标的的质量要求的，磋商结束后，磋商小组应当要求所有继续参加磋商的供应商在规定时间内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提交最后报价，提交最后报价的供应商不得少于 3 家。 </w:t>
      </w:r>
    </w:p>
    <w:p w14:paraId="100AF4E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 </w:t>
      </w:r>
    </w:p>
    <w:p w14:paraId="5CEC359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21.8.3</w:t>
      </w:r>
      <w:r>
        <w:rPr>
          <w:rFonts w:hint="eastAsia" w:ascii="宋体" w:hAnsi="宋体" w:eastAsia="宋体" w:cs="宋体"/>
          <w:color w:val="auto"/>
          <w:kern w:val="0"/>
          <w:sz w:val="24"/>
          <w:szCs w:val="24"/>
          <w:highlight w:val="none"/>
        </w:rPr>
        <w:t>最后报价（应答文件）是供应商响应文件的有效组成部分</w:t>
      </w:r>
      <w:r>
        <w:rPr>
          <w:rFonts w:hint="eastAsia" w:ascii="宋体" w:hAnsi="宋体" w:eastAsia="宋体" w:cs="宋体"/>
          <w:color w:val="auto"/>
          <w:kern w:val="0"/>
          <w:sz w:val="24"/>
          <w:szCs w:val="24"/>
          <w:highlight w:val="none"/>
          <w:lang w:eastAsia="zh-CN"/>
        </w:rPr>
        <w:t>。</w:t>
      </w:r>
    </w:p>
    <w:p w14:paraId="619636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根据《财政部关于政府采购竞争性磋商采购方式管理暂行办法有关问题的补充通知》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6514C28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根据《政府采购竞争性磋商采购方式管理暂行办法》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w:t>
      </w:r>
      <w:r>
        <w:rPr>
          <w:rFonts w:hint="eastAsia" w:ascii="宋体" w:hAnsi="宋体" w:eastAsia="宋体" w:cs="宋体"/>
          <w:b w:val="0"/>
          <w:bCs w:val="0"/>
          <w:color w:val="auto"/>
          <w:sz w:val="24"/>
          <w:szCs w:val="24"/>
          <w:highlight w:val="none"/>
        </w:rPr>
        <w:t>最后报价是供应商响应文件的有效组成部分。</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符合本办法(财库〔2014〕214号文)第三条第四项情形的，提交最后报价的供应商可以为2家。</w:t>
      </w:r>
      <w:r>
        <w:rPr>
          <w:rFonts w:hint="eastAsia" w:ascii="宋体" w:hAnsi="宋体" w:eastAsia="宋体" w:cs="宋体"/>
          <w:b/>
          <w:bCs/>
          <w:color w:val="auto"/>
          <w:sz w:val="24"/>
          <w:szCs w:val="24"/>
          <w:highlight w:val="none"/>
        </w:rPr>
        <w:t>（财库〔2014〕214号文第三条第四项：市场竞争不充分的科研项目，以及需要扶持的科技成果转化项目。）</w:t>
      </w:r>
    </w:p>
    <w:p w14:paraId="1A1BE22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已提交响应文件的供应商，在提交最后报价之前，可以根据磋商情况书面退出磋商。 </w:t>
      </w:r>
    </w:p>
    <w:p w14:paraId="78E5D76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未书面退出磋商的供应商在规定时间内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提交最后报价，其最后报价超出采购预算导致已通过评审的响应文件无效的，按供应商在提交响应文件截止时间后撤回响应文件处理。 </w:t>
      </w:r>
    </w:p>
    <w:p w14:paraId="3702DE8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评审报告 </w:t>
      </w:r>
    </w:p>
    <w:p w14:paraId="6F8D841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07DFADD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在评审过程中出现法律法规和磋商文件均没有明确规定的情形时，由磋商小组现场协商解决，协商不一致的，由全体磋商小组投票表决，以得票率二分之一以上磋商小组成员的意见为准。 </w:t>
      </w:r>
    </w:p>
    <w:p w14:paraId="4F289B9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采购代理机构发现磋商小组有明显的违规倾向或歧视现象，或不按评审办法进行，或其他不正常行为的，应当及时制止。如制止无效，应及时向政府采购监督管理机构报告。</w:t>
      </w:r>
    </w:p>
    <w:p w14:paraId="4DC8D59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2" w:name="_Toc12420"/>
      <w:bookmarkStart w:id="143" w:name="_Toc18722"/>
      <w:bookmarkStart w:id="144" w:name="_Toc32470"/>
      <w:r>
        <w:rPr>
          <w:rFonts w:hint="eastAsia" w:ascii="宋体" w:hAnsi="宋体" w:eastAsia="宋体" w:cs="宋体"/>
          <w:b/>
          <w:bCs/>
          <w:color w:val="auto"/>
          <w:sz w:val="24"/>
          <w:szCs w:val="24"/>
          <w:highlight w:val="none"/>
          <w:lang w:val="en-US" w:eastAsia="zh-CN"/>
        </w:rPr>
        <w:t>22. 确定成交供应商</w:t>
      </w:r>
      <w:bookmarkEnd w:id="142"/>
      <w:bookmarkEnd w:id="143"/>
      <w:bookmarkEnd w:id="144"/>
    </w:p>
    <w:p w14:paraId="24ED308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11553EC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53D2E25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7393673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72143E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5" w:name="_Toc15332"/>
      <w:bookmarkStart w:id="146" w:name="_Toc21715"/>
      <w:bookmarkStart w:id="147" w:name="_Toc14882"/>
      <w:r>
        <w:rPr>
          <w:rFonts w:hint="eastAsia" w:ascii="宋体" w:hAnsi="宋体" w:eastAsia="宋体" w:cs="宋体"/>
          <w:b/>
          <w:bCs/>
          <w:color w:val="auto"/>
          <w:sz w:val="24"/>
          <w:szCs w:val="24"/>
          <w:highlight w:val="none"/>
          <w:lang w:val="en-US" w:eastAsia="zh-CN"/>
        </w:rPr>
        <w:t>23. 属于下列情况之一者，响应文件无效</w:t>
      </w:r>
      <w:bookmarkEnd w:id="145"/>
      <w:bookmarkEnd w:id="146"/>
      <w:bookmarkEnd w:id="147"/>
    </w:p>
    <w:p w14:paraId="32977DD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提交响应文件或未按规定要求</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rPr>
        <w:t>的；</w:t>
      </w:r>
    </w:p>
    <w:p w14:paraId="0CDB75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（2）不具备磋商文件规定的资格要求的；</w:t>
      </w:r>
    </w:p>
    <w:p w14:paraId="7769653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7B5D086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14:paraId="162D53A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）响应文件有效期、质量要求、工期要求不能满足采购文件要求的；</w:t>
      </w:r>
    </w:p>
    <w:p w14:paraId="06C27C6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）供应商未就工程量清单中的所有内容作完整唯一报价的；</w:t>
      </w:r>
    </w:p>
    <w:p w14:paraId="0914DF7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）未在磋商小组规定的时间内提交响应文件(包括最后报价)的；</w:t>
      </w:r>
    </w:p>
    <w:p w14:paraId="63E087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）超越了按照法律法规规定必须获得行政许可或者行政审批的经营范围的；</w:t>
      </w:r>
    </w:p>
    <w:p w14:paraId="55DEA08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）未满足磋商文件实质性要求的或者响应文件有采购人不能接受的附加条件的；</w:t>
      </w:r>
    </w:p>
    <w:p w14:paraId="3C9E03F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）响应文件实质性要求未做变动，供应商最后报价高于第一次报价的</w:t>
      </w:r>
      <w:r>
        <w:rPr>
          <w:rFonts w:hint="eastAsia" w:ascii="宋体" w:hAnsi="宋体" w:eastAsia="宋体" w:cs="宋体"/>
          <w:color w:val="auto"/>
          <w:sz w:val="24"/>
          <w:szCs w:val="24"/>
          <w:highlight w:val="none"/>
          <w:lang w:eastAsia="zh-CN"/>
        </w:rPr>
        <w:t>或报价超出上限控制价的</w:t>
      </w:r>
      <w:r>
        <w:rPr>
          <w:rFonts w:hint="eastAsia" w:ascii="宋体" w:hAnsi="宋体" w:eastAsia="宋体" w:cs="宋体"/>
          <w:color w:val="auto"/>
          <w:sz w:val="24"/>
          <w:szCs w:val="24"/>
          <w:highlight w:val="none"/>
        </w:rPr>
        <w:t>；</w:t>
      </w:r>
    </w:p>
    <w:p w14:paraId="2F786CB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）不符合法律、法规和磋商文件规定的其他实质性要求和条件的。</w:t>
      </w:r>
    </w:p>
    <w:p w14:paraId="6A113F44">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供应商有下列情形之一的视为供应商相互串通磋商，响应文件将被视为无效</w:t>
      </w:r>
    </w:p>
    <w:p w14:paraId="401F0E7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（1）不同供应商的响应文件由同一单位或者个人编制；或不同供应商报名的IP地址一致的；</w:t>
      </w:r>
    </w:p>
    <w:p w14:paraId="3760E4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1255FF4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256B8CF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（4）不同供应商的响应文件异常一致或竞标报价呈规律性差异；</w:t>
      </w:r>
    </w:p>
    <w:p w14:paraId="33B14BF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w:t>
      </w:r>
    </w:p>
    <w:p w14:paraId="61C5D8E0">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8" w:name="_Toc5714"/>
      <w:bookmarkStart w:id="149" w:name="_Toc7715"/>
      <w:bookmarkStart w:id="150" w:name="_Toc27786"/>
      <w:r>
        <w:rPr>
          <w:rFonts w:hint="eastAsia" w:ascii="宋体" w:hAnsi="宋体" w:eastAsia="宋体" w:cs="宋体"/>
          <w:b/>
          <w:bCs/>
          <w:color w:val="auto"/>
          <w:sz w:val="24"/>
          <w:szCs w:val="24"/>
          <w:highlight w:val="none"/>
          <w:lang w:val="en-US" w:eastAsia="zh-CN"/>
        </w:rPr>
        <w:t>24. 出现下列情形之一的，采购人或者采购代理机构应当终止竞争性磋商采购活动，发布项目终止公告并说明原因，重新开展采购活动</w:t>
      </w:r>
      <w:bookmarkEnd w:id="148"/>
      <w:bookmarkEnd w:id="149"/>
      <w:bookmarkEnd w:id="150"/>
    </w:p>
    <w:p w14:paraId="7A84FDF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73A410E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（2）出现影响采购公正的违法、违规行为的； </w:t>
      </w:r>
    </w:p>
    <w:p w14:paraId="541F616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w:t>
      </w:r>
      <w:r>
        <w:rPr>
          <w:rFonts w:hint="eastAsia" w:ascii="宋体" w:hAnsi="宋体" w:eastAsia="宋体" w:cs="宋体"/>
          <w:b/>
          <w:bCs/>
          <w:color w:val="auto"/>
          <w:sz w:val="24"/>
          <w:szCs w:val="24"/>
          <w:highlight w:val="none"/>
        </w:rPr>
        <w:t xml:space="preserve">（除财库〔2014〕214 号《政府采购竞争性磋商采购方式管理暂行办法》第二十一条第三款规定的情形外） </w:t>
      </w:r>
    </w:p>
    <w:p w14:paraId="72A53AC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1" w:name="_Toc22405"/>
      <w:bookmarkStart w:id="152" w:name="_Toc19910"/>
      <w:bookmarkStart w:id="153" w:name="_Toc19105"/>
      <w:r>
        <w:rPr>
          <w:rFonts w:hint="eastAsia" w:ascii="宋体" w:hAnsi="宋体" w:eastAsia="宋体" w:cs="宋体"/>
          <w:b/>
          <w:bCs/>
          <w:color w:val="auto"/>
          <w:sz w:val="24"/>
          <w:szCs w:val="24"/>
          <w:highlight w:val="none"/>
          <w:lang w:val="en-US" w:eastAsia="zh-CN"/>
        </w:rPr>
        <w:t>25. 磋商过程的监控</w:t>
      </w:r>
      <w:bookmarkEnd w:id="151"/>
      <w:bookmarkEnd w:id="152"/>
      <w:bookmarkEnd w:id="153"/>
    </w:p>
    <w:p w14:paraId="7B620ED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本项目磋商过程实行全程录音、录像监控，供应商在磋商过程中所进行的试图影响磋商结果的不公正活动，可能导致其磋商被拒绝。</w:t>
      </w:r>
    </w:p>
    <w:p w14:paraId="58C40210">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4" w:name="_Toc14787"/>
      <w:bookmarkStart w:id="155" w:name="_Toc26291"/>
      <w:bookmarkStart w:id="156" w:name="_Toc865"/>
      <w:r>
        <w:rPr>
          <w:rFonts w:hint="eastAsia" w:ascii="宋体" w:hAnsi="宋体" w:eastAsia="宋体" w:cs="宋体"/>
          <w:b/>
          <w:bCs/>
          <w:color w:val="auto"/>
          <w:sz w:val="24"/>
          <w:szCs w:val="24"/>
          <w:highlight w:val="none"/>
          <w:lang w:val="en-US" w:eastAsia="zh-CN"/>
        </w:rPr>
        <w:t>信用查询</w:t>
      </w:r>
      <w:bookmarkEnd w:id="154"/>
      <w:bookmarkEnd w:id="155"/>
      <w:bookmarkEnd w:id="156"/>
    </w:p>
    <w:p w14:paraId="208699E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46CEE59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2DDD4FE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（2）查询时间：成交通知书发出前；</w:t>
      </w:r>
    </w:p>
    <w:p w14:paraId="16D89C0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（3）信用信息查询记录和证据留存方式：在查询网站中直接打印查询记录，打印材料作为采购活动资料保存。</w:t>
      </w:r>
    </w:p>
    <w:p w14:paraId="45656F6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1D70B15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7" w:name="_Toc25468"/>
      <w:bookmarkStart w:id="158" w:name="_Toc7989"/>
      <w:bookmarkStart w:id="159" w:name="_Toc9438"/>
      <w:r>
        <w:rPr>
          <w:rFonts w:hint="eastAsia" w:ascii="宋体" w:hAnsi="宋体" w:eastAsia="宋体" w:cs="宋体"/>
          <w:b/>
          <w:bCs/>
          <w:color w:val="auto"/>
          <w:sz w:val="24"/>
          <w:szCs w:val="24"/>
          <w:highlight w:val="none"/>
          <w:lang w:val="en-US" w:eastAsia="zh-CN"/>
        </w:rPr>
        <w:t>27. 成交结果公告及成交通知书</w:t>
      </w:r>
      <w:bookmarkEnd w:id="157"/>
      <w:bookmarkEnd w:id="158"/>
      <w:bookmarkEnd w:id="159"/>
    </w:p>
    <w:p w14:paraId="3647CE5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376DAB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在发布成交公告的同时，采购代理机构向成交供应商发出成交通知书。成交供应商自接到通知之日起七个工作日内，办理成交通知书领取手续。</w:t>
      </w:r>
    </w:p>
    <w:p w14:paraId="56EFC1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采购代理机构无义务向未成交的供应商解释未成交原因和退还响应文件。</w:t>
      </w:r>
    </w:p>
    <w:p w14:paraId="0C2B4C0A">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val="0"/>
          <w:color w:val="auto"/>
          <w:szCs w:val="28"/>
          <w:highlight w:val="none"/>
        </w:rPr>
      </w:pPr>
      <w:bookmarkStart w:id="160" w:name="_Toc25593"/>
    </w:p>
    <w:p w14:paraId="0E1703D0">
      <w:pPr>
        <w:rPr>
          <w:rFonts w:hint="eastAsia" w:ascii="Times New Roman" w:hAnsi="Times New Roman" w:eastAsia="宋体" w:cs="Times New Roman"/>
          <w:b/>
          <w:bCs/>
          <w:color w:val="auto"/>
          <w:sz w:val="28"/>
          <w:szCs w:val="28"/>
          <w:highlight w:val="none"/>
        </w:rPr>
      </w:pPr>
      <w:bookmarkStart w:id="161" w:name="_Toc24102"/>
      <w:bookmarkStart w:id="162" w:name="_Toc6429"/>
      <w:bookmarkStart w:id="163" w:name="_Toc14132"/>
      <w:r>
        <w:rPr>
          <w:rFonts w:hint="eastAsia" w:ascii="Times New Roman" w:hAnsi="Times New Roman" w:eastAsia="宋体" w:cs="Times New Roman"/>
          <w:b/>
          <w:bCs/>
          <w:color w:val="auto"/>
          <w:sz w:val="28"/>
          <w:szCs w:val="28"/>
          <w:highlight w:val="none"/>
        </w:rPr>
        <w:br w:type="page"/>
      </w:r>
    </w:p>
    <w:p w14:paraId="1D9303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五、签订合同</w:t>
      </w:r>
      <w:bookmarkEnd w:id="160"/>
      <w:bookmarkEnd w:id="161"/>
      <w:bookmarkEnd w:id="162"/>
      <w:bookmarkEnd w:id="163"/>
    </w:p>
    <w:p w14:paraId="37DEE11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4" w:name="_Toc1032"/>
      <w:bookmarkStart w:id="165" w:name="_Toc26520"/>
      <w:bookmarkStart w:id="166" w:name="_Toc4019"/>
      <w:r>
        <w:rPr>
          <w:rFonts w:hint="eastAsia" w:ascii="宋体" w:hAnsi="宋体" w:eastAsia="宋体" w:cs="宋体"/>
          <w:b/>
          <w:bCs/>
          <w:color w:val="auto"/>
          <w:sz w:val="24"/>
          <w:szCs w:val="24"/>
          <w:highlight w:val="none"/>
          <w:lang w:val="en-US" w:eastAsia="zh-CN"/>
        </w:rPr>
        <w:t>28. 履约保证金</w:t>
      </w:r>
      <w:bookmarkEnd w:id="164"/>
      <w:bookmarkEnd w:id="165"/>
      <w:bookmarkEnd w:id="166"/>
    </w:p>
    <w:p w14:paraId="055C9D3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bookmarkStart w:id="167" w:name="_Toc22004"/>
      <w:bookmarkStart w:id="168" w:name="_Toc4956"/>
      <w:r>
        <w:rPr>
          <w:rFonts w:hint="eastAsia" w:ascii="宋体" w:hAnsi="宋体" w:eastAsia="宋体" w:cs="宋体"/>
          <w:color w:val="auto"/>
          <w:sz w:val="24"/>
          <w:szCs w:val="24"/>
          <w:highlight w:val="none"/>
          <w:lang w:val="en-US" w:eastAsia="zh-CN"/>
        </w:rPr>
        <w:t>28.1履约保证金金额按成交价的2%（人民币，四舍五入到元）提供，由成交供应商在签订合同前以支票、汇票、本票或者金融机构、担保机构出具的保险、保函等非现金形式向采购人提交履约保证金。</w:t>
      </w:r>
    </w:p>
    <w:p w14:paraId="22C12D9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根据《桂林市财政局关于进一步发挥政府采购政策功能促进企业发展的通知》（市财采〔2022〕7号）文件要求，免收小微企业履约保证金。</w:t>
      </w:r>
    </w:p>
    <w:p w14:paraId="3E7213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28.2如果成交供应商未按上述第28.1款规定执行，采购人将上报政府采购监督管理机构，取消该成交资格，并有权授予第二成交候选人为成交供应商资格或重新组织采购。</w:t>
      </w:r>
    </w:p>
    <w:p w14:paraId="794F2CC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29.3项目验收合格后，成交供应商凭《政府采购项目合同验收报告》（附表3）、《政府采购项目履约保证金退付意见书》（附表4）和履约保证金缴纳证明办理履约保证金退款手续，采购人会将履约保证金（无息）退还给成交供应商。如成交供应商不按双方签订的合同规定履约，则没收其全部履约保证金，履约保证金不足以赔偿损失的，按实际损失赔偿。</w:t>
      </w:r>
    </w:p>
    <w:p w14:paraId="7B6E3AA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29.4在履约保证金到期退还前，若成交供应商的开户名称、开户银行、账号有变动的，以书面形式通知采购人，否则由此产生的后果由成交供应商自负。</w:t>
      </w:r>
    </w:p>
    <w:p w14:paraId="74984CB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9" w:name="_Toc15345"/>
      <w:r>
        <w:rPr>
          <w:rFonts w:hint="eastAsia" w:ascii="宋体" w:hAnsi="宋体" w:eastAsia="宋体" w:cs="宋体"/>
          <w:b/>
          <w:bCs/>
          <w:color w:val="auto"/>
          <w:sz w:val="24"/>
          <w:szCs w:val="24"/>
          <w:highlight w:val="none"/>
          <w:lang w:val="en-US" w:eastAsia="zh-CN"/>
        </w:rPr>
        <w:t>29. 签订合同</w:t>
      </w:r>
      <w:bookmarkEnd w:id="167"/>
      <w:bookmarkEnd w:id="168"/>
      <w:bookmarkEnd w:id="169"/>
    </w:p>
    <w:p w14:paraId="44B7EDC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29.1 签订合同时间：</w:t>
      </w:r>
      <w:r>
        <w:rPr>
          <w:rFonts w:hint="eastAsia" w:ascii="宋体" w:hAnsi="宋体" w:eastAsia="宋体" w:cs="宋体"/>
          <w:b w:val="0"/>
          <w:bCs w:val="0"/>
          <w:color w:val="auto"/>
          <w:sz w:val="24"/>
          <w:szCs w:val="24"/>
          <w:highlight w:val="none"/>
          <w:lang w:eastAsia="zh-CN"/>
        </w:rPr>
        <w:t>成交通知书发出之日起8个工作日内</w:t>
      </w:r>
      <w:r>
        <w:rPr>
          <w:rFonts w:hint="eastAsia" w:ascii="宋体" w:hAnsi="宋体" w:eastAsia="宋体" w:cs="宋体"/>
          <w:b w:val="0"/>
          <w:bCs w:val="0"/>
          <w:color w:val="auto"/>
          <w:sz w:val="24"/>
          <w:szCs w:val="24"/>
          <w:highlight w:val="none"/>
        </w:rPr>
        <w:t>签订合同。成交供应商领取成交通知书后，应按规定与采购人签订合同。</w:t>
      </w:r>
    </w:p>
    <w:p w14:paraId="129ECBF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B78D1C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（1）成交后不与采购人签订合同的（不可抗力除外）；</w:t>
      </w:r>
    </w:p>
    <w:p w14:paraId="2F75DAA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（2）将成交项目转让给他人，或者在响应文件中未说明，且未经采购人同意，将成交项目分包给他人的；</w:t>
      </w:r>
    </w:p>
    <w:p w14:paraId="0CBEC4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14:paraId="353F931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29.3 合同备案存档：</w:t>
      </w:r>
      <w:r>
        <w:rPr>
          <w:rFonts w:hint="eastAsia" w:ascii="宋体" w:hAnsi="宋体" w:eastAsia="宋体" w:cs="宋体"/>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eastAsia="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p w14:paraId="416EDB55">
      <w:pPr>
        <w:rPr>
          <w:rFonts w:hint="eastAsia" w:ascii="Times New Roman" w:hAnsi="Times New Roman" w:eastAsia="宋体" w:cs="Times New Roman"/>
          <w:b/>
          <w:bCs/>
          <w:color w:val="auto"/>
          <w:sz w:val="28"/>
          <w:szCs w:val="28"/>
          <w:highlight w:val="none"/>
        </w:rPr>
      </w:pPr>
      <w:bookmarkStart w:id="170" w:name="_Toc17898"/>
      <w:bookmarkStart w:id="171" w:name="_Toc4211"/>
      <w:bookmarkStart w:id="172" w:name="_Toc16348"/>
      <w:bookmarkStart w:id="173" w:name="_Toc11467"/>
      <w:r>
        <w:rPr>
          <w:rFonts w:hint="eastAsia" w:ascii="Times New Roman" w:hAnsi="Times New Roman" w:eastAsia="宋体" w:cs="Times New Roman"/>
          <w:b/>
          <w:bCs/>
          <w:color w:val="auto"/>
          <w:sz w:val="28"/>
          <w:szCs w:val="28"/>
          <w:highlight w:val="none"/>
        </w:rPr>
        <w:br w:type="page"/>
      </w:r>
    </w:p>
    <w:p w14:paraId="68914E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六、其他事项</w:t>
      </w:r>
      <w:bookmarkEnd w:id="170"/>
      <w:bookmarkEnd w:id="171"/>
      <w:bookmarkEnd w:id="172"/>
      <w:bookmarkEnd w:id="173"/>
    </w:p>
    <w:p w14:paraId="767E204A">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74" w:name="_Toc22506"/>
      <w:bookmarkStart w:id="175" w:name="_Toc29572"/>
      <w:bookmarkStart w:id="176" w:name="_Toc28647"/>
      <w:r>
        <w:rPr>
          <w:rFonts w:hint="eastAsia" w:ascii="宋体" w:hAnsi="宋体" w:eastAsia="宋体" w:cs="宋体"/>
          <w:b/>
          <w:bCs/>
          <w:color w:val="auto"/>
          <w:sz w:val="24"/>
          <w:szCs w:val="24"/>
          <w:highlight w:val="none"/>
          <w:lang w:val="en-US" w:eastAsia="zh-CN"/>
        </w:rPr>
        <w:t>30. 采购代理服务费</w:t>
      </w:r>
      <w:bookmarkEnd w:id="174"/>
      <w:bookmarkEnd w:id="175"/>
      <w:bookmarkEnd w:id="176"/>
    </w:p>
    <w:p w14:paraId="49273B64">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kern w:val="0"/>
          <w:sz w:val="24"/>
          <w:szCs w:val="24"/>
          <w:highlight w:val="none"/>
        </w:rPr>
      </w:pPr>
      <w:bookmarkStart w:id="177" w:name="_Toc12374"/>
      <w:r>
        <w:rPr>
          <w:rFonts w:hint="eastAsia" w:ascii="宋体" w:hAnsi="宋体" w:eastAsia="宋体" w:cs="宋体"/>
          <w:color w:val="auto"/>
          <w:sz w:val="24"/>
          <w:szCs w:val="32"/>
          <w:highlight w:val="none"/>
        </w:rPr>
        <w:t>成交供应商领取成交通知书前，向</w:t>
      </w:r>
      <w:r>
        <w:rPr>
          <w:rFonts w:hint="eastAsia" w:ascii="宋体" w:hAnsi="宋体" w:cs="宋体"/>
          <w:color w:val="auto"/>
          <w:sz w:val="24"/>
          <w:szCs w:val="32"/>
          <w:highlight w:val="none"/>
          <w:lang w:eastAsia="zh-CN"/>
        </w:rPr>
        <w:t>桂林聚格项目管理有限公司</w:t>
      </w:r>
      <w:r>
        <w:rPr>
          <w:rFonts w:hint="eastAsia" w:ascii="宋体" w:hAnsi="宋体" w:eastAsia="宋体" w:cs="宋体"/>
          <w:color w:val="auto"/>
          <w:sz w:val="24"/>
          <w:szCs w:val="32"/>
          <w:highlight w:val="none"/>
        </w:rPr>
        <w:t>一次性付清代理服务费，本项目的代理服务收费标准参照计价格〔2002〕1980号《招标代理服务收费管理暂行办法》</w:t>
      </w:r>
      <w:r>
        <w:rPr>
          <w:rFonts w:hint="eastAsia" w:ascii="宋体" w:hAnsi="宋体" w:eastAsia="宋体" w:cs="宋体"/>
          <w:color w:val="auto"/>
          <w:sz w:val="24"/>
          <w:szCs w:val="32"/>
          <w:highlight w:val="none"/>
          <w:lang w:eastAsia="zh-CN"/>
        </w:rPr>
        <w:t>工程类</w:t>
      </w:r>
      <w:r>
        <w:rPr>
          <w:rFonts w:hint="eastAsia" w:ascii="宋体" w:hAnsi="宋体" w:eastAsia="宋体" w:cs="宋体"/>
          <w:color w:val="auto"/>
          <w:sz w:val="24"/>
          <w:szCs w:val="32"/>
          <w:highlight w:val="none"/>
        </w:rPr>
        <w:t>收费标准（代理服务费不足人民币</w:t>
      </w:r>
      <w:r>
        <w:rPr>
          <w:rFonts w:hint="eastAsia" w:ascii="宋体" w:hAnsi="宋体" w:eastAsia="宋体" w:cs="宋体"/>
          <w:color w:val="auto"/>
          <w:sz w:val="24"/>
          <w:szCs w:val="32"/>
          <w:highlight w:val="none"/>
          <w:lang w:eastAsia="zh-CN"/>
        </w:rPr>
        <w:t>伍</w:t>
      </w:r>
      <w:r>
        <w:rPr>
          <w:rFonts w:hint="eastAsia" w:ascii="宋体" w:hAnsi="宋体" w:eastAsia="宋体" w:cs="宋体"/>
          <w:color w:val="auto"/>
          <w:sz w:val="24"/>
          <w:szCs w:val="32"/>
          <w:highlight w:val="none"/>
        </w:rPr>
        <w:t>仟元时，按</w:t>
      </w:r>
      <w:r>
        <w:rPr>
          <w:rFonts w:hint="eastAsia" w:ascii="宋体" w:hAnsi="宋体" w:eastAsia="宋体" w:cs="宋体"/>
          <w:color w:val="auto"/>
          <w:sz w:val="24"/>
          <w:szCs w:val="32"/>
          <w:highlight w:val="none"/>
          <w:lang w:eastAsia="zh-CN"/>
        </w:rPr>
        <w:t>伍</w:t>
      </w:r>
      <w:r>
        <w:rPr>
          <w:rFonts w:hint="eastAsia" w:ascii="宋体" w:hAnsi="宋体" w:eastAsia="宋体" w:cs="宋体"/>
          <w:color w:val="auto"/>
          <w:sz w:val="24"/>
          <w:szCs w:val="32"/>
          <w:highlight w:val="none"/>
        </w:rPr>
        <w:t>仟元收取）向成交供应商收取。</w:t>
      </w:r>
    </w:p>
    <w:p w14:paraId="067CACFD">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采购代理服务收费标准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7"/>
        <w:gridCol w:w="1980"/>
        <w:gridCol w:w="1980"/>
        <w:gridCol w:w="1980"/>
      </w:tblGrid>
      <w:tr w14:paraId="19C3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47" w:type="dxa"/>
            <w:noWrap w:val="0"/>
            <w:vAlign w:val="top"/>
          </w:tcPr>
          <w:p w14:paraId="37555A1A">
            <w:pPr>
              <w:pageBreakBefore w:val="0"/>
              <w:widowControl w:val="0"/>
              <w:kinsoku/>
              <w:wordWrap w:val="0"/>
              <w:overflowPunct/>
              <w:topLinePunct w:val="0"/>
              <w:autoSpaceDE/>
              <w:autoSpaceDN/>
              <w:bidi w:val="0"/>
              <w:adjustRightInd/>
              <w:spacing w:line="420" w:lineRule="exact"/>
              <w:ind w:firstLine="1275"/>
              <w:textAlignment w:val="auto"/>
              <w:rPr>
                <w:rFonts w:hint="eastAsia" w:ascii="宋体" w:hAnsi="宋体"/>
                <w:bCs/>
                <w:color w:val="auto"/>
                <w:sz w:val="24"/>
                <w:szCs w:val="24"/>
                <w:highlight w:val="none"/>
              </w:rPr>
            </w:pPr>
            <w:r>
              <w:rPr>
                <w:rFonts w:ascii="宋体" w:hAnsi="宋体"/>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-6350</wp:posOffset>
                      </wp:positionV>
                      <wp:extent cx="1285875" cy="1591310"/>
                      <wp:effectExtent l="3810" t="3175" r="5715" b="5715"/>
                      <wp:wrapNone/>
                      <wp:docPr id="8" name="直接连接符 8"/>
                      <wp:cNvGraphicFramePr/>
                      <a:graphic xmlns:a="http://schemas.openxmlformats.org/drawingml/2006/main">
                        <a:graphicData uri="http://schemas.microsoft.com/office/word/2010/wordprocessingShape">
                          <wps:wsp>
                            <wps:cNvCnPr/>
                            <wps:spPr>
                              <a:xfrm flipH="1" flipV="1">
                                <a:off x="0" y="0"/>
                                <a:ext cx="1285875" cy="15913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7pt;margin-top:-0.5pt;height:125.3pt;width:101.25pt;z-index:251661312;mso-width-relative:page;mso-height-relative:page;" filled="f" stroked="t" coordsize="21600,21600" o:gfxdata="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rqsZvWAAAACQEAAA8AAAAAAAAAAQAgAAAAIgAAAGRy&#10;cy9kb3ducmV2LnhtbFBLAQIUABQAAAAIAIdO4kB903hABwIAAP4DAAAOAAAAAAAAAAEAIAAAACUB&#10;AABkcnMvZTJvRG9jLnhtbFBLBQYAAAAABgAGAFkBAACeBQAAAAA=&#10;">
                      <v:fill on="f" focussize="0,0"/>
                      <v:stroke color="#000000" joinstyle="round"/>
                      <v:imagedata o:title=""/>
                      <o:lock v:ext="edit" aspectratio="f"/>
                    </v:line>
                  </w:pict>
                </mc:Fallback>
              </mc:AlternateContent>
            </w:r>
            <w:r>
              <w:rPr>
                <w:rFonts w:ascii="宋体" w:hAnsi="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bCs/>
                <w:color w:val="auto"/>
                <w:sz w:val="24"/>
                <w:szCs w:val="24"/>
                <w:highlight w:val="none"/>
              </w:rPr>
              <w:t>服</w:t>
            </w:r>
          </w:p>
          <w:p w14:paraId="57BB3690">
            <w:pPr>
              <w:pageBreakBefore w:val="0"/>
              <w:widowControl w:val="0"/>
              <w:kinsoku/>
              <w:wordWrap w:val="0"/>
              <w:overflowPunct/>
              <w:topLinePunct w:val="0"/>
              <w:autoSpaceDE/>
              <w:autoSpaceDN/>
              <w:bidi w:val="0"/>
              <w:adjustRightInd/>
              <w:spacing w:line="420" w:lineRule="exact"/>
              <w:ind w:firstLine="240" w:firstLineChars="1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费　　　　　务</w:t>
            </w:r>
          </w:p>
          <w:p w14:paraId="13035CF1">
            <w:pPr>
              <w:pageBreakBefore w:val="0"/>
              <w:widowControl w:val="0"/>
              <w:kinsoku/>
              <w:wordWrap w:val="0"/>
              <w:overflowPunct/>
              <w:topLinePunct w:val="0"/>
              <w:autoSpaceDE/>
              <w:autoSpaceDN/>
              <w:bidi w:val="0"/>
              <w:adjustRightInd/>
              <w:spacing w:line="420" w:lineRule="exact"/>
              <w:ind w:firstLine="1200" w:firstLineChars="500"/>
              <w:textAlignment w:val="auto"/>
              <w:rPr>
                <w:rFonts w:hint="eastAsia" w:ascii="宋体" w:hAnsi="宋体"/>
                <w:bCs/>
                <w:color w:val="auto"/>
                <w:sz w:val="24"/>
                <w:szCs w:val="24"/>
                <w:highlight w:val="none"/>
              </w:rPr>
            </w:pPr>
            <w:r>
              <w:rPr>
                <w:rFonts w:ascii="宋体" w:hAnsi="宋体"/>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90805</wp:posOffset>
                      </wp:positionV>
                      <wp:extent cx="1698625" cy="960755"/>
                      <wp:effectExtent l="2540" t="4445" r="13335" b="6350"/>
                      <wp:wrapNone/>
                      <wp:docPr id="7" name="直接连接符 7"/>
                      <wp:cNvGraphicFramePr/>
                      <a:graphic xmlns:a="http://schemas.openxmlformats.org/drawingml/2006/main">
                        <a:graphicData uri="http://schemas.microsoft.com/office/word/2010/wordprocessingShape">
                          <wps:wsp>
                            <wps:cNvCnPr/>
                            <wps:spPr>
                              <a:xfrm flipH="1" flipV="1">
                                <a:off x="0" y="0"/>
                                <a:ext cx="1698625" cy="9607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7.15pt;height:75.65pt;width:133.75pt;z-index:251660288;mso-width-relative:page;mso-height-relative:page;" filled="f" stroked="t" coordsize="21600,21600" o:gfxdata="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NP0atYAAAAKAQAADwAAAAAAAAABACAAAAAiAAAAZHJzL2Rv&#10;d25yZXYueG1sUEsBAhQAFAAAAAgAh07iQJsv5KEDAgAA/QMAAA4AAAAAAAAAAQAgAAAAJQEAAGRy&#10;cy9lMm9Eb2MueG1sUEsFBgAAAAAGAAYAWQEAAJoFAAAAAA==&#10;">
                      <v:fill on="f" focussize="0,0"/>
                      <v:stroke color="#000000" joinstyle="round"/>
                      <v:imagedata o:title=""/>
                      <o:lock v:ext="edit" aspectratio="f"/>
                    </v:line>
                  </w:pict>
                </mc:Fallback>
              </mc:AlternateContent>
            </w:r>
            <w:r>
              <w:rPr>
                <w:rFonts w:hint="eastAsia" w:ascii="宋体" w:hAnsi="宋体"/>
                <w:bCs/>
                <w:color w:val="auto"/>
                <w:sz w:val="24"/>
                <w:szCs w:val="24"/>
                <w:highlight w:val="none"/>
              </w:rPr>
              <w:t>　　　类</w:t>
            </w:r>
          </w:p>
          <w:p w14:paraId="4D996CFD">
            <w:pPr>
              <w:pageBreakBefore w:val="0"/>
              <w:widowControl w:val="0"/>
              <w:kinsoku/>
              <w:wordWrap w:val="0"/>
              <w:overflowPunct/>
              <w:topLinePunct w:val="0"/>
              <w:autoSpaceDE/>
              <w:autoSpaceDN/>
              <w:bidi w:val="0"/>
              <w:adjustRightInd/>
              <w:spacing w:line="420" w:lineRule="exact"/>
              <w:ind w:firstLine="1200" w:firstLineChars="5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率　　　型</w:t>
            </w:r>
          </w:p>
          <w:p w14:paraId="69FE27AD">
            <w:pPr>
              <w:pageBreakBefore w:val="0"/>
              <w:widowControl w:val="0"/>
              <w:kinsoku/>
              <w:wordWrap w:val="0"/>
              <w:overflowPunct/>
              <w:topLinePunct w:val="0"/>
              <w:autoSpaceDE/>
              <w:autoSpaceDN/>
              <w:bidi w:val="0"/>
              <w:adjustRightInd/>
              <w:spacing w:line="420" w:lineRule="exact"/>
              <w:ind w:firstLine="1200" w:firstLineChars="5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　　　　</w:t>
            </w:r>
          </w:p>
          <w:p w14:paraId="5E97C097">
            <w:pPr>
              <w:pageBreakBefore w:val="0"/>
              <w:widowControl w:val="0"/>
              <w:kinsoku/>
              <w:wordWrap w:val="0"/>
              <w:overflowPunct/>
              <w:topLinePunct w:val="0"/>
              <w:autoSpaceDE/>
              <w:autoSpaceDN/>
              <w:bidi w:val="0"/>
              <w:adjustRightInd/>
              <w:spacing w:line="420" w:lineRule="exac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中标金额（万元）</w:t>
            </w:r>
          </w:p>
        </w:tc>
        <w:tc>
          <w:tcPr>
            <w:tcW w:w="1980" w:type="dxa"/>
            <w:noWrap w:val="0"/>
            <w:vAlign w:val="center"/>
          </w:tcPr>
          <w:p w14:paraId="3FA39EE5">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货物招标</w:t>
            </w:r>
          </w:p>
        </w:tc>
        <w:tc>
          <w:tcPr>
            <w:tcW w:w="1980" w:type="dxa"/>
            <w:noWrap w:val="0"/>
            <w:vAlign w:val="center"/>
          </w:tcPr>
          <w:p w14:paraId="3AD030E6">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服务招标</w:t>
            </w:r>
          </w:p>
        </w:tc>
        <w:tc>
          <w:tcPr>
            <w:tcW w:w="1980" w:type="dxa"/>
            <w:noWrap w:val="0"/>
            <w:vAlign w:val="center"/>
          </w:tcPr>
          <w:p w14:paraId="3EB88AC5">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工程招标</w:t>
            </w:r>
          </w:p>
        </w:tc>
      </w:tr>
      <w:tr w14:paraId="466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40254E27">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100以下</w:t>
            </w:r>
          </w:p>
        </w:tc>
        <w:tc>
          <w:tcPr>
            <w:tcW w:w="1980" w:type="dxa"/>
            <w:noWrap w:val="0"/>
            <w:vAlign w:val="top"/>
          </w:tcPr>
          <w:p w14:paraId="7F5B3D82">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1.5%</w:t>
            </w:r>
          </w:p>
        </w:tc>
        <w:tc>
          <w:tcPr>
            <w:tcW w:w="1980" w:type="dxa"/>
            <w:noWrap w:val="0"/>
            <w:vAlign w:val="top"/>
          </w:tcPr>
          <w:p w14:paraId="458AE4A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1.5%</w:t>
            </w:r>
          </w:p>
        </w:tc>
        <w:tc>
          <w:tcPr>
            <w:tcW w:w="1980" w:type="dxa"/>
            <w:noWrap w:val="0"/>
            <w:vAlign w:val="top"/>
          </w:tcPr>
          <w:p w14:paraId="111BE7EF">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w:t>
            </w:r>
          </w:p>
        </w:tc>
      </w:tr>
      <w:tr w14:paraId="6AA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08E8C3FF">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100-500</w:t>
            </w:r>
          </w:p>
        </w:tc>
        <w:tc>
          <w:tcPr>
            <w:tcW w:w="1980" w:type="dxa"/>
            <w:noWrap w:val="0"/>
            <w:vAlign w:val="top"/>
          </w:tcPr>
          <w:p w14:paraId="481CBBA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1.1%</w:t>
            </w:r>
          </w:p>
        </w:tc>
        <w:tc>
          <w:tcPr>
            <w:tcW w:w="1980" w:type="dxa"/>
            <w:noWrap w:val="0"/>
            <w:vAlign w:val="top"/>
          </w:tcPr>
          <w:p w14:paraId="55F998AB">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0.8%</w:t>
            </w:r>
          </w:p>
        </w:tc>
        <w:tc>
          <w:tcPr>
            <w:tcW w:w="1980" w:type="dxa"/>
            <w:noWrap w:val="0"/>
            <w:vAlign w:val="top"/>
          </w:tcPr>
          <w:p w14:paraId="51052D5D">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0.7%</w:t>
            </w:r>
          </w:p>
        </w:tc>
      </w:tr>
      <w:tr w14:paraId="50E7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765750BA">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500-1000</w:t>
            </w:r>
          </w:p>
        </w:tc>
        <w:tc>
          <w:tcPr>
            <w:tcW w:w="1980" w:type="dxa"/>
            <w:noWrap w:val="0"/>
            <w:vAlign w:val="top"/>
          </w:tcPr>
          <w:p w14:paraId="005CF241">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0.8%</w:t>
            </w:r>
          </w:p>
        </w:tc>
        <w:tc>
          <w:tcPr>
            <w:tcW w:w="1980" w:type="dxa"/>
            <w:noWrap w:val="0"/>
            <w:vAlign w:val="top"/>
          </w:tcPr>
          <w:p w14:paraId="7CAE7084">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0.45%</w:t>
            </w:r>
          </w:p>
        </w:tc>
        <w:tc>
          <w:tcPr>
            <w:tcW w:w="1980" w:type="dxa"/>
            <w:noWrap w:val="0"/>
            <w:vAlign w:val="top"/>
          </w:tcPr>
          <w:p w14:paraId="3B99C3E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0.55%</w:t>
            </w:r>
          </w:p>
        </w:tc>
      </w:tr>
      <w:tr w14:paraId="4830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53FDEBD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1000-5000</w:t>
            </w:r>
          </w:p>
        </w:tc>
        <w:tc>
          <w:tcPr>
            <w:tcW w:w="1980" w:type="dxa"/>
            <w:noWrap w:val="0"/>
            <w:vAlign w:val="top"/>
          </w:tcPr>
          <w:p w14:paraId="671EF50E">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0.5%</w:t>
            </w:r>
          </w:p>
        </w:tc>
        <w:tc>
          <w:tcPr>
            <w:tcW w:w="1980" w:type="dxa"/>
            <w:noWrap w:val="0"/>
            <w:vAlign w:val="top"/>
          </w:tcPr>
          <w:p w14:paraId="2F6F3AF4">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0.25%</w:t>
            </w:r>
          </w:p>
        </w:tc>
        <w:tc>
          <w:tcPr>
            <w:tcW w:w="1980" w:type="dxa"/>
            <w:noWrap w:val="0"/>
            <w:vAlign w:val="top"/>
          </w:tcPr>
          <w:p w14:paraId="59A1B629">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0.35%</w:t>
            </w:r>
          </w:p>
        </w:tc>
      </w:tr>
      <w:tr w14:paraId="3EB3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4F980F30">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5000-10000</w:t>
            </w:r>
          </w:p>
        </w:tc>
        <w:tc>
          <w:tcPr>
            <w:tcW w:w="1980" w:type="dxa"/>
            <w:noWrap w:val="0"/>
            <w:vAlign w:val="top"/>
          </w:tcPr>
          <w:p w14:paraId="71E4EF2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0.25%</w:t>
            </w:r>
          </w:p>
        </w:tc>
        <w:tc>
          <w:tcPr>
            <w:tcW w:w="1980" w:type="dxa"/>
            <w:noWrap w:val="0"/>
            <w:vAlign w:val="top"/>
          </w:tcPr>
          <w:p w14:paraId="1B618E24">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0.1%</w:t>
            </w:r>
          </w:p>
        </w:tc>
        <w:tc>
          <w:tcPr>
            <w:tcW w:w="1980" w:type="dxa"/>
            <w:noWrap w:val="0"/>
            <w:vAlign w:val="top"/>
          </w:tcPr>
          <w:p w14:paraId="6A25E1C6">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0.2%</w:t>
            </w:r>
          </w:p>
        </w:tc>
      </w:tr>
      <w:tr w14:paraId="75A0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3E81214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10000-100000</w:t>
            </w:r>
          </w:p>
        </w:tc>
        <w:tc>
          <w:tcPr>
            <w:tcW w:w="1980" w:type="dxa"/>
            <w:noWrap w:val="0"/>
            <w:vAlign w:val="top"/>
          </w:tcPr>
          <w:p w14:paraId="2B1F4F6A">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0.05%</w:t>
            </w:r>
          </w:p>
        </w:tc>
        <w:tc>
          <w:tcPr>
            <w:tcW w:w="1980" w:type="dxa"/>
            <w:noWrap w:val="0"/>
            <w:vAlign w:val="top"/>
          </w:tcPr>
          <w:p w14:paraId="79C9648E">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0.05%</w:t>
            </w:r>
          </w:p>
        </w:tc>
        <w:tc>
          <w:tcPr>
            <w:tcW w:w="1980" w:type="dxa"/>
            <w:noWrap w:val="0"/>
            <w:vAlign w:val="top"/>
          </w:tcPr>
          <w:p w14:paraId="5BC651E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0.05%</w:t>
            </w:r>
          </w:p>
        </w:tc>
      </w:tr>
      <w:tr w14:paraId="6998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noWrap w:val="0"/>
            <w:vAlign w:val="top"/>
          </w:tcPr>
          <w:p w14:paraId="36088CDC">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1000000以上</w:t>
            </w:r>
          </w:p>
        </w:tc>
        <w:tc>
          <w:tcPr>
            <w:tcW w:w="1980" w:type="dxa"/>
            <w:noWrap w:val="0"/>
            <w:vAlign w:val="top"/>
          </w:tcPr>
          <w:p w14:paraId="463B4EFC">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0.01%</w:t>
            </w:r>
          </w:p>
        </w:tc>
        <w:tc>
          <w:tcPr>
            <w:tcW w:w="1980" w:type="dxa"/>
            <w:noWrap w:val="0"/>
            <w:vAlign w:val="top"/>
          </w:tcPr>
          <w:p w14:paraId="13CDAB5D">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0.01%</w:t>
            </w:r>
          </w:p>
        </w:tc>
        <w:tc>
          <w:tcPr>
            <w:tcW w:w="1980" w:type="dxa"/>
            <w:noWrap w:val="0"/>
            <w:vAlign w:val="top"/>
          </w:tcPr>
          <w:p w14:paraId="04A49858">
            <w:pPr>
              <w:pageBreakBefore w:val="0"/>
              <w:widowControl w:val="0"/>
              <w:kinsoku/>
              <w:wordWrap w:val="0"/>
              <w:overflowPunct/>
              <w:topLinePunct w:val="0"/>
              <w:autoSpaceDE/>
              <w:autoSpaceDN/>
              <w:bidi w:val="0"/>
              <w:adjustRightInd/>
              <w:spacing w:line="4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0.01%</w:t>
            </w:r>
          </w:p>
        </w:tc>
      </w:tr>
    </w:tbl>
    <w:p w14:paraId="56E1CBD6">
      <w:pPr>
        <w:keepNext w:val="0"/>
        <w:keepLines w:val="0"/>
        <w:pageBreakBefore w:val="0"/>
        <w:widowControl w:val="0"/>
        <w:kinsoku/>
        <w:overflowPunct/>
        <w:topLinePunct w:val="0"/>
        <w:autoSpaceDE/>
        <w:autoSpaceDN/>
        <w:bidi w:val="0"/>
        <w:adjustRightInd/>
        <w:spacing w:before="0" w:after="0" w:line="420" w:lineRule="exact"/>
        <w:ind w:firstLine="480" w:firstLineChars="200"/>
        <w:textAlignment w:val="auto"/>
        <w:rPr>
          <w:rFonts w:hint="eastAsia" w:ascii="宋体" w:hAnsi="宋体" w:eastAsia="宋体" w:cs="宋体"/>
          <w:b w:val="0"/>
          <w:bCs/>
          <w:color w:val="auto"/>
          <w:sz w:val="24"/>
          <w:szCs w:val="32"/>
          <w:highlight w:val="none"/>
          <w:lang w:val="en-US" w:eastAsia="zh-CN"/>
        </w:rPr>
      </w:pPr>
      <w:r>
        <w:rPr>
          <w:rFonts w:hint="eastAsia" w:ascii="宋体" w:hAnsi="宋体" w:eastAsia="宋体" w:cs="宋体"/>
          <w:color w:val="auto"/>
          <w:sz w:val="24"/>
          <w:szCs w:val="24"/>
          <w:highlight w:val="none"/>
        </w:rPr>
        <w:t>注：采购代理服务收费按差额定率累进法计算。</w:t>
      </w:r>
    </w:p>
    <w:p w14:paraId="46C5CC8F">
      <w:pPr>
        <w:keepNext w:val="0"/>
        <w:keepLines w:val="0"/>
        <w:pageBreakBefore w:val="0"/>
        <w:widowControl w:val="0"/>
        <w:numPr>
          <w:ilvl w:val="0"/>
          <w:numId w:val="4"/>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78" w:name="_Toc9779"/>
      <w:bookmarkStart w:id="179" w:name="_Toc132"/>
      <w:r>
        <w:rPr>
          <w:rFonts w:hint="eastAsia" w:ascii="宋体" w:hAnsi="宋体" w:eastAsia="宋体" w:cs="宋体"/>
          <w:b/>
          <w:color w:val="auto"/>
          <w:sz w:val="24"/>
          <w:szCs w:val="24"/>
          <w:highlight w:val="none"/>
        </w:rPr>
        <w:t>采购代理机构银行账户：</w:t>
      </w:r>
    </w:p>
    <w:p w14:paraId="35D9583C">
      <w:pPr>
        <w:pStyle w:val="28"/>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hAnsi="宋体" w:cs="宋体"/>
          <w:color w:val="auto"/>
          <w:sz w:val="24"/>
          <w:szCs w:val="24"/>
          <w:highlight w:val="none"/>
          <w:lang w:eastAsia="zh-CN"/>
        </w:rPr>
        <w:t>桂林聚格项目管理有限公司</w:t>
      </w:r>
    </w:p>
    <w:p w14:paraId="40BB8E9B">
      <w:pPr>
        <w:pStyle w:val="28"/>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桂林银行股份有限公司建干路支行</w:t>
      </w:r>
    </w:p>
    <w:p w14:paraId="569DADAC">
      <w:pPr>
        <w:pStyle w:val="28"/>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val="en-US" w:eastAsia="zh-CN"/>
        </w:rPr>
        <w:t>660011078385900010</w:t>
      </w:r>
    </w:p>
    <w:bookmarkEnd w:id="177"/>
    <w:bookmarkEnd w:id="178"/>
    <w:bookmarkEnd w:id="179"/>
    <w:p w14:paraId="52D71303">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BCF5384">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2"/>
        <w:rPr>
          <w:rFonts w:hint="eastAsia" w:ascii="宋体" w:hAnsi="宋体" w:eastAsia="宋体" w:cs="宋体"/>
          <w:color w:val="auto"/>
          <w:sz w:val="24"/>
          <w:szCs w:val="32"/>
          <w:highlight w:val="none"/>
          <w:lang w:val="en-US" w:eastAsia="zh-CN"/>
        </w:rPr>
      </w:pPr>
      <w:bookmarkStart w:id="180" w:name="_Toc32738"/>
      <w:bookmarkStart w:id="181" w:name="_Toc24551"/>
      <w:r>
        <w:rPr>
          <w:rStyle w:val="101"/>
          <w:rFonts w:hint="eastAsia" w:ascii="宋体" w:hAnsi="宋体" w:eastAsia="宋体" w:cs="宋体"/>
          <w:color w:val="auto"/>
          <w:sz w:val="24"/>
          <w:szCs w:val="24"/>
          <w:highlight w:val="none"/>
        </w:rPr>
        <w:t>32. 监督</w:t>
      </w:r>
      <w:r>
        <w:rPr>
          <w:rStyle w:val="101"/>
          <w:rFonts w:hint="eastAsia" w:ascii="宋体" w:hAnsi="宋体" w:eastAsia="宋体" w:cs="宋体"/>
          <w:color w:val="auto"/>
          <w:sz w:val="24"/>
          <w:szCs w:val="24"/>
          <w:highlight w:val="none"/>
          <w:lang w:eastAsia="zh-CN"/>
        </w:rPr>
        <w:t>管理</w:t>
      </w:r>
      <w:r>
        <w:rPr>
          <w:rStyle w:val="101"/>
          <w:rFonts w:hint="eastAsia" w:ascii="宋体" w:hAnsi="宋体" w:eastAsia="宋体" w:cs="宋体"/>
          <w:color w:val="auto"/>
          <w:sz w:val="24"/>
          <w:szCs w:val="24"/>
          <w:highlight w:val="none"/>
        </w:rPr>
        <w:t>机构</w:t>
      </w:r>
      <w:bookmarkEnd w:id="180"/>
      <w:r>
        <w:rPr>
          <w:rFonts w:hint="eastAsia" w:ascii="宋体" w:hAnsi="宋体" w:eastAsia="宋体" w:cs="宋体"/>
          <w:color w:val="auto"/>
          <w:sz w:val="24"/>
          <w:szCs w:val="24"/>
          <w:highlight w:val="none"/>
        </w:rPr>
        <w:t>：</w:t>
      </w:r>
      <w:bookmarkEnd w:id="181"/>
      <w:r>
        <w:rPr>
          <w:rFonts w:hint="eastAsia" w:ascii="宋体" w:hAnsi="宋体" w:eastAsia="宋体" w:cs="宋体"/>
          <w:color w:val="auto"/>
          <w:kern w:val="0"/>
          <w:sz w:val="24"/>
          <w:szCs w:val="24"/>
          <w:highlight w:val="none"/>
          <w:lang w:eastAsia="zh-CN"/>
        </w:rPr>
        <w:t>灌阳县财政局政府采购监督管理办公室</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lang w:eastAsia="zh-CN"/>
        </w:rPr>
        <w:t>0773-4250206</w:t>
      </w:r>
    </w:p>
    <w:p w14:paraId="2C87DE74">
      <w:pPr>
        <w:pageBreakBefore w:val="0"/>
        <w:widowControl w:val="0"/>
        <w:kinsoku/>
        <w:wordWrap/>
        <w:overflowPunct/>
        <w:topLinePunct w:val="0"/>
        <w:bidi w:val="0"/>
        <w:spacing w:line="440" w:lineRule="exact"/>
        <w:ind w:firstLine="422" w:firstLineChars="200"/>
        <w:textAlignment w:val="auto"/>
        <w:outlineLvl w:val="2"/>
        <w:rPr>
          <w:rStyle w:val="101"/>
          <w:rFonts w:hint="eastAsia" w:ascii="宋体" w:hAnsi="宋体" w:cs="宋体"/>
          <w:color w:val="auto"/>
          <w:sz w:val="21"/>
          <w:szCs w:val="21"/>
          <w:highlight w:val="none"/>
          <w:lang w:eastAsia="zh-CN"/>
        </w:rPr>
      </w:pPr>
    </w:p>
    <w:p w14:paraId="6F9452E0">
      <w:pPr>
        <w:pageBreakBefore w:val="0"/>
        <w:widowControl w:val="0"/>
        <w:kinsoku/>
        <w:wordWrap/>
        <w:overflowPunct/>
        <w:topLinePunct w:val="0"/>
        <w:bidi w:val="0"/>
        <w:spacing w:line="440" w:lineRule="exact"/>
        <w:ind w:firstLine="422" w:firstLineChars="200"/>
        <w:textAlignment w:val="auto"/>
        <w:outlineLvl w:val="2"/>
        <w:rPr>
          <w:rStyle w:val="101"/>
          <w:rFonts w:hint="eastAsia" w:ascii="宋体" w:hAnsi="宋体" w:cs="宋体"/>
          <w:color w:val="auto"/>
          <w:sz w:val="21"/>
          <w:szCs w:val="21"/>
          <w:highlight w:val="none"/>
          <w:lang w:eastAsia="zh-CN"/>
        </w:rPr>
      </w:pPr>
    </w:p>
    <w:p w14:paraId="2DE46EC3">
      <w:pPr>
        <w:pageBreakBefore w:val="0"/>
        <w:widowControl w:val="0"/>
        <w:kinsoku/>
        <w:wordWrap/>
        <w:overflowPunct/>
        <w:topLinePunct w:val="0"/>
        <w:bidi w:val="0"/>
        <w:spacing w:line="440" w:lineRule="exact"/>
        <w:ind w:firstLine="422" w:firstLineChars="200"/>
        <w:textAlignment w:val="auto"/>
        <w:outlineLvl w:val="2"/>
        <w:rPr>
          <w:rStyle w:val="101"/>
          <w:rFonts w:hint="eastAsia" w:ascii="宋体" w:hAnsi="宋体" w:cs="宋体"/>
          <w:color w:val="auto"/>
          <w:sz w:val="21"/>
          <w:szCs w:val="21"/>
          <w:highlight w:val="none"/>
          <w:lang w:eastAsia="zh-CN"/>
        </w:rPr>
      </w:pPr>
    </w:p>
    <w:p w14:paraId="54B62808">
      <w:pPr>
        <w:pStyle w:val="28"/>
        <w:snapToGrid w:val="0"/>
        <w:rPr>
          <w:rFonts w:hint="eastAsia" w:hAnsi="宋体"/>
          <w:b/>
          <w:color w:val="auto"/>
          <w:sz w:val="24"/>
          <w:szCs w:val="24"/>
          <w:highlight w:val="none"/>
        </w:rPr>
      </w:pPr>
    </w:p>
    <w:p w14:paraId="50B2F604">
      <w:pPr>
        <w:bidi w:val="0"/>
        <w:rPr>
          <w:rFonts w:hint="eastAsia"/>
          <w:color w:val="auto"/>
          <w:highlight w:val="none"/>
        </w:rPr>
      </w:pPr>
    </w:p>
    <w:p w14:paraId="652BD325">
      <w:pPr>
        <w:rPr>
          <w:rFonts w:hint="eastAsia" w:hAnsi="宋体"/>
          <w:b/>
          <w:color w:val="auto"/>
          <w:sz w:val="24"/>
          <w:szCs w:val="24"/>
          <w:highlight w:val="none"/>
        </w:rPr>
      </w:pPr>
    </w:p>
    <w:p w14:paraId="4A129DB5">
      <w:pPr>
        <w:pStyle w:val="28"/>
        <w:snapToGrid w:val="0"/>
        <w:rPr>
          <w:rFonts w:hint="eastAsia" w:hAnsi="宋体"/>
          <w:b/>
          <w:color w:val="auto"/>
          <w:sz w:val="24"/>
          <w:szCs w:val="24"/>
          <w:highlight w:val="none"/>
        </w:rPr>
      </w:pPr>
      <w:r>
        <w:rPr>
          <w:rFonts w:hint="eastAsia" w:hAnsi="宋体"/>
          <w:b/>
          <w:color w:val="auto"/>
          <w:sz w:val="24"/>
          <w:szCs w:val="24"/>
          <w:highlight w:val="none"/>
        </w:rPr>
        <w:t>附表1：</w:t>
      </w:r>
    </w:p>
    <w:p w14:paraId="17F6CBD7">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32C81434">
      <w:pPr>
        <w:pStyle w:val="28"/>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745C315D">
      <w:pPr>
        <w:pStyle w:val="28"/>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5C8B801D">
      <w:pPr>
        <w:pStyle w:val="28"/>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01AC0DF1">
      <w:pPr>
        <w:pStyle w:val="28"/>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1C0509D7">
      <w:pPr>
        <w:pStyle w:val="28"/>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6AB24406">
      <w:pPr>
        <w:pStyle w:val="28"/>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19236DBE">
      <w:pPr>
        <w:pStyle w:val="28"/>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79EEF86">
      <w:pPr>
        <w:pStyle w:val="28"/>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49FDB59B">
      <w:pPr>
        <w:pStyle w:val="28"/>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545A7047">
      <w:pPr>
        <w:pStyle w:val="28"/>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16A7A220">
      <w:pPr>
        <w:pStyle w:val="28"/>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55FFD55D">
      <w:pPr>
        <w:pStyle w:val="28"/>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126C60E1">
      <w:pPr>
        <w:pStyle w:val="28"/>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48EA3905">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1FD05DBF">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79AE1446">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667F72A4">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33016F70">
      <w:pPr>
        <w:pStyle w:val="28"/>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19E82FF3">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3033D019">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6DEEDDC2">
      <w:pPr>
        <w:pStyle w:val="28"/>
        <w:spacing w:line="360" w:lineRule="exact"/>
        <w:ind w:left="25" w:leftChars="12" w:firstLine="308" w:firstLineChars="147"/>
        <w:rPr>
          <w:rFonts w:hint="eastAsia" w:hAnsi="宋体"/>
          <w:color w:val="auto"/>
          <w:szCs w:val="21"/>
          <w:highlight w:val="none"/>
        </w:rPr>
      </w:pPr>
    </w:p>
    <w:p w14:paraId="62AEA689">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06DCB5E">
      <w:pPr>
        <w:pStyle w:val="28"/>
        <w:spacing w:line="360" w:lineRule="exact"/>
        <w:ind w:left="25" w:leftChars="12" w:firstLine="308" w:firstLineChars="147"/>
        <w:rPr>
          <w:rFonts w:hint="eastAsia" w:hAnsi="宋体"/>
          <w:color w:val="auto"/>
          <w:szCs w:val="21"/>
          <w:highlight w:val="none"/>
        </w:rPr>
      </w:pPr>
    </w:p>
    <w:p w14:paraId="7C700E97">
      <w:pPr>
        <w:pStyle w:val="28"/>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6FE5B450">
      <w:pPr>
        <w:pStyle w:val="28"/>
        <w:snapToGrid w:val="0"/>
        <w:spacing w:line="340" w:lineRule="exact"/>
        <w:rPr>
          <w:rFonts w:hint="eastAsia" w:hAnsi="宋体"/>
          <w:b/>
          <w:color w:val="auto"/>
          <w:szCs w:val="21"/>
          <w:highlight w:val="none"/>
        </w:rPr>
      </w:pPr>
    </w:p>
    <w:p w14:paraId="34CDB90E">
      <w:pPr>
        <w:pStyle w:val="28"/>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3F7FE4A">
      <w:pPr>
        <w:pStyle w:val="28"/>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6BE86FAF">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0DEA4F">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281428DC">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6A26F863">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21266FA1">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395E0D4">
      <w:pPr>
        <w:pStyle w:val="28"/>
        <w:snapToGrid w:val="0"/>
        <w:rPr>
          <w:rFonts w:hint="eastAsia"/>
          <w:b/>
          <w:color w:val="auto"/>
          <w:sz w:val="24"/>
          <w:szCs w:val="24"/>
          <w:highlight w:val="none"/>
        </w:rPr>
      </w:pPr>
    </w:p>
    <w:p w14:paraId="4FE1890C">
      <w:pPr>
        <w:pStyle w:val="28"/>
        <w:snapToGrid w:val="0"/>
        <w:rPr>
          <w:rFonts w:hint="eastAsia"/>
          <w:b/>
          <w:color w:val="auto"/>
          <w:sz w:val="24"/>
          <w:szCs w:val="24"/>
          <w:highlight w:val="none"/>
        </w:rPr>
      </w:pPr>
    </w:p>
    <w:p w14:paraId="278C1AC4">
      <w:pPr>
        <w:pStyle w:val="28"/>
        <w:snapToGrid w:val="0"/>
        <w:rPr>
          <w:rFonts w:hint="eastAsia" w:hAnsi="宋体"/>
          <w:b/>
          <w:color w:val="auto"/>
          <w:sz w:val="24"/>
          <w:szCs w:val="24"/>
          <w:highlight w:val="none"/>
        </w:rPr>
      </w:pPr>
      <w:r>
        <w:rPr>
          <w:rFonts w:hint="eastAsia"/>
          <w:b/>
          <w:color w:val="auto"/>
          <w:sz w:val="24"/>
          <w:szCs w:val="24"/>
          <w:highlight w:val="none"/>
        </w:rPr>
        <w:t>附表2：</w:t>
      </w:r>
    </w:p>
    <w:p w14:paraId="230E88A5">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7B7121EE">
      <w:pPr>
        <w:pStyle w:val="28"/>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3EDA779E">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72D2D89C">
      <w:pPr>
        <w:pStyle w:val="28"/>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5093F95">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116288AF">
      <w:pPr>
        <w:pStyle w:val="28"/>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5D51DF2E">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37620EDD">
      <w:pPr>
        <w:pStyle w:val="28"/>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4554CFDF">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1E6B896C">
      <w:pPr>
        <w:pStyle w:val="28"/>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0CB40878">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25540BE8">
      <w:pPr>
        <w:pStyle w:val="28"/>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26B3164B">
      <w:pPr>
        <w:pStyle w:val="28"/>
        <w:snapToGrid w:val="0"/>
        <w:spacing w:line="400" w:lineRule="exact"/>
        <w:ind w:firstLine="420" w:firstLineChars="200"/>
        <w:rPr>
          <w:rFonts w:hint="eastAsia" w:hAnsi="宋体"/>
          <w:bCs/>
          <w:color w:val="auto"/>
          <w:highlight w:val="none"/>
        </w:rPr>
      </w:pPr>
      <w:r>
        <w:rPr>
          <w:rFonts w:hAnsi="宋体"/>
          <w:bCs/>
          <w:color w:val="auto"/>
          <w:highlight w:val="none"/>
        </w:rPr>
        <w:t>……</w:t>
      </w:r>
    </w:p>
    <w:p w14:paraId="0C6EDD2A">
      <w:pPr>
        <w:pStyle w:val="28"/>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50E6A877">
      <w:pPr>
        <w:pStyle w:val="28"/>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00F9ABF2">
      <w:pPr>
        <w:pStyle w:val="28"/>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0B350637">
      <w:pPr>
        <w:pStyle w:val="28"/>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7D5667CF">
      <w:pPr>
        <w:pStyle w:val="28"/>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36794EB0">
      <w:pPr>
        <w:pStyle w:val="28"/>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734FB49D">
      <w:pPr>
        <w:pStyle w:val="28"/>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58096812">
      <w:pPr>
        <w:pStyle w:val="28"/>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47D171B1">
      <w:pPr>
        <w:pStyle w:val="28"/>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01A3E25A">
      <w:pPr>
        <w:pStyle w:val="28"/>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65C15E6F">
      <w:pPr>
        <w:pStyle w:val="28"/>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1693B707">
      <w:pPr>
        <w:pStyle w:val="28"/>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56BE6910">
      <w:pPr>
        <w:pStyle w:val="28"/>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205C3DEA">
      <w:pPr>
        <w:pStyle w:val="28"/>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12CF0FE5">
      <w:pPr>
        <w:pStyle w:val="28"/>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5D6192E2">
      <w:pPr>
        <w:pStyle w:val="28"/>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271396D4">
      <w:pPr>
        <w:pStyle w:val="28"/>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31056590">
      <w:pPr>
        <w:pStyle w:val="28"/>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77382298">
      <w:pPr>
        <w:pStyle w:val="28"/>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p>
    <w:p w14:paraId="2A04D3BC">
      <w:pPr>
        <w:pStyle w:val="28"/>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68D917FE">
      <w:pPr>
        <w:pStyle w:val="28"/>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728CB27C">
      <w:pPr>
        <w:pStyle w:val="28"/>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4641B483">
      <w:pPr>
        <w:pStyle w:val="28"/>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76F738CC">
      <w:pPr>
        <w:pStyle w:val="28"/>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5458CD09">
      <w:pPr>
        <w:pStyle w:val="28"/>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051DB41F">
      <w:pPr>
        <w:pStyle w:val="28"/>
        <w:spacing w:line="400" w:lineRule="exact"/>
        <w:ind w:left="25" w:leftChars="12" w:firstLine="308" w:firstLineChars="147"/>
        <w:rPr>
          <w:rFonts w:hint="eastAsia" w:hAnsi="宋体"/>
          <w:color w:val="auto"/>
          <w:szCs w:val="21"/>
          <w:highlight w:val="none"/>
        </w:rPr>
      </w:pPr>
    </w:p>
    <w:p w14:paraId="4E770452">
      <w:pPr>
        <w:pStyle w:val="28"/>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6613571">
      <w:pPr>
        <w:pStyle w:val="28"/>
        <w:spacing w:line="400" w:lineRule="exact"/>
        <w:ind w:left="25" w:leftChars="12" w:firstLine="308" w:firstLineChars="147"/>
        <w:rPr>
          <w:rFonts w:hint="eastAsia" w:hAnsi="宋体"/>
          <w:color w:val="auto"/>
          <w:szCs w:val="21"/>
          <w:highlight w:val="none"/>
        </w:rPr>
      </w:pPr>
    </w:p>
    <w:p w14:paraId="00EB464C">
      <w:pPr>
        <w:pStyle w:val="28"/>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5F6A8976">
      <w:pPr>
        <w:pStyle w:val="28"/>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099506BE">
      <w:pPr>
        <w:pStyle w:val="28"/>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3CFCB45">
      <w:pPr>
        <w:pStyle w:val="28"/>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0277F57B">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EAC3DCD">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22E35776">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314DD525">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4BE73B41">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1C84CF28">
      <w:pPr>
        <w:pStyle w:val="28"/>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678E9CE0">
      <w:pPr>
        <w:tabs>
          <w:tab w:val="center" w:pos="4410"/>
          <w:tab w:val="left" w:pos="6735"/>
        </w:tabs>
        <w:spacing w:line="480" w:lineRule="auto"/>
        <w:jc w:val="center"/>
        <w:rPr>
          <w:rFonts w:hint="eastAsia" w:ascii="宋体" w:hAnsi="宋体" w:cs="宋体"/>
          <w:b/>
          <w:color w:val="auto"/>
          <w:sz w:val="32"/>
          <w:szCs w:val="32"/>
          <w:highlight w:val="none"/>
        </w:rPr>
      </w:pPr>
    </w:p>
    <w:p w14:paraId="3F531399">
      <w:pPr>
        <w:tabs>
          <w:tab w:val="center" w:pos="4410"/>
          <w:tab w:val="left" w:pos="6735"/>
        </w:tabs>
        <w:spacing w:line="480" w:lineRule="auto"/>
        <w:jc w:val="center"/>
        <w:rPr>
          <w:rFonts w:hint="eastAsia" w:ascii="宋体" w:hAnsi="宋体" w:cs="宋体"/>
          <w:b/>
          <w:color w:val="auto"/>
          <w:sz w:val="32"/>
          <w:szCs w:val="32"/>
          <w:highlight w:val="none"/>
        </w:rPr>
      </w:pPr>
    </w:p>
    <w:p w14:paraId="4711F318">
      <w:pPr>
        <w:tabs>
          <w:tab w:val="center" w:pos="4410"/>
          <w:tab w:val="left" w:pos="6735"/>
        </w:tabs>
        <w:spacing w:line="480" w:lineRule="auto"/>
        <w:jc w:val="center"/>
        <w:rPr>
          <w:rFonts w:hint="eastAsia" w:ascii="宋体" w:hAnsi="宋体" w:cs="宋体"/>
          <w:b/>
          <w:color w:val="auto"/>
          <w:sz w:val="32"/>
          <w:szCs w:val="32"/>
          <w:highlight w:val="none"/>
        </w:rPr>
      </w:pPr>
    </w:p>
    <w:p w14:paraId="4EB50D0E">
      <w:pPr>
        <w:tabs>
          <w:tab w:val="center" w:pos="4410"/>
          <w:tab w:val="left" w:pos="6735"/>
        </w:tabs>
        <w:spacing w:line="480" w:lineRule="auto"/>
        <w:jc w:val="center"/>
        <w:rPr>
          <w:rFonts w:hint="eastAsia" w:ascii="宋体" w:hAnsi="宋体" w:cs="宋体"/>
          <w:b/>
          <w:color w:val="auto"/>
          <w:sz w:val="32"/>
          <w:szCs w:val="32"/>
          <w:highlight w:val="none"/>
        </w:rPr>
      </w:pPr>
    </w:p>
    <w:p w14:paraId="37243673">
      <w:pPr>
        <w:tabs>
          <w:tab w:val="center" w:pos="4410"/>
          <w:tab w:val="left" w:pos="6735"/>
        </w:tabs>
        <w:spacing w:line="480" w:lineRule="auto"/>
        <w:jc w:val="center"/>
        <w:rPr>
          <w:rFonts w:hint="eastAsia" w:ascii="宋体" w:hAnsi="宋体" w:cs="宋体"/>
          <w:b/>
          <w:color w:val="auto"/>
          <w:sz w:val="32"/>
          <w:szCs w:val="32"/>
          <w:highlight w:val="none"/>
        </w:rPr>
      </w:pPr>
    </w:p>
    <w:p w14:paraId="6915889D">
      <w:pPr>
        <w:tabs>
          <w:tab w:val="center" w:pos="4410"/>
          <w:tab w:val="left" w:pos="6735"/>
        </w:tabs>
        <w:spacing w:line="480" w:lineRule="auto"/>
        <w:jc w:val="center"/>
        <w:rPr>
          <w:rFonts w:hint="eastAsia" w:ascii="宋体" w:hAnsi="宋体" w:cs="宋体"/>
          <w:b/>
          <w:color w:val="auto"/>
          <w:sz w:val="32"/>
          <w:szCs w:val="32"/>
          <w:highlight w:val="none"/>
        </w:rPr>
      </w:pPr>
    </w:p>
    <w:p w14:paraId="604C7693">
      <w:pPr>
        <w:tabs>
          <w:tab w:val="center" w:pos="4410"/>
          <w:tab w:val="left" w:pos="6735"/>
        </w:tabs>
        <w:spacing w:line="480" w:lineRule="auto"/>
        <w:jc w:val="center"/>
        <w:rPr>
          <w:rFonts w:hint="eastAsia" w:ascii="宋体" w:hAnsi="宋体" w:cs="宋体"/>
          <w:b/>
          <w:color w:val="auto"/>
          <w:sz w:val="32"/>
          <w:szCs w:val="32"/>
          <w:highlight w:val="none"/>
        </w:rPr>
      </w:pPr>
    </w:p>
    <w:p w14:paraId="7EBC657D">
      <w:pPr>
        <w:tabs>
          <w:tab w:val="center" w:pos="4410"/>
          <w:tab w:val="left" w:pos="6735"/>
        </w:tabs>
        <w:spacing w:line="480" w:lineRule="auto"/>
        <w:jc w:val="center"/>
        <w:rPr>
          <w:rFonts w:hint="eastAsia" w:ascii="宋体" w:hAnsi="宋体" w:cs="宋体"/>
          <w:b/>
          <w:color w:val="auto"/>
          <w:sz w:val="32"/>
          <w:szCs w:val="32"/>
          <w:highlight w:val="none"/>
        </w:rPr>
      </w:pPr>
    </w:p>
    <w:p w14:paraId="7F2035D2">
      <w:pPr>
        <w:tabs>
          <w:tab w:val="center" w:pos="4410"/>
          <w:tab w:val="left" w:pos="6735"/>
        </w:tabs>
        <w:spacing w:line="480" w:lineRule="auto"/>
        <w:jc w:val="both"/>
        <w:rPr>
          <w:rFonts w:hint="eastAsia" w:ascii="宋体" w:hAnsi="宋体" w:cs="宋体"/>
          <w:b/>
          <w:color w:val="auto"/>
          <w:sz w:val="32"/>
          <w:szCs w:val="32"/>
          <w:highlight w:val="none"/>
        </w:rPr>
      </w:pPr>
    </w:p>
    <w:p w14:paraId="6C0AA213">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367130BC">
      <w:pPr>
        <w:widowControl/>
        <w:shd w:val="clear" w:color="auto"/>
        <w:spacing w:line="480" w:lineRule="atLeast"/>
        <w:jc w:val="center"/>
        <w:rPr>
          <w:rFonts w:hint="eastAsia" w:ascii="宋体" w:hAnsi="宋体" w:cs="黑体"/>
          <w:b/>
          <w:color w:val="auto"/>
          <w:kern w:val="0"/>
          <w:sz w:val="32"/>
          <w:szCs w:val="32"/>
          <w:highlight w:val="none"/>
          <w:shd w:val="clear" w:color="auto" w:fill="auto"/>
        </w:rPr>
      </w:pPr>
      <w:r>
        <w:rPr>
          <w:rFonts w:hint="eastAsia" w:ascii="宋体" w:hAnsi="宋体" w:cs="黑体"/>
          <w:b/>
          <w:color w:val="auto"/>
          <w:kern w:val="0"/>
          <w:sz w:val="32"/>
          <w:szCs w:val="32"/>
          <w:highlight w:val="none"/>
          <w:shd w:val="clear" w:color="auto" w:fill="auto"/>
        </w:rPr>
        <w:t>政府采购项目合同验收报告（格式）</w:t>
      </w:r>
    </w:p>
    <w:p w14:paraId="592F9A16">
      <w:pPr>
        <w:pStyle w:val="24"/>
        <w:rPr>
          <w:color w:val="auto"/>
          <w:highlight w:val="none"/>
        </w:rPr>
      </w:pPr>
    </w:p>
    <w:p w14:paraId="258DB24E">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w:t>
      </w:r>
      <w:r>
        <w:rPr>
          <w:rFonts w:ascii="宋体" w:hAnsi="宋体"/>
          <w:color w:val="auto"/>
          <w:kern w:val="0"/>
          <w:szCs w:val="24"/>
          <w:highlight w:val="none"/>
        </w:rPr>
        <w:t> </w:t>
      </w:r>
      <w:r>
        <w:rPr>
          <w:rFonts w:hint="eastAsia" w:ascii="宋体" w:hAnsi="宋体" w:cs="仿宋"/>
          <w:color w:val="auto"/>
          <w:kern w:val="0"/>
          <w:szCs w:val="24"/>
          <w:highlight w:val="none"/>
        </w:rPr>
        <w:t>提供的货物进行了验收，验收情况如下：</w:t>
      </w:r>
    </w:p>
    <w:tbl>
      <w:tblPr>
        <w:tblStyle w:val="5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7D43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3204E8EE">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6318A08C">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4E30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2B3D397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0A9D6DE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3628A402">
            <w:pPr>
              <w:widowControl/>
              <w:spacing w:line="320" w:lineRule="atLeast"/>
              <w:ind w:firstLine="2" w:firstLineChars="0"/>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货物型号规格、标准及配置等</w:t>
            </w:r>
          </w:p>
          <w:p w14:paraId="69C02827">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（或服务内容、标准）</w:t>
            </w:r>
          </w:p>
        </w:tc>
        <w:tc>
          <w:tcPr>
            <w:tcW w:w="998" w:type="dxa"/>
            <w:gridSpan w:val="2"/>
            <w:noWrap w:val="0"/>
            <w:vAlign w:val="center"/>
          </w:tcPr>
          <w:p w14:paraId="689A04F4">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311B70A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677C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54FCF09">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F91F89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7E0B801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43278E5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B55273A">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88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14A9926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1B0153B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0EC7C66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3AFAC44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60A38CD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D62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716647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67DC6AD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20C8D81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0464B1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3D49231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768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54119D7C">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3F0DD06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71C5557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ABB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45EC8ADC">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71AE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37F8BD7A">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实际供货日期</w:t>
            </w:r>
          </w:p>
        </w:tc>
        <w:tc>
          <w:tcPr>
            <w:tcW w:w="3240" w:type="dxa"/>
            <w:gridSpan w:val="2"/>
            <w:noWrap w:val="0"/>
            <w:vAlign w:val="center"/>
          </w:tcPr>
          <w:p w14:paraId="754EE5A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13EB501">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合同交货验收日期</w:t>
            </w:r>
          </w:p>
        </w:tc>
        <w:tc>
          <w:tcPr>
            <w:tcW w:w="2160" w:type="dxa"/>
            <w:gridSpan w:val="2"/>
            <w:noWrap w:val="0"/>
            <w:vAlign w:val="center"/>
          </w:tcPr>
          <w:p w14:paraId="2AB1701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4FC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0A0D211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50FB2D04">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0E9BC8F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16D70DC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67C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258DFBC5">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7ED25D97">
            <w:pPr>
              <w:widowControl/>
              <w:spacing w:line="320" w:lineRule="atLeast"/>
              <w:ind w:firstLine="0" w:firstLineChars="0"/>
              <w:jc w:val="left"/>
              <w:rPr>
                <w:rFonts w:ascii="宋体" w:hAnsi="宋体" w:cs="宋体"/>
                <w:color w:val="auto"/>
                <w:kern w:val="0"/>
                <w:sz w:val="21"/>
                <w:szCs w:val="24"/>
                <w:highlight w:val="none"/>
              </w:rPr>
            </w:pPr>
            <w:r>
              <w:rPr>
                <w:rFonts w:hint="eastAsia" w:ascii="宋体" w:hAnsi="宋体" w:cs="宋体"/>
                <w:color w:val="auto"/>
                <w:kern w:val="0"/>
                <w:sz w:val="21"/>
                <w:szCs w:val="24"/>
                <w:highlight w:val="none"/>
              </w:rPr>
              <w:t>（应按采购合同、采购文件、响应文件及验收方案等进行验收。可附件</w:t>
            </w:r>
            <w:r>
              <w:rPr>
                <w:rFonts w:ascii="宋体" w:hAnsi="宋体" w:cs="宋体"/>
                <w:color w:val="auto"/>
                <w:kern w:val="0"/>
                <w:sz w:val="21"/>
                <w:szCs w:val="24"/>
                <w:highlight w:val="none"/>
              </w:rPr>
              <w:t>)</w:t>
            </w:r>
          </w:p>
        </w:tc>
      </w:tr>
      <w:tr w14:paraId="15C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1D79BBFD">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6F20C9D7">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7E66BBF">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C3C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6585DBD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1B818659">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141D8BC4">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0CD4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4852D1E3">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29D1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07B9C446">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09CBE8E4">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7846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2BEFE137">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012CDD1A">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2C35C93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12EBEC8A">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2E3E1505">
      <w:pPr>
        <w:snapToGrid w:val="0"/>
        <w:spacing w:line="340" w:lineRule="exact"/>
        <w:ind w:firstLine="0" w:firstLineChars="0"/>
        <w:rPr>
          <w:rFonts w:hint="eastAsia" w:ascii="宋体" w:hAnsi="宋体" w:cs="宋体"/>
          <w:b/>
          <w:color w:val="auto"/>
          <w:szCs w:val="24"/>
          <w:highlight w:val="none"/>
        </w:rPr>
      </w:pPr>
    </w:p>
    <w:p w14:paraId="0E0A5EEA">
      <w:pPr>
        <w:tabs>
          <w:tab w:val="center" w:pos="4410"/>
          <w:tab w:val="left" w:pos="6735"/>
        </w:tabs>
        <w:spacing w:line="480" w:lineRule="auto"/>
        <w:rPr>
          <w:rFonts w:hint="eastAsia" w:ascii="宋体"/>
          <w:b/>
          <w:color w:val="auto"/>
          <w:sz w:val="32"/>
          <w:szCs w:val="32"/>
          <w:highlight w:val="none"/>
        </w:rPr>
      </w:pPr>
    </w:p>
    <w:p w14:paraId="75050532">
      <w:pPr>
        <w:tabs>
          <w:tab w:val="center" w:pos="4410"/>
          <w:tab w:val="left" w:pos="6735"/>
        </w:tabs>
        <w:spacing w:line="480" w:lineRule="auto"/>
        <w:rPr>
          <w:rFonts w:hint="eastAsia" w:hAnsi="宋体"/>
          <w:b/>
          <w:bCs/>
          <w:color w:val="auto"/>
          <w:sz w:val="24"/>
          <w:highlight w:val="none"/>
        </w:rPr>
      </w:pPr>
    </w:p>
    <w:p w14:paraId="25CE6929">
      <w:pPr>
        <w:pStyle w:val="24"/>
        <w:ind w:left="0" w:leftChars="0" w:firstLine="0" w:firstLineChars="0"/>
        <w:rPr>
          <w:rFonts w:hint="eastAsia" w:hAnsi="宋体"/>
          <w:b/>
          <w:bCs/>
          <w:color w:val="auto"/>
          <w:sz w:val="24"/>
          <w:highlight w:val="none"/>
        </w:rPr>
      </w:pPr>
    </w:p>
    <w:p w14:paraId="75F02A30">
      <w:pPr>
        <w:tabs>
          <w:tab w:val="center" w:pos="4410"/>
          <w:tab w:val="left" w:pos="6735"/>
        </w:tabs>
        <w:spacing w:line="480" w:lineRule="auto"/>
        <w:rPr>
          <w:rFonts w:ascii="宋体"/>
          <w:b/>
          <w:color w:val="auto"/>
          <w:sz w:val="32"/>
          <w:szCs w:val="32"/>
          <w:highlight w:val="none"/>
        </w:rPr>
      </w:pPr>
      <w:r>
        <w:rPr>
          <w:rFonts w:hint="eastAsia" w:hAnsi="宋体"/>
          <w:b/>
          <w:bCs/>
          <w:color w:val="auto"/>
          <w:sz w:val="24"/>
          <w:highlight w:val="none"/>
        </w:rPr>
        <w:t>附表</w:t>
      </w:r>
      <w:r>
        <w:rPr>
          <w:rFonts w:hAnsi="宋体"/>
          <w:b/>
          <w:bCs/>
          <w:color w:val="auto"/>
          <w:sz w:val="24"/>
          <w:highlight w:val="none"/>
        </w:rPr>
        <w:t>4</w:t>
      </w:r>
    </w:p>
    <w:p w14:paraId="69605DDC">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政府采购项目履约保证金退付意见书（格式）</w:t>
      </w:r>
    </w:p>
    <w:p w14:paraId="562BA05B">
      <w:pPr>
        <w:spacing w:line="460" w:lineRule="exact"/>
        <w:jc w:val="center"/>
        <w:rPr>
          <w:rFonts w:ascii="宋体" w:hAnsi="宋体"/>
          <w:b/>
          <w:color w:val="auto"/>
          <w:sz w:val="48"/>
          <w:highlight w:val="none"/>
        </w:rPr>
      </w:pPr>
    </w:p>
    <w:tbl>
      <w:tblPr>
        <w:tblStyle w:val="5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304"/>
      </w:tblGrid>
      <w:tr w14:paraId="0954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996" w:type="dxa"/>
            <w:vMerge w:val="restart"/>
            <w:noWrap w:val="0"/>
            <w:vAlign w:val="center"/>
          </w:tcPr>
          <w:p w14:paraId="46BCDCCA">
            <w:pPr>
              <w:jc w:val="center"/>
              <w:rPr>
                <w:color w:val="auto"/>
                <w:sz w:val="24"/>
                <w:highlight w:val="none"/>
              </w:rPr>
            </w:pPr>
            <w:r>
              <w:rPr>
                <w:rFonts w:hint="eastAsia"/>
                <w:color w:val="auto"/>
                <w:sz w:val="24"/>
                <w:highlight w:val="none"/>
              </w:rPr>
              <w:t>供</w:t>
            </w:r>
          </w:p>
          <w:p w14:paraId="1C0DA121">
            <w:pPr>
              <w:jc w:val="center"/>
              <w:rPr>
                <w:color w:val="auto"/>
                <w:sz w:val="24"/>
                <w:highlight w:val="none"/>
              </w:rPr>
            </w:pPr>
            <w:r>
              <w:rPr>
                <w:rFonts w:hint="eastAsia"/>
                <w:color w:val="auto"/>
                <w:sz w:val="24"/>
                <w:highlight w:val="none"/>
              </w:rPr>
              <w:t>应</w:t>
            </w:r>
          </w:p>
          <w:p w14:paraId="620D0DD5">
            <w:pPr>
              <w:jc w:val="center"/>
              <w:rPr>
                <w:color w:val="auto"/>
                <w:sz w:val="24"/>
                <w:highlight w:val="none"/>
              </w:rPr>
            </w:pPr>
            <w:r>
              <w:rPr>
                <w:rFonts w:hint="eastAsia"/>
                <w:color w:val="auto"/>
                <w:sz w:val="24"/>
                <w:highlight w:val="none"/>
              </w:rPr>
              <w:t>商</w:t>
            </w:r>
          </w:p>
          <w:p w14:paraId="7B774132">
            <w:pPr>
              <w:jc w:val="center"/>
              <w:rPr>
                <w:color w:val="auto"/>
                <w:sz w:val="24"/>
                <w:highlight w:val="none"/>
              </w:rPr>
            </w:pPr>
            <w:r>
              <w:rPr>
                <w:rFonts w:hint="eastAsia"/>
                <w:color w:val="auto"/>
                <w:sz w:val="24"/>
                <w:highlight w:val="none"/>
              </w:rPr>
              <w:t>申</w:t>
            </w:r>
          </w:p>
          <w:p w14:paraId="7551860B">
            <w:pPr>
              <w:jc w:val="center"/>
              <w:rPr>
                <w:color w:val="auto"/>
                <w:sz w:val="24"/>
                <w:highlight w:val="none"/>
              </w:rPr>
            </w:pPr>
            <w:r>
              <w:rPr>
                <w:rFonts w:hint="eastAsia"/>
                <w:color w:val="auto"/>
                <w:sz w:val="24"/>
                <w:highlight w:val="none"/>
              </w:rPr>
              <w:t>请</w:t>
            </w:r>
          </w:p>
        </w:tc>
        <w:tc>
          <w:tcPr>
            <w:tcW w:w="8304" w:type="dxa"/>
            <w:noWrap w:val="0"/>
            <w:vAlign w:val="center"/>
          </w:tcPr>
          <w:p w14:paraId="6B220014">
            <w:pPr>
              <w:rPr>
                <w:color w:val="auto"/>
                <w:sz w:val="24"/>
                <w:highlight w:val="none"/>
              </w:rPr>
            </w:pPr>
            <w:r>
              <w:rPr>
                <w:rFonts w:hint="eastAsia"/>
                <w:color w:val="auto"/>
                <w:sz w:val="24"/>
                <w:highlight w:val="none"/>
              </w:rPr>
              <w:t>采购编号：</w:t>
            </w:r>
          </w:p>
        </w:tc>
      </w:tr>
      <w:tr w14:paraId="15D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96" w:type="dxa"/>
            <w:vMerge w:val="continue"/>
            <w:noWrap w:val="0"/>
            <w:vAlign w:val="center"/>
          </w:tcPr>
          <w:p w14:paraId="7A49DCDD">
            <w:pPr>
              <w:widowControl/>
              <w:jc w:val="left"/>
              <w:rPr>
                <w:color w:val="auto"/>
                <w:sz w:val="24"/>
                <w:highlight w:val="none"/>
              </w:rPr>
            </w:pPr>
          </w:p>
        </w:tc>
        <w:tc>
          <w:tcPr>
            <w:tcW w:w="8304" w:type="dxa"/>
            <w:noWrap w:val="0"/>
            <w:vAlign w:val="center"/>
          </w:tcPr>
          <w:p w14:paraId="13AD946A">
            <w:pPr>
              <w:rPr>
                <w:color w:val="auto"/>
                <w:sz w:val="24"/>
                <w:highlight w:val="none"/>
              </w:rPr>
            </w:pPr>
            <w:r>
              <w:rPr>
                <w:rFonts w:hint="eastAsia"/>
                <w:color w:val="auto"/>
                <w:sz w:val="24"/>
                <w:highlight w:val="none"/>
              </w:rPr>
              <w:t>项目名称：</w:t>
            </w:r>
          </w:p>
        </w:tc>
      </w:tr>
      <w:tr w14:paraId="5F4C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96" w:type="dxa"/>
            <w:vMerge w:val="continue"/>
            <w:noWrap w:val="0"/>
            <w:vAlign w:val="center"/>
          </w:tcPr>
          <w:p w14:paraId="341D2920">
            <w:pPr>
              <w:widowControl/>
              <w:jc w:val="left"/>
              <w:rPr>
                <w:color w:val="auto"/>
                <w:sz w:val="24"/>
                <w:highlight w:val="none"/>
              </w:rPr>
            </w:pPr>
          </w:p>
        </w:tc>
        <w:tc>
          <w:tcPr>
            <w:tcW w:w="8304" w:type="dxa"/>
            <w:noWrap w:val="0"/>
            <w:vAlign w:val="top"/>
          </w:tcPr>
          <w:p w14:paraId="0DC06DE6">
            <w:pPr>
              <w:rPr>
                <w:color w:val="auto"/>
                <w:sz w:val="24"/>
                <w:highlight w:val="none"/>
              </w:rPr>
            </w:pPr>
            <w:r>
              <w:rPr>
                <w:color w:val="auto"/>
                <w:sz w:val="24"/>
                <w:highlight w:val="none"/>
              </w:rPr>
              <w:t xml:space="preserve">  </w:t>
            </w:r>
          </w:p>
          <w:p w14:paraId="665B9AC6">
            <w:pPr>
              <w:spacing w:line="300" w:lineRule="exact"/>
              <w:ind w:firstLine="480" w:firstLineChars="200"/>
              <w:rPr>
                <w:color w:val="auto"/>
                <w:sz w:val="24"/>
                <w:highlight w:val="none"/>
              </w:rPr>
            </w:pPr>
            <w:r>
              <w:rPr>
                <w:rFonts w:hint="eastAsia"/>
                <w:color w:val="auto"/>
                <w:sz w:val="24"/>
                <w:highlight w:val="none"/>
              </w:rPr>
              <w:t>该项目已于</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日验收并交付使用。根据合同规定，该项目的履约担保金期限于</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日已满，请将履约担保金</w:t>
            </w:r>
            <w:r>
              <w:rPr>
                <w:color w:val="auto"/>
                <w:sz w:val="24"/>
                <w:highlight w:val="none"/>
                <w:u w:val="single"/>
              </w:rPr>
              <w:t xml:space="preserve">                                 </w:t>
            </w:r>
            <w:r>
              <w:rPr>
                <w:rFonts w:hint="eastAsia"/>
                <w:color w:val="auto"/>
                <w:sz w:val="24"/>
                <w:highlight w:val="none"/>
              </w:rPr>
              <w:t>（大写）￥</w:t>
            </w:r>
            <w:r>
              <w:rPr>
                <w:color w:val="auto"/>
                <w:sz w:val="24"/>
                <w:highlight w:val="none"/>
                <w:u w:val="single"/>
              </w:rPr>
              <w:t xml:space="preserve">          </w:t>
            </w:r>
            <w:r>
              <w:rPr>
                <w:rFonts w:hint="eastAsia"/>
                <w:color w:val="auto"/>
                <w:sz w:val="24"/>
                <w:highlight w:val="none"/>
              </w:rPr>
              <w:t>（小写）退付到达以下账户。</w:t>
            </w:r>
          </w:p>
          <w:p w14:paraId="3A1E5BA5">
            <w:pPr>
              <w:spacing w:line="300" w:lineRule="exact"/>
              <w:ind w:firstLine="705"/>
              <w:rPr>
                <w:rFonts w:hint="eastAsia"/>
                <w:color w:val="auto"/>
                <w:sz w:val="24"/>
                <w:highlight w:val="none"/>
              </w:rPr>
            </w:pPr>
          </w:p>
          <w:p w14:paraId="6ABF7124">
            <w:pPr>
              <w:spacing w:line="300" w:lineRule="exact"/>
              <w:rPr>
                <w:color w:val="auto"/>
                <w:sz w:val="24"/>
                <w:highlight w:val="none"/>
              </w:rPr>
            </w:pPr>
            <w:r>
              <w:rPr>
                <w:rFonts w:hint="eastAsia"/>
                <w:color w:val="auto"/>
                <w:sz w:val="24"/>
                <w:highlight w:val="none"/>
              </w:rPr>
              <w:t>单位名称：</w:t>
            </w:r>
          </w:p>
          <w:p w14:paraId="577B3437">
            <w:pPr>
              <w:spacing w:line="300" w:lineRule="exact"/>
              <w:rPr>
                <w:color w:val="auto"/>
                <w:sz w:val="24"/>
                <w:highlight w:val="none"/>
              </w:rPr>
            </w:pPr>
            <w:r>
              <w:rPr>
                <w:rFonts w:hint="eastAsia"/>
                <w:color w:val="auto"/>
                <w:sz w:val="24"/>
                <w:highlight w:val="none"/>
              </w:rPr>
              <w:t>开户银行：</w:t>
            </w:r>
          </w:p>
          <w:p w14:paraId="72990B18">
            <w:pPr>
              <w:spacing w:line="300" w:lineRule="exact"/>
              <w:rPr>
                <w:rFonts w:hint="eastAsia"/>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 xml:space="preserve"> 号：</w:t>
            </w:r>
          </w:p>
          <w:p w14:paraId="0A7A73A9">
            <w:pPr>
              <w:spacing w:line="300" w:lineRule="exact"/>
              <w:rPr>
                <w:color w:val="auto"/>
                <w:sz w:val="24"/>
                <w:highlight w:val="none"/>
              </w:rPr>
            </w:pPr>
          </w:p>
          <w:p w14:paraId="2DCC0E86">
            <w:pPr>
              <w:spacing w:line="300" w:lineRule="exact"/>
              <w:rPr>
                <w:color w:val="auto"/>
                <w:sz w:val="24"/>
                <w:highlight w:val="none"/>
              </w:rPr>
            </w:pPr>
            <w:r>
              <w:rPr>
                <w:rFonts w:hint="eastAsia"/>
                <w:color w:val="auto"/>
                <w:sz w:val="24"/>
                <w:highlight w:val="none"/>
              </w:rPr>
              <w:t>联系人及电话：</w:t>
            </w:r>
          </w:p>
          <w:p w14:paraId="242F8F7A">
            <w:pPr>
              <w:spacing w:line="520" w:lineRule="exact"/>
              <w:jc w:val="center"/>
              <w:rPr>
                <w:color w:val="auto"/>
                <w:sz w:val="24"/>
                <w:highlight w:val="none"/>
              </w:rPr>
            </w:pPr>
            <w:r>
              <w:rPr>
                <w:color w:val="auto"/>
                <w:sz w:val="24"/>
                <w:highlight w:val="none"/>
              </w:rPr>
              <w:t xml:space="preserve">                                    </w:t>
            </w:r>
            <w:r>
              <w:rPr>
                <w:rFonts w:hint="eastAsia"/>
                <w:color w:val="auto"/>
                <w:sz w:val="24"/>
                <w:highlight w:val="none"/>
              </w:rPr>
              <w:t>供应商签章：</w:t>
            </w:r>
          </w:p>
          <w:p w14:paraId="1B222748">
            <w:pPr>
              <w:spacing w:line="520" w:lineRule="exact"/>
              <w:jc w:val="center"/>
              <w:rPr>
                <w:color w:val="auto"/>
                <w:sz w:val="24"/>
                <w:highlight w:val="none"/>
              </w:rPr>
            </w:pP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tc>
      </w:tr>
      <w:tr w14:paraId="6D44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jc w:val="center"/>
        </w:trPr>
        <w:tc>
          <w:tcPr>
            <w:tcW w:w="996" w:type="dxa"/>
            <w:noWrap w:val="0"/>
            <w:vAlign w:val="center"/>
          </w:tcPr>
          <w:p w14:paraId="311A0A0E">
            <w:pPr>
              <w:jc w:val="center"/>
              <w:rPr>
                <w:color w:val="auto"/>
                <w:sz w:val="24"/>
                <w:highlight w:val="none"/>
              </w:rPr>
            </w:pPr>
            <w:r>
              <w:rPr>
                <w:rFonts w:hint="eastAsia"/>
                <w:color w:val="auto"/>
                <w:sz w:val="24"/>
                <w:highlight w:val="none"/>
              </w:rPr>
              <w:t>采</w:t>
            </w:r>
          </w:p>
          <w:p w14:paraId="2AF0C403">
            <w:pPr>
              <w:jc w:val="center"/>
              <w:rPr>
                <w:color w:val="auto"/>
                <w:sz w:val="24"/>
                <w:highlight w:val="none"/>
              </w:rPr>
            </w:pPr>
            <w:r>
              <w:rPr>
                <w:rFonts w:hint="eastAsia"/>
                <w:color w:val="auto"/>
                <w:sz w:val="24"/>
                <w:highlight w:val="none"/>
              </w:rPr>
              <w:t>购</w:t>
            </w:r>
          </w:p>
          <w:p w14:paraId="606F3B35">
            <w:pPr>
              <w:jc w:val="center"/>
              <w:rPr>
                <w:color w:val="auto"/>
                <w:sz w:val="24"/>
                <w:highlight w:val="none"/>
              </w:rPr>
            </w:pPr>
            <w:r>
              <w:rPr>
                <w:rFonts w:hint="eastAsia"/>
                <w:color w:val="auto"/>
                <w:sz w:val="24"/>
                <w:highlight w:val="none"/>
              </w:rPr>
              <w:t>单</w:t>
            </w:r>
          </w:p>
          <w:p w14:paraId="785C3465">
            <w:pPr>
              <w:jc w:val="center"/>
              <w:rPr>
                <w:color w:val="auto"/>
                <w:sz w:val="24"/>
                <w:highlight w:val="none"/>
              </w:rPr>
            </w:pPr>
            <w:r>
              <w:rPr>
                <w:rFonts w:hint="eastAsia"/>
                <w:color w:val="auto"/>
                <w:sz w:val="24"/>
                <w:highlight w:val="none"/>
              </w:rPr>
              <w:t>位</w:t>
            </w:r>
          </w:p>
          <w:p w14:paraId="77AB68D8">
            <w:pPr>
              <w:jc w:val="center"/>
              <w:rPr>
                <w:color w:val="auto"/>
                <w:sz w:val="24"/>
                <w:highlight w:val="none"/>
              </w:rPr>
            </w:pPr>
            <w:r>
              <w:rPr>
                <w:rFonts w:hint="eastAsia"/>
                <w:color w:val="auto"/>
                <w:sz w:val="24"/>
                <w:highlight w:val="none"/>
              </w:rPr>
              <w:t>意</w:t>
            </w:r>
          </w:p>
          <w:p w14:paraId="46622151">
            <w:pPr>
              <w:jc w:val="center"/>
              <w:rPr>
                <w:color w:val="auto"/>
                <w:sz w:val="24"/>
                <w:highlight w:val="none"/>
              </w:rPr>
            </w:pPr>
            <w:r>
              <w:rPr>
                <w:rFonts w:hint="eastAsia"/>
                <w:color w:val="auto"/>
                <w:sz w:val="24"/>
                <w:highlight w:val="none"/>
              </w:rPr>
              <w:t>见</w:t>
            </w:r>
          </w:p>
        </w:tc>
        <w:tc>
          <w:tcPr>
            <w:tcW w:w="8304" w:type="dxa"/>
            <w:noWrap w:val="0"/>
            <w:vAlign w:val="top"/>
          </w:tcPr>
          <w:p w14:paraId="17AA33EB">
            <w:pPr>
              <w:rPr>
                <w:color w:val="auto"/>
                <w:sz w:val="24"/>
                <w:highlight w:val="none"/>
              </w:rPr>
            </w:pPr>
          </w:p>
          <w:p w14:paraId="6EE1F31D">
            <w:pPr>
              <w:rPr>
                <w:color w:val="auto"/>
                <w:sz w:val="24"/>
                <w:highlight w:val="none"/>
              </w:rPr>
            </w:pPr>
            <w:r>
              <w:rPr>
                <w:rFonts w:hint="eastAsia"/>
                <w:color w:val="auto"/>
                <w:sz w:val="24"/>
                <w:highlight w:val="none"/>
              </w:rPr>
              <w:t>退付意见：是否同意退付履约担保金及退付金额：</w:t>
            </w:r>
          </w:p>
          <w:p w14:paraId="487CA528">
            <w:pPr>
              <w:rPr>
                <w:color w:val="auto"/>
                <w:sz w:val="24"/>
                <w:highlight w:val="none"/>
              </w:rPr>
            </w:pPr>
          </w:p>
          <w:p w14:paraId="7E6F47EB">
            <w:pPr>
              <w:rPr>
                <w:color w:val="auto"/>
                <w:sz w:val="24"/>
                <w:highlight w:val="none"/>
              </w:rPr>
            </w:pPr>
          </w:p>
          <w:p w14:paraId="4F1477DB">
            <w:pPr>
              <w:spacing w:line="520" w:lineRule="exact"/>
              <w:rPr>
                <w:rFonts w:hint="eastAsia"/>
                <w:color w:val="auto"/>
                <w:sz w:val="24"/>
                <w:highlight w:val="none"/>
              </w:rPr>
            </w:pPr>
            <w:r>
              <w:rPr>
                <w:rFonts w:hint="eastAsia"/>
                <w:color w:val="auto"/>
                <w:sz w:val="24"/>
                <w:highlight w:val="none"/>
              </w:rPr>
              <w:t>联系人及电话：</w:t>
            </w:r>
            <w:r>
              <w:rPr>
                <w:color w:val="auto"/>
                <w:sz w:val="24"/>
                <w:highlight w:val="none"/>
              </w:rPr>
              <w:t xml:space="preserve">                               </w:t>
            </w:r>
          </w:p>
          <w:p w14:paraId="4FA67ACF">
            <w:pPr>
              <w:spacing w:line="520" w:lineRule="exact"/>
              <w:rPr>
                <w:rFonts w:hint="eastAsia"/>
                <w:color w:val="auto"/>
                <w:sz w:val="24"/>
                <w:highlight w:val="none"/>
              </w:rPr>
            </w:pPr>
          </w:p>
          <w:p w14:paraId="607277B3">
            <w:pPr>
              <w:spacing w:line="520" w:lineRule="exact"/>
              <w:rPr>
                <w:color w:val="auto"/>
                <w:sz w:val="24"/>
                <w:highlight w:val="none"/>
              </w:rPr>
            </w:pPr>
            <w:r>
              <w:rPr>
                <w:rFonts w:hint="eastAsia"/>
                <w:color w:val="auto"/>
                <w:sz w:val="24"/>
                <w:highlight w:val="none"/>
              </w:rPr>
              <w:t xml:space="preserve">                                              采购单位签章：</w:t>
            </w:r>
          </w:p>
          <w:p w14:paraId="7CB0F75E">
            <w:pPr>
              <w:spacing w:line="520" w:lineRule="exact"/>
              <w:jc w:val="center"/>
              <w:rPr>
                <w:color w:val="auto"/>
                <w:sz w:val="24"/>
                <w:highlight w:val="none"/>
              </w:rPr>
            </w:pP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tc>
      </w:tr>
    </w:tbl>
    <w:p w14:paraId="295A854A">
      <w:pPr>
        <w:spacing w:line="500" w:lineRule="exact"/>
        <w:jc w:val="center"/>
        <w:rPr>
          <w:rFonts w:hint="eastAsia" w:ascii="宋体" w:hAnsi="宋体"/>
          <w:b/>
          <w:color w:val="auto"/>
          <w:sz w:val="32"/>
          <w:szCs w:val="32"/>
          <w:highlight w:val="none"/>
        </w:rPr>
      </w:pPr>
    </w:p>
    <w:p w14:paraId="14AA7A2E">
      <w:pPr>
        <w:spacing w:line="500" w:lineRule="exact"/>
        <w:jc w:val="center"/>
        <w:rPr>
          <w:rFonts w:hint="eastAsia" w:ascii="宋体" w:hAnsi="宋体"/>
          <w:b/>
          <w:color w:val="auto"/>
          <w:sz w:val="32"/>
          <w:szCs w:val="32"/>
          <w:highlight w:val="none"/>
        </w:rPr>
      </w:pPr>
    </w:p>
    <w:p w14:paraId="4B7BD205">
      <w:pPr>
        <w:spacing w:line="500" w:lineRule="exact"/>
        <w:jc w:val="both"/>
        <w:rPr>
          <w:rFonts w:hint="eastAsia" w:ascii="宋体" w:hAnsi="宋体"/>
          <w:b/>
          <w:color w:val="auto"/>
          <w:sz w:val="32"/>
          <w:szCs w:val="32"/>
          <w:highlight w:val="none"/>
        </w:rPr>
      </w:pPr>
    </w:p>
    <w:p w14:paraId="1A564AFE">
      <w:pPr>
        <w:widowControl/>
        <w:spacing w:line="240" w:lineRule="auto"/>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p>
    <w:p w14:paraId="317EEF42">
      <w:pPr>
        <w:widowControl/>
        <w:spacing w:line="580" w:lineRule="exact"/>
        <w:jc w:val="center"/>
        <w:rPr>
          <w:rFonts w:hint="eastAsia" w:ascii="方正小标宋_GBK" w:eastAsia="方正小标宋_GBK"/>
          <w:color w:val="auto"/>
          <w:sz w:val="44"/>
          <w:szCs w:val="44"/>
          <w:highlight w:val="none"/>
        </w:rPr>
      </w:pPr>
    </w:p>
    <w:p w14:paraId="2EE62729">
      <w:pPr>
        <w:widowControl/>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广西线上“政采贷”政策告知函</w:t>
      </w:r>
    </w:p>
    <w:p w14:paraId="04AD0234">
      <w:pPr>
        <w:widowControl/>
        <w:spacing w:line="580" w:lineRule="exact"/>
        <w:ind w:firstLine="640" w:firstLineChars="200"/>
        <w:rPr>
          <w:rFonts w:hint="eastAsia" w:eastAsia="仿宋_GB2312"/>
          <w:color w:val="auto"/>
          <w:sz w:val="32"/>
          <w:szCs w:val="32"/>
          <w:highlight w:val="none"/>
        </w:rPr>
      </w:pPr>
    </w:p>
    <w:p w14:paraId="265D2E58">
      <w:pPr>
        <w:widowControl/>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677840DF">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欢迎贵公司参与广西政府采购活动！</w:t>
      </w:r>
    </w:p>
    <w:p w14:paraId="74F1535B">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55553D6">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eastAsia="仿宋_GB2312"/>
          <w:color w:val="auto"/>
          <w:sz w:val="32"/>
          <w:szCs w:val="32"/>
          <w:highlight w:val="none"/>
        </w:rPr>
        <w:fldChar w:fldCharType="begin"/>
      </w:r>
      <w:r>
        <w:rPr>
          <w:rFonts w:eastAsia="仿宋_GB2312"/>
          <w:color w:val="auto"/>
          <w:sz w:val="32"/>
          <w:szCs w:val="32"/>
          <w:highlight w:val="none"/>
        </w:rPr>
        <w:instrText xml:space="preserve"> HYPERLINK "https://www.crcrfsp.com/" </w:instrText>
      </w:r>
      <w:r>
        <w:rPr>
          <w:rFonts w:eastAsia="仿宋_GB2312"/>
          <w:color w:val="auto"/>
          <w:sz w:val="32"/>
          <w:szCs w:val="32"/>
          <w:highlight w:val="none"/>
        </w:rPr>
        <w:fldChar w:fldCharType="separate"/>
      </w:r>
      <w:r>
        <w:rPr>
          <w:rStyle w:val="64"/>
          <w:rFonts w:eastAsia="仿宋_GB2312"/>
          <w:color w:val="auto"/>
          <w:sz w:val="32"/>
          <w:highlight w:val="none"/>
        </w:rPr>
        <w:t>https://www.crcrfsp.com/</w:t>
      </w:r>
      <w:r>
        <w:rPr>
          <w:rFonts w:eastAsia="仿宋_GB2312"/>
          <w:color w:val="auto"/>
          <w:sz w:val="32"/>
          <w:szCs w:val="32"/>
          <w:highlight w:val="none"/>
        </w:rPr>
        <w:fldChar w:fldCharType="end"/>
      </w:r>
      <w:r>
        <w:rPr>
          <w:rFonts w:hint="eastAsia" w:eastAsia="仿宋_GB2312"/>
          <w:color w:val="auto"/>
          <w:sz w:val="32"/>
          <w:szCs w:val="32"/>
          <w:highlight w:val="none"/>
        </w:rPr>
        <w:t>，客服电话：</w:t>
      </w:r>
      <w:r>
        <w:rPr>
          <w:rFonts w:hint="eastAsia" w:ascii="仿宋_GB2312" w:hAnsi="仿宋_GB2312" w:eastAsia="仿宋_GB2312" w:cs="仿宋_GB2312"/>
          <w:color w:val="auto"/>
          <w:sz w:val="32"/>
          <w:szCs w:val="32"/>
          <w:highlight w:val="none"/>
        </w:rPr>
        <w:t>400-009-0001）。</w:t>
      </w:r>
    </w:p>
    <w:p w14:paraId="19AE594D">
      <w:pPr>
        <w:rPr>
          <w:rFonts w:hAnsi="宋体" w:cs="宋体"/>
          <w:b/>
          <w:bCs/>
          <w:color w:val="auto"/>
          <w:sz w:val="30"/>
          <w:szCs w:val="30"/>
          <w:highlight w:val="none"/>
        </w:rPr>
      </w:pPr>
    </w:p>
    <w:p w14:paraId="070AE125">
      <w:pPr>
        <w:pStyle w:val="24"/>
        <w:rPr>
          <w:rFonts w:hAnsi="宋体" w:cs="宋体"/>
          <w:b/>
          <w:bCs/>
          <w:color w:val="auto"/>
          <w:sz w:val="30"/>
          <w:szCs w:val="30"/>
          <w:highlight w:val="none"/>
        </w:rPr>
      </w:pPr>
    </w:p>
    <w:p w14:paraId="638B952C">
      <w:pPr>
        <w:pStyle w:val="24"/>
        <w:rPr>
          <w:rFonts w:hAnsi="宋体" w:cs="宋体"/>
          <w:b/>
          <w:bCs/>
          <w:color w:val="auto"/>
          <w:sz w:val="30"/>
          <w:szCs w:val="30"/>
          <w:highlight w:val="none"/>
        </w:rPr>
      </w:pPr>
    </w:p>
    <w:p w14:paraId="40278146">
      <w:pPr>
        <w:pStyle w:val="24"/>
        <w:rPr>
          <w:rFonts w:hAnsi="宋体" w:cs="宋体"/>
          <w:b/>
          <w:bCs/>
          <w:color w:val="auto"/>
          <w:sz w:val="30"/>
          <w:szCs w:val="30"/>
          <w:highlight w:val="none"/>
        </w:rPr>
      </w:pPr>
    </w:p>
    <w:p w14:paraId="20062FD2">
      <w:pPr>
        <w:pStyle w:val="24"/>
        <w:rPr>
          <w:rFonts w:hAnsi="宋体" w:cs="宋体"/>
          <w:b/>
          <w:bCs/>
          <w:color w:val="auto"/>
          <w:sz w:val="30"/>
          <w:szCs w:val="30"/>
          <w:highlight w:val="none"/>
        </w:rPr>
      </w:pPr>
    </w:p>
    <w:p w14:paraId="01AE9822">
      <w:pPr>
        <w:pStyle w:val="24"/>
        <w:rPr>
          <w:rFonts w:hAnsi="宋体" w:cs="宋体"/>
          <w:b/>
          <w:bCs/>
          <w:color w:val="auto"/>
          <w:sz w:val="30"/>
          <w:szCs w:val="30"/>
          <w:highlight w:val="none"/>
        </w:rPr>
      </w:pPr>
    </w:p>
    <w:p w14:paraId="17F0D277">
      <w:pPr>
        <w:rPr>
          <w:rFonts w:hint="eastAsia" w:ascii="华文中宋" w:hAnsi="华文中宋" w:eastAsia="华文中宋" w:cs="华文中宋"/>
          <w:b/>
          <w:bCs/>
          <w:color w:val="auto"/>
          <w:kern w:val="2"/>
          <w:sz w:val="32"/>
          <w:szCs w:val="32"/>
          <w:highlight w:val="none"/>
          <w:lang w:val="en-US" w:eastAsia="zh-CN" w:bidi="ar-SA"/>
        </w:rPr>
      </w:pPr>
      <w:bookmarkStart w:id="182" w:name="_Toc28939"/>
      <w:bookmarkStart w:id="183" w:name="_Toc22630"/>
      <w:bookmarkStart w:id="184" w:name="_Toc6272"/>
      <w:bookmarkStart w:id="185" w:name="_Toc2989"/>
      <w:r>
        <w:rPr>
          <w:rFonts w:hint="eastAsia" w:ascii="华文中宋" w:hAnsi="华文中宋" w:eastAsia="华文中宋" w:cs="华文中宋"/>
          <w:b/>
          <w:bCs/>
          <w:color w:val="auto"/>
          <w:kern w:val="2"/>
          <w:sz w:val="32"/>
          <w:szCs w:val="32"/>
          <w:highlight w:val="none"/>
          <w:lang w:val="en-US" w:eastAsia="zh-CN" w:bidi="ar-SA"/>
        </w:rPr>
        <w:br w:type="page"/>
      </w:r>
    </w:p>
    <w:p w14:paraId="569CBAE4">
      <w:pPr>
        <w:jc w:val="center"/>
        <w:outlineLvl w:val="0"/>
        <w:rPr>
          <w:rFonts w:hint="eastAsia" w:ascii="华文中宋" w:hAnsi="华文中宋" w:eastAsia="华文中宋" w:cs="华文中宋"/>
          <w:b/>
          <w:bCs/>
          <w:color w:val="auto"/>
          <w:kern w:val="2"/>
          <w:sz w:val="32"/>
          <w:szCs w:val="32"/>
          <w:highlight w:val="none"/>
          <w:lang w:val="en-US" w:eastAsia="zh-CN" w:bidi="ar-SA"/>
        </w:rPr>
      </w:pPr>
      <w:r>
        <w:rPr>
          <w:rFonts w:hint="eastAsia" w:ascii="华文中宋" w:hAnsi="华文中宋" w:eastAsia="华文中宋" w:cs="华文中宋"/>
          <w:b/>
          <w:bCs/>
          <w:color w:val="auto"/>
          <w:kern w:val="2"/>
          <w:sz w:val="32"/>
          <w:szCs w:val="32"/>
          <w:highlight w:val="none"/>
          <w:lang w:val="en-US" w:eastAsia="zh-CN" w:bidi="ar-SA"/>
        </w:rPr>
        <w:t xml:space="preserve">第三章  </w:t>
      </w:r>
      <w:r>
        <w:rPr>
          <w:rFonts w:hint="eastAsia" w:ascii="华文中宋" w:hAnsi="华文中宋" w:eastAsia="华文中宋" w:cs="华文中宋"/>
          <w:b/>
          <w:bCs/>
          <w:color w:val="auto"/>
          <w:sz w:val="32"/>
          <w:szCs w:val="32"/>
          <w:highlight w:val="none"/>
          <w:lang w:val="en-US" w:eastAsia="zh-CN"/>
        </w:rPr>
        <w:t>工程量</w:t>
      </w:r>
      <w:r>
        <w:rPr>
          <w:rFonts w:hint="eastAsia" w:ascii="华文中宋" w:hAnsi="华文中宋" w:eastAsia="华文中宋" w:cs="华文中宋"/>
          <w:b/>
          <w:bCs/>
          <w:color w:val="auto"/>
          <w:kern w:val="2"/>
          <w:sz w:val="32"/>
          <w:szCs w:val="32"/>
          <w:highlight w:val="none"/>
          <w:lang w:val="en-US" w:eastAsia="zh-CN" w:bidi="ar-SA"/>
        </w:rPr>
        <w:t>清单</w:t>
      </w:r>
      <w:bookmarkEnd w:id="182"/>
      <w:bookmarkEnd w:id="183"/>
      <w:bookmarkEnd w:id="184"/>
    </w:p>
    <w:p w14:paraId="1A52B15B">
      <w:pPr>
        <w:keepNext w:val="0"/>
        <w:keepLines w:val="0"/>
        <w:pageBreakBefore w:val="0"/>
        <w:tabs>
          <w:tab w:val="left" w:pos="210"/>
        </w:tabs>
        <w:kinsoku/>
        <w:wordWrap/>
        <w:overflowPunct/>
        <w:topLinePunct w:val="0"/>
        <w:autoSpaceDE/>
        <w:autoSpaceDN/>
        <w:bidi w:val="0"/>
        <w:spacing w:line="360" w:lineRule="auto"/>
        <w:jc w:val="center"/>
        <w:textAlignment w:val="auto"/>
        <w:outlineLvl w:val="1"/>
        <w:rPr>
          <w:rFonts w:hint="eastAsia" w:ascii="宋体" w:hAnsi="宋体" w:eastAsia="宋体" w:cs="宋体"/>
          <w:b/>
          <w:bCs/>
          <w:color w:val="auto"/>
          <w:sz w:val="24"/>
          <w:szCs w:val="24"/>
          <w:highlight w:val="none"/>
          <w:lang w:val="en-US" w:eastAsia="zh-CN"/>
        </w:rPr>
      </w:pPr>
      <w:bookmarkStart w:id="186" w:name="_Toc29479"/>
      <w:r>
        <w:rPr>
          <w:rFonts w:hint="eastAsia" w:ascii="宋体" w:hAnsi="宋体" w:eastAsia="宋体" w:cs="宋体"/>
          <w:b/>
          <w:bCs/>
          <w:color w:val="auto"/>
          <w:sz w:val="24"/>
          <w:szCs w:val="24"/>
          <w:highlight w:val="none"/>
          <w:lang w:val="en-US" w:eastAsia="zh-CN"/>
        </w:rPr>
        <w:t>（另册</w:t>
      </w:r>
      <w:r>
        <w:rPr>
          <w:rFonts w:hint="eastAsia" w:ascii="宋体" w:hAnsi="宋体" w:cs="宋体"/>
          <w:b/>
          <w:bCs/>
          <w:color w:val="auto"/>
          <w:sz w:val="24"/>
          <w:szCs w:val="24"/>
          <w:highlight w:val="none"/>
          <w:lang w:val="en-US" w:eastAsia="zh-CN"/>
        </w:rPr>
        <w:t>，自行下载电子版</w:t>
      </w:r>
      <w:r>
        <w:rPr>
          <w:rFonts w:hint="eastAsia" w:ascii="宋体" w:hAnsi="宋体" w:eastAsia="宋体" w:cs="宋体"/>
          <w:b/>
          <w:bCs/>
          <w:color w:val="auto"/>
          <w:sz w:val="24"/>
          <w:szCs w:val="24"/>
          <w:highlight w:val="none"/>
          <w:lang w:val="en-US" w:eastAsia="zh-CN"/>
        </w:rPr>
        <w:t>）</w:t>
      </w:r>
      <w:bookmarkEnd w:id="186"/>
    </w:p>
    <w:p w14:paraId="20DF6F5A">
      <w:pPr>
        <w:rPr>
          <w:rFonts w:hint="eastAsia"/>
          <w:color w:val="auto"/>
          <w:highlight w:val="none"/>
          <w:lang w:eastAsia="zh-CN"/>
        </w:rPr>
      </w:pPr>
    </w:p>
    <w:p w14:paraId="27EF8FD9">
      <w:pPr>
        <w:jc w:val="center"/>
        <w:outlineLvl w:val="0"/>
        <w:rPr>
          <w:rFonts w:hint="eastAsia" w:ascii="华文中宋" w:hAnsi="华文中宋" w:eastAsia="华文中宋" w:cs="华文中宋"/>
          <w:b/>
          <w:bCs/>
          <w:color w:val="auto"/>
          <w:sz w:val="32"/>
          <w:szCs w:val="32"/>
          <w:highlight w:val="none"/>
        </w:rPr>
      </w:pPr>
      <w:bookmarkStart w:id="187" w:name="_Toc26783"/>
      <w:bookmarkStart w:id="188" w:name="_Toc10833"/>
      <w:r>
        <w:rPr>
          <w:rFonts w:hint="eastAsia" w:ascii="华文中宋" w:hAnsi="华文中宋" w:eastAsia="华文中宋" w:cs="华文中宋"/>
          <w:b/>
          <w:bCs/>
          <w:color w:val="auto"/>
          <w:sz w:val="32"/>
          <w:szCs w:val="32"/>
          <w:highlight w:val="none"/>
          <w:lang w:eastAsia="zh-CN"/>
        </w:rPr>
        <w:br w:type="page"/>
      </w:r>
      <w:bookmarkStart w:id="189" w:name="_Toc8615"/>
      <w:r>
        <w:rPr>
          <w:rFonts w:hint="eastAsia" w:ascii="华文中宋" w:hAnsi="华文中宋" w:eastAsia="华文中宋" w:cs="华文中宋"/>
          <w:b/>
          <w:bCs/>
          <w:color w:val="auto"/>
          <w:sz w:val="32"/>
          <w:szCs w:val="32"/>
          <w:highlight w:val="none"/>
          <w:lang w:eastAsia="zh-CN"/>
        </w:rPr>
        <w:t>第四章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评审办法</w:t>
      </w:r>
      <w:bookmarkEnd w:id="185"/>
      <w:bookmarkEnd w:id="187"/>
      <w:bookmarkEnd w:id="188"/>
      <w:bookmarkEnd w:id="189"/>
    </w:p>
    <w:p w14:paraId="289E6EF2">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0" w:name="_Toc3700"/>
      <w:r>
        <w:rPr>
          <w:rFonts w:hint="eastAsia" w:ascii="宋体" w:hAnsi="宋体" w:eastAsia="宋体" w:cs="宋体"/>
          <w:b/>
          <w:bCs/>
          <w:color w:val="auto"/>
          <w:sz w:val="24"/>
          <w:szCs w:val="24"/>
          <w:highlight w:val="none"/>
        </w:rPr>
        <w:t>一、评审依据及方式</w:t>
      </w:r>
      <w:bookmarkEnd w:id="190"/>
    </w:p>
    <w:p w14:paraId="7A222BB1">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1.评审依据：磋商小组以磋商文件和响应文件为评审依据，</w:t>
      </w:r>
      <w:r>
        <w:rPr>
          <w:rFonts w:hint="eastAsia" w:ascii="宋体" w:hAnsi="宋体" w:eastAsia="宋体" w:cs="宋体"/>
          <w:color w:val="auto"/>
          <w:sz w:val="24"/>
          <w:szCs w:val="24"/>
          <w:highlight w:val="none"/>
          <w:lang w:val="en-US" w:eastAsia="zh-CN"/>
        </w:rPr>
        <w:t>对供应商的响应文件按百分制打分</w:t>
      </w:r>
      <w:r>
        <w:rPr>
          <w:rFonts w:hint="eastAsia" w:ascii="宋体" w:hAnsi="宋体" w:eastAsia="宋体" w:cs="宋体"/>
          <w:color w:val="auto"/>
          <w:sz w:val="24"/>
          <w:szCs w:val="24"/>
          <w:highlight w:val="none"/>
        </w:rPr>
        <w:t>。</w:t>
      </w:r>
    </w:p>
    <w:p w14:paraId="6D18E1D0">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2.评审方式：以封闭方式进行评审。</w:t>
      </w:r>
    </w:p>
    <w:p w14:paraId="152A86B3">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3.根据财库〔2012〕69号文规定，采购人和采购代理机构，磋商小组成员要严格遵守政府采购相关法律制度，依法履行各自职责，公正、客观、审慎地组织和参与评审工作。</w:t>
      </w:r>
    </w:p>
    <w:p w14:paraId="73221B32">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1" w:name="_Toc29329"/>
      <w:r>
        <w:rPr>
          <w:rFonts w:hint="eastAsia" w:ascii="宋体" w:hAnsi="宋体" w:eastAsia="宋体" w:cs="宋体"/>
          <w:b/>
          <w:bCs/>
          <w:color w:val="auto"/>
          <w:sz w:val="24"/>
          <w:szCs w:val="24"/>
          <w:highlight w:val="none"/>
        </w:rPr>
        <w:t>二、评审办法</w:t>
      </w:r>
      <w:bookmarkEnd w:id="191"/>
    </w:p>
    <w:p w14:paraId="1A1962B7">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14:paraId="560920FD">
      <w:pPr>
        <w:pStyle w:val="28"/>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（二）计分办法</w:t>
      </w:r>
      <w:r>
        <w:rPr>
          <w:rFonts w:hint="eastAsia" w:hAnsi="宋体" w:eastAsia="宋体" w:cs="宋体"/>
          <w:bCs/>
          <w:color w:val="auto"/>
          <w:sz w:val="24"/>
          <w:szCs w:val="24"/>
          <w:highlight w:val="none"/>
          <w:lang w:eastAsia="zh-CN"/>
        </w:rPr>
        <w:t>（百分制，分值保留两位小数）</w:t>
      </w:r>
    </w:p>
    <w:p w14:paraId="510A88BC">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1BBFE570">
      <w:pPr>
        <w:keepNext w:val="0"/>
        <w:keepLines w:val="0"/>
        <w:pageBreakBefore w:val="0"/>
        <w:widowControl w:val="0"/>
        <w:kinsoku/>
        <w:wordWrap/>
        <w:overflowPunct/>
        <w:topLinePunct w:val="0"/>
        <w:autoSpaceDE/>
        <w:autoSpaceDN/>
        <w:bidi w:val="0"/>
        <w:adjustRightInd/>
        <w:snapToGrid/>
        <w:spacing w:line="420" w:lineRule="exact"/>
        <w:ind w:left="479" w:leftChars="228"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以进入综合评分环节的最低的最后报价为基准价，基准价报价得分为30分。</w:t>
      </w:r>
    </w:p>
    <w:p w14:paraId="46419683">
      <w:pPr>
        <w:keepNext w:val="0"/>
        <w:keepLines w:val="0"/>
        <w:pageBreakBefore w:val="0"/>
        <w:widowControl w:val="0"/>
        <w:kinsoku/>
        <w:wordWrap/>
        <w:overflowPunct/>
        <w:topLinePunct w:val="0"/>
        <w:autoSpaceDE/>
        <w:autoSpaceDN/>
        <w:bidi w:val="0"/>
        <w:adjustRightInd/>
        <w:snapToGrid/>
        <w:spacing w:line="420" w:lineRule="exact"/>
        <w:ind w:left="0" w:firstLine="960" w:firstLineChars="4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供应商磋商报价得分=（磋商基准价/供应商的最后报价）×30分。</w:t>
      </w:r>
    </w:p>
    <w:p w14:paraId="0BE4E486">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技术分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p w14:paraId="0BB818F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由磋商小组针对供应商提供的施工组织设计方案进行独立评分：</w:t>
      </w:r>
    </w:p>
    <w:p w14:paraId="04302612">
      <w:pPr>
        <w:keepNext w:val="0"/>
        <w:keepLines w:val="0"/>
        <w:pageBreakBefore w:val="0"/>
        <w:widowControl w:val="0"/>
        <w:tabs>
          <w:tab w:val="left" w:leader="middleDot" w:pos="8820"/>
        </w:tabs>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（1）总体概述……………………………………………</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………………8分</w:t>
      </w:r>
    </w:p>
    <w:p w14:paraId="46CA657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优（8分）：对项目总体有深刻认识，表达清晰、完整、严谨、合理，措施先进、具体、有效、成熟；施工段划分清晰、合理，符合规范要求；</w:t>
      </w:r>
    </w:p>
    <w:p w14:paraId="52E35DE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良（6分）：对项目总体有一定认识，表达清晰、完整，措施具体有效；施工段划分清晰，符合规范要求；</w:t>
      </w:r>
    </w:p>
    <w:p w14:paraId="41526FE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中（4分）：对项目总体有认识，有一定的措施但部分不具体；施工段划分较合理，符合规范要求；</w:t>
      </w:r>
    </w:p>
    <w:p w14:paraId="14FF4C7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差（2分）：对项目认识不足，表达不清晰，措施不具体；施工段划分不合理。</w:t>
      </w:r>
    </w:p>
    <w:p w14:paraId="343C2507">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（2）主要施工方法………………………………</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………………………8分</w:t>
      </w:r>
    </w:p>
    <w:p w14:paraId="270EB8E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优（8</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）：各主要分部施工方法符合项目实际，有详尽的施工技术方案，工艺先进、方法科学合理、可行，能指导具体施工并确保安全；</w:t>
      </w:r>
    </w:p>
    <w:p w14:paraId="65A50D4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）：各主要分部施工方法符合项目实际，有较详尽的施工技术方案，工艺较好、方法科学合理、可行，能指导具体施工并确保安全；</w:t>
      </w:r>
    </w:p>
    <w:p w14:paraId="6220BBA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中（4</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）：各主要分部施工方法能满足项目需求，有施工技术方案，能指导具体施工并确保安全；</w:t>
      </w:r>
    </w:p>
    <w:p w14:paraId="4B23995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差（2</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）：各主要分部施工方法不能满足项目需求，没有施工技术方案，不能指导具体施工并确保安全。</w:t>
      </w:r>
    </w:p>
    <w:p w14:paraId="6C917153">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（3）施工进度计划和各阶段进度的保证措施……</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……………………6分</w:t>
      </w:r>
    </w:p>
    <w:p w14:paraId="062CBF9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w:t>
      </w:r>
      <w:r>
        <w:rPr>
          <w:rFonts w:hint="eastAsia" w:ascii="宋体" w:hAnsi="宋体" w:eastAsia="宋体" w:cs="宋体"/>
          <w:b w:val="0"/>
          <w:bCs/>
          <w:color w:val="auto"/>
          <w:kern w:val="0"/>
          <w:sz w:val="24"/>
          <w:szCs w:val="24"/>
          <w:highlight w:val="none"/>
          <w:lang w:val="en-US" w:eastAsia="zh-CN" w:bidi="ar-SA"/>
        </w:rPr>
        <w:t>（6分）</w:t>
      </w:r>
      <w:r>
        <w:rPr>
          <w:rFonts w:hint="eastAsia" w:ascii="宋体" w:hAnsi="宋体" w:eastAsia="宋体" w:cs="宋体"/>
          <w:b w:val="0"/>
          <w:bCs/>
          <w:color w:val="auto"/>
          <w:kern w:val="2"/>
          <w:sz w:val="24"/>
          <w:szCs w:val="24"/>
          <w:highlight w:val="none"/>
          <w:lang w:val="en-US" w:eastAsia="zh-CN" w:bidi="ar-SA"/>
        </w:rPr>
        <w:t>：关键线路清晰、准确、完整，计划编制合理、可行，关键节点的控制措施有力、合理、可行；</w:t>
      </w:r>
    </w:p>
    <w:p w14:paraId="26D2CC2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w:t>
      </w:r>
      <w:r>
        <w:rPr>
          <w:rFonts w:hint="eastAsia" w:ascii="宋体" w:hAnsi="宋体" w:eastAsia="宋体" w:cs="宋体"/>
          <w:b w:val="0"/>
          <w:bCs/>
          <w:color w:val="auto"/>
          <w:kern w:val="0"/>
          <w:sz w:val="24"/>
          <w:szCs w:val="24"/>
          <w:highlight w:val="none"/>
          <w:lang w:val="en-US" w:eastAsia="zh-CN" w:bidi="ar-SA"/>
        </w:rPr>
        <w:t>（4.5分）</w:t>
      </w:r>
      <w:r>
        <w:rPr>
          <w:rFonts w:hint="eastAsia" w:ascii="宋体" w:hAnsi="宋体" w:eastAsia="宋体" w:cs="宋体"/>
          <w:b w:val="0"/>
          <w:bCs/>
          <w:color w:val="auto"/>
          <w:kern w:val="2"/>
          <w:sz w:val="24"/>
          <w:szCs w:val="24"/>
          <w:highlight w:val="none"/>
          <w:lang w:val="en-US" w:eastAsia="zh-CN" w:bidi="ar-SA"/>
        </w:rPr>
        <w:t>：关键线路清晰、准确、完整，计划编制可行，关键节点的控制措施合理、可行；</w:t>
      </w:r>
    </w:p>
    <w:p w14:paraId="132B89C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w:t>
      </w:r>
      <w:r>
        <w:rPr>
          <w:rFonts w:hint="eastAsia" w:ascii="宋体" w:hAnsi="宋体" w:eastAsia="宋体" w:cs="宋体"/>
          <w:b w:val="0"/>
          <w:bCs/>
          <w:color w:val="auto"/>
          <w:kern w:val="0"/>
          <w:sz w:val="24"/>
          <w:szCs w:val="24"/>
          <w:highlight w:val="none"/>
          <w:lang w:val="en-US" w:eastAsia="zh-CN" w:bidi="ar-SA"/>
        </w:rPr>
        <w:t>（3分）</w:t>
      </w:r>
      <w:r>
        <w:rPr>
          <w:rFonts w:hint="eastAsia" w:ascii="宋体" w:hAnsi="宋体" w:eastAsia="宋体" w:cs="宋体"/>
          <w:b w:val="0"/>
          <w:bCs/>
          <w:color w:val="auto"/>
          <w:kern w:val="2"/>
          <w:sz w:val="24"/>
          <w:szCs w:val="24"/>
          <w:highlight w:val="none"/>
          <w:lang w:val="en-US" w:eastAsia="zh-CN" w:bidi="ar-SA"/>
        </w:rPr>
        <w:t>：关键线路基本准确，计划编制合理，关键节点的控制措施基本可行；</w:t>
      </w:r>
    </w:p>
    <w:p w14:paraId="13FF65B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）：关键线路不准确，计划编制不合理，关键节点的控制不可行。</w:t>
      </w:r>
    </w:p>
    <w:p w14:paraId="20333CE2">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4</w:t>
      </w:r>
      <w:r>
        <w:rPr>
          <w:rFonts w:hint="eastAsia" w:ascii="宋体" w:hAnsi="宋体" w:eastAsia="宋体" w:cs="宋体"/>
          <w:b/>
          <w:bCs w:val="0"/>
          <w:color w:val="auto"/>
          <w:kern w:val="2"/>
          <w:sz w:val="24"/>
          <w:szCs w:val="24"/>
          <w:highlight w:val="none"/>
          <w:lang w:val="en-US" w:eastAsia="zh-CN" w:bidi="ar-SA"/>
        </w:rPr>
        <w:t>）劳动力和材料投入计划及其保证措施…………………………………</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6分</w:t>
      </w:r>
    </w:p>
    <w:p w14:paraId="48699C3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w:t>
      </w:r>
      <w:r>
        <w:rPr>
          <w:rFonts w:hint="eastAsia" w:ascii="宋体" w:hAnsi="宋体" w:eastAsia="宋体" w:cs="宋体"/>
          <w:b w:val="0"/>
          <w:bCs w:val="0"/>
          <w:color w:val="auto"/>
          <w:kern w:val="0"/>
          <w:sz w:val="24"/>
          <w:szCs w:val="24"/>
          <w:highlight w:val="none"/>
          <w:lang w:val="en-US" w:eastAsia="zh-CN" w:bidi="ar-SA"/>
        </w:rPr>
        <w:t>6分</w:t>
      </w:r>
      <w:r>
        <w:rPr>
          <w:rFonts w:hint="eastAsia" w:ascii="宋体" w:hAnsi="宋体" w:eastAsia="宋体" w:cs="宋体"/>
          <w:b w:val="0"/>
          <w:bCs/>
          <w:color w:val="auto"/>
          <w:kern w:val="2"/>
          <w:sz w:val="24"/>
          <w:szCs w:val="24"/>
          <w:highlight w:val="none"/>
          <w:lang w:val="en-US" w:eastAsia="zh-CN" w:bidi="ar-SA"/>
        </w:rPr>
        <w:t>）：投入计划与进度计划呼应，较好满足施工需要，调配投入计划合理、准确；</w:t>
      </w:r>
    </w:p>
    <w:p w14:paraId="5B2F9F7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w:t>
      </w:r>
      <w:r>
        <w:rPr>
          <w:rFonts w:hint="eastAsia" w:ascii="宋体" w:hAnsi="宋体" w:eastAsia="宋体" w:cs="宋体"/>
          <w:b w:val="0"/>
          <w:bCs w:val="0"/>
          <w:color w:val="auto"/>
          <w:kern w:val="0"/>
          <w:sz w:val="24"/>
          <w:szCs w:val="24"/>
          <w:highlight w:val="none"/>
          <w:lang w:val="en-US" w:eastAsia="zh-CN" w:bidi="ar-SA"/>
        </w:rPr>
        <w:t>4.5分</w:t>
      </w:r>
      <w:r>
        <w:rPr>
          <w:rFonts w:hint="eastAsia" w:ascii="宋体" w:hAnsi="宋体" w:eastAsia="宋体" w:cs="宋体"/>
          <w:b w:val="0"/>
          <w:bCs/>
          <w:color w:val="auto"/>
          <w:kern w:val="2"/>
          <w:sz w:val="24"/>
          <w:szCs w:val="24"/>
          <w:highlight w:val="none"/>
          <w:lang w:val="en-US" w:eastAsia="zh-CN" w:bidi="ar-SA"/>
        </w:rPr>
        <w:t>）：投入计划与进度计划呼应，基本满足施工需要，调配投入计划基本合理、准确；</w:t>
      </w:r>
    </w:p>
    <w:p w14:paraId="5876802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w:t>
      </w:r>
      <w:r>
        <w:rPr>
          <w:rFonts w:hint="eastAsia" w:ascii="宋体" w:hAnsi="宋体" w:eastAsia="宋体" w:cs="宋体"/>
          <w:b w:val="0"/>
          <w:bCs w:val="0"/>
          <w:color w:val="auto"/>
          <w:kern w:val="0"/>
          <w:sz w:val="24"/>
          <w:szCs w:val="24"/>
          <w:highlight w:val="none"/>
          <w:lang w:val="en-US" w:eastAsia="zh-CN" w:bidi="ar-SA"/>
        </w:rPr>
        <w:t>3分</w:t>
      </w:r>
      <w:r>
        <w:rPr>
          <w:rFonts w:hint="eastAsia" w:ascii="宋体" w:hAnsi="宋体" w:eastAsia="宋体" w:cs="宋体"/>
          <w:b w:val="0"/>
          <w:bCs/>
          <w:color w:val="auto"/>
          <w:kern w:val="2"/>
          <w:sz w:val="24"/>
          <w:szCs w:val="24"/>
          <w:highlight w:val="none"/>
          <w:lang w:val="en-US" w:eastAsia="zh-CN" w:bidi="ar-SA"/>
        </w:rPr>
        <w:t>）：投入计划与进度计划呼应，基本满足施工需要，调配投入计划基本合理；</w:t>
      </w:r>
    </w:p>
    <w:p w14:paraId="3199E75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）：投入计划与进度计划不呼应，不能满足施工需要。</w:t>
      </w:r>
    </w:p>
    <w:p w14:paraId="54F9CCDF">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5</w:t>
      </w:r>
      <w:r>
        <w:rPr>
          <w:rFonts w:hint="eastAsia" w:ascii="宋体" w:hAnsi="宋体" w:eastAsia="宋体" w:cs="宋体"/>
          <w:b/>
          <w:bCs w:val="0"/>
          <w:color w:val="auto"/>
          <w:kern w:val="2"/>
          <w:sz w:val="24"/>
          <w:szCs w:val="24"/>
          <w:highlight w:val="none"/>
          <w:lang w:val="en-US" w:eastAsia="zh-CN" w:bidi="ar-SA"/>
        </w:rPr>
        <w:t>）关键施工技术、工艺及工程实施的重点、难点和解决方案……………8分</w:t>
      </w:r>
    </w:p>
    <w:p w14:paraId="0F8729C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优（8</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）：对项目关键技术、工艺有深入的表达，对重点、难点有先进合理的施工措施并有可行的安全措施，解决方案完整、经济、安全、切实可行，措施得力。</w:t>
      </w:r>
    </w:p>
    <w:p w14:paraId="683BCDF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）：对项目关键技术、工艺有深入的表达，对重点、难点有合理的建议，解决方案经济、安全、基本可行。</w:t>
      </w:r>
    </w:p>
    <w:p w14:paraId="0F8D6C3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中（4</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）：对项目关键技术有一定了解，对重点、难点有建议，解决方案基本可行。</w:t>
      </w:r>
    </w:p>
    <w:p w14:paraId="728A657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差（2</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）：对项目关键技术有表述，对重点、难点有建议，解决方案不可行。</w:t>
      </w:r>
    </w:p>
    <w:p w14:paraId="5661D7B5">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w:t>
      </w:r>
      <w:r>
        <w:rPr>
          <w:rFonts w:hint="eastAsia" w:ascii="宋体" w:hAnsi="宋体" w:cs="宋体"/>
          <w:b/>
          <w:bCs w:val="0"/>
          <w:color w:val="auto"/>
          <w:kern w:val="0"/>
          <w:sz w:val="24"/>
          <w:szCs w:val="24"/>
          <w:highlight w:val="none"/>
          <w:lang w:val="en-US" w:eastAsia="zh-CN" w:bidi="ar-SA"/>
        </w:rPr>
        <w:t>6</w:t>
      </w:r>
      <w:r>
        <w:rPr>
          <w:rFonts w:hint="eastAsia" w:ascii="宋体" w:hAnsi="宋体" w:eastAsia="宋体" w:cs="宋体"/>
          <w:b/>
          <w:bCs w:val="0"/>
          <w:color w:val="auto"/>
          <w:kern w:val="0"/>
          <w:sz w:val="24"/>
          <w:szCs w:val="24"/>
          <w:highlight w:val="none"/>
          <w:lang w:val="en-US" w:eastAsia="zh-CN" w:bidi="ar-SA"/>
        </w:rPr>
        <w:t>）安全文明施工措施</w:t>
      </w:r>
      <w:r>
        <w:rPr>
          <w:rFonts w:hint="eastAsia" w:ascii="宋体" w:hAnsi="宋体" w:eastAsia="宋体" w:cs="宋体"/>
          <w:b/>
          <w:bCs w:val="0"/>
          <w:color w:val="auto"/>
          <w:kern w:val="2"/>
          <w:sz w:val="24"/>
          <w:szCs w:val="24"/>
          <w:highlight w:val="none"/>
          <w:lang w:val="en-US" w:eastAsia="zh-CN" w:bidi="ar-SA"/>
        </w:rPr>
        <w:t>…………………………………………………………6分</w:t>
      </w:r>
    </w:p>
    <w:p w14:paraId="6271D73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）：针对项目实际情况，有先进、具体、完整、可行的实施措施，采用规范正确、清晰。</w:t>
      </w:r>
    </w:p>
    <w:p w14:paraId="188DA6F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良（4.5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）：针对项目实际情况，有合理的措施且具体、完整，采用规范正确。</w:t>
      </w:r>
    </w:p>
    <w:p w14:paraId="733D88D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中（3）：有基本合理的措施，采用规范正确。</w:t>
      </w:r>
    </w:p>
    <w:p w14:paraId="4E53674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）：安全文明措施不得力，采用规范不正确。</w:t>
      </w:r>
    </w:p>
    <w:p w14:paraId="775AD7C7">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）质量保证与承诺……………………………………………………………6分</w:t>
      </w:r>
    </w:p>
    <w:p w14:paraId="2201C5D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）：针对项目实际提出先进、可行、具体的保证措施，超过招标文件的质量要求及施工验收规范要求。</w:t>
      </w:r>
    </w:p>
    <w:p w14:paraId="6B6455E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良（4.5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）：针对项目实际提出先进、可行、具体的保证措施，满足招标文件的质量要求。</w:t>
      </w:r>
    </w:p>
    <w:p w14:paraId="35A8044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中（3</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）：具体措施可行，满足招标文件的质量要求。</w:t>
      </w:r>
    </w:p>
    <w:p w14:paraId="12F98BF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）：措施不可行。</w:t>
      </w:r>
    </w:p>
    <w:p w14:paraId="0313EAF8">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8</w:t>
      </w:r>
      <w:r>
        <w:rPr>
          <w:rFonts w:hint="eastAsia" w:ascii="宋体" w:hAnsi="宋体" w:eastAsia="宋体" w:cs="宋体"/>
          <w:b/>
          <w:bCs w:val="0"/>
          <w:color w:val="auto"/>
          <w:kern w:val="2"/>
          <w:sz w:val="24"/>
          <w:szCs w:val="24"/>
          <w:highlight w:val="none"/>
          <w:lang w:val="en-US" w:eastAsia="zh-CN" w:bidi="ar-SA"/>
        </w:rPr>
        <w:t>）环境保护、水土保持保证体系及保证措施…………………………………………6分</w:t>
      </w:r>
    </w:p>
    <w:p w14:paraId="324B4AA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）：有环境保护、水土保持保证体系、保证措施可行，针对本工程项目特点，有现场环境保护、水土保护措施，且各项措施内容周全、具体、有效</w:t>
      </w:r>
      <w:r>
        <w:rPr>
          <w:rFonts w:hint="eastAsia" w:ascii="宋体" w:hAnsi="宋体" w:cs="宋体"/>
          <w:color w:val="auto"/>
          <w:kern w:val="2"/>
          <w:sz w:val="24"/>
          <w:szCs w:val="24"/>
          <w:highlight w:val="none"/>
          <w:lang w:val="en-US" w:eastAsia="zh-CN" w:bidi="ar-SA"/>
        </w:rPr>
        <w:t>。</w:t>
      </w:r>
    </w:p>
    <w:p w14:paraId="7DFE42C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良（4.5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）：有环境保护、水土保持保证体系、保证措施可行，针对本工程项目，有现场环境保护、水土保护措施。</w:t>
      </w:r>
    </w:p>
    <w:p w14:paraId="287C3E0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中（3</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）：有环境保护、水土保持保证体系、保证措施基本可行，有现场环境保护、水土保护措施。</w:t>
      </w:r>
    </w:p>
    <w:p w14:paraId="175EBF9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环境保护、水土保持保证体系及保证措施不可行</w:t>
      </w:r>
      <w:r>
        <w:rPr>
          <w:rFonts w:hint="eastAsia" w:ascii="宋体" w:hAnsi="宋体" w:eastAsia="宋体" w:cs="宋体"/>
          <w:color w:val="auto"/>
          <w:kern w:val="2"/>
          <w:sz w:val="24"/>
          <w:szCs w:val="24"/>
          <w:highlight w:val="none"/>
          <w:lang w:val="en-US" w:eastAsia="zh-CN" w:bidi="ar-SA"/>
        </w:rPr>
        <w:t>。</w:t>
      </w:r>
    </w:p>
    <w:p w14:paraId="7F3D4D4C">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val="0"/>
          <w:color w:val="auto"/>
          <w:kern w:val="2"/>
          <w:sz w:val="24"/>
          <w:szCs w:val="24"/>
          <w:highlight w:val="none"/>
          <w:lang w:val="en-US" w:eastAsia="zh-CN" w:bidi="ar-SA"/>
        </w:rPr>
      </w:pPr>
      <w:bookmarkStart w:id="192" w:name="_Toc4007"/>
      <w:bookmarkStart w:id="193" w:name="_Toc10027"/>
      <w:bookmarkStart w:id="194" w:name="_Toc23170"/>
      <w:bookmarkStart w:id="195" w:name="_Toc27705"/>
      <w:r>
        <w:rPr>
          <w:rFonts w:hint="eastAsia" w:ascii="宋体" w:hAnsi="宋体" w:eastAsia="宋体" w:cs="宋体"/>
          <w:b/>
          <w:bCs w:val="0"/>
          <w:color w:val="auto"/>
          <w:kern w:val="2"/>
          <w:sz w:val="24"/>
          <w:szCs w:val="24"/>
          <w:highlight w:val="none"/>
          <w:lang w:val="en-US" w:eastAsia="zh-CN" w:bidi="ar-SA"/>
        </w:rPr>
        <w:t>（9）项目风险预测与防范，事故应急预案……………………………………………6分</w:t>
      </w:r>
    </w:p>
    <w:p w14:paraId="2A7E99C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优（6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）：有项目风险预测与防范，事故应急预案。针对本工程项目特点，有较好的风险预测和应急预案及防范风险事故措施，且各项措施周全、具体、有效；</w:t>
      </w:r>
    </w:p>
    <w:p w14:paraId="7D5CDA5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良（</w:t>
      </w:r>
      <w:r>
        <w:rPr>
          <w:rFonts w:hint="eastAsia" w:ascii="宋体" w:hAnsi="宋体" w:eastAsia="宋体" w:cs="宋体"/>
          <w:b w:val="0"/>
          <w:bCs w:val="0"/>
          <w:color w:val="auto"/>
          <w:kern w:val="0"/>
          <w:sz w:val="24"/>
          <w:szCs w:val="24"/>
          <w:highlight w:val="none"/>
          <w:lang w:val="en-US" w:eastAsia="zh-CN" w:bidi="ar-SA"/>
        </w:rPr>
        <w:t>4.5分</w:t>
      </w:r>
      <w:r>
        <w:rPr>
          <w:rFonts w:hint="eastAsia" w:ascii="宋体" w:hAnsi="宋体" w:eastAsia="宋体" w:cs="宋体"/>
          <w:b w:val="0"/>
          <w:bCs/>
          <w:color w:val="auto"/>
          <w:kern w:val="2"/>
          <w:sz w:val="24"/>
          <w:szCs w:val="24"/>
          <w:highlight w:val="none"/>
          <w:lang w:val="en-US" w:eastAsia="zh-CN" w:bidi="ar-SA"/>
        </w:rPr>
        <w:t>）：有项目风险预测与防范，事故应急预案。针对本工程项目特点，有风险预测和应急预案及防范风险事故措施，且各项措施具体；</w:t>
      </w:r>
    </w:p>
    <w:p w14:paraId="059307D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中（3</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）：有项目风险预测与防范，事故应急预案。有风险预测和应急预案及防范风险事故措施；</w:t>
      </w:r>
    </w:p>
    <w:p w14:paraId="08D4FDE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差（1.5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color w:val="auto"/>
          <w:kern w:val="2"/>
          <w:sz w:val="24"/>
          <w:szCs w:val="24"/>
          <w:highlight w:val="none"/>
          <w:lang w:val="en-US" w:eastAsia="zh-CN" w:bidi="ar-SA"/>
        </w:rPr>
        <w:t>）：有项目风险预测与防范，事故应急预案但欠合理。有风险预测和应急预案及防范风险事故措施但欠合理。</w:t>
      </w:r>
    </w:p>
    <w:p w14:paraId="7D252F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注：</w:t>
      </w:r>
      <w:r>
        <w:rPr>
          <w:rFonts w:hint="eastAsia" w:ascii="宋体" w:hAnsi="宋体" w:eastAsia="宋体" w:cs="宋体"/>
          <w:b/>
          <w:bCs/>
          <w:color w:val="auto"/>
          <w:kern w:val="0"/>
          <w:sz w:val="24"/>
          <w:szCs w:val="24"/>
          <w:highlight w:val="none"/>
        </w:rPr>
        <w:t>供应商未提供上述“施工组织技术方案”相应内容的，相应项不得分。</w:t>
      </w:r>
      <w:bookmarkEnd w:id="192"/>
      <w:bookmarkEnd w:id="193"/>
      <w:bookmarkEnd w:id="194"/>
      <w:bookmarkEnd w:id="195"/>
    </w:p>
    <w:p w14:paraId="10870D56">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、业绩分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3B11772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2021年1月1日以来</w:t>
      </w:r>
      <w:r>
        <w:rPr>
          <w:rFonts w:hint="eastAsia" w:ascii="宋体" w:hAnsi="宋体" w:eastAsia="宋体" w:cs="宋体"/>
          <w:color w:val="auto"/>
          <w:sz w:val="24"/>
          <w:szCs w:val="24"/>
          <w:highlight w:val="none"/>
        </w:rPr>
        <w:t>完成的</w:t>
      </w:r>
      <w:r>
        <w:rPr>
          <w:rFonts w:hint="eastAsia" w:ascii="宋体" w:hAnsi="宋体" w:eastAsia="宋体" w:cs="宋体"/>
          <w:color w:val="auto"/>
          <w:sz w:val="24"/>
          <w:szCs w:val="24"/>
          <w:highlight w:val="none"/>
          <w:lang w:eastAsia="zh-CN"/>
        </w:rPr>
        <w:t>类似项目业绩，每提供一个得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以中标、成交通知书或签订的合同为准。</w:t>
      </w:r>
    </w:p>
    <w:p w14:paraId="70C530A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、综合得分＝1+2+3</w:t>
      </w:r>
    </w:p>
    <w:p w14:paraId="742C364D">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color w:val="auto"/>
          <w:sz w:val="24"/>
          <w:szCs w:val="24"/>
          <w:highlight w:val="none"/>
        </w:rPr>
      </w:pPr>
      <w:bookmarkStart w:id="196" w:name="_Toc19546"/>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推荐成交候选人原则</w:t>
      </w:r>
      <w:bookmarkEnd w:id="196"/>
    </w:p>
    <w:p w14:paraId="7AB4F64A">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29F8EA4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4DD50B2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38F1EFA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07C6246C">
      <w:pPr>
        <w:pStyle w:val="24"/>
        <w:rPr>
          <w:rFonts w:hint="eastAsia"/>
          <w:color w:val="auto"/>
          <w:highlight w:val="none"/>
        </w:rPr>
      </w:pPr>
    </w:p>
    <w:p w14:paraId="6CF9E93C">
      <w:pPr>
        <w:keepNext w:val="0"/>
        <w:keepLines w:val="0"/>
        <w:pageBreakBefore w:val="0"/>
        <w:kinsoku/>
        <w:wordWrap/>
        <w:overflowPunct/>
        <w:topLinePunct w:val="0"/>
        <w:autoSpaceDE/>
        <w:autoSpaceDN/>
        <w:bidi w:val="0"/>
        <w:snapToGrid/>
        <w:spacing w:line="280" w:lineRule="exact"/>
        <w:ind w:right="0" w:rightChars="0"/>
        <w:textAlignment w:val="auto"/>
        <w:outlineLvl w:val="1"/>
        <w:rPr>
          <w:rFonts w:hint="eastAsia" w:ascii="宋体" w:hAnsi="宋体" w:eastAsia="宋体" w:cs="宋体"/>
          <w:b/>
          <w:bCs/>
          <w:color w:val="auto"/>
          <w:sz w:val="24"/>
          <w:highlight w:val="none"/>
        </w:rPr>
      </w:pPr>
      <w:bookmarkStart w:id="197" w:name="_Toc23442"/>
      <w:r>
        <w:rPr>
          <w:rFonts w:hint="eastAsia" w:ascii="宋体" w:hAnsi="宋体" w:eastAsia="宋体" w:cs="宋体"/>
          <w:b/>
          <w:bCs/>
          <w:color w:val="auto"/>
          <w:sz w:val="24"/>
          <w:highlight w:val="none"/>
        </w:rPr>
        <w:t>附表</w:t>
      </w:r>
      <w:bookmarkEnd w:id="197"/>
    </w:p>
    <w:p w14:paraId="5785AD3F">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198" w:name="_Toc28361_WPSOffice_Level2"/>
      <w:r>
        <w:rPr>
          <w:rFonts w:hint="eastAsia" w:ascii="宋体" w:hAnsi="宋体" w:eastAsia="宋体" w:cs="宋体"/>
          <w:b/>
          <w:bCs/>
          <w:color w:val="auto"/>
          <w:kern w:val="0"/>
          <w:sz w:val="30"/>
          <w:szCs w:val="30"/>
          <w:highlight w:val="none"/>
        </w:rPr>
        <w:t>统计上大中小微型企业划分标准</w:t>
      </w:r>
      <w:bookmarkEnd w:id="198"/>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5D8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5F3E1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14:paraId="350FB8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14:paraId="3DF8B7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141B02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14:paraId="1B9332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14:paraId="7F9ECD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14:paraId="54E54A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14:paraId="3C4048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4DEF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2898A8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636168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51A9E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C1DC9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0A597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20ECF9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41FAD7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62D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281972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1F0276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C47BB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A2FE8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2E5877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08B37C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659E9D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AA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CC2BB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D4405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8408D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E9E25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545788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2F7625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4FC1DF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5F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7D5F8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32906D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BE8C3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FF67F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432D52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6E8476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6FB85D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564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0B04E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5D80A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1BCD8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1A7EE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45E442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4287ED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5A7FE3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C60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3E3AC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4848E1E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19408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30DE3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64A4B4B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2632FB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0CD4EC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4262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0EF32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42224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FBE77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162F3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5EC430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1FEA0B2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2AAEDF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E4B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25F82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1E3152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D34AB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006D0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6DC7ED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35B8737E">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305D99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D7A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04128E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06666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796EA7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3E04A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3DB19C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7488BCAD">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222241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325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08184A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53CA0B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CC247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6D692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A7D15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1092F3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09CE98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220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E6376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F5FBB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C00A7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E9F76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C93E8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0C898F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6DEA92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A10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E24731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76F892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CD8D3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035BD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2F30A841">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6FA0A2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78514C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6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8415A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784FD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7323A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8C7BB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6BD659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6D3277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532E10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8A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3CCFE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4E751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A016C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FEC46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5984E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707FEE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79EB28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B1B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3267AF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54F18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923D3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27685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3A4D5C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03106D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514B2F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4AD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8D7DEE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301A0F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0BC5AE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C92C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582BFC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1A4CE6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6C14FE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3B4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956B8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B8A983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8BE9D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1944C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7A83F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53B19E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52022A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B3D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6FCEAF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5A4C8B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E74E4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8F23E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F876A8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2FF42C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CF656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16B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36F43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89332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121CC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45338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774F8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1EE35A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7794DE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BBB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D21601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697AAA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EAFB7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92CEB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23DBAF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7B9685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93257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B62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19F8AA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30E31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416A7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3367E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43FC2F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3396A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6340F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92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23BBB8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557F42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163F0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70C84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8C5F19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20F582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636A4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CF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67D30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4160EE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C844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FB6FC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66D0F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689137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4DAE56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492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29F38C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14FBCE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E2419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825D8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082D12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142A49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B8E77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807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396C49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00C6A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7BA111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B55FD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2A2BE3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1DF188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53BCDD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AC3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9D48FC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51A7AD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B345D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BC8B6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93D83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38A8F4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14FBDC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0C5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E78199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65538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16B3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7AE50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2F844EF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5C5B63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715651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9FC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25EAA9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56DC20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8BBB0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75F35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4F0634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90869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10EF00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6C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E08F92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AE556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228CF4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9010E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615886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59376F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737A45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12C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1D6C34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372550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1B3D88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CD02F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EFAF23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6F11FE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46923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EC11453">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78CF4EFA">
      <w:pPr>
        <w:pStyle w:val="28"/>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39C6D38D">
      <w:pPr>
        <w:pStyle w:val="28"/>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23DAB26">
      <w:pPr>
        <w:pStyle w:val="28"/>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99" w:name="_Toc4774"/>
      <w:bookmarkStart w:id="200" w:name="_Toc8466"/>
    </w:p>
    <w:p w14:paraId="73FD873A">
      <w:pPr>
        <w:pStyle w:val="13"/>
        <w:rPr>
          <w:rFonts w:hint="eastAsia" w:ascii="宋体" w:hAnsi="宋体" w:eastAsia="宋体" w:cs="宋体"/>
          <w:color w:val="auto"/>
          <w:spacing w:val="8"/>
          <w:kern w:val="0"/>
          <w:sz w:val="24"/>
          <w:szCs w:val="24"/>
          <w:highlight w:val="none"/>
        </w:rPr>
      </w:pPr>
    </w:p>
    <w:p w14:paraId="17FB8D4C">
      <w:pPr>
        <w:jc w:val="center"/>
        <w:outlineLvl w:val="0"/>
        <w:rPr>
          <w:rFonts w:hint="eastAsia" w:ascii="华文中宋" w:hAnsi="华文中宋" w:eastAsia="华文中宋" w:cs="华文中宋"/>
          <w:b/>
          <w:bCs/>
          <w:color w:val="auto"/>
          <w:sz w:val="32"/>
          <w:szCs w:val="32"/>
          <w:highlight w:val="none"/>
        </w:rPr>
      </w:pPr>
      <w:bookmarkStart w:id="201" w:name="_Toc11185"/>
      <w:bookmarkStart w:id="202" w:name="_Toc25717"/>
      <w:r>
        <w:rPr>
          <w:rFonts w:hint="eastAsia" w:ascii="华文中宋" w:hAnsi="华文中宋" w:eastAsia="华文中宋" w:cs="华文中宋"/>
          <w:b/>
          <w:bCs/>
          <w:color w:val="auto"/>
          <w:sz w:val="32"/>
          <w:szCs w:val="32"/>
          <w:highlight w:val="none"/>
          <w:lang w:eastAsia="zh-CN"/>
        </w:rPr>
        <w:br w:type="page"/>
      </w:r>
      <w:bookmarkStart w:id="203" w:name="_Toc2913"/>
      <w:r>
        <w:rPr>
          <w:rFonts w:hint="eastAsia" w:ascii="华文中宋" w:hAnsi="华文中宋" w:eastAsia="华文中宋" w:cs="华文中宋"/>
          <w:b/>
          <w:bCs/>
          <w:color w:val="auto"/>
          <w:sz w:val="32"/>
          <w:szCs w:val="32"/>
          <w:highlight w:val="none"/>
          <w:lang w:eastAsia="zh-CN"/>
        </w:rPr>
        <w:t>第五章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采购合同（合同主要条款及格式）</w:t>
      </w:r>
      <w:bookmarkEnd w:id="199"/>
      <w:bookmarkEnd w:id="200"/>
      <w:bookmarkEnd w:id="201"/>
      <w:bookmarkEnd w:id="202"/>
      <w:bookmarkEnd w:id="203"/>
    </w:p>
    <w:p w14:paraId="4C98B866">
      <w:pPr>
        <w:widowControl/>
        <w:spacing w:line="360" w:lineRule="auto"/>
        <w:jc w:val="center"/>
        <w:outlineLvl w:val="1"/>
        <w:rPr>
          <w:rFonts w:ascii="宋体" w:hAnsi="宋体" w:eastAsia="宋体" w:cs="宋体"/>
          <w:color w:val="auto"/>
          <w:kern w:val="0"/>
          <w:sz w:val="32"/>
          <w:szCs w:val="32"/>
          <w:highlight w:val="none"/>
        </w:rPr>
      </w:pPr>
      <w:bookmarkStart w:id="204" w:name="_Toc2559"/>
      <w:bookmarkStart w:id="205" w:name="_Toc29710"/>
      <w:bookmarkStart w:id="206" w:name="_Toc24269"/>
      <w:bookmarkStart w:id="207" w:name="_Toc10014"/>
      <w:r>
        <w:rPr>
          <w:rFonts w:hint="eastAsia" w:ascii="宋体" w:hAnsi="宋体" w:eastAsia="宋体" w:cs="宋体"/>
          <w:color w:val="auto"/>
          <w:kern w:val="0"/>
          <w:sz w:val="32"/>
          <w:szCs w:val="32"/>
          <w:highlight w:val="none"/>
        </w:rPr>
        <w:t>第一部分 合同协议书</w:t>
      </w:r>
      <w:bookmarkEnd w:id="204"/>
      <w:bookmarkEnd w:id="205"/>
    </w:p>
    <w:p w14:paraId="170132B0">
      <w:pPr>
        <w:widowControl/>
        <w:spacing w:line="360" w:lineRule="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发包人（全称）：</w:t>
      </w:r>
      <w:r>
        <w:rPr>
          <w:rFonts w:hint="eastAsia" w:ascii="宋体" w:hAnsi="宋体" w:cs="Times New Roman"/>
          <w:color w:val="auto"/>
          <w:kern w:val="0"/>
          <w:sz w:val="22"/>
          <w:szCs w:val="22"/>
          <w:highlight w:val="none"/>
          <w:u w:val="single"/>
          <w:lang w:eastAsia="zh-CN"/>
        </w:rPr>
        <w:t>灌阳县水利局</w:t>
      </w:r>
    </w:p>
    <w:p w14:paraId="36EDB51A">
      <w:pPr>
        <w:widowControl/>
        <w:spacing w:line="360" w:lineRule="auto"/>
        <w:ind w:left="829" w:hanging="829"/>
        <w:rPr>
          <w:rFonts w:hint="eastAsia" w:ascii="宋体" w:hAnsi="宋体" w:eastAsia="宋体" w:cs="宋体"/>
          <w:color w:val="auto"/>
          <w:kern w:val="0"/>
          <w:sz w:val="22"/>
          <w:szCs w:val="22"/>
          <w:highlight w:val="none"/>
          <w:u w:val="single"/>
          <w:lang w:eastAsia="zh-CN"/>
        </w:rPr>
      </w:pPr>
      <w:r>
        <w:rPr>
          <w:rFonts w:hint="eastAsia" w:ascii="宋体" w:hAnsi="宋体" w:eastAsia="宋体" w:cs="宋体"/>
          <w:color w:val="auto"/>
          <w:kern w:val="0"/>
          <w:sz w:val="22"/>
          <w:szCs w:val="22"/>
          <w:highlight w:val="none"/>
        </w:rPr>
        <w:t>承包人（全称）：</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eastAsia="zh-CN"/>
        </w:rPr>
        <w:t xml:space="preserve">                </w:t>
      </w:r>
    </w:p>
    <w:p w14:paraId="19C3037C">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根据《中华人民共和国民法典》、《中华人民共和国建筑法》及有关法律规定，遵循平等、自愿、公平和诚实信用的原则，双方就</w:t>
      </w:r>
      <w:r>
        <w:rPr>
          <w:rFonts w:hint="eastAsia" w:ascii="宋体" w:hAnsi="宋体" w:cs="宋体"/>
          <w:color w:val="auto"/>
          <w:kern w:val="0"/>
          <w:sz w:val="22"/>
          <w:szCs w:val="22"/>
          <w:highlight w:val="none"/>
          <w:u w:val="single"/>
          <w:lang w:eastAsia="zh-CN"/>
        </w:rPr>
        <w:t>灌阳县2024年中央财政水利发展资金小型水库工程维修养护项目</w:t>
      </w:r>
      <w:r>
        <w:rPr>
          <w:rFonts w:hint="eastAsia" w:ascii="宋体" w:hAnsi="宋体" w:eastAsia="宋体" w:cs="宋体"/>
          <w:color w:val="auto"/>
          <w:kern w:val="0"/>
          <w:sz w:val="22"/>
          <w:szCs w:val="22"/>
          <w:highlight w:val="none"/>
        </w:rPr>
        <w:t>工程施工及有关事项协商一致，共同达成如下协议：</w:t>
      </w:r>
    </w:p>
    <w:p w14:paraId="4F493684">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一、工程概况</w:t>
      </w:r>
    </w:p>
    <w:p w14:paraId="6662A339">
      <w:pPr>
        <w:widowControl/>
        <w:spacing w:line="360" w:lineRule="auto"/>
        <w:ind w:firstLine="412"/>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1.工程名称：</w:t>
      </w:r>
      <w:r>
        <w:rPr>
          <w:rFonts w:hint="eastAsia" w:ascii="宋体" w:hAnsi="宋体" w:cs="宋体"/>
          <w:color w:val="auto"/>
          <w:kern w:val="0"/>
          <w:sz w:val="22"/>
          <w:szCs w:val="22"/>
          <w:highlight w:val="none"/>
          <w:u w:val="single"/>
          <w:lang w:eastAsia="zh-CN"/>
        </w:rPr>
        <w:t>灌阳县2024年中央财政水利发展资金小型水库工程维修养护项目</w:t>
      </w:r>
      <w:r>
        <w:rPr>
          <w:rFonts w:hint="eastAsia" w:ascii="宋体" w:hAnsi="宋体" w:eastAsia="宋体" w:cs="宋体"/>
          <w:color w:val="auto"/>
          <w:kern w:val="0"/>
          <w:sz w:val="22"/>
          <w:szCs w:val="22"/>
          <w:highlight w:val="none"/>
        </w:rPr>
        <w:t>。</w:t>
      </w:r>
    </w:p>
    <w:p w14:paraId="0EAB8A1E">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2.工程地点：</w:t>
      </w:r>
      <w:r>
        <w:rPr>
          <w:rFonts w:hint="eastAsia" w:ascii="宋体" w:hAnsi="宋体" w:cs="宋体"/>
          <w:color w:val="auto"/>
          <w:kern w:val="0"/>
          <w:sz w:val="22"/>
          <w:szCs w:val="22"/>
          <w:highlight w:val="none"/>
          <w:u w:val="single"/>
          <w:lang w:eastAsia="zh-CN"/>
        </w:rPr>
        <w:t>灌阳县</w:t>
      </w:r>
      <w:r>
        <w:rPr>
          <w:rFonts w:hint="eastAsia" w:ascii="宋体" w:hAnsi="宋体" w:eastAsia="宋体" w:cs="宋体"/>
          <w:color w:val="auto"/>
          <w:kern w:val="0"/>
          <w:sz w:val="22"/>
          <w:szCs w:val="22"/>
          <w:highlight w:val="none"/>
        </w:rPr>
        <w:t>。</w:t>
      </w:r>
    </w:p>
    <w:p w14:paraId="42534864">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3.工程立项批准文号：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0F2334F3">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4.资金来源：</w:t>
      </w:r>
      <w:r>
        <w:rPr>
          <w:rFonts w:hint="eastAsia" w:ascii="宋体" w:hAnsi="宋体" w:eastAsia="宋体" w:cs="宋体"/>
          <w:color w:val="auto"/>
          <w:kern w:val="0"/>
          <w:sz w:val="22"/>
          <w:szCs w:val="22"/>
          <w:highlight w:val="none"/>
          <w:u w:val="single"/>
          <w:lang w:val="en-US" w:eastAsia="zh-CN"/>
        </w:rPr>
        <w:t>财政资金</w:t>
      </w:r>
      <w:r>
        <w:rPr>
          <w:rFonts w:hint="eastAsia" w:ascii="宋体" w:hAnsi="宋体" w:eastAsia="宋体" w:cs="宋体"/>
          <w:color w:val="auto"/>
          <w:kern w:val="0"/>
          <w:sz w:val="22"/>
          <w:szCs w:val="22"/>
          <w:highlight w:val="none"/>
        </w:rPr>
        <w:t>。</w:t>
      </w:r>
    </w:p>
    <w:p w14:paraId="56FF8685">
      <w:pPr>
        <w:widowControl/>
        <w:spacing w:line="360" w:lineRule="auto"/>
        <w:ind w:firstLine="412"/>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5.工程内容：</w:t>
      </w:r>
      <w:r>
        <w:rPr>
          <w:rFonts w:ascii="宋体" w:hAnsi="宋体" w:eastAsia="宋体" w:cs="宋体"/>
          <w:color w:val="auto"/>
          <w:kern w:val="0"/>
          <w:sz w:val="22"/>
          <w:szCs w:val="22"/>
          <w:highlight w:val="none"/>
          <w:u w:val="single"/>
        </w:rPr>
        <w:t>本工程施工图纸范围内包含的工程施工内容，详见评审后的招标控制价工程量清单。</w:t>
      </w:r>
    </w:p>
    <w:p w14:paraId="031A585A">
      <w:pPr>
        <w:widowControl/>
        <w:spacing w:line="360" w:lineRule="auto"/>
        <w:ind w:firstLine="651" w:firstLineChars="296"/>
        <w:rPr>
          <w:rFonts w:ascii="宋体" w:hAnsi="宋体" w:eastAsia="宋体" w:cs="宋体"/>
          <w:strike/>
          <w:color w:val="auto"/>
          <w:kern w:val="0"/>
          <w:sz w:val="22"/>
          <w:szCs w:val="22"/>
          <w:highlight w:val="none"/>
        </w:rPr>
      </w:pPr>
      <w:r>
        <w:rPr>
          <w:rFonts w:ascii="宋体" w:hAnsi="宋体" w:eastAsia="宋体" w:cs="宋体"/>
          <w:color w:val="auto"/>
          <w:kern w:val="0"/>
          <w:sz w:val="22"/>
          <w:szCs w:val="22"/>
          <w:highlight w:val="none"/>
        </w:rPr>
        <w:t>群体工程应附《承包人承揽工程项目一览表》（附件1）。</w:t>
      </w:r>
    </w:p>
    <w:p w14:paraId="3AE740CC">
      <w:pPr>
        <w:widowControl/>
        <w:spacing w:line="360" w:lineRule="auto"/>
        <w:ind w:firstLine="412"/>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6.工程承包范围：</w:t>
      </w:r>
    </w:p>
    <w:p w14:paraId="224FB325">
      <w:pPr>
        <w:widowControl/>
        <w:spacing w:line="360" w:lineRule="auto"/>
        <w:ind w:firstLine="420"/>
        <w:rPr>
          <w:rFonts w:ascii="宋体" w:hAnsi="宋体" w:eastAsia="宋体" w:cs="宋体"/>
          <w:color w:val="auto"/>
          <w:kern w:val="0"/>
          <w:sz w:val="22"/>
          <w:szCs w:val="22"/>
          <w:highlight w:val="none"/>
          <w:u w:val="single"/>
        </w:rPr>
      </w:pPr>
      <w:r>
        <w:rPr>
          <w:rFonts w:ascii="宋体" w:hAnsi="宋体" w:eastAsia="宋体" w:cs="宋体"/>
          <w:color w:val="auto"/>
          <w:kern w:val="0"/>
          <w:sz w:val="22"/>
          <w:szCs w:val="22"/>
          <w:highlight w:val="none"/>
          <w:u w:val="single"/>
        </w:rPr>
        <w:t>包含施工图纸所示的全部内容。</w:t>
      </w:r>
    </w:p>
    <w:p w14:paraId="2EFCC05A">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二、合同工期</w:t>
      </w:r>
    </w:p>
    <w:p w14:paraId="05A0CA8B">
      <w:pPr>
        <w:widowControl/>
        <w:spacing w:line="360" w:lineRule="auto"/>
        <w:ind w:firstLine="459"/>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计划开工日期：</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日。(实际开工日期以开工令为准）</w:t>
      </w:r>
    </w:p>
    <w:p w14:paraId="61FE2218">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计划竣工日期：</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日。以五方（</w:t>
      </w:r>
      <w:r>
        <w:rPr>
          <w:rFonts w:ascii="宋体" w:hAnsi="宋体" w:eastAsia="宋体" w:cs="宋体"/>
          <w:color w:val="auto"/>
          <w:kern w:val="0"/>
          <w:sz w:val="22"/>
          <w:szCs w:val="22"/>
          <w:highlight w:val="none"/>
        </w:rPr>
        <w:t>建设单位</w:t>
      </w:r>
      <w:r>
        <w:rPr>
          <w:rFonts w:hint="eastAsia" w:ascii="宋体" w:hAnsi="宋体" w:eastAsia="宋体" w:cs="宋体"/>
          <w:color w:val="auto"/>
          <w:kern w:val="0"/>
          <w:sz w:val="22"/>
          <w:szCs w:val="22"/>
          <w:highlight w:val="none"/>
        </w:rPr>
        <w:t>、承包人、监理单位、设计单位、勘察单位）验收(以下简称“五方竣工验收”)合格之日为准。</w:t>
      </w:r>
    </w:p>
    <w:p w14:paraId="24D7E6E1">
      <w:pPr>
        <w:widowControl/>
        <w:spacing w:line="360" w:lineRule="auto"/>
        <w:ind w:firstLine="459"/>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工期总日历天数：</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天。工期总日历天数与根据前述计划开竣工日期计算的工期天数不一致的，以工期总日历天数为准。</w:t>
      </w:r>
    </w:p>
    <w:p w14:paraId="1CD8FB99">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三、质量标准</w:t>
      </w:r>
    </w:p>
    <w:p w14:paraId="08E140D5">
      <w:pPr>
        <w:widowControl/>
        <w:spacing w:line="360" w:lineRule="auto"/>
        <w:ind w:firstLine="420"/>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工程质量标准为合格。</w:t>
      </w:r>
    </w:p>
    <w:p w14:paraId="36330FD0">
      <w:pPr>
        <w:widowControl/>
        <w:spacing w:line="360" w:lineRule="auto"/>
        <w:rPr>
          <w:rFonts w:ascii="宋体" w:hAnsi="宋体" w:eastAsia="宋体" w:cs="宋体"/>
          <w:b/>
          <w:color w:val="auto"/>
          <w:kern w:val="0"/>
          <w:sz w:val="22"/>
          <w:szCs w:val="22"/>
          <w:highlight w:val="none"/>
        </w:rPr>
      </w:pPr>
      <w:bookmarkStart w:id="208" w:name="_Toc428222875"/>
      <w:bookmarkStart w:id="209" w:name="_Toc406522031"/>
      <w:bookmarkStart w:id="210" w:name="_Toc406419156"/>
      <w:r>
        <w:rPr>
          <w:rFonts w:hint="eastAsia" w:ascii="宋体" w:hAnsi="宋体" w:eastAsia="宋体" w:cs="宋体"/>
          <w:b/>
          <w:color w:val="auto"/>
          <w:kern w:val="0"/>
          <w:sz w:val="22"/>
          <w:szCs w:val="22"/>
          <w:highlight w:val="none"/>
        </w:rPr>
        <w:t>四、签约合同价与合同价格形式</w:t>
      </w:r>
      <w:bookmarkEnd w:id="208"/>
      <w:bookmarkEnd w:id="209"/>
      <w:bookmarkEnd w:id="210"/>
    </w:p>
    <w:p w14:paraId="68F1D5AD">
      <w:pPr>
        <w:widowControl/>
        <w:snapToGrid w:val="0"/>
        <w:spacing w:line="360" w:lineRule="auto"/>
        <w:ind w:firstLine="420"/>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 签约合同价为：人民币（大写）</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元)</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以实际完成工程量编制结算报告，报由建设单位委托具有造价咨询资质单位审核的双方确认的结算造价作为本项目正式合同价进行结算。</w:t>
      </w:r>
    </w:p>
    <w:p w14:paraId="7B47927F">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五、项目经理</w:t>
      </w:r>
    </w:p>
    <w:p w14:paraId="1467129A">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承包人项目经理：</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u w:val="single"/>
          <w:lang w:val="en-US" w:eastAsia="zh-CN"/>
        </w:rPr>
        <w:t>合同签订时填写</w:t>
      </w:r>
      <w:r>
        <w:rPr>
          <w:rFonts w:hint="eastAsia" w:ascii="宋体" w:hAnsi="宋体" w:eastAsia="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036AA75E">
      <w:pPr>
        <w:widowControl/>
        <w:spacing w:line="360" w:lineRule="auto"/>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六、合同文件构成</w:t>
      </w:r>
    </w:p>
    <w:p w14:paraId="2C1CF35D">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本协议书与下列文件一起构成合同文件：</w:t>
      </w:r>
    </w:p>
    <w:p w14:paraId="24B42B26">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ascii="宋体" w:hAnsi="宋体" w:eastAsia="宋体" w:cs="宋体"/>
          <w:color w:val="auto"/>
          <w:kern w:val="0"/>
          <w:sz w:val="22"/>
          <w:szCs w:val="22"/>
          <w:highlight w:val="none"/>
        </w:rPr>
        <w:t>中标</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成交</w:t>
      </w:r>
      <w:r>
        <w:rPr>
          <w:rFonts w:hint="eastAsia" w:ascii="宋体" w:hAnsi="宋体" w:cs="宋体"/>
          <w:color w:val="auto"/>
          <w:kern w:val="0"/>
          <w:sz w:val="22"/>
          <w:szCs w:val="22"/>
          <w:highlight w:val="none"/>
          <w:lang w:eastAsia="zh-CN"/>
        </w:rPr>
        <w:t>）</w:t>
      </w:r>
      <w:r>
        <w:rPr>
          <w:rFonts w:ascii="宋体" w:hAnsi="宋体" w:eastAsia="宋体" w:cs="宋体"/>
          <w:color w:val="auto"/>
          <w:kern w:val="0"/>
          <w:sz w:val="22"/>
          <w:szCs w:val="22"/>
          <w:highlight w:val="none"/>
        </w:rPr>
        <w:t>通知书</w:t>
      </w:r>
      <w:r>
        <w:rPr>
          <w:rFonts w:hint="eastAsia" w:ascii="宋体" w:hAnsi="宋体" w:eastAsia="宋体" w:cs="宋体"/>
          <w:color w:val="auto"/>
          <w:kern w:val="0"/>
          <w:sz w:val="22"/>
          <w:szCs w:val="22"/>
          <w:highlight w:val="none"/>
        </w:rPr>
        <w:t>；</w:t>
      </w:r>
    </w:p>
    <w:p w14:paraId="44FAB4B6">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（2）投标函及其附录（如果有）； </w:t>
      </w:r>
    </w:p>
    <w:p w14:paraId="3EF2DAE5">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（3）专用合同条款及其附件；</w:t>
      </w:r>
    </w:p>
    <w:p w14:paraId="197560D7">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（4）通用合同条款；</w:t>
      </w:r>
    </w:p>
    <w:p w14:paraId="7D376A86">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（5）技术标准和要求；</w:t>
      </w:r>
    </w:p>
    <w:p w14:paraId="65F076E8">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（6）图纸；</w:t>
      </w:r>
    </w:p>
    <w:p w14:paraId="50B463B2">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（7）已标价工程量清单；</w:t>
      </w:r>
    </w:p>
    <w:p w14:paraId="5ABACF22">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（8）其他合同文件。</w:t>
      </w:r>
    </w:p>
    <w:p w14:paraId="3F6EB269">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在合同订立及履行过程中形成的与合同有关的文件均构成合同文件组成部分。</w:t>
      </w:r>
    </w:p>
    <w:p w14:paraId="3C5F03B4">
      <w:pPr>
        <w:widowControl/>
        <w:autoSpaceDE w:val="0"/>
        <w:autoSpaceDN w:val="0"/>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上述各项合同文件包括合同当事人就该项合同文件所作出的补充和修改，属于同一类内容的文件，应以最新签署的为准。专用合同条款及其附件须经合同当事人签字或盖章并加盖单位公章。</w:t>
      </w:r>
    </w:p>
    <w:p w14:paraId="60AB414E">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七、承诺</w:t>
      </w:r>
    </w:p>
    <w:p w14:paraId="067A2833">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1.发包人承诺按照法律规定履行项目审批手续、筹集工程建设资金并按照合同约定的期限和方式支付合同价款。</w:t>
      </w:r>
    </w:p>
    <w:p w14:paraId="6799DEA7">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2.承包人承诺按照法律规定及合同约定组织完成工程施工，确保工程质量和安全，不进行转包及违法分包，并在缺陷责任期及保修期内承担相应的工程维修责任。</w:t>
      </w:r>
    </w:p>
    <w:p w14:paraId="71FCB4F6">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3.发包人和承包人通过招投标形式签订合同的，双方理解并承诺不再就同一工程另行签订与合同实质性内容相背离的协议。</w:t>
      </w:r>
    </w:p>
    <w:p w14:paraId="4B67DA07">
      <w:pPr>
        <w:widowControl/>
        <w:spacing w:line="360" w:lineRule="auto"/>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八、词语含义</w:t>
      </w:r>
    </w:p>
    <w:p w14:paraId="0A48972C">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本协议书中词语含义与第二部分通用合同条款中赋予的含义相同。</w:t>
      </w:r>
    </w:p>
    <w:p w14:paraId="1C66CB0B">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九、签订时间</w:t>
      </w:r>
    </w:p>
    <w:p w14:paraId="5DBA84D9">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日签订。</w:t>
      </w:r>
    </w:p>
    <w:p w14:paraId="7C24EFF2">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十、签订地点</w:t>
      </w:r>
    </w:p>
    <w:p w14:paraId="22520879">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本合同在</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灌阳县</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签订。</w:t>
      </w:r>
    </w:p>
    <w:p w14:paraId="0BE069EE">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十一、补充协议</w:t>
      </w:r>
    </w:p>
    <w:p w14:paraId="7C474570">
      <w:pPr>
        <w:widowControl/>
        <w:spacing w:line="360" w:lineRule="auto"/>
        <w:ind w:firstLine="420"/>
        <w:rPr>
          <w:rFonts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合同未尽事宜，合同当事人另行签订补充协议，补充协议是合同的组成部分。</w:t>
      </w:r>
    </w:p>
    <w:p w14:paraId="2E4F54AF">
      <w:pPr>
        <w:widowControl/>
        <w:rPr>
          <w:rFonts w:ascii="Arial" w:hAnsi="Arial" w:eastAsia="宋体" w:cs="Times New Roman"/>
          <w:b/>
          <w:color w:val="auto"/>
          <w:kern w:val="0"/>
          <w:sz w:val="22"/>
          <w:szCs w:val="22"/>
          <w:highlight w:val="none"/>
        </w:rPr>
      </w:pPr>
      <w:r>
        <w:rPr>
          <w:rFonts w:hint="eastAsia" w:ascii="Arial" w:hAnsi="Arial" w:eastAsia="宋体" w:cs="Times New Roman"/>
          <w:b/>
          <w:color w:val="auto"/>
          <w:kern w:val="0"/>
          <w:sz w:val="22"/>
          <w:szCs w:val="22"/>
          <w:highlight w:val="none"/>
        </w:rPr>
        <w:t>十二、合同生效</w:t>
      </w:r>
    </w:p>
    <w:p w14:paraId="37AA881C">
      <w:pPr>
        <w:widowControl/>
        <w:spacing w:line="360" w:lineRule="auto"/>
        <w:ind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本合同自</w:t>
      </w:r>
      <w:r>
        <w:rPr>
          <w:rFonts w:ascii="宋体" w:hAnsi="宋体" w:eastAsia="宋体" w:cs="宋体"/>
          <w:color w:val="auto"/>
          <w:kern w:val="0"/>
          <w:sz w:val="22"/>
          <w:szCs w:val="22"/>
          <w:highlight w:val="none"/>
          <w:u w:val="single"/>
        </w:rPr>
        <w:t>双方法定代表人签字或盖章并加盖单位公章后</w:t>
      </w:r>
      <w:r>
        <w:rPr>
          <w:rFonts w:ascii="宋体" w:hAnsi="宋体" w:eastAsia="宋体" w:cs="宋体"/>
          <w:color w:val="auto"/>
          <w:kern w:val="0"/>
          <w:sz w:val="22"/>
          <w:szCs w:val="22"/>
          <w:highlight w:val="none"/>
        </w:rPr>
        <w:t>生效。</w:t>
      </w:r>
    </w:p>
    <w:p w14:paraId="452FF770">
      <w:pPr>
        <w:widowControl/>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十三、合同份数</w:t>
      </w:r>
    </w:p>
    <w:p w14:paraId="4856495B">
      <w:pPr>
        <w:widowControl/>
        <w:spacing w:line="360" w:lineRule="auto"/>
        <w:ind w:left="2" w:firstLine="42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本合同一式</w:t>
      </w:r>
      <w:r>
        <w:rPr>
          <w:rFonts w:hint="eastAsia" w:ascii="宋体" w:hAnsi="宋体" w:eastAsia="宋体" w:cs="宋体"/>
          <w:color w:val="auto"/>
          <w:kern w:val="0"/>
          <w:sz w:val="22"/>
          <w:szCs w:val="22"/>
          <w:highlight w:val="none"/>
          <w:u w:val="single"/>
        </w:rPr>
        <w:t xml:space="preserve"> 捌 </w:t>
      </w:r>
      <w:r>
        <w:rPr>
          <w:rFonts w:hint="eastAsia" w:ascii="宋体" w:hAnsi="宋体" w:eastAsia="宋体" w:cs="宋体"/>
          <w:color w:val="auto"/>
          <w:kern w:val="0"/>
          <w:sz w:val="22"/>
          <w:szCs w:val="22"/>
          <w:highlight w:val="none"/>
        </w:rPr>
        <w:t>份，均具有同等法律效力，发包人执</w:t>
      </w:r>
      <w:r>
        <w:rPr>
          <w:rFonts w:hint="eastAsia" w:ascii="宋体" w:hAnsi="宋体" w:eastAsia="宋体" w:cs="宋体"/>
          <w:color w:val="auto"/>
          <w:kern w:val="0"/>
          <w:sz w:val="22"/>
          <w:szCs w:val="22"/>
          <w:highlight w:val="none"/>
          <w:u w:val="single"/>
        </w:rPr>
        <w:t xml:space="preserve"> 肆 </w:t>
      </w:r>
      <w:r>
        <w:rPr>
          <w:rFonts w:hint="eastAsia" w:ascii="宋体" w:hAnsi="宋体" w:eastAsia="宋体" w:cs="宋体"/>
          <w:color w:val="auto"/>
          <w:kern w:val="0"/>
          <w:sz w:val="22"/>
          <w:szCs w:val="22"/>
          <w:highlight w:val="none"/>
        </w:rPr>
        <w:t>份，承包人执</w:t>
      </w:r>
      <w:r>
        <w:rPr>
          <w:rFonts w:hint="eastAsia" w:ascii="宋体" w:hAnsi="宋体" w:eastAsia="宋体" w:cs="宋体"/>
          <w:color w:val="auto"/>
          <w:kern w:val="0"/>
          <w:sz w:val="22"/>
          <w:szCs w:val="22"/>
          <w:highlight w:val="none"/>
          <w:u w:val="single"/>
        </w:rPr>
        <w:t xml:space="preserve"> 叁 </w:t>
      </w:r>
      <w:r>
        <w:rPr>
          <w:rFonts w:hint="eastAsia" w:ascii="宋体" w:hAnsi="宋体" w:eastAsia="宋体" w:cs="宋体"/>
          <w:color w:val="auto"/>
          <w:kern w:val="0"/>
          <w:sz w:val="22"/>
          <w:szCs w:val="22"/>
          <w:highlight w:val="none"/>
        </w:rPr>
        <w:t>份，合同备案单位</w:t>
      </w:r>
      <w:r>
        <w:rPr>
          <w:rFonts w:hint="eastAsia" w:ascii="宋体" w:hAnsi="宋体" w:eastAsia="宋体" w:cs="宋体"/>
          <w:color w:val="auto"/>
          <w:kern w:val="0"/>
          <w:sz w:val="22"/>
          <w:szCs w:val="22"/>
          <w:highlight w:val="none"/>
          <w:u w:val="single"/>
        </w:rPr>
        <w:t xml:space="preserve"> 壹 </w:t>
      </w:r>
      <w:r>
        <w:rPr>
          <w:rFonts w:hint="eastAsia" w:ascii="宋体" w:hAnsi="宋体" w:eastAsia="宋体" w:cs="宋体"/>
          <w:color w:val="auto"/>
          <w:kern w:val="0"/>
          <w:sz w:val="22"/>
          <w:szCs w:val="22"/>
          <w:highlight w:val="none"/>
        </w:rPr>
        <w:t>份。</w:t>
      </w:r>
    </w:p>
    <w:p w14:paraId="582690A6">
      <w:pPr>
        <w:widowControl/>
        <w:snapToGrid w:val="0"/>
        <w:spacing w:line="360" w:lineRule="auto"/>
        <w:ind w:left="6090" w:hanging="6090"/>
        <w:rPr>
          <w:rFonts w:ascii="宋体" w:hAnsi="宋体" w:eastAsia="宋体" w:cs="宋体"/>
          <w:color w:val="auto"/>
          <w:kern w:val="0"/>
          <w:sz w:val="22"/>
          <w:szCs w:val="22"/>
          <w:highlight w:val="none"/>
        </w:rPr>
      </w:pPr>
    </w:p>
    <w:p w14:paraId="4BB1E443">
      <w:pPr>
        <w:widowControl/>
        <w:snapToGrid w:val="0"/>
        <w:spacing w:line="360" w:lineRule="auto"/>
        <w:ind w:left="6090" w:hanging="609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发包人(公章)：</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承包人(公章)：</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u w:val="single"/>
        </w:rPr>
        <w:t xml:space="preserve">    </w:t>
      </w:r>
    </w:p>
    <w:p w14:paraId="273BCB17">
      <w:pPr>
        <w:widowControl/>
        <w:snapToGrid w:val="0"/>
        <w:spacing w:line="360" w:lineRule="auto"/>
        <w:ind w:left="6090" w:hanging="3780"/>
        <w:rPr>
          <w:rFonts w:ascii="宋体" w:hAnsi="宋体" w:eastAsia="宋体" w:cs="宋体"/>
          <w:color w:val="auto"/>
          <w:kern w:val="0"/>
          <w:sz w:val="22"/>
          <w:szCs w:val="22"/>
          <w:highlight w:val="none"/>
        </w:rPr>
      </w:pPr>
    </w:p>
    <w:p w14:paraId="255DF3CF">
      <w:pPr>
        <w:widowControl/>
        <w:spacing w:line="480" w:lineRule="auto"/>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法定代表人：（签字或盖章）</w:t>
      </w:r>
      <w:r>
        <w:rPr>
          <w:rFonts w:hint="eastAsia" w:ascii="宋体" w:hAnsi="宋体" w:eastAsia="宋体" w:cs="宋体"/>
          <w:color w:val="auto"/>
          <w:kern w:val="0"/>
          <w:sz w:val="22"/>
          <w:szCs w:val="22"/>
          <w:highlight w:val="none"/>
          <w:u w:val="single"/>
        </w:rPr>
        <w:t xml:space="preserve"> </w:t>
      </w:r>
      <w:r>
        <w:rPr>
          <w:rFonts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法定代表人：（签字或盖章）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75A57593">
      <w:pPr>
        <w:widowControl/>
        <w:snapToGrid w:val="0"/>
        <w:spacing w:line="480" w:lineRule="auto"/>
        <w:rPr>
          <w:rFonts w:hint="default" w:ascii="宋体" w:hAnsi="宋体" w:eastAsia="宋体" w:cs="宋体"/>
          <w:color w:val="auto"/>
          <w:kern w:val="0"/>
          <w:sz w:val="22"/>
          <w:szCs w:val="22"/>
          <w:highlight w:val="none"/>
          <w:u w:val="single"/>
          <w:lang w:val="en-US" w:eastAsia="zh-CN"/>
        </w:rPr>
      </w:pPr>
      <w:bookmarkStart w:id="211" w:name="_Toc351203494"/>
      <w:bookmarkStart w:id="212" w:name="_Toc32464"/>
      <w:r>
        <w:rPr>
          <w:rFonts w:hint="eastAsia" w:ascii="宋体" w:hAnsi="宋体" w:eastAsia="宋体" w:cs="Times New Roman"/>
          <w:color w:val="auto"/>
          <w:kern w:val="0"/>
          <w:sz w:val="22"/>
          <w:szCs w:val="22"/>
          <w:highlight w:val="none"/>
        </w:rPr>
        <w:t>统一社会信用代码：</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lang w:val="en-US" w:eastAsia="zh-CN"/>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u w:val="single"/>
        </w:rPr>
        <w:t xml:space="preserve">    </w:t>
      </w:r>
      <w:r>
        <w:rPr>
          <w:rFonts w:hint="eastAsia" w:ascii="宋体" w:hAnsi="宋体" w:eastAsia="宋体" w:cs="Times New Roman"/>
          <w:color w:val="auto"/>
          <w:kern w:val="0"/>
          <w:sz w:val="22"/>
          <w:szCs w:val="22"/>
          <w:highlight w:val="none"/>
        </w:rPr>
        <w:t>统一社会信用代</w:t>
      </w:r>
      <w:r>
        <w:rPr>
          <w:rFonts w:hint="eastAsia" w:ascii="宋体" w:hAnsi="宋体" w:eastAsia="宋体" w:cs="宋体"/>
          <w:color w:val="auto"/>
          <w:kern w:val="0"/>
          <w:sz w:val="22"/>
          <w:szCs w:val="22"/>
          <w:highlight w:val="none"/>
        </w:rPr>
        <w:t>码：</w:t>
      </w:r>
      <w:r>
        <w:rPr>
          <w:rFonts w:hint="eastAsia" w:ascii="宋体" w:hAnsi="宋体" w:eastAsia="宋体" w:cs="宋体"/>
          <w:color w:val="auto"/>
          <w:kern w:val="0"/>
          <w:sz w:val="22"/>
          <w:szCs w:val="22"/>
          <w:highlight w:val="none"/>
          <w:u w:val="single"/>
          <w:lang w:val="en-US" w:eastAsia="zh-CN"/>
        </w:rPr>
        <w:t xml:space="preserve">                                  </w:t>
      </w:r>
    </w:p>
    <w:p w14:paraId="3F7CB84B">
      <w:pPr>
        <w:widowControl/>
        <w:snapToGrid w:val="0"/>
        <w:spacing w:line="480" w:lineRule="auto"/>
        <w:rPr>
          <w:rFonts w:hint="default"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u w:val="single"/>
          <w:lang w:val="en-US" w:eastAsia="zh-CN"/>
        </w:rPr>
        <w:t xml:space="preserve">                                             </w:t>
      </w:r>
    </w:p>
    <w:p w14:paraId="5E30D35C">
      <w:pPr>
        <w:widowControl/>
        <w:snapToGrid w:val="0"/>
        <w:spacing w:line="480" w:lineRule="auto"/>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邮政编码：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邮政编码：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5BFB94B5">
      <w:pPr>
        <w:widowControl/>
        <w:snapToGrid w:val="0"/>
        <w:spacing w:line="480" w:lineRule="auto"/>
        <w:rPr>
          <w:rFonts w:hint="default"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法定代表人：</w:t>
      </w:r>
      <w:r>
        <w:rPr>
          <w:rFonts w:hint="eastAsia" w:ascii="宋体" w:hAnsi="宋体" w:eastAsia="宋体" w:cs="宋体"/>
          <w:color w:val="auto"/>
          <w:kern w:val="0"/>
          <w:sz w:val="22"/>
          <w:szCs w:val="22"/>
          <w:highlight w:val="none"/>
          <w:u w:val="single"/>
          <w:lang w:val="en-US" w:eastAsia="zh-CN"/>
        </w:rPr>
        <w:t xml:space="preserve">                                       </w:t>
      </w:r>
    </w:p>
    <w:p w14:paraId="67E55DD0">
      <w:pPr>
        <w:widowControl/>
        <w:snapToGrid w:val="0"/>
        <w:spacing w:line="480" w:lineRule="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电话：</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电话：</w:t>
      </w:r>
      <w:r>
        <w:rPr>
          <w:rFonts w:hint="eastAsia" w:ascii="宋体" w:hAnsi="宋体" w:eastAsia="宋体" w:cs="宋体"/>
          <w:color w:val="auto"/>
          <w:kern w:val="0"/>
          <w:sz w:val="22"/>
          <w:szCs w:val="22"/>
          <w:highlight w:val="none"/>
          <w:u w:val="single"/>
          <w:lang w:val="en-US" w:eastAsia="zh-CN"/>
        </w:rPr>
        <w:t xml:space="preserve">                                             </w:t>
      </w:r>
    </w:p>
    <w:p w14:paraId="287CB784">
      <w:pPr>
        <w:widowControl/>
        <w:snapToGrid w:val="0"/>
        <w:spacing w:line="480" w:lineRule="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p>
    <w:p w14:paraId="1AC8CB6C">
      <w:pPr>
        <w:widowControl/>
        <w:snapToGrid w:val="0"/>
        <w:spacing w:line="480" w:lineRule="auto"/>
        <w:rPr>
          <w:rFonts w:hint="default" w:ascii="宋体" w:hAnsi="宋体" w:eastAsia="宋体" w:cs="宋体"/>
          <w:color w:val="auto"/>
          <w:kern w:val="0"/>
          <w:sz w:val="22"/>
          <w:szCs w:val="22"/>
          <w:highlight w:val="none"/>
          <w:lang w:val="en-US"/>
        </w:rPr>
      </w:pPr>
      <w:bookmarkStart w:id="213" w:name="_Toc8797"/>
      <w:bookmarkStart w:id="214" w:name="_Toc30960"/>
      <w:bookmarkStart w:id="215" w:name="_Toc3198"/>
      <w:bookmarkStart w:id="216" w:name="_Toc20042"/>
      <w:r>
        <w:rPr>
          <w:rFonts w:hint="eastAsia" w:ascii="宋体" w:hAnsi="宋体" w:eastAsia="宋体" w:cs="宋体"/>
          <w:color w:val="auto"/>
          <w:kern w:val="0"/>
          <w:sz w:val="22"/>
          <w:szCs w:val="22"/>
          <w:highlight w:val="none"/>
        </w:rPr>
        <w:t>开户银行：</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开户银行：</w:t>
      </w:r>
      <w:bookmarkEnd w:id="213"/>
      <w:bookmarkEnd w:id="214"/>
      <w:bookmarkEnd w:id="215"/>
      <w:bookmarkEnd w:id="216"/>
      <w:r>
        <w:rPr>
          <w:rFonts w:hint="eastAsia" w:ascii="宋体" w:hAnsi="宋体" w:eastAsia="宋体" w:cs="宋体"/>
          <w:color w:val="auto"/>
          <w:kern w:val="0"/>
          <w:sz w:val="22"/>
          <w:szCs w:val="22"/>
          <w:highlight w:val="none"/>
          <w:u w:val="single"/>
          <w:lang w:val="en-US" w:eastAsia="zh-CN"/>
        </w:rPr>
        <w:t xml:space="preserve">                                         </w:t>
      </w:r>
    </w:p>
    <w:p w14:paraId="45ED3039">
      <w:pPr>
        <w:widowControl/>
        <w:snapToGrid w:val="0"/>
        <w:spacing w:line="480" w:lineRule="auto"/>
        <w:rPr>
          <w:rFonts w:hint="default" w:ascii="宋体" w:hAnsi="宋体" w:eastAsia="宋体" w:cs="宋体"/>
          <w:color w:val="auto"/>
          <w:kern w:val="0"/>
          <w:szCs w:val="21"/>
          <w:highlight w:val="none"/>
          <w:lang w:val="en-US"/>
        </w:rPr>
      </w:pPr>
      <w:bookmarkStart w:id="217" w:name="_Toc1362"/>
      <w:bookmarkStart w:id="218" w:name="_Toc8638"/>
      <w:bookmarkStart w:id="219" w:name="_Toc21532"/>
      <w:bookmarkStart w:id="220" w:name="_Toc2144"/>
      <w:bookmarkStart w:id="221" w:name="_Toc4673"/>
      <w:r>
        <w:rPr>
          <w:rFonts w:hint="eastAsia" w:ascii="宋体" w:hAnsi="宋体" w:eastAsia="宋体" w:cs="宋体"/>
          <w:color w:val="auto"/>
          <w:kern w:val="0"/>
          <w:sz w:val="22"/>
          <w:szCs w:val="22"/>
          <w:highlight w:val="none"/>
        </w:rPr>
        <w:t>账号：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账号：</w:t>
      </w:r>
      <w:bookmarkEnd w:id="217"/>
      <w:bookmarkEnd w:id="218"/>
      <w:bookmarkEnd w:id="219"/>
      <w:bookmarkEnd w:id="220"/>
      <w:bookmarkEnd w:id="221"/>
      <w:r>
        <w:rPr>
          <w:rFonts w:hint="eastAsia" w:ascii="宋体" w:hAnsi="宋体" w:eastAsia="宋体" w:cs="宋体"/>
          <w:color w:val="auto"/>
          <w:kern w:val="0"/>
          <w:sz w:val="22"/>
          <w:szCs w:val="22"/>
          <w:highlight w:val="none"/>
          <w:u w:val="single"/>
          <w:lang w:val="en-US" w:eastAsia="zh-CN"/>
        </w:rPr>
        <w:t xml:space="preserve">                                             </w:t>
      </w:r>
    </w:p>
    <w:p w14:paraId="4E1A07DA">
      <w:pP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br w:type="page"/>
      </w:r>
    </w:p>
    <w:p w14:paraId="4A02A47B">
      <w:pPr>
        <w:widowControl/>
        <w:spacing w:line="360" w:lineRule="auto"/>
        <w:jc w:val="center"/>
        <w:outlineLvl w:val="1"/>
        <w:rPr>
          <w:rFonts w:ascii="宋体" w:hAnsi="宋体" w:eastAsia="宋体" w:cs="宋体"/>
          <w:color w:val="auto"/>
          <w:kern w:val="0"/>
          <w:sz w:val="32"/>
          <w:szCs w:val="32"/>
          <w:highlight w:val="none"/>
        </w:rPr>
      </w:pPr>
      <w:bookmarkStart w:id="222" w:name="_Toc12468"/>
      <w:r>
        <w:rPr>
          <w:rFonts w:hint="eastAsia" w:ascii="宋体" w:hAnsi="宋体" w:eastAsia="宋体" w:cs="宋体"/>
          <w:color w:val="auto"/>
          <w:kern w:val="0"/>
          <w:sz w:val="32"/>
          <w:szCs w:val="32"/>
          <w:highlight w:val="none"/>
        </w:rPr>
        <w:t>第二部分 通用合同条款</w:t>
      </w:r>
      <w:bookmarkEnd w:id="211"/>
      <w:bookmarkEnd w:id="212"/>
      <w:bookmarkEnd w:id="222"/>
      <w:bookmarkStart w:id="223" w:name="_Toc337558727"/>
    </w:p>
    <w:p w14:paraId="17A21C95">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224" w:name="_Toc11995"/>
      <w:bookmarkStart w:id="225" w:name="_Toc351203495"/>
      <w:r>
        <w:rPr>
          <w:rFonts w:hint="eastAsia" w:ascii="宋体" w:hAnsi="宋体" w:eastAsia="宋体" w:cs="宋体"/>
          <w:color w:val="auto"/>
          <w:kern w:val="0"/>
          <w:szCs w:val="21"/>
          <w:highlight w:val="none"/>
        </w:rPr>
        <w:t>1.</w:t>
      </w:r>
      <w:bookmarkStart w:id="226" w:name="_Toc303538974"/>
      <w:bookmarkEnd w:id="226"/>
      <w:bookmarkStart w:id="227" w:name="_Toc303538973"/>
      <w:bookmarkEnd w:id="227"/>
      <w:bookmarkStart w:id="228" w:name="_Toc303538972"/>
      <w:bookmarkEnd w:id="228"/>
      <w:bookmarkStart w:id="229" w:name="_Toc303538976"/>
      <w:bookmarkEnd w:id="229"/>
      <w:bookmarkStart w:id="230" w:name="_Toc303538975"/>
      <w:bookmarkEnd w:id="230"/>
      <w:bookmarkStart w:id="231" w:name="_Toc296503027"/>
      <w:bookmarkStart w:id="232" w:name="_Toc296346528"/>
      <w:r>
        <w:rPr>
          <w:rFonts w:hint="eastAsia" w:ascii="宋体" w:hAnsi="宋体" w:eastAsia="宋体" w:cs="宋体"/>
          <w:color w:val="auto"/>
          <w:kern w:val="0"/>
          <w:szCs w:val="21"/>
          <w:highlight w:val="none"/>
        </w:rPr>
        <w:t xml:space="preserve"> 一般约定</w:t>
      </w:r>
      <w:bookmarkEnd w:id="223"/>
      <w:bookmarkEnd w:id="224"/>
      <w:bookmarkEnd w:id="225"/>
      <w:bookmarkEnd w:id="231"/>
      <w:bookmarkEnd w:id="232"/>
    </w:p>
    <w:p w14:paraId="7DD49E9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33" w:name="_Toc337558728"/>
      <w:bookmarkStart w:id="234" w:name="_Toc296503028"/>
      <w:bookmarkStart w:id="235" w:name="_Toc296346529"/>
      <w:bookmarkStart w:id="236" w:name="_Toc351203496"/>
      <w:r>
        <w:rPr>
          <w:rFonts w:hint="eastAsia" w:ascii="宋体" w:hAnsi="宋体" w:eastAsia="宋体" w:cs="宋体"/>
          <w:color w:val="auto"/>
          <w:kern w:val="0"/>
          <w:szCs w:val="21"/>
          <w:highlight w:val="none"/>
        </w:rPr>
        <w:t>1.1词语定义</w:t>
      </w:r>
      <w:bookmarkEnd w:id="233"/>
      <w:bookmarkEnd w:id="234"/>
      <w:bookmarkEnd w:id="235"/>
      <w:r>
        <w:rPr>
          <w:rFonts w:hint="eastAsia" w:ascii="宋体" w:hAnsi="宋体" w:eastAsia="宋体" w:cs="宋体"/>
          <w:color w:val="auto"/>
          <w:kern w:val="0"/>
          <w:szCs w:val="21"/>
          <w:highlight w:val="none"/>
        </w:rPr>
        <w:t>与解释</w:t>
      </w:r>
      <w:bookmarkEnd w:id="236"/>
    </w:p>
    <w:p w14:paraId="523E478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合同协议书、通用合同条款、专用合同条款中的下列词语具有本款所赋予的含义：</w:t>
      </w:r>
    </w:p>
    <w:p w14:paraId="6EBCCD90">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 合同</w:t>
      </w:r>
    </w:p>
    <w:p w14:paraId="6E4F835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1.1.1.1 合同：是指根据法律规定和合同当事人约定具有约束力的文件，构成合同的文件包括合同协议书、中标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通知书（如果有）、投标函及其附录（如果有）、专用合同条款及其附件、通用合同条款、技术标准和要求、图纸、已标价工程量清单或预算书以及其他合同文件。</w:t>
      </w:r>
    </w:p>
    <w:p w14:paraId="4A9FC26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1.1.1.2 合同协议书：是指构成合同的由发包人和承包人共同签署的称为“合同协议书”的书面文件。</w:t>
      </w:r>
    </w:p>
    <w:p w14:paraId="3E737B6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1.1.1.3 </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通知书：是指构成合同的由发包人通知承包人</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的书面文件。</w:t>
      </w:r>
    </w:p>
    <w:p w14:paraId="7671046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1.1.1.4 投标函：是指构成合同的由承包人填写并签署的用于投标的称为“投标函”的文件。</w:t>
      </w:r>
    </w:p>
    <w:p w14:paraId="2F3918E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1.1.1.5 投标函附录：是指构成合同的附在投标函后的称为“投标函附录”的文件。</w:t>
      </w:r>
    </w:p>
    <w:p w14:paraId="314E06B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1.1.1.6 技术标准和要求：是指构成合同的施工应当遵守的或指导施工的国家、行业或地方的技术标准和要求，以及合同约定的技术标准和要求。</w:t>
      </w:r>
    </w:p>
    <w:p w14:paraId="1B48232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5E5936B">
      <w:pPr>
        <w:keepNext w:val="0"/>
        <w:keepLines w:val="0"/>
        <w:pageBreakBefore w:val="0"/>
        <w:widowControl/>
        <w:kinsoku/>
        <w:wordWrap/>
        <w:overflowPunct/>
        <w:topLinePunct w:val="0"/>
        <w:autoSpaceDE w:val="0"/>
        <w:autoSpaceDN w:val="0"/>
        <w:bidi w:val="0"/>
        <w:adjustRightInd/>
        <w:snapToGrid/>
        <w:spacing w:line="400" w:lineRule="exact"/>
        <w:ind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1.1.1.8 已标价工程量清单：是指构成合同的由承包人按照规定的格式和要求填写并标明价格的工程量清单，包括说明和表格。</w:t>
      </w:r>
    </w:p>
    <w:p w14:paraId="4726BC42">
      <w:pPr>
        <w:keepNext w:val="0"/>
        <w:keepLines w:val="0"/>
        <w:pageBreakBefore w:val="0"/>
        <w:widowControl/>
        <w:kinsoku/>
        <w:wordWrap/>
        <w:overflowPunct/>
        <w:topLinePunct w:val="0"/>
        <w:autoSpaceDE w:val="0"/>
        <w:autoSpaceDN w:val="0"/>
        <w:bidi w:val="0"/>
        <w:adjustRightInd/>
        <w:snapToGrid/>
        <w:spacing w:line="400" w:lineRule="exact"/>
        <w:ind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1.1.1.9 预算书：是指构成合同的由承包人按照发包人规定的格式和要求编制的工程预算文件。</w:t>
      </w:r>
    </w:p>
    <w:p w14:paraId="0021936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0F132827">
      <w:pPr>
        <w:keepNext w:val="0"/>
        <w:keepLines w:val="0"/>
        <w:pageBreakBefore w:val="0"/>
        <w:widowControl/>
        <w:kinsoku/>
        <w:wordWrap/>
        <w:overflowPunct/>
        <w:topLinePunct w:val="0"/>
        <w:autoSpaceDE w:val="0"/>
        <w:autoSpaceDN w:val="0"/>
        <w:bidi w:val="0"/>
        <w:adjustRightInd/>
        <w:snapToGrid/>
        <w:spacing w:line="40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1.1.2 合同当事人及其他相关方</w:t>
      </w:r>
    </w:p>
    <w:p w14:paraId="4305CC8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1.1.2.1 合同当事人：是指发包人和（或）承包人。</w:t>
      </w:r>
    </w:p>
    <w:p w14:paraId="161A929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1.1.2.2 发包人：是指与承包人签订合同协议书的当事人及取得该当事人资格的合法继承人。</w:t>
      </w:r>
    </w:p>
    <w:p w14:paraId="06C7DE4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1.1.2.3 承包人：是指与发包人签订合同协议书的，具有相应工程施工承包资质的当事人及取得该当事人资格的合法继承人。</w:t>
      </w:r>
    </w:p>
    <w:p w14:paraId="28A3286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1.1.2.4 监理人：是指在专用合同条款中指明的，受发包人委托按照法律规定进行工程监督管理的法人或其他组织。</w:t>
      </w:r>
    </w:p>
    <w:p w14:paraId="058DA09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1.1.2.5 设计人：是指在专用合同条款中指明的，受发包人委托负责工程设计并具备相应工程设计资质的法人或其他组织。</w:t>
      </w:r>
    </w:p>
    <w:p w14:paraId="46895036">
      <w:pPr>
        <w:keepNext w:val="0"/>
        <w:keepLines w:val="0"/>
        <w:pageBreakBefore w:val="0"/>
        <w:widowControl/>
        <w:kinsoku/>
        <w:wordWrap/>
        <w:overflowPunct/>
        <w:topLinePunct w:val="0"/>
        <w:bidi w:val="0"/>
        <w:adjustRightInd/>
        <w:snapToGrid/>
        <w:spacing w:line="400" w:lineRule="exact"/>
        <w:ind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1.1.2.6 分包人：</w:t>
      </w:r>
      <w:bookmarkStart w:id="237" w:name="#go5"/>
      <w:bookmarkEnd w:id="237"/>
      <w:r>
        <w:rPr>
          <w:rFonts w:hint="eastAsia" w:ascii="宋体" w:hAnsi="宋体" w:eastAsia="宋体" w:cs="宋体"/>
          <w:color w:val="auto"/>
          <w:kern w:val="0"/>
          <w:szCs w:val="21"/>
          <w:highlight w:val="none"/>
        </w:rPr>
        <w:t>是指按照法律规定和合同约定，分包部分工程或工作，并与承包人签订分包合同的具有相应资质的法人。</w:t>
      </w:r>
    </w:p>
    <w:p w14:paraId="614347E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1.1.2.7 发包人代表：是指由发包人任命并派驻施工现场在发包人授权范围内行使发包人权利的人。</w:t>
      </w:r>
    </w:p>
    <w:p w14:paraId="43A93A0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1.1.2.8 项目经理：是指由承包人任命并派驻施工现场，在承包人授权范围内负责合同履行，且按照法律规定具有相应资格的项目负责人。</w:t>
      </w:r>
    </w:p>
    <w:p w14:paraId="7D3D3D1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1.1.2.9 总监理工程师：是指由监理人任命并派驻施工现场进行工程监理的总负责人。</w:t>
      </w:r>
    </w:p>
    <w:p w14:paraId="2F6C80F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 工程和设备</w:t>
      </w:r>
    </w:p>
    <w:p w14:paraId="59CECD1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1.1.3.1 工程：是指与合同协议书中工程承包范围对应的永久工程和（或）临时工程。</w:t>
      </w:r>
    </w:p>
    <w:p w14:paraId="105795A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1.1.3.2 永久工程：是指按合同约定建造并移交给发包人的工程，包括工程设备。</w:t>
      </w:r>
    </w:p>
    <w:p w14:paraId="02F77FC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1.1.3.3 临时工程：是指为完成合同约定的永久工程所修建的各类临时性工程，不包括施工设备。</w:t>
      </w:r>
    </w:p>
    <w:p w14:paraId="02FB41F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1.1.3.4 单位工程：是指在合同协议书中指明的，具备独立施工条件并能形成独立使用功能的永久工程。</w:t>
      </w:r>
    </w:p>
    <w:p w14:paraId="7A26C0B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1.1.3.5 工程设备：是指构成永久工程的机电设备、金属结构设备、仪器及其他类似的设备和装置。</w:t>
      </w:r>
    </w:p>
    <w:p w14:paraId="4410372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1.1.3.6 施工设备：是指为完成合同约定的各项工作所需的设备、器具和其他物品，但不包括工程设备、临时工程和材料。</w:t>
      </w:r>
    </w:p>
    <w:p w14:paraId="22E81B7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1.1.3.7 施工现场：是指用于工程施工的场所，以及在专用合同条款中指明作为施工场所组成部分的其他场所，包括永久占地和临时占地。</w:t>
      </w:r>
    </w:p>
    <w:p w14:paraId="45FFD32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1.1.3.8临时设施：是指为完成合同约定的各项工作所服务的临时性生产和生活设施。</w:t>
      </w:r>
    </w:p>
    <w:p w14:paraId="07FF955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永久占地：是指专用合同条款中指明为实施工程需永久占用的土地。</w:t>
      </w:r>
    </w:p>
    <w:p w14:paraId="5356265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1.1.3.10 临时占地：是指专用合同条款中指明为实施工程需要临时占用的土地。</w:t>
      </w:r>
    </w:p>
    <w:p w14:paraId="1BC465F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日期和期限</w:t>
      </w:r>
    </w:p>
    <w:p w14:paraId="358CC72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0FEF23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F67A91E">
      <w:pPr>
        <w:keepNext w:val="0"/>
        <w:keepLines w:val="0"/>
        <w:pageBreakBefore w:val="0"/>
        <w:widowControl/>
        <w:kinsoku/>
        <w:wordWrap/>
        <w:overflowPunct/>
        <w:topLinePunct w:val="0"/>
        <w:bidi w:val="0"/>
        <w:adjustRightInd/>
        <w:snapToGrid/>
        <w:spacing w:line="400" w:lineRule="exact"/>
        <w:ind w:firstLine="426"/>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1.1.4.3 工期：是指在合同协议书约定的承包人完成工程所需的期限，包括按照合同约定所作的期限变更。</w:t>
      </w:r>
    </w:p>
    <w:p w14:paraId="5C245C5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47FBB1B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1.1.4.5 保修期：是指承包人按照合同约定对工程承担保修责任的期限，从工程竣工验收合格之日起计算。</w:t>
      </w:r>
    </w:p>
    <w:p w14:paraId="6B98DF5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1.1.4.6 基准日期：招标发包的工程以投标截止日前28天的日期为基准日期，直接发包的工程以合同签订日前28天的日期为基准日期。</w:t>
      </w:r>
    </w:p>
    <w:p w14:paraId="39ADF4A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1.1.4.7 天：除特别指明外，均指日历天。合同中按天计算时间的，开始当天不计入，从次日开始计算，期限最后一天的截止时间为当天24:00时。</w:t>
      </w:r>
    </w:p>
    <w:p w14:paraId="0EE312E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 合同价格和费用</w:t>
      </w:r>
    </w:p>
    <w:p w14:paraId="16E3CA3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1.1.5.1 签约合同价：是指发包人和承包人在合同协议书中确定的总金额，包括安全文明施工费、暂估价及暂列金额等。</w:t>
      </w:r>
    </w:p>
    <w:p w14:paraId="5FB9811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257B53C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1.1.5.3 费用：是指为履行合同所发生的或将要发生的所有必需的开支，包括管理费和应分摊的其他费用，但不包括利润。</w:t>
      </w:r>
    </w:p>
    <w:p w14:paraId="37C7156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5EAB48D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63984A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50E5B7D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1.1.5.7 质量保证金</w:t>
      </w:r>
      <w:bookmarkStart w:id="238" w:name="#go2"/>
      <w:bookmarkEnd w:id="238"/>
      <w:r>
        <w:rPr>
          <w:rFonts w:hint="eastAsia" w:ascii="宋体" w:hAnsi="宋体" w:eastAsia="宋体" w:cs="宋体"/>
          <w:color w:val="auto"/>
          <w:kern w:val="0"/>
          <w:szCs w:val="21"/>
          <w:highlight w:val="none"/>
        </w:rPr>
        <w:t>：是指按照第15.3款〔质量保证金〕约定承包人用于保证其在缺陷责任期内履行缺陷修补义务的担保。</w:t>
      </w:r>
    </w:p>
    <w:p w14:paraId="7EEE6CD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20180B9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 其他</w:t>
      </w:r>
    </w:p>
    <w:p w14:paraId="57E92CB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1.1.6.1 书面形式：是指合同文件、信函、电报、传真等可以有形地表现所载内容的形式。</w:t>
      </w:r>
    </w:p>
    <w:p w14:paraId="21B99F31">
      <w:pPr>
        <w:keepNext w:val="0"/>
        <w:keepLines w:val="0"/>
        <w:pageBreakBefore w:val="0"/>
        <w:widowControl/>
        <w:kinsoku/>
        <w:wordWrap/>
        <w:overflowPunct/>
        <w:topLinePunct w:val="0"/>
        <w:bidi w:val="0"/>
        <w:adjustRightInd/>
        <w:snapToGrid/>
        <w:spacing w:line="40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bookmarkStart w:id="239" w:name="_Toc296503029"/>
      <w:bookmarkStart w:id="240" w:name="_Toc351203497"/>
      <w:bookmarkStart w:id="241" w:name="_Toc296346530"/>
      <w:bookmarkStart w:id="242" w:name="_Toc337558729"/>
      <w:r>
        <w:rPr>
          <w:rFonts w:hint="eastAsia" w:ascii="宋体" w:hAnsi="宋体" w:eastAsia="宋体" w:cs="宋体"/>
          <w:color w:val="auto"/>
          <w:kern w:val="0"/>
          <w:szCs w:val="21"/>
          <w:highlight w:val="none"/>
        </w:rPr>
        <w:t>1.2语言文字</w:t>
      </w:r>
      <w:bookmarkEnd w:id="239"/>
      <w:bookmarkEnd w:id="240"/>
      <w:bookmarkEnd w:id="241"/>
      <w:bookmarkEnd w:id="242"/>
    </w:p>
    <w:p w14:paraId="24704BC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7E2B231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43" w:name="_Toc296503030"/>
      <w:bookmarkStart w:id="244" w:name="_Toc351203498"/>
      <w:bookmarkStart w:id="245" w:name="_Toc337558730"/>
      <w:bookmarkStart w:id="246" w:name="_Toc296346531"/>
      <w:r>
        <w:rPr>
          <w:rFonts w:hint="eastAsia" w:ascii="宋体" w:hAnsi="宋体" w:eastAsia="宋体" w:cs="宋体"/>
          <w:color w:val="auto"/>
          <w:kern w:val="0"/>
          <w:szCs w:val="21"/>
          <w:highlight w:val="none"/>
        </w:rPr>
        <w:t>1.3法律</w:t>
      </w:r>
      <w:bookmarkEnd w:id="243"/>
      <w:bookmarkEnd w:id="244"/>
      <w:bookmarkEnd w:id="245"/>
      <w:bookmarkEnd w:id="246"/>
    </w:p>
    <w:p w14:paraId="34152E8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合同所称法律是指中华人民共和国法律、行政法规、部门规章，以及工程所在地的地方性法规、自治条例、单行条例和地方政府规章等。</w:t>
      </w:r>
    </w:p>
    <w:p w14:paraId="3B3082F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合同当事人可以在专用合同条款中约定合同适用的其他规范性文件。</w:t>
      </w:r>
    </w:p>
    <w:p w14:paraId="5042716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47" w:name="_Toc351203499"/>
      <w:r>
        <w:rPr>
          <w:rFonts w:hint="eastAsia" w:ascii="宋体" w:hAnsi="宋体" w:eastAsia="宋体" w:cs="宋体"/>
          <w:color w:val="auto"/>
          <w:kern w:val="0"/>
          <w:szCs w:val="21"/>
          <w:highlight w:val="none"/>
        </w:rPr>
        <w:t>1.4 标准和规范</w:t>
      </w:r>
      <w:bookmarkEnd w:id="247"/>
    </w:p>
    <w:p w14:paraId="5FCA3D0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400CD32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发包人要求使用国外标准、规范的，发包人负责提供原文版本和中文译本，并在专用合同条款中约定提供标准规范的名称、份数和时间。</w:t>
      </w:r>
    </w:p>
    <w:p w14:paraId="1B6D8DD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5B4AE1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48" w:name="_Toc351203500"/>
      <w:r>
        <w:rPr>
          <w:rFonts w:hint="eastAsia" w:ascii="宋体" w:hAnsi="宋体" w:eastAsia="宋体" w:cs="宋体"/>
          <w:color w:val="auto"/>
          <w:kern w:val="0"/>
          <w:szCs w:val="21"/>
          <w:highlight w:val="none"/>
        </w:rPr>
        <w:t>1</w:t>
      </w:r>
      <w:bookmarkStart w:id="249" w:name="_Toc337558731"/>
      <w:bookmarkStart w:id="250" w:name="_Toc296503031"/>
      <w:bookmarkStart w:id="251" w:name="_Toc296346532"/>
      <w:r>
        <w:rPr>
          <w:rFonts w:hint="eastAsia" w:ascii="宋体" w:hAnsi="宋体" w:eastAsia="宋体" w:cs="宋体"/>
          <w:color w:val="auto"/>
          <w:kern w:val="0"/>
          <w:szCs w:val="21"/>
          <w:highlight w:val="none"/>
        </w:rPr>
        <w:t>.5 合同文件的优先顺序</w:t>
      </w:r>
      <w:bookmarkEnd w:id="248"/>
      <w:bookmarkEnd w:id="249"/>
      <w:bookmarkEnd w:id="250"/>
      <w:bookmarkEnd w:id="251"/>
    </w:p>
    <w:p w14:paraId="0EBA344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组成合同的各项文件应互相解释，互为说明。除专用合同条款另有约定外，解释合同文件的优先顺序如下：</w:t>
      </w:r>
    </w:p>
    <w:p w14:paraId="08C19DB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（1）合同协议书；</w:t>
      </w:r>
    </w:p>
    <w:p w14:paraId="5B6B95C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通知书（如果有）；</w:t>
      </w:r>
    </w:p>
    <w:p w14:paraId="6CEE900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（3）投标函及其附录（如果有）；</w:t>
      </w:r>
    </w:p>
    <w:p w14:paraId="202FF6F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（4）专用合同条款及其附件；</w:t>
      </w:r>
    </w:p>
    <w:p w14:paraId="55A1501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（5）通用合同条款；</w:t>
      </w:r>
    </w:p>
    <w:p w14:paraId="13CBA4B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（6）技术标准和要求；</w:t>
      </w:r>
    </w:p>
    <w:p w14:paraId="35D5843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（7）图纸；</w:t>
      </w:r>
    </w:p>
    <w:p w14:paraId="5446909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（8）已标价工程量清单或预算书；</w:t>
      </w:r>
    </w:p>
    <w:p w14:paraId="546AEC8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（9）其他合同文件。</w:t>
      </w:r>
    </w:p>
    <w:p w14:paraId="6A98AA05">
      <w:pPr>
        <w:keepNext w:val="0"/>
        <w:keepLines w:val="0"/>
        <w:pageBreakBefore w:val="0"/>
        <w:widowControl/>
        <w:kinsoku/>
        <w:wordWrap/>
        <w:overflowPunct/>
        <w:topLinePunct w:val="0"/>
        <w:bidi w:val="0"/>
        <w:adjustRightInd/>
        <w:snapToGrid/>
        <w:spacing w:line="400" w:lineRule="exact"/>
        <w:ind w:firstLine="447"/>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上述各项合同文件包括合同当事人就该项合同文件所作出的补充和修改，属于同一类内容的文件，应以最新签署的为准。</w:t>
      </w:r>
    </w:p>
    <w:p w14:paraId="0279C0E6">
      <w:pPr>
        <w:keepNext w:val="0"/>
        <w:keepLines w:val="0"/>
        <w:pageBreakBefore w:val="0"/>
        <w:widowControl/>
        <w:kinsoku/>
        <w:wordWrap/>
        <w:overflowPunct/>
        <w:topLinePunct w:val="0"/>
        <w:bidi w:val="0"/>
        <w:adjustRightInd/>
        <w:snapToGrid/>
        <w:spacing w:line="400" w:lineRule="exact"/>
        <w:ind w:firstLine="447"/>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在合同订立及履行过程中形成的与合同有关的文件均构成合同文件组成部分，并根据其性质确定优先解释顺序。</w:t>
      </w:r>
    </w:p>
    <w:p w14:paraId="4793B7B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52" w:name="_Toc351203501"/>
      <w:r>
        <w:rPr>
          <w:rFonts w:hint="eastAsia" w:ascii="宋体" w:hAnsi="宋体" w:eastAsia="宋体" w:cs="宋体"/>
          <w:color w:val="auto"/>
          <w:kern w:val="0"/>
          <w:szCs w:val="21"/>
          <w:highlight w:val="none"/>
        </w:rPr>
        <w:t>1</w:t>
      </w:r>
      <w:bookmarkStart w:id="253" w:name="_Toc337558732"/>
      <w:bookmarkStart w:id="254" w:name="_Toc296503032"/>
      <w:bookmarkStart w:id="255" w:name="_Toc296346533"/>
      <w:r>
        <w:rPr>
          <w:rFonts w:hint="eastAsia" w:ascii="宋体" w:hAnsi="宋体" w:eastAsia="宋体" w:cs="宋体"/>
          <w:color w:val="auto"/>
          <w:kern w:val="0"/>
          <w:szCs w:val="21"/>
          <w:highlight w:val="none"/>
        </w:rPr>
        <w:t>.6图纸和承包人文件</w:t>
      </w:r>
      <w:bookmarkEnd w:id="252"/>
      <w:bookmarkEnd w:id="253"/>
      <w:bookmarkEnd w:id="254"/>
      <w:bookmarkEnd w:id="255"/>
    </w:p>
    <w:p w14:paraId="690FE88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 图纸的提供和交底</w:t>
      </w:r>
    </w:p>
    <w:p w14:paraId="0656A2A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2D581C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因发包人未按合同约定提供图纸导致承包人费用增加和（或）工期延误的，按照第7.5.1项〔因发包人原因导致工期延误〕约定办理。</w:t>
      </w:r>
    </w:p>
    <w:p w14:paraId="38D95F2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 图纸的错误</w:t>
      </w:r>
    </w:p>
    <w:p w14:paraId="697AA12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8D76B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1.6.3 图纸的修改和补充</w:t>
      </w:r>
    </w:p>
    <w:p w14:paraId="7CAF964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DC1EAF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1.6.4 承包人文件</w:t>
      </w:r>
    </w:p>
    <w:p w14:paraId="1351712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651353D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ED0164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1.6.5 图纸和承包人文件的保管</w:t>
      </w:r>
    </w:p>
    <w:p w14:paraId="705B747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46E2AA7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56" w:name="_Toc351203502"/>
      <w:r>
        <w:rPr>
          <w:rFonts w:hint="eastAsia" w:ascii="宋体" w:hAnsi="宋体" w:eastAsia="宋体" w:cs="宋体"/>
          <w:color w:val="auto"/>
          <w:kern w:val="0"/>
          <w:szCs w:val="21"/>
          <w:highlight w:val="none"/>
        </w:rPr>
        <w:t>1</w:t>
      </w:r>
      <w:bookmarkStart w:id="257" w:name="_Toc337558733"/>
      <w:bookmarkStart w:id="258" w:name="_Toc296346534"/>
      <w:bookmarkStart w:id="259" w:name="_Toc296503033"/>
      <w:r>
        <w:rPr>
          <w:rFonts w:hint="eastAsia" w:ascii="宋体" w:hAnsi="宋体" w:eastAsia="宋体" w:cs="宋体"/>
          <w:color w:val="auto"/>
          <w:kern w:val="0"/>
          <w:szCs w:val="21"/>
          <w:highlight w:val="none"/>
        </w:rPr>
        <w:t>.7联络</w:t>
      </w:r>
      <w:bookmarkEnd w:id="256"/>
      <w:bookmarkEnd w:id="257"/>
      <w:bookmarkEnd w:id="258"/>
      <w:bookmarkEnd w:id="259"/>
    </w:p>
    <w:p w14:paraId="5380BFD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671396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30505C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7CFF687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60" w:name="_Toc351203503"/>
      <w:r>
        <w:rPr>
          <w:rFonts w:hint="eastAsia" w:ascii="宋体" w:hAnsi="宋体" w:eastAsia="宋体" w:cs="宋体"/>
          <w:color w:val="auto"/>
          <w:kern w:val="0"/>
          <w:szCs w:val="21"/>
          <w:highlight w:val="none"/>
        </w:rPr>
        <w:t>1</w:t>
      </w:r>
      <w:bookmarkStart w:id="261" w:name="_Toc296503035"/>
      <w:bookmarkStart w:id="262" w:name="_Toc296346536"/>
      <w:bookmarkStart w:id="263" w:name="_Toc337558734"/>
      <w:r>
        <w:rPr>
          <w:rFonts w:hint="eastAsia" w:ascii="宋体" w:hAnsi="宋体" w:eastAsia="宋体" w:cs="宋体"/>
          <w:color w:val="auto"/>
          <w:kern w:val="0"/>
          <w:szCs w:val="21"/>
          <w:highlight w:val="none"/>
        </w:rPr>
        <w:t>.8严禁贿赂</w:t>
      </w:r>
      <w:bookmarkEnd w:id="260"/>
      <w:bookmarkEnd w:id="261"/>
      <w:bookmarkEnd w:id="262"/>
      <w:bookmarkEnd w:id="263"/>
    </w:p>
    <w:p w14:paraId="3422A5F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2AA4089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FE3906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64" w:name="_Toc351203504"/>
      <w:r>
        <w:rPr>
          <w:rFonts w:hint="eastAsia" w:ascii="宋体" w:hAnsi="宋体" w:eastAsia="宋体" w:cs="宋体"/>
          <w:color w:val="auto"/>
          <w:kern w:val="0"/>
          <w:szCs w:val="21"/>
          <w:highlight w:val="none"/>
        </w:rPr>
        <w:t>1</w:t>
      </w:r>
      <w:bookmarkStart w:id="265" w:name="_Toc337558735"/>
      <w:bookmarkStart w:id="266" w:name="_Toc296346537"/>
      <w:bookmarkStart w:id="267" w:name="_Toc296503036"/>
      <w:r>
        <w:rPr>
          <w:rFonts w:hint="eastAsia" w:ascii="宋体" w:hAnsi="宋体" w:eastAsia="宋体" w:cs="宋体"/>
          <w:color w:val="auto"/>
          <w:kern w:val="0"/>
          <w:szCs w:val="21"/>
          <w:highlight w:val="none"/>
        </w:rPr>
        <w:t>.9化石、文物</w:t>
      </w:r>
      <w:bookmarkEnd w:id="264"/>
      <w:bookmarkEnd w:id="265"/>
      <w:bookmarkEnd w:id="266"/>
      <w:bookmarkEnd w:id="267"/>
    </w:p>
    <w:p w14:paraId="06AE5B8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B0E790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发包人、监理人和承包人应按有关政府行政管理部门要求采取妥善的保护措施，由此增加的费用和（或）延误的工期由发包人承担。</w:t>
      </w:r>
    </w:p>
    <w:p w14:paraId="4AC545B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承包人发现文物后不及时报告或隐瞒不报，致使文物丢失或损坏的，应赔偿损失，并承担相应的法律责任。</w:t>
      </w:r>
    </w:p>
    <w:p w14:paraId="78ECC01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68" w:name="_Toc351203505"/>
      <w:r>
        <w:rPr>
          <w:rFonts w:hint="eastAsia" w:ascii="宋体" w:hAnsi="宋体" w:eastAsia="宋体" w:cs="宋体"/>
          <w:color w:val="auto"/>
          <w:kern w:val="0"/>
          <w:szCs w:val="21"/>
          <w:highlight w:val="none"/>
        </w:rPr>
        <w:t>1</w:t>
      </w:r>
      <w:bookmarkStart w:id="269" w:name="_Toc337558736"/>
      <w:r>
        <w:rPr>
          <w:rFonts w:hint="eastAsia" w:ascii="宋体" w:hAnsi="宋体" w:eastAsia="宋体" w:cs="宋体"/>
          <w:color w:val="auto"/>
          <w:kern w:val="0"/>
          <w:szCs w:val="21"/>
          <w:highlight w:val="none"/>
        </w:rPr>
        <w:t>.10交通运输</w:t>
      </w:r>
      <w:bookmarkEnd w:id="268"/>
      <w:bookmarkEnd w:id="269"/>
    </w:p>
    <w:p w14:paraId="55F1F9A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1.10.1 出入现场的权利</w:t>
      </w:r>
    </w:p>
    <w:p w14:paraId="7A88F6D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413FF4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22FECB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1.10.2 场外交通</w:t>
      </w:r>
    </w:p>
    <w:p w14:paraId="36954FF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EA830D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1.10.3场内交通</w:t>
      </w:r>
    </w:p>
    <w:p w14:paraId="20EFADA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3307B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A242E5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场外交通和场内交通的边界由合同当事人在专用合同条款中约定。</w:t>
      </w:r>
    </w:p>
    <w:p w14:paraId="0BA102F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1.10.4 超大件和超重件的运输</w:t>
      </w:r>
    </w:p>
    <w:p w14:paraId="706BFB6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0234D5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1.10.5 道路和桥梁的损坏责任</w:t>
      </w:r>
    </w:p>
    <w:p w14:paraId="635BCC7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因承包人运输造成施工场地内外公共道路和桥梁损坏的，由承包人承担修复损坏的全部费用和可能引起的赔偿。</w:t>
      </w:r>
    </w:p>
    <w:p w14:paraId="7755457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1.10.6 水路和航空运输</w:t>
      </w:r>
    </w:p>
    <w:p w14:paraId="19C38C4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15ECA3F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70" w:name="_Toc351203506"/>
      <w:r>
        <w:rPr>
          <w:rFonts w:hint="eastAsia" w:ascii="宋体" w:hAnsi="宋体" w:eastAsia="宋体" w:cs="宋体"/>
          <w:color w:val="auto"/>
          <w:kern w:val="0"/>
          <w:szCs w:val="21"/>
          <w:highlight w:val="none"/>
        </w:rPr>
        <w:t>1</w:t>
      </w:r>
      <w:bookmarkStart w:id="271" w:name="_Toc337558737"/>
      <w:bookmarkStart w:id="272" w:name="_Toc296503037"/>
      <w:bookmarkStart w:id="273" w:name="_Toc296346538"/>
      <w:r>
        <w:rPr>
          <w:rFonts w:hint="eastAsia" w:ascii="宋体" w:hAnsi="宋体" w:eastAsia="宋体" w:cs="宋体"/>
          <w:color w:val="auto"/>
          <w:kern w:val="0"/>
          <w:szCs w:val="21"/>
          <w:highlight w:val="none"/>
        </w:rPr>
        <w:t>.11知识产权</w:t>
      </w:r>
      <w:bookmarkEnd w:id="270"/>
      <w:r>
        <w:rPr>
          <w:rFonts w:hint="eastAsia" w:ascii="宋体" w:hAnsi="宋体" w:eastAsia="宋体" w:cs="宋体"/>
          <w:color w:val="auto"/>
          <w:kern w:val="0"/>
          <w:szCs w:val="21"/>
          <w:highlight w:val="none"/>
        </w:rPr>
        <w:t xml:space="preserve"> </w:t>
      </w:r>
      <w:bookmarkEnd w:id="271"/>
      <w:bookmarkEnd w:id="272"/>
      <w:bookmarkEnd w:id="273"/>
    </w:p>
    <w:p w14:paraId="24E90BF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B89A3B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EAE6AB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19DDE0C">
      <w:pPr>
        <w:keepNext w:val="0"/>
        <w:keepLines w:val="0"/>
        <w:pageBreakBefore w:val="0"/>
        <w:widowControl/>
        <w:kinsoku/>
        <w:wordWrap/>
        <w:overflowPunct/>
        <w:topLinePunct w:val="0"/>
        <w:bidi w:val="0"/>
        <w:adjustRightInd/>
        <w:snapToGrid/>
        <w:spacing w:line="40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1.11.4 除专用合同条款另有约定外，承包人在合同签订前和签订时已确定采用的专利、专有技术、技术秘密的使用费已包含在签约合同价中。</w:t>
      </w:r>
    </w:p>
    <w:p w14:paraId="02CD216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74" w:name="_Toc351203507"/>
      <w:r>
        <w:rPr>
          <w:rFonts w:hint="eastAsia" w:ascii="宋体" w:hAnsi="宋体" w:eastAsia="宋体" w:cs="宋体"/>
          <w:color w:val="auto"/>
          <w:kern w:val="0"/>
          <w:szCs w:val="21"/>
          <w:highlight w:val="none"/>
        </w:rPr>
        <w:t>1</w:t>
      </w:r>
      <w:bookmarkStart w:id="275" w:name="_Toc337558738"/>
      <w:r>
        <w:rPr>
          <w:rFonts w:hint="eastAsia" w:ascii="宋体" w:hAnsi="宋体" w:eastAsia="宋体" w:cs="宋体"/>
          <w:color w:val="auto"/>
          <w:kern w:val="0"/>
          <w:szCs w:val="21"/>
          <w:highlight w:val="none"/>
        </w:rPr>
        <w:t>.12保密</w:t>
      </w:r>
      <w:bookmarkEnd w:id="274"/>
      <w:bookmarkEnd w:id="275"/>
    </w:p>
    <w:p w14:paraId="2809F73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除法律规定或合同另有约定外，未经发包人同意，承包人不得将发包人提供的图纸、文件以及声明需要保密的资料信息等商业秘密泄露给第三方。</w:t>
      </w:r>
    </w:p>
    <w:p w14:paraId="308EA71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除法律规定或合同另有约定外，未经承包人同意，发包人不得将承包人提供的技术秘密及声明需要保密的资料信息等商业秘密泄露给第三方。</w:t>
      </w:r>
    </w:p>
    <w:p w14:paraId="7BCF7C9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76" w:name="_Toc351203508"/>
      <w:r>
        <w:rPr>
          <w:rFonts w:hint="eastAsia" w:ascii="宋体" w:hAnsi="宋体" w:eastAsia="宋体" w:cs="宋体"/>
          <w:color w:val="auto"/>
          <w:kern w:val="0"/>
          <w:szCs w:val="21"/>
          <w:highlight w:val="none"/>
        </w:rPr>
        <w:t>1.13工程量清单错误的修正</w:t>
      </w:r>
      <w:bookmarkEnd w:id="276"/>
    </w:p>
    <w:p w14:paraId="50DAC6C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除专用合同条款另有约定外，发包人提供的工程量清单，应被认为是准确的和完整的。出现下列情形之一时，发包人应予以修正，并相应调整合同价格：</w:t>
      </w:r>
    </w:p>
    <w:p w14:paraId="733D423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（1）工程量清单存在缺项、漏项的；</w:t>
      </w:r>
    </w:p>
    <w:p w14:paraId="0EB537F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（2）工程量清单偏差超出专用合同条款约定的工程量偏差范围的；</w:t>
      </w:r>
    </w:p>
    <w:p w14:paraId="096BD39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（3）未按照国家现行计量规范强制性规定计量的。</w:t>
      </w:r>
    </w:p>
    <w:p w14:paraId="17AA8DDA">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277" w:name="_Toc351203509"/>
      <w:bookmarkStart w:id="278" w:name="_Toc4035"/>
      <w:r>
        <w:rPr>
          <w:rFonts w:hint="eastAsia" w:ascii="宋体" w:hAnsi="宋体" w:eastAsia="宋体" w:cs="宋体"/>
          <w:color w:val="auto"/>
          <w:kern w:val="0"/>
          <w:szCs w:val="21"/>
          <w:highlight w:val="none"/>
        </w:rPr>
        <w:t>2</w:t>
      </w:r>
      <w:bookmarkStart w:id="279" w:name="_Toc337558739"/>
      <w:bookmarkStart w:id="280" w:name="_Toc296346539"/>
      <w:bookmarkStart w:id="281" w:name="_Toc296503038"/>
      <w:bookmarkStart w:id="282" w:name="OLE_LINK2"/>
      <w:r>
        <w:rPr>
          <w:rFonts w:hint="eastAsia" w:ascii="宋体" w:hAnsi="宋体" w:eastAsia="宋体" w:cs="宋体"/>
          <w:color w:val="auto"/>
          <w:kern w:val="0"/>
          <w:szCs w:val="21"/>
          <w:highlight w:val="none"/>
        </w:rPr>
        <w:t>. 发包人</w:t>
      </w:r>
      <w:bookmarkEnd w:id="277"/>
      <w:bookmarkEnd w:id="278"/>
      <w:bookmarkEnd w:id="279"/>
      <w:bookmarkEnd w:id="280"/>
      <w:bookmarkEnd w:id="281"/>
    </w:p>
    <w:p w14:paraId="44EE3C9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83" w:name="_Toc351203510"/>
      <w:r>
        <w:rPr>
          <w:rFonts w:hint="eastAsia" w:ascii="宋体" w:hAnsi="宋体" w:eastAsia="宋体" w:cs="宋体"/>
          <w:color w:val="auto"/>
          <w:kern w:val="0"/>
          <w:szCs w:val="21"/>
          <w:highlight w:val="none"/>
        </w:rPr>
        <w:t>2</w:t>
      </w:r>
      <w:bookmarkStart w:id="284" w:name="_Toc337558740"/>
      <w:bookmarkStart w:id="285" w:name="_Toc296346540"/>
      <w:bookmarkStart w:id="286" w:name="_Toc296503039"/>
      <w:r>
        <w:rPr>
          <w:rFonts w:hint="eastAsia" w:ascii="宋体" w:hAnsi="宋体" w:eastAsia="宋体" w:cs="宋体"/>
          <w:color w:val="auto"/>
          <w:kern w:val="0"/>
          <w:szCs w:val="21"/>
          <w:highlight w:val="none"/>
        </w:rPr>
        <w:t>.1 许可或批准</w:t>
      </w:r>
      <w:bookmarkEnd w:id="283"/>
    </w:p>
    <w:p w14:paraId="5D36B84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D73D40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因发包人原因未能及时办理完毕前述许可、批准或备案，由发包人承担由此增加的费用和（或）延误的工期，并支付承包人合理的利润。</w:t>
      </w:r>
    </w:p>
    <w:p w14:paraId="4B028CB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87" w:name="_Toc351203511"/>
      <w:r>
        <w:rPr>
          <w:rFonts w:hint="eastAsia" w:ascii="宋体" w:hAnsi="宋体" w:eastAsia="宋体" w:cs="宋体"/>
          <w:color w:val="auto"/>
          <w:kern w:val="0"/>
          <w:szCs w:val="21"/>
          <w:highlight w:val="none"/>
        </w:rPr>
        <w:t>2.2 发包人代表</w:t>
      </w:r>
      <w:bookmarkEnd w:id="287"/>
    </w:p>
    <w:p w14:paraId="15F6EF4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521DF3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发包人代表不能按照合同约定履行其职责及义务，并导致合同无法继续正常履行的，承包人可以要求发包人撤换发包人代表。</w:t>
      </w:r>
    </w:p>
    <w:p w14:paraId="1FA32E0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不属于法定必须监理的工程，监理人的职权可以由发包人代表或发包人指定的其他人员行使。</w:t>
      </w:r>
    </w:p>
    <w:p w14:paraId="7A101B0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88" w:name="_Toc351203512"/>
      <w:r>
        <w:rPr>
          <w:rFonts w:hint="eastAsia" w:ascii="宋体" w:hAnsi="宋体" w:eastAsia="宋体" w:cs="宋体"/>
          <w:color w:val="auto"/>
          <w:kern w:val="0"/>
          <w:szCs w:val="21"/>
          <w:highlight w:val="none"/>
        </w:rPr>
        <w:t>2.3 发包人人员</w:t>
      </w:r>
      <w:bookmarkEnd w:id="288"/>
    </w:p>
    <w:p w14:paraId="5ED6670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5B679F6D">
      <w:pPr>
        <w:keepNext w:val="0"/>
        <w:keepLines w:val="0"/>
        <w:pageBreakBefore w:val="0"/>
        <w:widowControl/>
        <w:kinsoku/>
        <w:wordWrap/>
        <w:overflowPunct/>
        <w:topLinePunct w:val="0"/>
        <w:bidi w:val="0"/>
        <w:adjustRightInd/>
        <w:snapToGrid/>
        <w:spacing w:line="400" w:lineRule="exact"/>
        <w:ind w:firstLine="64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发包人人员包括发包人代表及其他由发包人派驻施工现场的人员。</w:t>
      </w:r>
      <w:bookmarkEnd w:id="284"/>
      <w:bookmarkEnd w:id="285"/>
      <w:bookmarkEnd w:id="286"/>
    </w:p>
    <w:p w14:paraId="3D4BAB5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89" w:name="_Toc351203513"/>
      <w:r>
        <w:rPr>
          <w:rFonts w:hint="eastAsia" w:ascii="宋体" w:hAnsi="宋体" w:eastAsia="宋体" w:cs="宋体"/>
          <w:color w:val="auto"/>
          <w:kern w:val="0"/>
          <w:szCs w:val="21"/>
          <w:highlight w:val="none"/>
        </w:rPr>
        <w:t>2</w:t>
      </w:r>
      <w:bookmarkStart w:id="290" w:name="_Toc296346541"/>
      <w:bookmarkStart w:id="291" w:name="_Toc296503040"/>
      <w:bookmarkStart w:id="292" w:name="_Toc337558741"/>
      <w:r>
        <w:rPr>
          <w:rFonts w:hint="eastAsia" w:ascii="宋体" w:hAnsi="宋体" w:eastAsia="宋体" w:cs="宋体"/>
          <w:color w:val="auto"/>
          <w:kern w:val="0"/>
          <w:szCs w:val="21"/>
          <w:highlight w:val="none"/>
        </w:rPr>
        <w:t>.4 施工现场、施工条件和基础资料的提供</w:t>
      </w:r>
      <w:bookmarkEnd w:id="289"/>
      <w:r>
        <w:rPr>
          <w:rFonts w:hint="eastAsia" w:ascii="宋体" w:hAnsi="宋体" w:eastAsia="宋体" w:cs="宋体"/>
          <w:color w:val="auto"/>
          <w:kern w:val="0"/>
          <w:szCs w:val="21"/>
          <w:highlight w:val="none"/>
        </w:rPr>
        <w:t xml:space="preserve"> </w:t>
      </w:r>
      <w:bookmarkEnd w:id="290"/>
      <w:bookmarkEnd w:id="291"/>
      <w:bookmarkEnd w:id="292"/>
      <w:r>
        <w:rPr>
          <w:rFonts w:hint="eastAsia" w:ascii="宋体" w:hAnsi="宋体" w:eastAsia="宋体" w:cs="宋体"/>
          <w:color w:val="auto"/>
          <w:kern w:val="0"/>
          <w:szCs w:val="21"/>
          <w:highlight w:val="none"/>
        </w:rPr>
        <w:t xml:space="preserve"> </w:t>
      </w:r>
    </w:p>
    <w:p w14:paraId="375AB5B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 提供施工现场</w:t>
      </w:r>
    </w:p>
    <w:p w14:paraId="7DF28DD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w:t>
      </w:r>
      <w:bookmarkEnd w:id="282"/>
      <w:r>
        <w:rPr>
          <w:rFonts w:hint="eastAsia" w:ascii="宋体" w:hAnsi="宋体" w:eastAsia="宋体" w:cs="宋体"/>
          <w:color w:val="auto"/>
          <w:kern w:val="0"/>
          <w:szCs w:val="21"/>
          <w:highlight w:val="none"/>
        </w:rPr>
        <w:t>专用合同条款另有约定外，发包人应最迟于开工日期7天前向承包人移交施工现场。</w:t>
      </w:r>
    </w:p>
    <w:p w14:paraId="16B7658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2.4.2 提供施工条件</w:t>
      </w:r>
    </w:p>
    <w:p w14:paraId="592C8C1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除专用合同条款另有约定外，发包人应负责提供施工所需要的条件，包括：</w:t>
      </w:r>
    </w:p>
    <w:p w14:paraId="6E64FF8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（1）将施工用水、电力、通讯线路等施工所必需的条件接至施工现场内；</w:t>
      </w:r>
    </w:p>
    <w:p w14:paraId="55FCA96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（2）保证向承包人提供正常施工所需要的进入施工现场的交通条件；</w:t>
      </w:r>
    </w:p>
    <w:p w14:paraId="5B3E5F4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（3）协调处理施工现场周围地下管线和邻近建筑物、构筑物、古树名木的保护工作，并承担相关费用；</w:t>
      </w:r>
    </w:p>
    <w:p w14:paraId="14CBFA4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（4）按照专用合同条款约定应提供的其他设施和条件。</w:t>
      </w:r>
    </w:p>
    <w:p w14:paraId="6CE2CE2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2.4.3 提供基础资料</w:t>
      </w:r>
    </w:p>
    <w:p w14:paraId="2F3014C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6407BB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6631C40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2.4.4 逾期提供的责任</w:t>
      </w:r>
    </w:p>
    <w:p w14:paraId="55B8FD6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因发包人原因未能按合同约定及时向承包人提供施工现场、施工条件、基础资料的，由发包人承担由此增加的费用和（或）延误的工期。</w:t>
      </w:r>
    </w:p>
    <w:p w14:paraId="26CBD66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93" w:name="_Toc351203514"/>
      <w:r>
        <w:rPr>
          <w:rFonts w:hint="eastAsia" w:ascii="宋体" w:hAnsi="宋体" w:eastAsia="宋体" w:cs="宋体"/>
          <w:color w:val="auto"/>
          <w:kern w:val="0"/>
          <w:szCs w:val="21"/>
          <w:highlight w:val="none"/>
        </w:rPr>
        <w:t>2</w:t>
      </w:r>
      <w:bookmarkStart w:id="294" w:name="_Toc296346543"/>
      <w:bookmarkStart w:id="295" w:name="_Toc296503042"/>
      <w:bookmarkStart w:id="296" w:name="_Toc337558745"/>
      <w:r>
        <w:rPr>
          <w:rFonts w:hint="eastAsia" w:ascii="宋体" w:hAnsi="宋体" w:eastAsia="宋体" w:cs="宋体"/>
          <w:color w:val="auto"/>
          <w:kern w:val="0"/>
          <w:szCs w:val="21"/>
          <w:highlight w:val="none"/>
        </w:rPr>
        <w:t>.5 资</w:t>
      </w:r>
      <w:bookmarkEnd w:id="294"/>
      <w:bookmarkEnd w:id="295"/>
      <w:bookmarkEnd w:id="296"/>
      <w:r>
        <w:rPr>
          <w:rFonts w:hint="eastAsia" w:ascii="宋体" w:hAnsi="宋体" w:eastAsia="宋体" w:cs="宋体"/>
          <w:color w:val="auto"/>
          <w:kern w:val="0"/>
          <w:szCs w:val="21"/>
          <w:highlight w:val="none"/>
        </w:rPr>
        <w:t>金来源证明及支付担保</w:t>
      </w:r>
      <w:bookmarkEnd w:id="293"/>
    </w:p>
    <w:p w14:paraId="1B8C5C7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4702197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4F0895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97" w:name="_Toc351203515"/>
      <w:r>
        <w:rPr>
          <w:rFonts w:hint="eastAsia" w:ascii="宋体" w:hAnsi="宋体" w:eastAsia="宋体" w:cs="宋体"/>
          <w:color w:val="auto"/>
          <w:kern w:val="0"/>
          <w:szCs w:val="21"/>
          <w:highlight w:val="none"/>
        </w:rPr>
        <w:t>2.6 支付合同价款</w:t>
      </w:r>
      <w:bookmarkEnd w:id="297"/>
    </w:p>
    <w:p w14:paraId="6B81D24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发包人应按合同约定向承包人及时支付合同价款。</w:t>
      </w:r>
    </w:p>
    <w:p w14:paraId="23A97F8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98" w:name="_Toc351203516"/>
      <w:r>
        <w:rPr>
          <w:rFonts w:hint="eastAsia" w:ascii="宋体" w:hAnsi="宋体" w:eastAsia="宋体" w:cs="宋体"/>
          <w:color w:val="auto"/>
          <w:kern w:val="0"/>
          <w:szCs w:val="21"/>
          <w:highlight w:val="none"/>
        </w:rPr>
        <w:t>2.7 组织竣工验收</w:t>
      </w:r>
      <w:bookmarkEnd w:id="298"/>
    </w:p>
    <w:p w14:paraId="42A3F51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发包人应按合同约定及时组织竣工验收。</w:t>
      </w:r>
    </w:p>
    <w:p w14:paraId="22F8F4F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299" w:name="_Toc351203517"/>
      <w:r>
        <w:rPr>
          <w:rFonts w:hint="eastAsia" w:ascii="宋体" w:hAnsi="宋体" w:eastAsia="宋体" w:cs="宋体"/>
          <w:color w:val="auto"/>
          <w:kern w:val="0"/>
          <w:szCs w:val="21"/>
          <w:highlight w:val="none"/>
        </w:rPr>
        <w:t>2.8 现场统一管理协议</w:t>
      </w:r>
      <w:bookmarkEnd w:id="299"/>
    </w:p>
    <w:p w14:paraId="55CD4B0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3AD83D4E">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300" w:name="_Toc351203518"/>
      <w:bookmarkStart w:id="301" w:name="_Toc1128"/>
      <w:r>
        <w:rPr>
          <w:rFonts w:hint="eastAsia" w:ascii="宋体" w:hAnsi="宋体" w:eastAsia="宋体" w:cs="宋体"/>
          <w:color w:val="auto"/>
          <w:kern w:val="0"/>
          <w:szCs w:val="21"/>
          <w:highlight w:val="none"/>
        </w:rPr>
        <w:t>3</w:t>
      </w:r>
      <w:bookmarkStart w:id="302" w:name="_Toc296503045"/>
      <w:bookmarkStart w:id="303" w:name="_Toc337558746"/>
      <w:bookmarkStart w:id="304" w:name="_Toc296346546"/>
      <w:r>
        <w:rPr>
          <w:rFonts w:hint="eastAsia" w:ascii="宋体" w:hAnsi="宋体" w:eastAsia="宋体" w:cs="宋体"/>
          <w:color w:val="auto"/>
          <w:kern w:val="0"/>
          <w:szCs w:val="21"/>
          <w:highlight w:val="none"/>
        </w:rPr>
        <w:t>. 承包人</w:t>
      </w:r>
      <w:bookmarkEnd w:id="300"/>
      <w:bookmarkEnd w:id="301"/>
      <w:bookmarkEnd w:id="302"/>
      <w:bookmarkEnd w:id="303"/>
      <w:bookmarkEnd w:id="304"/>
    </w:p>
    <w:p w14:paraId="708FC9C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05" w:name="_Toc351203519"/>
      <w:r>
        <w:rPr>
          <w:rFonts w:hint="eastAsia" w:ascii="宋体" w:hAnsi="宋体" w:eastAsia="宋体" w:cs="宋体"/>
          <w:color w:val="auto"/>
          <w:kern w:val="0"/>
          <w:szCs w:val="21"/>
          <w:highlight w:val="none"/>
        </w:rPr>
        <w:t>3</w:t>
      </w:r>
      <w:bookmarkStart w:id="306" w:name="_Toc337558747"/>
      <w:bookmarkStart w:id="307" w:name="_Toc296346547"/>
      <w:bookmarkStart w:id="308" w:name="_Toc296503046"/>
      <w:r>
        <w:rPr>
          <w:rFonts w:hint="eastAsia" w:ascii="宋体" w:hAnsi="宋体" w:eastAsia="宋体" w:cs="宋体"/>
          <w:color w:val="auto"/>
          <w:kern w:val="0"/>
          <w:szCs w:val="21"/>
          <w:highlight w:val="none"/>
        </w:rPr>
        <w:t>.1 承包人的一般义务</w:t>
      </w:r>
      <w:bookmarkEnd w:id="305"/>
      <w:bookmarkEnd w:id="306"/>
      <w:bookmarkEnd w:id="307"/>
      <w:bookmarkEnd w:id="308"/>
    </w:p>
    <w:p w14:paraId="7739CFB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承包人在履行合同过程中应遵守法律和工程建设标准规范，并履行以下义务：</w:t>
      </w:r>
    </w:p>
    <w:p w14:paraId="555F6FED">
      <w:pPr>
        <w:keepNext w:val="0"/>
        <w:keepLines w:val="0"/>
        <w:pageBreakBefore w:val="0"/>
        <w:widowControl/>
        <w:numPr>
          <w:ilvl w:val="0"/>
          <w:numId w:val="5"/>
        </w:numPr>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办理法律规定应由承包人办理的许可和批准，并将办理结果书面报送发包人留存；</w:t>
      </w:r>
    </w:p>
    <w:p w14:paraId="4F3852F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（2）按法律规定和合同约定完成工程，并在保修期内承担保修义务；</w:t>
      </w:r>
    </w:p>
    <w:p w14:paraId="542ADCD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（3）按法律规定和合同约定采取施工安全和环境保护措施，办理工伤保险，确保工程及人员、材料、设备和设施的安全；</w:t>
      </w:r>
    </w:p>
    <w:p w14:paraId="787A52E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（4）按合同约定的工作内容和施工进度要求，编制施工组织设计和施工措施计划，并对所有施工作业和施工方法的完备性和安全可靠性负责；</w:t>
      </w:r>
    </w:p>
    <w:p w14:paraId="40961D6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A546DB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（6）按照第6.3款〔环境保护〕约定负责施工场地及其周边环境与生态的保护工作；</w:t>
      </w:r>
    </w:p>
    <w:p w14:paraId="46218D5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（7）按第6.1款〔安全文明施工〕约定采取施工安全措施，确保工程及其人员、材料、设备和设施的安全，防止因工程施工造成的人身伤害和财产损失；</w:t>
      </w:r>
    </w:p>
    <w:p w14:paraId="2914D11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（8）将发包人按合同约定支付的各项价款专用于合同工程，且应及时支付其雇用人员工资，并及时向分包人支付合同价款；</w:t>
      </w:r>
    </w:p>
    <w:p w14:paraId="00FBCB7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（9）按照法律规定和合同约定编制竣工资料，完成竣工资料立卷及归档，并按专用合同条款约定的竣工资料的套数、内容、时间等要求移交发包人；</w:t>
      </w:r>
    </w:p>
    <w:p w14:paraId="4CBB765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（10）应履行的其他义务。</w:t>
      </w:r>
    </w:p>
    <w:p w14:paraId="4CDA20F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09" w:name="_Toc351203520"/>
      <w:r>
        <w:rPr>
          <w:rFonts w:hint="eastAsia" w:ascii="宋体" w:hAnsi="宋体" w:eastAsia="宋体" w:cs="宋体"/>
          <w:color w:val="auto"/>
          <w:kern w:val="0"/>
          <w:szCs w:val="21"/>
          <w:highlight w:val="none"/>
        </w:rPr>
        <w:t>3</w:t>
      </w:r>
      <w:bookmarkStart w:id="310" w:name="_Toc296346548"/>
      <w:bookmarkStart w:id="311" w:name="_Toc337558748"/>
      <w:bookmarkStart w:id="312" w:name="_Toc296503047"/>
      <w:r>
        <w:rPr>
          <w:rFonts w:hint="eastAsia" w:ascii="宋体" w:hAnsi="宋体" w:eastAsia="宋体" w:cs="宋体"/>
          <w:color w:val="auto"/>
          <w:kern w:val="0"/>
          <w:szCs w:val="21"/>
          <w:highlight w:val="none"/>
        </w:rPr>
        <w:t xml:space="preserve">.2 </w:t>
      </w:r>
      <w:bookmarkEnd w:id="309"/>
      <w:r>
        <w:rPr>
          <w:rFonts w:hint="eastAsia" w:ascii="宋体" w:hAnsi="宋体" w:eastAsia="宋体" w:cs="宋体"/>
          <w:color w:val="auto"/>
          <w:kern w:val="0"/>
          <w:szCs w:val="21"/>
          <w:highlight w:val="none"/>
        </w:rPr>
        <w:t>项目经理</w:t>
      </w:r>
      <w:bookmarkEnd w:id="310"/>
      <w:bookmarkEnd w:id="311"/>
      <w:bookmarkEnd w:id="312"/>
    </w:p>
    <w:p w14:paraId="7291F2E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31BAA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67A811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承包人违反上述约定的，应按照专用合同条款的约定，承担违约责任。</w:t>
      </w:r>
    </w:p>
    <w:p w14:paraId="7C2208F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B48D00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1747C0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679CB3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ACC35D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13" w:name="_Toc351203521"/>
      <w:r>
        <w:rPr>
          <w:rFonts w:hint="eastAsia" w:ascii="宋体" w:hAnsi="宋体" w:eastAsia="宋体" w:cs="宋体"/>
          <w:color w:val="auto"/>
          <w:kern w:val="0"/>
          <w:szCs w:val="21"/>
          <w:highlight w:val="none"/>
        </w:rPr>
        <w:t>3</w:t>
      </w:r>
      <w:bookmarkStart w:id="314" w:name="_Toc296503048"/>
      <w:bookmarkStart w:id="315" w:name="_Toc296346549"/>
      <w:bookmarkStart w:id="316" w:name="_Toc337558749"/>
      <w:r>
        <w:rPr>
          <w:rFonts w:hint="eastAsia" w:ascii="宋体" w:hAnsi="宋体" w:eastAsia="宋体" w:cs="宋体"/>
          <w:color w:val="auto"/>
          <w:kern w:val="0"/>
          <w:szCs w:val="21"/>
          <w:highlight w:val="none"/>
        </w:rPr>
        <w:t xml:space="preserve">.3 </w:t>
      </w:r>
      <w:bookmarkEnd w:id="314"/>
      <w:bookmarkEnd w:id="315"/>
      <w:r>
        <w:rPr>
          <w:rFonts w:hint="eastAsia" w:ascii="宋体" w:hAnsi="宋体" w:eastAsia="宋体" w:cs="宋体"/>
          <w:color w:val="auto"/>
          <w:kern w:val="0"/>
          <w:szCs w:val="21"/>
          <w:highlight w:val="none"/>
        </w:rPr>
        <w:t>承包人人员</w:t>
      </w:r>
      <w:bookmarkEnd w:id="313"/>
      <w:bookmarkEnd w:id="316"/>
    </w:p>
    <w:p w14:paraId="27B0090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E55F4C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795CA0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特殊工种作业人员均应持有相应的资格证明，监理人可以随时检查。</w:t>
      </w:r>
    </w:p>
    <w:p w14:paraId="1BE0315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BD6367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FD35B4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3.3.5 承包人擅自更换主要施工管理人员，或前述人员未经监理人或发包人同意擅自离开施工现场的，应按照专用合同条款约定承担违约责任。</w:t>
      </w:r>
    </w:p>
    <w:p w14:paraId="0F60338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17" w:name="_Toc351203522"/>
      <w:r>
        <w:rPr>
          <w:rFonts w:hint="eastAsia" w:ascii="宋体" w:hAnsi="宋体" w:eastAsia="宋体" w:cs="宋体"/>
          <w:color w:val="auto"/>
          <w:kern w:val="0"/>
          <w:szCs w:val="21"/>
          <w:highlight w:val="none"/>
        </w:rPr>
        <w:t>3</w:t>
      </w:r>
      <w:bookmarkStart w:id="318" w:name="_Toc296503050"/>
      <w:bookmarkStart w:id="319" w:name="_Toc296346551"/>
      <w:bookmarkStart w:id="320" w:name="_Toc337558750"/>
      <w:r>
        <w:rPr>
          <w:rFonts w:hint="eastAsia" w:ascii="宋体" w:hAnsi="宋体" w:eastAsia="宋体" w:cs="宋体"/>
          <w:color w:val="auto"/>
          <w:kern w:val="0"/>
          <w:szCs w:val="21"/>
          <w:highlight w:val="none"/>
        </w:rPr>
        <w:t>.4 承包人现场查勘</w:t>
      </w:r>
      <w:bookmarkEnd w:id="317"/>
      <w:bookmarkEnd w:id="318"/>
      <w:bookmarkEnd w:id="319"/>
      <w:bookmarkEnd w:id="320"/>
    </w:p>
    <w:p w14:paraId="7B6E70C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0C44E37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4FF9EA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21" w:name="_Toc351203523"/>
      <w:r>
        <w:rPr>
          <w:rFonts w:hint="eastAsia" w:ascii="宋体" w:hAnsi="宋体" w:eastAsia="宋体" w:cs="宋体"/>
          <w:color w:val="auto"/>
          <w:kern w:val="0"/>
          <w:szCs w:val="21"/>
          <w:highlight w:val="none"/>
        </w:rPr>
        <w:t>3</w:t>
      </w:r>
      <w:bookmarkStart w:id="322" w:name="_Toc337558751"/>
      <w:bookmarkStart w:id="323" w:name="_Toc296346552"/>
      <w:bookmarkStart w:id="324" w:name="_Toc296503051"/>
      <w:r>
        <w:rPr>
          <w:rFonts w:hint="eastAsia" w:ascii="宋体" w:hAnsi="宋体" w:eastAsia="宋体" w:cs="宋体"/>
          <w:color w:val="auto"/>
          <w:kern w:val="0"/>
          <w:szCs w:val="21"/>
          <w:highlight w:val="none"/>
        </w:rPr>
        <w:t>.5 分包</w:t>
      </w:r>
      <w:bookmarkEnd w:id="321"/>
      <w:bookmarkEnd w:id="322"/>
      <w:bookmarkEnd w:id="323"/>
      <w:bookmarkEnd w:id="324"/>
    </w:p>
    <w:p w14:paraId="329A5F8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3.5.1 分包的一般约定</w:t>
      </w:r>
    </w:p>
    <w:p w14:paraId="79D1069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BF4B98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承包人不得以劳务分包的名义转包或违法分包工程。</w:t>
      </w:r>
    </w:p>
    <w:p w14:paraId="79B212A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 分包的确定</w:t>
      </w:r>
    </w:p>
    <w:p w14:paraId="24CCB3D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43FAA8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分包管理</w:t>
      </w:r>
    </w:p>
    <w:p w14:paraId="7BB74D5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76C6863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分包合同价款</w:t>
      </w:r>
    </w:p>
    <w:p w14:paraId="74DF69D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495DBC3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（2）生效法律文书要求发包人向分包人支付分包合同价款的，发包人有权从应付承包人工程款中扣除该部分款项。</w:t>
      </w:r>
    </w:p>
    <w:p w14:paraId="110D6CD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分包合同权益的转让</w:t>
      </w:r>
    </w:p>
    <w:p w14:paraId="6F282C3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5" w:name="_Toc351203524"/>
    </w:p>
    <w:p w14:paraId="1912E1E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 工程照管与成品、半成品保护</w:t>
      </w:r>
      <w:bookmarkEnd w:id="325"/>
    </w:p>
    <w:p w14:paraId="0C1F3C1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4940350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（2）在承包人负责照管期间，因承包人原因造成工程、材料、工程设备损坏的，由承包人负责修复或更换，并承担由此增加的费用和（或）延误的工期。</w:t>
      </w:r>
    </w:p>
    <w:p w14:paraId="4A73C07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573C2D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26" w:name="_Toc351203525"/>
      <w:r>
        <w:rPr>
          <w:rFonts w:hint="eastAsia" w:ascii="宋体" w:hAnsi="宋体" w:eastAsia="宋体" w:cs="宋体"/>
          <w:color w:val="auto"/>
          <w:kern w:val="0"/>
          <w:szCs w:val="21"/>
          <w:highlight w:val="none"/>
        </w:rPr>
        <w:t>3</w:t>
      </w:r>
      <w:bookmarkStart w:id="327" w:name="_Toc296503052"/>
      <w:bookmarkStart w:id="328" w:name="_Toc337558752"/>
      <w:bookmarkStart w:id="329" w:name="_Toc296346553"/>
      <w:r>
        <w:rPr>
          <w:rFonts w:hint="eastAsia" w:ascii="宋体" w:hAnsi="宋体" w:eastAsia="宋体" w:cs="宋体"/>
          <w:color w:val="auto"/>
          <w:kern w:val="0"/>
          <w:szCs w:val="21"/>
          <w:highlight w:val="none"/>
        </w:rPr>
        <w:t>.7 履约担保</w:t>
      </w:r>
      <w:bookmarkEnd w:id="326"/>
      <w:bookmarkEnd w:id="327"/>
      <w:bookmarkEnd w:id="328"/>
      <w:bookmarkEnd w:id="329"/>
    </w:p>
    <w:p w14:paraId="171BE4A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04E725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65B4629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30" w:name="_Toc351203526"/>
      <w:r>
        <w:rPr>
          <w:rFonts w:hint="eastAsia" w:ascii="宋体" w:hAnsi="宋体" w:eastAsia="宋体" w:cs="宋体"/>
          <w:color w:val="auto"/>
          <w:kern w:val="0"/>
          <w:szCs w:val="21"/>
          <w:highlight w:val="none"/>
        </w:rPr>
        <w:t>3.8 联合体</w:t>
      </w:r>
      <w:bookmarkEnd w:id="330"/>
    </w:p>
    <w:p w14:paraId="0C23FA4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 联合体各方应共同与发包人签订合同协议书。联合体各方应为履行合同向发包人承担连带责任。</w:t>
      </w:r>
    </w:p>
    <w:p w14:paraId="5A17EFB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3.8.2 联合体协议经发包人确认后作为合同附件。在履行合同过程中，未经发包人同意，不得修改联合体协议。</w:t>
      </w:r>
    </w:p>
    <w:p w14:paraId="01B3A16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3.8.3 联合体牵头人负责与发包人和监理人联系，并接受指示，负责组织联合体各成员全面履行合同。</w:t>
      </w:r>
    </w:p>
    <w:p w14:paraId="33BC4434">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331" w:name="_Toc351203527"/>
      <w:bookmarkStart w:id="332" w:name="_Toc9233"/>
      <w:r>
        <w:rPr>
          <w:rFonts w:hint="eastAsia" w:ascii="宋体" w:hAnsi="宋体" w:eastAsia="宋体" w:cs="宋体"/>
          <w:color w:val="auto"/>
          <w:kern w:val="0"/>
          <w:szCs w:val="21"/>
          <w:highlight w:val="none"/>
        </w:rPr>
        <w:t>4</w:t>
      </w:r>
      <w:bookmarkStart w:id="333" w:name="_Toc296503053"/>
      <w:bookmarkStart w:id="334" w:name="_Toc296346554"/>
      <w:bookmarkStart w:id="335" w:name="_Toc337558753"/>
      <w:r>
        <w:rPr>
          <w:rFonts w:hint="eastAsia" w:ascii="宋体" w:hAnsi="宋体" w:eastAsia="宋体" w:cs="宋体"/>
          <w:color w:val="auto"/>
          <w:kern w:val="0"/>
          <w:szCs w:val="21"/>
          <w:highlight w:val="none"/>
        </w:rPr>
        <w:t>. 监</w:t>
      </w:r>
      <w:bookmarkEnd w:id="333"/>
      <w:bookmarkEnd w:id="334"/>
      <w:r>
        <w:rPr>
          <w:rFonts w:hint="eastAsia" w:ascii="宋体" w:hAnsi="宋体" w:eastAsia="宋体" w:cs="宋体"/>
          <w:color w:val="auto"/>
          <w:kern w:val="0"/>
          <w:szCs w:val="21"/>
          <w:highlight w:val="none"/>
        </w:rPr>
        <w:t>理人</w:t>
      </w:r>
      <w:bookmarkEnd w:id="331"/>
      <w:bookmarkEnd w:id="332"/>
      <w:bookmarkEnd w:id="335"/>
    </w:p>
    <w:p w14:paraId="45D6A4B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36" w:name="_Toc351203528"/>
      <w:r>
        <w:rPr>
          <w:rFonts w:hint="eastAsia" w:ascii="宋体" w:hAnsi="宋体" w:eastAsia="宋体" w:cs="宋体"/>
          <w:color w:val="auto"/>
          <w:kern w:val="0"/>
          <w:szCs w:val="21"/>
          <w:highlight w:val="none"/>
        </w:rPr>
        <w:t>4</w:t>
      </w:r>
      <w:bookmarkStart w:id="337" w:name="_Toc296503054"/>
      <w:bookmarkStart w:id="338" w:name="_Toc296346555"/>
      <w:bookmarkStart w:id="339" w:name="_Toc337558754"/>
      <w:r>
        <w:rPr>
          <w:rFonts w:hint="eastAsia" w:ascii="宋体" w:hAnsi="宋体" w:eastAsia="宋体" w:cs="宋体"/>
          <w:color w:val="auto"/>
          <w:kern w:val="0"/>
          <w:szCs w:val="21"/>
          <w:highlight w:val="none"/>
        </w:rPr>
        <w:t>.1监理人的一般规定</w:t>
      </w:r>
      <w:bookmarkEnd w:id="336"/>
      <w:bookmarkEnd w:id="337"/>
      <w:bookmarkEnd w:id="338"/>
      <w:bookmarkEnd w:id="339"/>
    </w:p>
    <w:p w14:paraId="5BAA715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C77A2E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除专用合同条款另有约定外，监理人在施工现场的办公场所、生活场所由承包人提供，所发生的费用由发包人承担。</w:t>
      </w:r>
    </w:p>
    <w:p w14:paraId="7E1DF3B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40" w:name="_Toc351203529"/>
      <w:r>
        <w:rPr>
          <w:rFonts w:hint="eastAsia" w:ascii="宋体" w:hAnsi="宋体" w:eastAsia="宋体" w:cs="宋体"/>
          <w:color w:val="auto"/>
          <w:kern w:val="0"/>
          <w:szCs w:val="21"/>
          <w:highlight w:val="none"/>
        </w:rPr>
        <w:t>4</w:t>
      </w:r>
      <w:bookmarkStart w:id="341" w:name="_Toc337558755"/>
      <w:r>
        <w:rPr>
          <w:rFonts w:hint="eastAsia" w:ascii="宋体" w:hAnsi="宋体" w:eastAsia="宋体" w:cs="宋体"/>
          <w:color w:val="auto"/>
          <w:kern w:val="0"/>
          <w:szCs w:val="21"/>
          <w:highlight w:val="none"/>
        </w:rPr>
        <w:t>.2监理人员</w:t>
      </w:r>
      <w:bookmarkEnd w:id="340"/>
      <w:bookmarkEnd w:id="341"/>
    </w:p>
    <w:p w14:paraId="3EA13D2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E096F2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42" w:name="_Toc351203530"/>
      <w:r>
        <w:rPr>
          <w:rFonts w:hint="eastAsia" w:ascii="宋体" w:hAnsi="宋体" w:eastAsia="宋体" w:cs="宋体"/>
          <w:color w:val="auto"/>
          <w:kern w:val="0"/>
          <w:szCs w:val="21"/>
          <w:highlight w:val="none"/>
        </w:rPr>
        <w:t>4</w:t>
      </w:r>
      <w:bookmarkStart w:id="343" w:name="_Toc296346556"/>
      <w:bookmarkStart w:id="344" w:name="_Toc296503055"/>
      <w:bookmarkStart w:id="345" w:name="_Toc337558756"/>
      <w:r>
        <w:rPr>
          <w:rFonts w:hint="eastAsia" w:ascii="宋体" w:hAnsi="宋体" w:eastAsia="宋体" w:cs="宋体"/>
          <w:color w:val="auto"/>
          <w:kern w:val="0"/>
          <w:szCs w:val="21"/>
          <w:highlight w:val="none"/>
        </w:rPr>
        <w:t>.3</w:t>
      </w:r>
      <w:bookmarkEnd w:id="343"/>
      <w:bookmarkEnd w:id="344"/>
      <w:r>
        <w:rPr>
          <w:rFonts w:hint="eastAsia" w:ascii="宋体" w:hAnsi="宋体" w:eastAsia="宋体" w:cs="宋体"/>
          <w:color w:val="auto"/>
          <w:kern w:val="0"/>
          <w:szCs w:val="21"/>
          <w:highlight w:val="none"/>
        </w:rPr>
        <w:t>监理人的指</w:t>
      </w:r>
      <w:bookmarkEnd w:id="345"/>
      <w:r>
        <w:rPr>
          <w:rFonts w:hint="eastAsia" w:ascii="宋体" w:hAnsi="宋体" w:eastAsia="宋体" w:cs="宋体"/>
          <w:color w:val="auto"/>
          <w:kern w:val="0"/>
          <w:szCs w:val="21"/>
          <w:highlight w:val="none"/>
        </w:rPr>
        <w:t>示</w:t>
      </w:r>
      <w:bookmarkEnd w:id="342"/>
    </w:p>
    <w:p w14:paraId="754C018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FABD1D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5E7FBE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6321981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886E47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46" w:name="_Toc351203531"/>
      <w:r>
        <w:rPr>
          <w:rFonts w:hint="eastAsia" w:ascii="宋体" w:hAnsi="宋体" w:eastAsia="宋体" w:cs="宋体"/>
          <w:color w:val="auto"/>
          <w:kern w:val="0"/>
          <w:szCs w:val="21"/>
          <w:highlight w:val="none"/>
        </w:rPr>
        <w:t>4</w:t>
      </w:r>
      <w:bookmarkStart w:id="347" w:name="_Toc337558757"/>
      <w:bookmarkStart w:id="348" w:name="_Toc296503057"/>
      <w:bookmarkStart w:id="349" w:name="_Toc296346558"/>
      <w:r>
        <w:rPr>
          <w:rFonts w:hint="eastAsia" w:ascii="宋体" w:hAnsi="宋体" w:eastAsia="宋体" w:cs="宋体"/>
          <w:color w:val="auto"/>
          <w:kern w:val="0"/>
          <w:szCs w:val="21"/>
          <w:highlight w:val="none"/>
        </w:rPr>
        <w:t>.4 商定或确定</w:t>
      </w:r>
      <w:bookmarkEnd w:id="346"/>
      <w:bookmarkEnd w:id="347"/>
      <w:bookmarkEnd w:id="348"/>
      <w:bookmarkEnd w:id="349"/>
    </w:p>
    <w:p w14:paraId="54B0AF5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570FF26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F02EEAA">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350" w:name="_Toc351203532"/>
      <w:bookmarkStart w:id="351" w:name="_Toc22133"/>
      <w:r>
        <w:rPr>
          <w:rFonts w:hint="eastAsia" w:ascii="宋体" w:hAnsi="宋体" w:eastAsia="宋体" w:cs="宋体"/>
          <w:color w:val="auto"/>
          <w:kern w:val="0"/>
          <w:szCs w:val="21"/>
          <w:highlight w:val="none"/>
        </w:rPr>
        <w:t>5</w:t>
      </w:r>
      <w:bookmarkStart w:id="352" w:name="_Toc337558758"/>
      <w:r>
        <w:rPr>
          <w:rFonts w:hint="eastAsia" w:ascii="宋体" w:hAnsi="宋体" w:eastAsia="宋体" w:cs="宋体"/>
          <w:color w:val="auto"/>
          <w:kern w:val="0"/>
          <w:szCs w:val="21"/>
          <w:highlight w:val="none"/>
        </w:rPr>
        <w:t>. 工程质量</w:t>
      </w:r>
      <w:bookmarkEnd w:id="350"/>
      <w:bookmarkEnd w:id="351"/>
      <w:bookmarkEnd w:id="352"/>
    </w:p>
    <w:p w14:paraId="63C176C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53" w:name="_Toc351203533"/>
      <w:r>
        <w:rPr>
          <w:rFonts w:hint="eastAsia" w:ascii="宋体" w:hAnsi="宋体" w:eastAsia="宋体" w:cs="宋体"/>
          <w:color w:val="auto"/>
          <w:kern w:val="0"/>
          <w:szCs w:val="21"/>
          <w:highlight w:val="none"/>
        </w:rPr>
        <w:t>5</w:t>
      </w:r>
      <w:bookmarkStart w:id="354" w:name="_Toc337558759"/>
      <w:r>
        <w:rPr>
          <w:rFonts w:hint="eastAsia" w:ascii="宋体" w:hAnsi="宋体" w:eastAsia="宋体" w:cs="宋体"/>
          <w:color w:val="auto"/>
          <w:kern w:val="0"/>
          <w:szCs w:val="21"/>
          <w:highlight w:val="none"/>
        </w:rPr>
        <w:t>.1质量要求</w:t>
      </w:r>
      <w:bookmarkEnd w:id="353"/>
      <w:bookmarkEnd w:id="354"/>
    </w:p>
    <w:p w14:paraId="0B9CB10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6293F67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5.1.2 因发包人原因造成工程质量未达到合同约定标准的，由发包人承担由此增加的费用和（或）延误的工期，并支付承包人合理的利润。</w:t>
      </w:r>
    </w:p>
    <w:p w14:paraId="6AF99CD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5427167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55" w:name="_Toc351203534"/>
      <w:r>
        <w:rPr>
          <w:rFonts w:hint="eastAsia" w:ascii="宋体" w:hAnsi="宋体" w:eastAsia="宋体" w:cs="宋体"/>
          <w:color w:val="auto"/>
          <w:kern w:val="0"/>
          <w:szCs w:val="21"/>
          <w:highlight w:val="none"/>
        </w:rPr>
        <w:t>5</w:t>
      </w:r>
      <w:bookmarkStart w:id="356" w:name="_Toc337558760"/>
      <w:r>
        <w:rPr>
          <w:rFonts w:hint="eastAsia" w:ascii="宋体" w:hAnsi="宋体" w:eastAsia="宋体" w:cs="宋体"/>
          <w:color w:val="auto"/>
          <w:kern w:val="0"/>
          <w:szCs w:val="21"/>
          <w:highlight w:val="none"/>
        </w:rPr>
        <w:t>.2质量保证措施</w:t>
      </w:r>
      <w:bookmarkEnd w:id="355"/>
      <w:bookmarkEnd w:id="356"/>
    </w:p>
    <w:p w14:paraId="41818D4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5.2.1 发包人的质量管理</w:t>
      </w:r>
    </w:p>
    <w:p w14:paraId="52BAEE7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发包人应按照法律规定及合同约定完成与工程质量有关的各项工作。</w:t>
      </w:r>
    </w:p>
    <w:p w14:paraId="684D4E2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 承包人的质量管理</w:t>
      </w:r>
    </w:p>
    <w:p w14:paraId="3BD63FD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916CAA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承包人应对施工人员进行质量教育和技术培训，定期考核施工人员的劳动技能，严格执行施工规范和操作规程。</w:t>
      </w:r>
    </w:p>
    <w:p w14:paraId="74B2776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5F7760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5.2.3 监理人的质量检查和检验</w:t>
      </w:r>
    </w:p>
    <w:p w14:paraId="57A9795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D3E0F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66469D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57" w:name="_Toc351203535"/>
      <w:r>
        <w:rPr>
          <w:rFonts w:hint="eastAsia" w:ascii="宋体" w:hAnsi="宋体" w:eastAsia="宋体" w:cs="宋体"/>
          <w:color w:val="auto"/>
          <w:kern w:val="0"/>
          <w:szCs w:val="21"/>
          <w:highlight w:val="none"/>
        </w:rPr>
        <w:t>5</w:t>
      </w:r>
      <w:bookmarkStart w:id="358" w:name="_Toc337558761"/>
      <w:r>
        <w:rPr>
          <w:rFonts w:hint="eastAsia" w:ascii="宋体" w:hAnsi="宋体" w:eastAsia="宋体" w:cs="宋体"/>
          <w:color w:val="auto"/>
          <w:kern w:val="0"/>
          <w:szCs w:val="21"/>
          <w:highlight w:val="none"/>
        </w:rPr>
        <w:t>.3 隐蔽工程检查</w:t>
      </w:r>
      <w:bookmarkEnd w:id="357"/>
      <w:bookmarkEnd w:id="358"/>
    </w:p>
    <w:p w14:paraId="418EAD5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5.3.1承包人自检</w:t>
      </w:r>
    </w:p>
    <w:p w14:paraId="69488F2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承包人应当对工程隐蔽部位进行自检，并经自检确认是否具备覆盖条件。</w:t>
      </w:r>
    </w:p>
    <w:p w14:paraId="39BDE39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5.3.2检查程序</w:t>
      </w:r>
    </w:p>
    <w:p w14:paraId="4C34603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BF41C1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8FB8CD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3FAECA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5.3.3 重新检查</w:t>
      </w:r>
    </w:p>
    <w:p w14:paraId="1AB0A33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9218A6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5.3.4 承包人私自覆盖</w:t>
      </w:r>
    </w:p>
    <w:p w14:paraId="7E1ADAA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F5CBC3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59" w:name="_Toc351203536"/>
      <w:r>
        <w:rPr>
          <w:rFonts w:hint="eastAsia" w:ascii="宋体" w:hAnsi="宋体" w:eastAsia="宋体" w:cs="宋体"/>
          <w:color w:val="auto"/>
          <w:kern w:val="0"/>
          <w:szCs w:val="21"/>
          <w:highlight w:val="none"/>
        </w:rPr>
        <w:t>5</w:t>
      </w:r>
      <w:bookmarkStart w:id="360" w:name="_Toc337558762"/>
      <w:r>
        <w:rPr>
          <w:rFonts w:hint="eastAsia" w:ascii="宋体" w:hAnsi="宋体" w:eastAsia="宋体" w:cs="宋体"/>
          <w:color w:val="auto"/>
          <w:kern w:val="0"/>
          <w:szCs w:val="21"/>
          <w:highlight w:val="none"/>
        </w:rPr>
        <w:t>.4不合格工程的处理</w:t>
      </w:r>
      <w:bookmarkEnd w:id="359"/>
      <w:bookmarkEnd w:id="360"/>
    </w:p>
    <w:p w14:paraId="26EFDAD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B6B07B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5.4.2 因发包人原因造成工程不合格的，由此增加的费用和（或）延误的工期由发包人承担，并支付承包人合理的利润。</w:t>
      </w:r>
    </w:p>
    <w:p w14:paraId="3C8E810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61" w:name="_Toc351203537"/>
      <w:r>
        <w:rPr>
          <w:rFonts w:hint="eastAsia" w:ascii="宋体" w:hAnsi="宋体" w:eastAsia="宋体" w:cs="宋体"/>
          <w:color w:val="auto"/>
          <w:kern w:val="0"/>
          <w:szCs w:val="21"/>
          <w:highlight w:val="none"/>
        </w:rPr>
        <w:t>5.5 质量争议检测</w:t>
      </w:r>
      <w:bookmarkEnd w:id="361"/>
    </w:p>
    <w:p w14:paraId="09D2EE3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合同当事人对工程质量有争议的，由双方协商确定的工程质量检测机构鉴定，由此产生的费用及因此造成的损失，由责任方承担。</w:t>
      </w:r>
    </w:p>
    <w:p w14:paraId="06DD902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合同当事人均有责任的，由双方根据其责任分别承担。合同当事人无法达成一致的，按照第4.4款〔商定或确定〕执行。</w:t>
      </w:r>
    </w:p>
    <w:p w14:paraId="14B77ECD">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362" w:name="_Toc351203538"/>
      <w:bookmarkStart w:id="363" w:name="_Toc27910"/>
      <w:r>
        <w:rPr>
          <w:rFonts w:hint="eastAsia" w:ascii="宋体" w:hAnsi="宋体" w:eastAsia="宋体" w:cs="宋体"/>
          <w:color w:val="auto"/>
          <w:kern w:val="0"/>
          <w:szCs w:val="21"/>
          <w:highlight w:val="none"/>
        </w:rPr>
        <w:t>6</w:t>
      </w:r>
      <w:bookmarkStart w:id="364" w:name="_Toc337558763"/>
      <w:r>
        <w:rPr>
          <w:rFonts w:hint="eastAsia" w:ascii="宋体" w:hAnsi="宋体" w:eastAsia="宋体" w:cs="宋体"/>
          <w:color w:val="auto"/>
          <w:kern w:val="0"/>
          <w:szCs w:val="21"/>
          <w:highlight w:val="none"/>
        </w:rPr>
        <w:t>. 安全文明施工与环境保护</w:t>
      </w:r>
      <w:bookmarkEnd w:id="362"/>
      <w:bookmarkEnd w:id="363"/>
      <w:bookmarkEnd w:id="364"/>
    </w:p>
    <w:p w14:paraId="3E1C9C6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65" w:name="_Toc351203539"/>
      <w:r>
        <w:rPr>
          <w:rFonts w:hint="eastAsia" w:ascii="宋体" w:hAnsi="宋体" w:eastAsia="宋体" w:cs="宋体"/>
          <w:color w:val="auto"/>
          <w:kern w:val="0"/>
          <w:szCs w:val="21"/>
          <w:highlight w:val="none"/>
        </w:rPr>
        <w:t>6</w:t>
      </w:r>
      <w:bookmarkStart w:id="366" w:name="_Toc337558764"/>
      <w:r>
        <w:rPr>
          <w:rFonts w:hint="eastAsia" w:ascii="宋体" w:hAnsi="宋体" w:eastAsia="宋体" w:cs="宋体"/>
          <w:color w:val="auto"/>
          <w:kern w:val="0"/>
          <w:szCs w:val="21"/>
          <w:highlight w:val="none"/>
        </w:rPr>
        <w:t>.1安全文明施工</w:t>
      </w:r>
      <w:bookmarkEnd w:id="365"/>
      <w:bookmarkEnd w:id="366"/>
    </w:p>
    <w:p w14:paraId="74F4788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6.1.1安全生产要求</w:t>
      </w:r>
    </w:p>
    <w:p w14:paraId="5E432D0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A68F18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683358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因安全生产需要暂停施工的，按照第7.8款〔暂停施工〕的约定执行。</w:t>
      </w:r>
    </w:p>
    <w:p w14:paraId="159F9EE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6.1.2 安全生产保证措施</w:t>
      </w:r>
    </w:p>
    <w:p w14:paraId="7A92E9C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C27B7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6.1.3特别安全生产事项</w:t>
      </w:r>
    </w:p>
    <w:p w14:paraId="08E131E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3A1A22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9E32D8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972FC8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11EEA34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6.1.4 治安保卫</w:t>
      </w:r>
    </w:p>
    <w:p w14:paraId="4B92EE7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642C8A1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发包人和承包人除应协助现场治安管理机构或联防组织维护施工场地的社会治安外，还应做好包括生活区在内的各自管辖区的治安保卫工作。</w:t>
      </w:r>
    </w:p>
    <w:p w14:paraId="2B66214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FFA425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6.1.5 文明施工</w:t>
      </w:r>
    </w:p>
    <w:p w14:paraId="4724C14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4F797E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169592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6.1.6 安全文明施工费</w:t>
      </w:r>
    </w:p>
    <w:p w14:paraId="183BBC7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0FCA211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FAB5B5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602519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DD3018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6.1.7 紧急情况处理</w:t>
      </w:r>
    </w:p>
    <w:p w14:paraId="18FFEA9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1A5FB2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6.1.8 事故处理</w:t>
      </w:r>
    </w:p>
    <w:p w14:paraId="14B62F2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E9711D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6.1.9 安全生产责任</w:t>
      </w:r>
    </w:p>
    <w:p w14:paraId="7602768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6.1.9.1 发包人的安全责任</w:t>
      </w:r>
    </w:p>
    <w:p w14:paraId="761F541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发包人应负责赔偿以下各种情况造成的损失：</w:t>
      </w:r>
    </w:p>
    <w:p w14:paraId="7AF2252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（1）工程或工程的任何部分对土地的占用所造成的第三者财产损失；</w:t>
      </w:r>
    </w:p>
    <w:p w14:paraId="1FED736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（2）由于发包人原因在施工场地及其毗邻地带造成的第三者人身伤亡和财产损失；</w:t>
      </w:r>
    </w:p>
    <w:p w14:paraId="6FF7D50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（3）由于发包人原因对承包人、监理人造成的人员人身伤亡和财产损失；</w:t>
      </w:r>
    </w:p>
    <w:p w14:paraId="23B6668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（4）由于发包人原因造成的发包人自身人员的人身伤害以及财产损失。</w:t>
      </w:r>
    </w:p>
    <w:p w14:paraId="2253FF3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6.1.9.2 承包人的安全责任</w:t>
      </w:r>
    </w:p>
    <w:p w14:paraId="6974F39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由于承包人原因在施工场地内及其毗邻地带造成的发包人、监理人以及第三者人员伤亡和财产损失，由承包人负责赔偿。</w:t>
      </w:r>
    </w:p>
    <w:p w14:paraId="7F5697B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67" w:name="_Toc351203540"/>
      <w:r>
        <w:rPr>
          <w:rFonts w:hint="eastAsia" w:ascii="宋体" w:hAnsi="宋体" w:eastAsia="宋体" w:cs="宋体"/>
          <w:color w:val="auto"/>
          <w:kern w:val="0"/>
          <w:szCs w:val="21"/>
          <w:highlight w:val="none"/>
        </w:rPr>
        <w:t>6</w:t>
      </w:r>
      <w:bookmarkStart w:id="368" w:name="_Toc337558765"/>
      <w:r>
        <w:rPr>
          <w:rFonts w:hint="eastAsia" w:ascii="宋体" w:hAnsi="宋体" w:eastAsia="宋体" w:cs="宋体"/>
          <w:color w:val="auto"/>
          <w:kern w:val="0"/>
          <w:szCs w:val="21"/>
          <w:highlight w:val="none"/>
        </w:rPr>
        <w:t>.2 职业健康</w:t>
      </w:r>
      <w:bookmarkEnd w:id="367"/>
      <w:bookmarkEnd w:id="368"/>
    </w:p>
    <w:p w14:paraId="4073A04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6.2.1 劳动保护</w:t>
      </w:r>
    </w:p>
    <w:p w14:paraId="4E941C2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93C93D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A13AF7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4EACBB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6.2.2 生活条件</w:t>
      </w:r>
    </w:p>
    <w:p w14:paraId="10C5F08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0D6D38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69" w:name="_Toc351203541"/>
      <w:r>
        <w:rPr>
          <w:rFonts w:hint="eastAsia" w:ascii="宋体" w:hAnsi="宋体" w:eastAsia="宋体" w:cs="宋体"/>
          <w:color w:val="auto"/>
          <w:kern w:val="0"/>
          <w:szCs w:val="21"/>
          <w:highlight w:val="none"/>
        </w:rPr>
        <w:t>6</w:t>
      </w:r>
      <w:bookmarkStart w:id="370" w:name="_Toc337558766"/>
      <w:r>
        <w:rPr>
          <w:rFonts w:hint="eastAsia" w:ascii="宋体" w:hAnsi="宋体" w:eastAsia="宋体" w:cs="宋体"/>
          <w:color w:val="auto"/>
          <w:kern w:val="0"/>
          <w:szCs w:val="21"/>
          <w:highlight w:val="none"/>
        </w:rPr>
        <w:t>.3 环境保护</w:t>
      </w:r>
      <w:bookmarkEnd w:id="369"/>
      <w:bookmarkEnd w:id="370"/>
    </w:p>
    <w:p w14:paraId="6AAEAA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CBE980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0D13802F">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371" w:name="_Toc4434"/>
      <w:bookmarkStart w:id="372" w:name="_Toc351203542"/>
      <w:r>
        <w:rPr>
          <w:rFonts w:hint="eastAsia" w:ascii="宋体" w:hAnsi="宋体" w:eastAsia="宋体" w:cs="宋体"/>
          <w:color w:val="auto"/>
          <w:kern w:val="0"/>
          <w:szCs w:val="21"/>
          <w:highlight w:val="none"/>
        </w:rPr>
        <w:t>7</w:t>
      </w:r>
      <w:bookmarkStart w:id="373" w:name="_Toc337558767"/>
      <w:r>
        <w:rPr>
          <w:rFonts w:hint="eastAsia" w:ascii="宋体" w:hAnsi="宋体" w:eastAsia="宋体" w:cs="宋体"/>
          <w:color w:val="auto"/>
          <w:kern w:val="0"/>
          <w:szCs w:val="21"/>
          <w:highlight w:val="none"/>
        </w:rPr>
        <w:t>. 工期和进度</w:t>
      </w:r>
      <w:bookmarkEnd w:id="371"/>
      <w:bookmarkEnd w:id="372"/>
      <w:bookmarkEnd w:id="373"/>
    </w:p>
    <w:p w14:paraId="0D9D215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74" w:name="_Toc351203543"/>
      <w:r>
        <w:rPr>
          <w:rFonts w:hint="eastAsia" w:ascii="宋体" w:hAnsi="宋体" w:eastAsia="宋体" w:cs="宋体"/>
          <w:color w:val="auto"/>
          <w:kern w:val="0"/>
          <w:szCs w:val="21"/>
          <w:highlight w:val="none"/>
        </w:rPr>
        <w:t>7</w:t>
      </w:r>
      <w:bookmarkStart w:id="375" w:name="_Toc337558768"/>
      <w:bookmarkStart w:id="376" w:name="_Toc296503066"/>
      <w:bookmarkStart w:id="377" w:name="_Toc296346567"/>
      <w:r>
        <w:rPr>
          <w:rFonts w:hint="eastAsia" w:ascii="宋体" w:hAnsi="宋体" w:eastAsia="宋体" w:cs="宋体"/>
          <w:color w:val="auto"/>
          <w:kern w:val="0"/>
          <w:szCs w:val="21"/>
          <w:highlight w:val="none"/>
        </w:rPr>
        <w:t>.1施工组织设计</w:t>
      </w:r>
      <w:bookmarkEnd w:id="374"/>
      <w:bookmarkEnd w:id="375"/>
    </w:p>
    <w:p w14:paraId="7255231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7.1.1 施工组织设计的内容</w:t>
      </w:r>
    </w:p>
    <w:p w14:paraId="7BC747C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施工组织设计应包含以下内容：</w:t>
      </w:r>
    </w:p>
    <w:p w14:paraId="558409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（1）施工方案； </w:t>
      </w:r>
    </w:p>
    <w:p w14:paraId="5DED434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（2）施工现场平面布置图；</w:t>
      </w:r>
    </w:p>
    <w:p w14:paraId="66366B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（3）施工进度计划和保证措施； </w:t>
      </w:r>
    </w:p>
    <w:p w14:paraId="5951761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（4）劳动力及材料供应计划；</w:t>
      </w:r>
    </w:p>
    <w:p w14:paraId="1DDD97B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（5）施工机械设备的选用；</w:t>
      </w:r>
    </w:p>
    <w:p w14:paraId="50CC7B3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（6）质量保证体系及措施；</w:t>
      </w:r>
    </w:p>
    <w:p w14:paraId="600D54F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（7）安全生产、文明施工措施；</w:t>
      </w:r>
    </w:p>
    <w:p w14:paraId="1FCB22F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（8）环境保护、成本控制措施；</w:t>
      </w:r>
    </w:p>
    <w:p w14:paraId="2D7B428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（9）合同当事人约定的其他内容。</w:t>
      </w:r>
    </w:p>
    <w:p w14:paraId="2447D05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7.1.2 施工组织设计的提交和修改</w:t>
      </w:r>
    </w:p>
    <w:p w14:paraId="10E5E08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EE88ED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施工进度计划的编制和修改按照第7.2款〔施工进度计划〕执行。</w:t>
      </w:r>
    </w:p>
    <w:p w14:paraId="173B68A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78" w:name="_Toc351203544"/>
      <w:r>
        <w:rPr>
          <w:rFonts w:hint="eastAsia" w:ascii="宋体" w:hAnsi="宋体" w:eastAsia="宋体" w:cs="宋体"/>
          <w:color w:val="auto"/>
          <w:kern w:val="0"/>
          <w:szCs w:val="21"/>
          <w:highlight w:val="none"/>
        </w:rPr>
        <w:t>7</w:t>
      </w:r>
      <w:bookmarkStart w:id="379" w:name="_Toc337558769"/>
      <w:r>
        <w:rPr>
          <w:rFonts w:hint="eastAsia" w:ascii="宋体" w:hAnsi="宋体" w:eastAsia="宋体" w:cs="宋体"/>
          <w:color w:val="auto"/>
          <w:kern w:val="0"/>
          <w:szCs w:val="21"/>
          <w:highlight w:val="none"/>
        </w:rPr>
        <w:t>.2 施工进度计划</w:t>
      </w:r>
      <w:bookmarkEnd w:id="378"/>
      <w:bookmarkEnd w:id="379"/>
    </w:p>
    <w:p w14:paraId="209ECA4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7.2.1 施工进度计划的编制</w:t>
      </w:r>
    </w:p>
    <w:p w14:paraId="643914B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F5D666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7.2.2 施工进度计划的修订</w:t>
      </w:r>
    </w:p>
    <w:p w14:paraId="4BF3102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A1CB39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80" w:name="_Toc351203545"/>
      <w:r>
        <w:rPr>
          <w:rFonts w:hint="eastAsia" w:ascii="宋体" w:hAnsi="宋体" w:eastAsia="宋体" w:cs="宋体"/>
          <w:color w:val="auto"/>
          <w:kern w:val="0"/>
          <w:szCs w:val="21"/>
          <w:highlight w:val="none"/>
        </w:rPr>
        <w:t>7</w:t>
      </w:r>
      <w:bookmarkStart w:id="381" w:name="_Toc337558770"/>
      <w:r>
        <w:rPr>
          <w:rFonts w:hint="eastAsia" w:ascii="宋体" w:hAnsi="宋体" w:eastAsia="宋体" w:cs="宋体"/>
          <w:color w:val="auto"/>
          <w:kern w:val="0"/>
          <w:szCs w:val="21"/>
          <w:highlight w:val="none"/>
        </w:rPr>
        <w:t>.3 开工</w:t>
      </w:r>
      <w:bookmarkEnd w:id="380"/>
    </w:p>
    <w:p w14:paraId="6405729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7.3.1 开工准备</w:t>
      </w:r>
    </w:p>
    <w:p w14:paraId="3867671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430A3A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除专用合同条款另有约定外，合同当事人应按约定完成开工准备工作。</w:t>
      </w:r>
    </w:p>
    <w:p w14:paraId="400BCC5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7.3.2 开工通知</w:t>
      </w:r>
      <w:bookmarkEnd w:id="381"/>
    </w:p>
    <w:p w14:paraId="30BE49E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0386FE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7DF808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82" w:name="_Toc351203546"/>
      <w:r>
        <w:rPr>
          <w:rFonts w:hint="eastAsia" w:ascii="宋体" w:hAnsi="宋体" w:eastAsia="宋体" w:cs="宋体"/>
          <w:color w:val="auto"/>
          <w:kern w:val="0"/>
          <w:szCs w:val="21"/>
          <w:highlight w:val="none"/>
        </w:rPr>
        <w:t>7.4测量放线</w:t>
      </w:r>
      <w:bookmarkEnd w:id="382"/>
    </w:p>
    <w:p w14:paraId="78201E0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7CD0AC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374EAE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CE52C1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施工过程中对施工现场内水准点等测量标志物的保护工作由承包人负责。</w:t>
      </w:r>
      <w:bookmarkStart w:id="383" w:name="_Toc351203547"/>
    </w:p>
    <w:p w14:paraId="0ADF636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bookmarkEnd w:id="376"/>
      <w:bookmarkEnd w:id="377"/>
      <w:bookmarkStart w:id="384" w:name="_Toc337558772"/>
      <w:bookmarkStart w:id="385" w:name="_Toc296503073"/>
      <w:bookmarkStart w:id="386" w:name="_Toc296346574"/>
      <w:r>
        <w:rPr>
          <w:rFonts w:hint="eastAsia" w:ascii="宋体" w:hAnsi="宋体" w:eastAsia="宋体" w:cs="宋体"/>
          <w:color w:val="auto"/>
          <w:kern w:val="0"/>
          <w:szCs w:val="21"/>
          <w:highlight w:val="none"/>
        </w:rPr>
        <w:t>.5 工期延误</w:t>
      </w:r>
      <w:bookmarkEnd w:id="383"/>
      <w:bookmarkEnd w:id="384"/>
      <w:bookmarkEnd w:id="385"/>
      <w:bookmarkEnd w:id="386"/>
    </w:p>
    <w:p w14:paraId="20D2FF0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7.5.1 因发包人原因导致工期延误</w:t>
      </w:r>
    </w:p>
    <w:p w14:paraId="2E44593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2976785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（1）发包人未能按合同约定提供图纸或所提供图纸不符合合同约定的；</w:t>
      </w:r>
    </w:p>
    <w:p w14:paraId="5435D7F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（2）发包人未能按合同约定提供施工现场、施工条件、基础资料、许可、批准等开工条件的；</w:t>
      </w:r>
    </w:p>
    <w:p w14:paraId="2F97B19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（3）发包人提供的测量基准点、基准线和水准点及其书面资料存在错误或疏漏的；</w:t>
      </w:r>
    </w:p>
    <w:p w14:paraId="2CDDECF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（4）发包人未能在计划开工日期之日起7天内同意下达开工通知的；</w:t>
      </w:r>
    </w:p>
    <w:p w14:paraId="63D8A36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（5）发包人未能按合同约定日期支付工程预付款、进度款或竣工结算款的；</w:t>
      </w:r>
    </w:p>
    <w:p w14:paraId="6A9E394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（6）监理人未按合同约定发出指示、批准等文件的；</w:t>
      </w:r>
    </w:p>
    <w:p w14:paraId="2375107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（7）专用合同条款中约定的其他情形。</w:t>
      </w:r>
    </w:p>
    <w:p w14:paraId="4136112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D20FEF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7.5.2 因承包人原因导致工期延误</w:t>
      </w:r>
    </w:p>
    <w:p w14:paraId="1275381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bookmarkStart w:id="387" w:name="_Toc296346577"/>
      <w:bookmarkStart w:id="388" w:name="_Toc296503076"/>
      <w:r>
        <w:rPr>
          <w:rFonts w:hint="eastAsia" w:ascii="宋体" w:hAnsi="宋体" w:eastAsia="宋体" w:cs="宋体"/>
          <w:color w:val="auto"/>
          <w:kern w:val="0"/>
          <w:szCs w:val="21"/>
          <w:highlight w:val="none"/>
        </w:rPr>
        <w:t>因</w:t>
      </w:r>
      <w:bookmarkEnd w:id="387"/>
      <w:bookmarkEnd w:id="388"/>
      <w:r>
        <w:rPr>
          <w:rFonts w:hint="eastAsia" w:ascii="宋体" w:hAnsi="宋体" w:eastAsia="宋体" w:cs="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8399DF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89" w:name="_Toc351203548"/>
      <w:r>
        <w:rPr>
          <w:rFonts w:hint="eastAsia" w:ascii="宋体" w:hAnsi="宋体" w:eastAsia="宋体" w:cs="宋体"/>
          <w:color w:val="auto"/>
          <w:kern w:val="0"/>
          <w:szCs w:val="21"/>
          <w:highlight w:val="none"/>
        </w:rPr>
        <w:t>7</w:t>
      </w:r>
      <w:bookmarkStart w:id="390" w:name="_Toc296503074"/>
      <w:bookmarkStart w:id="391" w:name="_Toc337558773"/>
      <w:bookmarkStart w:id="392" w:name="_Toc296346575"/>
      <w:bookmarkStart w:id="393" w:name="_Toc296503077"/>
      <w:bookmarkStart w:id="394" w:name="_Toc296346578"/>
      <w:r>
        <w:rPr>
          <w:rFonts w:hint="eastAsia" w:ascii="宋体" w:hAnsi="宋体" w:eastAsia="宋体" w:cs="宋体"/>
          <w:color w:val="auto"/>
          <w:kern w:val="0"/>
          <w:szCs w:val="21"/>
          <w:highlight w:val="none"/>
        </w:rPr>
        <w:t>.6 不利物质条件</w:t>
      </w:r>
      <w:bookmarkEnd w:id="389"/>
      <w:bookmarkEnd w:id="390"/>
      <w:bookmarkEnd w:id="391"/>
      <w:bookmarkEnd w:id="392"/>
    </w:p>
    <w:p w14:paraId="490839C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13C3D7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6FC772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395" w:name="_Toc351203549"/>
      <w:r>
        <w:rPr>
          <w:rFonts w:hint="eastAsia" w:ascii="宋体" w:hAnsi="宋体" w:eastAsia="宋体" w:cs="宋体"/>
          <w:color w:val="auto"/>
          <w:kern w:val="0"/>
          <w:szCs w:val="21"/>
          <w:highlight w:val="none"/>
        </w:rPr>
        <w:t>7</w:t>
      </w:r>
      <w:bookmarkStart w:id="396" w:name="_Toc296346576"/>
      <w:bookmarkStart w:id="397" w:name="_Toc296503075"/>
      <w:bookmarkStart w:id="398" w:name="_Toc337558774"/>
      <w:r>
        <w:rPr>
          <w:rFonts w:hint="eastAsia" w:ascii="宋体" w:hAnsi="宋体" w:eastAsia="宋体" w:cs="宋体"/>
          <w:color w:val="auto"/>
          <w:kern w:val="0"/>
          <w:szCs w:val="21"/>
          <w:highlight w:val="none"/>
        </w:rPr>
        <w:t>.7 异常恶劣的气候条件</w:t>
      </w:r>
      <w:bookmarkEnd w:id="395"/>
      <w:bookmarkEnd w:id="396"/>
      <w:bookmarkEnd w:id="397"/>
      <w:bookmarkEnd w:id="398"/>
    </w:p>
    <w:p w14:paraId="3C9043B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11C6B3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99" w:name="_Toc351203550"/>
    </w:p>
    <w:p w14:paraId="3028A65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bookmarkStart w:id="400" w:name="_Toc337558775"/>
      <w:r>
        <w:rPr>
          <w:rFonts w:hint="eastAsia" w:ascii="宋体" w:hAnsi="宋体" w:eastAsia="宋体" w:cs="宋体"/>
          <w:color w:val="auto"/>
          <w:kern w:val="0"/>
          <w:szCs w:val="21"/>
          <w:highlight w:val="none"/>
        </w:rPr>
        <w:t>.8 暂停施工</w:t>
      </w:r>
      <w:bookmarkEnd w:id="393"/>
      <w:bookmarkEnd w:id="394"/>
      <w:bookmarkEnd w:id="399"/>
      <w:bookmarkEnd w:id="400"/>
    </w:p>
    <w:p w14:paraId="7491C2C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7.8.1发包人原因引起的暂停施工</w:t>
      </w:r>
    </w:p>
    <w:p w14:paraId="4EEFB90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4BCA1D9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因发包人原因引起的暂停施工，发包人应承担由此增加的费用和（或）延误的工期，并支付承包人合理的利润。</w:t>
      </w:r>
    </w:p>
    <w:p w14:paraId="0F08B47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7.8.2 承包人原因引起的暂停施工</w:t>
      </w:r>
    </w:p>
    <w:p w14:paraId="4AEFDC0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51B200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7.8.3 指示暂停施工</w:t>
      </w:r>
    </w:p>
    <w:p w14:paraId="06051B2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监理人认为有必要时，并经发包人批准后，可向承包人作出暂停施工的指示，承包人应按监理人指示暂停施工。</w:t>
      </w:r>
    </w:p>
    <w:p w14:paraId="1136E65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7.8.4 紧急情况下的暂停施工</w:t>
      </w:r>
    </w:p>
    <w:p w14:paraId="0D0F989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81674E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7.8.5 暂停施工后的复工</w:t>
      </w:r>
    </w:p>
    <w:p w14:paraId="2FF9AE2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EB7F1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424097B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7.8.6 暂停施工持续56天以上</w:t>
      </w:r>
    </w:p>
    <w:p w14:paraId="6BBBB945">
      <w:pPr>
        <w:keepNext w:val="0"/>
        <w:keepLines w:val="0"/>
        <w:pageBreakBefore w:val="0"/>
        <w:widowControl/>
        <w:kinsoku/>
        <w:wordWrap/>
        <w:overflowPunct/>
        <w:topLinePunct w:val="0"/>
        <w:bidi w:val="0"/>
        <w:adjustRightInd/>
        <w:snapToGrid/>
        <w:spacing w:line="400" w:lineRule="exact"/>
        <w:ind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75116ED">
      <w:pPr>
        <w:keepNext w:val="0"/>
        <w:keepLines w:val="0"/>
        <w:pageBreakBefore w:val="0"/>
        <w:widowControl/>
        <w:kinsoku/>
        <w:wordWrap/>
        <w:overflowPunct/>
        <w:topLinePunct w:val="0"/>
        <w:bidi w:val="0"/>
        <w:adjustRightInd/>
        <w:snapToGrid/>
        <w:spacing w:line="400" w:lineRule="exact"/>
        <w:ind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131BA1A">
      <w:pPr>
        <w:keepNext w:val="0"/>
        <w:keepLines w:val="0"/>
        <w:pageBreakBefore w:val="0"/>
        <w:widowControl/>
        <w:kinsoku/>
        <w:wordWrap/>
        <w:overflowPunct/>
        <w:topLinePunct w:val="0"/>
        <w:bidi w:val="0"/>
        <w:adjustRightInd/>
        <w:snapToGrid/>
        <w:spacing w:line="400" w:lineRule="exact"/>
        <w:ind w:left="16" w:firstLine="409"/>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7.8.7 暂停施工期间的工程照管</w:t>
      </w:r>
    </w:p>
    <w:p w14:paraId="53E0D40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暂停施工期间，承包人应负责妥善照管工程并提供安全保障，由此增加的费用由责任方承担。</w:t>
      </w:r>
    </w:p>
    <w:p w14:paraId="18741B6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7.8.8 暂停施工的措施</w:t>
      </w:r>
    </w:p>
    <w:p w14:paraId="66BCE08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暂停施工期间，发包人和承包人均应采取必要的措施确保工程质量及安全，防止因暂停施工扩大损失。</w:t>
      </w:r>
    </w:p>
    <w:p w14:paraId="7D1BCC7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01" w:name="_Toc351203551"/>
      <w:r>
        <w:rPr>
          <w:rFonts w:hint="eastAsia" w:ascii="宋体" w:hAnsi="宋体" w:eastAsia="宋体" w:cs="宋体"/>
          <w:color w:val="auto"/>
          <w:kern w:val="0"/>
          <w:szCs w:val="21"/>
          <w:highlight w:val="none"/>
        </w:rPr>
        <w:t>7.9提前竣工</w:t>
      </w:r>
      <w:bookmarkEnd w:id="401"/>
    </w:p>
    <w:p w14:paraId="378A2FE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EA82AD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57526D55">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402" w:name="_Toc351203552"/>
      <w:bookmarkStart w:id="403" w:name="_Toc27745"/>
      <w:r>
        <w:rPr>
          <w:rFonts w:hint="eastAsia" w:ascii="宋体" w:hAnsi="宋体" w:eastAsia="宋体" w:cs="宋体"/>
          <w:color w:val="auto"/>
          <w:kern w:val="0"/>
          <w:szCs w:val="21"/>
          <w:highlight w:val="none"/>
        </w:rPr>
        <w:t>8</w:t>
      </w:r>
      <w:bookmarkStart w:id="404" w:name="_Toc337558776"/>
      <w:bookmarkStart w:id="405" w:name="_Toc296346559"/>
      <w:bookmarkStart w:id="406" w:name="_Toc296503058"/>
      <w:r>
        <w:rPr>
          <w:rFonts w:hint="eastAsia" w:ascii="宋体" w:hAnsi="宋体" w:eastAsia="宋体" w:cs="宋体"/>
          <w:color w:val="auto"/>
          <w:kern w:val="0"/>
          <w:szCs w:val="21"/>
          <w:highlight w:val="none"/>
        </w:rPr>
        <w:t>. 材料与设备</w:t>
      </w:r>
      <w:bookmarkEnd w:id="402"/>
      <w:bookmarkEnd w:id="403"/>
      <w:bookmarkEnd w:id="404"/>
      <w:bookmarkEnd w:id="405"/>
      <w:bookmarkEnd w:id="406"/>
    </w:p>
    <w:p w14:paraId="0D3967F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07" w:name="_Toc351203553"/>
      <w:r>
        <w:rPr>
          <w:rFonts w:hint="eastAsia" w:ascii="宋体" w:hAnsi="宋体" w:eastAsia="宋体" w:cs="宋体"/>
          <w:color w:val="auto"/>
          <w:kern w:val="0"/>
          <w:szCs w:val="21"/>
          <w:highlight w:val="none"/>
        </w:rPr>
        <w:t>8</w:t>
      </w:r>
      <w:bookmarkStart w:id="408" w:name="_Toc296503059"/>
      <w:bookmarkStart w:id="409" w:name="_Toc337558777"/>
      <w:bookmarkStart w:id="410" w:name="_Toc296346560"/>
      <w:bookmarkStart w:id="411" w:name="_Toc468936960"/>
      <w:r>
        <w:rPr>
          <w:rFonts w:hint="eastAsia" w:ascii="宋体" w:hAnsi="宋体" w:eastAsia="宋体" w:cs="宋体"/>
          <w:color w:val="auto"/>
          <w:kern w:val="0"/>
          <w:szCs w:val="21"/>
          <w:highlight w:val="none"/>
        </w:rPr>
        <w:t>.1发包人供应材料与工程设备</w:t>
      </w:r>
      <w:bookmarkEnd w:id="407"/>
      <w:bookmarkEnd w:id="408"/>
      <w:bookmarkEnd w:id="409"/>
      <w:bookmarkEnd w:id="410"/>
    </w:p>
    <w:p w14:paraId="3577107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21F8AB6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713F2F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b/>
          <w:color w:val="auto"/>
          <w:kern w:val="0"/>
          <w:szCs w:val="21"/>
          <w:highlight w:val="none"/>
        </w:rPr>
      </w:pPr>
      <w:bookmarkStart w:id="412" w:name="_Toc351203554"/>
      <w:r>
        <w:rPr>
          <w:rFonts w:hint="eastAsia" w:ascii="宋体" w:hAnsi="宋体" w:eastAsia="宋体" w:cs="宋体"/>
          <w:color w:val="auto"/>
          <w:kern w:val="0"/>
          <w:szCs w:val="21"/>
          <w:highlight w:val="none"/>
        </w:rPr>
        <w:t>8</w:t>
      </w:r>
      <w:bookmarkStart w:id="413" w:name="_Toc296346561"/>
      <w:bookmarkStart w:id="414" w:name="_Toc337558778"/>
      <w:bookmarkStart w:id="415" w:name="_Toc296503060"/>
      <w:r>
        <w:rPr>
          <w:rFonts w:hint="eastAsia" w:ascii="宋体" w:hAnsi="宋体" w:eastAsia="宋体" w:cs="宋体"/>
          <w:color w:val="auto"/>
          <w:kern w:val="0"/>
          <w:szCs w:val="21"/>
          <w:highlight w:val="none"/>
        </w:rPr>
        <w:t>.2承包人采购材料与工程设备</w:t>
      </w:r>
      <w:bookmarkEnd w:id="412"/>
      <w:bookmarkEnd w:id="413"/>
      <w:bookmarkEnd w:id="414"/>
      <w:bookmarkEnd w:id="415"/>
    </w:p>
    <w:p w14:paraId="2797213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0968DD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16" w:name="_Toc351203555"/>
      <w:r>
        <w:rPr>
          <w:rFonts w:hint="eastAsia" w:ascii="宋体" w:hAnsi="宋体" w:eastAsia="宋体" w:cs="宋体"/>
          <w:color w:val="auto"/>
          <w:kern w:val="0"/>
          <w:szCs w:val="21"/>
          <w:highlight w:val="none"/>
        </w:rPr>
        <w:t>8</w:t>
      </w:r>
      <w:bookmarkStart w:id="417" w:name="_Toc296503061"/>
      <w:bookmarkStart w:id="418" w:name="_Toc296346562"/>
      <w:bookmarkStart w:id="419" w:name="_Toc337558779"/>
      <w:r>
        <w:rPr>
          <w:rFonts w:hint="eastAsia" w:ascii="宋体" w:hAnsi="宋体" w:eastAsia="宋体" w:cs="宋体"/>
          <w:color w:val="auto"/>
          <w:kern w:val="0"/>
          <w:szCs w:val="21"/>
          <w:highlight w:val="none"/>
        </w:rPr>
        <w:t>.3材料与工程设备的接收与拒收</w:t>
      </w:r>
      <w:bookmarkEnd w:id="416"/>
      <w:bookmarkEnd w:id="417"/>
      <w:bookmarkEnd w:id="418"/>
      <w:bookmarkEnd w:id="419"/>
    </w:p>
    <w:p w14:paraId="7D5BE9E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65EFBE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77F0547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8.3.2 承包人采购的材料和工程设备，应保证产品质量合格，承包人应在材料和工程设备到货前24小时通知监理人检验。承</w:t>
      </w:r>
      <w:bookmarkStart w:id="420" w:name="_Toc250655469"/>
      <w:r>
        <w:rPr>
          <w:rFonts w:hint="eastAsia" w:ascii="宋体" w:hAnsi="宋体" w:eastAsia="宋体" w:cs="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bookmarkEnd w:id="420"/>
    </w:p>
    <w:p w14:paraId="1AE889A4">
      <w:pPr>
        <w:keepNext w:val="0"/>
        <w:keepLines w:val="0"/>
        <w:pageBreakBefore w:val="0"/>
        <w:widowControl/>
        <w:kinsoku/>
        <w:wordWrap/>
        <w:overflowPunct/>
        <w:topLinePunct w:val="0"/>
        <w:autoSpaceDE w:val="0"/>
        <w:autoSpaceDN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000400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1" w:name="_Toc351203556"/>
      <w:r>
        <w:rPr>
          <w:rFonts w:hint="eastAsia" w:ascii="宋体" w:hAnsi="宋体" w:eastAsia="宋体" w:cs="宋体"/>
          <w:color w:val="auto"/>
          <w:kern w:val="0"/>
          <w:szCs w:val="21"/>
          <w:highlight w:val="none"/>
        </w:rPr>
        <w:t>8</w:t>
      </w:r>
      <w:bookmarkStart w:id="422" w:name="_Toc296503062"/>
      <w:bookmarkStart w:id="423" w:name="_Toc296346563"/>
      <w:bookmarkStart w:id="424" w:name="_Toc337558780"/>
      <w:r>
        <w:rPr>
          <w:rFonts w:hint="eastAsia" w:ascii="宋体" w:hAnsi="宋体" w:eastAsia="宋体" w:cs="宋体"/>
          <w:color w:val="auto"/>
          <w:kern w:val="0"/>
          <w:szCs w:val="21"/>
          <w:highlight w:val="none"/>
        </w:rPr>
        <w:t>.4材料与工程设备的保管与使用</w:t>
      </w:r>
      <w:bookmarkEnd w:id="421"/>
      <w:bookmarkEnd w:id="422"/>
      <w:bookmarkEnd w:id="423"/>
      <w:bookmarkEnd w:id="424"/>
    </w:p>
    <w:p w14:paraId="30E7E70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8.4.1 发包人供应材料与工程设备的保管与使用</w:t>
      </w:r>
    </w:p>
    <w:p w14:paraId="5889406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E7E938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发包人供应的材料和工程设备使用前，由承包人负责检验，检验费用由发包人承担，不合格的不得使用。</w:t>
      </w:r>
    </w:p>
    <w:p w14:paraId="38244BA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8.4.2 承包人采购材料与工程设备的保管与使用</w:t>
      </w:r>
    </w:p>
    <w:p w14:paraId="52C2D74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5BF84B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4859224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5" w:name="_Toc351203557"/>
      <w:r>
        <w:rPr>
          <w:rFonts w:hint="eastAsia" w:ascii="宋体" w:hAnsi="宋体" w:eastAsia="宋体" w:cs="宋体"/>
          <w:color w:val="auto"/>
          <w:kern w:val="0"/>
          <w:szCs w:val="21"/>
          <w:highlight w:val="none"/>
        </w:rPr>
        <w:t>8.5禁止使用不合格的材料和工程设备</w:t>
      </w:r>
      <w:bookmarkEnd w:id="425"/>
    </w:p>
    <w:p w14:paraId="6485EBE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3E655F2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1F1B4D0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3B4A5FC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6" w:name="_Toc351203558"/>
      <w:r>
        <w:rPr>
          <w:rFonts w:hint="eastAsia" w:ascii="宋体" w:hAnsi="宋体" w:eastAsia="宋体" w:cs="宋体"/>
          <w:color w:val="auto"/>
          <w:kern w:val="0"/>
          <w:szCs w:val="21"/>
          <w:highlight w:val="none"/>
        </w:rPr>
        <w:t>8.6 样品</w:t>
      </w:r>
      <w:bookmarkEnd w:id="426"/>
    </w:p>
    <w:p w14:paraId="3DFE932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样品的报送与封存</w:t>
      </w:r>
    </w:p>
    <w:p w14:paraId="51897DC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需要承包人报送样品的材料或工程设备，样品的种类、名称、规格、数量等要求均应在专用合同条款中约定。样品的报送程序如下：</w:t>
      </w:r>
    </w:p>
    <w:p w14:paraId="2DD1363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76BC9D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5BA7D7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0F488E5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204EFB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8.6.2 样品的保管</w:t>
      </w:r>
    </w:p>
    <w:p w14:paraId="5C761CD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经批准的样品应由监理人负责封存于现场，承包人应在现场为保存样品提供适当和固定的场所并保持适当和良好的存储环境条件。</w:t>
      </w:r>
    </w:p>
    <w:p w14:paraId="2364BD16">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7" w:name="_Toc351203559"/>
      <w:r>
        <w:rPr>
          <w:rFonts w:hint="eastAsia" w:ascii="宋体" w:hAnsi="宋体" w:eastAsia="宋体" w:cs="宋体"/>
          <w:color w:val="auto"/>
          <w:kern w:val="0"/>
          <w:szCs w:val="21"/>
          <w:highlight w:val="none"/>
        </w:rPr>
        <w:t>8.7材料与工程设备的替代</w:t>
      </w:r>
      <w:bookmarkEnd w:id="427"/>
    </w:p>
    <w:p w14:paraId="16415A7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8.7.1 出现下列情况需要使用替代材料和工程设备的，承包人应按照第8.7.2项约定的程序执行：</w:t>
      </w:r>
    </w:p>
    <w:p w14:paraId="7E4CDA6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（1）基准日期后生效的法律规定禁止使用的；</w:t>
      </w:r>
    </w:p>
    <w:p w14:paraId="5267D1B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（2）发包人要求使用替代品的；</w:t>
      </w:r>
    </w:p>
    <w:p w14:paraId="6524A60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（3）因其他原因必须使用替代品的。</w:t>
      </w:r>
    </w:p>
    <w:p w14:paraId="4F0BA6E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8.7.2 承包人应在使用替代材料和工程设备28天前书面通知监理人，并附下列文件：</w:t>
      </w:r>
    </w:p>
    <w:p w14:paraId="438ACF0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（1）被替代的材料和工程设备的名称、数量、规格、型号、品牌、性能、价格及其他相关资料；</w:t>
      </w:r>
    </w:p>
    <w:p w14:paraId="34F9EFA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（2）替代品的名称、数量、规格、型号、品牌、性能、价格及其他相关资料；</w:t>
      </w:r>
    </w:p>
    <w:p w14:paraId="76553EE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（3）替代品与被替代产品之间的差异以及使用替代品可能对工程产生的影响；</w:t>
      </w:r>
    </w:p>
    <w:p w14:paraId="12D6E1D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（4）替代品与被替代产品的价格差异；</w:t>
      </w:r>
    </w:p>
    <w:p w14:paraId="07DE667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（5）使用替代品的理由和原因说明；</w:t>
      </w:r>
    </w:p>
    <w:p w14:paraId="3D646EA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（6）监理人要求的其他文件。</w:t>
      </w:r>
    </w:p>
    <w:p w14:paraId="181AD74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监理人应在收到通知后14天内向承包人发出经发包人签认的书面指示；监理人逾期发出书面指示的，视为发包人和监理人同意使用替代品。</w:t>
      </w:r>
    </w:p>
    <w:p w14:paraId="78ABFF0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26F71A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8" w:name="_Toc351203560"/>
      <w:r>
        <w:rPr>
          <w:rFonts w:hint="eastAsia" w:ascii="宋体" w:hAnsi="宋体" w:eastAsia="宋体" w:cs="宋体"/>
          <w:color w:val="auto"/>
          <w:kern w:val="0"/>
          <w:szCs w:val="21"/>
          <w:highlight w:val="none"/>
        </w:rPr>
        <w:t>8.8施工设备和临时设施</w:t>
      </w:r>
      <w:bookmarkEnd w:id="428"/>
    </w:p>
    <w:p w14:paraId="07B2B3A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8.8.1 承包人提供的施工设备和临时设施</w:t>
      </w:r>
    </w:p>
    <w:p w14:paraId="2EFBC07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67AD3C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除专用合同条款另有约定外，承包人应自行承担修建临时设施的费用，需要临时占地的，应由发包人办理申请手续并承担相应费用。</w:t>
      </w:r>
    </w:p>
    <w:p w14:paraId="4F33DDC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8.8.2发包人提供的施工设备和临时设施</w:t>
      </w:r>
    </w:p>
    <w:p w14:paraId="1532A9B4">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发包人提供的施工设备或临时设施在专用合同条款中约定。</w:t>
      </w:r>
    </w:p>
    <w:p w14:paraId="4DF8515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8.8.3要求承包人增加或更换施工设备</w:t>
      </w:r>
    </w:p>
    <w:p w14:paraId="7CDE699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42BE83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29" w:name="_Toc351203561"/>
      <w:r>
        <w:rPr>
          <w:rFonts w:hint="eastAsia" w:ascii="宋体" w:hAnsi="宋体" w:eastAsia="宋体" w:cs="宋体"/>
          <w:color w:val="auto"/>
          <w:kern w:val="0"/>
          <w:szCs w:val="21"/>
          <w:highlight w:val="none"/>
        </w:rPr>
        <w:t>8</w:t>
      </w:r>
      <w:bookmarkStart w:id="430" w:name="_Toc337558781"/>
      <w:bookmarkStart w:id="431" w:name="_Toc296503063"/>
      <w:bookmarkStart w:id="432" w:name="_Toc296346564"/>
      <w:r>
        <w:rPr>
          <w:rFonts w:hint="eastAsia" w:ascii="宋体" w:hAnsi="宋体" w:eastAsia="宋体" w:cs="宋体"/>
          <w:color w:val="auto"/>
          <w:kern w:val="0"/>
          <w:szCs w:val="21"/>
          <w:highlight w:val="none"/>
        </w:rPr>
        <w:t>.9材料与设备专用</w:t>
      </w:r>
      <w:bookmarkEnd w:id="429"/>
      <w:r>
        <w:rPr>
          <w:rFonts w:hint="eastAsia" w:ascii="宋体" w:hAnsi="宋体" w:eastAsia="宋体" w:cs="宋体"/>
          <w:color w:val="auto"/>
          <w:kern w:val="0"/>
          <w:szCs w:val="21"/>
          <w:highlight w:val="none"/>
        </w:rPr>
        <w:t>要求</w:t>
      </w:r>
      <w:bookmarkEnd w:id="430"/>
      <w:bookmarkEnd w:id="431"/>
      <w:bookmarkEnd w:id="432"/>
    </w:p>
    <w:p w14:paraId="2CE8B7C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11"/>
      <w:r>
        <w:rPr>
          <w:rFonts w:hint="eastAsia" w:ascii="宋体" w:hAnsi="宋体" w:eastAsia="宋体" w:cs="宋体"/>
          <w:color w:val="auto"/>
          <w:kern w:val="0"/>
          <w:szCs w:val="21"/>
          <w:highlight w:val="none"/>
        </w:rPr>
        <w:t>经发包人批准，承包人可以根据施工进度计划撤走闲置的施工设备和其他物品。</w:t>
      </w:r>
    </w:p>
    <w:p w14:paraId="17C42BDE">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433" w:name="_Toc351203562"/>
      <w:bookmarkStart w:id="434" w:name="_Toc17294"/>
      <w:r>
        <w:rPr>
          <w:rFonts w:hint="eastAsia" w:ascii="宋体" w:hAnsi="宋体" w:eastAsia="宋体" w:cs="宋体"/>
          <w:color w:val="auto"/>
          <w:kern w:val="0"/>
          <w:szCs w:val="21"/>
          <w:highlight w:val="none"/>
        </w:rPr>
        <w:t>9</w:t>
      </w:r>
      <w:bookmarkStart w:id="435" w:name="_Toc337558782"/>
      <w:bookmarkStart w:id="436" w:name="_Toc296503083"/>
      <w:bookmarkStart w:id="437" w:name="_Toc296346584"/>
      <w:r>
        <w:rPr>
          <w:rFonts w:hint="eastAsia" w:ascii="宋体" w:hAnsi="宋体" w:eastAsia="宋体" w:cs="宋体"/>
          <w:color w:val="auto"/>
          <w:kern w:val="0"/>
          <w:szCs w:val="21"/>
          <w:highlight w:val="none"/>
        </w:rPr>
        <w:t>. 试验与检验</w:t>
      </w:r>
      <w:bookmarkEnd w:id="433"/>
      <w:bookmarkEnd w:id="434"/>
      <w:bookmarkEnd w:id="435"/>
    </w:p>
    <w:p w14:paraId="501A60B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38" w:name="_Toc351203563"/>
      <w:r>
        <w:rPr>
          <w:rFonts w:hint="eastAsia" w:ascii="宋体" w:hAnsi="宋体" w:eastAsia="宋体" w:cs="宋体"/>
          <w:color w:val="auto"/>
          <w:kern w:val="0"/>
          <w:szCs w:val="21"/>
          <w:highlight w:val="none"/>
        </w:rPr>
        <w:t>9</w:t>
      </w:r>
      <w:bookmarkStart w:id="439" w:name="_Toc337558783"/>
      <w:r>
        <w:rPr>
          <w:rFonts w:hint="eastAsia" w:ascii="宋体" w:hAnsi="宋体" w:eastAsia="宋体" w:cs="宋体"/>
          <w:color w:val="auto"/>
          <w:kern w:val="0"/>
          <w:szCs w:val="21"/>
          <w:highlight w:val="none"/>
        </w:rPr>
        <w:t>.1试验设备与试验人员</w:t>
      </w:r>
      <w:bookmarkEnd w:id="438"/>
      <w:bookmarkEnd w:id="439"/>
    </w:p>
    <w:p w14:paraId="74AEDA9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382B83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9.1.2 承包人应按专用合同条款的约定提供试验设备、取样装置、试验场所和试验条件，并向监理人提交相应进场计划表。</w:t>
      </w:r>
    </w:p>
    <w:p w14:paraId="16D2735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6130A13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69E364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40" w:name="_Toc351203564"/>
      <w:r>
        <w:rPr>
          <w:rFonts w:hint="eastAsia" w:ascii="宋体" w:hAnsi="宋体" w:eastAsia="宋体" w:cs="宋体"/>
          <w:color w:val="auto"/>
          <w:kern w:val="0"/>
          <w:szCs w:val="21"/>
          <w:highlight w:val="none"/>
        </w:rPr>
        <w:t>9</w:t>
      </w:r>
      <w:bookmarkStart w:id="441" w:name="_Toc337558784"/>
      <w:r>
        <w:rPr>
          <w:rFonts w:hint="eastAsia" w:ascii="宋体" w:hAnsi="宋体" w:eastAsia="宋体" w:cs="宋体"/>
          <w:color w:val="auto"/>
          <w:kern w:val="0"/>
          <w:szCs w:val="21"/>
          <w:highlight w:val="none"/>
        </w:rPr>
        <w:t>.2取样</w:t>
      </w:r>
      <w:bookmarkEnd w:id="440"/>
      <w:bookmarkEnd w:id="441"/>
    </w:p>
    <w:p w14:paraId="6E1A2A8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试验属于自检性质的，承包人可以单独取样。试验属于监理人抽检性质的，可由监理人取样，也可由承包人的试验人员在监理人的监督下取样。</w:t>
      </w:r>
    </w:p>
    <w:p w14:paraId="7B59A5B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42" w:name="_Toc351203565"/>
      <w:r>
        <w:rPr>
          <w:rFonts w:hint="eastAsia" w:ascii="宋体" w:hAnsi="宋体" w:eastAsia="宋体" w:cs="宋体"/>
          <w:color w:val="auto"/>
          <w:kern w:val="0"/>
          <w:szCs w:val="21"/>
          <w:highlight w:val="none"/>
        </w:rPr>
        <w:t>9</w:t>
      </w:r>
      <w:bookmarkStart w:id="443" w:name="_Toc337558785"/>
      <w:r>
        <w:rPr>
          <w:rFonts w:hint="eastAsia" w:ascii="宋体" w:hAnsi="宋体" w:eastAsia="宋体" w:cs="宋体"/>
          <w:color w:val="auto"/>
          <w:kern w:val="0"/>
          <w:szCs w:val="21"/>
          <w:highlight w:val="none"/>
        </w:rPr>
        <w:t>.3材料、工程设备和工程的试验和检验</w:t>
      </w:r>
      <w:bookmarkEnd w:id="442"/>
      <w:bookmarkEnd w:id="443"/>
    </w:p>
    <w:p w14:paraId="250AF6C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D0B579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83B12F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284234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44" w:name="_Toc351203566"/>
      <w:r>
        <w:rPr>
          <w:rFonts w:hint="eastAsia" w:ascii="宋体" w:hAnsi="宋体" w:eastAsia="宋体" w:cs="宋体"/>
          <w:color w:val="auto"/>
          <w:kern w:val="0"/>
          <w:szCs w:val="21"/>
          <w:highlight w:val="none"/>
        </w:rPr>
        <w:t>9</w:t>
      </w:r>
      <w:bookmarkStart w:id="445" w:name="_Toc337558786"/>
      <w:r>
        <w:rPr>
          <w:rFonts w:hint="eastAsia" w:ascii="宋体" w:hAnsi="宋体" w:eastAsia="宋体" w:cs="宋体"/>
          <w:color w:val="auto"/>
          <w:kern w:val="0"/>
          <w:szCs w:val="21"/>
          <w:highlight w:val="none"/>
        </w:rPr>
        <w:t>.4现场工艺试验</w:t>
      </w:r>
      <w:bookmarkEnd w:id="444"/>
      <w:bookmarkEnd w:id="445"/>
    </w:p>
    <w:p w14:paraId="78EE332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0DDFD81">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446" w:name="_Toc1131"/>
      <w:bookmarkStart w:id="447" w:name="_Toc351203567"/>
      <w:r>
        <w:rPr>
          <w:rFonts w:hint="eastAsia" w:ascii="宋体" w:hAnsi="宋体" w:eastAsia="宋体" w:cs="宋体"/>
          <w:color w:val="auto"/>
          <w:kern w:val="0"/>
          <w:szCs w:val="21"/>
          <w:highlight w:val="none"/>
        </w:rPr>
        <w:t>1</w:t>
      </w:r>
      <w:bookmarkStart w:id="448" w:name="_Toc337558787"/>
      <w:r>
        <w:rPr>
          <w:rFonts w:hint="eastAsia" w:ascii="宋体" w:hAnsi="宋体" w:eastAsia="宋体" w:cs="宋体"/>
          <w:color w:val="auto"/>
          <w:kern w:val="0"/>
          <w:szCs w:val="21"/>
          <w:highlight w:val="none"/>
        </w:rPr>
        <w:t>0. 变更</w:t>
      </w:r>
      <w:bookmarkEnd w:id="436"/>
      <w:bookmarkEnd w:id="437"/>
      <w:bookmarkEnd w:id="446"/>
      <w:bookmarkEnd w:id="447"/>
      <w:bookmarkEnd w:id="448"/>
    </w:p>
    <w:p w14:paraId="7D69F83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49" w:name="_Toc351203568"/>
      <w:r>
        <w:rPr>
          <w:rFonts w:hint="eastAsia" w:ascii="宋体" w:hAnsi="宋体" w:eastAsia="宋体" w:cs="宋体"/>
          <w:color w:val="auto"/>
          <w:kern w:val="0"/>
          <w:szCs w:val="21"/>
          <w:highlight w:val="none"/>
        </w:rPr>
        <w:t>1</w:t>
      </w:r>
      <w:bookmarkStart w:id="450" w:name="_Toc296346585"/>
      <w:bookmarkStart w:id="451" w:name="_Toc337558788"/>
      <w:bookmarkStart w:id="452" w:name="_Toc296503084"/>
      <w:r>
        <w:rPr>
          <w:rFonts w:hint="eastAsia" w:ascii="宋体" w:hAnsi="宋体" w:eastAsia="宋体" w:cs="宋体"/>
          <w:color w:val="auto"/>
          <w:kern w:val="0"/>
          <w:szCs w:val="21"/>
          <w:highlight w:val="none"/>
        </w:rPr>
        <w:t>0.1变更的范围</w:t>
      </w:r>
      <w:bookmarkEnd w:id="449"/>
      <w:bookmarkEnd w:id="450"/>
      <w:bookmarkEnd w:id="451"/>
      <w:bookmarkEnd w:id="452"/>
    </w:p>
    <w:p w14:paraId="0BAE6F1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除专用合同条款另有约定外，合同履行过程中发生以下情形的，应按照本条约定进行变更：</w:t>
      </w:r>
    </w:p>
    <w:p w14:paraId="02BD24B5">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（1）增加或减少合同中任何工作，或追加额外的工作；</w:t>
      </w:r>
    </w:p>
    <w:p w14:paraId="5F4079A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（2）取消合同中任何工作，但转由他人实施的工作除外；</w:t>
      </w:r>
    </w:p>
    <w:p w14:paraId="31C9BEC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（3）改变合同中任何工作的质量标准或其他特性；</w:t>
      </w:r>
    </w:p>
    <w:p w14:paraId="18883A9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（4）改变工程的基线、标高、位置和尺寸；</w:t>
      </w:r>
    </w:p>
    <w:p w14:paraId="200E8B9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（5）改变工程的时间安排或实施顺序。</w:t>
      </w:r>
    </w:p>
    <w:p w14:paraId="3D1BABD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53" w:name="_Toc351203569"/>
      <w:r>
        <w:rPr>
          <w:rFonts w:hint="eastAsia" w:ascii="宋体" w:hAnsi="宋体" w:eastAsia="宋体" w:cs="宋体"/>
          <w:color w:val="auto"/>
          <w:kern w:val="0"/>
          <w:szCs w:val="21"/>
          <w:highlight w:val="none"/>
        </w:rPr>
        <w:t>1</w:t>
      </w:r>
      <w:bookmarkStart w:id="454" w:name="_Toc337558789"/>
      <w:bookmarkStart w:id="455" w:name="_Toc296346586"/>
      <w:bookmarkStart w:id="456" w:name="_Toc296503085"/>
      <w:r>
        <w:rPr>
          <w:rFonts w:hint="eastAsia" w:ascii="宋体" w:hAnsi="宋体" w:eastAsia="宋体" w:cs="宋体"/>
          <w:color w:val="auto"/>
          <w:kern w:val="0"/>
          <w:szCs w:val="21"/>
          <w:highlight w:val="none"/>
        </w:rPr>
        <w:t>0.2变更权</w:t>
      </w:r>
      <w:bookmarkEnd w:id="453"/>
      <w:bookmarkEnd w:id="454"/>
      <w:bookmarkEnd w:id="455"/>
      <w:bookmarkEnd w:id="456"/>
    </w:p>
    <w:p w14:paraId="0D9F810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6515A6F">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涉及设计变更的，应由设计人提供变更后的图纸和说明。如变更超过原设计标准或批准的建设规模时，发包人应及时办理规划、设计变更等审批手续。</w:t>
      </w:r>
    </w:p>
    <w:p w14:paraId="180116A7">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57" w:name="_Toc351203570"/>
      <w:r>
        <w:rPr>
          <w:rFonts w:hint="eastAsia" w:ascii="宋体" w:hAnsi="宋体" w:eastAsia="宋体" w:cs="宋体"/>
          <w:color w:val="auto"/>
          <w:kern w:val="0"/>
          <w:szCs w:val="21"/>
          <w:highlight w:val="none"/>
        </w:rPr>
        <w:t>1</w:t>
      </w:r>
      <w:bookmarkStart w:id="458" w:name="_Toc296346587"/>
      <w:bookmarkStart w:id="459" w:name="_Toc337558790"/>
      <w:bookmarkStart w:id="460" w:name="_Toc296503086"/>
      <w:r>
        <w:rPr>
          <w:rFonts w:hint="eastAsia" w:ascii="宋体" w:hAnsi="宋体" w:eastAsia="宋体" w:cs="宋体"/>
          <w:color w:val="auto"/>
          <w:kern w:val="0"/>
          <w:szCs w:val="21"/>
          <w:highlight w:val="none"/>
        </w:rPr>
        <w:t>0.3变更程序</w:t>
      </w:r>
      <w:bookmarkEnd w:id="457"/>
      <w:bookmarkEnd w:id="458"/>
      <w:bookmarkEnd w:id="459"/>
      <w:bookmarkEnd w:id="460"/>
    </w:p>
    <w:p w14:paraId="0F18A8E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10.3.1 发包人提出变更</w:t>
      </w:r>
    </w:p>
    <w:p w14:paraId="3C169B4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发包人提出变更的，应通过监理人向承包人发出变更指示，变更指示应说明计划变更的工程范围和变更的内容。</w:t>
      </w:r>
    </w:p>
    <w:p w14:paraId="21A070F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10.3.2 监理人提出变更建议</w:t>
      </w:r>
    </w:p>
    <w:p w14:paraId="7EABE2C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EB3931D">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10.3.3 变更执行</w:t>
      </w:r>
    </w:p>
    <w:p w14:paraId="033A4EA7">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5B2AE7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61" w:name="_Toc351203571"/>
      <w:r>
        <w:rPr>
          <w:rFonts w:hint="eastAsia" w:ascii="宋体" w:hAnsi="宋体" w:eastAsia="宋体" w:cs="宋体"/>
          <w:color w:val="auto"/>
          <w:kern w:val="0"/>
          <w:szCs w:val="21"/>
          <w:highlight w:val="none"/>
        </w:rPr>
        <w:t>1</w:t>
      </w:r>
      <w:bookmarkStart w:id="462" w:name="_Toc337558791"/>
      <w:bookmarkStart w:id="463" w:name="_Toc296503087"/>
      <w:bookmarkStart w:id="464" w:name="_Toc296346588"/>
      <w:r>
        <w:rPr>
          <w:rFonts w:hint="eastAsia" w:ascii="宋体" w:hAnsi="宋体" w:eastAsia="宋体" w:cs="宋体"/>
          <w:color w:val="auto"/>
          <w:kern w:val="0"/>
          <w:szCs w:val="21"/>
          <w:highlight w:val="none"/>
        </w:rPr>
        <w:t>0.4变更估价</w:t>
      </w:r>
      <w:bookmarkEnd w:id="461"/>
      <w:bookmarkEnd w:id="462"/>
      <w:bookmarkEnd w:id="463"/>
      <w:bookmarkEnd w:id="464"/>
    </w:p>
    <w:p w14:paraId="2C5C08E2">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10.4.1 变更估价原则</w:t>
      </w:r>
    </w:p>
    <w:p w14:paraId="0A17F76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除专用合同条款另有约定外，变更估价按照本款约定处理：</w:t>
      </w:r>
    </w:p>
    <w:p w14:paraId="3B1BEC0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（1）已标价工程量清单或预算书有相同项目的，按照相同项目单价认定；</w:t>
      </w:r>
    </w:p>
    <w:p w14:paraId="4B0B9836">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（2）已标价工程量清单或预算书中无相同项目，但有类似项目的，参照类似项目的单价认定；</w:t>
      </w:r>
    </w:p>
    <w:p w14:paraId="7A4B345E">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1057AA3">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10.4.2 变更估价程序</w:t>
      </w:r>
    </w:p>
    <w:p w14:paraId="0AD63EF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48349E1">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因变更引起的价格调整应计入最近一期的进度款中支付。</w:t>
      </w:r>
    </w:p>
    <w:p w14:paraId="434406D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65" w:name="_Toc351203572"/>
      <w:r>
        <w:rPr>
          <w:rFonts w:hint="eastAsia" w:ascii="宋体" w:hAnsi="宋体" w:eastAsia="宋体" w:cs="宋体"/>
          <w:color w:val="auto"/>
          <w:kern w:val="0"/>
          <w:szCs w:val="21"/>
          <w:highlight w:val="none"/>
        </w:rPr>
        <w:t>1</w:t>
      </w:r>
      <w:bookmarkStart w:id="466" w:name="_Toc296503094"/>
      <w:bookmarkStart w:id="467" w:name="_Toc337558792"/>
      <w:bookmarkStart w:id="468" w:name="_Toc296346595"/>
      <w:r>
        <w:rPr>
          <w:rFonts w:hint="eastAsia" w:ascii="宋体" w:hAnsi="宋体" w:eastAsia="宋体" w:cs="宋体"/>
          <w:color w:val="auto"/>
          <w:kern w:val="0"/>
          <w:szCs w:val="21"/>
          <w:highlight w:val="none"/>
        </w:rPr>
        <w:t>0.5承包人的合理化建议</w:t>
      </w:r>
      <w:bookmarkEnd w:id="465"/>
      <w:bookmarkEnd w:id="466"/>
      <w:bookmarkEnd w:id="467"/>
      <w:bookmarkEnd w:id="468"/>
    </w:p>
    <w:p w14:paraId="1877F6B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承包人提出合理化建议的，应向监理人提交合理化建议说明，说明建议的内容和理由，以及实施该建议对合同价格和工期的影响。</w:t>
      </w:r>
    </w:p>
    <w:p w14:paraId="765D6C9A">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FF67199">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合理化建议降低了合同价格或者提高了工程经济效益的，发包人可对承包人给予奖励，奖励的方法和金额在专用合同条款中约定。</w:t>
      </w:r>
    </w:p>
    <w:p w14:paraId="6CD65AE4">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b/>
          <w:color w:val="auto"/>
          <w:kern w:val="0"/>
          <w:szCs w:val="21"/>
          <w:highlight w:val="none"/>
        </w:rPr>
      </w:pPr>
      <w:bookmarkStart w:id="469" w:name="_Toc351203573"/>
      <w:r>
        <w:rPr>
          <w:rFonts w:hint="eastAsia" w:ascii="宋体" w:hAnsi="宋体" w:eastAsia="宋体" w:cs="宋体"/>
          <w:color w:val="auto"/>
          <w:kern w:val="0"/>
          <w:szCs w:val="21"/>
          <w:highlight w:val="none"/>
        </w:rPr>
        <w:t>1</w:t>
      </w:r>
      <w:bookmarkStart w:id="470" w:name="_Toc337558793"/>
      <w:r>
        <w:rPr>
          <w:rFonts w:hint="eastAsia" w:ascii="宋体" w:hAnsi="宋体" w:eastAsia="宋体" w:cs="宋体"/>
          <w:color w:val="auto"/>
          <w:kern w:val="0"/>
          <w:szCs w:val="21"/>
          <w:highlight w:val="none"/>
        </w:rPr>
        <w:t>0.6变更引起的工期调整</w:t>
      </w:r>
      <w:bookmarkEnd w:id="469"/>
      <w:r>
        <w:rPr>
          <w:rFonts w:hint="eastAsia" w:ascii="宋体" w:hAnsi="宋体" w:eastAsia="宋体" w:cs="宋体"/>
          <w:color w:val="auto"/>
          <w:kern w:val="0"/>
          <w:szCs w:val="21"/>
          <w:highlight w:val="none"/>
        </w:rPr>
        <w:t xml:space="preserve"> </w:t>
      </w:r>
      <w:bookmarkEnd w:id="470"/>
      <w:r>
        <w:rPr>
          <w:rFonts w:hint="eastAsia" w:ascii="宋体" w:hAnsi="宋体" w:eastAsia="宋体" w:cs="宋体"/>
          <w:color w:val="auto"/>
          <w:kern w:val="0"/>
          <w:szCs w:val="21"/>
          <w:highlight w:val="none"/>
        </w:rPr>
        <w:t xml:space="preserve"> </w:t>
      </w:r>
      <w:r>
        <w:rPr>
          <w:rFonts w:hint="eastAsia" w:ascii="宋体" w:hAnsi="宋体" w:eastAsia="宋体" w:cs="宋体"/>
          <w:b/>
          <w:color w:val="auto"/>
          <w:kern w:val="0"/>
          <w:szCs w:val="21"/>
          <w:highlight w:val="none"/>
        </w:rPr>
        <w:t xml:space="preserve"> </w:t>
      </w:r>
    </w:p>
    <w:p w14:paraId="6F7ACFA0">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063DF28C">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71" w:name="_Toc351203574"/>
      <w:r>
        <w:rPr>
          <w:rFonts w:hint="eastAsia" w:ascii="宋体" w:hAnsi="宋体" w:eastAsia="宋体" w:cs="宋体"/>
          <w:color w:val="auto"/>
          <w:kern w:val="0"/>
          <w:szCs w:val="21"/>
          <w:highlight w:val="none"/>
        </w:rPr>
        <w:t>10.7暂估价</w:t>
      </w:r>
      <w:bookmarkEnd w:id="471"/>
    </w:p>
    <w:p w14:paraId="7F025DCC">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暂估价专业分包工程、服务、材料和工程设备的明细由合同当事人在专用合同条款中约定。</w:t>
      </w:r>
    </w:p>
    <w:p w14:paraId="50DD1DB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10.7.1 依法必须招标的暂估价项目</w:t>
      </w:r>
    </w:p>
    <w:p w14:paraId="4E3D336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对于依法必须招标的暂估价项目，采取以下第1种方式确定。合同当事人也可以在专用合同条款中选择其他招标方式。</w:t>
      </w:r>
    </w:p>
    <w:p w14:paraId="696D9EC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第1种方式：对于依法必须招标的暂估价项目，由承包人招标，对该暂估价项目的确认和批准按照以下约定执行：</w:t>
      </w:r>
    </w:p>
    <w:p w14:paraId="13A229E1">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8817F5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376DB02">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（3）承包人与供应商、分包人在签订暂估价合同前，应当提前7天将确定的</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候选供应商或</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候选分包人的资料报送发包人，发包人应在收到资料后3天内与承包人共同确定</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人；承包人应当在签订合同后7天内，将暂估价合同副本报送发包人留存。</w:t>
      </w:r>
    </w:p>
    <w:p w14:paraId="6BC2D12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人后，由发包人、承包人与</w:t>
      </w:r>
      <w:r>
        <w:rPr>
          <w:rFonts w:hint="eastAsia" w:ascii="宋体" w:hAnsi="宋体" w:cs="宋体"/>
          <w:color w:val="auto"/>
          <w:kern w:val="0"/>
          <w:szCs w:val="21"/>
          <w:highlight w:val="none"/>
          <w:lang w:eastAsia="zh-CN"/>
        </w:rPr>
        <w:t>中标（成交）</w:t>
      </w:r>
      <w:r>
        <w:rPr>
          <w:rFonts w:hint="eastAsia" w:ascii="宋体" w:hAnsi="宋体" w:eastAsia="宋体" w:cs="宋体"/>
          <w:color w:val="auto"/>
          <w:kern w:val="0"/>
          <w:szCs w:val="21"/>
          <w:highlight w:val="none"/>
        </w:rPr>
        <w:t>人共同签订暂估价合同。</w:t>
      </w:r>
    </w:p>
    <w:p w14:paraId="0D13BAC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10.7.2不属于依法必须招标的暂估价项目</w:t>
      </w:r>
    </w:p>
    <w:p w14:paraId="2965CC8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除专用合同条款另有约定外，对于不属于依法必须招标的暂估价项目，采取以下第1种方式确定： </w:t>
      </w:r>
    </w:p>
    <w:p w14:paraId="72870D4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第1种方式：对于不属于依法必须招标的暂估价项目，按本项约定确认和批准：</w:t>
      </w:r>
    </w:p>
    <w:p w14:paraId="453D50BA">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D88C2F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（2）发包人认为承包人确定的供应商、分包人无法满足工程质量或合同要求的，发包人可以要求承包人重新确定暂估价项目的供应商、分包人;</w:t>
      </w:r>
    </w:p>
    <w:p w14:paraId="3D2D0495">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（3）承包人应当在签订暂估价合同后7天内，将暂估价合同副本报送发包人留存。</w:t>
      </w:r>
    </w:p>
    <w:p w14:paraId="236BDB3F">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第2种方式：承包人按照第10.7.1项〔依法必须招标的暂估价项目〕约定的第1种方式确定暂估价项目。</w:t>
      </w:r>
    </w:p>
    <w:p w14:paraId="0D0317C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第3种方式：承包人直接实施的暂估价项目</w:t>
      </w:r>
    </w:p>
    <w:p w14:paraId="54F159B3">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788FACB0">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D03780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72" w:name="_Toc351203575"/>
      <w:r>
        <w:rPr>
          <w:rFonts w:hint="eastAsia" w:ascii="宋体" w:hAnsi="宋体" w:eastAsia="宋体" w:cs="宋体"/>
          <w:color w:val="auto"/>
          <w:kern w:val="0"/>
          <w:szCs w:val="21"/>
          <w:highlight w:val="none"/>
        </w:rPr>
        <w:t>1</w:t>
      </w:r>
      <w:bookmarkStart w:id="473" w:name="_Toc337558794"/>
      <w:bookmarkStart w:id="474" w:name="_Toc322522561"/>
      <w:bookmarkStart w:id="475" w:name="_Toc296503090"/>
      <w:bookmarkStart w:id="476" w:name="_Toc296346591"/>
      <w:r>
        <w:rPr>
          <w:rFonts w:hint="eastAsia" w:ascii="宋体" w:hAnsi="宋体" w:eastAsia="宋体" w:cs="宋体"/>
          <w:color w:val="auto"/>
          <w:kern w:val="0"/>
          <w:szCs w:val="21"/>
          <w:highlight w:val="none"/>
        </w:rPr>
        <w:t>0.8暂列金额</w:t>
      </w:r>
      <w:bookmarkEnd w:id="472"/>
      <w:bookmarkEnd w:id="473"/>
    </w:p>
    <w:p w14:paraId="0EDDD868">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暂列金额应按照发包人的要求使用，发包人的要求应通过监理人发出。合同当事人可以在专用合同条款中协商确定有关事项。</w:t>
      </w:r>
      <w:bookmarkEnd w:id="474"/>
      <w:bookmarkEnd w:id="475"/>
      <w:bookmarkEnd w:id="476"/>
    </w:p>
    <w:p w14:paraId="1024EC49">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77" w:name="_Toc351203576"/>
      <w:r>
        <w:rPr>
          <w:rFonts w:hint="eastAsia" w:ascii="宋体" w:hAnsi="宋体" w:eastAsia="宋体" w:cs="宋体"/>
          <w:color w:val="auto"/>
          <w:kern w:val="0"/>
          <w:szCs w:val="21"/>
          <w:highlight w:val="none"/>
        </w:rPr>
        <w:t>1</w:t>
      </w:r>
      <w:bookmarkStart w:id="478" w:name="_Toc337558796"/>
      <w:bookmarkStart w:id="479" w:name="_Toc296346592"/>
      <w:bookmarkStart w:id="480" w:name="_Toc296503091"/>
      <w:r>
        <w:rPr>
          <w:rFonts w:hint="eastAsia" w:ascii="宋体" w:hAnsi="宋体" w:eastAsia="宋体" w:cs="宋体"/>
          <w:color w:val="auto"/>
          <w:kern w:val="0"/>
          <w:szCs w:val="21"/>
          <w:highlight w:val="none"/>
        </w:rPr>
        <w:t>0.9计日工</w:t>
      </w:r>
      <w:bookmarkEnd w:id="477"/>
      <w:r>
        <w:rPr>
          <w:rFonts w:hint="eastAsia" w:ascii="宋体" w:hAnsi="宋体" w:eastAsia="宋体" w:cs="宋体"/>
          <w:color w:val="auto"/>
          <w:kern w:val="0"/>
          <w:szCs w:val="21"/>
          <w:highlight w:val="none"/>
        </w:rPr>
        <w:t xml:space="preserve"> </w:t>
      </w:r>
      <w:bookmarkEnd w:id="478"/>
      <w:bookmarkEnd w:id="479"/>
      <w:bookmarkEnd w:id="480"/>
    </w:p>
    <w:p w14:paraId="782F1D1B">
      <w:pPr>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561B1A8">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采用计日工计价的任何一项工作，承包人应在该项工作实施过程中，每天提交以下报表和有关凭证报送监理人审查：</w:t>
      </w:r>
    </w:p>
    <w:p w14:paraId="3AB6308A">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（1）工作名称、内容和数量；</w:t>
      </w:r>
    </w:p>
    <w:p w14:paraId="76CFF0B1">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（2）投入该工作的所有人员的姓名、专业、工种、级别和耗用工时；</w:t>
      </w:r>
    </w:p>
    <w:p w14:paraId="7E6271FE">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（3）投入该工作的材料类别和数量；</w:t>
      </w:r>
    </w:p>
    <w:p w14:paraId="7D622363">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（4）投入该工作的施工设备型号、台数和耗用台时；</w:t>
      </w:r>
    </w:p>
    <w:p w14:paraId="176C38F6">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（5）其他有关资料和凭证。</w:t>
      </w:r>
    </w:p>
    <w:p w14:paraId="5320EA8D">
      <w:pPr>
        <w:keepNext w:val="0"/>
        <w:keepLines w:val="0"/>
        <w:pageBreakBefore w:val="0"/>
        <w:widowControl/>
        <w:kinsoku/>
        <w:wordWrap/>
        <w:overflowPunct/>
        <w:topLinePunct w:val="0"/>
        <w:bidi w:val="0"/>
        <w:adjustRightInd/>
        <w:snapToGrid/>
        <w:spacing w:line="400" w:lineRule="exact"/>
        <w:ind w:firstLine="315"/>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计日工由承包人汇总后，列入最近一期进度付款申请单，由监理人审查并经发包人批准后列入进度付款。</w:t>
      </w:r>
    </w:p>
    <w:p w14:paraId="2FBDCE2F">
      <w:pPr>
        <w:keepNext w:val="0"/>
        <w:keepLines w:val="0"/>
        <w:pageBreakBefore w:val="0"/>
        <w:widowControl/>
        <w:kinsoku/>
        <w:wordWrap/>
        <w:overflowPunct/>
        <w:topLinePunct w:val="0"/>
        <w:bidi w:val="0"/>
        <w:adjustRightInd/>
        <w:snapToGrid/>
        <w:spacing w:line="400" w:lineRule="exact"/>
        <w:textAlignment w:val="auto"/>
        <w:outlineLvl w:val="2"/>
        <w:rPr>
          <w:rFonts w:ascii="宋体" w:hAnsi="宋体" w:eastAsia="宋体" w:cs="宋体"/>
          <w:color w:val="auto"/>
          <w:kern w:val="0"/>
          <w:szCs w:val="21"/>
          <w:highlight w:val="none"/>
        </w:rPr>
      </w:pPr>
      <w:bookmarkStart w:id="481" w:name="_Toc12373"/>
      <w:bookmarkStart w:id="482" w:name="_Toc351203577"/>
      <w:r>
        <w:rPr>
          <w:rFonts w:hint="eastAsia" w:ascii="宋体" w:hAnsi="宋体" w:eastAsia="宋体" w:cs="宋体"/>
          <w:color w:val="auto"/>
          <w:kern w:val="0"/>
          <w:szCs w:val="21"/>
          <w:highlight w:val="none"/>
        </w:rPr>
        <w:t>11. 价格调整</w:t>
      </w:r>
      <w:bookmarkEnd w:id="481"/>
      <w:bookmarkEnd w:id="482"/>
    </w:p>
    <w:p w14:paraId="3C5BA56E">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bookmarkStart w:id="483" w:name="_Toc296346593"/>
      <w:bookmarkStart w:id="484" w:name="_Toc337558797"/>
      <w:bookmarkStart w:id="485" w:name="_Toc351203578"/>
      <w:bookmarkStart w:id="486" w:name="_Toc296503092"/>
      <w:r>
        <w:rPr>
          <w:rFonts w:hint="eastAsia" w:ascii="宋体" w:hAnsi="宋体" w:eastAsia="宋体" w:cs="宋体"/>
          <w:color w:val="auto"/>
          <w:kern w:val="0"/>
          <w:szCs w:val="21"/>
          <w:highlight w:val="none"/>
        </w:rPr>
        <w:t>11.1市场价格波动引起的调整</w:t>
      </w:r>
      <w:bookmarkEnd w:id="483"/>
      <w:bookmarkEnd w:id="484"/>
      <w:bookmarkEnd w:id="485"/>
      <w:bookmarkEnd w:id="486"/>
    </w:p>
    <w:p w14:paraId="6E75D5ED">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19DB996B">
      <w:pPr>
        <w:keepNext w:val="0"/>
        <w:keepLines w:val="0"/>
        <w:pageBreakBefore w:val="0"/>
        <w:widowControl/>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第1种方式：采用价格指数进行价格调整。</w:t>
      </w:r>
    </w:p>
    <w:p w14:paraId="18FC8F15">
      <w:pPr>
        <w:keepNext w:val="0"/>
        <w:keepLines w:val="0"/>
        <w:pageBreakBefore w:val="0"/>
        <w:widowControl/>
        <w:tabs>
          <w:tab w:val="left" w:pos="0"/>
          <w:tab w:val="left" w:pos="360"/>
          <w:tab w:val="left" w:pos="540"/>
        </w:tabs>
        <w:kinsoku/>
        <w:wordWrap/>
        <w:overflowPunct/>
        <w:topLinePunct w:val="0"/>
        <w:bidi w:val="0"/>
        <w:adjustRightInd/>
        <w:snapToGrid/>
        <w:spacing w:line="40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（1）价格调整公式</w:t>
      </w:r>
    </w:p>
    <w:p w14:paraId="3A2B924E">
      <w:pPr>
        <w:keepNext w:val="0"/>
        <w:keepLines w:val="0"/>
        <w:pageBreakBefore w:val="0"/>
        <w:widowControl/>
        <w:tabs>
          <w:tab w:val="left" w:pos="0"/>
          <w:tab w:val="left" w:pos="360"/>
          <w:tab w:val="left" w:pos="540"/>
        </w:tabs>
        <w:kinsoku/>
        <w:wordWrap/>
        <w:overflowPunct/>
        <w:topLinePunct w:val="0"/>
        <w:bidi w:val="0"/>
        <w:adjustRightInd/>
        <w:snapToGrid/>
        <w:spacing w:line="400" w:lineRule="exact"/>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因人工、材料和设备等价格波动影响合同价格时，根据专用合同条款中约定的数据，按以下公式计算差额并调整合同价格：</w:t>
      </w:r>
    </w:p>
    <w:p w14:paraId="20E3F588">
      <w:pPr>
        <w:pStyle w:val="2"/>
        <w:rPr>
          <w:color w:val="auto"/>
          <w:highlight w:val="none"/>
        </w:rPr>
      </w:pPr>
      <w:r>
        <w:rPr>
          <w:rFonts w:ascii="等线" w:hAnsi="等线" w:eastAsia="等线" w:cs="Times New Roman"/>
          <w:color w:val="auto"/>
          <w:kern w:val="0"/>
          <w:sz w:val="20"/>
          <w:szCs w:val="21"/>
          <w:highlight w:val="none"/>
        </w:rPr>
        <w:object>
          <v:shape id="_x0000_i1025" o:spt="75" alt=" " type="#_x0000_t75" style="height:38.6pt;width:359.8pt;" o:ole="t" fillcolor="#FFFFFF" filled="t" o:preferrelative="t" stroked="f" coordsize="21600,21600">
            <v:path/>
            <v:fill on="t" color2="#FFFFFF" focussize="0,0"/>
            <v:stroke on="f"/>
            <v:imagedata r:id="rId11" o:title=" "/>
            <o:lock v:ext="edit" aspectratio="t"/>
            <w10:wrap type="none"/>
            <w10:anchorlock/>
          </v:shape>
          <o:OLEObject Type="Embed" ProgID="Package" ShapeID="_x0000_i1025" DrawAspect="Content" ObjectID="_1468075725" r:id="rId10">
            <o:LockedField>false</o:LockedField>
          </o:OLEObject>
        </w:object>
      </w:r>
    </w:p>
    <w:p w14:paraId="4FC59355">
      <w:pPr>
        <w:widowControl/>
        <w:tabs>
          <w:tab w:val="left" w:pos="0"/>
          <w:tab w:val="left" w:pos="360"/>
          <w:tab w:val="left" w:pos="540"/>
        </w:tabs>
        <w:spacing w:line="276"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公式中：ΔP——需调整的价格差额；</w:t>
      </w:r>
    </w:p>
    <w:p w14:paraId="18DADB84">
      <w:pPr>
        <w:widowControl/>
        <w:tabs>
          <w:tab w:val="left" w:pos="0"/>
          <w:tab w:val="left" w:pos="360"/>
          <w:tab w:val="left" w:pos="540"/>
        </w:tabs>
        <w:spacing w:line="276" w:lineRule="auto"/>
        <w:ind w:firstLine="1260"/>
        <w:rPr>
          <w:rFonts w:ascii="宋体" w:hAnsi="宋体" w:eastAsia="宋体" w:cs="宋体"/>
          <w:color w:val="auto"/>
          <w:kern w:val="0"/>
          <w:szCs w:val="21"/>
          <w:highlight w:val="none"/>
        </w:rPr>
      </w:pPr>
      <w:r>
        <w:rPr>
          <w:rFonts w:ascii="等线" w:hAnsi="等线" w:eastAsia="等线" w:cs="Times New Roman"/>
          <w:color w:val="auto"/>
          <w:kern w:val="0"/>
          <w:sz w:val="20"/>
          <w:szCs w:val="21"/>
          <w:highlight w:val="none"/>
        </w:rPr>
        <w:drawing>
          <wp:inline distT="0" distB="0" distL="114300" distR="114300">
            <wp:extent cx="228600" cy="228600"/>
            <wp:effectExtent l="0" t="0" r="0" b="0"/>
            <wp:docPr id="1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 "/>
                    <pic:cNvPicPr>
                      <a:picLocks noChangeAspect="1"/>
                    </pic:cNvPicPr>
                  </pic:nvPicPr>
                  <pic:blipFill>
                    <a:blip r:embed="rId12"/>
                    <a:stretch>
                      <a:fillRect/>
                    </a:stretch>
                  </pic:blipFill>
                  <pic:spPr>
                    <a:xfrm>
                      <a:off x="0" y="0"/>
                      <a:ext cx="228600" cy="228600"/>
                    </a:xfrm>
                    <a:prstGeom prst="rect">
                      <a:avLst/>
                    </a:prstGeom>
                    <a:solidFill>
                      <a:srgbClr val="FFFFFF"/>
                    </a:solidFill>
                    <a:ln>
                      <a:noFill/>
                    </a:ln>
                  </pic:spPr>
                </pic:pic>
              </a:graphicData>
            </a:graphic>
          </wp:inline>
        </w:drawing>
      </w:r>
      <w:r>
        <w:rPr>
          <w:rFonts w:hint="eastAsia" w:ascii="宋体" w:hAnsi="宋体" w:eastAsia="宋体" w:cs="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1375BDF8">
      <w:pPr>
        <w:widowControl/>
        <w:tabs>
          <w:tab w:val="left" w:pos="0"/>
          <w:tab w:val="left" w:pos="360"/>
          <w:tab w:val="left" w:pos="540"/>
        </w:tabs>
        <w:spacing w:line="276"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A——定值权重（即不调部分的权重）；</w:t>
      </w:r>
    </w:p>
    <w:p w14:paraId="4B8E3184">
      <w:pPr>
        <w:widowControl/>
        <w:tabs>
          <w:tab w:val="left" w:pos="0"/>
          <w:tab w:val="left" w:pos="360"/>
          <w:tab w:val="left" w:pos="540"/>
        </w:tabs>
        <w:spacing w:line="276" w:lineRule="auto"/>
        <w:ind w:firstLine="420"/>
        <w:rPr>
          <w:rFonts w:ascii="宋体" w:hAnsi="宋体" w:eastAsia="宋体" w:cs="宋体"/>
          <w:color w:val="auto"/>
          <w:kern w:val="0"/>
          <w:szCs w:val="21"/>
          <w:highlight w:val="none"/>
        </w:rPr>
      </w:pPr>
      <w:r>
        <w:rPr>
          <w:rFonts w:ascii="等线" w:hAnsi="等线" w:eastAsia="等线" w:cs="Times New Roman"/>
          <w:color w:val="auto"/>
          <w:kern w:val="0"/>
          <w:sz w:val="20"/>
          <w:szCs w:val="21"/>
          <w:highlight w:val="none"/>
        </w:rPr>
        <w:drawing>
          <wp:inline distT="0" distB="0" distL="114300" distR="114300">
            <wp:extent cx="1285240" cy="266700"/>
            <wp:effectExtent l="0" t="0" r="10160" b="0"/>
            <wp:docPr id="15"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 "/>
                    <pic:cNvPicPr>
                      <a:picLocks noChangeAspect="1"/>
                    </pic:cNvPicPr>
                  </pic:nvPicPr>
                  <pic:blipFill>
                    <a:blip r:embed="rId13"/>
                    <a:stretch>
                      <a:fillRect/>
                    </a:stretch>
                  </pic:blipFill>
                  <pic:spPr>
                    <a:xfrm>
                      <a:off x="0" y="0"/>
                      <a:ext cx="1285240" cy="266700"/>
                    </a:xfrm>
                    <a:prstGeom prst="rect">
                      <a:avLst/>
                    </a:prstGeom>
                    <a:solidFill>
                      <a:srgbClr val="FFFFFF"/>
                    </a:solidFill>
                    <a:ln>
                      <a:noFill/>
                    </a:ln>
                  </pic:spPr>
                </pic:pic>
              </a:graphicData>
            </a:graphic>
          </wp:inline>
        </w:drawing>
      </w:r>
      <w:r>
        <w:rPr>
          <w:rFonts w:hint="eastAsia" w:ascii="宋体" w:hAnsi="宋体" w:eastAsia="宋体" w:cs="宋体"/>
          <w:color w:val="auto"/>
          <w:kern w:val="0"/>
          <w:szCs w:val="21"/>
          <w:highlight w:val="none"/>
        </w:rPr>
        <w:t>——各可调因子的变值权重（即可调部分的权重），为各可调因子在签约合同价中所占的比例；</w:t>
      </w:r>
    </w:p>
    <w:p w14:paraId="6B2A28F8">
      <w:pPr>
        <w:widowControl/>
        <w:tabs>
          <w:tab w:val="left" w:pos="0"/>
          <w:tab w:val="left" w:pos="360"/>
          <w:tab w:val="left" w:pos="540"/>
        </w:tabs>
        <w:spacing w:line="276" w:lineRule="auto"/>
        <w:ind w:firstLine="420"/>
        <w:rPr>
          <w:rFonts w:ascii="宋体" w:hAnsi="宋体" w:eastAsia="宋体" w:cs="宋体"/>
          <w:color w:val="auto"/>
          <w:kern w:val="0"/>
          <w:szCs w:val="21"/>
          <w:highlight w:val="none"/>
        </w:rPr>
      </w:pPr>
      <w:r>
        <w:rPr>
          <w:rFonts w:ascii="等线" w:hAnsi="等线" w:eastAsia="等线" w:cs="Times New Roman"/>
          <w:color w:val="auto"/>
          <w:kern w:val="0"/>
          <w:sz w:val="20"/>
          <w:szCs w:val="21"/>
          <w:highlight w:val="none"/>
        </w:rPr>
        <w:drawing>
          <wp:inline distT="0" distB="0" distL="114300" distR="114300">
            <wp:extent cx="1295400" cy="266700"/>
            <wp:effectExtent l="0" t="0" r="0" b="0"/>
            <wp:docPr id="1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 "/>
                    <pic:cNvPicPr>
                      <a:picLocks noChangeAspect="1"/>
                    </pic:cNvPicPr>
                  </pic:nvPicPr>
                  <pic:blipFill>
                    <a:blip r:embed="rId14"/>
                    <a:stretch>
                      <a:fillRect/>
                    </a:stretch>
                  </pic:blipFill>
                  <pic:spPr>
                    <a:xfrm>
                      <a:off x="0" y="0"/>
                      <a:ext cx="1295400" cy="266700"/>
                    </a:xfrm>
                    <a:prstGeom prst="rect">
                      <a:avLst/>
                    </a:prstGeom>
                    <a:solidFill>
                      <a:srgbClr val="FFFFFF"/>
                    </a:solidFill>
                    <a:ln>
                      <a:noFill/>
                    </a:ln>
                  </pic:spPr>
                </pic:pic>
              </a:graphicData>
            </a:graphic>
          </wp:inline>
        </w:drawing>
      </w:r>
      <w:r>
        <w:rPr>
          <w:rFonts w:hint="eastAsia" w:ascii="宋体" w:hAnsi="宋体" w:eastAsia="宋体" w:cs="宋体"/>
          <w:color w:val="auto"/>
          <w:kern w:val="0"/>
          <w:szCs w:val="21"/>
          <w:highlight w:val="none"/>
        </w:rPr>
        <w:t>——各可调因子的现行价格指数，指约定的付款证书相关周期最后一天的前42天的各可调因子的价格指数；</w:t>
      </w:r>
    </w:p>
    <w:p w14:paraId="2A671CA4">
      <w:pPr>
        <w:widowControl/>
        <w:tabs>
          <w:tab w:val="left" w:pos="0"/>
          <w:tab w:val="left" w:pos="360"/>
          <w:tab w:val="left" w:pos="540"/>
        </w:tabs>
        <w:spacing w:line="276" w:lineRule="auto"/>
        <w:ind w:firstLine="420"/>
        <w:rPr>
          <w:rFonts w:ascii="宋体" w:hAnsi="宋体" w:eastAsia="宋体" w:cs="宋体"/>
          <w:color w:val="auto"/>
          <w:kern w:val="0"/>
          <w:szCs w:val="21"/>
          <w:highlight w:val="none"/>
        </w:rPr>
      </w:pPr>
      <w:r>
        <w:rPr>
          <w:rFonts w:ascii="等线" w:hAnsi="等线" w:eastAsia="等线" w:cs="Times New Roman"/>
          <w:color w:val="auto"/>
          <w:kern w:val="0"/>
          <w:sz w:val="20"/>
          <w:szCs w:val="21"/>
          <w:highlight w:val="none"/>
        </w:rPr>
        <w:drawing>
          <wp:inline distT="0" distB="0" distL="114300" distR="114300">
            <wp:extent cx="1361440" cy="266700"/>
            <wp:effectExtent l="0" t="0" r="10160" b="0"/>
            <wp:docPr id="13"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 "/>
                    <pic:cNvPicPr>
                      <a:picLocks noChangeAspect="1"/>
                    </pic:cNvPicPr>
                  </pic:nvPicPr>
                  <pic:blipFill>
                    <a:blip r:embed="rId15"/>
                    <a:stretch>
                      <a:fillRect/>
                    </a:stretch>
                  </pic:blipFill>
                  <pic:spPr>
                    <a:xfrm>
                      <a:off x="0" y="0"/>
                      <a:ext cx="1361440" cy="266700"/>
                    </a:xfrm>
                    <a:prstGeom prst="rect">
                      <a:avLst/>
                    </a:prstGeom>
                    <a:solidFill>
                      <a:srgbClr val="FFFFFF"/>
                    </a:solidFill>
                    <a:ln>
                      <a:noFill/>
                    </a:ln>
                  </pic:spPr>
                </pic:pic>
              </a:graphicData>
            </a:graphic>
          </wp:inline>
        </w:drawing>
      </w:r>
      <w:r>
        <w:rPr>
          <w:rFonts w:hint="eastAsia" w:ascii="宋体" w:hAnsi="宋体" w:eastAsia="宋体" w:cs="宋体"/>
          <w:color w:val="auto"/>
          <w:kern w:val="0"/>
          <w:szCs w:val="21"/>
          <w:highlight w:val="none"/>
        </w:rPr>
        <w:t>——各可调因子的基本价格指数，指基准日期的各可调因子的价格指数。</w:t>
      </w:r>
    </w:p>
    <w:p w14:paraId="07A3FE5B">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32E3E1C">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（2）暂时确定调整差额</w:t>
      </w:r>
    </w:p>
    <w:p w14:paraId="6A1940F2">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在计算调整差额时无现行价格指数的，合同当事人同意暂用前次价格指数计算。实际价格指数有调整的，合同当事人进行相应调整。</w:t>
      </w:r>
    </w:p>
    <w:p w14:paraId="13AA671F">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（3）权重的调整</w:t>
      </w:r>
    </w:p>
    <w:p w14:paraId="2D5E71C5">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因变更导致合同约定的权重不合理时，按照第4.4款〔商定或确定〕执行。</w:t>
      </w:r>
    </w:p>
    <w:p w14:paraId="569D1426">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（4）因承包人原因工期延误后的价格调整</w:t>
      </w:r>
    </w:p>
    <w:p w14:paraId="389D483A">
      <w:pPr>
        <w:keepNext w:val="0"/>
        <w:keepLines w:val="0"/>
        <w:pageBreakBefore w:val="0"/>
        <w:widowControl/>
        <w:tabs>
          <w:tab w:val="left" w:pos="0"/>
          <w:tab w:val="left" w:pos="360"/>
          <w:tab w:val="left" w:pos="540"/>
        </w:tabs>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68995DD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第2种方式：采用造价信息进行价格调整。</w:t>
      </w:r>
    </w:p>
    <w:p w14:paraId="0D53530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20860C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1CE109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（2）材料、工程设备价格变化的价款调整按照发包人提供的基准价格，按以下风险范围规定执行:</w:t>
      </w:r>
    </w:p>
    <w:p w14:paraId="42D6425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39A8F9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2FE441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5A841E5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BD2692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487" w:name="OLE_LINK3"/>
      <w:r>
        <w:rPr>
          <w:rFonts w:hint="eastAsia" w:ascii="宋体" w:hAnsi="宋体" w:eastAsia="宋体" w:cs="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57E6D4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0BACBC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第3种方式：专用合同条款约定的其他方式。</w:t>
      </w:r>
    </w:p>
    <w:p w14:paraId="6414382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488" w:name="_Toc351203579"/>
      <w:bookmarkStart w:id="489" w:name="_Toc296346594"/>
      <w:bookmarkStart w:id="490" w:name="_Toc296503093"/>
      <w:bookmarkStart w:id="491" w:name="_Toc337558798"/>
      <w:r>
        <w:rPr>
          <w:rFonts w:hint="eastAsia" w:ascii="宋体" w:hAnsi="宋体" w:eastAsia="宋体" w:cs="宋体"/>
          <w:color w:val="auto"/>
          <w:kern w:val="0"/>
          <w:szCs w:val="21"/>
          <w:highlight w:val="none"/>
        </w:rPr>
        <w:t>11.2法律变化引起的调整</w:t>
      </w:r>
      <w:bookmarkEnd w:id="488"/>
      <w:bookmarkEnd w:id="489"/>
      <w:bookmarkEnd w:id="490"/>
      <w:bookmarkEnd w:id="491"/>
    </w:p>
    <w:p w14:paraId="7CC0084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B54F1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因法律变化引起的合同价格和工期调整，合同当事人无法达成一致的，由总监理工程师按第4.4款〔商定或确定〕的约定处理。</w:t>
      </w:r>
    </w:p>
    <w:p w14:paraId="6A2FF06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因承包人原因造成工期延误，在工期延误期间出现法律变化的，由此增加的费用和（或）延误的工期由承包人承担。</w:t>
      </w:r>
    </w:p>
    <w:p w14:paraId="21D2623B">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492" w:name="_Toc23554"/>
      <w:bookmarkStart w:id="493" w:name="_Toc337558799"/>
      <w:bookmarkStart w:id="494" w:name="_Toc351203580"/>
      <w:bookmarkStart w:id="495" w:name="_Toc296346597"/>
      <w:bookmarkStart w:id="496" w:name="_Toc296503096"/>
      <w:r>
        <w:rPr>
          <w:rFonts w:hint="eastAsia" w:ascii="宋体" w:hAnsi="宋体" w:eastAsia="宋体" w:cs="宋体"/>
          <w:color w:val="auto"/>
          <w:kern w:val="0"/>
          <w:szCs w:val="21"/>
          <w:highlight w:val="none"/>
        </w:rPr>
        <w:t>12. 合同价格、计量与支付</w:t>
      </w:r>
      <w:bookmarkEnd w:id="492"/>
      <w:bookmarkEnd w:id="493"/>
      <w:bookmarkEnd w:id="494"/>
    </w:p>
    <w:p w14:paraId="60C5B9D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497" w:name="_Toc351203581"/>
      <w:bookmarkStart w:id="498" w:name="_Toc337558800"/>
      <w:r>
        <w:rPr>
          <w:rFonts w:hint="eastAsia" w:ascii="宋体" w:hAnsi="宋体" w:eastAsia="宋体" w:cs="宋体"/>
          <w:color w:val="auto"/>
          <w:kern w:val="0"/>
          <w:szCs w:val="21"/>
          <w:highlight w:val="none"/>
        </w:rPr>
        <w:t>12.1 合同价</w:t>
      </w:r>
      <w:bookmarkEnd w:id="495"/>
      <w:bookmarkEnd w:id="496"/>
      <w:r>
        <w:rPr>
          <w:rFonts w:hint="eastAsia" w:ascii="宋体" w:hAnsi="宋体" w:eastAsia="宋体" w:cs="宋体"/>
          <w:color w:val="auto"/>
          <w:kern w:val="0"/>
          <w:szCs w:val="21"/>
          <w:highlight w:val="none"/>
        </w:rPr>
        <w:t>格形式</w:t>
      </w:r>
      <w:bookmarkEnd w:id="497"/>
      <w:bookmarkEnd w:id="498"/>
    </w:p>
    <w:p w14:paraId="4AB1C7C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发包人和承包人应在合同协议书中选择下列一种合同价格形式： </w:t>
      </w:r>
    </w:p>
    <w:p w14:paraId="2B5CEE3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w:t>
      </w:r>
    </w:p>
    <w:p w14:paraId="67B9E0E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EE37EF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w:t>
      </w:r>
    </w:p>
    <w:p w14:paraId="5DB6158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4BAB2D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3.其它价格形式</w:t>
      </w:r>
    </w:p>
    <w:p w14:paraId="00335A1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合同当事人可在专用合同条款中约定其他合同价格形式。</w:t>
      </w:r>
    </w:p>
    <w:p w14:paraId="126DA87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499" w:name="_Toc296346598"/>
      <w:bookmarkStart w:id="500" w:name="_Toc296503097"/>
      <w:bookmarkStart w:id="501" w:name="_Toc351203582"/>
      <w:bookmarkStart w:id="502" w:name="_Toc337558801"/>
      <w:r>
        <w:rPr>
          <w:rFonts w:hint="eastAsia" w:ascii="宋体" w:hAnsi="宋体" w:eastAsia="宋体" w:cs="宋体"/>
          <w:color w:val="auto"/>
          <w:kern w:val="0"/>
          <w:szCs w:val="21"/>
          <w:highlight w:val="none"/>
        </w:rPr>
        <w:t>12.2预</w:t>
      </w:r>
      <w:bookmarkEnd w:id="499"/>
      <w:bookmarkEnd w:id="500"/>
      <w:bookmarkStart w:id="503" w:name="_Toc296503100"/>
      <w:bookmarkStart w:id="504" w:name="_Toc296346601"/>
      <w:r>
        <w:rPr>
          <w:rFonts w:hint="eastAsia" w:ascii="宋体" w:hAnsi="宋体" w:eastAsia="宋体" w:cs="宋体"/>
          <w:color w:val="auto"/>
          <w:kern w:val="0"/>
          <w:szCs w:val="21"/>
          <w:highlight w:val="none"/>
        </w:rPr>
        <w:t>付款</w:t>
      </w:r>
      <w:bookmarkEnd w:id="501"/>
      <w:bookmarkEnd w:id="502"/>
      <w:bookmarkEnd w:id="503"/>
      <w:bookmarkEnd w:id="504"/>
    </w:p>
    <w:p w14:paraId="29DC195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12.2.1预付款的支付</w:t>
      </w:r>
    </w:p>
    <w:p w14:paraId="33740A9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E472CF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除专用合同条款另有约定外，预付款在进度付款中同比例扣回。</w:t>
      </w:r>
      <w:bookmarkEnd w:id="487"/>
      <w:r>
        <w:rPr>
          <w:rFonts w:hint="eastAsia" w:ascii="宋体" w:hAnsi="宋体" w:eastAsia="宋体" w:cs="宋体"/>
          <w:color w:val="auto"/>
          <w:kern w:val="0"/>
          <w:szCs w:val="21"/>
          <w:highlight w:val="none"/>
        </w:rPr>
        <w:t>在颁发工程接收证书前，提前解除合同的，尚未扣完的预付款应与合同价款一并结算。</w:t>
      </w:r>
    </w:p>
    <w:p w14:paraId="69DEB13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4D62FD2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12.2.2 预付款担保</w:t>
      </w:r>
    </w:p>
    <w:p w14:paraId="64AA1BC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DBF487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发包人在工程款中逐期扣回预付款后，预付款担保额度应相应减少，但剩余的预付款担保金额不得低于未被扣回的预付款金额。</w:t>
      </w:r>
    </w:p>
    <w:p w14:paraId="28459A1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05" w:name="_Toc351203583"/>
      <w:bookmarkStart w:id="506" w:name="_Toc337558802"/>
      <w:r>
        <w:rPr>
          <w:rFonts w:hint="eastAsia" w:ascii="宋体" w:hAnsi="宋体" w:eastAsia="宋体" w:cs="宋体"/>
          <w:color w:val="auto"/>
          <w:kern w:val="0"/>
          <w:szCs w:val="21"/>
          <w:highlight w:val="none"/>
        </w:rPr>
        <w:t>12.3计量</w:t>
      </w:r>
      <w:bookmarkEnd w:id="505"/>
      <w:bookmarkEnd w:id="506"/>
    </w:p>
    <w:p w14:paraId="6CAACEC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12.3.1 计量原则</w:t>
      </w:r>
    </w:p>
    <w:p w14:paraId="529905A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506CAD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12.3.2 计量周期</w:t>
      </w:r>
    </w:p>
    <w:p w14:paraId="754848B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除专用合同条款另有约定外，工程量的计量按月进行。</w:t>
      </w:r>
    </w:p>
    <w:p w14:paraId="3B66D82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12.3.3 单价合同的计量</w:t>
      </w:r>
    </w:p>
    <w:p w14:paraId="0F88EA9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除专用合同条款另有约定外，单价合同的计量按照本项约定执行：</w:t>
      </w:r>
    </w:p>
    <w:p w14:paraId="264995E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14:paraId="4A165F9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7B1E44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488EE80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12.3.4 总价合同的计量</w:t>
      </w:r>
    </w:p>
    <w:p w14:paraId="5992A0C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除专用合同条款另有约定外，按月计量支付的总价合同，按照本项约定执行：</w:t>
      </w:r>
    </w:p>
    <w:p w14:paraId="399B7FA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14:paraId="7C57084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008584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（3）监理人未在收到承包人提交的工程量报表后的7天内完成复核的，承包人提交的工程量报告中的工程量视为承包人实际完成的工程量。</w:t>
      </w:r>
    </w:p>
    <w:p w14:paraId="4BBEED3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12.3.5 总价合同采用支付分解表计量支付的，可以按照第12.3.4项〔总价合同的计量〕约定进行计量，但合同价款按照支付分解表进行支付。</w:t>
      </w:r>
    </w:p>
    <w:p w14:paraId="7595251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12.3.6 其他价格形式合同的计量</w:t>
      </w:r>
    </w:p>
    <w:p w14:paraId="3E7C06F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合同当事人可在专用合同条款中约定其他价格形式合同的计量方式和程序。</w:t>
      </w:r>
    </w:p>
    <w:p w14:paraId="0237006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07" w:name="_Toc296503101"/>
      <w:bookmarkStart w:id="508" w:name="_Toc296346602"/>
      <w:bookmarkStart w:id="509" w:name="_Toc351203584"/>
      <w:bookmarkStart w:id="510" w:name="_Toc337558803"/>
      <w:r>
        <w:rPr>
          <w:rFonts w:hint="eastAsia" w:ascii="宋体" w:hAnsi="宋体" w:eastAsia="宋体" w:cs="宋体"/>
          <w:color w:val="auto"/>
          <w:kern w:val="0"/>
          <w:szCs w:val="21"/>
          <w:highlight w:val="none"/>
        </w:rPr>
        <w:t>12.4工程进度款支</w:t>
      </w:r>
      <w:bookmarkEnd w:id="507"/>
      <w:bookmarkEnd w:id="508"/>
      <w:r>
        <w:rPr>
          <w:rFonts w:hint="eastAsia" w:ascii="宋体" w:hAnsi="宋体" w:eastAsia="宋体" w:cs="宋体"/>
          <w:color w:val="auto"/>
          <w:kern w:val="0"/>
          <w:szCs w:val="21"/>
          <w:highlight w:val="none"/>
        </w:rPr>
        <w:t>付</w:t>
      </w:r>
      <w:bookmarkEnd w:id="509"/>
      <w:bookmarkEnd w:id="510"/>
    </w:p>
    <w:p w14:paraId="6DACFDA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12.4.1 付款周期</w:t>
      </w:r>
    </w:p>
    <w:p w14:paraId="622E187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除专用合同条款另有约定外，付款周期应按照第12.3.2项〔计量周期〕的约定与计量周期保持一致。</w:t>
      </w:r>
    </w:p>
    <w:p w14:paraId="2BCCE1A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12.4.2 进度付款申请单的编制</w:t>
      </w:r>
    </w:p>
    <w:p w14:paraId="323AE9C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除专用合同条款另有约定外，进度付款申请单应包括下列内容：</w:t>
      </w:r>
    </w:p>
    <w:p w14:paraId="37FACAB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（1）截至本次付款周期已完成工作对应的金额；</w:t>
      </w:r>
    </w:p>
    <w:p w14:paraId="2368628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（2）根据第10条〔变更〕应增加和扣减的变更金额；</w:t>
      </w:r>
    </w:p>
    <w:p w14:paraId="477E049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（3）根据第12.2款〔预付款〕约定应支付的预付款和扣减的返还预付款；</w:t>
      </w:r>
    </w:p>
    <w:p w14:paraId="18BAC7B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（4）根据第15.3款〔质量保证金〕约定应扣减的质量保证金；</w:t>
      </w:r>
    </w:p>
    <w:p w14:paraId="5F28875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（5）根据第19条〔索赔〕应增加和扣减的索赔金额；</w:t>
      </w:r>
    </w:p>
    <w:p w14:paraId="608DB33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（6）对已签发的进度款支付证书中出现错误的修正，应在本次进度付款中支付或扣除的金额；</w:t>
      </w:r>
    </w:p>
    <w:p w14:paraId="7B6A90A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（7）根据合同约定应增加和扣减的其他金额。</w:t>
      </w:r>
    </w:p>
    <w:p w14:paraId="3F93D86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12.4.3 进度付款申请单的提交</w:t>
      </w:r>
    </w:p>
    <w:p w14:paraId="70DA92E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（1）单价合同进度付款申请单的提交</w:t>
      </w:r>
    </w:p>
    <w:p w14:paraId="0983D7F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7B78E1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（2）总价合同进度付款申请单的提交</w:t>
      </w:r>
    </w:p>
    <w:p w14:paraId="15EB464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2D68898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总价合同按支付分解表支付的，承包人应按照第12.4.6项〔支付分解表〕及第12.4.2项〔进度付款申请单的编制〕的约定向监理人提交进度付款申请单。</w:t>
      </w:r>
    </w:p>
    <w:p w14:paraId="22DEE62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（3）其他价格形式合同的进度付款申请单的提交</w:t>
      </w:r>
    </w:p>
    <w:p w14:paraId="3286008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合同当事人可在专用合同条款中约定其他价格形式合同的进度付款申请单的编制和提交程序。</w:t>
      </w:r>
    </w:p>
    <w:p w14:paraId="029E0BB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12.4.4 进度款审核和支付</w:t>
      </w:r>
    </w:p>
    <w:p w14:paraId="3387EE3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5CF3A1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4D8582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990BA6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（3）发包人签发进度款支付证书或临时进度款支付证书，不表明发包人已同意、批准或接受了承包人完成的相应部分的工作。</w:t>
      </w:r>
    </w:p>
    <w:p w14:paraId="094D288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12.4.5 进度付款的修正</w:t>
      </w:r>
    </w:p>
    <w:p w14:paraId="524BF6E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7A6F218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12.4.6 支付分解表</w:t>
      </w:r>
    </w:p>
    <w:p w14:paraId="60CC818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1.支付分解表的编制要求</w:t>
      </w:r>
    </w:p>
    <w:p w14:paraId="319840F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（1）支付分解表中所列的每期付款金额，应为第12.4.2项〔进度付款申请单的编制〕第（1）目的估算金额；</w:t>
      </w:r>
    </w:p>
    <w:p w14:paraId="2E6CB11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（2）实际进度与施工进度计划不一致的，合同当事人可按照第4.4款〔商定或确定〕修改支付分解表；</w:t>
      </w:r>
    </w:p>
    <w:p w14:paraId="71F79FF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（3）不采用支付分解表的，承包人应向发包人和监理人提交按季度编制的支付估算分解表，用于支付参考。</w:t>
      </w:r>
    </w:p>
    <w:p w14:paraId="58DF069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2.总价合同支付分解表的编制与审批</w:t>
      </w:r>
    </w:p>
    <w:p w14:paraId="17AA7FA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2A3560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2A2DFCA7">
      <w:pPr>
        <w:keepNext w:val="0"/>
        <w:keepLines w:val="0"/>
        <w:pageBreakBefore w:val="0"/>
        <w:widowControl/>
        <w:kinsoku/>
        <w:wordWrap/>
        <w:overflowPunct/>
        <w:topLinePunct w:val="0"/>
        <w:bidi w:val="0"/>
        <w:adjustRightInd/>
        <w:snapToGrid/>
        <w:spacing w:line="38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（3）发包人逾期未完成支付分解表审批的，也未及时要求承包人进行修正和提供补充资料的，则承包人提交的支付分解表视为已经获得发包人批准。</w:t>
      </w:r>
    </w:p>
    <w:p w14:paraId="7214B65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3.单价合同的总价项目支付分解表的编制与审批</w:t>
      </w:r>
    </w:p>
    <w:p w14:paraId="1B0C7EB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350A20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11" w:name="_Toc351203585"/>
      <w:r>
        <w:rPr>
          <w:rFonts w:hint="eastAsia" w:ascii="宋体" w:hAnsi="宋体" w:eastAsia="宋体" w:cs="宋体"/>
          <w:color w:val="auto"/>
          <w:kern w:val="0"/>
          <w:szCs w:val="21"/>
          <w:highlight w:val="none"/>
        </w:rPr>
        <w:t>12.5支付账户</w:t>
      </w:r>
      <w:bookmarkEnd w:id="511"/>
    </w:p>
    <w:p w14:paraId="57BB689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发包人应将合同价款支付至合同协议书中约定的承包人账户。</w:t>
      </w:r>
    </w:p>
    <w:p w14:paraId="79B0C62F">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12" w:name="_Toc337558804"/>
      <w:bookmarkStart w:id="513" w:name="_Toc322522574"/>
      <w:bookmarkStart w:id="514" w:name="_Toc351203586"/>
      <w:bookmarkStart w:id="515" w:name="_Toc296346607"/>
      <w:bookmarkStart w:id="516" w:name="_Toc296503106"/>
      <w:bookmarkStart w:id="517" w:name="_Toc6638"/>
      <w:r>
        <w:rPr>
          <w:rFonts w:hint="eastAsia" w:ascii="宋体" w:hAnsi="宋体" w:eastAsia="宋体" w:cs="宋体"/>
          <w:color w:val="auto"/>
          <w:kern w:val="0"/>
          <w:szCs w:val="21"/>
          <w:highlight w:val="none"/>
        </w:rPr>
        <w:t>13. 验收和工程试车</w:t>
      </w:r>
      <w:bookmarkEnd w:id="512"/>
      <w:bookmarkEnd w:id="513"/>
      <w:bookmarkEnd w:id="514"/>
      <w:bookmarkEnd w:id="515"/>
      <w:bookmarkEnd w:id="516"/>
      <w:bookmarkEnd w:id="517"/>
    </w:p>
    <w:p w14:paraId="244A9F2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18" w:name="_Toc351203587"/>
      <w:bookmarkStart w:id="519" w:name="_Toc337558805"/>
      <w:bookmarkStart w:id="520" w:name="_Toc296503110"/>
      <w:bookmarkStart w:id="521" w:name="_Toc296346611"/>
      <w:r>
        <w:rPr>
          <w:rFonts w:hint="eastAsia" w:ascii="宋体" w:hAnsi="宋体" w:eastAsia="宋体" w:cs="宋体"/>
          <w:color w:val="auto"/>
          <w:kern w:val="0"/>
          <w:szCs w:val="21"/>
          <w:highlight w:val="none"/>
        </w:rPr>
        <w:t>13.1分部分项工程验收</w:t>
      </w:r>
      <w:bookmarkEnd w:id="518"/>
      <w:bookmarkEnd w:id="519"/>
    </w:p>
    <w:p w14:paraId="501E462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13.1.1 分部分项工程质量应符合国家有关工程施工验收规范、标准及合同约定，承包人应按照施工组织设计的要求完成分部分项工程施工。</w:t>
      </w:r>
    </w:p>
    <w:p w14:paraId="23AA022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9DAC5C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分部分项工程的验收资料应当作为竣工资料的组成部分。</w:t>
      </w:r>
    </w:p>
    <w:p w14:paraId="15D49F6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22" w:name="_Toc351203588"/>
      <w:bookmarkStart w:id="523" w:name="_Toc337558806"/>
      <w:r>
        <w:rPr>
          <w:rFonts w:hint="eastAsia" w:ascii="宋体" w:hAnsi="宋体" w:eastAsia="宋体" w:cs="宋体"/>
          <w:color w:val="auto"/>
          <w:kern w:val="0"/>
          <w:szCs w:val="21"/>
          <w:highlight w:val="none"/>
        </w:rPr>
        <w:t>13.2竣工验收</w:t>
      </w:r>
      <w:bookmarkEnd w:id="520"/>
      <w:bookmarkEnd w:id="521"/>
      <w:bookmarkEnd w:id="522"/>
      <w:bookmarkEnd w:id="523"/>
    </w:p>
    <w:p w14:paraId="7E3FDD8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13.2.1竣工验收条件</w:t>
      </w:r>
    </w:p>
    <w:p w14:paraId="60DC4EE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工程具备以下条件的，承包人可以申请竣工验收：</w:t>
      </w:r>
    </w:p>
    <w:p w14:paraId="58B6201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5832728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（2）已按合同约定编制了甩项工作和缺陷修补工作清单以及相应的施工计划；</w:t>
      </w:r>
    </w:p>
    <w:p w14:paraId="6221AFB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（3）已按合同约定的内容和份数备齐竣工资料。</w:t>
      </w:r>
    </w:p>
    <w:p w14:paraId="7BEEAE06">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13.2.2竣工验收程序</w:t>
      </w:r>
    </w:p>
    <w:p w14:paraId="0AF3B40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除专用合同条款另有约定外，承包人申请竣工验收的，应当按照以下程序进行：</w:t>
      </w:r>
    </w:p>
    <w:p w14:paraId="6E9B7A9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F1E200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EB2EBA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983EAD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449966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9769D0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671B14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13.2.3竣工日期</w:t>
      </w:r>
    </w:p>
    <w:p w14:paraId="2A9CAF3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24" w:name="#go14"/>
      <w:bookmarkEnd w:id="524"/>
      <w:r>
        <w:rPr>
          <w:rFonts w:hint="eastAsia" w:ascii="宋体" w:hAnsi="宋体" w:eastAsia="宋体" w:cs="宋体"/>
          <w:color w:val="auto"/>
          <w:kern w:val="0"/>
          <w:szCs w:val="21"/>
          <w:highlight w:val="none"/>
        </w:rPr>
        <w:t>收申请报告的日期为实际竣工日期；工程未经竣工验收，发包人擅自使用的，以转移占有工程之日为实际竣工日期。</w:t>
      </w:r>
    </w:p>
    <w:p w14:paraId="51516CF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13.2.4 拒绝接收全部或部分工程</w:t>
      </w:r>
    </w:p>
    <w:p w14:paraId="0675FD1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C456F7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13.2.5 移交、接收全部与部分工程</w:t>
      </w:r>
    </w:p>
    <w:p w14:paraId="2E8B55C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除专用合同条款另有约定外，合同当事人应当在颁发工程接收证书后7天内完成工程的移交。</w:t>
      </w:r>
    </w:p>
    <w:p w14:paraId="08C733E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860463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44867B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25" w:name="_Toc296346612"/>
      <w:bookmarkStart w:id="526" w:name="_Toc296503111"/>
      <w:bookmarkStart w:id="527" w:name="_Toc337558807"/>
      <w:bookmarkStart w:id="528" w:name="_Toc351203589"/>
      <w:r>
        <w:rPr>
          <w:rFonts w:hint="eastAsia" w:ascii="宋体" w:hAnsi="宋体" w:eastAsia="宋体" w:cs="宋体"/>
          <w:color w:val="auto"/>
          <w:kern w:val="0"/>
          <w:szCs w:val="21"/>
          <w:highlight w:val="none"/>
        </w:rPr>
        <w:t>13.3工程试车</w:t>
      </w:r>
      <w:bookmarkEnd w:id="525"/>
      <w:bookmarkEnd w:id="526"/>
      <w:bookmarkEnd w:id="527"/>
      <w:bookmarkEnd w:id="528"/>
    </w:p>
    <w:p w14:paraId="58A81F1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13.3.1试车程序</w:t>
      </w:r>
    </w:p>
    <w:p w14:paraId="2C79167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工程需要试车的，除专用合同条款另有约定外，试车内容应与承包人承包范围相一致，试车费用由承包人承担。工程试车应按如下程序进行：</w:t>
      </w:r>
    </w:p>
    <w:p w14:paraId="52C5AF2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24B339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4B21F3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D9FFE5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13.3.2 试车中的责任</w:t>
      </w:r>
    </w:p>
    <w:p w14:paraId="45BE2AB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6D923A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5ADB99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14:paraId="7684FA5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2BCED3A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79C3CE9">
      <w:pPr>
        <w:keepNext w:val="0"/>
        <w:keepLines w:val="0"/>
        <w:pageBreakBefore w:val="0"/>
        <w:widowControl/>
        <w:kinsoku/>
        <w:wordWrap/>
        <w:overflowPunct/>
        <w:topLinePunct w:val="0"/>
        <w:bidi w:val="0"/>
        <w:adjustRightInd/>
        <w:snapToGrid/>
        <w:spacing w:line="380" w:lineRule="exact"/>
        <w:textAlignment w:val="auto"/>
        <w:rPr>
          <w:rFonts w:ascii="宋体" w:hAnsi="宋体" w:eastAsia="宋体" w:cs="宋体"/>
          <w:color w:val="auto"/>
          <w:kern w:val="0"/>
          <w:szCs w:val="21"/>
          <w:highlight w:val="none"/>
        </w:rPr>
      </w:pPr>
      <w:bookmarkStart w:id="529" w:name="_Toc337558808"/>
      <w:r>
        <w:rPr>
          <w:rFonts w:hint="eastAsia" w:ascii="宋体" w:hAnsi="宋体" w:eastAsia="宋体" w:cs="宋体"/>
          <w:color w:val="auto"/>
          <w:kern w:val="0"/>
          <w:szCs w:val="21"/>
          <w:highlight w:val="none"/>
        </w:rPr>
        <w:t xml:space="preserve">    </w:t>
      </w:r>
      <w:bookmarkStart w:id="530" w:name="_Toc351203590"/>
      <w:r>
        <w:rPr>
          <w:rFonts w:hint="eastAsia" w:ascii="宋体" w:hAnsi="宋体" w:eastAsia="宋体" w:cs="宋体"/>
          <w:color w:val="auto"/>
          <w:kern w:val="0"/>
          <w:szCs w:val="21"/>
          <w:highlight w:val="none"/>
        </w:rPr>
        <w:t>13.4提前交付单位工程的验收</w:t>
      </w:r>
      <w:bookmarkEnd w:id="529"/>
      <w:bookmarkEnd w:id="530"/>
    </w:p>
    <w:p w14:paraId="2B7374D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6336838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46A3F5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4D1957F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31" w:name="_Toc351203591"/>
      <w:r>
        <w:rPr>
          <w:rFonts w:hint="eastAsia" w:ascii="宋体" w:hAnsi="宋体" w:eastAsia="宋体" w:cs="宋体"/>
          <w:color w:val="auto"/>
          <w:kern w:val="0"/>
          <w:szCs w:val="21"/>
          <w:highlight w:val="none"/>
        </w:rPr>
        <w:t>13.5 施工期运行</w:t>
      </w:r>
      <w:bookmarkEnd w:id="531"/>
    </w:p>
    <w:p w14:paraId="70E80C4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B6AD6C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13.5.2 在施工期运行中发现工程或工程设备损坏或存在缺陷的，由承包人按第15.2款〔缺陷责任期〕约定进行修复。</w:t>
      </w:r>
    </w:p>
    <w:p w14:paraId="672677F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32" w:name="_Toc296346613"/>
      <w:bookmarkStart w:id="533" w:name="_Toc296503112"/>
      <w:bookmarkStart w:id="534" w:name="_Toc351203592"/>
      <w:bookmarkStart w:id="535" w:name="_Toc337558809"/>
      <w:r>
        <w:rPr>
          <w:rFonts w:hint="eastAsia" w:ascii="宋体" w:hAnsi="宋体" w:eastAsia="宋体" w:cs="宋体"/>
          <w:color w:val="auto"/>
          <w:kern w:val="0"/>
          <w:szCs w:val="21"/>
          <w:highlight w:val="none"/>
        </w:rPr>
        <w:t>13.6 竣工退</w:t>
      </w:r>
      <w:bookmarkEnd w:id="532"/>
      <w:bookmarkEnd w:id="533"/>
      <w:r>
        <w:rPr>
          <w:rFonts w:hint="eastAsia" w:ascii="宋体" w:hAnsi="宋体" w:eastAsia="宋体" w:cs="宋体"/>
          <w:color w:val="auto"/>
          <w:kern w:val="0"/>
          <w:szCs w:val="21"/>
          <w:highlight w:val="none"/>
        </w:rPr>
        <w:t>场</w:t>
      </w:r>
      <w:bookmarkEnd w:id="534"/>
      <w:bookmarkEnd w:id="535"/>
    </w:p>
    <w:p w14:paraId="31DE698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14:paraId="379C8CB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颁发工程接收证书后，承包人应按以下要求对施工现场进行清理：</w:t>
      </w:r>
    </w:p>
    <w:p w14:paraId="176D61D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（1）施工现场内残留的垃圾已全部清除出场；</w:t>
      </w:r>
    </w:p>
    <w:p w14:paraId="6BE49A7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（2）临时工程已拆除，场地已进行清理、平整或复原；</w:t>
      </w:r>
    </w:p>
    <w:p w14:paraId="5B1CE47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（3）按合同约定应撤离的人员、承包人施工设备和剩余的材料，包括废弃的施工设备和材料，已按计划撤离施工现场；</w:t>
      </w:r>
    </w:p>
    <w:p w14:paraId="64343AA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（4）施工现场周边及其附近道路、河道的施工堆积物，已全部清理；</w:t>
      </w:r>
    </w:p>
    <w:p w14:paraId="5E5A338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（5）施工现场其他场地清理工作已全部完成。</w:t>
      </w:r>
    </w:p>
    <w:p w14:paraId="5C79BE8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2501E6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13.6.2 地表还原</w:t>
      </w:r>
    </w:p>
    <w:p w14:paraId="758D0E6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B5343A5">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36" w:name="_Toc351203593"/>
      <w:bookmarkStart w:id="537" w:name="_Toc337558810"/>
      <w:bookmarkStart w:id="538" w:name="_Toc28611"/>
      <w:bookmarkStart w:id="539" w:name="_Toc296503113"/>
      <w:bookmarkStart w:id="540" w:name="_Toc296346614"/>
      <w:r>
        <w:rPr>
          <w:rFonts w:hint="eastAsia" w:ascii="宋体" w:hAnsi="宋体" w:eastAsia="宋体" w:cs="宋体"/>
          <w:color w:val="auto"/>
          <w:kern w:val="0"/>
          <w:szCs w:val="21"/>
          <w:highlight w:val="none"/>
        </w:rPr>
        <w:t>14. 竣工结算</w:t>
      </w:r>
      <w:bookmarkEnd w:id="536"/>
      <w:bookmarkEnd w:id="537"/>
      <w:bookmarkEnd w:id="538"/>
    </w:p>
    <w:p w14:paraId="75A9F93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41" w:name="_Toc351203594"/>
      <w:bookmarkStart w:id="542" w:name="_Toc337558811"/>
      <w:r>
        <w:rPr>
          <w:rFonts w:hint="eastAsia" w:ascii="宋体" w:hAnsi="宋体" w:eastAsia="宋体" w:cs="宋体"/>
          <w:color w:val="auto"/>
          <w:kern w:val="0"/>
          <w:szCs w:val="21"/>
          <w:highlight w:val="none"/>
        </w:rPr>
        <w:t>14.1 竣工结算申请</w:t>
      </w:r>
      <w:bookmarkEnd w:id="541"/>
      <w:bookmarkEnd w:id="542"/>
    </w:p>
    <w:p w14:paraId="6BFD980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D48201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除专用合同条款另有约定外，竣工结算申请单应包括以下内容：</w:t>
      </w:r>
    </w:p>
    <w:p w14:paraId="5863001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（1）竣工结算合同价格；</w:t>
      </w:r>
    </w:p>
    <w:p w14:paraId="5677504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（2）发包人已支付承包人的款项；</w:t>
      </w:r>
    </w:p>
    <w:p w14:paraId="6658FA1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（3）应扣留的质量保证金。已缴纳履约保证金的或提供其他工程质量担保方式的除外； </w:t>
      </w:r>
    </w:p>
    <w:p w14:paraId="1C1EF36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（4）发包人应支付承包人的合同价款。</w:t>
      </w:r>
    </w:p>
    <w:p w14:paraId="74B295B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43" w:name="_Toc337558812"/>
      <w:bookmarkStart w:id="544" w:name="_Toc351203595"/>
      <w:r>
        <w:rPr>
          <w:rFonts w:hint="eastAsia" w:ascii="宋体" w:hAnsi="宋体" w:eastAsia="宋体" w:cs="宋体"/>
          <w:color w:val="auto"/>
          <w:kern w:val="0"/>
          <w:szCs w:val="21"/>
          <w:highlight w:val="none"/>
        </w:rPr>
        <w:t>14.2 竣工结算审核</w:t>
      </w:r>
      <w:bookmarkEnd w:id="543"/>
      <w:bookmarkEnd w:id="544"/>
    </w:p>
    <w:p w14:paraId="5D8F6DF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C31068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978432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51434E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7106ED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45" w:name="_Toc351203596"/>
      <w:bookmarkStart w:id="546" w:name="_Toc337558813"/>
      <w:r>
        <w:rPr>
          <w:rFonts w:hint="eastAsia" w:ascii="宋体" w:hAnsi="宋体" w:eastAsia="宋体" w:cs="宋体"/>
          <w:color w:val="auto"/>
          <w:kern w:val="0"/>
          <w:szCs w:val="21"/>
          <w:highlight w:val="none"/>
        </w:rPr>
        <w:t>14.3 甩项竣工协议</w:t>
      </w:r>
      <w:bookmarkEnd w:id="545"/>
      <w:bookmarkEnd w:id="546"/>
    </w:p>
    <w:p w14:paraId="2C4C774B">
      <w:pPr>
        <w:keepNext w:val="0"/>
        <w:keepLines w:val="0"/>
        <w:pageBreakBefore w:val="0"/>
        <w:widowControl/>
        <w:kinsoku/>
        <w:wordWrap/>
        <w:overflowPunct/>
        <w:topLinePunct w:val="0"/>
        <w:autoSpaceDE w:val="0"/>
        <w:autoSpaceDN w:val="0"/>
        <w:bidi w:val="0"/>
        <w:adjustRightInd/>
        <w:snapToGrid/>
        <w:spacing w:line="380" w:lineRule="exact"/>
        <w:ind w:firstLine="41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2556CE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47" w:name="_Toc351203597"/>
      <w:bookmarkStart w:id="548" w:name="_Toc337558814"/>
      <w:r>
        <w:rPr>
          <w:rFonts w:hint="eastAsia" w:ascii="宋体" w:hAnsi="宋体" w:eastAsia="宋体" w:cs="宋体"/>
          <w:color w:val="auto"/>
          <w:kern w:val="0"/>
          <w:szCs w:val="21"/>
          <w:highlight w:val="none"/>
        </w:rPr>
        <w:t>14.4 最终结清</w:t>
      </w:r>
      <w:bookmarkEnd w:id="547"/>
      <w:bookmarkEnd w:id="548"/>
    </w:p>
    <w:p w14:paraId="1DC6001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14:paraId="1F481DC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6DCF70B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除专用合同条款另有约定外，最终结清申请单应列明质量保证金、应扣除的质量保证金、缺陷责任期内发生的增减费用。</w:t>
      </w:r>
    </w:p>
    <w:p w14:paraId="150EDA3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（2）发包人对最终结清申请单内容有异议的，有权要求承包人进行修正和提供补充资料，承包人应向发包人提交修正后的最终结清申请单。</w:t>
      </w:r>
    </w:p>
    <w:p w14:paraId="51ACEC7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14.4.2 最终结清证书和支付</w:t>
      </w:r>
    </w:p>
    <w:p w14:paraId="272D8BB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BCDEDE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236A53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（3）承包人对发包人颁发的最终结清证书有异议的，按第20条〔争议解决〕的约定办理。</w:t>
      </w:r>
    </w:p>
    <w:p w14:paraId="649472B7">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49" w:name="_Toc337558815"/>
      <w:bookmarkStart w:id="550" w:name="_Toc2085"/>
      <w:bookmarkStart w:id="551" w:name="_Toc351203598"/>
      <w:r>
        <w:rPr>
          <w:rFonts w:hint="eastAsia" w:ascii="宋体" w:hAnsi="宋体" w:eastAsia="宋体" w:cs="宋体"/>
          <w:color w:val="auto"/>
          <w:kern w:val="0"/>
          <w:szCs w:val="21"/>
          <w:highlight w:val="none"/>
        </w:rPr>
        <w:t>15. 缺陷责任与保修</w:t>
      </w:r>
      <w:bookmarkEnd w:id="539"/>
      <w:bookmarkEnd w:id="540"/>
      <w:bookmarkEnd w:id="549"/>
      <w:bookmarkEnd w:id="550"/>
      <w:bookmarkEnd w:id="551"/>
    </w:p>
    <w:p w14:paraId="06E8D9B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52" w:name="_Toc337558816"/>
      <w:bookmarkStart w:id="553" w:name="_Toc351203599"/>
      <w:bookmarkStart w:id="554" w:name="_Toc296346615"/>
      <w:bookmarkStart w:id="555" w:name="_Toc296503114"/>
      <w:r>
        <w:rPr>
          <w:rFonts w:hint="eastAsia" w:ascii="宋体" w:hAnsi="宋体" w:eastAsia="宋体" w:cs="宋体"/>
          <w:color w:val="auto"/>
          <w:kern w:val="0"/>
          <w:szCs w:val="21"/>
          <w:highlight w:val="none"/>
        </w:rPr>
        <w:t>15.1 工程保修的原则</w:t>
      </w:r>
      <w:bookmarkEnd w:id="552"/>
      <w:bookmarkEnd w:id="553"/>
    </w:p>
    <w:p w14:paraId="14C25C1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2489B5C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56" w:name="_Toc337558817"/>
      <w:bookmarkStart w:id="557" w:name="_Toc351203600"/>
      <w:r>
        <w:rPr>
          <w:rFonts w:hint="eastAsia" w:ascii="宋体" w:hAnsi="宋体" w:eastAsia="宋体" w:cs="宋体"/>
          <w:color w:val="auto"/>
          <w:kern w:val="0"/>
          <w:szCs w:val="21"/>
          <w:highlight w:val="none"/>
        </w:rPr>
        <w:t>15.2 缺陷责任期</w:t>
      </w:r>
      <w:bookmarkEnd w:id="554"/>
      <w:bookmarkEnd w:id="555"/>
      <w:bookmarkEnd w:id="556"/>
      <w:bookmarkEnd w:id="557"/>
    </w:p>
    <w:p w14:paraId="5081B82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15.2.1 缺陷责任期从工程通过竣工验收之日起计算，合同当事人应在专用合同条款约定缺陷责任期的具体期限，但该期限最长不超过24个月。</w:t>
      </w:r>
    </w:p>
    <w:p w14:paraId="491C4F5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7C8D94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306AC5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由他人原因造成的缺陷，发包人负责组织维修，承包人不承担费用，且发包人不得从保证金中扣除费用。</w:t>
      </w:r>
    </w:p>
    <w:p w14:paraId="38726C2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1EA9B77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B42D2C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58" w:name="_Toc351203601"/>
      <w:bookmarkStart w:id="559" w:name="_Toc337558818"/>
      <w:bookmarkStart w:id="560" w:name="_Toc296346616"/>
      <w:bookmarkStart w:id="561" w:name="_Toc296503115"/>
      <w:r>
        <w:rPr>
          <w:rFonts w:hint="eastAsia" w:ascii="宋体" w:hAnsi="宋体" w:eastAsia="宋体" w:cs="宋体"/>
          <w:color w:val="auto"/>
          <w:kern w:val="0"/>
          <w:szCs w:val="21"/>
          <w:highlight w:val="none"/>
        </w:rPr>
        <w:t>15.3 质量保证金</w:t>
      </w:r>
      <w:bookmarkEnd w:id="558"/>
      <w:bookmarkEnd w:id="559"/>
    </w:p>
    <w:p w14:paraId="0760870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经合同当事人协商一致扣留质量保证金的，应在专用合同条款中予以明确。</w:t>
      </w:r>
    </w:p>
    <w:p w14:paraId="455EB70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在工程项目竣工前，承包人已经提供履约担保的，发包人不得同时预留工程质量保证金。</w:t>
      </w:r>
    </w:p>
    <w:p w14:paraId="22C0E71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15.3.1 承包人提供质量保证金的方式</w:t>
      </w:r>
    </w:p>
    <w:p w14:paraId="2A058E8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承包人提供质量保证金有以下三种方式：</w:t>
      </w:r>
    </w:p>
    <w:p w14:paraId="420BE0E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（1）质量保证金保函； </w:t>
      </w:r>
    </w:p>
    <w:p w14:paraId="78C8246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（2）相应比例的工程款；</w:t>
      </w:r>
    </w:p>
    <w:p w14:paraId="5FE16B8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（3）双方约定的其他方式。</w:t>
      </w:r>
    </w:p>
    <w:p w14:paraId="646955C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除专用合同条款另有约定外，质量保证金原则上采用上述第（1）种方式。</w:t>
      </w:r>
    </w:p>
    <w:p w14:paraId="54980C2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15.3.2 质量保证金的扣留</w:t>
      </w:r>
    </w:p>
    <w:p w14:paraId="016AA59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质量保证金的扣留有以下三种方式：</w:t>
      </w:r>
    </w:p>
    <w:p w14:paraId="77FBED3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14:paraId="37D476C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w:t>
      </w:r>
      <w:bookmarkStart w:id="562" w:name="#go6"/>
      <w:bookmarkEnd w:id="562"/>
      <w:r>
        <w:rPr>
          <w:rFonts w:hint="eastAsia" w:ascii="宋体" w:hAnsi="宋体" w:eastAsia="宋体" w:cs="宋体"/>
          <w:color w:val="auto"/>
          <w:kern w:val="0"/>
          <w:szCs w:val="21"/>
          <w:highlight w:val="none"/>
        </w:rPr>
        <w:t>程竣工结算时一次性扣留质量保证金；</w:t>
      </w:r>
    </w:p>
    <w:p w14:paraId="24FA489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（3）双方约定的其他扣留方式。</w:t>
      </w:r>
    </w:p>
    <w:p w14:paraId="4B1854A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除专用合同条款另有约定外，质量保证金的扣留原则上采用上述第（1）种方式。</w:t>
      </w:r>
    </w:p>
    <w:p w14:paraId="3025BA3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w:t>
      </w:r>
      <w:bookmarkStart w:id="563" w:name="#go4"/>
      <w:bookmarkEnd w:id="563"/>
      <w:r>
        <w:rPr>
          <w:rFonts w:hint="eastAsia" w:ascii="宋体" w:hAnsi="宋体" w:eastAsia="宋体" w:cs="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8860A4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发包人在退还质量保证金的同时按照中国人民银行发布的同期同类贷款基准利率支付利息。</w:t>
      </w:r>
    </w:p>
    <w:p w14:paraId="25C5ECA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15.3.3 质量保证金的退还</w:t>
      </w:r>
    </w:p>
    <w:p w14:paraId="70E9031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缺陷责任期内，承包人认真履行合同约定的责任，到期后，承包人可向发包人申请返还保证金。</w:t>
      </w:r>
    </w:p>
    <w:p w14:paraId="4C1B522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78EB0A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发包人和承包人对保证金预留、返还以及工程维修质量、费用有争议的，按本合同第20条约定的争议和纠纷解决程序处理。</w:t>
      </w:r>
    </w:p>
    <w:p w14:paraId="465735D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64" w:name="_Toc351203602"/>
      <w:bookmarkStart w:id="565" w:name="_Toc337558819"/>
      <w:r>
        <w:rPr>
          <w:rFonts w:hint="eastAsia" w:ascii="宋体" w:hAnsi="宋体" w:eastAsia="宋体" w:cs="宋体"/>
          <w:color w:val="auto"/>
          <w:kern w:val="0"/>
          <w:szCs w:val="21"/>
          <w:highlight w:val="none"/>
        </w:rPr>
        <w:t>15.4 保修</w:t>
      </w:r>
      <w:bookmarkEnd w:id="560"/>
      <w:bookmarkEnd w:id="561"/>
      <w:bookmarkEnd w:id="564"/>
      <w:bookmarkEnd w:id="565"/>
    </w:p>
    <w:p w14:paraId="74F7DBB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15.4.1保修责任</w:t>
      </w:r>
    </w:p>
    <w:p w14:paraId="741C1CC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B74412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发包人未经竣工验收擅自使用工程的，保修期自转移占有之日起算。</w:t>
      </w:r>
    </w:p>
    <w:p w14:paraId="23533CD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15.4.2 修复费用</w:t>
      </w:r>
    </w:p>
    <w:p w14:paraId="080D920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保修期内，修复的费用按照以下约定处理：</w:t>
      </w:r>
    </w:p>
    <w:p w14:paraId="2FCDD60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（1）保修期内，因承包人原因造成工程的缺陷、损坏，承包人应负责修复，并承担修复的费用以及因工程的缺陷、损坏造成的人身伤害和财产损失；</w:t>
      </w:r>
    </w:p>
    <w:p w14:paraId="438D6D1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（2）保修期内，因发包人使用不当造成工程的缺陷、损坏，可以委托承包人修复，但发包人应承担修复的费用，并支付承包人合理利润；</w:t>
      </w:r>
    </w:p>
    <w:p w14:paraId="72D4073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3A61F99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15.4.3 修复通知</w:t>
      </w:r>
    </w:p>
    <w:p w14:paraId="75EE21B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32344E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15.4.4 未能修复</w:t>
      </w:r>
    </w:p>
    <w:p w14:paraId="7FB2A67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BBAEC8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15.4.5 承包人出入权</w:t>
      </w:r>
    </w:p>
    <w:p w14:paraId="3DE5197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2AA8147">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66" w:name="_Toc351203603"/>
      <w:bookmarkStart w:id="567" w:name="_Toc337558820"/>
      <w:bookmarkStart w:id="568" w:name="_Toc22351"/>
      <w:r>
        <w:rPr>
          <w:rFonts w:hint="eastAsia" w:ascii="宋体" w:hAnsi="宋体" w:eastAsia="宋体" w:cs="宋体"/>
          <w:color w:val="auto"/>
          <w:kern w:val="0"/>
          <w:szCs w:val="21"/>
          <w:highlight w:val="none"/>
        </w:rPr>
        <w:t>16. 违约</w:t>
      </w:r>
      <w:bookmarkEnd w:id="566"/>
      <w:bookmarkEnd w:id="567"/>
      <w:bookmarkEnd w:id="568"/>
    </w:p>
    <w:p w14:paraId="5DA0A54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69" w:name="_Toc296503129"/>
      <w:bookmarkStart w:id="570" w:name="_Toc296346630"/>
      <w:bookmarkStart w:id="571" w:name="_Toc337558821"/>
      <w:bookmarkStart w:id="572" w:name="_Toc351203604"/>
      <w:r>
        <w:rPr>
          <w:rFonts w:hint="eastAsia" w:ascii="宋体" w:hAnsi="宋体" w:eastAsia="宋体" w:cs="宋体"/>
          <w:color w:val="auto"/>
          <w:kern w:val="0"/>
          <w:szCs w:val="21"/>
          <w:highlight w:val="none"/>
        </w:rPr>
        <w:t>16.1 发</w:t>
      </w:r>
      <w:bookmarkEnd w:id="569"/>
      <w:bookmarkEnd w:id="570"/>
      <w:r>
        <w:rPr>
          <w:rFonts w:hint="eastAsia" w:ascii="宋体" w:hAnsi="宋体" w:eastAsia="宋体" w:cs="宋体"/>
          <w:color w:val="auto"/>
          <w:kern w:val="0"/>
          <w:szCs w:val="21"/>
          <w:highlight w:val="none"/>
        </w:rPr>
        <w:t>包人违约</w:t>
      </w:r>
      <w:bookmarkEnd w:id="571"/>
      <w:bookmarkEnd w:id="572"/>
    </w:p>
    <w:p w14:paraId="6DE0DA8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16.1.1 发包人违约的情形</w:t>
      </w:r>
    </w:p>
    <w:p w14:paraId="375BE7EF">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在合同履行过程中发生的下列情形，属于发包人违约：</w:t>
      </w:r>
    </w:p>
    <w:p w14:paraId="613528A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（1）因发包人原因未能在计划开工日期前7天内下达开工通知的；</w:t>
      </w:r>
    </w:p>
    <w:p w14:paraId="4BEED0B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w:t>
      </w:r>
    </w:p>
    <w:p w14:paraId="6DC18E0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w:t>
      </w:r>
    </w:p>
    <w:p w14:paraId="023E084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w:t>
      </w:r>
    </w:p>
    <w:p w14:paraId="5A55372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w:t>
      </w:r>
    </w:p>
    <w:p w14:paraId="1B58BD5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w:t>
      </w:r>
    </w:p>
    <w:p w14:paraId="0DAAB11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（7）发包人明确表示或者以其行为表明不履行合同主要义务的；</w:t>
      </w:r>
    </w:p>
    <w:p w14:paraId="6056616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（8）发包人未能按照合同约定履行其他义务的。</w:t>
      </w:r>
    </w:p>
    <w:p w14:paraId="0B019C3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C08A96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14:paraId="023A7D5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439951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16.1.3 因发包人违约解除合同</w:t>
      </w:r>
    </w:p>
    <w:p w14:paraId="71F7C77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DF66DF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16.1.4 因发包人违约解除合同后的付款</w:t>
      </w:r>
    </w:p>
    <w:p w14:paraId="02F64D1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承包人按照本款约定解除合同的，发包人应在解除合同后28天内支付下列款项，并解除履约担保：</w:t>
      </w:r>
    </w:p>
    <w:p w14:paraId="6BD2B2B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（1）合同解除前所完成工作的价款；</w:t>
      </w:r>
    </w:p>
    <w:p w14:paraId="50AE508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（2）承包人为工程施工订购并已付款的材料、工程设备和其他物品的价款；</w:t>
      </w:r>
    </w:p>
    <w:p w14:paraId="4296502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（3）承包人撤离施工现场以及遣散承包人人员的款项；</w:t>
      </w:r>
    </w:p>
    <w:p w14:paraId="4D7B17F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（4）按照合同约定在合同解除前应支付的违约金；</w:t>
      </w:r>
    </w:p>
    <w:p w14:paraId="0BA82DB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（5）按照合同约定应当支付给承包人的其他款项；</w:t>
      </w:r>
    </w:p>
    <w:p w14:paraId="770A071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（6）按照合同约定应退还的质量保证金；</w:t>
      </w:r>
    </w:p>
    <w:p w14:paraId="295C889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（7）因解除合同给承包人造成的损失。</w:t>
      </w:r>
    </w:p>
    <w:p w14:paraId="7A1C03E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合同当事人未能就解除合同后的结清达成一致的，按照第20条〔争议解决〕的约定处理。</w:t>
      </w:r>
    </w:p>
    <w:p w14:paraId="5005402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68A19F1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73" w:name="_Toc296503131"/>
      <w:bookmarkStart w:id="574" w:name="_Toc296346632"/>
      <w:bookmarkStart w:id="575" w:name="_Toc351203605"/>
      <w:bookmarkStart w:id="576" w:name="_Toc337558822"/>
      <w:r>
        <w:rPr>
          <w:rFonts w:hint="eastAsia" w:ascii="宋体" w:hAnsi="宋体" w:eastAsia="宋体" w:cs="宋体"/>
          <w:color w:val="auto"/>
          <w:kern w:val="0"/>
          <w:szCs w:val="21"/>
          <w:highlight w:val="none"/>
        </w:rPr>
        <w:t>16.2 承包人违约</w:t>
      </w:r>
      <w:bookmarkEnd w:id="573"/>
      <w:bookmarkEnd w:id="574"/>
      <w:bookmarkEnd w:id="575"/>
      <w:bookmarkEnd w:id="576"/>
    </w:p>
    <w:p w14:paraId="11A26E1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14:paraId="55A6E92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在合同履行过程中发生的下列情形，属于承包人违约：</w:t>
      </w:r>
    </w:p>
    <w:p w14:paraId="5F111D6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（1）承包人违反合同约定进行转包或违法分包的；</w:t>
      </w:r>
    </w:p>
    <w:p w14:paraId="60ACFBF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（2）承包人违反合同约定采购和使用不合格的材料和工程设备的；</w:t>
      </w:r>
    </w:p>
    <w:p w14:paraId="31F97D6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（3）因承包人原因导致工程质量不符合合同要求的； </w:t>
      </w:r>
    </w:p>
    <w:p w14:paraId="7F857DB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（4）承包人违反第8.9款〔材料与设备专用要求〕的约定，未经批准，私自将已按照合同约定进入施工现场的材料或设备撤离施工现场的；</w:t>
      </w:r>
    </w:p>
    <w:p w14:paraId="48B781C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（5）承包人未能按施工进度计划及时完成合同约定的工作，造成工期延误的；</w:t>
      </w:r>
    </w:p>
    <w:p w14:paraId="438E0F3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（6）承包人在缺陷责任期及保修期内，未能在合理期限对工程缺陷进行修复，或拒绝按发包人要求进行修复的；</w:t>
      </w:r>
    </w:p>
    <w:p w14:paraId="55ADE14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（7）承包人明确表示或者以其行为表明不履行合同主要义务的；</w:t>
      </w:r>
    </w:p>
    <w:p w14:paraId="65EF08D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（8）承包人未能按照合同约定履行其他义务的。</w:t>
      </w:r>
    </w:p>
    <w:p w14:paraId="24BC7B6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承包人发生除本项第（7）目约定以外的其他违约情况时，监理人可向承包人发出整改通知，要求其在指定的期限内改正。</w:t>
      </w:r>
    </w:p>
    <w:p w14:paraId="386AE4A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16.2.2 承包人违约的责任</w:t>
      </w:r>
    </w:p>
    <w:p w14:paraId="67C5CC0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3C10CCC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16.2.3 因承包人违约解除合同</w:t>
      </w:r>
    </w:p>
    <w:p w14:paraId="7EBC74A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DE6214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16.2.4因承包人违约解除合同后的处理</w:t>
      </w:r>
    </w:p>
    <w:p w14:paraId="36CA2C8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因承包人原因导致合同解除的，则合同当事人应在合同解除后28天内完成估价、付款和清算，并按以下约定执行：</w:t>
      </w:r>
    </w:p>
    <w:p w14:paraId="06F5B60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7660EB9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（2）合同解除后，承包人应支付的违约金；</w:t>
      </w:r>
    </w:p>
    <w:p w14:paraId="1D61F4C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（3）合同解除后，因解除合同给发包人造成的损失；</w:t>
      </w:r>
    </w:p>
    <w:p w14:paraId="5949C15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（4）合同解除后，承包人应按照发包人要求和监理人的指示完成现场的清理和撤离；</w:t>
      </w:r>
    </w:p>
    <w:p w14:paraId="419A4FB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（5）发包人和承包人应在合同解除后进行清算，出具最终结清付款证书，结清全部款项。</w:t>
      </w:r>
    </w:p>
    <w:p w14:paraId="70C1E46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5CE26D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16.2.5采购合同权益转让</w:t>
      </w:r>
    </w:p>
    <w:p w14:paraId="331D76F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B0417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77" w:name="_Toc351203606"/>
      <w:r>
        <w:rPr>
          <w:rFonts w:hint="eastAsia" w:ascii="宋体" w:hAnsi="宋体" w:eastAsia="宋体" w:cs="宋体"/>
          <w:color w:val="auto"/>
          <w:kern w:val="0"/>
          <w:szCs w:val="21"/>
          <w:highlight w:val="none"/>
        </w:rPr>
        <w:t>16.3 第三人造成的违约</w:t>
      </w:r>
      <w:bookmarkEnd w:id="577"/>
    </w:p>
    <w:p w14:paraId="0276303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4F27FF53">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78" w:name="_Toc351203607"/>
      <w:bookmarkStart w:id="579" w:name="_Toc12055"/>
      <w:bookmarkStart w:id="580" w:name="_Toc296503116"/>
      <w:bookmarkStart w:id="581" w:name="_Toc337558823"/>
      <w:bookmarkStart w:id="582" w:name="_Toc296346617"/>
      <w:r>
        <w:rPr>
          <w:rFonts w:hint="eastAsia" w:ascii="宋体" w:hAnsi="宋体" w:eastAsia="宋体" w:cs="宋体"/>
          <w:color w:val="auto"/>
          <w:kern w:val="0"/>
          <w:szCs w:val="21"/>
          <w:highlight w:val="none"/>
        </w:rPr>
        <w:t>17. 不可抗力</w:t>
      </w:r>
      <w:bookmarkEnd w:id="578"/>
      <w:bookmarkEnd w:id="579"/>
      <w:r>
        <w:rPr>
          <w:rFonts w:hint="eastAsia" w:ascii="宋体" w:hAnsi="宋体" w:eastAsia="宋体" w:cs="宋体"/>
          <w:color w:val="auto"/>
          <w:kern w:val="0"/>
          <w:szCs w:val="21"/>
          <w:highlight w:val="none"/>
        </w:rPr>
        <w:t xml:space="preserve"> </w:t>
      </w:r>
      <w:bookmarkEnd w:id="580"/>
      <w:bookmarkEnd w:id="581"/>
      <w:bookmarkEnd w:id="582"/>
    </w:p>
    <w:p w14:paraId="3C41DCC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83" w:name="_Toc296346618"/>
      <w:bookmarkStart w:id="584" w:name="_Toc337558824"/>
      <w:bookmarkStart w:id="585" w:name="_Toc296503117"/>
      <w:bookmarkStart w:id="586" w:name="_Toc351203608"/>
      <w:r>
        <w:rPr>
          <w:rFonts w:hint="eastAsia" w:ascii="宋体" w:hAnsi="宋体" w:eastAsia="宋体" w:cs="宋体"/>
          <w:color w:val="auto"/>
          <w:kern w:val="0"/>
          <w:szCs w:val="21"/>
          <w:highlight w:val="none"/>
        </w:rPr>
        <w:t>17.1 不可抗力的确认</w:t>
      </w:r>
      <w:bookmarkEnd w:id="583"/>
      <w:bookmarkEnd w:id="584"/>
      <w:bookmarkEnd w:id="585"/>
      <w:bookmarkEnd w:id="586"/>
    </w:p>
    <w:p w14:paraId="61181D8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227DEC2">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58518A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87" w:name="_Toc337558825"/>
      <w:bookmarkStart w:id="588" w:name="_Toc296346619"/>
      <w:bookmarkStart w:id="589" w:name="_Toc296503118"/>
      <w:bookmarkStart w:id="590" w:name="_Toc351203609"/>
      <w:r>
        <w:rPr>
          <w:rFonts w:hint="eastAsia" w:ascii="宋体" w:hAnsi="宋体" w:eastAsia="宋体" w:cs="宋体"/>
          <w:color w:val="auto"/>
          <w:kern w:val="0"/>
          <w:szCs w:val="21"/>
          <w:highlight w:val="none"/>
        </w:rPr>
        <w:t>17.2 不可抗力的通知</w:t>
      </w:r>
      <w:bookmarkEnd w:id="587"/>
      <w:bookmarkEnd w:id="588"/>
      <w:bookmarkEnd w:id="589"/>
      <w:bookmarkEnd w:id="590"/>
    </w:p>
    <w:p w14:paraId="4108B47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5EBA680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30FFDB4">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91" w:name="_Toc296346620"/>
      <w:bookmarkStart w:id="592" w:name="_Toc296503119"/>
      <w:bookmarkStart w:id="593" w:name="_Toc337558826"/>
      <w:bookmarkStart w:id="594" w:name="_Toc351203610"/>
      <w:r>
        <w:rPr>
          <w:rFonts w:hint="eastAsia" w:ascii="宋体" w:hAnsi="宋体" w:eastAsia="宋体" w:cs="宋体"/>
          <w:color w:val="auto"/>
          <w:kern w:val="0"/>
          <w:szCs w:val="21"/>
          <w:highlight w:val="none"/>
        </w:rPr>
        <w:t>17.3 不可抗力后果的承担</w:t>
      </w:r>
      <w:bookmarkEnd w:id="591"/>
      <w:bookmarkEnd w:id="592"/>
      <w:bookmarkEnd w:id="593"/>
      <w:bookmarkEnd w:id="594"/>
    </w:p>
    <w:p w14:paraId="7052E20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57B8CAA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17.3.2 不可抗力导致的人员伤亡、财产损失、费用增加和（或）工期延误等后果，由合同当事人按以下原则承担：</w:t>
      </w:r>
    </w:p>
    <w:p w14:paraId="1D8EABC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（1）永久工程、已运至施工现场的材料和工程设备的损坏，以及因工程损坏造成的第三人人员伤亡和财产损失由发包人承担；</w:t>
      </w:r>
    </w:p>
    <w:p w14:paraId="5C5E576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（2）承包人施工设备的损坏由承包人承担；</w:t>
      </w:r>
    </w:p>
    <w:p w14:paraId="2A9CC9A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（3）发包人和承包人承担各自人员伤亡和财产的损失；</w:t>
      </w:r>
    </w:p>
    <w:p w14:paraId="48F50E1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A4F124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（5）因不可抗力引起或将引起工期延误，发包人要求赶工的，由此增加的赶工费用由发包人承担；</w:t>
      </w:r>
    </w:p>
    <w:p w14:paraId="7AA3673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（6）承包人在停工期间按照发包人要求照管、清理和修复工程的费用由发包人承担。</w:t>
      </w:r>
    </w:p>
    <w:p w14:paraId="1269CDF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78115B8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因合同一方迟延履行合同义务，在迟延履行期间遭遇不可抗力的，不免除其违约责任。</w:t>
      </w:r>
    </w:p>
    <w:p w14:paraId="6B03033D">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595" w:name="_Toc337558827"/>
      <w:bookmarkStart w:id="596" w:name="_Toc351203611"/>
      <w:r>
        <w:rPr>
          <w:rFonts w:hint="eastAsia" w:ascii="宋体" w:hAnsi="宋体" w:eastAsia="宋体" w:cs="宋体"/>
          <w:color w:val="auto"/>
          <w:kern w:val="0"/>
          <w:szCs w:val="21"/>
          <w:highlight w:val="none"/>
        </w:rPr>
        <w:t>17.4 因不可抗力解除合同</w:t>
      </w:r>
      <w:bookmarkEnd w:id="595"/>
      <w:bookmarkEnd w:id="596"/>
    </w:p>
    <w:p w14:paraId="7A581B5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4E445F8">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（1）合同解除前承包人已完成工作的价款；</w:t>
      </w:r>
    </w:p>
    <w:p w14:paraId="39BDF65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（2）承包人为工程订购的并已交付给承包人，或承包人有责任接受交付的材料、工程设备和其他物品的价款；</w:t>
      </w:r>
    </w:p>
    <w:p w14:paraId="41E4462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（3）发包人要求承包人退货或解除订货合同而产生的费用，或因不能退货或解除合同而产生的损失；</w:t>
      </w:r>
    </w:p>
    <w:p w14:paraId="442FBE8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（4）承包人撤离施工现场以及遣散承包人人员的费用；</w:t>
      </w:r>
    </w:p>
    <w:p w14:paraId="7602052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（5）按照合同约定在合同解除前应支付给承包人的其他款项；</w:t>
      </w:r>
    </w:p>
    <w:p w14:paraId="38C8452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（6）扣减承包人按照合同约定应向发包人支付的款项；</w:t>
      </w:r>
    </w:p>
    <w:p w14:paraId="39A6F79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（7）双方商定或确定的其他款项。</w:t>
      </w:r>
    </w:p>
    <w:p w14:paraId="3832069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除专用合同条款另有约定外，合同解除后，发包人应在商定或确定上述款项后28天内完成上述款项的支付。</w:t>
      </w:r>
    </w:p>
    <w:p w14:paraId="22A8B6A9">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597" w:name="_Toc27994"/>
      <w:bookmarkStart w:id="598" w:name="_Toc337558828"/>
      <w:bookmarkStart w:id="599" w:name="_Toc296346621"/>
      <w:bookmarkStart w:id="600" w:name="_Toc351203612"/>
      <w:bookmarkStart w:id="601" w:name="_Toc296503120"/>
      <w:r>
        <w:rPr>
          <w:rFonts w:hint="eastAsia" w:ascii="宋体" w:hAnsi="宋体" w:eastAsia="宋体" w:cs="宋体"/>
          <w:color w:val="auto"/>
          <w:kern w:val="0"/>
          <w:szCs w:val="21"/>
          <w:highlight w:val="none"/>
        </w:rPr>
        <w:t>18. 保险</w:t>
      </w:r>
      <w:bookmarkEnd w:id="597"/>
      <w:bookmarkEnd w:id="598"/>
      <w:bookmarkEnd w:id="599"/>
      <w:bookmarkEnd w:id="600"/>
      <w:bookmarkEnd w:id="601"/>
    </w:p>
    <w:p w14:paraId="4C7C90E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02" w:name="_Toc351203613"/>
      <w:bookmarkStart w:id="603" w:name="_Toc296503121"/>
      <w:bookmarkStart w:id="604" w:name="_Toc337558829"/>
      <w:bookmarkStart w:id="605" w:name="_Toc296346622"/>
      <w:r>
        <w:rPr>
          <w:rFonts w:hint="eastAsia" w:ascii="宋体" w:hAnsi="宋体" w:eastAsia="宋体" w:cs="宋体"/>
          <w:color w:val="auto"/>
          <w:kern w:val="0"/>
          <w:szCs w:val="21"/>
          <w:highlight w:val="none"/>
        </w:rPr>
        <w:t>18.1 工程保险</w:t>
      </w:r>
      <w:bookmarkEnd w:id="602"/>
      <w:bookmarkEnd w:id="603"/>
      <w:bookmarkEnd w:id="604"/>
      <w:bookmarkEnd w:id="605"/>
    </w:p>
    <w:p w14:paraId="2A4FE4A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除专用合同条款另有约定外，发包人应投保</w:t>
      </w:r>
      <w:r>
        <w:rPr>
          <w:rFonts w:hint="eastAsia" w:ascii="宋体" w:hAnsi="宋体" w:cs="宋体"/>
          <w:color w:val="auto"/>
          <w:kern w:val="0"/>
          <w:szCs w:val="21"/>
          <w:highlight w:val="none"/>
          <w:lang w:eastAsia="zh-CN"/>
        </w:rPr>
        <w:t>建筑工程</w:t>
      </w:r>
      <w:r>
        <w:rPr>
          <w:rFonts w:hint="eastAsia" w:ascii="宋体" w:hAnsi="宋体" w:eastAsia="宋体" w:cs="宋体"/>
          <w:color w:val="auto"/>
          <w:kern w:val="0"/>
          <w:szCs w:val="21"/>
          <w:highlight w:val="none"/>
        </w:rPr>
        <w:t>一切险或安装工程一切险；发包人委托承包人投保的，因投保产生的保险费和其他相关费用由发包人承担。</w:t>
      </w:r>
    </w:p>
    <w:p w14:paraId="3D86D85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06" w:name="_Toc296503122"/>
      <w:bookmarkStart w:id="607" w:name="_Toc296346623"/>
      <w:bookmarkStart w:id="608" w:name="_Toc351203614"/>
      <w:bookmarkStart w:id="609" w:name="_Toc337558830"/>
      <w:r>
        <w:rPr>
          <w:rFonts w:hint="eastAsia" w:ascii="宋体" w:hAnsi="宋体" w:eastAsia="宋体" w:cs="宋体"/>
          <w:color w:val="auto"/>
          <w:kern w:val="0"/>
          <w:szCs w:val="21"/>
          <w:highlight w:val="none"/>
        </w:rPr>
        <w:t>18.2 工伤保险</w:t>
      </w:r>
      <w:bookmarkEnd w:id="606"/>
      <w:bookmarkEnd w:id="607"/>
      <w:bookmarkEnd w:id="608"/>
      <w:bookmarkEnd w:id="609"/>
    </w:p>
    <w:p w14:paraId="19A3DF3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22E216E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3C0A0BC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10" w:name="_Toc337558831"/>
      <w:bookmarkStart w:id="611" w:name="_Toc296346626"/>
      <w:bookmarkStart w:id="612" w:name="_Toc296503125"/>
      <w:bookmarkStart w:id="613" w:name="_Toc351203615"/>
      <w:r>
        <w:rPr>
          <w:rFonts w:hint="eastAsia" w:ascii="宋体" w:hAnsi="宋体" w:eastAsia="宋体" w:cs="宋体"/>
          <w:color w:val="auto"/>
          <w:kern w:val="0"/>
          <w:szCs w:val="21"/>
          <w:highlight w:val="none"/>
        </w:rPr>
        <w:t>18.3其他保险</w:t>
      </w:r>
      <w:bookmarkEnd w:id="610"/>
      <w:bookmarkEnd w:id="611"/>
      <w:bookmarkEnd w:id="612"/>
      <w:bookmarkEnd w:id="613"/>
    </w:p>
    <w:p w14:paraId="4F45AB4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2653C2E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除专用合同条款另有约定外，承包人应为其施工设备等办理财产保险。</w:t>
      </w:r>
    </w:p>
    <w:p w14:paraId="03D5CA6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14" w:name="_Toc351203616"/>
      <w:r>
        <w:rPr>
          <w:rFonts w:hint="eastAsia" w:ascii="宋体" w:hAnsi="宋体" w:eastAsia="宋体" w:cs="宋体"/>
          <w:color w:val="auto"/>
          <w:kern w:val="0"/>
          <w:szCs w:val="21"/>
          <w:highlight w:val="none"/>
        </w:rPr>
        <w:t>18.4持续保险</w:t>
      </w:r>
      <w:bookmarkEnd w:id="614"/>
    </w:p>
    <w:p w14:paraId="677DA73E">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合同当事人应与保险人保持联系，使保险人能够随时了解工程实施中的变动，并确保按保险合同条款要求持续保险。</w:t>
      </w:r>
    </w:p>
    <w:p w14:paraId="248EFE9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15" w:name="_Toc337558832"/>
      <w:bookmarkStart w:id="616" w:name="_Toc296503126"/>
      <w:bookmarkStart w:id="617" w:name="_Toc351203617"/>
      <w:bookmarkStart w:id="618" w:name="_Toc296346627"/>
      <w:r>
        <w:rPr>
          <w:rFonts w:hint="eastAsia" w:ascii="宋体" w:hAnsi="宋体" w:eastAsia="宋体" w:cs="宋体"/>
          <w:color w:val="auto"/>
          <w:kern w:val="0"/>
          <w:szCs w:val="21"/>
          <w:highlight w:val="none"/>
        </w:rPr>
        <w:t>18.5 保险凭证</w:t>
      </w:r>
      <w:bookmarkEnd w:id="615"/>
      <w:bookmarkEnd w:id="616"/>
      <w:bookmarkEnd w:id="617"/>
      <w:bookmarkEnd w:id="618"/>
    </w:p>
    <w:p w14:paraId="19099C8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合同当事人应及时向另一方当事人提交其已投保的各项保险的凭证和保险单复印件。</w:t>
      </w:r>
    </w:p>
    <w:p w14:paraId="2D15FF89">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19" w:name="_Toc296346628"/>
      <w:bookmarkStart w:id="620" w:name="_Toc337558833"/>
      <w:bookmarkStart w:id="621" w:name="_Toc296503127"/>
      <w:bookmarkStart w:id="622" w:name="_Toc351203618"/>
      <w:r>
        <w:rPr>
          <w:rFonts w:hint="eastAsia" w:ascii="宋体" w:hAnsi="宋体" w:eastAsia="宋体" w:cs="宋体"/>
          <w:color w:val="auto"/>
          <w:kern w:val="0"/>
          <w:szCs w:val="21"/>
          <w:highlight w:val="none"/>
        </w:rPr>
        <w:t>18.6 未按约定投保的补救</w:t>
      </w:r>
      <w:bookmarkEnd w:id="619"/>
      <w:bookmarkEnd w:id="620"/>
      <w:bookmarkEnd w:id="621"/>
      <w:bookmarkEnd w:id="622"/>
    </w:p>
    <w:p w14:paraId="7021168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3EC5A0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CF04A4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23" w:name="_Toc337558834"/>
      <w:bookmarkStart w:id="624" w:name="_Toc351203619"/>
      <w:r>
        <w:rPr>
          <w:rFonts w:hint="eastAsia" w:ascii="宋体" w:hAnsi="宋体" w:eastAsia="宋体" w:cs="宋体"/>
          <w:color w:val="auto"/>
          <w:kern w:val="0"/>
          <w:szCs w:val="21"/>
          <w:highlight w:val="none"/>
        </w:rPr>
        <w:t>18.7 通知义务</w:t>
      </w:r>
      <w:bookmarkEnd w:id="623"/>
      <w:bookmarkEnd w:id="624"/>
    </w:p>
    <w:p w14:paraId="61C9EC7C">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BD07EF3">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保险事故发生时，投保人应按照保险合同规定的条件和期限及时向保险人报告。发包人和承包人应当在知道保险事故发生后及时通知对方。</w:t>
      </w:r>
    </w:p>
    <w:p w14:paraId="750AFCFB">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625" w:name="_Toc296503140"/>
      <w:bookmarkStart w:id="626" w:name="_Toc337558835"/>
      <w:bookmarkStart w:id="627" w:name="_Toc296346641"/>
      <w:bookmarkStart w:id="628" w:name="_Toc351203620"/>
      <w:bookmarkStart w:id="629" w:name="_Toc24941"/>
      <w:r>
        <w:rPr>
          <w:rFonts w:hint="eastAsia" w:ascii="宋体" w:hAnsi="宋体" w:eastAsia="宋体" w:cs="宋体"/>
          <w:color w:val="auto"/>
          <w:kern w:val="0"/>
          <w:szCs w:val="21"/>
          <w:highlight w:val="none"/>
        </w:rPr>
        <w:t>19. 索赔</w:t>
      </w:r>
      <w:bookmarkEnd w:id="625"/>
      <w:bookmarkEnd w:id="626"/>
      <w:bookmarkEnd w:id="627"/>
      <w:bookmarkEnd w:id="628"/>
      <w:bookmarkEnd w:id="629"/>
    </w:p>
    <w:p w14:paraId="42F3CDE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30" w:name="_Toc296503141"/>
      <w:bookmarkStart w:id="631" w:name="_Toc337558836"/>
      <w:bookmarkStart w:id="632" w:name="_Toc296346642"/>
      <w:bookmarkStart w:id="633" w:name="_Toc351203621"/>
      <w:r>
        <w:rPr>
          <w:rFonts w:hint="eastAsia" w:ascii="宋体" w:hAnsi="宋体" w:eastAsia="宋体" w:cs="宋体"/>
          <w:color w:val="auto"/>
          <w:kern w:val="0"/>
          <w:szCs w:val="21"/>
          <w:highlight w:val="none"/>
        </w:rPr>
        <w:t>19.1承包人的索赔</w:t>
      </w:r>
      <w:bookmarkEnd w:id="630"/>
      <w:bookmarkEnd w:id="631"/>
      <w:bookmarkEnd w:id="632"/>
      <w:bookmarkEnd w:id="633"/>
    </w:p>
    <w:p w14:paraId="2EAF425B">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根据合同约定，承包人认为有权得到追加付款和（或）延长工期的，应按以下程序向发包人提出索赔：</w:t>
      </w:r>
    </w:p>
    <w:p w14:paraId="1C0BA6D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99A8F9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10EED55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730A7560">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439FCC65">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34" w:name="_Toc296503142"/>
      <w:bookmarkStart w:id="635" w:name="_Toc337558837"/>
      <w:bookmarkStart w:id="636" w:name="_Toc296346643"/>
      <w:bookmarkStart w:id="637" w:name="_Toc351203622"/>
      <w:r>
        <w:rPr>
          <w:rFonts w:hint="eastAsia" w:ascii="宋体" w:hAnsi="宋体" w:eastAsia="宋体" w:cs="宋体"/>
          <w:color w:val="auto"/>
          <w:kern w:val="0"/>
          <w:szCs w:val="21"/>
          <w:highlight w:val="none"/>
        </w:rPr>
        <w:t>19.2 对承包人索赔的处理</w:t>
      </w:r>
      <w:bookmarkEnd w:id="634"/>
      <w:bookmarkEnd w:id="635"/>
      <w:bookmarkEnd w:id="636"/>
      <w:bookmarkEnd w:id="637"/>
    </w:p>
    <w:p w14:paraId="3B40D92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对承包人索赔的处理如下：</w:t>
      </w:r>
    </w:p>
    <w:p w14:paraId="02EA389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（1）监理人应在收到索赔报告后14天内完成审查并报送发包人。监理人对索赔报告存在异议的，有权要求承包人提交全部原始记录副本；</w:t>
      </w:r>
    </w:p>
    <w:p w14:paraId="2B27D89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1827EAD3">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（3）承包人接受索赔处理结果的，索赔款项在当期进度款中进行支付；承包人不接受索赔处理结果的，按照第20条〔争议解决〕约定处理。</w:t>
      </w:r>
    </w:p>
    <w:p w14:paraId="1F825362">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38" w:name="_Toc296346644"/>
      <w:bookmarkStart w:id="639" w:name="_Toc296503143"/>
      <w:bookmarkStart w:id="640" w:name="_Toc337558838"/>
      <w:bookmarkStart w:id="641" w:name="_Toc351203623"/>
      <w:r>
        <w:rPr>
          <w:rFonts w:hint="eastAsia" w:ascii="宋体" w:hAnsi="宋体" w:eastAsia="宋体" w:cs="宋体"/>
          <w:color w:val="auto"/>
          <w:kern w:val="0"/>
          <w:szCs w:val="21"/>
          <w:highlight w:val="none"/>
        </w:rPr>
        <w:t>19.3发包人的索赔</w:t>
      </w:r>
      <w:bookmarkEnd w:id="638"/>
      <w:bookmarkEnd w:id="639"/>
      <w:bookmarkEnd w:id="640"/>
      <w:bookmarkEnd w:id="641"/>
    </w:p>
    <w:p w14:paraId="0F115B8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根据合同约定，发包人认为有权得到赔付金额和（或）延长缺陷责任期的，监理人应向承包人发出通知并附有详细的证明。</w:t>
      </w:r>
    </w:p>
    <w:p w14:paraId="2C50123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56CF3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42" w:name="_Toc351203624"/>
      <w:bookmarkStart w:id="643" w:name="_Toc296503144"/>
      <w:bookmarkStart w:id="644" w:name="_Toc337558839"/>
      <w:bookmarkStart w:id="645" w:name="_Toc296346645"/>
      <w:r>
        <w:rPr>
          <w:rFonts w:hint="eastAsia" w:ascii="宋体" w:hAnsi="宋体" w:eastAsia="宋体" w:cs="宋体"/>
          <w:color w:val="auto"/>
          <w:kern w:val="0"/>
          <w:szCs w:val="21"/>
          <w:highlight w:val="none"/>
        </w:rPr>
        <w:t>19.4 对发包人索赔的处理</w:t>
      </w:r>
      <w:bookmarkEnd w:id="642"/>
      <w:bookmarkEnd w:id="643"/>
      <w:bookmarkEnd w:id="644"/>
      <w:bookmarkEnd w:id="645"/>
    </w:p>
    <w:p w14:paraId="3DDD001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对发包人索赔的处理如下：</w:t>
      </w:r>
    </w:p>
    <w:p w14:paraId="58A4D45C">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（1）承包人收到发包人提交的索赔报告后，应及时审查索赔报告的内容、查验发包人证明材料；</w:t>
      </w:r>
    </w:p>
    <w:p w14:paraId="533AEE2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2EC9098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0428328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46" w:name="_Toc351203625"/>
      <w:r>
        <w:rPr>
          <w:rFonts w:hint="eastAsia" w:ascii="宋体" w:hAnsi="宋体" w:eastAsia="宋体" w:cs="宋体"/>
          <w:color w:val="auto"/>
          <w:kern w:val="0"/>
          <w:szCs w:val="21"/>
          <w:highlight w:val="none"/>
        </w:rPr>
        <w:t>19.5 提出索赔的期限</w:t>
      </w:r>
      <w:bookmarkEnd w:id="646"/>
    </w:p>
    <w:p w14:paraId="308D03AF">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（1）承包人按第14.2款〔竣工结算审核〕约定接收竣工付款证书后，应被视为已无权再提出在工程接收证书颁发前所发生的任何索赔。</w:t>
      </w:r>
    </w:p>
    <w:p w14:paraId="245727A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（2）承包人按第14.4款〔最终结清〕提交的最终结清申请单中，只限于提出工程接收证书颁发后发生的索赔。提出索赔的期限自接受最终结清证书时终止。</w:t>
      </w:r>
    </w:p>
    <w:p w14:paraId="6612BA7D">
      <w:pPr>
        <w:keepNext w:val="0"/>
        <w:keepLines w:val="0"/>
        <w:pageBreakBefore w:val="0"/>
        <w:widowControl/>
        <w:kinsoku/>
        <w:wordWrap/>
        <w:overflowPunct/>
        <w:topLinePunct w:val="0"/>
        <w:bidi w:val="0"/>
        <w:adjustRightInd/>
        <w:snapToGrid/>
        <w:spacing w:line="380" w:lineRule="exact"/>
        <w:textAlignment w:val="auto"/>
        <w:outlineLvl w:val="2"/>
        <w:rPr>
          <w:rFonts w:ascii="宋体" w:hAnsi="宋体" w:eastAsia="宋体" w:cs="宋体"/>
          <w:color w:val="auto"/>
          <w:kern w:val="0"/>
          <w:szCs w:val="21"/>
          <w:highlight w:val="none"/>
        </w:rPr>
      </w:pPr>
      <w:bookmarkStart w:id="647" w:name="_Toc351203626"/>
      <w:bookmarkStart w:id="648" w:name="_Toc14736"/>
      <w:r>
        <w:rPr>
          <w:rFonts w:hint="eastAsia" w:ascii="宋体" w:hAnsi="宋体" w:eastAsia="宋体" w:cs="宋体"/>
          <w:color w:val="auto"/>
          <w:kern w:val="0"/>
          <w:szCs w:val="21"/>
          <w:highlight w:val="none"/>
        </w:rPr>
        <w:t>20</w:t>
      </w:r>
      <w:bookmarkStart w:id="649" w:name="_Toc296346647"/>
      <w:bookmarkStart w:id="650" w:name="_Toc296503146"/>
      <w:bookmarkStart w:id="651" w:name="_Toc337558840"/>
      <w:r>
        <w:rPr>
          <w:rFonts w:hint="eastAsia" w:ascii="宋体" w:hAnsi="宋体" w:eastAsia="宋体" w:cs="宋体"/>
          <w:color w:val="auto"/>
          <w:kern w:val="0"/>
          <w:szCs w:val="21"/>
          <w:highlight w:val="none"/>
        </w:rPr>
        <w:t>. 争议解决</w:t>
      </w:r>
      <w:bookmarkEnd w:id="647"/>
      <w:bookmarkEnd w:id="648"/>
      <w:bookmarkEnd w:id="649"/>
      <w:bookmarkEnd w:id="650"/>
      <w:bookmarkEnd w:id="651"/>
    </w:p>
    <w:p w14:paraId="32C3D5C1">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52" w:name="_Toc296503147"/>
      <w:bookmarkStart w:id="653" w:name="_Toc351203627"/>
      <w:bookmarkStart w:id="654" w:name="_Toc337558841"/>
      <w:bookmarkStart w:id="655" w:name="_Toc296346648"/>
      <w:r>
        <w:rPr>
          <w:rFonts w:hint="eastAsia" w:ascii="宋体" w:hAnsi="宋体" w:eastAsia="宋体" w:cs="宋体"/>
          <w:color w:val="auto"/>
          <w:kern w:val="0"/>
          <w:szCs w:val="21"/>
          <w:highlight w:val="none"/>
        </w:rPr>
        <w:t>20.1和解</w:t>
      </w:r>
      <w:bookmarkEnd w:id="652"/>
      <w:bookmarkEnd w:id="653"/>
      <w:bookmarkEnd w:id="654"/>
      <w:bookmarkEnd w:id="655"/>
    </w:p>
    <w:p w14:paraId="6337973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合同当事人可以就争议自行和解，自行和解达成协议的经双方签字并盖章后作为合同补充文件，双方均应遵照执行。</w:t>
      </w:r>
    </w:p>
    <w:p w14:paraId="5E44D78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56" w:name="_Toc351203628"/>
      <w:r>
        <w:rPr>
          <w:rFonts w:hint="eastAsia" w:ascii="宋体" w:hAnsi="宋体" w:eastAsia="宋体" w:cs="宋体"/>
          <w:color w:val="auto"/>
          <w:kern w:val="0"/>
          <w:szCs w:val="21"/>
          <w:highlight w:val="none"/>
        </w:rPr>
        <w:t>20</w:t>
      </w:r>
      <w:bookmarkStart w:id="657" w:name="_Toc296503148"/>
      <w:bookmarkStart w:id="658" w:name="_Toc296346649"/>
      <w:bookmarkStart w:id="659" w:name="_Toc337558842"/>
      <w:r>
        <w:rPr>
          <w:rFonts w:hint="eastAsia" w:ascii="宋体" w:hAnsi="宋体" w:eastAsia="宋体" w:cs="宋体"/>
          <w:color w:val="auto"/>
          <w:kern w:val="0"/>
          <w:szCs w:val="21"/>
          <w:highlight w:val="none"/>
        </w:rPr>
        <w:t>.2调解</w:t>
      </w:r>
      <w:bookmarkEnd w:id="656"/>
      <w:bookmarkEnd w:id="657"/>
      <w:bookmarkEnd w:id="658"/>
      <w:bookmarkEnd w:id="659"/>
    </w:p>
    <w:p w14:paraId="46156DBE">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合同当事人可以就争议请求建设行政主管部门、行业协会或其他第三方进行调解，调解达成协议的，经双方签字并盖章后作为合同补充文件，双方均应遵照执行。</w:t>
      </w:r>
    </w:p>
    <w:p w14:paraId="4F51CEE0">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60" w:name="_Toc296346650"/>
      <w:bookmarkStart w:id="661" w:name="_Toc296503149"/>
      <w:bookmarkStart w:id="662" w:name="_Toc351203629"/>
      <w:bookmarkStart w:id="663" w:name="_Toc337558843"/>
      <w:r>
        <w:rPr>
          <w:rFonts w:hint="eastAsia" w:ascii="宋体" w:hAnsi="宋体" w:eastAsia="宋体" w:cs="宋体"/>
          <w:color w:val="auto"/>
          <w:kern w:val="0"/>
          <w:szCs w:val="21"/>
          <w:highlight w:val="none"/>
        </w:rPr>
        <w:t>20.3争议评审</w:t>
      </w:r>
      <w:bookmarkEnd w:id="660"/>
      <w:bookmarkEnd w:id="661"/>
      <w:bookmarkEnd w:id="662"/>
      <w:bookmarkEnd w:id="663"/>
    </w:p>
    <w:p w14:paraId="682E15E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合同当事人在专用合同条款中约定采取争议评审方式解决争议以及评审规则，并按下列约定执行： </w:t>
      </w:r>
    </w:p>
    <w:p w14:paraId="75409445">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20.3.1 争议评审小组的确定</w:t>
      </w:r>
    </w:p>
    <w:p w14:paraId="40917F46">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7EDE5447">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BA4EDB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除专用合同条款另有约定外，评审员报酬由发包人和承包人各承担一半。</w:t>
      </w:r>
    </w:p>
    <w:p w14:paraId="05504DB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14:paraId="1E5D1444">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5F7C42A">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20.3.3 争议评审小组决定的效力</w:t>
      </w:r>
    </w:p>
    <w:p w14:paraId="74117CB8">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争议评审小组作出的书面决定经合同当事人签字确认后，对双方具有约束力，双方应遵照执行。</w:t>
      </w:r>
    </w:p>
    <w:p w14:paraId="24610AA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任何一方当事人不接受争议评审小组决定或不履行争议评审小组决定的，双方可选择采用其他争议解决方式。</w:t>
      </w:r>
    </w:p>
    <w:p w14:paraId="45B23EEA">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64" w:name="_Toc296503150"/>
      <w:bookmarkStart w:id="665" w:name="_Toc351203630"/>
      <w:bookmarkStart w:id="666" w:name="_Toc296346651"/>
      <w:bookmarkStart w:id="667" w:name="_Toc337558844"/>
      <w:r>
        <w:rPr>
          <w:rFonts w:hint="eastAsia" w:ascii="宋体" w:hAnsi="宋体" w:eastAsia="宋体" w:cs="宋体"/>
          <w:color w:val="auto"/>
          <w:kern w:val="0"/>
          <w:szCs w:val="21"/>
          <w:highlight w:val="none"/>
        </w:rPr>
        <w:t>20.4仲裁或诉讼</w:t>
      </w:r>
      <w:bookmarkEnd w:id="664"/>
      <w:bookmarkEnd w:id="665"/>
      <w:bookmarkEnd w:id="666"/>
      <w:bookmarkEnd w:id="667"/>
    </w:p>
    <w:p w14:paraId="355E7539">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因合同及合同有关事项产生的争议，合同当事人可以在专用合同条款中约定以下一种方式解决争议：</w:t>
      </w:r>
    </w:p>
    <w:p w14:paraId="0985FB6D">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（1）向约定的仲裁委员会申请仲裁；</w:t>
      </w:r>
    </w:p>
    <w:p w14:paraId="136C2571">
      <w:pPr>
        <w:keepNext w:val="0"/>
        <w:keepLines w:val="0"/>
        <w:pageBreakBefore w:val="0"/>
        <w:widowControl/>
        <w:kinsoku/>
        <w:wordWrap/>
        <w:overflowPunct/>
        <w:topLinePunct w:val="0"/>
        <w:autoSpaceDE w:val="0"/>
        <w:autoSpaceDN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（2）向有管辖权的人民法院起诉。</w:t>
      </w:r>
    </w:p>
    <w:p w14:paraId="71933757">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bookmarkStart w:id="668" w:name="_Toc351203631"/>
      <w:bookmarkStart w:id="669" w:name="_Toc296503152"/>
      <w:bookmarkStart w:id="670" w:name="_Toc296346653"/>
      <w:bookmarkStart w:id="671" w:name="_Toc337558845"/>
      <w:r>
        <w:rPr>
          <w:rFonts w:hint="eastAsia" w:ascii="宋体" w:hAnsi="宋体" w:eastAsia="宋体" w:cs="宋体"/>
          <w:color w:val="auto"/>
          <w:kern w:val="0"/>
          <w:szCs w:val="21"/>
          <w:highlight w:val="none"/>
        </w:rPr>
        <w:t>20.5争议解决条款效力</w:t>
      </w:r>
      <w:bookmarkEnd w:id="668"/>
      <w:bookmarkEnd w:id="669"/>
      <w:bookmarkEnd w:id="670"/>
      <w:bookmarkEnd w:id="671"/>
    </w:p>
    <w:p w14:paraId="69ECA99B">
      <w:pPr>
        <w:keepNext w:val="0"/>
        <w:keepLines w:val="0"/>
        <w:pageBreakBefore w:val="0"/>
        <w:widowControl/>
        <w:kinsoku/>
        <w:wordWrap/>
        <w:overflowPunct/>
        <w:topLinePunct w:val="0"/>
        <w:bidi w:val="0"/>
        <w:adjustRightInd/>
        <w:snapToGrid/>
        <w:spacing w:line="380" w:lineRule="exact"/>
        <w:ind w:firstLine="42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合同有关争议解决的条款独立存在，合同的变更、解除、终止、无效或者被撤销均不影响其效力。 </w:t>
      </w:r>
    </w:p>
    <w:p w14:paraId="28E22A63">
      <w:pPr>
        <w:widowControl/>
        <w:spacing w:line="276" w:lineRule="auto"/>
        <w:ind w:firstLine="420"/>
        <w:rPr>
          <w:rFonts w:ascii="宋体" w:hAnsi="宋体" w:eastAsia="宋体" w:cs="宋体"/>
          <w:color w:val="auto"/>
          <w:kern w:val="0"/>
          <w:szCs w:val="21"/>
          <w:highlight w:val="none"/>
        </w:rPr>
      </w:pPr>
    </w:p>
    <w:p w14:paraId="38E729D2">
      <w:pPr>
        <w:widowControl/>
        <w:spacing w:line="276" w:lineRule="auto"/>
        <w:ind w:firstLine="420"/>
        <w:rPr>
          <w:rFonts w:ascii="宋体" w:hAnsi="宋体" w:eastAsia="宋体" w:cs="宋体"/>
          <w:color w:val="auto"/>
          <w:kern w:val="0"/>
          <w:szCs w:val="21"/>
          <w:highlight w:val="none"/>
        </w:rPr>
      </w:pPr>
    </w:p>
    <w:p w14:paraId="559D0991">
      <w:pPr>
        <w:widowControl/>
        <w:spacing w:line="276" w:lineRule="auto"/>
        <w:ind w:firstLine="420"/>
        <w:rPr>
          <w:rFonts w:ascii="宋体" w:hAnsi="宋体" w:eastAsia="宋体" w:cs="宋体"/>
          <w:color w:val="auto"/>
          <w:kern w:val="0"/>
          <w:szCs w:val="21"/>
          <w:highlight w:val="none"/>
        </w:rPr>
      </w:pPr>
    </w:p>
    <w:p w14:paraId="03B76E33">
      <w:pPr>
        <w:rPr>
          <w:rFonts w:hint="eastAsia" w:ascii="宋体" w:hAnsi="宋体" w:eastAsia="宋体" w:cs="宋体"/>
          <w:color w:val="auto"/>
          <w:kern w:val="0"/>
          <w:sz w:val="32"/>
          <w:szCs w:val="32"/>
          <w:highlight w:val="none"/>
        </w:rPr>
      </w:pPr>
      <w:bookmarkStart w:id="672" w:name="_Toc6298"/>
      <w:r>
        <w:rPr>
          <w:rFonts w:hint="eastAsia" w:ascii="宋体" w:hAnsi="宋体" w:eastAsia="宋体" w:cs="宋体"/>
          <w:color w:val="auto"/>
          <w:kern w:val="0"/>
          <w:sz w:val="32"/>
          <w:szCs w:val="32"/>
          <w:highlight w:val="none"/>
        </w:rPr>
        <w:br w:type="page"/>
      </w:r>
    </w:p>
    <w:bookmarkEnd w:id="672"/>
    <w:p w14:paraId="19A34BE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673" w:name="_Toc256000176"/>
      <w:bookmarkStart w:id="674" w:name="_Toc827"/>
      <w:bookmarkStart w:id="675" w:name="_Toc2081996794"/>
      <w:r>
        <w:rPr>
          <w:rFonts w:hint="eastAsia" w:ascii="宋体" w:hAnsi="宋体" w:eastAsia="宋体" w:cs="宋体"/>
          <w:color w:val="auto"/>
          <w:sz w:val="21"/>
          <w:szCs w:val="21"/>
          <w:highlight w:val="none"/>
          <w:lang w:eastAsia="zh-CN"/>
        </w:rPr>
        <w:t>第二节 专用合同条款</w:t>
      </w:r>
      <w:bookmarkEnd w:id="673"/>
      <w:bookmarkEnd w:id="674"/>
      <w:bookmarkEnd w:id="675"/>
    </w:p>
    <w:p w14:paraId="617C0F8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676" w:name="_Toc24414"/>
      <w:bookmarkStart w:id="677" w:name="_Toc1406168910"/>
      <w:bookmarkStart w:id="678" w:name="_Toc256000177"/>
      <w:r>
        <w:rPr>
          <w:rFonts w:hint="eastAsia" w:ascii="宋体" w:hAnsi="宋体" w:eastAsia="宋体" w:cs="宋体"/>
          <w:color w:val="auto"/>
          <w:sz w:val="21"/>
          <w:szCs w:val="21"/>
          <w:highlight w:val="none"/>
          <w:lang w:eastAsia="zh-CN"/>
        </w:rPr>
        <w:t>1. 一般约定</w:t>
      </w:r>
      <w:bookmarkEnd w:id="676"/>
      <w:bookmarkEnd w:id="677"/>
      <w:bookmarkEnd w:id="678"/>
    </w:p>
    <w:p w14:paraId="54F0878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bookmarkStart w:id="679" w:name="bookmark1583"/>
      <w:bookmarkStart w:id="680" w:name="bookmark1585"/>
      <w:bookmarkStart w:id="681" w:name="bookmark1584"/>
      <w:r>
        <w:rPr>
          <w:rFonts w:hint="eastAsia" w:ascii="宋体" w:hAnsi="宋体" w:eastAsia="宋体" w:cs="宋体"/>
          <w:color w:val="auto"/>
          <w:sz w:val="21"/>
          <w:szCs w:val="21"/>
          <w:highlight w:val="none"/>
          <w:lang w:val="en-US" w:eastAsia="zh-CN"/>
        </w:rPr>
        <w:t>1.1词语定义</w:t>
      </w:r>
      <w:bookmarkEnd w:id="679"/>
      <w:bookmarkEnd w:id="680"/>
      <w:bookmarkEnd w:id="681"/>
    </w:p>
    <w:p w14:paraId="77FA59A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w:t>
      </w:r>
      <w:r>
        <w:rPr>
          <w:rFonts w:hint="eastAsia" w:ascii="宋体" w:hAnsi="宋体" w:eastAsia="宋体" w:cs="宋体"/>
          <w:color w:val="auto"/>
          <w:sz w:val="21"/>
          <w:szCs w:val="21"/>
          <w:highlight w:val="none"/>
          <w:lang w:val="en-US"/>
        </w:rPr>
        <w:t>1.1.2</w:t>
      </w:r>
      <w:r>
        <w:rPr>
          <w:rFonts w:hint="eastAsia" w:ascii="宋体" w:hAnsi="宋体" w:eastAsia="宋体" w:cs="宋体"/>
          <w:color w:val="auto"/>
          <w:sz w:val="21"/>
          <w:szCs w:val="21"/>
          <w:highlight w:val="none"/>
        </w:rPr>
        <w:t>合同当事人和人员</w:t>
      </w:r>
    </w:p>
    <w:p w14:paraId="53A1766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rPr>
        <w:t>2发包人：灌阳县水旱灾害防御中心</w:t>
      </w:r>
      <w:r>
        <w:rPr>
          <w:rFonts w:hint="eastAsia" w:ascii="宋体" w:hAnsi="宋体" w:eastAsia="宋体" w:cs="宋体"/>
          <w:color w:val="auto"/>
          <w:sz w:val="21"/>
          <w:szCs w:val="21"/>
          <w:highlight w:val="none"/>
          <w:lang w:val="zh-CN" w:eastAsia="zh-CN"/>
        </w:rPr>
        <w:tab/>
      </w:r>
      <w:r>
        <w:rPr>
          <w:rFonts w:hint="eastAsia" w:ascii="宋体" w:hAnsi="宋体" w:eastAsia="宋体" w:cs="宋体"/>
          <w:color w:val="auto"/>
          <w:sz w:val="21"/>
          <w:szCs w:val="21"/>
          <w:highlight w:val="none"/>
          <w:lang w:eastAsia="zh-CN"/>
        </w:rPr>
        <w:t>。</w:t>
      </w:r>
    </w:p>
    <w:p w14:paraId="3AF4EE0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rPr>
        <w:t>3承包人：</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w:t>
      </w:r>
    </w:p>
    <w:p w14:paraId="1806135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1.1.2.4承包人项目负责人、技术负责人和专职安全员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 xml:space="preserve">             （项目负责人、技术负责人和专职安全员的姓名、身份证号号码，项目负责人执业证书号码以及项目负责人和专职安全员水行政主管部门颁发的安全生产考核合格证书号码）。</w:t>
      </w:r>
    </w:p>
    <w:p w14:paraId="54D24BB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w:t>
      </w:r>
      <w:r>
        <w:rPr>
          <w:rFonts w:hint="eastAsia" w:ascii="宋体" w:hAnsi="宋体" w:eastAsia="宋体" w:cs="宋体"/>
          <w:color w:val="auto"/>
          <w:sz w:val="21"/>
          <w:szCs w:val="21"/>
          <w:highlight w:val="none"/>
          <w:lang w:val="zh-CN" w:eastAsia="zh-CN"/>
        </w:rPr>
        <w:t>5分包人:本工程不允许分包或转包</w:t>
      </w:r>
      <w:r>
        <w:rPr>
          <w:rFonts w:hint="eastAsia" w:ascii="宋体" w:hAnsi="宋体" w:eastAsia="宋体" w:cs="宋体"/>
          <w:color w:val="auto"/>
          <w:sz w:val="21"/>
          <w:szCs w:val="21"/>
          <w:highlight w:val="none"/>
          <w:lang w:val="zh-CN" w:eastAsia="zh-CN"/>
        </w:rPr>
        <w:tab/>
      </w:r>
      <w:r>
        <w:rPr>
          <w:rFonts w:hint="eastAsia" w:ascii="宋体" w:hAnsi="宋体" w:eastAsia="宋体" w:cs="宋体"/>
          <w:color w:val="auto"/>
          <w:sz w:val="21"/>
          <w:szCs w:val="21"/>
          <w:highlight w:val="none"/>
          <w:lang w:eastAsia="zh-CN"/>
        </w:rPr>
        <w:t>。</w:t>
      </w:r>
    </w:p>
    <w:p w14:paraId="0172D52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1.1.2.6</w:t>
      </w:r>
      <w:r>
        <w:rPr>
          <w:rFonts w:hint="eastAsia" w:ascii="宋体" w:hAnsi="宋体" w:eastAsia="宋体" w:cs="宋体"/>
          <w:color w:val="auto"/>
          <w:sz w:val="21"/>
          <w:szCs w:val="21"/>
          <w:highlight w:val="none"/>
          <w:lang w:val="zh-CN" w:eastAsia="zh-CN"/>
        </w:rPr>
        <w:t>监理人：另行通知</w:t>
      </w:r>
      <w:r>
        <w:rPr>
          <w:rFonts w:hint="eastAsia" w:ascii="宋体" w:hAnsi="宋体" w:eastAsia="宋体" w:cs="宋体"/>
          <w:color w:val="auto"/>
          <w:sz w:val="21"/>
          <w:szCs w:val="21"/>
          <w:highlight w:val="none"/>
          <w:lang w:eastAsia="zh-CN"/>
        </w:rPr>
        <w:t>。</w:t>
      </w:r>
    </w:p>
    <w:p w14:paraId="656E344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w:t>
      </w:r>
      <w:r>
        <w:rPr>
          <w:rFonts w:hint="eastAsia" w:ascii="宋体" w:hAnsi="宋体" w:eastAsia="宋体" w:cs="宋体"/>
          <w:color w:val="auto"/>
          <w:sz w:val="21"/>
          <w:szCs w:val="21"/>
          <w:highlight w:val="none"/>
          <w:lang w:val="zh-CN" w:eastAsia="zh-CN"/>
        </w:rPr>
        <w:t>日期：</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w:t>
      </w:r>
    </w:p>
    <w:p w14:paraId="750E533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1.1.4.</w:t>
      </w:r>
      <w:r>
        <w:rPr>
          <w:rFonts w:hint="eastAsia" w:ascii="宋体" w:hAnsi="宋体" w:eastAsia="宋体" w:cs="宋体"/>
          <w:color w:val="auto"/>
          <w:sz w:val="21"/>
          <w:szCs w:val="21"/>
          <w:highlight w:val="none"/>
        </w:rPr>
        <w:t>5缺陷责任期(工程质量保修期):</w:t>
      </w:r>
      <w:r>
        <w:rPr>
          <w:rFonts w:hint="eastAsia" w:ascii="宋体" w:hAnsi="宋体" w:eastAsia="宋体" w:cs="宋体"/>
          <w:color w:val="auto"/>
          <w:sz w:val="21"/>
          <w:szCs w:val="21"/>
          <w:highlight w:val="none"/>
          <w:lang w:val="zh-CN" w:eastAsia="zh-CN"/>
        </w:rPr>
        <w:t>质量保修期为保修期的起算日至通过竣工验收后一年。</w:t>
      </w:r>
    </w:p>
    <w:p w14:paraId="503B300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bookmarkStart w:id="682" w:name="bookmark1588"/>
      <w:bookmarkStart w:id="683" w:name="bookmark1587"/>
      <w:bookmarkStart w:id="684" w:name="bookmark1586"/>
      <w:r>
        <w:rPr>
          <w:rFonts w:hint="eastAsia" w:ascii="宋体" w:hAnsi="宋体" w:eastAsia="宋体" w:cs="宋体"/>
          <w:color w:val="auto"/>
          <w:sz w:val="21"/>
          <w:szCs w:val="21"/>
          <w:highlight w:val="none"/>
          <w:lang w:val="en-US" w:eastAsia="zh-CN"/>
        </w:rPr>
        <w:t>1.4合同文件的优先顺序</w:t>
      </w:r>
      <w:bookmarkEnd w:id="682"/>
      <w:bookmarkEnd w:id="683"/>
      <w:bookmarkEnd w:id="684"/>
    </w:p>
    <w:p w14:paraId="0FCB76D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进入合同的各项文件及其优先顺序如下：</w:t>
      </w:r>
    </w:p>
    <w:p w14:paraId="6E09575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85" w:name="bookmark1589"/>
      <w:bookmarkEnd w:id="685"/>
      <w:r>
        <w:rPr>
          <w:rFonts w:hint="eastAsia" w:ascii="宋体" w:hAnsi="宋体" w:eastAsia="宋体" w:cs="宋体"/>
          <w:color w:val="auto"/>
          <w:sz w:val="21"/>
          <w:szCs w:val="21"/>
          <w:highlight w:val="none"/>
        </w:rPr>
        <w:t>合同协议书(包括补充协议、合同谈判备忘录)；</w:t>
      </w:r>
    </w:p>
    <w:p w14:paraId="2C101B3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86" w:name="bookmark1590"/>
      <w:bookmarkEnd w:id="686"/>
      <w:r>
        <w:rPr>
          <w:rFonts w:hint="eastAsia" w:ascii="宋体" w:hAnsi="宋体" w:eastAsia="宋体" w:cs="宋体"/>
          <w:color w:val="auto"/>
          <w:sz w:val="21"/>
          <w:szCs w:val="21"/>
          <w:highlight w:val="none"/>
        </w:rPr>
        <w:t>中标通知书；</w:t>
      </w:r>
    </w:p>
    <w:p w14:paraId="0E791F7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87" w:name="bookmark1591"/>
      <w:bookmarkEnd w:id="687"/>
      <w:r>
        <w:rPr>
          <w:rFonts w:hint="eastAsia" w:ascii="宋体" w:hAnsi="宋体" w:eastAsia="宋体" w:cs="宋体"/>
          <w:color w:val="auto"/>
          <w:sz w:val="21"/>
          <w:szCs w:val="21"/>
          <w:highlight w:val="none"/>
        </w:rPr>
        <w:t>投标函及投标函附录；</w:t>
      </w:r>
    </w:p>
    <w:p w14:paraId="3E5B21C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88" w:name="bookmark1592"/>
      <w:bookmarkEnd w:id="688"/>
      <w:r>
        <w:rPr>
          <w:rFonts w:hint="eastAsia" w:ascii="宋体" w:hAnsi="宋体" w:eastAsia="宋体" w:cs="宋体"/>
          <w:color w:val="auto"/>
          <w:sz w:val="21"/>
          <w:szCs w:val="21"/>
          <w:highlight w:val="none"/>
        </w:rPr>
        <w:t>专用合同条款(含附加条款)；</w:t>
      </w:r>
    </w:p>
    <w:p w14:paraId="3475E0D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89" w:name="bookmark1593"/>
      <w:bookmarkEnd w:id="689"/>
      <w:r>
        <w:rPr>
          <w:rFonts w:hint="eastAsia" w:ascii="宋体" w:hAnsi="宋体" w:eastAsia="宋体" w:cs="宋体"/>
          <w:color w:val="auto"/>
          <w:sz w:val="21"/>
          <w:szCs w:val="21"/>
          <w:highlight w:val="none"/>
        </w:rPr>
        <w:t>通用合同条款；</w:t>
      </w:r>
    </w:p>
    <w:p w14:paraId="23E1C24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0" w:name="bookmark1594"/>
      <w:bookmarkEnd w:id="690"/>
      <w:r>
        <w:rPr>
          <w:rFonts w:hint="eastAsia" w:ascii="宋体" w:hAnsi="宋体" w:eastAsia="宋体" w:cs="宋体"/>
          <w:color w:val="auto"/>
          <w:sz w:val="21"/>
          <w:szCs w:val="21"/>
          <w:highlight w:val="none"/>
        </w:rPr>
        <w:t>技术标准和要求(合同技术条款)；</w:t>
      </w:r>
    </w:p>
    <w:p w14:paraId="538CC75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1" w:name="bookmark1595"/>
      <w:bookmarkEnd w:id="691"/>
      <w:r>
        <w:rPr>
          <w:rFonts w:hint="eastAsia" w:ascii="宋体" w:hAnsi="宋体" w:eastAsia="宋体" w:cs="宋体"/>
          <w:color w:val="auto"/>
          <w:sz w:val="21"/>
          <w:szCs w:val="21"/>
          <w:highlight w:val="none"/>
        </w:rPr>
        <w:t>图纸；</w:t>
      </w:r>
    </w:p>
    <w:p w14:paraId="181DA0F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2" w:name="bookmark1596"/>
      <w:bookmarkEnd w:id="692"/>
      <w:r>
        <w:rPr>
          <w:rFonts w:hint="eastAsia" w:ascii="宋体" w:hAnsi="宋体" w:eastAsia="宋体" w:cs="宋体"/>
          <w:color w:val="auto"/>
          <w:sz w:val="21"/>
          <w:szCs w:val="21"/>
          <w:highlight w:val="none"/>
        </w:rPr>
        <w:t>已标价工程量清单；</w:t>
      </w:r>
    </w:p>
    <w:p w14:paraId="1D7193B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3" w:name="bookmark1597"/>
      <w:bookmarkEnd w:id="693"/>
      <w:r>
        <w:rPr>
          <w:rFonts w:hint="eastAsia" w:ascii="宋体" w:hAnsi="宋体" w:eastAsia="宋体" w:cs="宋体"/>
          <w:color w:val="auto"/>
          <w:sz w:val="21"/>
          <w:szCs w:val="21"/>
          <w:highlight w:val="none"/>
        </w:rPr>
        <w:t>投标文件其他内容；</w:t>
      </w:r>
    </w:p>
    <w:p w14:paraId="3248487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4" w:name="bookmark1598"/>
      <w:bookmarkEnd w:id="694"/>
      <w:r>
        <w:rPr>
          <w:rFonts w:hint="eastAsia" w:ascii="宋体" w:hAnsi="宋体" w:eastAsia="宋体" w:cs="宋体"/>
          <w:color w:val="auto"/>
          <w:sz w:val="21"/>
          <w:szCs w:val="21"/>
          <w:highlight w:val="none"/>
        </w:rPr>
        <w:t>其他合同文件。</w:t>
      </w:r>
    </w:p>
    <w:p w14:paraId="60B50AF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bookmarkStart w:id="695" w:name="bookmark1599"/>
      <w:bookmarkStart w:id="696" w:name="bookmark1600"/>
      <w:bookmarkStart w:id="697" w:name="bookmark1601"/>
      <w:r>
        <w:rPr>
          <w:rFonts w:hint="eastAsia" w:ascii="宋体" w:hAnsi="宋体" w:eastAsia="宋体" w:cs="宋体"/>
          <w:color w:val="auto"/>
          <w:sz w:val="21"/>
          <w:szCs w:val="21"/>
          <w:highlight w:val="none"/>
          <w:lang w:val="en-US" w:eastAsia="zh-CN"/>
        </w:rPr>
        <w:t>　1.7联络</w:t>
      </w:r>
      <w:bookmarkEnd w:id="695"/>
      <w:bookmarkEnd w:id="696"/>
      <w:bookmarkEnd w:id="697"/>
    </w:p>
    <w:p w14:paraId="2932EF0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1.7.2</w:t>
      </w:r>
      <w:r>
        <w:rPr>
          <w:rFonts w:hint="eastAsia" w:ascii="宋体" w:hAnsi="宋体" w:eastAsia="宋体" w:cs="宋体"/>
          <w:color w:val="auto"/>
          <w:sz w:val="21"/>
          <w:szCs w:val="21"/>
          <w:highlight w:val="none"/>
        </w:rPr>
        <w:t xml:space="preserve">来往函件均应按技术标准和要求(合同技术条款)约定的期限送         </w:t>
      </w:r>
      <w:r>
        <w:rPr>
          <w:rFonts w:hint="eastAsia" w:ascii="宋体" w:hAnsi="宋体" w:eastAsia="宋体" w:cs="宋体"/>
          <w:color w:val="auto"/>
          <w:sz w:val="21"/>
          <w:szCs w:val="21"/>
          <w:highlight w:val="none"/>
          <w:lang w:val="en-US"/>
        </w:rPr>
        <w:t>。</w:t>
      </w:r>
    </w:p>
    <w:p w14:paraId="67BCAC9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698" w:name="bookmark1604"/>
      <w:bookmarkEnd w:id="698"/>
      <w:bookmarkStart w:id="699" w:name="_Toc15614"/>
      <w:bookmarkStart w:id="700" w:name="_Toc27866"/>
      <w:bookmarkStart w:id="701" w:name="bookmark1602"/>
      <w:bookmarkStart w:id="702" w:name="bookmark1605"/>
      <w:bookmarkStart w:id="703" w:name="bookmark1603"/>
      <w:bookmarkStart w:id="704" w:name="_Toc21342507"/>
      <w:bookmarkStart w:id="705" w:name="_Toc7249"/>
      <w:r>
        <w:rPr>
          <w:rFonts w:hint="eastAsia" w:ascii="宋体" w:hAnsi="宋体" w:eastAsia="宋体" w:cs="宋体"/>
          <w:color w:val="auto"/>
          <w:sz w:val="21"/>
          <w:szCs w:val="21"/>
          <w:highlight w:val="none"/>
        </w:rPr>
        <w:t>2. 发包人义务</w:t>
      </w:r>
      <w:bookmarkEnd w:id="699"/>
      <w:bookmarkEnd w:id="700"/>
      <w:bookmarkEnd w:id="701"/>
      <w:bookmarkEnd w:id="702"/>
      <w:bookmarkEnd w:id="703"/>
      <w:bookmarkEnd w:id="704"/>
      <w:bookmarkEnd w:id="705"/>
    </w:p>
    <w:p w14:paraId="0B462CA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706" w:name="_Toc21342508"/>
      <w:bookmarkStart w:id="707" w:name="bookmark1608"/>
      <w:bookmarkStart w:id="708" w:name="bookmark1606"/>
      <w:bookmarkStart w:id="709" w:name="bookmark1607"/>
      <w:bookmarkStart w:id="710" w:name="_Toc28920"/>
      <w:r>
        <w:rPr>
          <w:rFonts w:hint="eastAsia" w:ascii="宋体" w:hAnsi="宋体" w:eastAsia="宋体" w:cs="宋体"/>
          <w:color w:val="auto"/>
          <w:sz w:val="21"/>
          <w:szCs w:val="21"/>
          <w:highlight w:val="none"/>
          <w:lang w:eastAsia="zh-CN"/>
        </w:rPr>
        <w:t>2. 3提供施工场地</w:t>
      </w:r>
      <w:bookmarkEnd w:id="706"/>
      <w:bookmarkEnd w:id="707"/>
      <w:bookmarkEnd w:id="708"/>
      <w:bookmarkEnd w:id="709"/>
      <w:bookmarkEnd w:id="710"/>
    </w:p>
    <w:p w14:paraId="6D2C263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2.3.2</w:t>
      </w:r>
      <w:r>
        <w:rPr>
          <w:rFonts w:hint="eastAsia" w:ascii="宋体" w:hAnsi="宋体" w:eastAsia="宋体" w:cs="宋体"/>
          <w:color w:val="auto"/>
          <w:sz w:val="21"/>
          <w:szCs w:val="21"/>
          <w:highlight w:val="none"/>
        </w:rPr>
        <w:t xml:space="preserve">发包人提供的施工场地范围为：   发包人只负责办理工地范围内的永久用地的征地，临时用地由承包人负责和承担   </w:t>
      </w:r>
      <w:r>
        <w:rPr>
          <w:rFonts w:hint="eastAsia" w:ascii="宋体" w:hAnsi="宋体" w:eastAsia="宋体" w:cs="宋体"/>
          <w:color w:val="auto"/>
          <w:sz w:val="21"/>
          <w:szCs w:val="21"/>
          <w:highlight w:val="none"/>
          <w:lang w:val="en-US"/>
        </w:rPr>
        <w:t>。</w:t>
      </w:r>
    </w:p>
    <w:p w14:paraId="08828DB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宋体" w:hAnsi="宋体" w:eastAsia="宋体" w:cs="宋体"/>
          <w:color w:val="auto"/>
          <w:sz w:val="21"/>
          <w:szCs w:val="21"/>
          <w:highlight w:val="none"/>
          <w:lang w:val="en-US" w:eastAsia="zh-CN"/>
        </w:rPr>
        <w:t>，承包人自行勘察的施工场地范围为： 本工程所有施工项目范围</w:t>
      </w:r>
      <w:r>
        <w:rPr>
          <w:rFonts w:hint="eastAsia" w:ascii="宋体" w:hAnsi="宋体" w:eastAsia="宋体" w:cs="宋体"/>
          <w:color w:val="auto"/>
          <w:sz w:val="21"/>
          <w:szCs w:val="21"/>
          <w:highlight w:val="none"/>
          <w:lang w:val="en-US"/>
        </w:rPr>
        <w:t>。</w:t>
      </w:r>
    </w:p>
    <w:p w14:paraId="2043867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2.8其它义务</w:t>
      </w:r>
    </w:p>
    <w:p w14:paraId="2D5274D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(根据发包人的合同管理要求补充)</w:t>
      </w:r>
    </w:p>
    <w:p w14:paraId="75F6C5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 施工场地应具备的施工条件及提供的时间：    </w:t>
      </w:r>
      <w:r>
        <w:rPr>
          <w:rFonts w:hint="eastAsia" w:ascii="宋体" w:hAnsi="宋体" w:eastAsia="宋体" w:cs="宋体"/>
          <w:color w:val="auto"/>
          <w:sz w:val="21"/>
          <w:szCs w:val="21"/>
          <w:highlight w:val="none"/>
          <w:lang w:eastAsia="zh-CN"/>
        </w:rPr>
        <w:t>满足施工需要</w:t>
      </w:r>
      <w:r>
        <w:rPr>
          <w:rFonts w:hint="eastAsia" w:ascii="宋体" w:hAnsi="宋体" w:eastAsia="宋体" w:cs="宋体"/>
          <w:color w:val="auto"/>
          <w:sz w:val="21"/>
          <w:szCs w:val="21"/>
          <w:highlight w:val="none"/>
        </w:rPr>
        <w:t xml:space="preserve">       。</w:t>
      </w:r>
    </w:p>
    <w:p w14:paraId="32B64CF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2.8.2 施工所需的水、电、电讯等管线接至施工场地的要求、接入地点和提供时间：    </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lang w:eastAsia="zh-CN"/>
        </w:rPr>
        <w:t>人负责协调，施工单位负责具体实施</w:t>
      </w:r>
      <w:r>
        <w:rPr>
          <w:rFonts w:hint="eastAsia" w:ascii="宋体" w:hAnsi="宋体" w:eastAsia="宋体" w:cs="宋体"/>
          <w:color w:val="auto"/>
          <w:sz w:val="21"/>
          <w:szCs w:val="21"/>
          <w:highlight w:val="none"/>
        </w:rPr>
        <w:t xml:space="preserve">    。</w:t>
      </w:r>
    </w:p>
    <w:p w14:paraId="5F9F237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2.8.3 施工场地外部道路通行权提供时间和要求：   </w:t>
      </w:r>
      <w:r>
        <w:rPr>
          <w:rFonts w:hint="eastAsia" w:ascii="宋体" w:hAnsi="宋体" w:eastAsia="宋体" w:cs="宋体"/>
          <w:color w:val="auto"/>
          <w:sz w:val="21"/>
          <w:szCs w:val="21"/>
          <w:highlight w:val="none"/>
          <w:lang w:eastAsia="zh-CN"/>
        </w:rPr>
        <w:t>施工场内道路由承包人负责维修，施工外道路损坏因施工运输车辆原因造成的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由承包人负责维修，发包人负责协调</w:t>
      </w:r>
      <w:r>
        <w:rPr>
          <w:rFonts w:hint="eastAsia" w:ascii="宋体" w:hAnsi="宋体" w:eastAsia="宋体" w:cs="宋体"/>
          <w:color w:val="auto"/>
          <w:sz w:val="21"/>
          <w:szCs w:val="21"/>
          <w:highlight w:val="none"/>
        </w:rPr>
        <w:t xml:space="preserve">      。 </w:t>
      </w:r>
    </w:p>
    <w:p w14:paraId="5C7FF59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 与施工场地周边环境关系的说明资料及相关协作关系合同的提交时间和要求： 在签订施工合同时协商而定      。</w:t>
      </w:r>
    </w:p>
    <w:p w14:paraId="010B54E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11" w:name="bookmark1614"/>
      <w:bookmarkEnd w:id="711"/>
      <w:bookmarkStart w:id="712" w:name="_Toc21342509"/>
      <w:bookmarkStart w:id="713" w:name="_Toc6637"/>
      <w:bookmarkStart w:id="714" w:name="_Toc10805"/>
      <w:bookmarkStart w:id="715" w:name="bookmark1615"/>
      <w:bookmarkStart w:id="716" w:name="_Toc5847"/>
      <w:bookmarkStart w:id="717" w:name="bookmark1612"/>
      <w:bookmarkStart w:id="718" w:name="bookmark1613"/>
      <w:r>
        <w:rPr>
          <w:rFonts w:hint="eastAsia" w:ascii="宋体" w:hAnsi="宋体" w:eastAsia="宋体" w:cs="宋体"/>
          <w:color w:val="auto"/>
          <w:sz w:val="21"/>
          <w:szCs w:val="21"/>
          <w:highlight w:val="none"/>
        </w:rPr>
        <w:t>3. 监理人</w:t>
      </w:r>
      <w:bookmarkEnd w:id="712"/>
      <w:bookmarkEnd w:id="713"/>
      <w:bookmarkEnd w:id="714"/>
      <w:bookmarkEnd w:id="715"/>
      <w:bookmarkEnd w:id="716"/>
    </w:p>
    <w:p w14:paraId="7CA2B96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19" w:name="bookmark1616"/>
      <w:r>
        <w:rPr>
          <w:rFonts w:hint="eastAsia" w:ascii="宋体" w:hAnsi="宋体" w:eastAsia="宋体" w:cs="宋体"/>
          <w:color w:val="auto"/>
          <w:sz w:val="21"/>
          <w:szCs w:val="21"/>
          <w:highlight w:val="none"/>
        </w:rPr>
        <w:t>3.1监理人的职责和权力</w:t>
      </w:r>
      <w:bookmarkEnd w:id="717"/>
      <w:bookmarkEnd w:id="718"/>
      <w:bookmarkEnd w:id="719"/>
    </w:p>
    <w:p w14:paraId="0685A2D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3.1.1</w:t>
      </w:r>
      <w:r>
        <w:rPr>
          <w:rFonts w:hint="eastAsia" w:ascii="宋体" w:hAnsi="宋体" w:eastAsia="宋体" w:cs="宋体"/>
          <w:color w:val="auto"/>
          <w:sz w:val="21"/>
          <w:szCs w:val="21"/>
          <w:highlight w:val="none"/>
        </w:rPr>
        <w:t>监理人须根据发包人事先批准的权力范围行使权力，发包人批准的权力范围： 按本工程委托监理合同。</w:t>
      </w:r>
    </w:p>
    <w:p w14:paraId="53CFA53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20" w:name="bookmark1619"/>
      <w:bookmarkEnd w:id="720"/>
      <w:bookmarkStart w:id="721" w:name="_Toc23429"/>
      <w:bookmarkStart w:id="722" w:name="_Toc8033"/>
      <w:bookmarkStart w:id="723" w:name="_Toc21342510"/>
      <w:bookmarkStart w:id="724" w:name="_Toc4014"/>
      <w:bookmarkStart w:id="725" w:name="bookmark1620"/>
      <w:bookmarkStart w:id="726" w:name="bookmark1617"/>
      <w:bookmarkStart w:id="727" w:name="bookmark1618"/>
      <w:r>
        <w:rPr>
          <w:rFonts w:hint="eastAsia" w:ascii="宋体" w:hAnsi="宋体" w:eastAsia="宋体" w:cs="宋体"/>
          <w:color w:val="auto"/>
          <w:sz w:val="21"/>
          <w:szCs w:val="21"/>
          <w:highlight w:val="none"/>
        </w:rPr>
        <w:t>4. 承包人</w:t>
      </w:r>
      <w:bookmarkEnd w:id="721"/>
      <w:bookmarkEnd w:id="722"/>
      <w:bookmarkEnd w:id="723"/>
      <w:bookmarkEnd w:id="724"/>
      <w:bookmarkEnd w:id="725"/>
    </w:p>
    <w:p w14:paraId="20937AA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28" w:name="bookmark1621"/>
      <w:r>
        <w:rPr>
          <w:rFonts w:hint="eastAsia" w:ascii="宋体" w:hAnsi="宋体" w:eastAsia="宋体" w:cs="宋体"/>
          <w:color w:val="auto"/>
          <w:sz w:val="21"/>
          <w:szCs w:val="21"/>
          <w:highlight w:val="none"/>
        </w:rPr>
        <w:t>4.1承包人的一般义务</w:t>
      </w:r>
      <w:bookmarkEnd w:id="726"/>
      <w:bookmarkEnd w:id="727"/>
      <w:bookmarkEnd w:id="728"/>
    </w:p>
    <w:p w14:paraId="193C076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29" w:name="bookmark1622"/>
      <w:bookmarkEnd w:id="729"/>
      <w:bookmarkStart w:id="730" w:name="_Toc14198"/>
      <w:bookmarkStart w:id="731" w:name="_Toc21342511"/>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zh-CN" w:eastAsia="zh-CN"/>
        </w:rPr>
        <w:t>10其他义务</w:t>
      </w:r>
      <w:bookmarkEnd w:id="730"/>
      <w:bookmarkEnd w:id="731"/>
    </w:p>
    <w:p w14:paraId="2B8AF9D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2" w:name="bookmark1623"/>
      <w:bookmarkEnd w:id="732"/>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办理有关保险。</w:t>
      </w:r>
    </w:p>
    <w:p w14:paraId="5231DE4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7F5BF07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按照《建筑法》规定，鼓励为从事危险作业的职工办理意外伤害保险。</w:t>
      </w:r>
    </w:p>
    <w:p w14:paraId="53E4450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3" w:name="bookmark1624"/>
      <w:bookmarkEnd w:id="733"/>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执行广西壮族自治区解决企业拖欠工资问题联席会议关于保障农民工工资支付的有关规定，确保农民工工资无拖欠。</w:t>
      </w:r>
    </w:p>
    <w:p w14:paraId="0B2FDDE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依法与招用的农民工签订并履行劳动合同，建立职工名册，及时办理劳动用工备案。实行农民工工资专用账户管理、银行代发农民工工资制度和农民工工资保证金制度。</w:t>
      </w:r>
    </w:p>
    <w:p w14:paraId="6F55924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4" w:name="bookmark1625"/>
      <w:bookmarkEnd w:id="734"/>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工程施工的义务和责任</w:t>
      </w:r>
    </w:p>
    <w:p w14:paraId="3400039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5" w:name="bookmark1626"/>
      <w:bookmarkEnd w:id="73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3E2A0AE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6" w:name="bookmark1627"/>
      <w:bookmarkEnd w:id="73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除民房外，承包人应按监理人的指示负责拆除、清理已征用土地上的杂物、灌木、 树木、树根、杂草等。</w:t>
      </w:r>
    </w:p>
    <w:p w14:paraId="7B22D0E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7" w:name="bookmark1628"/>
      <w:bookmarkEnd w:id="73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承包人应充分理解有一些设施(如施工道路、桥梁)可能会有其它人和单位使用通行，在使用过程中发生干扰时，应立即通知监理人并服从监理人的决定。</w:t>
      </w:r>
    </w:p>
    <w:p w14:paraId="6F16031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8" w:name="bookmark1629"/>
      <w:bookmarkEnd w:id="73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承包人应为监理人、发包人现场代表对施工现场的检查监督提供必要的配合，并对这种配合对施工的影响应有充分的考虑。</w:t>
      </w:r>
    </w:p>
    <w:p w14:paraId="4C901DC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39" w:name="bookmark1630"/>
      <w:bookmarkEnd w:id="73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工程竣工后，承包人应按监理人的指示清理施工现场直至监理人、发包人满意 为止。</w:t>
      </w:r>
    </w:p>
    <w:p w14:paraId="661A900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0" w:name="bookmark1631"/>
      <w:bookmarkEnd w:id="74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对上述(1) ~ (5)项工作，费用已包括在有关单价和总价中，发包人不再另行支付由此所发生的一切费用。</w:t>
      </w:r>
    </w:p>
    <w:p w14:paraId="246721A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1" w:name="bookmark1632"/>
      <w:bookmarkEnd w:id="74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14BAF75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2" w:name="bookmark1633"/>
      <w:bookmarkEnd w:id="74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承包人必须文明、安全施工，在施工期间发生的一切人员伤亡和财产损失等责任事故和所发生的一切费用概由承包人承担。</w:t>
      </w:r>
    </w:p>
    <w:p w14:paraId="610E2FC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3" w:name="bookmark1634"/>
      <w:bookmarkEnd w:id="74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按照发包人的要求做好安全文明宣传、监督检查宣传等工作，相关费用由承包人承担。</w:t>
      </w:r>
    </w:p>
    <w:p w14:paraId="53BD391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4" w:name="bookmark1635"/>
      <w:bookmarkEnd w:id="74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承包人应按约定时间和要求，完成以下工作：</w:t>
      </w:r>
    </w:p>
    <w:p w14:paraId="0DED590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5" w:name="bookmark1636"/>
      <w:bookmarkEnd w:id="745"/>
      <w:r>
        <w:rPr>
          <w:rFonts w:hint="eastAsia" w:ascii="宋体" w:hAnsi="宋体" w:eastAsia="宋体" w:cs="宋体"/>
          <w:color w:val="auto"/>
          <w:sz w:val="21"/>
          <w:szCs w:val="21"/>
          <w:highlight w:val="none"/>
        </w:rPr>
        <w:t>①按时提交施工组织设计、单位工程的施工方案。</w:t>
      </w:r>
    </w:p>
    <w:p w14:paraId="2CEFD42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6" w:name="bookmark1637"/>
      <w:bookmarkEnd w:id="746"/>
      <w:r>
        <w:rPr>
          <w:rFonts w:hint="eastAsia" w:ascii="宋体" w:hAnsi="宋体" w:eastAsia="宋体" w:cs="宋体"/>
          <w:color w:val="auto"/>
          <w:sz w:val="21"/>
          <w:szCs w:val="21"/>
          <w:highlight w:val="none"/>
        </w:rPr>
        <w:t>②每月25日向监理人提交当月工程进度报表及下月进度计划。</w:t>
      </w:r>
    </w:p>
    <w:p w14:paraId="3169F69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7" w:name="bookmark1638"/>
      <w:bookmarkEnd w:id="747"/>
      <w:r>
        <w:rPr>
          <w:rFonts w:hint="eastAsia" w:ascii="宋体" w:hAnsi="宋体" w:eastAsia="宋体" w:cs="宋体"/>
          <w:color w:val="auto"/>
          <w:sz w:val="21"/>
          <w:szCs w:val="21"/>
          <w:highlight w:val="none"/>
        </w:rPr>
        <w:t>③承包人自行负责施工安全保卫工作及夜间施工照明。</w:t>
      </w:r>
    </w:p>
    <w:p w14:paraId="1BB310E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8" w:name="bookmark1639"/>
      <w:bookmarkEnd w:id="748"/>
      <w:r>
        <w:rPr>
          <w:rFonts w:hint="eastAsia" w:ascii="宋体" w:hAnsi="宋体" w:eastAsia="宋体" w:cs="宋体"/>
          <w:color w:val="auto"/>
          <w:sz w:val="21"/>
          <w:szCs w:val="21"/>
          <w:highlight w:val="none"/>
        </w:rPr>
        <w:t>④需承包人办理的有关施工场地交通、环卫和施工噪音降尘管理等手续：遵守有关部门对施工现场交通、环卫和施工噪音降尘管理规定，如有发生，费用由承包人承担。</w:t>
      </w:r>
    </w:p>
    <w:p w14:paraId="18D5497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49" w:name="bookmark1640"/>
      <w:bookmarkEnd w:id="749"/>
      <w:r>
        <w:rPr>
          <w:rFonts w:hint="eastAsia" w:ascii="宋体" w:hAnsi="宋体" w:eastAsia="宋体" w:cs="宋体"/>
          <w:color w:val="auto"/>
          <w:sz w:val="21"/>
          <w:szCs w:val="21"/>
          <w:highlight w:val="none"/>
        </w:rPr>
        <w:t>⑤已完工程成品保护的特殊要求及费用承担：已完工工程未交付发包人之前，承包人按协议条款约定负责已完成工程的成品保护工作，保护期间发生损坏，承包人自费予以修复。</w:t>
      </w:r>
    </w:p>
    <w:p w14:paraId="799AFD5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0" w:name="bookmark1641"/>
      <w:bookmarkEnd w:id="750"/>
      <w:r>
        <w:rPr>
          <w:rFonts w:hint="eastAsia" w:ascii="宋体" w:hAnsi="宋体" w:eastAsia="宋体" w:cs="宋体"/>
          <w:color w:val="auto"/>
          <w:sz w:val="21"/>
          <w:szCs w:val="21"/>
          <w:highlight w:val="none"/>
        </w:rPr>
        <w:t>⑥承包人有义务对施工场地周围管线(含地上及地下)和邻近建筑物、构筑物(含文物保护建筑)、古树名木等进行探明并负责保护。</w:t>
      </w:r>
    </w:p>
    <w:p w14:paraId="307AE11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1" w:name="bookmark1642"/>
      <w:bookmarkEnd w:id="751"/>
      <w:r>
        <w:rPr>
          <w:rFonts w:hint="eastAsia" w:ascii="宋体" w:hAnsi="宋体" w:eastAsia="宋体" w:cs="宋体"/>
          <w:color w:val="auto"/>
          <w:sz w:val="21"/>
          <w:szCs w:val="21"/>
          <w:highlight w:val="none"/>
        </w:rPr>
        <w:t>⑦施工场地清洁卫生的要求：按城建卫生有关规定执行，由承包人负责，费用由承包人承担。</w:t>
      </w:r>
    </w:p>
    <w:p w14:paraId="058D039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2" w:name="bookmark1643"/>
      <w:bookmarkEnd w:id="752"/>
      <w:r>
        <w:rPr>
          <w:rFonts w:hint="eastAsia" w:ascii="宋体" w:hAnsi="宋体" w:eastAsia="宋体" w:cs="宋体"/>
          <w:color w:val="auto"/>
          <w:sz w:val="21"/>
          <w:szCs w:val="21"/>
          <w:highlight w:val="none"/>
        </w:rPr>
        <w:t>⑧承包人承担施工场地、水电及运输通道的修建和维护、清场等费用。</w:t>
      </w:r>
    </w:p>
    <w:p w14:paraId="5A065CC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3" w:name="bookmark1644"/>
      <w:bookmarkEnd w:id="75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双方约定承包人应做的其他工作：</w:t>
      </w:r>
    </w:p>
    <w:p w14:paraId="4379148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4" w:name="bookmark1645"/>
      <w:bookmarkEnd w:id="754"/>
      <w:r>
        <w:rPr>
          <w:rFonts w:hint="eastAsia" w:ascii="宋体" w:hAnsi="宋体" w:eastAsia="宋体" w:cs="宋体"/>
          <w:color w:val="auto"/>
          <w:sz w:val="21"/>
          <w:szCs w:val="21"/>
          <w:highlight w:val="none"/>
        </w:rPr>
        <w:t>①凡属于需要承包人交付给其他承包人的工作面以及与其他承包人交叉作业的工作面, 承包人必须服从监理人的决定，按规定的完工日期完成并将清理好的工作面移交给发包人, 并取得监理人的同意。</w:t>
      </w:r>
    </w:p>
    <w:p w14:paraId="3F8B454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5" w:name="bookmark1646"/>
      <w:bookmarkEnd w:id="755"/>
      <w:r>
        <w:rPr>
          <w:rFonts w:hint="eastAsia" w:ascii="宋体" w:hAnsi="宋体" w:eastAsia="宋体" w:cs="宋体"/>
          <w:color w:val="auto"/>
          <w:sz w:val="21"/>
          <w:szCs w:val="21"/>
          <w:highlight w:val="none"/>
        </w:rPr>
        <w:t>②工程完工后，承包人应按监理人的指示清理施工现场。并在工程完工后6个月内完成并提交工程竣工资料和工程结算资料。承包人逾期提交，发包人将对承包人的拖延行为视为违约，并按</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元/天计算违约金，违约金从承包人应得的工程款中扣除，但其最终的累计总金额与各项逾期完工违约金合计不超过合同价格的5%。</w:t>
      </w:r>
    </w:p>
    <w:p w14:paraId="554B865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6" w:name="bookmark1647"/>
      <w:bookmarkEnd w:id="75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其他未尽事宜待签订施工合同时双方再协商。</w:t>
      </w:r>
    </w:p>
    <w:p w14:paraId="5EB55C7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7" w:name="bookmark1648"/>
      <w:bookmarkEnd w:id="757"/>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鼓励承包人根据工程建设实际，吸纳建档立卡贫困劳动力参加工程建设。</w:t>
      </w:r>
    </w:p>
    <w:p w14:paraId="2F39593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8" w:name="bookmark1649"/>
      <w:bookmarkEnd w:id="758"/>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执行自治区关于松材线虫病防控工作的有关规定，工程建设采用的模板、支撑及脚手架以钢模板、钢支撑为主，木质模板及仿材尽量就地采购，避免长途转运。</w:t>
      </w:r>
    </w:p>
    <w:p w14:paraId="38869EB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1B35ED3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4.2.1履约担保的形式和金额：</w:t>
      </w:r>
    </w:p>
    <w:p w14:paraId="2CC40B1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eastAsia="zh-CN"/>
        </w:rPr>
        <w:t>保函（</w:t>
      </w:r>
      <w:r>
        <w:rPr>
          <w:rFonts w:hint="eastAsia" w:ascii="宋体" w:hAnsi="宋体" w:eastAsia="宋体" w:cs="宋体"/>
          <w:color w:val="auto"/>
          <w:sz w:val="21"/>
          <w:szCs w:val="21"/>
          <w:highlight w:val="none"/>
        </w:rPr>
        <w:t>银行保函、电子保函、保险保函、工程担保保函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工程保证保函等）</w:t>
      </w:r>
      <w:r>
        <w:rPr>
          <w:rFonts w:hint="eastAsia" w:ascii="宋体" w:hAnsi="宋体" w:eastAsia="宋体" w:cs="宋体"/>
          <w:color w:val="auto"/>
          <w:sz w:val="21"/>
          <w:szCs w:val="21"/>
          <w:highlight w:val="none"/>
        </w:rPr>
        <w:t>，严禁要求只以现金方式缴纳的行为。</w:t>
      </w:r>
    </w:p>
    <w:p w14:paraId="0680F53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履约担保</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合同价款的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%(不含不可竞争费)，在收到中标通知书后，签订合同之前缴纳履约保证金。</w:t>
      </w:r>
    </w:p>
    <w:p w14:paraId="4867667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4.2.2如工程延期，承包人有义务继续提供履约担保。</w:t>
      </w:r>
    </w:p>
    <w:p w14:paraId="696E584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59" w:name="bookmark1651"/>
      <w:bookmarkStart w:id="760" w:name="bookmark1652"/>
      <w:bookmarkStart w:id="761" w:name="bookmark1650"/>
      <w:r>
        <w:rPr>
          <w:rFonts w:hint="eastAsia" w:ascii="宋体" w:hAnsi="宋体" w:eastAsia="宋体" w:cs="宋体"/>
          <w:color w:val="auto"/>
          <w:sz w:val="21"/>
          <w:szCs w:val="21"/>
          <w:highlight w:val="none"/>
        </w:rPr>
        <w:t>4.3分包</w:t>
      </w:r>
      <w:bookmarkEnd w:id="759"/>
      <w:bookmarkEnd w:id="760"/>
      <w:bookmarkEnd w:id="761"/>
    </w:p>
    <w:p w14:paraId="41A2DA3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62" w:name="_Toc21342512"/>
      <w:bookmarkStart w:id="763" w:name="_Toc28764"/>
      <w:r>
        <w:rPr>
          <w:rFonts w:hint="eastAsia" w:ascii="宋体" w:hAnsi="宋体" w:eastAsia="宋体" w:cs="宋体"/>
          <w:color w:val="auto"/>
          <w:sz w:val="21"/>
          <w:szCs w:val="21"/>
          <w:highlight w:val="none"/>
          <w:lang w:val="en-US"/>
        </w:rPr>
        <w:t xml:space="preserve">4. 3. </w:t>
      </w:r>
      <w:r>
        <w:rPr>
          <w:rFonts w:hint="eastAsia" w:ascii="宋体" w:hAnsi="宋体" w:eastAsia="宋体" w:cs="宋体"/>
          <w:color w:val="auto"/>
          <w:sz w:val="21"/>
          <w:szCs w:val="21"/>
          <w:highlight w:val="none"/>
        </w:rPr>
        <w:t>2允许承包人分包的工程项目、工作内容与分包金额限额为：</w:t>
      </w:r>
      <w:bookmarkEnd w:id="762"/>
      <w:bookmarkEnd w:id="763"/>
    </w:p>
    <w:p w14:paraId="0361784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64" w:name="bookmark1653"/>
      <w:bookmarkEnd w:id="764"/>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）工程项目：</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p>
    <w:p w14:paraId="1AF39C5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65" w:name="bookmark1654"/>
      <w:bookmarkEnd w:id="765"/>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）工作内容：</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p>
    <w:p w14:paraId="30DA3D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66" w:name="bookmark1655"/>
      <w:bookmarkEnd w:id="76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分包金额限额：</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 xml:space="preserve">    。</w:t>
      </w:r>
    </w:p>
    <w:p w14:paraId="5EE6B27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4. 3. </w:t>
      </w:r>
      <w:r>
        <w:rPr>
          <w:rFonts w:hint="eastAsia" w:ascii="宋体" w:hAnsi="宋体" w:eastAsia="宋体" w:cs="宋体"/>
          <w:color w:val="auto"/>
          <w:sz w:val="21"/>
          <w:szCs w:val="21"/>
          <w:highlight w:val="none"/>
        </w:rPr>
        <w:t>10 分包人项目管理机构的设立：</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w:t>
      </w:r>
    </w:p>
    <w:p w14:paraId="62642F0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4.5承包人项目负责人</w:t>
      </w:r>
    </w:p>
    <w:p w14:paraId="73AD70D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4.5.5（1）同一施工项目负责人不能同时在两个及以上的工程项目上担任施工项目负责人</w:t>
      </w:r>
    </w:p>
    <w:p w14:paraId="3137533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（2）承包人应保证项目负责人每月在工地现场的时间不少于     </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en-US"/>
        </w:rPr>
        <w:t xml:space="preserve">  日，否则将按每人每天人民币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rPr>
        <w:t xml:space="preserve">   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3A2CA40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4.6承包人人员的管理</w:t>
      </w:r>
    </w:p>
    <w:p w14:paraId="2BEC49F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4.6.5承包人应保证项目总工（技术负责人）、专职安全员每月在工地现场的时间不少于    </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en-US"/>
        </w:rPr>
        <w:t xml:space="preserve">   日，否则将按每人每天人民币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rPr>
        <w:t xml:space="preserve">    元的标准向发包人支付违约金。上述人员因其他事务需短期离开工地，应向发包人请假，经批准后方可离开，离开期间应委托项目相关负责人负责其外出时的日常工作。</w:t>
      </w:r>
    </w:p>
    <w:p w14:paraId="7AFAAC4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p>
    <w:p w14:paraId="5EF22AB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67" w:name="bookmark1658"/>
      <w:bookmarkStart w:id="768" w:name="bookmark1656"/>
      <w:bookmarkStart w:id="769" w:name="bookmark1657"/>
      <w:r>
        <w:rPr>
          <w:rFonts w:hint="eastAsia" w:ascii="宋体" w:hAnsi="宋体" w:eastAsia="宋体" w:cs="宋体"/>
          <w:color w:val="auto"/>
          <w:sz w:val="21"/>
          <w:szCs w:val="21"/>
          <w:highlight w:val="none"/>
        </w:rPr>
        <w:t>4.7撤换承包人项目经理和其他人员</w:t>
      </w:r>
      <w:bookmarkEnd w:id="767"/>
      <w:bookmarkEnd w:id="768"/>
      <w:bookmarkEnd w:id="769"/>
    </w:p>
    <w:p w14:paraId="1928DE4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w:t>
      </w:r>
      <w:r>
        <w:rPr>
          <w:rFonts w:hint="eastAsia" w:ascii="宋体" w:hAnsi="宋体" w:eastAsia="宋体" w:cs="宋体"/>
          <w:color w:val="auto"/>
          <w:sz w:val="21"/>
          <w:szCs w:val="21"/>
          <w:highlight w:val="none"/>
          <w:lang w:val="en-US"/>
        </w:rPr>
        <w:t xml:space="preserve">4. 7. </w:t>
      </w:r>
      <w:r>
        <w:rPr>
          <w:rFonts w:hint="eastAsia" w:ascii="宋体" w:hAnsi="宋体" w:eastAsia="宋体" w:cs="宋体"/>
          <w:color w:val="auto"/>
          <w:sz w:val="21"/>
          <w:szCs w:val="21"/>
          <w:highlight w:val="none"/>
        </w:rPr>
        <w:t>1中标人根据投标文件的承诺，投入本项目的项目经理、技术负责人、质量管理员、安全管理员等主要管理人员中标后不得更换(除因故去世、调离本单位外)。</w:t>
      </w:r>
    </w:p>
    <w:p w14:paraId="05806B5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sym w:font="Wingdings 2" w:char="0052"/>
      </w:r>
      <w:r>
        <w:rPr>
          <w:rFonts w:hint="eastAsia" w:ascii="宋体" w:hAnsi="宋体" w:eastAsia="宋体" w:cs="宋体"/>
          <w:color w:val="auto"/>
          <w:sz w:val="21"/>
          <w:szCs w:val="21"/>
          <w:highlight w:val="none"/>
          <w:lang w:val="en-US"/>
        </w:rPr>
        <w:t xml:space="preserve">4. 7. </w:t>
      </w:r>
      <w:r>
        <w:rPr>
          <w:rFonts w:hint="eastAsia" w:ascii="宋体" w:hAnsi="宋体" w:eastAsia="宋体" w:cs="宋体"/>
          <w:color w:val="auto"/>
          <w:sz w:val="21"/>
          <w:szCs w:val="21"/>
          <w:highlight w:val="none"/>
        </w:rPr>
        <w:t>1投入本项目的项目经理、技术负责人、质量管理员、专全管理员等主要管理人员中标后，经中标人申请、监理机构审核允许、招标人同意后方可变更为不低于同等条 件的人员。</w:t>
      </w:r>
    </w:p>
    <w:p w14:paraId="36FDCD9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70" w:name="_Toc21342513"/>
      <w:bookmarkStart w:id="771" w:name="bookmark1660"/>
      <w:bookmarkStart w:id="772" w:name="bookmark1661"/>
      <w:bookmarkStart w:id="773" w:name="bookmark1659"/>
      <w:bookmarkStart w:id="774" w:name="_Toc19051"/>
      <w:r>
        <w:rPr>
          <w:rFonts w:hint="eastAsia" w:ascii="宋体" w:hAnsi="宋体" w:eastAsia="宋体" w:cs="宋体"/>
          <w:color w:val="auto"/>
          <w:sz w:val="21"/>
          <w:szCs w:val="21"/>
          <w:highlight w:val="none"/>
          <w:lang w:val="en-US"/>
        </w:rPr>
        <w:t xml:space="preserve">4.7.2除非发包人要求或者批准，承包人擅自更换项目经理、项目副经理、技术负责人、专职安全员的，将按每人每天人民币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rPr>
        <w:t xml:space="preserve">  元的标准向发包人支付违约金</w:t>
      </w:r>
      <w:r>
        <w:rPr>
          <w:rFonts w:hint="eastAsia" w:ascii="宋体" w:hAnsi="宋体" w:eastAsia="宋体" w:cs="宋体"/>
          <w:color w:val="auto"/>
          <w:sz w:val="21"/>
          <w:szCs w:val="21"/>
          <w:highlight w:val="none"/>
        </w:rPr>
        <w:t>，由有关行政监督部门处理后报请有关行政监督部门将结果记入市场主体信用档案，公布不良行为记录。</w:t>
      </w:r>
    </w:p>
    <w:p w14:paraId="39E4607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rPr>
        <w:t xml:space="preserve">    元的标准向发包人支付违约金，直至按照发包人的要求增派（和/或更换）的人员到岗为此。</w:t>
      </w:r>
    </w:p>
    <w:p w14:paraId="11EE6E8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bookmarkEnd w:id="770"/>
      <w:bookmarkEnd w:id="771"/>
      <w:bookmarkEnd w:id="772"/>
      <w:bookmarkEnd w:id="773"/>
      <w:bookmarkEnd w:id="774"/>
    </w:p>
    <w:p w14:paraId="7C8B903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4.11.1</w:t>
      </w:r>
      <w:r>
        <w:rPr>
          <w:rFonts w:hint="eastAsia" w:ascii="宋体" w:hAnsi="宋体" w:eastAsia="宋体" w:cs="宋体"/>
          <w:color w:val="auto"/>
          <w:sz w:val="21"/>
          <w:szCs w:val="21"/>
          <w:highlight w:val="none"/>
        </w:rPr>
        <w:t xml:space="preserve">不利物质条件的范围：按通用条款执行 </w:t>
      </w:r>
      <w:r>
        <w:rPr>
          <w:rFonts w:hint="eastAsia" w:ascii="宋体" w:hAnsi="宋体" w:eastAsia="宋体" w:cs="宋体"/>
          <w:color w:val="auto"/>
          <w:sz w:val="21"/>
          <w:szCs w:val="21"/>
          <w:highlight w:val="none"/>
          <w:lang w:val="en-US"/>
        </w:rPr>
        <w:t>。</w:t>
      </w:r>
    </w:p>
    <w:p w14:paraId="69F965A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75" w:name="bookmark1664"/>
      <w:bookmarkEnd w:id="775"/>
      <w:bookmarkStart w:id="776" w:name="bookmark1662"/>
      <w:bookmarkStart w:id="777" w:name="_Toc21861"/>
      <w:bookmarkStart w:id="778" w:name="bookmark1665"/>
      <w:bookmarkStart w:id="779" w:name="_Toc21342514"/>
      <w:bookmarkStart w:id="780" w:name="bookmark1663"/>
      <w:r>
        <w:rPr>
          <w:rFonts w:hint="eastAsia" w:ascii="宋体" w:hAnsi="宋体" w:eastAsia="宋体" w:cs="宋体"/>
          <w:color w:val="auto"/>
          <w:sz w:val="21"/>
          <w:szCs w:val="21"/>
          <w:highlight w:val="none"/>
        </w:rPr>
        <w:t>5. 材料和工程设备</w:t>
      </w:r>
      <w:bookmarkEnd w:id="776"/>
      <w:bookmarkEnd w:id="777"/>
      <w:bookmarkEnd w:id="778"/>
      <w:bookmarkEnd w:id="779"/>
      <w:bookmarkEnd w:id="780"/>
    </w:p>
    <w:p w14:paraId="112E299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81" w:name="bookmark1668"/>
      <w:bookmarkStart w:id="782" w:name="bookmark1666"/>
      <w:bookmarkStart w:id="783" w:name="bookmark1667"/>
      <w:r>
        <w:rPr>
          <w:rFonts w:hint="eastAsia" w:ascii="宋体" w:hAnsi="宋体" w:eastAsia="宋体" w:cs="宋体"/>
          <w:color w:val="auto"/>
          <w:sz w:val="21"/>
          <w:szCs w:val="21"/>
          <w:highlight w:val="none"/>
        </w:rPr>
        <w:t>5.2发包人提供的材料和工程设备</w:t>
      </w:r>
      <w:bookmarkEnd w:id="781"/>
      <w:bookmarkEnd w:id="782"/>
      <w:bookmarkEnd w:id="783"/>
    </w:p>
    <w:p w14:paraId="4B5D523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84" w:name="bookmark1669"/>
      <w:bookmarkEnd w:id="784"/>
      <w:r>
        <w:rPr>
          <w:rFonts w:hint="eastAsia" w:ascii="宋体" w:hAnsi="宋体" w:eastAsia="宋体" w:cs="宋体"/>
          <w:color w:val="auto"/>
          <w:sz w:val="21"/>
          <w:szCs w:val="21"/>
          <w:highlight w:val="none"/>
        </w:rPr>
        <w:t>5.2.1  发包人提供的材料和工程设备见下表：</w:t>
      </w:r>
    </w:p>
    <w:p w14:paraId="7061971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发包人提供的材料表（参考格式）</w:t>
      </w:r>
    </w:p>
    <w:tbl>
      <w:tblPr>
        <w:tblStyle w:val="5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7"/>
        <w:gridCol w:w="1134"/>
        <w:gridCol w:w="851"/>
        <w:gridCol w:w="1134"/>
        <w:gridCol w:w="1134"/>
        <w:gridCol w:w="1559"/>
        <w:gridCol w:w="850"/>
      </w:tblGrid>
      <w:tr w14:paraId="7936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03F6E90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7" w:type="dxa"/>
            <w:noWrap w:val="0"/>
            <w:vAlign w:val="center"/>
          </w:tcPr>
          <w:p w14:paraId="456DD8F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134" w:type="dxa"/>
            <w:noWrap w:val="0"/>
            <w:vAlign w:val="center"/>
          </w:tcPr>
          <w:p w14:paraId="3116A6B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材料规格</w:t>
            </w:r>
          </w:p>
        </w:tc>
        <w:tc>
          <w:tcPr>
            <w:tcW w:w="851" w:type="dxa"/>
            <w:noWrap w:val="0"/>
            <w:vAlign w:val="center"/>
          </w:tcPr>
          <w:p w14:paraId="10FC279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34" w:type="dxa"/>
            <w:noWrap w:val="0"/>
            <w:vAlign w:val="center"/>
          </w:tcPr>
          <w:p w14:paraId="40BD86B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134" w:type="dxa"/>
            <w:noWrap w:val="0"/>
            <w:vAlign w:val="center"/>
          </w:tcPr>
          <w:p w14:paraId="16008DC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559" w:type="dxa"/>
            <w:noWrap w:val="0"/>
            <w:vAlign w:val="center"/>
          </w:tcPr>
          <w:p w14:paraId="476A130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850" w:type="dxa"/>
            <w:noWrap w:val="0"/>
            <w:vAlign w:val="center"/>
          </w:tcPr>
          <w:p w14:paraId="6DE190E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0AA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0451E8D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7" w:type="dxa"/>
            <w:noWrap w:val="0"/>
            <w:vAlign w:val="center"/>
          </w:tcPr>
          <w:p w14:paraId="1AC8EE5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516906D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4AFB85A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6B25DCA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516A51F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59" w:type="dxa"/>
            <w:noWrap w:val="0"/>
            <w:vAlign w:val="center"/>
          </w:tcPr>
          <w:p w14:paraId="2BAD210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0" w:type="dxa"/>
            <w:noWrap w:val="0"/>
            <w:vAlign w:val="center"/>
          </w:tcPr>
          <w:p w14:paraId="3B6F276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4AC5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0E378B2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7" w:type="dxa"/>
            <w:noWrap w:val="0"/>
            <w:vAlign w:val="center"/>
          </w:tcPr>
          <w:p w14:paraId="1ED7FF4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1010F8D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54506FF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465DA80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4264250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59" w:type="dxa"/>
            <w:noWrap w:val="0"/>
            <w:vAlign w:val="center"/>
          </w:tcPr>
          <w:p w14:paraId="0E86153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0" w:type="dxa"/>
            <w:noWrap w:val="0"/>
            <w:vAlign w:val="center"/>
          </w:tcPr>
          <w:p w14:paraId="1A8B549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2F19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3EBBEDC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7" w:type="dxa"/>
            <w:noWrap w:val="0"/>
            <w:vAlign w:val="center"/>
          </w:tcPr>
          <w:p w14:paraId="4B0EEAD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2617F28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1D81068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6B6C924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2ECB31E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59" w:type="dxa"/>
            <w:noWrap w:val="0"/>
            <w:vAlign w:val="center"/>
          </w:tcPr>
          <w:p w14:paraId="489FDA8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0" w:type="dxa"/>
            <w:noWrap w:val="0"/>
            <w:vAlign w:val="center"/>
          </w:tcPr>
          <w:p w14:paraId="67B8F48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bl>
    <w:p w14:paraId="6214F20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发包人提供的工程设备表（参考格式）</w:t>
      </w:r>
    </w:p>
    <w:tbl>
      <w:tblPr>
        <w:tblStyle w:val="5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7A51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6923917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55" w:type="dxa"/>
            <w:noWrap w:val="0"/>
            <w:vAlign w:val="center"/>
          </w:tcPr>
          <w:p w14:paraId="4A04DC2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工程设备名称</w:t>
            </w:r>
          </w:p>
        </w:tc>
        <w:tc>
          <w:tcPr>
            <w:tcW w:w="1238" w:type="dxa"/>
            <w:noWrap w:val="0"/>
            <w:vAlign w:val="center"/>
          </w:tcPr>
          <w:p w14:paraId="1478492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851" w:type="dxa"/>
            <w:noWrap w:val="0"/>
            <w:vAlign w:val="center"/>
          </w:tcPr>
          <w:p w14:paraId="720A6D7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34" w:type="dxa"/>
            <w:noWrap w:val="0"/>
            <w:vAlign w:val="center"/>
          </w:tcPr>
          <w:p w14:paraId="6FC4294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134" w:type="dxa"/>
            <w:noWrap w:val="0"/>
            <w:vAlign w:val="center"/>
          </w:tcPr>
          <w:p w14:paraId="5549F4A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992" w:type="dxa"/>
            <w:noWrap w:val="0"/>
            <w:vAlign w:val="center"/>
          </w:tcPr>
          <w:p w14:paraId="725C617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992" w:type="dxa"/>
            <w:noWrap w:val="0"/>
            <w:vAlign w:val="center"/>
          </w:tcPr>
          <w:p w14:paraId="2F496AB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947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7071342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455" w:type="dxa"/>
            <w:noWrap w:val="0"/>
            <w:vAlign w:val="center"/>
          </w:tcPr>
          <w:p w14:paraId="08E3CBE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238" w:type="dxa"/>
            <w:noWrap w:val="0"/>
            <w:vAlign w:val="center"/>
          </w:tcPr>
          <w:p w14:paraId="0FD4C59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51A67C5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6827170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6B85F85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125830F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09C93CF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3949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68B24D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455" w:type="dxa"/>
            <w:noWrap w:val="0"/>
            <w:vAlign w:val="center"/>
          </w:tcPr>
          <w:p w14:paraId="4348195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238" w:type="dxa"/>
            <w:noWrap w:val="0"/>
            <w:vAlign w:val="center"/>
          </w:tcPr>
          <w:p w14:paraId="716A2A9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1F9A09D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5484F44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46E00F9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3BC8EDE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732B10E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bl>
    <w:p w14:paraId="6EDE853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4BC1A38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85" w:name="bookmark1672"/>
      <w:bookmarkEnd w:id="785"/>
      <w:bookmarkStart w:id="786" w:name="bookmark1673"/>
      <w:bookmarkStart w:id="787" w:name="_Toc453"/>
      <w:bookmarkStart w:id="788" w:name="_Toc773"/>
      <w:bookmarkStart w:id="789" w:name="_Toc6599"/>
      <w:bookmarkStart w:id="790" w:name="bookmark1671"/>
      <w:bookmarkStart w:id="791" w:name="bookmark1670"/>
      <w:bookmarkStart w:id="792" w:name="_Toc21342516"/>
      <w:r>
        <w:rPr>
          <w:rFonts w:hint="eastAsia" w:ascii="宋体" w:hAnsi="宋体" w:eastAsia="宋体" w:cs="宋体"/>
          <w:color w:val="auto"/>
          <w:sz w:val="21"/>
          <w:szCs w:val="21"/>
          <w:highlight w:val="none"/>
        </w:rPr>
        <w:t>6. 施工设备和临时设施</w:t>
      </w:r>
      <w:bookmarkEnd w:id="786"/>
      <w:bookmarkEnd w:id="787"/>
      <w:bookmarkEnd w:id="788"/>
      <w:bookmarkEnd w:id="789"/>
      <w:bookmarkEnd w:id="790"/>
      <w:bookmarkEnd w:id="791"/>
      <w:bookmarkEnd w:id="792"/>
    </w:p>
    <w:p w14:paraId="2B74BDF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93" w:name="bookmark1675"/>
      <w:bookmarkStart w:id="794" w:name="bookmark1674"/>
      <w:bookmarkStart w:id="795" w:name="bookmark1676"/>
      <w:r>
        <w:rPr>
          <w:rFonts w:hint="eastAsia" w:ascii="宋体" w:hAnsi="宋体" w:eastAsia="宋体" w:cs="宋体"/>
          <w:color w:val="auto"/>
          <w:sz w:val="21"/>
          <w:szCs w:val="21"/>
          <w:highlight w:val="none"/>
        </w:rPr>
        <w:t>6.1承包人提供的施工设备和临时设施</w:t>
      </w:r>
      <w:bookmarkEnd w:id="793"/>
      <w:bookmarkEnd w:id="794"/>
      <w:bookmarkEnd w:id="795"/>
    </w:p>
    <w:p w14:paraId="6CC1D9F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6.1.2</w:t>
      </w:r>
      <w:r>
        <w:rPr>
          <w:rFonts w:hint="eastAsia" w:ascii="宋体" w:hAnsi="宋体" w:eastAsia="宋体" w:cs="宋体"/>
          <w:color w:val="auto"/>
          <w:sz w:val="21"/>
          <w:szCs w:val="21"/>
          <w:highlight w:val="none"/>
        </w:rPr>
        <w:t>承包人自行承担修建临时设施的费用，需要临时占地的，由承包人办理相关申 请手续，发包人予以协助，发生的相关费用由承包人承担。</w:t>
      </w:r>
    </w:p>
    <w:p w14:paraId="4B85F15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96" w:name="bookmark1679"/>
      <w:bookmarkStart w:id="797" w:name="bookmark1677"/>
      <w:bookmarkStart w:id="798" w:name="bookmark1678"/>
      <w:r>
        <w:rPr>
          <w:rFonts w:hint="eastAsia" w:ascii="宋体" w:hAnsi="宋体" w:eastAsia="宋体" w:cs="宋体"/>
          <w:color w:val="auto"/>
          <w:sz w:val="21"/>
          <w:szCs w:val="21"/>
          <w:highlight w:val="none"/>
        </w:rPr>
        <w:t>6.2发包人提供的施工设备和临时设施</w:t>
      </w:r>
      <w:bookmarkEnd w:id="796"/>
      <w:bookmarkEnd w:id="797"/>
      <w:bookmarkEnd w:id="798"/>
    </w:p>
    <w:p w14:paraId="41EA65D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799" w:name="bookmark1680"/>
      <w:bookmarkEnd w:id="799"/>
      <w:r>
        <w:rPr>
          <w:rFonts w:hint="eastAsia" w:ascii="宋体" w:hAnsi="宋体" w:eastAsia="宋体" w:cs="宋体"/>
          <w:color w:val="auto"/>
          <w:sz w:val="21"/>
          <w:szCs w:val="21"/>
          <w:highlight w:val="none"/>
        </w:rPr>
        <w:t>发包人提供的的施工设备见下表：</w:t>
      </w:r>
    </w:p>
    <w:p w14:paraId="53E8E7D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发包人提供的工程设备表（参考格式）</w:t>
      </w:r>
    </w:p>
    <w:tbl>
      <w:tblPr>
        <w:tblStyle w:val="5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33B5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1A3F0F7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55" w:type="dxa"/>
            <w:noWrap w:val="0"/>
            <w:vAlign w:val="center"/>
          </w:tcPr>
          <w:p w14:paraId="4FB8BE3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设备名称</w:t>
            </w:r>
          </w:p>
        </w:tc>
        <w:tc>
          <w:tcPr>
            <w:tcW w:w="1238" w:type="dxa"/>
            <w:noWrap w:val="0"/>
            <w:vAlign w:val="center"/>
          </w:tcPr>
          <w:p w14:paraId="4EFD688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851" w:type="dxa"/>
            <w:noWrap w:val="0"/>
            <w:vAlign w:val="center"/>
          </w:tcPr>
          <w:p w14:paraId="0789A93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34" w:type="dxa"/>
            <w:noWrap w:val="0"/>
            <w:vAlign w:val="center"/>
          </w:tcPr>
          <w:p w14:paraId="6A5B921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设备状况</w:t>
            </w:r>
          </w:p>
        </w:tc>
        <w:tc>
          <w:tcPr>
            <w:tcW w:w="1134" w:type="dxa"/>
            <w:noWrap w:val="0"/>
            <w:vAlign w:val="center"/>
          </w:tcPr>
          <w:p w14:paraId="27C4826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移交</w:t>
            </w:r>
            <w:r>
              <w:rPr>
                <w:rFonts w:hint="eastAsia" w:ascii="宋体" w:hAnsi="宋体" w:eastAsia="宋体" w:cs="宋体"/>
                <w:color w:val="auto"/>
                <w:sz w:val="21"/>
                <w:szCs w:val="21"/>
                <w:highlight w:val="none"/>
              </w:rPr>
              <w:t>地点</w:t>
            </w:r>
          </w:p>
        </w:tc>
        <w:tc>
          <w:tcPr>
            <w:tcW w:w="992" w:type="dxa"/>
            <w:noWrap w:val="0"/>
            <w:vAlign w:val="center"/>
          </w:tcPr>
          <w:p w14:paraId="0F2A99F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lang w:eastAsia="zh-CN"/>
              </w:rPr>
              <w:t>移交</w:t>
            </w:r>
            <w:r>
              <w:rPr>
                <w:rFonts w:hint="eastAsia" w:ascii="宋体" w:hAnsi="宋体" w:eastAsia="宋体" w:cs="宋体"/>
                <w:color w:val="auto"/>
                <w:sz w:val="21"/>
                <w:szCs w:val="21"/>
                <w:highlight w:val="none"/>
              </w:rPr>
              <w:t>日期</w:t>
            </w:r>
          </w:p>
        </w:tc>
        <w:tc>
          <w:tcPr>
            <w:tcW w:w="992" w:type="dxa"/>
            <w:noWrap w:val="0"/>
            <w:vAlign w:val="center"/>
          </w:tcPr>
          <w:p w14:paraId="5D6307C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743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2C8C189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455" w:type="dxa"/>
            <w:noWrap w:val="0"/>
            <w:vAlign w:val="center"/>
          </w:tcPr>
          <w:p w14:paraId="5366B64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238" w:type="dxa"/>
            <w:noWrap w:val="0"/>
            <w:vAlign w:val="center"/>
          </w:tcPr>
          <w:p w14:paraId="0827B9B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519B3E3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4169F36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4C305C6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5287291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268A836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51D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63BAE2A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455" w:type="dxa"/>
            <w:noWrap w:val="0"/>
            <w:vAlign w:val="center"/>
          </w:tcPr>
          <w:p w14:paraId="6058D41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238" w:type="dxa"/>
            <w:noWrap w:val="0"/>
            <w:vAlign w:val="center"/>
          </w:tcPr>
          <w:p w14:paraId="0337552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851" w:type="dxa"/>
            <w:noWrap w:val="0"/>
            <w:vAlign w:val="center"/>
          </w:tcPr>
          <w:p w14:paraId="582680C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52FDF6D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134" w:type="dxa"/>
            <w:noWrap w:val="0"/>
            <w:vAlign w:val="center"/>
          </w:tcPr>
          <w:p w14:paraId="6A6CF62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5B7C439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92" w:type="dxa"/>
            <w:noWrap w:val="0"/>
            <w:vAlign w:val="center"/>
          </w:tcPr>
          <w:p w14:paraId="0B29D9F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bl>
    <w:p w14:paraId="095351F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注：设备状况栏内填写该设备的新旧程度、购进时间、已使用小时数和最近一次的大修时间。</w:t>
      </w:r>
    </w:p>
    <w:p w14:paraId="7768310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bookmarkStart w:id="800" w:name="bookmark1681"/>
      <w:bookmarkEnd w:id="800"/>
      <w:r>
        <w:rPr>
          <w:rFonts w:hint="eastAsia" w:ascii="宋体" w:hAnsi="宋体" w:eastAsia="宋体" w:cs="宋体"/>
          <w:color w:val="auto"/>
          <w:sz w:val="21"/>
          <w:szCs w:val="21"/>
          <w:highlight w:val="none"/>
        </w:rPr>
        <w:t xml:space="preserve">发包人提供的临时设施： 不提供 </w:t>
      </w:r>
      <w:r>
        <w:rPr>
          <w:rFonts w:hint="eastAsia" w:ascii="宋体" w:hAnsi="宋体" w:eastAsia="宋体" w:cs="宋体"/>
          <w:color w:val="auto"/>
          <w:sz w:val="21"/>
          <w:szCs w:val="21"/>
          <w:highlight w:val="none"/>
          <w:lang w:val="en-US"/>
        </w:rPr>
        <w:t>。</w:t>
      </w:r>
    </w:p>
    <w:p w14:paraId="621A050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p>
    <w:p w14:paraId="189ECD9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01" w:name="bookmark1684"/>
      <w:bookmarkEnd w:id="801"/>
      <w:bookmarkStart w:id="802" w:name="_Toc8746"/>
      <w:bookmarkStart w:id="803" w:name="bookmark1683"/>
      <w:bookmarkStart w:id="804" w:name="bookmark1682"/>
      <w:bookmarkStart w:id="805" w:name="bookmark1685"/>
      <w:bookmarkStart w:id="806" w:name="_Toc28810"/>
      <w:bookmarkStart w:id="807" w:name="_Toc18798"/>
      <w:bookmarkStart w:id="808" w:name="_Toc21342517"/>
      <w:bookmarkStart w:id="809" w:name="bookmark1688"/>
      <w:bookmarkStart w:id="810" w:name="bookmark1686"/>
      <w:bookmarkStart w:id="811" w:name="bookmark1687"/>
      <w:r>
        <w:rPr>
          <w:rFonts w:hint="eastAsia" w:ascii="宋体" w:hAnsi="宋体" w:eastAsia="宋体" w:cs="宋体"/>
          <w:color w:val="auto"/>
          <w:sz w:val="21"/>
          <w:szCs w:val="21"/>
          <w:highlight w:val="none"/>
        </w:rPr>
        <w:t>7. 交通运输</w:t>
      </w:r>
      <w:bookmarkEnd w:id="802"/>
      <w:bookmarkEnd w:id="803"/>
      <w:bookmarkEnd w:id="804"/>
      <w:bookmarkEnd w:id="805"/>
      <w:bookmarkEnd w:id="806"/>
      <w:bookmarkEnd w:id="807"/>
      <w:bookmarkEnd w:id="808"/>
    </w:p>
    <w:p w14:paraId="442CE94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7.1道路通行权和场外设施</w:t>
      </w:r>
      <w:bookmarkEnd w:id="809"/>
      <w:bookmarkEnd w:id="810"/>
      <w:bookmarkEnd w:id="811"/>
    </w:p>
    <w:p w14:paraId="3B9550B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道路通行权和场外设施的约定：发包人指定道路通行的，发包人应负责办理好有关政策处理上的事宜；通行道路在施工期间由施工单位维修、保养，其费用由施工单位负责。</w:t>
      </w:r>
    </w:p>
    <w:p w14:paraId="1CC6E18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12" w:name="_Toc1784"/>
      <w:bookmarkStart w:id="813" w:name="_Toc976"/>
      <w:bookmarkStart w:id="814" w:name="_Toc28858"/>
      <w:bookmarkStart w:id="815" w:name="bookmark1690"/>
      <w:bookmarkStart w:id="816" w:name="bookmark1692"/>
      <w:bookmarkStart w:id="817" w:name="_Toc21342518"/>
      <w:bookmarkStart w:id="818" w:name="bookmark1689"/>
      <w:bookmarkStart w:id="819" w:name="bookmark1694"/>
      <w:bookmarkStart w:id="820" w:name="bookmark1695"/>
      <w:bookmarkStart w:id="821" w:name="bookmark1693"/>
      <w:r>
        <w:rPr>
          <w:rFonts w:hint="eastAsia" w:ascii="宋体" w:hAnsi="宋体" w:eastAsia="宋体" w:cs="宋体"/>
          <w:color w:val="auto"/>
          <w:sz w:val="21"/>
          <w:szCs w:val="21"/>
          <w:highlight w:val="none"/>
        </w:rPr>
        <w:t>8. 测量放线</w:t>
      </w:r>
      <w:bookmarkEnd w:id="812"/>
      <w:bookmarkEnd w:id="813"/>
      <w:bookmarkEnd w:id="814"/>
      <w:bookmarkEnd w:id="815"/>
      <w:bookmarkEnd w:id="816"/>
      <w:bookmarkEnd w:id="817"/>
      <w:bookmarkEnd w:id="818"/>
    </w:p>
    <w:p w14:paraId="5401ED3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bookmarkEnd w:id="819"/>
      <w:bookmarkEnd w:id="820"/>
      <w:bookmarkEnd w:id="821"/>
    </w:p>
    <w:p w14:paraId="7E6E3A6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822" w:name="bookmark1696"/>
      <w:bookmarkEnd w:id="822"/>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lang w:val="zh-CN" w:eastAsia="zh-CN"/>
        </w:rPr>
        <w:t xml:space="preserve">1 施工控制网的约定：由承包人负责测设 </w:t>
      </w:r>
      <w:r>
        <w:rPr>
          <w:rFonts w:hint="eastAsia" w:ascii="宋体" w:hAnsi="宋体" w:eastAsia="宋体" w:cs="宋体"/>
          <w:color w:val="auto"/>
          <w:sz w:val="21"/>
          <w:szCs w:val="21"/>
          <w:highlight w:val="none"/>
          <w:lang w:eastAsia="zh-CN"/>
        </w:rPr>
        <w:t>。</w:t>
      </w:r>
    </w:p>
    <w:p w14:paraId="7ADB97A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23" w:name="_Toc15272"/>
      <w:bookmarkStart w:id="824" w:name="_Toc30569"/>
      <w:bookmarkStart w:id="825" w:name="_Toc21342519"/>
      <w:r>
        <w:rPr>
          <w:rFonts w:hint="eastAsia" w:ascii="宋体" w:hAnsi="宋体" w:eastAsia="宋体" w:cs="宋体"/>
          <w:color w:val="auto"/>
          <w:sz w:val="21"/>
          <w:szCs w:val="21"/>
          <w:highlight w:val="none"/>
        </w:rPr>
        <w:t>9. 施工安全、治安保卫和环境保护</w:t>
      </w:r>
      <w:bookmarkEnd w:id="823"/>
      <w:bookmarkEnd w:id="824"/>
      <w:bookmarkEnd w:id="825"/>
    </w:p>
    <w:p w14:paraId="0D60ADB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561291B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9.2. </w:t>
      </w:r>
      <w:r>
        <w:rPr>
          <w:rFonts w:hint="eastAsia" w:ascii="宋体" w:hAnsi="宋体" w:eastAsia="宋体" w:cs="宋体"/>
          <w:color w:val="auto"/>
          <w:sz w:val="21"/>
          <w:szCs w:val="21"/>
          <w:highlight w:val="none"/>
        </w:rPr>
        <w:t>8安全施工措施所需费用在投标时不得做竞争调整。</w:t>
      </w:r>
    </w:p>
    <w:p w14:paraId="6D62F8F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9. 2. </w:t>
      </w:r>
      <w:r>
        <w:rPr>
          <w:rFonts w:hint="eastAsia" w:ascii="宋体" w:hAnsi="宋体" w:eastAsia="宋体" w:cs="宋体"/>
          <w:color w:val="auto"/>
          <w:sz w:val="21"/>
          <w:szCs w:val="21"/>
          <w:highlight w:val="none"/>
        </w:rPr>
        <w:t>12下列工程应编制专项施工方案：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在签订施工承包合同时明确（或无</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其中应组织专家论证 和审查的专项施工方案：在签订施工承包合同时明确（或无</w:t>
      </w:r>
      <w:r>
        <w:rPr>
          <w:rFonts w:hint="eastAsia" w:ascii="宋体" w:hAnsi="宋体" w:eastAsia="宋体" w:cs="宋体"/>
          <w:color w:val="auto"/>
          <w:sz w:val="21"/>
          <w:szCs w:val="21"/>
          <w:highlight w:val="none"/>
          <w:lang w:val="en-US"/>
        </w:rPr>
        <w:t>)。</w:t>
      </w:r>
    </w:p>
    <w:p w14:paraId="23B1F5F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274B716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9. 7. </w:t>
      </w:r>
      <w:r>
        <w:rPr>
          <w:rFonts w:hint="eastAsia" w:ascii="宋体" w:hAnsi="宋体" w:eastAsia="宋体" w:cs="宋体"/>
          <w:color w:val="auto"/>
          <w:sz w:val="21"/>
          <w:szCs w:val="21"/>
          <w:highlight w:val="none"/>
        </w:rPr>
        <w:t>1本合同文明工地的约定：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按水利部《水利系统文明建设工地评审管理办法》创建文明建设工地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w:t>
      </w:r>
      <w:bookmarkStart w:id="826" w:name="bookmark1710"/>
      <w:bookmarkStart w:id="827" w:name="_Toc845"/>
      <w:bookmarkStart w:id="828" w:name="bookmark1708"/>
      <w:bookmarkStart w:id="829" w:name="_Toc8738"/>
      <w:bookmarkStart w:id="830" w:name="bookmark1709"/>
    </w:p>
    <w:p w14:paraId="0063FAC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31" w:name="_Toc22742"/>
      <w:bookmarkStart w:id="832" w:name="_Toc21342520"/>
    </w:p>
    <w:p w14:paraId="572103F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开工和竣工（完工</w:t>
      </w:r>
      <w:bookmarkEnd w:id="826"/>
      <w:bookmarkEnd w:id="827"/>
      <w:bookmarkEnd w:id="828"/>
      <w:bookmarkEnd w:id="829"/>
      <w:bookmarkEnd w:id="830"/>
      <w:r>
        <w:rPr>
          <w:rFonts w:hint="eastAsia" w:ascii="宋体" w:hAnsi="宋体" w:eastAsia="宋体" w:cs="宋体"/>
          <w:color w:val="auto"/>
          <w:sz w:val="21"/>
          <w:szCs w:val="21"/>
          <w:highlight w:val="none"/>
        </w:rPr>
        <w:t>）</w:t>
      </w:r>
      <w:bookmarkEnd w:id="831"/>
      <w:bookmarkEnd w:id="832"/>
    </w:p>
    <w:p w14:paraId="543DBDA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33" w:name="bookmark1713"/>
      <w:bookmarkStart w:id="834" w:name="bookmark1712"/>
      <w:bookmarkStart w:id="835" w:name="bookmark1711"/>
      <w:r>
        <w:rPr>
          <w:rFonts w:hint="eastAsia" w:ascii="宋体" w:hAnsi="宋体" w:eastAsia="宋体" w:cs="宋体"/>
          <w:color w:val="auto"/>
          <w:sz w:val="21"/>
          <w:szCs w:val="21"/>
          <w:highlight w:val="none"/>
        </w:rPr>
        <w:t>11.2本工程主体工程完工时间为：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bookmarkEnd w:id="833"/>
      <w:bookmarkEnd w:id="834"/>
      <w:bookmarkEnd w:id="835"/>
    </w:p>
    <w:p w14:paraId="072A06B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36" w:name="bookmark1716"/>
      <w:bookmarkStart w:id="837" w:name="bookmark1715"/>
      <w:bookmarkStart w:id="838" w:name="bookmark1714"/>
      <w:r>
        <w:rPr>
          <w:rFonts w:hint="eastAsia" w:ascii="宋体" w:hAnsi="宋体" w:eastAsia="宋体" w:cs="宋体"/>
          <w:color w:val="auto"/>
          <w:sz w:val="21"/>
          <w:szCs w:val="21"/>
          <w:highlight w:val="none"/>
        </w:rPr>
        <w:t>11.3发包人的工期延误</w:t>
      </w:r>
      <w:bookmarkEnd w:id="836"/>
      <w:bookmarkEnd w:id="837"/>
      <w:bookmarkEnd w:id="838"/>
    </w:p>
    <w:p w14:paraId="2B0D3B7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39" w:name="bookmark1719"/>
      <w:bookmarkStart w:id="840" w:name="bookmark1718"/>
      <w:bookmarkStart w:id="841" w:name="bookmark1717"/>
      <w:r>
        <w:rPr>
          <w:rFonts w:hint="eastAsia" w:ascii="宋体" w:hAnsi="宋体" w:eastAsia="宋体" w:cs="宋体"/>
          <w:color w:val="auto"/>
          <w:sz w:val="21"/>
          <w:szCs w:val="21"/>
          <w:highlight w:val="none"/>
        </w:rPr>
        <w:t>11.4异常恶劣的气候条件</w:t>
      </w:r>
      <w:bookmarkEnd w:id="839"/>
      <w:bookmarkEnd w:id="840"/>
      <w:bookmarkEnd w:id="841"/>
    </w:p>
    <w:p w14:paraId="7B5EF7F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11.4.3</w:t>
      </w:r>
      <w:r>
        <w:rPr>
          <w:rFonts w:hint="eastAsia" w:ascii="宋体" w:hAnsi="宋体" w:eastAsia="宋体" w:cs="宋体"/>
          <w:color w:val="auto"/>
          <w:sz w:val="21"/>
          <w:szCs w:val="21"/>
          <w:highlight w:val="none"/>
        </w:rPr>
        <w:t>本合同工程界定异常恶劣气候条件的范围为：</w:t>
      </w:r>
    </w:p>
    <w:p w14:paraId="01F3F12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2" w:name="bookmark1720"/>
      <w:bookmarkEnd w:id="842"/>
      <w:r>
        <w:rPr>
          <w:rFonts w:hint="eastAsia" w:ascii="宋体" w:hAnsi="宋体" w:eastAsia="宋体" w:cs="宋体"/>
          <w:color w:val="auto"/>
          <w:sz w:val="21"/>
          <w:szCs w:val="21"/>
          <w:highlight w:val="none"/>
        </w:rPr>
        <w:t>日降雨量大于</w:t>
      </w:r>
      <w:r>
        <w:rPr>
          <w:rFonts w:hint="eastAsia" w:ascii="宋体" w:hAnsi="宋体" w:eastAsia="宋体" w:cs="宋体"/>
          <w:color w:val="auto"/>
          <w:sz w:val="21"/>
          <w:szCs w:val="21"/>
          <w:highlight w:val="none"/>
          <w:lang w:val="en-US"/>
        </w:rPr>
        <w:t>100mm</w:t>
      </w:r>
      <w:r>
        <w:rPr>
          <w:rFonts w:hint="eastAsia" w:ascii="宋体" w:hAnsi="宋体" w:eastAsia="宋体" w:cs="宋体"/>
          <w:color w:val="auto"/>
          <w:sz w:val="21"/>
          <w:szCs w:val="21"/>
          <w:highlight w:val="none"/>
        </w:rPr>
        <w:t>的雨日超过</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天；</w:t>
      </w:r>
    </w:p>
    <w:p w14:paraId="69622F5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3" w:name="bookmark1721"/>
      <w:bookmarkEnd w:id="843"/>
      <w:r>
        <w:rPr>
          <w:rFonts w:hint="eastAsia" w:ascii="宋体" w:hAnsi="宋体" w:eastAsia="宋体" w:cs="宋体"/>
          <w:color w:val="auto"/>
          <w:sz w:val="21"/>
          <w:szCs w:val="21"/>
          <w:highlight w:val="none"/>
        </w:rPr>
        <w:t>风速大于</w:t>
      </w:r>
      <w:r>
        <w:rPr>
          <w:rFonts w:hint="eastAsia" w:ascii="宋体" w:hAnsi="宋体" w:eastAsia="宋体" w:cs="宋体"/>
          <w:color w:val="auto"/>
          <w:sz w:val="21"/>
          <w:szCs w:val="21"/>
          <w:highlight w:val="none"/>
          <w:lang w:val="en-US"/>
        </w:rPr>
        <w:t>10.8-13.8m/s</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rPr>
        <w:t>级以上台风灾害；</w:t>
      </w:r>
    </w:p>
    <w:p w14:paraId="159F1ED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4" w:name="bookmark1722"/>
      <w:bookmarkEnd w:id="844"/>
      <w:r>
        <w:rPr>
          <w:rFonts w:hint="eastAsia" w:ascii="宋体" w:hAnsi="宋体" w:eastAsia="宋体" w:cs="宋体"/>
          <w:color w:val="auto"/>
          <w:sz w:val="21"/>
          <w:szCs w:val="21"/>
          <w:highlight w:val="none"/>
        </w:rPr>
        <w:t>日气温超过</w:t>
      </w:r>
      <w:r>
        <w:rPr>
          <w:rFonts w:hint="eastAsia" w:ascii="宋体" w:hAnsi="宋体" w:eastAsia="宋体" w:cs="宋体"/>
          <w:color w:val="auto"/>
          <w:sz w:val="21"/>
          <w:szCs w:val="21"/>
          <w:highlight w:val="none"/>
          <w:lang w:val="en-US"/>
        </w:rPr>
        <w:t>38℃</w:t>
      </w:r>
      <w:r>
        <w:rPr>
          <w:rFonts w:hint="eastAsia" w:ascii="宋体" w:hAnsi="宋体" w:eastAsia="宋体" w:cs="宋体"/>
          <w:color w:val="auto"/>
          <w:sz w:val="21"/>
          <w:szCs w:val="21"/>
          <w:highlight w:val="none"/>
        </w:rPr>
        <w:t>的高温大于</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天；</w:t>
      </w:r>
    </w:p>
    <w:p w14:paraId="13D4844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5" w:name="bookmark1723"/>
      <w:bookmarkEnd w:id="845"/>
      <w:r>
        <w:rPr>
          <w:rFonts w:hint="eastAsia" w:ascii="宋体" w:hAnsi="宋体" w:eastAsia="宋体" w:cs="宋体"/>
          <w:color w:val="auto"/>
          <w:sz w:val="21"/>
          <w:szCs w:val="21"/>
          <w:highlight w:val="none"/>
        </w:rPr>
        <w:t>日气温低于</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的严寒大于</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天。</w:t>
      </w:r>
    </w:p>
    <w:p w14:paraId="0AD01FA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6" w:name="bookmark1724"/>
      <w:bookmarkEnd w:id="846"/>
      <w:r>
        <w:rPr>
          <w:rFonts w:hint="eastAsia" w:ascii="宋体" w:hAnsi="宋体" w:eastAsia="宋体" w:cs="宋体"/>
          <w:color w:val="auto"/>
          <w:sz w:val="21"/>
          <w:szCs w:val="21"/>
          <w:highlight w:val="none"/>
        </w:rPr>
        <w:t>造成工程损坏的冰雹和大雪灾害；</w:t>
      </w:r>
    </w:p>
    <w:p w14:paraId="06C4A47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7" w:name="bookmark1725"/>
      <w:bookmarkEnd w:id="847"/>
      <w:r>
        <w:rPr>
          <w:rFonts w:hint="eastAsia" w:ascii="宋体" w:hAnsi="宋体" w:eastAsia="宋体" w:cs="宋体"/>
          <w:color w:val="auto"/>
          <w:sz w:val="21"/>
          <w:szCs w:val="21"/>
          <w:highlight w:val="none"/>
        </w:rPr>
        <w:t>五级以上的地震；</w:t>
      </w:r>
    </w:p>
    <w:p w14:paraId="1AA3ADC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8" w:name="bookmark1726"/>
      <w:bookmarkEnd w:id="848"/>
      <w:r>
        <w:rPr>
          <w:rFonts w:hint="eastAsia" w:ascii="宋体" w:hAnsi="宋体" w:eastAsia="宋体" w:cs="宋体"/>
          <w:color w:val="auto"/>
          <w:sz w:val="21"/>
          <w:szCs w:val="21"/>
          <w:highlight w:val="none"/>
          <w:lang w:val="en-US"/>
        </w:rPr>
        <w:t>20</w:t>
      </w:r>
      <w:r>
        <w:rPr>
          <w:rFonts w:hint="eastAsia" w:ascii="宋体" w:hAnsi="宋体" w:eastAsia="宋体" w:cs="宋体"/>
          <w:color w:val="auto"/>
          <w:sz w:val="21"/>
          <w:szCs w:val="21"/>
          <w:highlight w:val="none"/>
        </w:rPr>
        <w:t>年一遇及以上的洪水；</w:t>
      </w:r>
    </w:p>
    <w:p w14:paraId="01EA29E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49" w:name="bookmark1727"/>
      <w:bookmarkEnd w:id="849"/>
      <w:r>
        <w:rPr>
          <w:rFonts w:hint="eastAsia" w:ascii="宋体" w:hAnsi="宋体" w:eastAsia="宋体" w:cs="宋体"/>
          <w:color w:val="auto"/>
          <w:sz w:val="21"/>
          <w:szCs w:val="21"/>
          <w:highlight w:val="none"/>
        </w:rPr>
        <w:t>其他异常恶劣气候灾害。</w:t>
      </w:r>
    </w:p>
    <w:p w14:paraId="0396DB3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50" w:name="bookmark1728"/>
      <w:bookmarkStart w:id="851" w:name="bookmark1729"/>
      <w:bookmarkStart w:id="852" w:name="bookmark1730"/>
      <w:r>
        <w:rPr>
          <w:rFonts w:hint="eastAsia" w:ascii="宋体" w:hAnsi="宋体" w:eastAsia="宋体" w:cs="宋体"/>
          <w:color w:val="auto"/>
          <w:sz w:val="21"/>
          <w:szCs w:val="21"/>
          <w:highlight w:val="none"/>
        </w:rPr>
        <w:t>11.5承包人工期延误</w:t>
      </w:r>
      <w:bookmarkEnd w:id="850"/>
      <w:bookmarkEnd w:id="851"/>
      <w:bookmarkEnd w:id="852"/>
    </w:p>
    <w:p w14:paraId="158BFA9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(1)逾期完工违约金表(参考格式)</w:t>
      </w:r>
    </w:p>
    <w:tbl>
      <w:tblPr>
        <w:tblStyle w:val="54"/>
        <w:tblW w:w="8352" w:type="dxa"/>
        <w:jc w:val="center"/>
        <w:tblLayout w:type="fixed"/>
        <w:tblCellMar>
          <w:top w:w="0" w:type="dxa"/>
          <w:left w:w="10" w:type="dxa"/>
          <w:bottom w:w="0" w:type="dxa"/>
          <w:right w:w="10" w:type="dxa"/>
        </w:tblCellMar>
      </w:tblPr>
      <w:tblGrid>
        <w:gridCol w:w="576"/>
        <w:gridCol w:w="3780"/>
        <w:gridCol w:w="2455"/>
        <w:gridCol w:w="1541"/>
      </w:tblGrid>
      <w:tr w14:paraId="5D835303">
        <w:tblPrEx>
          <w:tblCellMar>
            <w:top w:w="0" w:type="dxa"/>
            <w:left w:w="10" w:type="dxa"/>
            <w:bottom w:w="0" w:type="dxa"/>
            <w:right w:w="10" w:type="dxa"/>
          </w:tblCellMar>
        </w:tblPrEx>
        <w:trPr>
          <w:trHeight w:val="474" w:hRule="exact"/>
          <w:jc w:val="center"/>
        </w:trPr>
        <w:tc>
          <w:tcPr>
            <w:tcW w:w="576" w:type="dxa"/>
            <w:tcBorders>
              <w:top w:val="single" w:color="auto" w:sz="4" w:space="0"/>
              <w:left w:val="single" w:color="auto" w:sz="4" w:space="0"/>
            </w:tcBorders>
            <w:shd w:val="clear" w:color="auto" w:fill="FFFFFF"/>
            <w:noWrap w:val="0"/>
            <w:vAlign w:val="center"/>
          </w:tcPr>
          <w:p w14:paraId="7AC57E7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80" w:type="dxa"/>
            <w:tcBorders>
              <w:top w:val="single" w:color="auto" w:sz="4" w:space="0"/>
              <w:left w:val="single" w:color="auto" w:sz="4" w:space="0"/>
            </w:tcBorders>
            <w:shd w:val="clear" w:color="auto" w:fill="FFFFFF"/>
            <w:noWrap w:val="0"/>
            <w:vAlign w:val="center"/>
          </w:tcPr>
          <w:p w14:paraId="3EA95B8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455" w:type="dxa"/>
            <w:tcBorders>
              <w:top w:val="single" w:color="auto" w:sz="4" w:space="0"/>
              <w:left w:val="single" w:color="auto" w:sz="4" w:space="0"/>
            </w:tcBorders>
            <w:shd w:val="clear" w:color="auto" w:fill="FFFFFF"/>
            <w:noWrap w:val="0"/>
            <w:vAlign w:val="center"/>
          </w:tcPr>
          <w:p w14:paraId="30FD487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14:paraId="48D6546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违约金(元/天)</w:t>
            </w:r>
          </w:p>
        </w:tc>
      </w:tr>
      <w:tr w14:paraId="05FA8DD4">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11F1A15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3780" w:type="dxa"/>
            <w:tcBorders>
              <w:top w:val="single" w:color="auto" w:sz="4" w:space="0"/>
              <w:left w:val="single" w:color="auto" w:sz="4" w:space="0"/>
            </w:tcBorders>
            <w:shd w:val="clear" w:color="auto" w:fill="FFFFFF"/>
            <w:noWrap w:val="0"/>
            <w:vAlign w:val="top"/>
          </w:tcPr>
          <w:p w14:paraId="148623F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p>
        </w:tc>
        <w:tc>
          <w:tcPr>
            <w:tcW w:w="2455" w:type="dxa"/>
            <w:tcBorders>
              <w:top w:val="single" w:color="auto" w:sz="4" w:space="0"/>
              <w:left w:val="single" w:color="auto" w:sz="4" w:space="0"/>
            </w:tcBorders>
            <w:shd w:val="clear" w:color="auto" w:fill="FFFFFF"/>
            <w:noWrap w:val="0"/>
            <w:vAlign w:val="center"/>
          </w:tcPr>
          <w:p w14:paraId="268850B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p>
        </w:tc>
        <w:tc>
          <w:tcPr>
            <w:tcW w:w="1541" w:type="dxa"/>
            <w:tcBorders>
              <w:top w:val="single" w:color="auto" w:sz="4" w:space="0"/>
              <w:left w:val="single" w:color="auto" w:sz="4" w:space="0"/>
              <w:right w:val="single" w:color="auto" w:sz="4" w:space="0"/>
            </w:tcBorders>
            <w:shd w:val="clear" w:color="auto" w:fill="FFFFFF"/>
            <w:noWrap w:val="0"/>
            <w:vAlign w:val="center"/>
          </w:tcPr>
          <w:p w14:paraId="3734215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p>
        </w:tc>
      </w:tr>
      <w:tr w14:paraId="65F220D5">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noWrap w:val="0"/>
            <w:vAlign w:val="top"/>
          </w:tcPr>
          <w:p w14:paraId="35154A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3780" w:type="dxa"/>
            <w:tcBorders>
              <w:top w:val="single" w:color="auto" w:sz="4" w:space="0"/>
              <w:left w:val="single" w:color="auto" w:sz="4" w:space="0"/>
            </w:tcBorders>
            <w:shd w:val="clear" w:color="auto" w:fill="FFFFFF"/>
            <w:noWrap w:val="0"/>
            <w:vAlign w:val="top"/>
          </w:tcPr>
          <w:p w14:paraId="42E7315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2455" w:type="dxa"/>
            <w:tcBorders>
              <w:top w:val="single" w:color="auto" w:sz="4" w:space="0"/>
              <w:left w:val="single" w:color="auto" w:sz="4" w:space="0"/>
            </w:tcBorders>
            <w:shd w:val="clear" w:color="auto" w:fill="FFFFFF"/>
            <w:noWrap w:val="0"/>
            <w:vAlign w:val="top"/>
          </w:tcPr>
          <w:p w14:paraId="7A0BD20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01BC114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73516E5B">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2303190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3780" w:type="dxa"/>
            <w:tcBorders>
              <w:top w:val="single" w:color="auto" w:sz="4" w:space="0"/>
              <w:left w:val="single" w:color="auto" w:sz="4" w:space="0"/>
            </w:tcBorders>
            <w:shd w:val="clear" w:color="auto" w:fill="FFFFFF"/>
            <w:noWrap w:val="0"/>
            <w:vAlign w:val="top"/>
          </w:tcPr>
          <w:p w14:paraId="5918267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2455" w:type="dxa"/>
            <w:tcBorders>
              <w:top w:val="single" w:color="auto" w:sz="4" w:space="0"/>
              <w:left w:val="single" w:color="auto" w:sz="4" w:space="0"/>
            </w:tcBorders>
            <w:shd w:val="clear" w:color="auto" w:fill="FFFFFF"/>
            <w:noWrap w:val="0"/>
            <w:vAlign w:val="top"/>
          </w:tcPr>
          <w:p w14:paraId="2D5D2EC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614FCCE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689CD215">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6E15376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3780" w:type="dxa"/>
            <w:tcBorders>
              <w:top w:val="single" w:color="auto" w:sz="4" w:space="0"/>
              <w:left w:val="single" w:color="auto" w:sz="4" w:space="0"/>
              <w:bottom w:val="single" w:color="auto" w:sz="4" w:space="0"/>
            </w:tcBorders>
            <w:shd w:val="clear" w:color="auto" w:fill="FFFFFF"/>
            <w:noWrap w:val="0"/>
            <w:vAlign w:val="top"/>
          </w:tcPr>
          <w:p w14:paraId="4D66F85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2455" w:type="dxa"/>
            <w:tcBorders>
              <w:top w:val="single" w:color="auto" w:sz="4" w:space="0"/>
              <w:left w:val="single" w:color="auto" w:sz="4" w:space="0"/>
              <w:bottom w:val="single" w:color="auto" w:sz="4" w:space="0"/>
            </w:tcBorders>
            <w:shd w:val="clear" w:color="auto" w:fill="FFFFFF"/>
            <w:noWrap w:val="0"/>
            <w:vAlign w:val="top"/>
          </w:tcPr>
          <w:p w14:paraId="23C5BE1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1FB89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bl>
    <w:p w14:paraId="7F2500D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462FA95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承包人如未能按上表各节点要求的完工日期前完工，逾期完工违约金按</w:t>
      </w:r>
      <w:r>
        <w:rPr>
          <w:rFonts w:hint="eastAsia" w:ascii="宋体" w:hAnsi="宋体" w:eastAsia="宋体" w:cs="宋体"/>
          <w:color w:val="auto"/>
          <w:sz w:val="21"/>
          <w:szCs w:val="21"/>
          <w:highlight w:val="none"/>
          <w:lang w:val="en-US" w:eastAsia="zh-CN"/>
        </w:rPr>
        <w:t xml:space="preserve">  1000   </w:t>
      </w:r>
      <w:r>
        <w:rPr>
          <w:rFonts w:hint="eastAsia" w:ascii="宋体" w:hAnsi="宋体" w:eastAsia="宋体" w:cs="宋体"/>
          <w:color w:val="auto"/>
          <w:sz w:val="21"/>
          <w:szCs w:val="21"/>
          <w:highlight w:val="none"/>
        </w:rPr>
        <w:t>元/ 天”计算。</w:t>
      </w:r>
    </w:p>
    <w:p w14:paraId="69DF062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53" w:name="bookmark1731"/>
      <w:bookmarkEnd w:id="85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全部逾期完工违约金的总限额不超过合同总价的</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%,发包人可从应向承包人支付的任何金额中扣除此项违约金或以其他方式收回此款，此违约金的支付并不能解除承包人应完成工程的责任或合同规定的其他责任。</w:t>
      </w:r>
    </w:p>
    <w:p w14:paraId="5DAEF67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54" w:name="bookmark1734"/>
      <w:bookmarkStart w:id="855" w:name="bookmark1733"/>
      <w:bookmarkStart w:id="856" w:name="bookmark1732"/>
      <w:r>
        <w:rPr>
          <w:rFonts w:hint="eastAsia" w:ascii="宋体" w:hAnsi="宋体" w:eastAsia="宋体" w:cs="宋体"/>
          <w:color w:val="auto"/>
          <w:sz w:val="21"/>
          <w:szCs w:val="21"/>
          <w:highlight w:val="none"/>
        </w:rPr>
        <w:t>11.6工期提前</w:t>
      </w:r>
      <w:bookmarkEnd w:id="854"/>
      <w:bookmarkEnd w:id="855"/>
      <w:bookmarkEnd w:id="856"/>
    </w:p>
    <w:p w14:paraId="21D38C6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工期提前的资金约定：在保证工程质量的前提下，发包人鼓励承包人提前完工，但本合同工程无提前工期奖金。</w:t>
      </w:r>
    </w:p>
    <w:p w14:paraId="5C809C7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57" w:name="_Toc23224"/>
      <w:bookmarkStart w:id="858" w:name="_Toc21342521"/>
      <w:bookmarkStart w:id="859" w:name="_Toc29314"/>
      <w:bookmarkStart w:id="860" w:name="_Toc6849"/>
      <w:bookmarkStart w:id="861" w:name="bookmark1736"/>
      <w:bookmarkStart w:id="862" w:name="bookmark1735"/>
      <w:bookmarkStart w:id="863" w:name="bookmark1737"/>
      <w:r>
        <w:rPr>
          <w:rFonts w:hint="eastAsia" w:ascii="宋体" w:hAnsi="宋体" w:eastAsia="宋体" w:cs="宋体"/>
          <w:color w:val="auto"/>
          <w:sz w:val="21"/>
          <w:szCs w:val="21"/>
          <w:highlight w:val="none"/>
        </w:rPr>
        <w:t>12. 暂停施工</w:t>
      </w:r>
      <w:bookmarkEnd w:id="857"/>
      <w:bookmarkEnd w:id="858"/>
      <w:bookmarkEnd w:id="859"/>
      <w:bookmarkEnd w:id="860"/>
      <w:bookmarkEnd w:id="861"/>
      <w:bookmarkEnd w:id="862"/>
      <w:bookmarkEnd w:id="863"/>
    </w:p>
    <w:p w14:paraId="4E3EA3F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64" w:name="bookmark1738"/>
      <w:bookmarkStart w:id="865" w:name="bookmark1739"/>
      <w:bookmarkStart w:id="866" w:name="bookmark1740"/>
      <w:r>
        <w:rPr>
          <w:rFonts w:hint="eastAsia" w:ascii="宋体" w:hAnsi="宋体" w:eastAsia="宋体" w:cs="宋体"/>
          <w:color w:val="auto"/>
          <w:sz w:val="21"/>
          <w:szCs w:val="21"/>
          <w:highlight w:val="none"/>
        </w:rPr>
        <w:t>12.1承包人暂停施工的责任</w:t>
      </w:r>
      <w:bookmarkEnd w:id="864"/>
      <w:bookmarkEnd w:id="865"/>
      <w:bookmarkEnd w:id="866"/>
    </w:p>
    <w:p w14:paraId="5728973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bookmarkStart w:id="867" w:name="bookmark1741"/>
      <w:bookmarkEnd w:id="867"/>
      <w:r>
        <w:rPr>
          <w:rFonts w:hint="eastAsia" w:ascii="宋体" w:hAnsi="宋体" w:eastAsia="宋体" w:cs="宋体"/>
          <w:color w:val="auto"/>
          <w:sz w:val="21"/>
          <w:szCs w:val="21"/>
          <w:highlight w:val="none"/>
          <w:lang w:eastAsia="zh-CN"/>
        </w:rPr>
        <w:t>承</w:t>
      </w:r>
      <w:r>
        <w:rPr>
          <w:rFonts w:hint="eastAsia" w:ascii="宋体" w:hAnsi="宋体" w:eastAsia="宋体" w:cs="宋体"/>
          <w:color w:val="auto"/>
          <w:sz w:val="21"/>
          <w:szCs w:val="21"/>
          <w:highlight w:val="none"/>
        </w:rPr>
        <w:t xml:space="preserve">包人承担暂停施工责任的其它情形： 属于下列任何一种情况引起的暂停施工，承包人不能提出增加费用和延长工期的要求 </w:t>
      </w:r>
      <w:r>
        <w:rPr>
          <w:rFonts w:hint="eastAsia" w:ascii="宋体" w:hAnsi="宋体" w:eastAsia="宋体" w:cs="宋体"/>
          <w:color w:val="auto"/>
          <w:sz w:val="21"/>
          <w:szCs w:val="21"/>
          <w:highlight w:val="none"/>
          <w:lang w:val="en-US"/>
        </w:rPr>
        <w:t>。</w:t>
      </w:r>
    </w:p>
    <w:p w14:paraId="014E01F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① 合同中另有规定的。</w:t>
      </w:r>
    </w:p>
    <w:p w14:paraId="6C25534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 xml:space="preserve">  ② 由于承包人违约引起的暂停施工。</w:t>
      </w:r>
    </w:p>
    <w:p w14:paraId="078A1AB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③ 由于现场非异常恶劣气候条件引起的正常停工。</w:t>
      </w:r>
    </w:p>
    <w:p w14:paraId="7A68D5C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④ 由于承包人为工程的合理施工和保证安全所必须的暂停施工。</w:t>
      </w:r>
    </w:p>
    <w:p w14:paraId="183CAFD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⑤ 未得到监理人许可的承包人擅自停工。</w:t>
      </w:r>
    </w:p>
    <w:p w14:paraId="23EE663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⑥ 其它由于承包人原因引起的暂停施工。</w:t>
      </w:r>
    </w:p>
    <w:p w14:paraId="57B705A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12.2发包人暂停施工的责任</w:t>
      </w:r>
    </w:p>
    <w:p w14:paraId="5BE9364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68" w:name="bookmark1742"/>
      <w:bookmarkEnd w:id="86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发包人承担暂停施工责任的其它情形：发包人可以根据资金到位情况暂停部分项目的施工，发包人只延长因该部分暂停施工增加的工期，但不增加投资</w:t>
      </w:r>
      <w:r>
        <w:rPr>
          <w:rFonts w:hint="eastAsia" w:ascii="宋体" w:hAnsi="宋体" w:eastAsia="宋体" w:cs="宋体"/>
          <w:color w:val="auto"/>
          <w:sz w:val="21"/>
          <w:szCs w:val="21"/>
          <w:highlight w:val="none"/>
          <w:lang w:val="en-US"/>
        </w:rPr>
        <w:t>。</w:t>
      </w:r>
    </w:p>
    <w:p w14:paraId="73F56C5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69" w:name="bookmark1745"/>
      <w:bookmarkStart w:id="870" w:name="_Toc4631"/>
      <w:bookmarkStart w:id="871" w:name="bookmark1744"/>
      <w:bookmarkStart w:id="872" w:name="_Toc26672"/>
      <w:bookmarkStart w:id="873" w:name="_Toc21342522"/>
      <w:bookmarkStart w:id="874" w:name="_Toc10524"/>
      <w:bookmarkStart w:id="875" w:name="bookmark1743"/>
      <w:r>
        <w:rPr>
          <w:rFonts w:hint="eastAsia" w:ascii="宋体" w:hAnsi="宋体" w:eastAsia="宋体" w:cs="宋体"/>
          <w:color w:val="auto"/>
          <w:sz w:val="21"/>
          <w:szCs w:val="21"/>
          <w:highlight w:val="none"/>
        </w:rPr>
        <w:t>13. 工程质量</w:t>
      </w:r>
      <w:bookmarkEnd w:id="869"/>
      <w:bookmarkEnd w:id="870"/>
      <w:bookmarkEnd w:id="871"/>
      <w:bookmarkEnd w:id="872"/>
      <w:bookmarkEnd w:id="873"/>
      <w:bookmarkEnd w:id="874"/>
      <w:bookmarkEnd w:id="875"/>
    </w:p>
    <w:p w14:paraId="02410F9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76" w:name="bookmark1747"/>
      <w:bookmarkStart w:id="877" w:name="bookmark1748"/>
      <w:bookmarkStart w:id="878" w:name="bookmark1746"/>
      <w:r>
        <w:rPr>
          <w:rFonts w:hint="eastAsia" w:ascii="宋体" w:hAnsi="宋体" w:eastAsia="宋体" w:cs="宋体"/>
          <w:color w:val="auto"/>
          <w:sz w:val="21"/>
          <w:szCs w:val="21"/>
          <w:highlight w:val="none"/>
        </w:rPr>
        <w:t>13.7质量评定</w:t>
      </w:r>
      <w:bookmarkEnd w:id="876"/>
      <w:bookmarkEnd w:id="877"/>
      <w:bookmarkEnd w:id="878"/>
    </w:p>
    <w:p w14:paraId="4EFF5C9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13.7.4</w:t>
      </w:r>
      <w:r>
        <w:rPr>
          <w:rFonts w:hint="eastAsia" w:ascii="宋体" w:hAnsi="宋体" w:eastAsia="宋体" w:cs="宋体"/>
          <w:color w:val="auto"/>
          <w:sz w:val="21"/>
          <w:szCs w:val="21"/>
          <w:highlight w:val="none"/>
        </w:rPr>
        <w:t xml:space="preserve">重要隐蔽单元工程和关键部位单元工程质量评定的约定：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rPr>
        <w:t xml:space="preserve">  。</w:t>
      </w:r>
    </w:p>
    <w:p w14:paraId="06E6752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 xml:space="preserve">13.7.7 </w:t>
      </w:r>
      <w:r>
        <w:rPr>
          <w:rFonts w:hint="eastAsia" w:ascii="宋体" w:hAnsi="宋体" w:eastAsia="宋体" w:cs="宋体"/>
          <w:color w:val="auto"/>
          <w:sz w:val="21"/>
          <w:szCs w:val="21"/>
          <w:highlight w:val="none"/>
        </w:rPr>
        <w:t>工程合格标准为：按《水利水电工程施工质量评定规程》进行质量检验评定，施工质量达到合格等级；优良标准为：按《水利水电工程施工质量评定规程》进行质量检验评定，施工质量达到优良等级。达到优良的奖金为： 无 ；</w:t>
      </w:r>
      <w:r>
        <w:rPr>
          <w:rFonts w:hint="eastAsia" w:ascii="宋体" w:hAnsi="宋体" w:eastAsia="宋体" w:cs="宋体"/>
          <w:color w:val="auto"/>
          <w:sz w:val="21"/>
          <w:szCs w:val="21"/>
          <w:highlight w:val="none"/>
          <w:lang w:val="en-US" w:eastAsia="zh-CN"/>
        </w:rPr>
        <w:t xml:space="preserve">    </w:t>
      </w:r>
    </w:p>
    <w:p w14:paraId="36DC440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79" w:name="bookmark1750"/>
      <w:bookmarkStart w:id="880" w:name="bookmark1749"/>
      <w:bookmarkStart w:id="881" w:name="bookmark1751"/>
      <w:r>
        <w:rPr>
          <w:rFonts w:hint="eastAsia" w:ascii="宋体" w:hAnsi="宋体" w:eastAsia="宋体" w:cs="宋体"/>
          <w:color w:val="auto"/>
          <w:sz w:val="21"/>
          <w:szCs w:val="21"/>
          <w:highlight w:val="none"/>
        </w:rPr>
        <w:t>13.8质量事故处理</w:t>
      </w:r>
      <w:bookmarkEnd w:id="879"/>
      <w:bookmarkEnd w:id="880"/>
      <w:bookmarkEnd w:id="881"/>
    </w:p>
    <w:p w14:paraId="1715659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13.8.4</w:t>
      </w:r>
      <w:r>
        <w:rPr>
          <w:rFonts w:hint="eastAsia" w:ascii="宋体" w:hAnsi="宋体" w:eastAsia="宋体" w:cs="宋体"/>
          <w:color w:val="auto"/>
          <w:sz w:val="21"/>
          <w:szCs w:val="21"/>
          <w:highlight w:val="none"/>
        </w:rPr>
        <w:t>工程竣工验收时，承包人及监理人分别向竣工验收委员会汇报并提交历次质量缺陷处理的备案资料。</w:t>
      </w:r>
    </w:p>
    <w:p w14:paraId="65E8BF8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82" w:name="_Toc20650"/>
      <w:bookmarkStart w:id="883" w:name="_Toc547"/>
      <w:bookmarkStart w:id="884" w:name="bookmark1752"/>
      <w:bookmarkStart w:id="885" w:name="bookmark1754"/>
      <w:bookmarkStart w:id="886" w:name="bookmark1753"/>
      <w:bookmarkStart w:id="887" w:name="_Toc21342523"/>
      <w:bookmarkStart w:id="888" w:name="_Toc6407"/>
      <w:r>
        <w:rPr>
          <w:rFonts w:hint="eastAsia" w:ascii="宋体" w:hAnsi="宋体" w:eastAsia="宋体" w:cs="宋体"/>
          <w:color w:val="auto"/>
          <w:sz w:val="21"/>
          <w:szCs w:val="21"/>
          <w:highlight w:val="none"/>
        </w:rPr>
        <w:t>14 . 试验和检验</w:t>
      </w:r>
      <w:bookmarkEnd w:id="882"/>
      <w:bookmarkEnd w:id="883"/>
      <w:bookmarkEnd w:id="884"/>
      <w:bookmarkEnd w:id="885"/>
      <w:bookmarkEnd w:id="886"/>
      <w:bookmarkEnd w:id="887"/>
      <w:bookmarkEnd w:id="888"/>
    </w:p>
    <w:p w14:paraId="1D4A815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89" w:name="bookmark1755"/>
      <w:bookmarkStart w:id="890" w:name="bookmark1757"/>
      <w:bookmarkStart w:id="891" w:name="bookmark1756"/>
      <w:r>
        <w:rPr>
          <w:rFonts w:hint="eastAsia" w:ascii="宋体" w:hAnsi="宋体" w:eastAsia="宋体" w:cs="宋体"/>
          <w:color w:val="auto"/>
          <w:sz w:val="21"/>
          <w:szCs w:val="21"/>
          <w:highlight w:val="none"/>
        </w:rPr>
        <w:t>14.1材料、工程设备和工程的试验和检验</w:t>
      </w:r>
      <w:bookmarkEnd w:id="889"/>
      <w:bookmarkEnd w:id="890"/>
      <w:bookmarkEnd w:id="891"/>
    </w:p>
    <w:p w14:paraId="72C86F5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14.1.5</w:t>
      </w:r>
      <w:r>
        <w:rPr>
          <w:rFonts w:hint="eastAsia" w:ascii="宋体" w:hAnsi="宋体" w:eastAsia="宋体" w:cs="宋体"/>
          <w:color w:val="auto"/>
          <w:sz w:val="21"/>
          <w:szCs w:val="21"/>
          <w:highlight w:val="none"/>
        </w:rPr>
        <w:t xml:space="preserve">水工金属结构、启闭机及机电产品进场后的交货检查和验收中，承包人负责 全部工作，并保证质量和进度 </w:t>
      </w:r>
      <w:r>
        <w:rPr>
          <w:rFonts w:hint="eastAsia" w:ascii="宋体" w:hAnsi="宋体" w:eastAsia="宋体" w:cs="宋体"/>
          <w:color w:val="auto"/>
          <w:sz w:val="21"/>
          <w:szCs w:val="21"/>
          <w:highlight w:val="none"/>
          <w:lang w:val="en-US"/>
        </w:rPr>
        <w:t>。</w:t>
      </w:r>
    </w:p>
    <w:p w14:paraId="4139E12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rPr>
        <w:t>14.1.6</w:t>
      </w:r>
      <w:r>
        <w:rPr>
          <w:rFonts w:hint="eastAsia" w:ascii="宋体" w:hAnsi="宋体" w:eastAsia="宋体" w:cs="宋体"/>
          <w:color w:val="auto"/>
          <w:sz w:val="21"/>
          <w:szCs w:val="21"/>
          <w:highlight w:val="none"/>
        </w:rPr>
        <w:t>本工程实行见证取样的试块、试件及有关材料：</w:t>
      </w:r>
      <w:r>
        <w:rPr>
          <w:rFonts w:hint="eastAsia" w:ascii="宋体" w:hAnsi="宋体" w:eastAsia="宋体" w:cs="宋体"/>
          <w:color w:val="auto"/>
          <w:sz w:val="21"/>
          <w:szCs w:val="21"/>
          <w:highlight w:val="none"/>
          <w:lang w:eastAsia="zh-CN"/>
        </w:rPr>
        <w:t>砂浆、砼试件、钢筋、水泥、砂、碎石（块石）等 。</w:t>
      </w:r>
    </w:p>
    <w:p w14:paraId="787C82D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892" w:name="_Toc7449"/>
      <w:bookmarkStart w:id="893" w:name="bookmark1758"/>
      <w:bookmarkStart w:id="894" w:name="_Toc10619"/>
      <w:bookmarkStart w:id="895" w:name="bookmark1759"/>
      <w:bookmarkStart w:id="896" w:name="_Toc217"/>
      <w:bookmarkStart w:id="897" w:name="bookmark1760"/>
      <w:bookmarkStart w:id="898" w:name="_Toc2879"/>
      <w:bookmarkStart w:id="899" w:name="_Toc21342524"/>
      <w:r>
        <w:rPr>
          <w:rFonts w:hint="eastAsia" w:ascii="宋体" w:hAnsi="宋体" w:eastAsia="宋体" w:cs="宋体"/>
          <w:color w:val="auto"/>
          <w:sz w:val="21"/>
          <w:szCs w:val="21"/>
          <w:highlight w:val="none"/>
        </w:rPr>
        <w:t>15.变更</w:t>
      </w:r>
      <w:bookmarkEnd w:id="892"/>
    </w:p>
    <w:p w14:paraId="30C4CF1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3FB1C84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zh-CN" w:eastAsia="zh-CN"/>
        </w:rPr>
      </w:pPr>
      <w:bookmarkStart w:id="900" w:name="bookmark1765"/>
      <w:bookmarkStart w:id="901" w:name="bookmark1764"/>
      <w:bookmarkStart w:id="902" w:name="bookmark1763"/>
      <w:r>
        <w:rPr>
          <w:rFonts w:hint="eastAsia" w:ascii="宋体" w:hAnsi="宋体" w:eastAsia="宋体" w:cs="宋体"/>
          <w:color w:val="auto"/>
          <w:sz w:val="21"/>
          <w:szCs w:val="21"/>
          <w:highlight w:val="none"/>
          <w:lang w:val="zh-CN" w:eastAsia="zh-CN"/>
        </w:rPr>
        <w:t>原则上竣工结算总价（含变更增加总价）不得超过中标合同总价，水利行业可增加的除外（增加的部分待上级资金到位后方可进行调整）。</w:t>
      </w:r>
    </w:p>
    <w:p w14:paraId="22247D0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15.4变更的估价原则</w:t>
      </w:r>
      <w:bookmarkEnd w:id="900"/>
      <w:bookmarkEnd w:id="901"/>
      <w:bookmarkEnd w:id="902"/>
    </w:p>
    <w:p w14:paraId="3FD316B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15.4.3</w:t>
      </w:r>
      <w:r>
        <w:rPr>
          <w:rFonts w:hint="eastAsia" w:ascii="宋体" w:hAnsi="宋体" w:eastAsia="宋体" w:cs="宋体"/>
          <w:color w:val="auto"/>
          <w:sz w:val="21"/>
          <w:szCs w:val="21"/>
          <w:highlight w:val="none"/>
        </w:rPr>
        <w:t>已标价工程量清单中无适用或类似子目的单价，按照以下原则确定：</w:t>
      </w:r>
    </w:p>
    <w:p w14:paraId="20EC567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3862286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②无定额可套的，由发包人、承包人、监理人市场询价确定。</w:t>
      </w:r>
    </w:p>
    <w:p w14:paraId="756BF15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28D1157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15.5. </w:t>
      </w:r>
      <w:r>
        <w:rPr>
          <w:rFonts w:hint="eastAsia" w:ascii="宋体" w:hAnsi="宋体" w:eastAsia="宋体" w:cs="宋体"/>
          <w:color w:val="auto"/>
          <w:sz w:val="21"/>
          <w:szCs w:val="21"/>
          <w:highlight w:val="none"/>
        </w:rPr>
        <w:t>2承包人实现合理化建议的奖励金额为：本工程无奖励</w:t>
      </w:r>
      <w:r>
        <w:rPr>
          <w:rFonts w:hint="eastAsia" w:ascii="宋体" w:hAnsi="宋体" w:eastAsia="宋体" w:cs="宋体"/>
          <w:color w:val="auto"/>
          <w:sz w:val="21"/>
          <w:szCs w:val="21"/>
          <w:highlight w:val="none"/>
          <w:lang w:val="en-US"/>
        </w:rPr>
        <w:t>。</w:t>
      </w:r>
    </w:p>
    <w:bookmarkEnd w:id="893"/>
    <w:bookmarkEnd w:id="894"/>
    <w:bookmarkEnd w:id="895"/>
    <w:bookmarkEnd w:id="896"/>
    <w:bookmarkEnd w:id="897"/>
    <w:bookmarkEnd w:id="898"/>
    <w:bookmarkEnd w:id="899"/>
    <w:p w14:paraId="41433B5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03" w:name="_Toc24917"/>
      <w:bookmarkStart w:id="904" w:name="bookmark1772"/>
      <w:bookmarkStart w:id="905" w:name="_Toc21342525"/>
      <w:bookmarkStart w:id="906" w:name="bookmark1770"/>
      <w:bookmarkStart w:id="907" w:name="_Toc13554"/>
      <w:bookmarkStart w:id="908" w:name="bookmark1771"/>
      <w:bookmarkStart w:id="909" w:name="_Toc24486"/>
      <w:r>
        <w:rPr>
          <w:rFonts w:hint="eastAsia" w:ascii="宋体" w:hAnsi="宋体" w:eastAsia="宋体" w:cs="宋体"/>
          <w:color w:val="auto"/>
          <w:sz w:val="21"/>
          <w:szCs w:val="21"/>
          <w:highlight w:val="none"/>
        </w:rPr>
        <w:t>16 .价格调整</w:t>
      </w:r>
      <w:bookmarkEnd w:id="903"/>
      <w:bookmarkEnd w:id="904"/>
      <w:bookmarkEnd w:id="905"/>
      <w:bookmarkEnd w:id="906"/>
      <w:bookmarkEnd w:id="907"/>
      <w:bookmarkEnd w:id="908"/>
      <w:bookmarkEnd w:id="909"/>
    </w:p>
    <w:p w14:paraId="3739D1B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10" w:name="bookmark1773"/>
      <w:bookmarkStart w:id="911" w:name="bookmark1774"/>
      <w:bookmarkStart w:id="912" w:name="bookmark1775"/>
      <w:r>
        <w:rPr>
          <w:rFonts w:hint="eastAsia" w:ascii="宋体" w:hAnsi="宋体" w:eastAsia="宋体" w:cs="宋体"/>
          <w:color w:val="auto"/>
          <w:sz w:val="21"/>
          <w:szCs w:val="21"/>
          <w:highlight w:val="none"/>
        </w:rPr>
        <w:t>16.1物价波动引起的价格调整</w:t>
      </w:r>
      <w:bookmarkEnd w:id="910"/>
      <w:bookmarkEnd w:id="911"/>
      <w:bookmarkEnd w:id="912"/>
    </w:p>
    <w:p w14:paraId="024BADC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13" w:name="bookmark1779"/>
      <w:bookmarkEnd w:id="913"/>
      <w:bookmarkStart w:id="914" w:name="bookmark1778"/>
      <w:bookmarkStart w:id="915" w:name="bookmark1777"/>
      <w:bookmarkStart w:id="916" w:name="_Toc8340"/>
      <w:bookmarkStart w:id="917" w:name="bookmark1780"/>
      <w:bookmarkStart w:id="918" w:name="_Toc12454"/>
      <w:bookmarkStart w:id="919" w:name="_Toc13939"/>
      <w:bookmarkStart w:id="920" w:name="_Toc21342526"/>
      <w:r>
        <w:rPr>
          <w:rFonts w:hint="eastAsia" w:ascii="宋体" w:hAnsi="宋体" w:eastAsia="宋体" w:cs="宋体"/>
          <w:color w:val="auto"/>
          <w:sz w:val="21"/>
          <w:szCs w:val="21"/>
          <w:highlight w:val="none"/>
        </w:rPr>
        <w:t>口本项目不因为物价波动原因引起合同价格变动而调整。</w:t>
      </w:r>
    </w:p>
    <w:p w14:paraId="1B18735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本项目由于物价波动原因引起合同价格变动时，对其价格按下列方式进行调整。</w:t>
      </w:r>
    </w:p>
    <w:p w14:paraId="6774EAA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21" w:name="bookmark1776"/>
      <w:bookmarkEnd w:id="921"/>
      <w:r>
        <w:rPr>
          <w:rFonts w:hint="eastAsia" w:ascii="宋体" w:hAnsi="宋体" w:eastAsia="宋体" w:cs="宋体"/>
          <w:color w:val="auto"/>
          <w:sz w:val="21"/>
          <w:szCs w:val="21"/>
          <w:highlight w:val="none"/>
          <w:lang w:val="en-US"/>
        </w:rPr>
        <w:t xml:space="preserve">16.1. </w:t>
      </w:r>
      <w:r>
        <w:rPr>
          <w:rFonts w:hint="eastAsia" w:ascii="宋体" w:hAnsi="宋体" w:eastAsia="宋体" w:cs="宋体"/>
          <w:color w:val="auto"/>
          <w:sz w:val="21"/>
          <w:szCs w:val="21"/>
          <w:highlight w:val="none"/>
        </w:rPr>
        <w:t>1物价波动引起的价格调整方式：主要材料价格变化幅度超过±</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%时，超过±</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%的部分调整材料价差</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计列相应的税金</w:t>
      </w:r>
      <w:r>
        <w:rPr>
          <w:rFonts w:hint="eastAsia" w:ascii="宋体" w:hAnsi="宋体" w:eastAsia="宋体" w:cs="宋体"/>
          <w:color w:val="auto"/>
          <w:sz w:val="21"/>
          <w:szCs w:val="21"/>
          <w:highlight w:val="none"/>
          <w:lang w:eastAsia="zh-CN"/>
        </w:rPr>
        <w:t>等费用</w:t>
      </w:r>
      <w:r>
        <w:rPr>
          <w:rFonts w:hint="eastAsia" w:ascii="宋体" w:hAnsi="宋体" w:eastAsia="宋体" w:cs="宋体"/>
          <w:color w:val="auto"/>
          <w:sz w:val="21"/>
          <w:szCs w:val="21"/>
          <w:highlight w:val="none"/>
          <w:lang w:val="en-US"/>
        </w:rPr>
        <w:t>。</w:t>
      </w:r>
    </w:p>
    <w:p w14:paraId="60B3A29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16. 1.2</w:t>
      </w:r>
      <w:r>
        <w:rPr>
          <w:rFonts w:hint="eastAsia" w:ascii="宋体" w:hAnsi="宋体" w:eastAsia="宋体" w:cs="宋体"/>
          <w:color w:val="auto"/>
          <w:sz w:val="21"/>
          <w:szCs w:val="21"/>
          <w:highlight w:val="none"/>
        </w:rPr>
        <w:t>调整价格的主要材料：仅对在市场上购买的水泥、钢材、砂、碎石、块石进行补差，其他材料价格一律不予调整</w:t>
      </w:r>
      <w:r>
        <w:rPr>
          <w:rFonts w:hint="eastAsia" w:ascii="宋体" w:hAnsi="宋体" w:eastAsia="宋体" w:cs="宋体"/>
          <w:color w:val="auto"/>
          <w:sz w:val="21"/>
          <w:szCs w:val="21"/>
          <w:highlight w:val="none"/>
          <w:lang w:val="en-US"/>
        </w:rPr>
        <w:t>。</w:t>
      </w:r>
    </w:p>
    <w:p w14:paraId="28F2523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16.1.3</w:t>
      </w:r>
      <w:r>
        <w:rPr>
          <w:rFonts w:hint="eastAsia" w:ascii="宋体" w:hAnsi="宋体" w:eastAsia="宋体" w:cs="宋体"/>
          <w:color w:val="auto"/>
          <w:sz w:val="21"/>
          <w:szCs w:val="21"/>
          <w:highlight w:val="none"/>
        </w:rPr>
        <w:t>主要材料补差的计算方法：按公式“△A=Q*【A-A0*（1±</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%））】”进行计算补差</w:t>
      </w:r>
      <w:r>
        <w:rPr>
          <w:rFonts w:hint="eastAsia" w:ascii="宋体" w:hAnsi="宋体" w:eastAsia="宋体" w:cs="宋体"/>
          <w:color w:val="auto"/>
          <w:sz w:val="21"/>
          <w:szCs w:val="21"/>
          <w:highlight w:val="none"/>
          <w:lang w:val="en-US"/>
        </w:rPr>
        <w:t>。</w:t>
      </w:r>
    </w:p>
    <w:p w14:paraId="1D65325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其中：△A---主要材料补差款； </w:t>
      </w:r>
    </w:p>
    <w:p w14:paraId="5D7434C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Q---施工期完成工程量统计的主要材料用量；</w:t>
      </w:r>
    </w:p>
    <w:p w14:paraId="5BDC789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A---施工期主要材料价格；</w:t>
      </w:r>
    </w:p>
    <w:p w14:paraId="7675DEB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A0---基准期主要补差材料价格</w:t>
      </w:r>
    </w:p>
    <w:p w14:paraId="7BD8842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16.1.4</w:t>
      </w:r>
      <w:r>
        <w:rPr>
          <w:rFonts w:hint="eastAsia" w:ascii="宋体" w:hAnsi="宋体" w:eastAsia="宋体" w:cs="宋体"/>
          <w:color w:val="auto"/>
          <w:sz w:val="21"/>
          <w:szCs w:val="21"/>
          <w:highlight w:val="none"/>
        </w:rPr>
        <w:t>采用造价信息调整价格差额：</w:t>
      </w:r>
    </w:p>
    <w:p w14:paraId="14D34D0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工程造价信息的来源：《桂林市建设工程造价信息》</w:t>
      </w:r>
      <w:r>
        <w:rPr>
          <w:rFonts w:hint="eastAsia" w:ascii="宋体" w:hAnsi="宋体" w:eastAsia="宋体" w:cs="宋体"/>
          <w:color w:val="auto"/>
          <w:sz w:val="21"/>
          <w:szCs w:val="21"/>
          <w:highlight w:val="none"/>
          <w:lang w:eastAsia="zh-CN"/>
        </w:rPr>
        <w:t>（工程所在地）</w:t>
      </w:r>
      <w:r>
        <w:rPr>
          <w:rFonts w:hint="eastAsia" w:ascii="宋体" w:hAnsi="宋体" w:eastAsia="宋体" w:cs="宋体"/>
          <w:color w:val="auto"/>
          <w:sz w:val="21"/>
          <w:szCs w:val="21"/>
          <w:highlight w:val="none"/>
          <w:lang w:val="en-US"/>
        </w:rPr>
        <w:t>。</w:t>
      </w:r>
    </w:p>
    <w:p w14:paraId="26B76D6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价格调整的项目和系数：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调整价格的主要材料：钢筋、水泥、砂、碎石、</w:t>
      </w:r>
      <w:r>
        <w:rPr>
          <w:rFonts w:hint="eastAsia" w:ascii="宋体" w:hAnsi="宋体" w:eastAsia="宋体" w:cs="宋体"/>
          <w:color w:val="auto"/>
          <w:sz w:val="21"/>
          <w:szCs w:val="21"/>
          <w:highlight w:val="none"/>
          <w:lang w:eastAsia="zh-CN"/>
        </w:rPr>
        <w:t>块</w:t>
      </w:r>
      <w:r>
        <w:rPr>
          <w:rFonts w:hint="eastAsia" w:ascii="宋体" w:hAnsi="宋体" w:eastAsia="宋体" w:cs="宋体"/>
          <w:color w:val="auto"/>
          <w:sz w:val="21"/>
          <w:szCs w:val="21"/>
          <w:highlight w:val="none"/>
        </w:rPr>
        <w:t>石。</w:t>
      </w:r>
    </w:p>
    <w:p w14:paraId="42C6B07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）基准期主要补差材料价格：以预算审核时采用的《桂林市建设工程造价信息》（工程所在地）中发布的主要材料市场价为基准；</w:t>
      </w:r>
    </w:p>
    <w:p w14:paraId="1584CE9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施工期主要材料价格：施工期月度出版的《桂林市建设工程造价信息》（工程所在地）中发布的主要补差材料信息价格；</w:t>
      </w:r>
    </w:p>
    <w:p w14:paraId="0C64232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主要材料补差款按季度结算，在下一季度的第一个月结算上一季度的主要材料补差款。</w:t>
      </w:r>
    </w:p>
    <w:p w14:paraId="52E55E4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施工期间甲、乙双方约定合同价款的调整因素：①甲方确认的设计变更；②甲方确认的现场签证；③因市场价格波动，价格调整方式：若本工程钢材、水泥、砂、碎石、块石材料由于市场价格上涨（或下跌）比合同施工期内《桂林市建设工程造价信息》</w:t>
      </w:r>
      <w:r>
        <w:rPr>
          <w:rFonts w:hint="eastAsia" w:ascii="宋体" w:hAnsi="宋体" w:eastAsia="宋体" w:cs="宋体"/>
          <w:color w:val="auto"/>
          <w:sz w:val="21"/>
          <w:szCs w:val="21"/>
          <w:highlight w:val="none"/>
          <w:lang w:eastAsia="zh-CN"/>
        </w:rPr>
        <w:t>（工程所在地）</w:t>
      </w:r>
      <w:r>
        <w:rPr>
          <w:rFonts w:hint="eastAsia" w:ascii="宋体" w:hAnsi="宋体" w:eastAsia="宋体" w:cs="宋体"/>
          <w:color w:val="auto"/>
          <w:sz w:val="21"/>
          <w:szCs w:val="21"/>
          <w:highlight w:val="none"/>
        </w:rPr>
        <w:t>公布价格涨幅超过±</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%以上（不含</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%），可对超过部分进行材料价差调整（材料价格以合同施工期间内《桂林市建设工程造价信息》内的</w:t>
      </w:r>
      <w:r>
        <w:rPr>
          <w:rFonts w:hint="eastAsia" w:ascii="宋体" w:hAnsi="宋体" w:eastAsia="宋体" w:cs="宋体"/>
          <w:color w:val="auto"/>
          <w:sz w:val="21"/>
          <w:szCs w:val="21"/>
          <w:highlight w:val="none"/>
          <w:lang w:val="en-US" w:eastAsia="zh-CN"/>
        </w:rPr>
        <w:t>灌阳县</w:t>
      </w:r>
      <w:r>
        <w:rPr>
          <w:rFonts w:hint="eastAsia" w:ascii="宋体" w:hAnsi="宋体" w:eastAsia="宋体" w:cs="宋体"/>
          <w:color w:val="auto"/>
          <w:sz w:val="21"/>
          <w:szCs w:val="21"/>
          <w:highlight w:val="none"/>
        </w:rPr>
        <w:t>信息价格为准，如果</w:t>
      </w:r>
      <w:r>
        <w:rPr>
          <w:rFonts w:hint="eastAsia" w:ascii="宋体" w:hAnsi="宋体" w:eastAsia="宋体" w:cs="宋体"/>
          <w:color w:val="auto"/>
          <w:sz w:val="21"/>
          <w:szCs w:val="21"/>
          <w:highlight w:val="none"/>
          <w:lang w:val="en-US" w:eastAsia="zh-CN"/>
        </w:rPr>
        <w:t>龙胜各族自治县</w:t>
      </w:r>
      <w:r>
        <w:rPr>
          <w:rFonts w:hint="eastAsia" w:ascii="宋体" w:hAnsi="宋体" w:eastAsia="宋体" w:cs="宋体"/>
          <w:color w:val="auto"/>
          <w:sz w:val="21"/>
          <w:szCs w:val="21"/>
          <w:highlight w:val="none"/>
        </w:rPr>
        <w:t>信息价缺少的可参照桂林市的信息价），其余材料不做调整。调整方法： 据实调整；本工程主材价格涨跌调整幅度根据县政府文件规定制定，</w:t>
      </w:r>
      <w:r>
        <w:rPr>
          <w:rFonts w:hint="eastAsia" w:ascii="宋体" w:hAnsi="宋体" w:eastAsia="宋体" w:cs="宋体"/>
          <w:color w:val="auto"/>
          <w:sz w:val="21"/>
          <w:szCs w:val="21"/>
          <w:highlight w:val="none"/>
          <w:lang w:val="en-US" w:eastAsia="zh-CN"/>
        </w:rPr>
        <w:t>龙胜各族自治县</w:t>
      </w:r>
      <w:r>
        <w:rPr>
          <w:rFonts w:hint="eastAsia" w:ascii="宋体" w:hAnsi="宋体" w:eastAsia="宋体" w:cs="宋体"/>
          <w:color w:val="auto"/>
          <w:sz w:val="21"/>
          <w:szCs w:val="21"/>
          <w:highlight w:val="none"/>
        </w:rPr>
        <w:t>政府如有新的幅度调整政策文件出台，可按相关文件进行调整；④在工程施工期间，国家如有新的人工费调整政策文件出台，可按国家相关文件进行人工费调整。</w:t>
      </w:r>
    </w:p>
    <w:p w14:paraId="622681D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《桂林市建设工程造价信息》上发布的信息价的加权平均值上涨（或下跌）幅度超过材料基准价格的</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％时，上述材料可以调整价格，超过</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％以上部分按实调整，调整部分仅计差额及相应的税金。</w:t>
      </w:r>
    </w:p>
    <w:p w14:paraId="5DB205C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计量与支付</w:t>
      </w:r>
      <w:bookmarkEnd w:id="914"/>
      <w:bookmarkEnd w:id="915"/>
      <w:bookmarkEnd w:id="916"/>
      <w:bookmarkEnd w:id="917"/>
      <w:bookmarkEnd w:id="918"/>
      <w:bookmarkEnd w:id="919"/>
      <w:bookmarkEnd w:id="920"/>
    </w:p>
    <w:p w14:paraId="3028CCC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922" w:name="bookmark1782"/>
      <w:bookmarkStart w:id="923" w:name="bookmark1781"/>
      <w:bookmarkStart w:id="924" w:name="bookmark1783"/>
      <w:r>
        <w:rPr>
          <w:rFonts w:hint="eastAsia" w:ascii="宋体" w:hAnsi="宋体" w:eastAsia="宋体" w:cs="宋体"/>
          <w:color w:val="auto"/>
          <w:sz w:val="21"/>
          <w:szCs w:val="21"/>
          <w:highlight w:val="none"/>
        </w:rPr>
        <w:t>17.2预付款</w:t>
      </w:r>
      <w:bookmarkEnd w:id="922"/>
      <w:bookmarkEnd w:id="923"/>
      <w:bookmarkEnd w:id="924"/>
    </w:p>
    <w:p w14:paraId="7292EAF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17.2.1</w:t>
      </w:r>
      <w:r>
        <w:rPr>
          <w:rFonts w:hint="eastAsia" w:ascii="宋体" w:hAnsi="宋体" w:eastAsia="宋体" w:cs="宋体"/>
          <w:color w:val="auto"/>
          <w:sz w:val="21"/>
          <w:szCs w:val="21"/>
          <w:highlight w:val="none"/>
          <w:lang w:val="zh-CN" w:eastAsia="zh-CN"/>
        </w:rPr>
        <w:t>预付款</w:t>
      </w:r>
    </w:p>
    <w:p w14:paraId="380C7FC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25" w:name="bookmark1788"/>
      <w:bookmarkEnd w:id="925"/>
      <w:bookmarkStart w:id="926" w:name="bookmark1784"/>
      <w:bookmarkEnd w:id="926"/>
      <w:bookmarkStart w:id="927" w:name="bookmark1787"/>
      <w:bookmarkEnd w:id="927"/>
      <w:r>
        <w:rPr>
          <w:rFonts w:hint="eastAsia" w:ascii="宋体" w:hAnsi="宋体" w:eastAsia="宋体" w:cs="宋体"/>
          <w:color w:val="auto"/>
          <w:sz w:val="21"/>
          <w:szCs w:val="21"/>
          <w:highlight w:val="none"/>
        </w:rPr>
        <w:t>（1）工程预付款的总金额为签约合同价的</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一   </w:t>
      </w:r>
      <w:r>
        <w:rPr>
          <w:rFonts w:hint="eastAsia" w:ascii="宋体" w:hAnsi="宋体" w:eastAsia="宋体" w:cs="宋体"/>
          <w:color w:val="auto"/>
          <w:sz w:val="21"/>
          <w:szCs w:val="21"/>
          <w:highlight w:val="none"/>
        </w:rPr>
        <w:t>次支付给承包人。 预付款的支付额度和付款时间为：</w:t>
      </w:r>
    </w:p>
    <w:p w14:paraId="3E5A877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28" w:name="bookmark1785"/>
      <w:bookmarkEnd w:id="928"/>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工程预付款付款时间应在合同协议书签订后，由承包人向发包人提交了发包人认可的工程预付款担保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可以采用现金、银行保函、工程担保或保证保险等形式</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zh-CN" w:eastAsia="zh-CN"/>
        </w:rPr>
        <w:t>由</w:t>
      </w:r>
      <w:r>
        <w:rPr>
          <w:rFonts w:hint="eastAsia" w:ascii="宋体" w:hAnsi="宋体" w:eastAsia="宋体" w:cs="宋体"/>
          <w:color w:val="auto"/>
          <w:sz w:val="21"/>
          <w:szCs w:val="21"/>
          <w:highlight w:val="none"/>
          <w:lang w:val="en-US" w:eastAsia="zh-CN"/>
        </w:rPr>
        <w:t>在中华人民共和国境内注册且有资格的专业担保公司</w:t>
      </w:r>
      <w:r>
        <w:rPr>
          <w:rFonts w:hint="eastAsia" w:ascii="宋体" w:hAnsi="宋体" w:eastAsia="宋体" w:cs="宋体"/>
          <w:color w:val="auto"/>
          <w:sz w:val="21"/>
          <w:szCs w:val="21"/>
          <w:highlight w:val="none"/>
          <w:lang w:val="zh-CN" w:eastAsia="zh-CN"/>
        </w:rPr>
        <w:t>出具的等额预付款保函</w:t>
      </w:r>
      <w:r>
        <w:rPr>
          <w:rFonts w:hint="eastAsia" w:ascii="宋体" w:hAnsi="宋体" w:eastAsia="宋体" w:cs="宋体"/>
          <w:color w:val="auto"/>
          <w:sz w:val="21"/>
          <w:szCs w:val="21"/>
          <w:highlight w:val="none"/>
        </w:rPr>
        <w:t>，并经监理人出具付款证书 报送发包人批准后14天内予以支付。</w:t>
      </w:r>
    </w:p>
    <w:p w14:paraId="249DEB1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29" w:name="bookmark1786"/>
      <w:bookmarkEnd w:id="929"/>
      <w:r>
        <w:rPr>
          <w:rFonts w:hint="eastAsia" w:ascii="宋体" w:hAnsi="宋体" w:eastAsia="宋体" w:cs="宋体"/>
          <w:color w:val="auto"/>
          <w:sz w:val="21"/>
          <w:szCs w:val="21"/>
          <w:highlight w:val="none"/>
        </w:rPr>
        <w:t>（1）工程材料预付款的额度和预付办法约定为：本工程无材料预付款</w:t>
      </w:r>
      <w:r>
        <w:rPr>
          <w:rFonts w:hint="eastAsia" w:ascii="宋体" w:hAnsi="宋体" w:eastAsia="宋体" w:cs="宋体"/>
          <w:color w:val="auto"/>
          <w:sz w:val="21"/>
          <w:szCs w:val="21"/>
          <w:highlight w:val="none"/>
          <w:lang w:val="en-US"/>
        </w:rPr>
        <w:t>。</w:t>
      </w:r>
    </w:p>
    <w:p w14:paraId="0C07AD8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17.2.2</w:t>
      </w:r>
      <w:r>
        <w:rPr>
          <w:rFonts w:hint="eastAsia" w:ascii="宋体" w:hAnsi="宋体" w:eastAsia="宋体" w:cs="宋体"/>
          <w:color w:val="auto"/>
          <w:sz w:val="21"/>
          <w:szCs w:val="21"/>
          <w:highlight w:val="none"/>
        </w:rPr>
        <w:t>预付款保函(担保)</w:t>
      </w:r>
    </w:p>
    <w:p w14:paraId="0041661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承包人提供的预付款担保必须是基本户银行出具的合同价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0%工程预付款银行保函或由</w:t>
      </w:r>
      <w:r>
        <w:rPr>
          <w:rFonts w:hint="eastAsia" w:ascii="宋体" w:hAnsi="宋体" w:eastAsia="宋体" w:cs="宋体"/>
          <w:color w:val="auto"/>
          <w:sz w:val="21"/>
          <w:szCs w:val="21"/>
          <w:highlight w:val="none"/>
          <w:lang w:val="en-US" w:eastAsia="zh-CN"/>
        </w:rPr>
        <w:t>在中华人民共和国境内注册且有资格的专业担保公司</w:t>
      </w:r>
      <w:r>
        <w:rPr>
          <w:rFonts w:hint="eastAsia" w:ascii="宋体" w:hAnsi="宋体" w:eastAsia="宋体" w:cs="宋体"/>
          <w:color w:val="auto"/>
          <w:sz w:val="21"/>
          <w:szCs w:val="21"/>
          <w:highlight w:val="none"/>
          <w:lang w:val="zh-CN" w:eastAsia="zh-CN"/>
        </w:rPr>
        <w:t xml:space="preserve">出具的合同价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0 %工程预付款保函，工程预付款担保在工程预付款被发包人扣回前一直有效。</w:t>
      </w:r>
    </w:p>
    <w:p w14:paraId="067E708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(2)工程材料预付款的担保约定为：无</w:t>
      </w:r>
      <w:r>
        <w:rPr>
          <w:rFonts w:hint="eastAsia" w:ascii="宋体" w:hAnsi="宋体" w:eastAsia="宋体" w:cs="宋体"/>
          <w:color w:val="auto"/>
          <w:sz w:val="21"/>
          <w:szCs w:val="21"/>
          <w:highlight w:val="none"/>
          <w:lang w:val="en-US"/>
        </w:rPr>
        <w:t>。</w:t>
      </w:r>
    </w:p>
    <w:p w14:paraId="410439D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17.2.3</w:t>
      </w:r>
      <w:r>
        <w:rPr>
          <w:rFonts w:hint="eastAsia" w:ascii="宋体" w:hAnsi="宋体" w:eastAsia="宋体" w:cs="宋体"/>
          <w:color w:val="auto"/>
          <w:sz w:val="21"/>
          <w:szCs w:val="21"/>
          <w:highlight w:val="none"/>
        </w:rPr>
        <w:t>预付款的扣回与还清</w:t>
      </w:r>
    </w:p>
    <w:p w14:paraId="1E491D4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工程预付款在合同累计完成金额达到签约合同价格的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%时开始扣款，直至合同累计完成金额达到签约合同价的</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%时全部扣清。</w:t>
      </w:r>
    </w:p>
    <w:p w14:paraId="355087F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pict>
          <v:shape id="对象 5" o:spid="_x0000_s1027" o:spt="75" type="#_x0000_t75" style="position:absolute;left:0pt;margin-left:63pt;margin-top:7.95pt;height:31.5pt;width:126.4pt;mso-wrap-distance-bottom:0pt;mso-wrap-distance-left:9pt;mso-wrap-distance-right:9pt;mso-wrap-distance-top:0pt;z-index:251665408;mso-width-relative:page;mso-height-relative:page;" o:ole="t" fillcolor="#ACA899" filled="f" o:preferrelative="t" stroked="f" coordsize="21600,21600">
            <v:path/>
            <v:fill on="f" focussize="0,0"/>
            <v:stroke on="f" joinstyle="miter"/>
            <v:imagedata r:id="rId17" o:title=""/>
            <o:lock v:ext="edit" aspectratio="f"/>
            <w10:wrap type="square"/>
          </v:shape>
          <o:OLEObject Type="Embed" ProgID="" ShapeID="对象 5" DrawAspect="Content" ObjectID="_1468075726" r:id="rId16">
            <o:LockedField>false</o:LockedField>
          </o:OLEObject>
        </w:pict>
      </w:r>
    </w:p>
    <w:p w14:paraId="1738922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2704FD9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式中：R——每次进度付款中累计扣回的金额；</w:t>
      </w:r>
    </w:p>
    <w:p w14:paraId="1FFE3E4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930" w:name="_Toc221951241"/>
      <w:r>
        <w:rPr>
          <w:rFonts w:hint="eastAsia" w:ascii="宋体" w:hAnsi="宋体" w:eastAsia="宋体" w:cs="宋体"/>
          <w:color w:val="auto"/>
          <w:sz w:val="21"/>
          <w:szCs w:val="21"/>
          <w:highlight w:val="none"/>
        </w:rPr>
        <w:t>A——工程预付款总金额；</w:t>
      </w:r>
      <w:bookmarkEnd w:id="930"/>
    </w:p>
    <w:p w14:paraId="1750E27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931" w:name="_Toc221951242"/>
      <w:r>
        <w:rPr>
          <w:rFonts w:hint="eastAsia" w:ascii="宋体" w:hAnsi="宋体" w:eastAsia="宋体" w:cs="宋体"/>
          <w:color w:val="auto"/>
          <w:sz w:val="21"/>
          <w:szCs w:val="21"/>
          <w:highlight w:val="none"/>
        </w:rPr>
        <w:t>S——签约合同价格；</w:t>
      </w:r>
      <w:bookmarkEnd w:id="931"/>
    </w:p>
    <w:p w14:paraId="4BCD8D3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932" w:name="_Toc221951243"/>
      <w:r>
        <w:rPr>
          <w:rFonts w:hint="eastAsia" w:ascii="宋体" w:hAnsi="宋体" w:eastAsia="宋体" w:cs="宋体"/>
          <w:color w:val="auto"/>
          <w:sz w:val="21"/>
          <w:szCs w:val="21"/>
          <w:highlight w:val="none"/>
        </w:rPr>
        <w:t>C——合同累计完成金额；</w:t>
      </w:r>
      <w:bookmarkEnd w:id="932"/>
    </w:p>
    <w:p w14:paraId="43D4EC2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933" w:name="_Toc221951244"/>
      <w:r>
        <w:rPr>
          <w:rFonts w:hint="eastAsia" w:ascii="宋体" w:hAnsi="宋体" w:eastAsia="宋体" w:cs="宋体"/>
          <w:color w:val="auto"/>
          <w:sz w:val="21"/>
          <w:szCs w:val="21"/>
          <w:highlight w:val="none"/>
        </w:rPr>
        <w:t>F1——开始扣款时合同累计完成金额达到签约合同价格的比例；</w:t>
      </w:r>
      <w:bookmarkEnd w:id="933"/>
    </w:p>
    <w:p w14:paraId="40A0CE7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bookmarkStart w:id="934" w:name="_Toc221951245"/>
      <w:r>
        <w:rPr>
          <w:rFonts w:hint="eastAsia" w:ascii="宋体" w:hAnsi="宋体" w:eastAsia="宋体" w:cs="宋体"/>
          <w:color w:val="auto"/>
          <w:sz w:val="21"/>
          <w:szCs w:val="21"/>
          <w:highlight w:val="none"/>
          <w:lang w:val="en-US"/>
        </w:rPr>
        <w:t>F2——全部扣清时合同累计完成金额达到签约合同价格的比例。</w:t>
      </w:r>
      <w:bookmarkEnd w:id="934"/>
    </w:p>
    <w:p w14:paraId="55BE57F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上述合同累计完成金额均指价格调整前未扣质量保证金的金额。</w:t>
      </w:r>
    </w:p>
    <w:p w14:paraId="59068DC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(2)工程材料预付款的扣回与还清约定为：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w:t>
      </w:r>
    </w:p>
    <w:p w14:paraId="1FA8B9F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35" w:name="bookmark1789"/>
      <w:bookmarkStart w:id="936" w:name="bookmark1790"/>
      <w:bookmarkStart w:id="937" w:name="bookmark1791"/>
      <w:r>
        <w:rPr>
          <w:rFonts w:hint="eastAsia" w:ascii="宋体" w:hAnsi="宋体" w:eastAsia="宋体" w:cs="宋体"/>
          <w:color w:val="auto"/>
          <w:sz w:val="21"/>
          <w:szCs w:val="21"/>
          <w:highlight w:val="none"/>
        </w:rPr>
        <w:t>17.3工程进度付款</w:t>
      </w:r>
      <w:bookmarkEnd w:id="935"/>
      <w:bookmarkEnd w:id="936"/>
      <w:bookmarkEnd w:id="937"/>
    </w:p>
    <w:p w14:paraId="0C20F6A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17.3.2</w:t>
      </w:r>
      <w:r>
        <w:rPr>
          <w:rFonts w:hint="eastAsia" w:ascii="宋体" w:hAnsi="宋体" w:eastAsia="宋体" w:cs="宋体"/>
          <w:color w:val="auto"/>
          <w:sz w:val="21"/>
          <w:szCs w:val="21"/>
          <w:highlight w:val="none"/>
        </w:rPr>
        <w:t>进度付款申请单</w:t>
      </w:r>
    </w:p>
    <w:p w14:paraId="5E3E8CD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承包人提交进度付款申请单的份数：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伍份</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w:t>
      </w:r>
    </w:p>
    <w:p w14:paraId="55472FF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17.3.3</w:t>
      </w:r>
      <w:r>
        <w:rPr>
          <w:rFonts w:hint="eastAsia" w:ascii="宋体" w:hAnsi="宋体" w:eastAsia="宋体" w:cs="宋体"/>
          <w:color w:val="auto"/>
          <w:sz w:val="21"/>
          <w:szCs w:val="21"/>
          <w:highlight w:val="none"/>
        </w:rPr>
        <w:t>进度付款证书和支付时间</w:t>
      </w:r>
    </w:p>
    <w:p w14:paraId="5FD3044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(2)本款“专用合同条款的约定支付逾期付款违约金”为按中国人民银行规定的同期贷款利率计算的逾期付款金额的利息。</w:t>
      </w:r>
    </w:p>
    <w:p w14:paraId="63D73C9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17.3.5</w:t>
      </w:r>
      <w:r>
        <w:rPr>
          <w:rFonts w:hint="eastAsia" w:ascii="宋体" w:hAnsi="宋体" w:eastAsia="宋体" w:cs="宋体"/>
          <w:color w:val="auto"/>
          <w:sz w:val="21"/>
          <w:szCs w:val="21"/>
          <w:highlight w:val="none"/>
        </w:rPr>
        <w:t>工程进度付款的支付比例</w:t>
      </w:r>
    </w:p>
    <w:p w14:paraId="0A7A60D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38" w:name="bookmark1793"/>
      <w:bookmarkStart w:id="939" w:name="bookmark1794"/>
      <w:bookmarkStart w:id="940" w:name="bookmark1792"/>
      <w:r>
        <w:rPr>
          <w:rFonts w:hint="eastAsia" w:ascii="宋体" w:hAnsi="宋体" w:eastAsia="宋体" w:cs="宋体"/>
          <w:color w:val="auto"/>
          <w:sz w:val="21"/>
          <w:szCs w:val="21"/>
          <w:highlight w:val="none"/>
        </w:rPr>
        <w:t>每个付款周期按实际完成工程量的</w:t>
      </w:r>
      <w:r>
        <w:rPr>
          <w:rFonts w:hint="eastAsia" w:ascii="宋体" w:hAnsi="宋体" w:eastAsia="宋体" w:cs="宋体"/>
          <w:color w:val="auto"/>
          <w:sz w:val="21"/>
          <w:szCs w:val="21"/>
          <w:highlight w:val="none"/>
          <w:lang w:val="en-US" w:eastAsia="zh-CN"/>
        </w:rPr>
        <w:t xml:space="preserve"> 80  </w:t>
      </w:r>
      <w:r>
        <w:rPr>
          <w:rFonts w:hint="eastAsia" w:ascii="宋体" w:hAnsi="宋体" w:eastAsia="宋体" w:cs="宋体"/>
          <w:color w:val="auto"/>
          <w:sz w:val="21"/>
          <w:szCs w:val="21"/>
          <w:highlight w:val="none"/>
        </w:rPr>
        <w:t>%支付工程进度款（含因设计变更引起增加工程量造价同期支付）</w:t>
      </w:r>
      <w:r>
        <w:rPr>
          <w:rFonts w:hint="eastAsia" w:ascii="宋体" w:hAnsi="宋体" w:eastAsia="宋体" w:cs="宋体"/>
          <w:color w:val="auto"/>
          <w:sz w:val="21"/>
          <w:szCs w:val="21"/>
          <w:highlight w:val="none"/>
          <w:lang w:val="en-US" w:eastAsia="zh-CN"/>
        </w:rPr>
        <w:t xml:space="preserve">，余款在工程完工结算经财政评审确认，且财政资金到位后一个月内付至 97%。 </w:t>
      </w:r>
    </w:p>
    <w:p w14:paraId="2011A9F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bookmarkEnd w:id="938"/>
      <w:bookmarkEnd w:id="939"/>
      <w:bookmarkEnd w:id="940"/>
    </w:p>
    <w:p w14:paraId="7371CCD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17.4.1.1</w:t>
      </w:r>
      <w:r>
        <w:rPr>
          <w:rFonts w:hint="eastAsia" w:ascii="宋体" w:hAnsi="宋体" w:eastAsia="宋体" w:cs="宋体"/>
          <w:color w:val="auto"/>
          <w:sz w:val="21"/>
          <w:szCs w:val="21"/>
          <w:highlight w:val="none"/>
        </w:rPr>
        <w:t xml:space="preserve">每个付款周期扣留的质量保证金为工程进度付款的3%，扣留的质量保证金总额为工程价款结算总额的3% </w:t>
      </w:r>
      <w:r>
        <w:rPr>
          <w:rFonts w:hint="eastAsia" w:ascii="宋体" w:hAnsi="宋体" w:eastAsia="宋体" w:cs="宋体"/>
          <w:color w:val="auto"/>
          <w:sz w:val="21"/>
          <w:szCs w:val="21"/>
          <w:highlight w:val="none"/>
          <w:lang w:val="en-US"/>
        </w:rPr>
        <w:t>。</w:t>
      </w:r>
    </w:p>
    <w:p w14:paraId="7D4BB8B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val="en-US"/>
        </w:rPr>
        <w:t>17.4.1.2</w:t>
      </w:r>
      <w:r>
        <w:rPr>
          <w:rFonts w:hint="eastAsia" w:ascii="宋体" w:hAnsi="宋体" w:eastAsia="宋体" w:cs="宋体"/>
          <w:color w:val="auto"/>
          <w:sz w:val="21"/>
          <w:szCs w:val="21"/>
          <w:highlight w:val="none"/>
        </w:rPr>
        <w:t>工程完工验收后，一次性扣留的质量保证金总额为工程价款结算总额的3%。</w:t>
      </w:r>
    </w:p>
    <w:p w14:paraId="568D496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在工程项目完工前，已经缴纳履约保证金的，发包人不得同时扣留工程质量保证金。</w:t>
      </w:r>
    </w:p>
    <w:p w14:paraId="1C77134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17.4.1.4缺陷责任期内，承包人认真履行合同约定的责任，到期后，承包人向发包人申请返还保证金。</w:t>
      </w:r>
    </w:p>
    <w:p w14:paraId="5E38EB7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41" w:name="bookmark1797"/>
      <w:bookmarkStart w:id="942" w:name="bookmark1795"/>
      <w:bookmarkStart w:id="943" w:name="bookmark1796"/>
      <w:r>
        <w:rPr>
          <w:rFonts w:hint="eastAsia" w:ascii="宋体" w:hAnsi="宋体" w:eastAsia="宋体" w:cs="宋体"/>
          <w:color w:val="auto"/>
          <w:sz w:val="21"/>
          <w:szCs w:val="21"/>
          <w:highlight w:val="none"/>
        </w:rPr>
        <w:t>17.5竣工（完工）结算</w:t>
      </w:r>
      <w:bookmarkEnd w:id="941"/>
      <w:bookmarkEnd w:id="942"/>
      <w:bookmarkEnd w:id="943"/>
    </w:p>
    <w:p w14:paraId="31D777F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17.5.1</w:t>
      </w:r>
      <w:r>
        <w:rPr>
          <w:rFonts w:hint="eastAsia" w:ascii="宋体" w:hAnsi="宋体" w:eastAsia="宋体" w:cs="宋体"/>
          <w:color w:val="auto"/>
          <w:sz w:val="21"/>
          <w:szCs w:val="21"/>
          <w:highlight w:val="none"/>
        </w:rPr>
        <w:t>竣工（完工）付款申请单</w:t>
      </w:r>
    </w:p>
    <w:p w14:paraId="413198F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44" w:name="bookmark1798"/>
      <w:r>
        <w:rPr>
          <w:rFonts w:hint="eastAsia" w:ascii="宋体" w:hAnsi="宋体" w:eastAsia="宋体" w:cs="宋体"/>
          <w:color w:val="auto"/>
          <w:sz w:val="21"/>
          <w:szCs w:val="21"/>
          <w:highlight w:val="none"/>
        </w:rPr>
        <w:t>（</w:t>
      </w:r>
      <w:bookmarkEnd w:id="944"/>
      <w:r>
        <w:rPr>
          <w:rFonts w:hint="eastAsia" w:ascii="宋体" w:hAnsi="宋体" w:eastAsia="宋体" w:cs="宋体"/>
          <w:color w:val="auto"/>
          <w:sz w:val="21"/>
          <w:szCs w:val="21"/>
          <w:highlight w:val="none"/>
        </w:rPr>
        <w:t>1）承包人应提交竣工付款申请单份数：在签订施工承包合同时明确。</w:t>
      </w:r>
    </w:p>
    <w:p w14:paraId="42F60B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17.5.3</w:t>
      </w:r>
      <w:r>
        <w:rPr>
          <w:rFonts w:hint="eastAsia" w:ascii="宋体" w:hAnsi="宋体" w:eastAsia="宋体" w:cs="宋体"/>
          <w:color w:val="auto"/>
          <w:sz w:val="21"/>
          <w:szCs w:val="21"/>
          <w:highlight w:val="none"/>
        </w:rPr>
        <w:t>除按通用合同条款所说的内容外，增加以下内容：最终结算(竣工决算)以财政评审结果或审计结果为准，并按财政审定和审计部门审计结果的最终结算(竣工决算)价支付工程款到 97%</w:t>
      </w:r>
      <w:r>
        <w:rPr>
          <w:rFonts w:hint="eastAsia" w:ascii="宋体" w:hAnsi="宋体" w:eastAsia="宋体" w:cs="宋体"/>
          <w:color w:val="auto"/>
          <w:sz w:val="21"/>
          <w:szCs w:val="21"/>
          <w:highlight w:val="none"/>
          <w:lang w:val="en-US" w:eastAsia="zh-CN"/>
        </w:rPr>
        <w:t>,另外</w:t>
      </w:r>
      <w:r>
        <w:rPr>
          <w:rFonts w:hint="eastAsia" w:ascii="宋体" w:hAnsi="宋体" w:eastAsia="宋体" w:cs="宋体"/>
          <w:color w:val="auto"/>
          <w:sz w:val="21"/>
          <w:szCs w:val="21"/>
          <w:highlight w:val="none"/>
        </w:rPr>
        <w:t>财政评审或审计费用由承包人支付。</w:t>
      </w:r>
    </w:p>
    <w:p w14:paraId="57A09F9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45" w:name="bookmark1801"/>
      <w:bookmarkEnd w:id="945"/>
      <w:bookmarkStart w:id="946" w:name="bookmark1800"/>
      <w:bookmarkStart w:id="947" w:name="bookmark1799"/>
      <w:bookmarkStart w:id="948" w:name="bookmark1802"/>
      <w:r>
        <w:rPr>
          <w:rFonts w:hint="eastAsia" w:ascii="宋体" w:hAnsi="宋体" w:eastAsia="宋体" w:cs="宋体"/>
          <w:color w:val="auto"/>
          <w:sz w:val="21"/>
          <w:szCs w:val="21"/>
          <w:highlight w:val="none"/>
        </w:rPr>
        <w:t>17.6最终结清</w:t>
      </w:r>
      <w:bookmarkEnd w:id="946"/>
      <w:bookmarkEnd w:id="947"/>
      <w:bookmarkEnd w:id="948"/>
    </w:p>
    <w:p w14:paraId="270441F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17.6.1</w:t>
      </w:r>
      <w:r>
        <w:rPr>
          <w:rFonts w:hint="eastAsia" w:ascii="宋体" w:hAnsi="宋体" w:eastAsia="宋体" w:cs="宋体"/>
          <w:color w:val="auto"/>
          <w:sz w:val="21"/>
          <w:szCs w:val="21"/>
          <w:highlight w:val="none"/>
        </w:rPr>
        <w:t>最终结清申请单</w:t>
      </w:r>
    </w:p>
    <w:p w14:paraId="4E36B8F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（1）承包人应提交最终结清申请单份数：一式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rPr>
        <w:t>。</w:t>
      </w:r>
    </w:p>
    <w:p w14:paraId="6A20BB4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49" w:name="bookmark1804"/>
      <w:bookmarkStart w:id="950" w:name="bookmark1805"/>
      <w:bookmarkStart w:id="951" w:name="bookmark1803"/>
      <w:r>
        <w:rPr>
          <w:rFonts w:hint="eastAsia" w:ascii="宋体" w:hAnsi="宋体" w:eastAsia="宋体" w:cs="宋体"/>
          <w:color w:val="auto"/>
          <w:sz w:val="21"/>
          <w:szCs w:val="21"/>
          <w:highlight w:val="none"/>
        </w:rPr>
        <w:t>17.7竣工财务决算</w:t>
      </w:r>
      <w:bookmarkEnd w:id="949"/>
      <w:bookmarkEnd w:id="950"/>
      <w:bookmarkEnd w:id="951"/>
    </w:p>
    <w:p w14:paraId="1A999F7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承包人应为竣工财务决算编制提供的资料：</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业主</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相关竣工决算材料</w:t>
      </w:r>
      <w:r>
        <w:rPr>
          <w:rFonts w:hint="eastAsia" w:ascii="宋体" w:hAnsi="宋体" w:eastAsia="宋体" w:cs="宋体"/>
          <w:color w:val="auto"/>
          <w:sz w:val="21"/>
          <w:szCs w:val="21"/>
          <w:highlight w:val="none"/>
          <w:lang w:val="en-US"/>
        </w:rPr>
        <w:t>。</w:t>
      </w:r>
    </w:p>
    <w:p w14:paraId="5D84449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52" w:name="bookmark1808"/>
      <w:bookmarkEnd w:id="952"/>
      <w:bookmarkStart w:id="953" w:name="bookmark1807"/>
      <w:bookmarkStart w:id="954" w:name="_Toc797"/>
      <w:bookmarkStart w:id="955" w:name="_Toc21342527"/>
      <w:bookmarkStart w:id="956" w:name="_Toc30479"/>
      <w:bookmarkStart w:id="957" w:name="_Toc7458"/>
      <w:bookmarkStart w:id="958" w:name="bookmark1809"/>
      <w:bookmarkStart w:id="959" w:name="bookmark1806"/>
      <w:r>
        <w:rPr>
          <w:rFonts w:hint="eastAsia" w:ascii="宋体" w:hAnsi="宋体" w:eastAsia="宋体" w:cs="宋体"/>
          <w:color w:val="auto"/>
          <w:sz w:val="21"/>
          <w:szCs w:val="21"/>
          <w:highlight w:val="none"/>
        </w:rPr>
        <w:t>18. 竣工验收（验收）</w:t>
      </w:r>
      <w:bookmarkEnd w:id="953"/>
      <w:bookmarkEnd w:id="954"/>
      <w:bookmarkEnd w:id="955"/>
      <w:bookmarkEnd w:id="956"/>
      <w:bookmarkEnd w:id="957"/>
      <w:bookmarkEnd w:id="958"/>
      <w:bookmarkEnd w:id="959"/>
    </w:p>
    <w:p w14:paraId="6783A44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60" w:name="bookmark1812"/>
      <w:bookmarkStart w:id="961" w:name="bookmark1810"/>
      <w:bookmarkStart w:id="962" w:name="bookmark1811"/>
      <w:r>
        <w:rPr>
          <w:rFonts w:hint="eastAsia" w:ascii="宋体" w:hAnsi="宋体" w:eastAsia="宋体" w:cs="宋体"/>
          <w:color w:val="auto"/>
          <w:sz w:val="21"/>
          <w:szCs w:val="21"/>
          <w:highlight w:val="none"/>
        </w:rPr>
        <w:t>18.1验收工作分类</w:t>
      </w:r>
      <w:bookmarkEnd w:id="960"/>
      <w:bookmarkEnd w:id="961"/>
      <w:bookmarkEnd w:id="962"/>
    </w:p>
    <w:p w14:paraId="0D7274D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根据《水利工程建设项目验收管理规定》（水利部令第30号）和《水利水电建设工程验收规程》</w:t>
      </w:r>
      <w:r>
        <w:rPr>
          <w:rFonts w:hint="eastAsia" w:ascii="宋体" w:hAnsi="宋体" w:eastAsia="宋体" w:cs="宋体"/>
          <w:color w:val="auto"/>
          <w:sz w:val="21"/>
          <w:szCs w:val="21"/>
          <w:highlight w:val="none"/>
          <w:lang w:val="en-US"/>
        </w:rPr>
        <w:t>（SL223）2008）</w:t>
      </w:r>
      <w:r>
        <w:rPr>
          <w:rFonts w:hint="eastAsia" w:ascii="宋体" w:hAnsi="宋体" w:eastAsia="宋体" w:cs="宋体"/>
          <w:color w:val="auto"/>
          <w:sz w:val="21"/>
          <w:szCs w:val="21"/>
          <w:highlight w:val="none"/>
        </w:rPr>
        <w:t>的相关规定执行。</w:t>
      </w:r>
    </w:p>
    <w:p w14:paraId="40E395E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63" w:name="bookmark1814"/>
      <w:bookmarkStart w:id="964" w:name="bookmark1813"/>
      <w:bookmarkStart w:id="965" w:name="bookmark1815"/>
      <w:r>
        <w:rPr>
          <w:rFonts w:hint="eastAsia" w:ascii="宋体" w:hAnsi="宋体" w:eastAsia="宋体" w:cs="宋体"/>
          <w:color w:val="auto"/>
          <w:sz w:val="21"/>
          <w:szCs w:val="21"/>
          <w:highlight w:val="none"/>
        </w:rPr>
        <w:t>18.2分部工程验收</w:t>
      </w:r>
      <w:bookmarkEnd w:id="963"/>
      <w:bookmarkEnd w:id="964"/>
      <w:bookmarkEnd w:id="965"/>
    </w:p>
    <w:p w14:paraId="1CF28FC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18.2.</w:t>
      </w:r>
      <w:r>
        <w:rPr>
          <w:rFonts w:hint="eastAsia" w:ascii="宋体" w:hAnsi="宋体" w:eastAsia="宋体" w:cs="宋体"/>
          <w:color w:val="auto"/>
          <w:sz w:val="21"/>
          <w:szCs w:val="21"/>
          <w:highlight w:val="none"/>
        </w:rPr>
        <w:t>2本工程由发包人主持的分部工程验收为：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,其余由监理 主持。</w:t>
      </w:r>
    </w:p>
    <w:p w14:paraId="2CC4858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66" w:name="bookmark1816"/>
      <w:bookmarkStart w:id="967" w:name="bookmark1817"/>
      <w:bookmarkStart w:id="968" w:name="bookmark1818"/>
      <w:r>
        <w:rPr>
          <w:rFonts w:hint="eastAsia" w:ascii="宋体" w:hAnsi="宋体" w:eastAsia="宋体" w:cs="宋体"/>
          <w:color w:val="auto"/>
          <w:sz w:val="21"/>
          <w:szCs w:val="21"/>
          <w:highlight w:val="none"/>
        </w:rPr>
        <w:t>18.3单位工程验收</w:t>
      </w:r>
      <w:bookmarkEnd w:id="966"/>
      <w:bookmarkEnd w:id="967"/>
      <w:bookmarkEnd w:id="968"/>
    </w:p>
    <w:p w14:paraId="0CCBCBB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18.3.4</w:t>
      </w:r>
      <w:r>
        <w:rPr>
          <w:rFonts w:hint="eastAsia" w:ascii="宋体" w:hAnsi="宋体" w:eastAsia="宋体" w:cs="宋体"/>
          <w:color w:val="auto"/>
          <w:sz w:val="21"/>
          <w:szCs w:val="21"/>
          <w:highlight w:val="none"/>
        </w:rPr>
        <w:t>提前投入使用的单位工程包括：在签订施工承包合同时明确</w:t>
      </w:r>
      <w:r>
        <w:rPr>
          <w:rFonts w:hint="eastAsia" w:ascii="宋体" w:hAnsi="宋体" w:eastAsia="宋体" w:cs="宋体"/>
          <w:color w:val="auto"/>
          <w:sz w:val="21"/>
          <w:szCs w:val="21"/>
          <w:highlight w:val="none"/>
          <w:lang w:val="en-US"/>
        </w:rPr>
        <w:t>。</w:t>
      </w:r>
    </w:p>
    <w:p w14:paraId="7F2FB5D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69" w:name="bookmark1820"/>
      <w:bookmarkStart w:id="970" w:name="bookmark1819"/>
      <w:bookmarkStart w:id="971" w:name="bookmark1821"/>
      <w:r>
        <w:rPr>
          <w:rFonts w:hint="eastAsia" w:ascii="宋体" w:hAnsi="宋体" w:eastAsia="宋体" w:cs="宋体"/>
          <w:color w:val="auto"/>
          <w:sz w:val="21"/>
          <w:szCs w:val="21"/>
          <w:highlight w:val="none"/>
        </w:rPr>
        <w:t>18.5阶段验收</w:t>
      </w:r>
      <w:bookmarkEnd w:id="969"/>
      <w:bookmarkEnd w:id="970"/>
      <w:bookmarkEnd w:id="971"/>
    </w:p>
    <w:p w14:paraId="4F290C6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18.5.1</w:t>
      </w:r>
      <w:r>
        <w:rPr>
          <w:rFonts w:hint="eastAsia" w:ascii="宋体" w:hAnsi="宋体" w:eastAsia="宋体" w:cs="宋体"/>
          <w:color w:val="auto"/>
          <w:sz w:val="21"/>
          <w:szCs w:val="21"/>
          <w:highlight w:val="none"/>
        </w:rPr>
        <w:t>本合同工程阶段验收类别包括： 在签订施工承包合同时明确</w:t>
      </w:r>
      <w:r>
        <w:rPr>
          <w:rFonts w:hint="eastAsia" w:ascii="宋体" w:hAnsi="宋体" w:eastAsia="宋体" w:cs="宋体"/>
          <w:color w:val="auto"/>
          <w:sz w:val="21"/>
          <w:szCs w:val="21"/>
          <w:highlight w:val="none"/>
          <w:lang w:val="en-US"/>
        </w:rPr>
        <w:t>。</w:t>
      </w:r>
    </w:p>
    <w:p w14:paraId="091DF13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72" w:name="bookmark1822"/>
      <w:bookmarkStart w:id="973" w:name="bookmark1823"/>
      <w:bookmarkStart w:id="974" w:name="bookmark1824"/>
      <w:r>
        <w:rPr>
          <w:rFonts w:hint="eastAsia" w:ascii="宋体" w:hAnsi="宋体" w:eastAsia="宋体" w:cs="宋体"/>
          <w:color w:val="auto"/>
          <w:sz w:val="21"/>
          <w:szCs w:val="21"/>
          <w:highlight w:val="none"/>
        </w:rPr>
        <w:t>18.6专项验收</w:t>
      </w:r>
      <w:bookmarkEnd w:id="972"/>
      <w:bookmarkEnd w:id="973"/>
      <w:bookmarkEnd w:id="974"/>
    </w:p>
    <w:p w14:paraId="5916E7B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18.6.2</w:t>
      </w:r>
      <w:r>
        <w:rPr>
          <w:rFonts w:hint="eastAsia" w:ascii="宋体" w:hAnsi="宋体" w:eastAsia="宋体" w:cs="宋体"/>
          <w:color w:val="auto"/>
          <w:sz w:val="21"/>
          <w:szCs w:val="21"/>
          <w:highlight w:val="none"/>
        </w:rPr>
        <w:t>本合同工程专项验收类别包括：在签订施工承包合同时明确</w:t>
      </w:r>
      <w:r>
        <w:rPr>
          <w:rFonts w:hint="eastAsia" w:ascii="宋体" w:hAnsi="宋体" w:eastAsia="宋体" w:cs="宋体"/>
          <w:color w:val="auto"/>
          <w:sz w:val="21"/>
          <w:szCs w:val="21"/>
          <w:highlight w:val="none"/>
          <w:lang w:val="en-US"/>
        </w:rPr>
        <w:t>。</w:t>
      </w:r>
    </w:p>
    <w:p w14:paraId="0441EC6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75" w:name="bookmark1826"/>
      <w:bookmarkStart w:id="976" w:name="bookmark1825"/>
      <w:bookmarkStart w:id="977" w:name="bookmark1827"/>
      <w:r>
        <w:rPr>
          <w:rFonts w:hint="eastAsia" w:ascii="宋体" w:hAnsi="宋体" w:eastAsia="宋体" w:cs="宋体"/>
          <w:color w:val="auto"/>
          <w:sz w:val="21"/>
          <w:szCs w:val="21"/>
          <w:highlight w:val="none"/>
        </w:rPr>
        <w:t>18.8施工期运行</w:t>
      </w:r>
      <w:bookmarkEnd w:id="975"/>
      <w:bookmarkEnd w:id="976"/>
      <w:bookmarkEnd w:id="977"/>
    </w:p>
    <w:p w14:paraId="5E3602B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18.8.1</w:t>
      </w:r>
      <w:r>
        <w:rPr>
          <w:rFonts w:hint="eastAsia" w:ascii="宋体" w:hAnsi="宋体" w:eastAsia="宋体" w:cs="宋体"/>
          <w:color w:val="auto"/>
          <w:sz w:val="21"/>
          <w:szCs w:val="21"/>
          <w:highlight w:val="none"/>
        </w:rPr>
        <w:t>需要在施工期运行的单位工程或工程设备为：在签订施工承包合同时明确</w:t>
      </w:r>
      <w:r>
        <w:rPr>
          <w:rFonts w:hint="eastAsia" w:ascii="宋体" w:hAnsi="宋体" w:eastAsia="宋体" w:cs="宋体"/>
          <w:color w:val="auto"/>
          <w:sz w:val="21"/>
          <w:szCs w:val="21"/>
          <w:highlight w:val="none"/>
          <w:lang w:val="en-US"/>
        </w:rPr>
        <w:t>。</w:t>
      </w:r>
    </w:p>
    <w:p w14:paraId="2EF2AF4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78" w:name="bookmark1830"/>
      <w:bookmarkStart w:id="979" w:name="bookmark1828"/>
      <w:bookmarkStart w:id="980" w:name="bookmark1829"/>
      <w:r>
        <w:rPr>
          <w:rFonts w:hint="eastAsia" w:ascii="宋体" w:hAnsi="宋体" w:eastAsia="宋体" w:cs="宋体"/>
          <w:color w:val="auto"/>
          <w:sz w:val="21"/>
          <w:szCs w:val="21"/>
          <w:highlight w:val="none"/>
        </w:rPr>
        <w:t>18.9试运行</w:t>
      </w:r>
      <w:bookmarkEnd w:id="978"/>
      <w:bookmarkEnd w:id="979"/>
      <w:bookmarkEnd w:id="980"/>
    </w:p>
    <w:p w14:paraId="371FBAE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18. 9.1</w:t>
      </w:r>
      <w:r>
        <w:rPr>
          <w:rFonts w:hint="eastAsia" w:ascii="宋体" w:hAnsi="宋体" w:eastAsia="宋体" w:cs="宋体"/>
          <w:color w:val="auto"/>
          <w:sz w:val="21"/>
          <w:szCs w:val="21"/>
          <w:highlight w:val="none"/>
        </w:rPr>
        <w:t>试运行的组织：</w:t>
      </w:r>
      <w:r>
        <w:rPr>
          <w:rFonts w:hint="eastAsia" w:ascii="宋体" w:hAnsi="宋体" w:eastAsia="宋体" w:cs="宋体"/>
          <w:color w:val="auto"/>
          <w:sz w:val="21"/>
          <w:szCs w:val="21"/>
          <w:highlight w:val="none"/>
          <w:lang w:val="en-US"/>
        </w:rPr>
        <w:t xml:space="preserve">   /  </w:t>
      </w:r>
      <w:r>
        <w:rPr>
          <w:rFonts w:hint="eastAsia" w:ascii="宋体" w:hAnsi="宋体" w:eastAsia="宋体" w:cs="宋体"/>
          <w:color w:val="auto"/>
          <w:sz w:val="21"/>
          <w:szCs w:val="21"/>
          <w:highlight w:val="none"/>
        </w:rPr>
        <w:t>；费用承担：</w:t>
      </w:r>
      <w:bookmarkStart w:id="981" w:name="bookmark1833"/>
      <w:bookmarkEnd w:id="981"/>
      <w:bookmarkStart w:id="982" w:name="bookmark1834"/>
      <w:bookmarkStart w:id="983" w:name="bookmark1832"/>
      <w:bookmarkStart w:id="984" w:name="_Toc24047"/>
      <w:bookmarkStart w:id="985" w:name="_Toc21054"/>
      <w:bookmarkStart w:id="986" w:name="bookmark1831"/>
      <w:r>
        <w:rPr>
          <w:rFonts w:hint="eastAsia" w:ascii="宋体" w:hAnsi="宋体" w:eastAsia="宋体" w:cs="宋体"/>
          <w:color w:val="auto"/>
          <w:sz w:val="21"/>
          <w:szCs w:val="21"/>
          <w:highlight w:val="none"/>
          <w:lang w:val="en-US"/>
        </w:rPr>
        <w:t xml:space="preserve">  /  </w:t>
      </w:r>
      <w:r>
        <w:rPr>
          <w:rFonts w:hint="eastAsia" w:ascii="宋体" w:hAnsi="宋体" w:eastAsia="宋体" w:cs="宋体"/>
          <w:color w:val="auto"/>
          <w:sz w:val="21"/>
          <w:szCs w:val="21"/>
          <w:highlight w:val="none"/>
        </w:rPr>
        <w:t>。</w:t>
      </w:r>
    </w:p>
    <w:p w14:paraId="10A8209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87" w:name="_Toc27779"/>
      <w:bookmarkStart w:id="988" w:name="_Toc21342528"/>
      <w:r>
        <w:rPr>
          <w:rFonts w:hint="eastAsia" w:ascii="宋体" w:hAnsi="宋体" w:eastAsia="宋体" w:cs="宋体"/>
          <w:color w:val="auto"/>
          <w:sz w:val="21"/>
          <w:szCs w:val="21"/>
          <w:highlight w:val="none"/>
        </w:rPr>
        <w:t>19. 缺陷责任与保修责任</w:t>
      </w:r>
      <w:bookmarkEnd w:id="982"/>
      <w:bookmarkEnd w:id="983"/>
      <w:bookmarkEnd w:id="984"/>
      <w:bookmarkEnd w:id="985"/>
      <w:bookmarkEnd w:id="986"/>
      <w:bookmarkEnd w:id="987"/>
      <w:bookmarkEnd w:id="988"/>
    </w:p>
    <w:p w14:paraId="4AF9940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89" w:name="bookmark1836"/>
      <w:bookmarkStart w:id="990" w:name="bookmark1835"/>
      <w:bookmarkStart w:id="991" w:name="bookmark1837"/>
      <w:r>
        <w:rPr>
          <w:rFonts w:hint="eastAsia" w:ascii="宋体" w:hAnsi="宋体" w:eastAsia="宋体" w:cs="宋体"/>
          <w:color w:val="auto"/>
          <w:sz w:val="21"/>
          <w:szCs w:val="21"/>
          <w:highlight w:val="none"/>
        </w:rPr>
        <w:t>19.1缺陷责任期（工程质量保修期）的起算时间</w:t>
      </w:r>
      <w:bookmarkEnd w:id="989"/>
      <w:bookmarkEnd w:id="990"/>
      <w:bookmarkEnd w:id="991"/>
    </w:p>
    <w:p w14:paraId="229C621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本工程缺陷责任期（工程质量保修）计算如下：起算日按通用条款</w:t>
      </w:r>
      <w:r>
        <w:rPr>
          <w:rFonts w:hint="eastAsia" w:ascii="宋体" w:hAnsi="宋体" w:eastAsia="宋体" w:cs="宋体"/>
          <w:color w:val="auto"/>
          <w:sz w:val="21"/>
          <w:szCs w:val="21"/>
          <w:highlight w:val="none"/>
          <w:lang w:val="en-US"/>
        </w:rPr>
        <w:t>19.1</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rPr>
        <w:t xml:space="preserve">19. </w:t>
      </w:r>
      <w:r>
        <w:rPr>
          <w:rFonts w:hint="eastAsia" w:ascii="宋体" w:hAnsi="宋体" w:eastAsia="宋体" w:cs="宋体"/>
          <w:color w:val="auto"/>
          <w:sz w:val="21"/>
          <w:szCs w:val="21"/>
          <w:highlight w:val="none"/>
        </w:rPr>
        <w:t>7的约定，终止日按专用条款</w:t>
      </w:r>
      <w:r>
        <w:rPr>
          <w:rFonts w:hint="eastAsia" w:ascii="宋体" w:hAnsi="宋体" w:eastAsia="宋体" w:cs="宋体"/>
          <w:color w:val="auto"/>
          <w:sz w:val="21"/>
          <w:szCs w:val="21"/>
          <w:highlight w:val="none"/>
          <w:lang w:val="en-US"/>
        </w:rPr>
        <w:t>1. 1.4.5</w:t>
      </w:r>
      <w:r>
        <w:rPr>
          <w:rFonts w:hint="eastAsia" w:ascii="宋体" w:hAnsi="宋体" w:eastAsia="宋体" w:cs="宋体"/>
          <w:color w:val="auto"/>
          <w:sz w:val="21"/>
          <w:szCs w:val="21"/>
          <w:highlight w:val="none"/>
        </w:rPr>
        <w:t>约定。</w:t>
      </w:r>
    </w:p>
    <w:p w14:paraId="389FEAC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19.7保修责任</w:t>
      </w:r>
    </w:p>
    <w:p w14:paraId="3BF96A5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本合同工程的保修期为：</w:t>
      </w:r>
      <w:r>
        <w:rPr>
          <w:rFonts w:hint="eastAsia" w:ascii="宋体" w:hAnsi="宋体" w:eastAsia="宋体" w:cs="宋体"/>
          <w:color w:val="auto"/>
          <w:sz w:val="21"/>
          <w:szCs w:val="21"/>
          <w:highlight w:val="none"/>
          <w:lang w:val="en-US"/>
        </w:rPr>
        <w:t xml:space="preserve">            ；</w:t>
      </w:r>
    </w:p>
    <w:p w14:paraId="060E44D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保修范围：   </w:t>
      </w:r>
      <w:r>
        <w:rPr>
          <w:rFonts w:hint="eastAsia" w:ascii="宋体" w:hAnsi="宋体" w:eastAsia="宋体" w:cs="宋体"/>
          <w:color w:val="auto"/>
          <w:sz w:val="21"/>
          <w:szCs w:val="21"/>
          <w:highlight w:val="none"/>
        </w:rPr>
        <w:t>在签订施工承包合同时明确</w:t>
      </w:r>
      <w:r>
        <w:rPr>
          <w:rFonts w:hint="eastAsia" w:ascii="宋体" w:hAnsi="宋体" w:eastAsia="宋体" w:cs="宋体"/>
          <w:color w:val="auto"/>
          <w:sz w:val="21"/>
          <w:szCs w:val="21"/>
          <w:highlight w:val="none"/>
          <w:lang w:val="en-US"/>
        </w:rPr>
        <w:t xml:space="preserve">    。</w:t>
      </w:r>
    </w:p>
    <w:p w14:paraId="0A04DF3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保修责任：由承包人负责并承担相关的一切费用。</w:t>
      </w:r>
    </w:p>
    <w:p w14:paraId="0792877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992" w:name="bookmark1840"/>
      <w:bookmarkEnd w:id="992"/>
      <w:bookmarkStart w:id="993" w:name="_Toc21342529"/>
      <w:bookmarkStart w:id="994" w:name="_Toc3197"/>
      <w:bookmarkStart w:id="995" w:name="_Toc5968"/>
      <w:bookmarkStart w:id="996" w:name="bookmark1841"/>
      <w:bookmarkStart w:id="997" w:name="_Toc4976"/>
      <w:bookmarkStart w:id="998" w:name="bookmark1839"/>
      <w:bookmarkStart w:id="999" w:name="bookmark1838"/>
      <w:r>
        <w:rPr>
          <w:rFonts w:hint="eastAsia" w:ascii="宋体" w:hAnsi="宋体" w:eastAsia="宋体" w:cs="宋体"/>
          <w:color w:val="auto"/>
          <w:sz w:val="21"/>
          <w:szCs w:val="21"/>
          <w:highlight w:val="none"/>
        </w:rPr>
        <w:t>20. 保险</w:t>
      </w:r>
      <w:bookmarkEnd w:id="993"/>
      <w:bookmarkEnd w:id="994"/>
      <w:bookmarkEnd w:id="995"/>
      <w:bookmarkEnd w:id="996"/>
      <w:bookmarkEnd w:id="997"/>
    </w:p>
    <w:p w14:paraId="1BBDA11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00" w:name="bookmark1842"/>
      <w:r>
        <w:rPr>
          <w:rFonts w:hint="eastAsia" w:ascii="宋体" w:hAnsi="宋体" w:eastAsia="宋体" w:cs="宋体"/>
          <w:color w:val="auto"/>
          <w:sz w:val="21"/>
          <w:szCs w:val="21"/>
          <w:highlight w:val="none"/>
        </w:rPr>
        <w:t>20.1工程保险</w:t>
      </w:r>
      <w:bookmarkEnd w:id="998"/>
      <w:bookmarkEnd w:id="999"/>
      <w:bookmarkEnd w:id="1000"/>
    </w:p>
    <w:p w14:paraId="362F4DC3">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建筑工程一切险和（或）安装工程一切险投保人： 承包人； </w:t>
      </w:r>
    </w:p>
    <w:p w14:paraId="6B637ACC">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投保内容：为本合同工程派遣或雇用的任何人员进行意外伤亡和人身事故保险，保险费用包含在工程报价中； </w:t>
      </w:r>
    </w:p>
    <w:p w14:paraId="2913DF5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保险金额、保险费率和保险期限:在签订施工承包合同时明确</w:t>
      </w:r>
      <w:r>
        <w:rPr>
          <w:rFonts w:hint="eastAsia" w:ascii="宋体" w:hAnsi="宋体" w:eastAsia="宋体" w:cs="宋体"/>
          <w:color w:val="auto"/>
          <w:sz w:val="21"/>
          <w:szCs w:val="21"/>
          <w:highlight w:val="none"/>
          <w:lang w:val="en-US"/>
        </w:rPr>
        <w:t>。</w:t>
      </w:r>
    </w:p>
    <w:p w14:paraId="500D98D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01" w:name="_Toc29422"/>
      <w:bookmarkStart w:id="1002" w:name="_Toc21342530"/>
      <w:bookmarkStart w:id="1003" w:name="bookmark1845"/>
      <w:bookmarkStart w:id="1004" w:name="bookmark1843"/>
      <w:bookmarkStart w:id="1005" w:name="bookmark1844"/>
      <w:r>
        <w:rPr>
          <w:rFonts w:hint="eastAsia" w:ascii="宋体" w:hAnsi="宋体" w:eastAsia="宋体" w:cs="宋体"/>
          <w:color w:val="auto"/>
          <w:sz w:val="21"/>
          <w:szCs w:val="21"/>
          <w:highlight w:val="none"/>
        </w:rPr>
        <w:t>20.4第三者责任险</w:t>
      </w:r>
      <w:bookmarkEnd w:id="1001"/>
      <w:bookmarkEnd w:id="1002"/>
      <w:bookmarkEnd w:id="1003"/>
      <w:bookmarkEnd w:id="1004"/>
      <w:bookmarkEnd w:id="1005"/>
    </w:p>
    <w:p w14:paraId="17B035F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20.4.2 </w:t>
      </w:r>
      <w:r>
        <w:rPr>
          <w:rFonts w:hint="eastAsia" w:ascii="宋体" w:hAnsi="宋体" w:eastAsia="宋体" w:cs="宋体"/>
          <w:color w:val="auto"/>
          <w:sz w:val="21"/>
          <w:szCs w:val="21"/>
          <w:highlight w:val="none"/>
        </w:rPr>
        <w:t>第三者责任险保险费率：</w:t>
      </w:r>
      <w:r>
        <w:rPr>
          <w:rFonts w:hint="eastAsia" w:ascii="宋体" w:hAnsi="宋体" w:eastAsia="宋体" w:cs="宋体"/>
          <w:color w:val="auto"/>
          <w:sz w:val="21"/>
          <w:szCs w:val="21"/>
          <w:highlight w:val="none"/>
          <w:lang w:val="en-US"/>
        </w:rPr>
        <w:t xml:space="preserve">  /  </w:t>
      </w:r>
      <w:r>
        <w:rPr>
          <w:rFonts w:hint="eastAsia" w:ascii="宋体" w:hAnsi="宋体" w:eastAsia="宋体" w:cs="宋体"/>
          <w:color w:val="auto"/>
          <w:sz w:val="21"/>
          <w:szCs w:val="21"/>
          <w:highlight w:val="none"/>
        </w:rPr>
        <w:t>； 第三者责任险保险金额：</w:t>
      </w:r>
      <w:r>
        <w:rPr>
          <w:rFonts w:hint="eastAsia" w:ascii="宋体" w:hAnsi="宋体" w:eastAsia="宋体" w:cs="宋体"/>
          <w:color w:val="auto"/>
          <w:sz w:val="21"/>
          <w:szCs w:val="21"/>
          <w:highlight w:val="none"/>
          <w:lang w:val="en-US"/>
        </w:rPr>
        <w:t xml:space="preserve">    /   。</w:t>
      </w:r>
    </w:p>
    <w:p w14:paraId="5E20E7B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06" w:name="bookmark1848"/>
      <w:bookmarkStart w:id="1007" w:name="bookmark1846"/>
      <w:bookmarkStart w:id="1008" w:name="bookmark1847"/>
      <w:r>
        <w:rPr>
          <w:rFonts w:hint="eastAsia" w:ascii="宋体" w:hAnsi="宋体" w:eastAsia="宋体" w:cs="宋体"/>
          <w:color w:val="auto"/>
          <w:sz w:val="21"/>
          <w:szCs w:val="21"/>
          <w:highlight w:val="none"/>
        </w:rPr>
        <w:t>20.5其他保险</w:t>
      </w:r>
      <w:bookmarkEnd w:id="1006"/>
      <w:bookmarkEnd w:id="1007"/>
      <w:bookmarkEnd w:id="1008"/>
    </w:p>
    <w:p w14:paraId="5B51CB2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 建筑意外伤害保险；</w:t>
      </w:r>
    </w:p>
    <w:p w14:paraId="39637CD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保险金额、保险费率和保险期限： 在签订施工承包合同时明确。</w:t>
      </w:r>
    </w:p>
    <w:p w14:paraId="27DE719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09" w:name="_Toc23890"/>
      <w:bookmarkStart w:id="1010" w:name="_Toc21342531"/>
      <w:bookmarkStart w:id="1011" w:name="bookmark1849"/>
      <w:bookmarkStart w:id="1012" w:name="bookmark1851"/>
      <w:bookmarkStart w:id="1013" w:name="bookmark1850"/>
      <w:r>
        <w:rPr>
          <w:rFonts w:hint="eastAsia" w:ascii="宋体" w:hAnsi="宋体" w:eastAsia="宋体" w:cs="宋体"/>
          <w:color w:val="auto"/>
          <w:sz w:val="21"/>
          <w:szCs w:val="21"/>
          <w:highlight w:val="none"/>
        </w:rPr>
        <w:t>20.6对各项保险的一般要求</w:t>
      </w:r>
      <w:bookmarkEnd w:id="1009"/>
      <w:bookmarkEnd w:id="1010"/>
      <w:bookmarkEnd w:id="1011"/>
      <w:bookmarkEnd w:id="1012"/>
      <w:bookmarkEnd w:id="1013"/>
    </w:p>
    <w:p w14:paraId="1D647E1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1014" w:name="_Toc12921"/>
      <w:bookmarkStart w:id="1015" w:name="_Toc21342532"/>
      <w:r>
        <w:rPr>
          <w:rFonts w:hint="eastAsia" w:ascii="宋体" w:hAnsi="宋体" w:eastAsia="宋体" w:cs="宋体"/>
          <w:color w:val="auto"/>
          <w:sz w:val="21"/>
          <w:szCs w:val="21"/>
          <w:highlight w:val="none"/>
          <w:lang w:eastAsia="zh-CN"/>
        </w:rPr>
        <w:t>20. 6.</w:t>
      </w:r>
      <w:r>
        <w:rPr>
          <w:rFonts w:hint="eastAsia" w:ascii="宋体" w:hAnsi="宋体" w:eastAsia="宋体" w:cs="宋体"/>
          <w:color w:val="auto"/>
          <w:sz w:val="21"/>
          <w:szCs w:val="21"/>
          <w:highlight w:val="none"/>
          <w:lang w:val="zh-CN" w:eastAsia="zh-CN"/>
        </w:rPr>
        <w:t>1保险凭证</w:t>
      </w:r>
      <w:bookmarkEnd w:id="1014"/>
      <w:bookmarkEnd w:id="1015"/>
    </w:p>
    <w:p w14:paraId="0311E7B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w:t>
      </w:r>
      <w:r>
        <w:rPr>
          <w:rFonts w:hint="eastAsia" w:ascii="宋体" w:hAnsi="宋体" w:eastAsia="宋体" w:cs="宋体"/>
          <w:color w:val="auto"/>
          <w:sz w:val="21"/>
          <w:szCs w:val="21"/>
          <w:highlight w:val="none"/>
          <w:lang w:val="en-US"/>
        </w:rPr>
        <w:t xml:space="preserve"> /  </w:t>
      </w:r>
      <w:r>
        <w:rPr>
          <w:rFonts w:hint="eastAsia" w:ascii="宋体" w:hAnsi="宋体" w:eastAsia="宋体" w:cs="宋体"/>
          <w:color w:val="auto"/>
          <w:sz w:val="21"/>
          <w:szCs w:val="21"/>
          <w:highlight w:val="none"/>
        </w:rPr>
        <w:t xml:space="preserve">； </w:t>
      </w:r>
    </w:p>
    <w:p w14:paraId="7CF4EA9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lang w:val="en-US"/>
        </w:rPr>
        <w:t xml:space="preserve"> /    。</w:t>
      </w:r>
    </w:p>
    <w:p w14:paraId="705AB5C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20. 6.</w:t>
      </w:r>
      <w:r>
        <w:rPr>
          <w:rFonts w:hint="eastAsia" w:ascii="宋体" w:hAnsi="宋体" w:eastAsia="宋体" w:cs="宋体"/>
          <w:color w:val="auto"/>
          <w:sz w:val="21"/>
          <w:szCs w:val="21"/>
          <w:highlight w:val="none"/>
        </w:rPr>
        <w:t>4保险金不足的补偿</w:t>
      </w:r>
    </w:p>
    <w:p w14:paraId="44D92DE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承包人负责补偿的范围与金额： </w:t>
      </w:r>
      <w:r>
        <w:rPr>
          <w:rFonts w:hint="eastAsia" w:ascii="宋体" w:hAnsi="宋体" w:eastAsia="宋体" w:cs="宋体"/>
          <w:color w:val="auto"/>
          <w:sz w:val="21"/>
          <w:szCs w:val="21"/>
          <w:highlight w:val="none"/>
          <w:lang w:val="en-US"/>
        </w:rPr>
        <w:t xml:space="preserve"> /    </w:t>
      </w:r>
      <w:r>
        <w:rPr>
          <w:rFonts w:hint="eastAsia" w:ascii="宋体" w:hAnsi="宋体" w:eastAsia="宋体" w:cs="宋体"/>
          <w:color w:val="auto"/>
          <w:sz w:val="21"/>
          <w:szCs w:val="21"/>
          <w:highlight w:val="none"/>
        </w:rPr>
        <w:t>；</w:t>
      </w:r>
    </w:p>
    <w:p w14:paraId="005E342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发包人负责补偿的范围与金额：</w:t>
      </w:r>
      <w:r>
        <w:rPr>
          <w:rFonts w:hint="eastAsia" w:ascii="宋体" w:hAnsi="宋体" w:eastAsia="宋体" w:cs="宋体"/>
          <w:color w:val="auto"/>
          <w:sz w:val="21"/>
          <w:szCs w:val="21"/>
          <w:highlight w:val="none"/>
          <w:lang w:val="en-US"/>
        </w:rPr>
        <w:t xml:space="preserve"> /    。</w:t>
      </w:r>
    </w:p>
    <w:p w14:paraId="0FDB2C4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16" w:name="bookmark1854"/>
      <w:bookmarkEnd w:id="1016"/>
      <w:bookmarkStart w:id="1017" w:name="_Toc13643"/>
      <w:bookmarkStart w:id="1018" w:name="_Toc31045"/>
      <w:bookmarkStart w:id="1019" w:name="_Toc21342533"/>
      <w:bookmarkStart w:id="1020" w:name="bookmark1855"/>
      <w:bookmarkStart w:id="1021" w:name="bookmark1852"/>
      <w:bookmarkStart w:id="1022" w:name="bookmark1853"/>
      <w:r>
        <w:rPr>
          <w:rFonts w:hint="eastAsia" w:ascii="宋体" w:hAnsi="宋体" w:eastAsia="宋体" w:cs="宋体"/>
          <w:color w:val="auto"/>
          <w:sz w:val="21"/>
          <w:szCs w:val="21"/>
          <w:highlight w:val="none"/>
        </w:rPr>
        <w:t>21. 不可抗力</w:t>
      </w:r>
      <w:bookmarkEnd w:id="1017"/>
      <w:bookmarkEnd w:id="1018"/>
      <w:bookmarkEnd w:id="1019"/>
      <w:bookmarkEnd w:id="1020"/>
    </w:p>
    <w:p w14:paraId="59D302F6">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23" w:name="bookmark1856"/>
      <w:r>
        <w:rPr>
          <w:rFonts w:hint="eastAsia" w:ascii="宋体" w:hAnsi="宋体" w:eastAsia="宋体" w:cs="宋体"/>
          <w:color w:val="auto"/>
          <w:sz w:val="21"/>
          <w:szCs w:val="21"/>
          <w:highlight w:val="none"/>
        </w:rPr>
        <w:t>21.1不可抗力的确认</w:t>
      </w:r>
      <w:bookmarkEnd w:id="1021"/>
      <w:bookmarkEnd w:id="1022"/>
      <w:bookmarkEnd w:id="1023"/>
    </w:p>
    <w:p w14:paraId="0434E83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21.1.1</w:t>
      </w:r>
      <w:r>
        <w:rPr>
          <w:rFonts w:hint="eastAsia" w:ascii="宋体" w:hAnsi="宋体" w:eastAsia="宋体" w:cs="宋体"/>
          <w:color w:val="auto"/>
          <w:sz w:val="21"/>
          <w:szCs w:val="21"/>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sz w:val="21"/>
          <w:szCs w:val="21"/>
          <w:highlight w:val="none"/>
          <w:lang w:val="en-US"/>
        </w:rPr>
        <w:t xml:space="preserve">11. </w:t>
      </w:r>
      <w:r>
        <w:rPr>
          <w:rFonts w:hint="eastAsia" w:ascii="宋体" w:hAnsi="宋体" w:eastAsia="宋体" w:cs="宋体"/>
          <w:color w:val="auto"/>
          <w:sz w:val="21"/>
          <w:szCs w:val="21"/>
          <w:highlight w:val="none"/>
        </w:rPr>
        <w:t>4款的约定。</w:t>
      </w:r>
    </w:p>
    <w:p w14:paraId="0B6DB29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24" w:name="_Toc2241"/>
      <w:bookmarkStart w:id="1025" w:name="_Toc17737"/>
      <w:bookmarkStart w:id="1026" w:name="bookmark1858"/>
      <w:bookmarkStart w:id="1027" w:name="_Toc2281"/>
      <w:bookmarkStart w:id="1028" w:name="_Toc21342534"/>
      <w:bookmarkStart w:id="1029" w:name="bookmark1857"/>
      <w:bookmarkStart w:id="1030" w:name="bookmark1859"/>
      <w:r>
        <w:rPr>
          <w:rFonts w:hint="eastAsia" w:ascii="宋体" w:hAnsi="宋体" w:eastAsia="宋体" w:cs="宋体"/>
          <w:color w:val="auto"/>
          <w:sz w:val="21"/>
          <w:szCs w:val="21"/>
          <w:highlight w:val="none"/>
        </w:rPr>
        <w:t>24. 争议的解决</w:t>
      </w:r>
      <w:bookmarkEnd w:id="1024"/>
      <w:bookmarkEnd w:id="1025"/>
      <w:bookmarkEnd w:id="1026"/>
      <w:bookmarkEnd w:id="1027"/>
      <w:bookmarkEnd w:id="1028"/>
      <w:bookmarkEnd w:id="1029"/>
      <w:bookmarkEnd w:id="1030"/>
    </w:p>
    <w:p w14:paraId="4E959BE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31" w:name="bookmark1860"/>
      <w:bookmarkStart w:id="1032" w:name="bookmark1861"/>
      <w:bookmarkStart w:id="1033" w:name="bookmark1862"/>
      <w:r>
        <w:rPr>
          <w:rFonts w:hint="eastAsia" w:ascii="宋体" w:hAnsi="宋体" w:eastAsia="宋体" w:cs="宋体"/>
          <w:color w:val="auto"/>
          <w:sz w:val="21"/>
          <w:szCs w:val="21"/>
          <w:highlight w:val="none"/>
        </w:rPr>
        <w:t>24.1争议的解决方式</w:t>
      </w:r>
      <w:bookmarkEnd w:id="1031"/>
      <w:bookmarkEnd w:id="1032"/>
      <w:bookmarkEnd w:id="1033"/>
    </w:p>
    <w:p w14:paraId="561E610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合同当事人友好协商解决不成、不愿提请争议评审或不接受争议评审组意见的，约定的合同争议解决方式：向工程所在地人民法院提起诉讼</w:t>
      </w:r>
      <w:r>
        <w:rPr>
          <w:rFonts w:hint="eastAsia" w:ascii="宋体" w:hAnsi="宋体" w:eastAsia="宋体" w:cs="宋体"/>
          <w:color w:val="auto"/>
          <w:sz w:val="21"/>
          <w:szCs w:val="21"/>
          <w:highlight w:val="none"/>
          <w:lang w:val="en-US"/>
        </w:rPr>
        <w:t>。</w:t>
      </w:r>
    </w:p>
    <w:p w14:paraId="4270A36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34" w:name="bookmark1863"/>
      <w:bookmarkStart w:id="1035" w:name="_Toc30466"/>
      <w:bookmarkStart w:id="1036" w:name="bookmark1864"/>
      <w:bookmarkStart w:id="1037" w:name="_Toc26089"/>
      <w:bookmarkStart w:id="1038" w:name="bookmark1865"/>
      <w:bookmarkStart w:id="1039" w:name="_Toc21342535"/>
      <w:r>
        <w:rPr>
          <w:rFonts w:hint="eastAsia" w:ascii="宋体" w:hAnsi="宋体" w:eastAsia="宋体" w:cs="宋体"/>
          <w:color w:val="auto"/>
          <w:sz w:val="21"/>
          <w:szCs w:val="21"/>
          <w:highlight w:val="none"/>
        </w:rPr>
        <w:t>25. 附加条款</w:t>
      </w:r>
      <w:bookmarkEnd w:id="1034"/>
      <w:bookmarkEnd w:id="1035"/>
      <w:bookmarkEnd w:id="1036"/>
      <w:bookmarkEnd w:id="1037"/>
      <w:bookmarkEnd w:id="1038"/>
      <w:bookmarkEnd w:id="1039"/>
    </w:p>
    <w:p w14:paraId="718B6CA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0" w:name="bookmark1866"/>
      <w:bookmarkStart w:id="1041" w:name="bookmark1867"/>
      <w:bookmarkStart w:id="1042" w:name="bookmark1868"/>
      <w:r>
        <w:rPr>
          <w:rFonts w:hint="eastAsia" w:ascii="宋体" w:hAnsi="宋体" w:eastAsia="宋体" w:cs="宋体"/>
          <w:color w:val="auto"/>
          <w:sz w:val="21"/>
          <w:szCs w:val="21"/>
          <w:highlight w:val="none"/>
        </w:rPr>
        <w:t>25.1对承包人的要求</w:t>
      </w:r>
      <w:bookmarkEnd w:id="1040"/>
      <w:bookmarkEnd w:id="1041"/>
      <w:bookmarkEnd w:id="1042"/>
    </w:p>
    <w:p w14:paraId="3FB8011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3" w:name="bookmark1869"/>
      <w:bookmarkEnd w:id="1043"/>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0D6BD65A">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4" w:name="bookmark1870"/>
      <w:bookmarkEnd w:id="104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23ABB7B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5" w:name="bookmark1871"/>
      <w:bookmarkEnd w:id="1045"/>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2121A06D">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6" w:name="bookmark1872"/>
      <w:bookmarkEnd w:id="1046"/>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按有关施工规程规范及本招标文件技术条款进行组织施工并实施施工过程和移交前工程保护措施。</w:t>
      </w:r>
    </w:p>
    <w:p w14:paraId="45C73B7E">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7" w:name="bookmark1873"/>
      <w:bookmarkEnd w:id="1047"/>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承包人违约有以下情况之一者，发包人有权采取合同规定的以下措施处理，并视情节轻重处予违约金。</w:t>
      </w:r>
    </w:p>
    <w:p w14:paraId="3D98ED8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8" w:name="bookmark1874"/>
      <w:bookmarkEnd w:id="104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未经发包人批准，施工期内承包人调走主要施工技术人员(包括建造师、专业工程师)，经发现不及时调回的，违约金额为履约保证金金额的5% ~20% (视情节严重而定)</w:t>
      </w:r>
      <w:r>
        <w:rPr>
          <w:rFonts w:hint="eastAsia" w:ascii="宋体" w:hAnsi="宋体" w:eastAsia="宋体" w:cs="宋体"/>
          <w:color w:val="auto"/>
          <w:sz w:val="21"/>
          <w:szCs w:val="21"/>
          <w:highlight w:val="none"/>
          <w:lang w:val="en-US"/>
        </w:rPr>
        <w:t>。</w:t>
      </w:r>
    </w:p>
    <w:p w14:paraId="263E7E70">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49" w:name="bookmark1875"/>
      <w:bookmarkEnd w:id="1049"/>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未经发包人批准，施工期内自行调走主要施工机械，经发现不及时调回的，违约金额为履约保证金金额的5% ~ 20% (视情节严重而定)</w:t>
      </w:r>
      <w:r>
        <w:rPr>
          <w:rFonts w:hint="eastAsia" w:ascii="宋体" w:hAnsi="宋体" w:eastAsia="宋体" w:cs="宋体"/>
          <w:color w:val="auto"/>
          <w:sz w:val="21"/>
          <w:szCs w:val="21"/>
          <w:highlight w:val="none"/>
          <w:lang w:val="en-US"/>
        </w:rPr>
        <w:t>。</w:t>
      </w:r>
    </w:p>
    <w:p w14:paraId="3ADDCA8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0" w:name="bookmark1876"/>
      <w:bookmarkEnd w:id="105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所有以上违约金额均在承包人的履约保证金(包括银行利息)及计量支付款内扣除，承包人履约保证金被扣除后，由发包人从最后一次计量支付时扣相应金额补足履约保证金。</w:t>
      </w:r>
    </w:p>
    <w:p w14:paraId="5EE14DBB">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1" w:name="bookmark1877"/>
      <w:bookmarkEnd w:id="105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0463430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2" w:name="bookmark1878"/>
      <w:bookmarkEnd w:id="105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合同签订之日起15日内，承包人无法按合同规定进场全部人员和机械时，作为承包人违约，发包人可解除合同，没收其全部履约保证金，另行发包工程。</w:t>
      </w:r>
    </w:p>
    <w:p w14:paraId="449AB9B8">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3" w:name="bookmark1879"/>
      <w:bookmarkEnd w:id="1053"/>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3D024521">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4" w:name="bookmark1880"/>
      <w:bookmarkEnd w:id="1054"/>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承包人生活设施及施工场地，应自费配备消防设备，防止火灾发生。</w:t>
      </w:r>
    </w:p>
    <w:p w14:paraId="0EADD73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5" w:name="bookmark1881"/>
      <w:bookmarkEnd w:id="1055"/>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承包人使用的劳动力均应进行保险，否则不准安排工作，禁止使用童工。</w:t>
      </w:r>
    </w:p>
    <w:p w14:paraId="3FE018B7">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7E7C9944">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6" w:name="bookmark1883"/>
      <w:bookmarkEnd w:id="1056"/>
      <w:r>
        <w:rPr>
          <w:rFonts w:hint="eastAsia" w:ascii="宋体" w:hAnsi="宋体" w:eastAsia="宋体" w:cs="宋体"/>
          <w:color w:val="auto"/>
          <w:sz w:val="21"/>
          <w:szCs w:val="21"/>
          <w:highlight w:val="none"/>
        </w:rPr>
        <w:t>9. 承包人未能按时完成当月合同进度计划70% 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58AD10C5">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7" w:name="bookmark1884"/>
      <w:bookmarkEnd w:id="1057"/>
      <w:r>
        <w:rPr>
          <w:rFonts w:hint="eastAsia" w:ascii="宋体" w:hAnsi="宋体" w:eastAsia="宋体" w:cs="宋体"/>
          <w:color w:val="auto"/>
          <w:sz w:val="21"/>
          <w:szCs w:val="21"/>
          <w:highlight w:val="none"/>
        </w:rPr>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06114A59">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bookmarkStart w:id="1058" w:name="bookmark1887"/>
      <w:bookmarkStart w:id="1059" w:name="bookmark1886"/>
      <w:bookmarkStart w:id="1060" w:name="bookmark1885"/>
      <w:r>
        <w:rPr>
          <w:rFonts w:hint="eastAsia" w:ascii="宋体" w:hAnsi="宋体" w:eastAsia="宋体" w:cs="宋体"/>
          <w:color w:val="auto"/>
          <w:sz w:val="21"/>
          <w:szCs w:val="21"/>
          <w:highlight w:val="none"/>
          <w:lang w:eastAsia="zh-CN"/>
        </w:rPr>
        <w:t>25.2发包人所有付款（含预付款）均转入如下承包人单位基本账户（签订施工合同时标明），承包人单位基本账户发生改变时，承包人应书面通知（法定代表人签字并加盖单位公章）发包人。</w:t>
      </w:r>
      <w:bookmarkEnd w:id="1058"/>
      <w:bookmarkEnd w:id="1059"/>
      <w:bookmarkEnd w:id="1060"/>
    </w:p>
    <w:p w14:paraId="33E981EF">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专用合同条款中未尽事宜，在签订施工合同时双方再商定。</w:t>
      </w:r>
    </w:p>
    <w:p w14:paraId="06BC13C2">
      <w:pPr>
        <w:keepNext w:val="0"/>
        <w:keepLines w:val="0"/>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p w14:paraId="3572D37C">
      <w:pPr>
        <w:pStyle w:val="2"/>
        <w:rPr>
          <w:rFonts w:hint="eastAsia" w:ascii="宋体" w:hAnsi="宋体" w:eastAsia="宋体" w:cs="宋体"/>
          <w:color w:val="auto"/>
          <w:sz w:val="21"/>
          <w:szCs w:val="21"/>
          <w:highlight w:val="none"/>
          <w:lang w:val="en-US" w:eastAsia="zh-CN"/>
        </w:rPr>
      </w:pPr>
    </w:p>
    <w:p w14:paraId="7D6AE169">
      <w:pPr>
        <w:pStyle w:val="2"/>
        <w:rPr>
          <w:rFonts w:hint="default" w:ascii="宋体" w:hAnsi="宋体" w:eastAsia="宋体" w:cs="宋体"/>
          <w:color w:val="auto"/>
          <w:sz w:val="21"/>
          <w:szCs w:val="21"/>
          <w:highlight w:val="none"/>
          <w:lang w:val="en-US" w:eastAsia="zh-CN"/>
        </w:rPr>
        <w:sectPr>
          <w:footerReference r:id="rId6" w:type="first"/>
          <w:footerReference r:id="rId5" w:type="default"/>
          <w:pgSz w:w="11906" w:h="16838"/>
          <w:pgMar w:top="1440" w:right="1080" w:bottom="1440" w:left="1080" w:header="851" w:footer="992" w:gutter="0"/>
          <w:pgNumType w:fmt="decimal" w:start="1"/>
          <w:cols w:space="720" w:num="1"/>
          <w:titlePg/>
          <w:docGrid w:type="lines" w:linePitch="312" w:charSpace="0"/>
        </w:sectPr>
      </w:pPr>
    </w:p>
    <w:p w14:paraId="13964DF7">
      <w:pPr>
        <w:pStyle w:val="159"/>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486266D5">
      <w:pPr>
        <w:pStyle w:val="159"/>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577A99F">
      <w:pPr>
        <w:pStyle w:val="159"/>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1A0ECACF">
      <w:pPr>
        <w:pStyle w:val="159"/>
        <w:spacing w:line="360" w:lineRule="auto"/>
        <w:rPr>
          <w:rFonts w:ascii="宋体"/>
          <w:color w:val="auto"/>
          <w:highlight w:val="none"/>
        </w:rPr>
      </w:pPr>
    </w:p>
    <w:p w14:paraId="1F92A99F">
      <w:pPr>
        <w:pStyle w:val="159"/>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B0120D0">
      <w:pPr>
        <w:pStyle w:val="159"/>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2C3B7191">
      <w:pPr>
        <w:pStyle w:val="159"/>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63B8DB4A">
      <w:pPr>
        <w:pStyle w:val="159"/>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8EFCD65">
      <w:pPr>
        <w:pStyle w:val="159"/>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01E5C44B">
      <w:pPr>
        <w:pStyle w:val="159"/>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041A312A">
      <w:pPr>
        <w:pStyle w:val="159"/>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6E982ACA">
      <w:pPr>
        <w:pStyle w:val="159"/>
        <w:spacing w:line="360" w:lineRule="auto"/>
        <w:ind w:firstLine="420" w:firstLineChars="200"/>
        <w:rPr>
          <w:rFonts w:ascii="宋体"/>
          <w:color w:val="auto"/>
          <w:highlight w:val="none"/>
        </w:rPr>
      </w:pPr>
      <w:r>
        <w:rPr>
          <w:rFonts w:hint="eastAsia" w:ascii="宋体" w:hAnsi="宋体" w:cs="宋体"/>
          <w:color w:val="auto"/>
          <w:highlight w:val="none"/>
          <w:u w:val="single"/>
          <w:lang w:eastAsia="zh-CN"/>
        </w:rPr>
        <w:t>施工图纸所包含内容等质量保修期为</w:t>
      </w:r>
      <w:r>
        <w:rPr>
          <w:rFonts w:hint="eastAsia" w:ascii="宋体" w:hAnsi="宋体" w:cs="宋体"/>
          <w:color w:val="auto"/>
          <w:highlight w:val="none"/>
          <w:u w:val="single"/>
          <w:lang w:val="en-US" w:eastAsia="zh-CN"/>
        </w:rPr>
        <w:t>1年</w:t>
      </w:r>
      <w:r>
        <w:rPr>
          <w:rFonts w:hint="eastAsia" w:ascii="宋体" w:hAnsi="宋体" w:cs="宋体"/>
          <w:color w:val="auto"/>
          <w:highlight w:val="none"/>
        </w:rPr>
        <w:t>。</w:t>
      </w:r>
    </w:p>
    <w:p w14:paraId="4EF4BFA8">
      <w:pPr>
        <w:pStyle w:val="159"/>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2C09B05D">
      <w:pPr>
        <w:pStyle w:val="159"/>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27C98628">
      <w:pPr>
        <w:pStyle w:val="159"/>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12</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0EF92E7F">
      <w:pPr>
        <w:pStyle w:val="159"/>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36CAED3E">
      <w:pPr>
        <w:pStyle w:val="159"/>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462EAA33">
      <w:pPr>
        <w:pStyle w:val="159"/>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rPr>
        <w:t>7</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4402EF19">
      <w:pPr>
        <w:pStyle w:val="159"/>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27A3812E">
      <w:pPr>
        <w:pStyle w:val="159"/>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D0D03C2">
      <w:pPr>
        <w:pStyle w:val="159"/>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61F62F02">
      <w:pPr>
        <w:pStyle w:val="159"/>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7F595FAB">
      <w:pPr>
        <w:pStyle w:val="159"/>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72196B04">
      <w:pPr>
        <w:pStyle w:val="159"/>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26ECA3C7">
      <w:pPr>
        <w:pStyle w:val="159"/>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2B3951D8">
      <w:pPr>
        <w:pStyle w:val="159"/>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606CBB51">
      <w:pPr>
        <w:pStyle w:val="159"/>
        <w:spacing w:line="360" w:lineRule="auto"/>
        <w:ind w:firstLine="420"/>
        <w:rPr>
          <w:rFonts w:ascii="宋体"/>
          <w:color w:val="auto"/>
          <w:highlight w:val="none"/>
        </w:rPr>
      </w:pPr>
    </w:p>
    <w:p w14:paraId="393729B7">
      <w:pPr>
        <w:pStyle w:val="159"/>
        <w:spacing w:line="360" w:lineRule="auto"/>
        <w:ind w:firstLine="420"/>
        <w:rPr>
          <w:rFonts w:ascii="宋体"/>
          <w:color w:val="auto"/>
          <w:highlight w:val="none"/>
        </w:rPr>
      </w:pPr>
    </w:p>
    <w:p w14:paraId="62955DE5">
      <w:pPr>
        <w:pStyle w:val="159"/>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A4D0B75">
      <w:pPr>
        <w:pStyle w:val="159"/>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3EADE6D9">
      <w:pPr>
        <w:pStyle w:val="159"/>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01C18BC">
      <w:pPr>
        <w:pStyle w:val="159"/>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5AA1979">
      <w:pPr>
        <w:pStyle w:val="159"/>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3A1DBC8">
      <w:pPr>
        <w:pStyle w:val="159"/>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7AB7F524">
      <w:pPr>
        <w:pStyle w:val="159"/>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24C8CF4">
      <w:pPr>
        <w:pStyle w:val="159"/>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4466205">
      <w:pPr>
        <w:pStyle w:val="159"/>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FCEEA21">
      <w:pPr>
        <w:pStyle w:val="159"/>
        <w:spacing w:line="360" w:lineRule="auto"/>
        <w:rPr>
          <w:rFonts w:ascii="宋体"/>
          <w:color w:val="auto"/>
          <w:highlight w:val="none"/>
        </w:rPr>
      </w:pPr>
    </w:p>
    <w:p w14:paraId="4CE2DA56">
      <w:pPr>
        <w:pageBreakBefore w:val="0"/>
        <w:widowControl w:val="0"/>
        <w:kinsoku/>
        <w:wordWrap/>
        <w:overflowPunct/>
        <w:topLinePunct w:val="0"/>
        <w:bidi w:val="0"/>
        <w:snapToGrid/>
        <w:spacing w:line="360" w:lineRule="exact"/>
        <w:ind w:left="0" w:leftChars="0" w:right="0" w:rightChars="0"/>
        <w:jc w:val="right"/>
        <w:rPr>
          <w:rFonts w:hint="eastAsia" w:ascii="宋体" w:hAnsi="宋体" w:eastAsia="宋体" w:cs="宋体"/>
          <w:color w:val="auto"/>
          <w:sz w:val="21"/>
          <w:szCs w:val="21"/>
          <w:highlight w:val="none"/>
          <w:u w:val="single"/>
        </w:rPr>
      </w:pPr>
    </w:p>
    <w:p w14:paraId="13BDAB3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96B667F">
      <w:pPr>
        <w:jc w:val="center"/>
        <w:outlineLvl w:val="0"/>
        <w:rPr>
          <w:rFonts w:hint="eastAsia" w:ascii="华文中宋" w:hAnsi="华文中宋" w:eastAsia="华文中宋" w:cs="华文中宋"/>
          <w:b/>
          <w:bCs/>
          <w:color w:val="auto"/>
          <w:sz w:val="32"/>
          <w:szCs w:val="32"/>
          <w:highlight w:val="none"/>
        </w:rPr>
      </w:pPr>
      <w:r>
        <w:rPr>
          <w:rFonts w:hint="eastAsia" w:ascii="宋体" w:hAnsi="宋体" w:eastAsia="宋体" w:cs="宋体"/>
          <w:b/>
          <w:color w:val="auto"/>
          <w:sz w:val="21"/>
          <w:szCs w:val="21"/>
          <w:highlight w:val="none"/>
        </w:rPr>
        <w:br w:type="page"/>
      </w:r>
      <w:bookmarkStart w:id="1061" w:name="_Toc4230"/>
      <w:bookmarkStart w:id="1062" w:name="_Toc31864"/>
      <w:bookmarkStart w:id="1063" w:name="_Toc2274"/>
      <w:r>
        <w:rPr>
          <w:rFonts w:hint="eastAsia" w:ascii="华文中宋" w:hAnsi="华文中宋" w:eastAsia="华文中宋" w:cs="华文中宋"/>
          <w:b/>
          <w:bCs/>
          <w:color w:val="auto"/>
          <w:sz w:val="32"/>
          <w:szCs w:val="32"/>
          <w:highlight w:val="none"/>
        </w:rPr>
        <w:t xml:space="preserve">第六章  </w:t>
      </w:r>
      <w:bookmarkEnd w:id="206"/>
      <w:bookmarkEnd w:id="207"/>
      <w:bookmarkStart w:id="1064" w:name="_Toc13185"/>
      <w:r>
        <w:rPr>
          <w:rFonts w:hint="eastAsia" w:ascii="华文中宋" w:hAnsi="华文中宋" w:eastAsia="华文中宋" w:cs="华文中宋"/>
          <w:b/>
          <w:bCs/>
          <w:color w:val="auto"/>
          <w:sz w:val="32"/>
          <w:szCs w:val="32"/>
          <w:highlight w:val="none"/>
        </w:rPr>
        <w:t>响应文件（格式）</w:t>
      </w:r>
      <w:bookmarkEnd w:id="1061"/>
      <w:bookmarkEnd w:id="1062"/>
      <w:bookmarkEnd w:id="1063"/>
      <w:bookmarkEnd w:id="1064"/>
    </w:p>
    <w:p w14:paraId="2928C1CA">
      <w:pPr>
        <w:rPr>
          <w:rFonts w:hint="eastAsia" w:ascii="宋体" w:hAnsi="宋体" w:eastAsia="宋体" w:cs="宋体"/>
          <w:color w:val="auto"/>
          <w:highlight w:val="none"/>
        </w:rPr>
      </w:pPr>
    </w:p>
    <w:p w14:paraId="4FBD2778">
      <w:pPr>
        <w:rPr>
          <w:rFonts w:ascii="宋体" w:hAnsi="宋体"/>
          <w:b/>
          <w:color w:val="auto"/>
          <w:sz w:val="32"/>
          <w:szCs w:val="20"/>
          <w:highlight w:val="none"/>
        </w:rPr>
      </w:pPr>
      <w:bookmarkStart w:id="1065" w:name="_Toc497927069"/>
      <w:bookmarkStart w:id="1066" w:name="_Toc21496"/>
      <w:bookmarkStart w:id="1067" w:name="_Toc18351"/>
      <w:r>
        <w:rPr>
          <w:rFonts w:hint="eastAsia" w:ascii="宋体" w:hAnsi="宋体"/>
          <w:b/>
          <w:color w:val="auto"/>
          <w:sz w:val="32"/>
          <w:szCs w:val="20"/>
          <w:highlight w:val="none"/>
        </w:rPr>
        <w:t>响应文件</w:t>
      </w:r>
      <w:bookmarkEnd w:id="1065"/>
      <w:bookmarkEnd w:id="1066"/>
      <w:bookmarkEnd w:id="1067"/>
      <w:r>
        <w:rPr>
          <w:rFonts w:hint="eastAsia" w:ascii="宋体" w:hAnsi="宋体"/>
          <w:b/>
          <w:color w:val="auto"/>
          <w:sz w:val="32"/>
          <w:szCs w:val="20"/>
          <w:highlight w:val="none"/>
        </w:rPr>
        <w:t>封面格式：</w:t>
      </w:r>
    </w:p>
    <w:p w14:paraId="61C9AAC5">
      <w:pPr>
        <w:adjustRightInd w:val="0"/>
        <w:snapToGrid w:val="0"/>
        <w:rPr>
          <w:rFonts w:ascii="宋体" w:hAnsi="宋体" w:cs="宋体"/>
          <w:b/>
          <w:color w:val="auto"/>
          <w:sz w:val="44"/>
          <w:szCs w:val="44"/>
          <w:highlight w:val="none"/>
        </w:rPr>
      </w:pPr>
    </w:p>
    <w:p w14:paraId="28FFA911">
      <w:pPr>
        <w:autoSpaceDE w:val="0"/>
        <w:autoSpaceDN w:val="0"/>
        <w:adjustRightInd w:val="0"/>
        <w:jc w:val="left"/>
        <w:rPr>
          <w:rFonts w:hint="eastAsia"/>
          <w:color w:val="auto"/>
          <w:kern w:val="0"/>
          <w:sz w:val="24"/>
          <w:highlight w:val="none"/>
        </w:rPr>
      </w:pPr>
    </w:p>
    <w:p w14:paraId="21D9CA1C">
      <w:pPr>
        <w:autoSpaceDE w:val="0"/>
        <w:autoSpaceDN w:val="0"/>
        <w:adjustRightInd w:val="0"/>
        <w:jc w:val="left"/>
        <w:rPr>
          <w:rFonts w:hint="eastAsia"/>
          <w:color w:val="auto"/>
          <w:kern w:val="0"/>
          <w:sz w:val="24"/>
          <w:highlight w:val="none"/>
        </w:rPr>
      </w:pPr>
    </w:p>
    <w:p w14:paraId="3C06924E">
      <w:pPr>
        <w:autoSpaceDE w:val="0"/>
        <w:autoSpaceDN w:val="0"/>
        <w:adjustRightInd w:val="0"/>
        <w:jc w:val="left"/>
        <w:rPr>
          <w:color w:val="auto"/>
          <w:kern w:val="0"/>
          <w:sz w:val="24"/>
          <w:highlight w:val="none"/>
        </w:rPr>
      </w:pPr>
    </w:p>
    <w:p w14:paraId="084D300D">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489E7AC4">
      <w:pPr>
        <w:snapToGrid w:val="0"/>
        <w:spacing w:before="165" w:beforeLines="50" w:after="50"/>
        <w:ind w:firstLine="422" w:firstLineChars="150"/>
        <w:rPr>
          <w:rFonts w:ascii="宋体" w:hAnsi="宋体" w:cs="宋体"/>
          <w:b/>
          <w:color w:val="auto"/>
          <w:sz w:val="28"/>
          <w:szCs w:val="28"/>
          <w:highlight w:val="none"/>
        </w:rPr>
      </w:pPr>
    </w:p>
    <w:p w14:paraId="42694826">
      <w:pPr>
        <w:snapToGrid w:val="0"/>
        <w:spacing w:before="165" w:beforeLines="50" w:after="50"/>
        <w:ind w:firstLine="422" w:firstLineChars="150"/>
        <w:rPr>
          <w:rFonts w:ascii="宋体" w:hAnsi="宋体" w:cs="宋体"/>
          <w:b/>
          <w:color w:val="auto"/>
          <w:sz w:val="28"/>
          <w:szCs w:val="28"/>
          <w:highlight w:val="none"/>
        </w:rPr>
      </w:pPr>
    </w:p>
    <w:p w14:paraId="44477BC6">
      <w:pPr>
        <w:snapToGrid w:val="0"/>
        <w:spacing w:before="165" w:beforeLines="50" w:after="50"/>
        <w:ind w:firstLine="2249" w:firstLineChars="800"/>
        <w:jc w:val="left"/>
        <w:rPr>
          <w:rFonts w:hint="eastAsia" w:ascii="宋体" w:hAnsi="宋体" w:cs="宋体"/>
          <w:b/>
          <w:color w:val="auto"/>
          <w:sz w:val="28"/>
          <w:szCs w:val="28"/>
          <w:highlight w:val="none"/>
        </w:rPr>
      </w:pPr>
    </w:p>
    <w:p w14:paraId="75BC2B6A">
      <w:pPr>
        <w:snapToGrid w:val="0"/>
        <w:spacing w:before="165" w:beforeLines="50" w:after="50"/>
        <w:ind w:firstLine="2249" w:firstLineChars="800"/>
        <w:jc w:val="left"/>
        <w:rPr>
          <w:rFonts w:hint="eastAsia" w:ascii="宋体" w:hAnsi="宋体" w:cs="宋体"/>
          <w:b/>
          <w:color w:val="auto"/>
          <w:sz w:val="28"/>
          <w:szCs w:val="28"/>
          <w:highlight w:val="none"/>
        </w:rPr>
      </w:pPr>
    </w:p>
    <w:p w14:paraId="21C47FF4">
      <w:pPr>
        <w:keepNext w:val="0"/>
        <w:keepLines w:val="0"/>
        <w:pageBreakBefore w:val="0"/>
        <w:widowControl w:val="0"/>
        <w:kinsoku/>
        <w:wordWrap/>
        <w:overflowPunct/>
        <w:topLinePunct w:val="0"/>
        <w:autoSpaceDE/>
        <w:autoSpaceDN/>
        <w:bidi w:val="0"/>
        <w:adjustRightInd/>
        <w:snapToGrid w:val="0"/>
        <w:spacing w:before="165" w:beforeLines="50" w:after="50"/>
        <w:ind w:firstLine="0" w:firstLineChars="0"/>
        <w:jc w:val="center"/>
        <w:textAlignment w:val="auto"/>
        <w:rPr>
          <w:rFonts w:hint="eastAsia" w:ascii="宋体" w:hAnsi="宋体" w:cs="宋体"/>
          <w:b/>
          <w:color w:val="auto"/>
          <w:sz w:val="28"/>
          <w:szCs w:val="28"/>
          <w:highlight w:val="none"/>
          <w:u w:val="single"/>
          <w:lang w:eastAsia="zh-CN"/>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eastAsia="zh-CN"/>
        </w:rPr>
        <w:t>灌阳县2024年中央财政水利发展资金小型水库工程维修养护项目</w:t>
      </w:r>
    </w:p>
    <w:p w14:paraId="0D20772A">
      <w:pPr>
        <w:keepNext w:val="0"/>
        <w:keepLines w:val="0"/>
        <w:pageBreakBefore w:val="0"/>
        <w:widowControl w:val="0"/>
        <w:kinsoku/>
        <w:wordWrap/>
        <w:overflowPunct/>
        <w:topLinePunct w:val="0"/>
        <w:autoSpaceDE/>
        <w:autoSpaceDN/>
        <w:bidi w:val="0"/>
        <w:adjustRightInd/>
        <w:snapToGrid w:val="0"/>
        <w:spacing w:before="165" w:beforeLines="50" w:after="50"/>
        <w:ind w:firstLine="0" w:firstLineChars="0"/>
        <w:jc w:val="center"/>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项目编号：GLZC2025-C2-270008-GLJG</w:t>
      </w:r>
    </w:p>
    <w:p w14:paraId="2C22A5C4">
      <w:pPr>
        <w:rPr>
          <w:rFonts w:ascii="宋体" w:hAnsi="宋体" w:cs="宋体"/>
          <w:b/>
          <w:color w:val="auto"/>
          <w:highlight w:val="none"/>
        </w:rPr>
      </w:pPr>
    </w:p>
    <w:p w14:paraId="079665A8">
      <w:pPr>
        <w:spacing w:line="400" w:lineRule="exact"/>
        <w:ind w:firstLine="2704" w:firstLineChars="962"/>
        <w:rPr>
          <w:rFonts w:ascii="宋体" w:hAnsi="宋体" w:cs="宋体"/>
          <w:b/>
          <w:color w:val="auto"/>
          <w:sz w:val="28"/>
          <w:szCs w:val="28"/>
          <w:highlight w:val="none"/>
        </w:rPr>
      </w:pPr>
    </w:p>
    <w:p w14:paraId="01FFC973">
      <w:pPr>
        <w:autoSpaceDE w:val="0"/>
        <w:autoSpaceDN w:val="0"/>
        <w:adjustRightInd w:val="0"/>
        <w:jc w:val="left"/>
        <w:rPr>
          <w:rFonts w:ascii="宋体" w:hAnsi="宋体" w:cs="宋体"/>
          <w:b/>
          <w:color w:val="auto"/>
          <w:kern w:val="0"/>
          <w:sz w:val="28"/>
          <w:szCs w:val="28"/>
          <w:highlight w:val="none"/>
        </w:rPr>
      </w:pPr>
    </w:p>
    <w:p w14:paraId="1AD78B06">
      <w:pPr>
        <w:autoSpaceDE w:val="0"/>
        <w:autoSpaceDN w:val="0"/>
        <w:adjustRightInd w:val="0"/>
        <w:ind w:firstLine="1968" w:firstLineChars="700"/>
        <w:jc w:val="left"/>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rPr>
        <w:t>采购人：</w:t>
      </w:r>
      <w:r>
        <w:rPr>
          <w:rFonts w:hint="eastAsia" w:ascii="宋体" w:hAnsi="宋体" w:cs="宋体"/>
          <w:b/>
          <w:color w:val="auto"/>
          <w:kern w:val="0"/>
          <w:sz w:val="28"/>
          <w:szCs w:val="28"/>
          <w:highlight w:val="none"/>
          <w:u w:val="single"/>
          <w:lang w:eastAsia="zh-CN"/>
        </w:rPr>
        <w:t>灌阳县水利局</w:t>
      </w:r>
    </w:p>
    <w:p w14:paraId="5F05AA4F">
      <w:pPr>
        <w:snapToGrid w:val="0"/>
        <w:spacing w:before="165" w:beforeLines="50" w:after="50"/>
        <w:ind w:firstLine="1968" w:firstLineChars="700"/>
        <w:jc w:val="left"/>
        <w:rPr>
          <w:rFonts w:hint="eastAsia" w:ascii="宋体" w:hAnsi="宋体" w:eastAsia="宋体" w:cs="宋体"/>
          <w:b/>
          <w:color w:val="auto"/>
          <w:sz w:val="28"/>
          <w:szCs w:val="28"/>
          <w:highlight w:val="none"/>
          <w:u w:val="single"/>
          <w:lang w:eastAsia="zh-CN"/>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lang w:eastAsia="zh-CN"/>
        </w:rPr>
        <w:t>桂林聚格项目管理有限公司</w:t>
      </w:r>
    </w:p>
    <w:p w14:paraId="39B80CFF">
      <w:pPr>
        <w:spacing w:after="120"/>
        <w:ind w:left="980" w:leftChars="200" w:hanging="560" w:hangingChars="200"/>
        <w:rPr>
          <w:rFonts w:hint="eastAsia" w:ascii="宋体" w:hAnsi="宋体" w:cs="宋体"/>
          <w:bCs/>
          <w:color w:val="auto"/>
          <w:sz w:val="28"/>
          <w:szCs w:val="28"/>
          <w:highlight w:val="none"/>
        </w:rPr>
      </w:pPr>
      <w:bookmarkStart w:id="1068" w:name="_Toc20319_WPSOffice_Level2"/>
      <w:bookmarkStart w:id="1069" w:name="_Toc4932_WPSOffice_Level2"/>
    </w:p>
    <w:p w14:paraId="4B41A24C">
      <w:pPr>
        <w:spacing w:after="120"/>
        <w:ind w:left="980" w:leftChars="200" w:hanging="560" w:hangingChars="200"/>
        <w:rPr>
          <w:rFonts w:hint="eastAsia" w:ascii="宋体" w:hAnsi="宋体" w:cs="宋体"/>
          <w:bCs/>
          <w:color w:val="auto"/>
          <w:sz w:val="28"/>
          <w:szCs w:val="28"/>
          <w:highlight w:val="none"/>
        </w:rPr>
      </w:pPr>
    </w:p>
    <w:p w14:paraId="55139B80">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u w:val="single"/>
        </w:rPr>
      </w:pPr>
      <w:r>
        <w:rPr>
          <w:rFonts w:hint="eastAsia" w:ascii="宋体" w:hAnsi="宋体" w:cs="宋体"/>
          <w:bCs/>
          <w:color w:val="auto"/>
          <w:sz w:val="28"/>
          <w:szCs w:val="28"/>
          <w:highlight w:val="none"/>
        </w:rPr>
        <w:t>供应商[公章(CA签章)]：</w:t>
      </w:r>
      <w:bookmarkEnd w:id="1068"/>
      <w:bookmarkEnd w:id="1069"/>
      <w:r>
        <w:rPr>
          <w:rFonts w:hint="eastAsia" w:ascii="宋体" w:hAnsi="宋体" w:cs="宋体"/>
          <w:bCs/>
          <w:color w:val="auto"/>
          <w:sz w:val="28"/>
          <w:szCs w:val="28"/>
          <w:highlight w:val="none"/>
          <w:u w:val="single"/>
        </w:rPr>
        <w:t xml:space="preserve">                              </w:t>
      </w:r>
    </w:p>
    <w:p w14:paraId="4F70E4D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cs="宋体"/>
          <w:color w:val="auto"/>
          <w:sz w:val="28"/>
          <w:szCs w:val="28"/>
          <w:highlight w:val="none"/>
          <w:u w:val="single"/>
        </w:rPr>
      </w:pPr>
      <w:bookmarkStart w:id="1070" w:name="_Toc9622_WPSOffice_Level2"/>
      <w:bookmarkStart w:id="1071" w:name="_Toc32056_WPSOffice_Level2"/>
      <w:r>
        <w:rPr>
          <w:rFonts w:hint="eastAsia" w:ascii="宋体" w:hAnsi="宋体" w:cs="宋体"/>
          <w:color w:val="auto"/>
          <w:sz w:val="28"/>
          <w:szCs w:val="28"/>
          <w:highlight w:val="none"/>
        </w:rPr>
        <w:t>法定代表人或相应的委托代理人签字[或盖章(CA签章)]：</w:t>
      </w:r>
      <w:r>
        <w:rPr>
          <w:rFonts w:hint="eastAsia" w:ascii="宋体" w:hAnsi="宋体" w:cs="宋体"/>
          <w:color w:val="auto"/>
          <w:sz w:val="28"/>
          <w:szCs w:val="28"/>
          <w:highlight w:val="none"/>
          <w:u w:val="single"/>
        </w:rPr>
        <w:t xml:space="preserve">            </w:t>
      </w:r>
    </w:p>
    <w:bookmarkEnd w:id="1070"/>
    <w:bookmarkEnd w:id="1071"/>
    <w:p w14:paraId="289BB5F1">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rPr>
      </w:pPr>
      <w:bookmarkStart w:id="1072" w:name="_Toc15933_WPSOffice_Level2"/>
      <w:bookmarkStart w:id="1073"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1072"/>
      <w:bookmarkEnd w:id="1073"/>
    </w:p>
    <w:p w14:paraId="0FA9356A">
      <w:pPr>
        <w:pStyle w:val="69"/>
        <w:rPr>
          <w:rFonts w:hint="eastAsia"/>
          <w:color w:val="auto"/>
          <w:highlight w:val="none"/>
        </w:rPr>
      </w:pPr>
    </w:p>
    <w:p w14:paraId="5EBC469B">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F82491B">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5914DAE">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0309EB94">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3E6A20A0">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1090996B">
      <w:pPr>
        <w:numPr>
          <w:ilvl w:val="0"/>
          <w:numId w:val="0"/>
        </w:numPr>
        <w:outlineLvl w:val="1"/>
        <w:rPr>
          <w:rFonts w:hint="eastAsia" w:ascii="宋体" w:hAnsi="宋体" w:eastAsia="宋体" w:cs="宋体"/>
          <w:b/>
          <w:bCs/>
          <w:color w:val="auto"/>
          <w:sz w:val="32"/>
          <w:szCs w:val="32"/>
          <w:highlight w:val="none"/>
        </w:rPr>
      </w:pPr>
      <w:bookmarkStart w:id="1074" w:name="_Toc19430"/>
      <w:bookmarkStart w:id="1075" w:name="_Toc21615"/>
      <w:bookmarkStart w:id="1076" w:name="_Toc497927070"/>
      <w:r>
        <w:rPr>
          <w:rFonts w:hint="eastAsia" w:ascii="宋体" w:hAnsi="宋体" w:eastAsia="宋体" w:cs="宋体"/>
          <w:b/>
          <w:bCs/>
          <w:color w:val="auto"/>
          <w:sz w:val="32"/>
          <w:szCs w:val="32"/>
          <w:highlight w:val="none"/>
          <w:lang w:eastAsia="zh-CN"/>
        </w:rPr>
        <w:br w:type="page"/>
      </w:r>
      <w:bookmarkStart w:id="1077" w:name="_Toc12538"/>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074"/>
      <w:bookmarkEnd w:id="1075"/>
      <w:bookmarkEnd w:id="1076"/>
      <w:bookmarkEnd w:id="1077"/>
    </w:p>
    <w:p w14:paraId="6C6C717D">
      <w:pPr>
        <w:pStyle w:val="2"/>
        <w:numPr>
          <w:ilvl w:val="0"/>
          <w:numId w:val="0"/>
        </w:numPr>
        <w:rPr>
          <w:rFonts w:hint="eastAsia" w:ascii="宋体" w:hAnsi="宋体" w:eastAsia="宋体" w:cs="宋体"/>
          <w:color w:val="auto"/>
          <w:highlight w:val="none"/>
        </w:rPr>
      </w:pPr>
    </w:p>
    <w:p w14:paraId="22F2FB33">
      <w:pPr>
        <w:pStyle w:val="2"/>
        <w:rPr>
          <w:rFonts w:hint="eastAsia" w:ascii="宋体" w:hAnsi="宋体" w:eastAsia="宋体" w:cs="宋体"/>
          <w:b/>
          <w:bCs/>
          <w:color w:val="auto"/>
          <w:sz w:val="28"/>
          <w:szCs w:val="28"/>
          <w:highlight w:val="none"/>
          <w:lang w:eastAsia="zh-CN"/>
        </w:rPr>
      </w:pPr>
    </w:p>
    <w:p w14:paraId="25A53222">
      <w:pPr>
        <w:numPr>
          <w:ilvl w:val="0"/>
          <w:numId w:val="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54506924">
      <w:pPr>
        <w:pStyle w:val="2"/>
        <w:rPr>
          <w:rFonts w:hint="eastAsia" w:ascii="宋体" w:hAnsi="宋体" w:eastAsia="宋体" w:cs="宋体"/>
          <w:b/>
          <w:bCs/>
          <w:color w:val="auto"/>
          <w:sz w:val="28"/>
          <w:szCs w:val="28"/>
          <w:highlight w:val="none"/>
        </w:rPr>
      </w:pPr>
    </w:p>
    <w:p w14:paraId="3C9EC92B">
      <w:pPr>
        <w:pStyle w:val="2"/>
        <w:rPr>
          <w:rFonts w:hint="eastAsia" w:ascii="宋体" w:hAnsi="宋体" w:eastAsia="宋体" w:cs="宋体"/>
          <w:b/>
          <w:bCs/>
          <w:color w:val="auto"/>
          <w:sz w:val="28"/>
          <w:szCs w:val="28"/>
          <w:highlight w:val="none"/>
        </w:rPr>
      </w:pPr>
    </w:p>
    <w:p w14:paraId="7601F6F6">
      <w:pPr>
        <w:numPr>
          <w:ilvl w:val="0"/>
          <w:numId w:val="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7D4A551B">
      <w:pPr>
        <w:pStyle w:val="2"/>
        <w:rPr>
          <w:rFonts w:hint="eastAsia" w:ascii="宋体" w:hAnsi="宋体" w:eastAsia="宋体" w:cs="宋体"/>
          <w:b/>
          <w:bCs/>
          <w:color w:val="auto"/>
          <w:sz w:val="28"/>
          <w:szCs w:val="28"/>
          <w:highlight w:val="none"/>
        </w:rPr>
      </w:pPr>
    </w:p>
    <w:p w14:paraId="25B77899">
      <w:pPr>
        <w:pStyle w:val="2"/>
        <w:rPr>
          <w:rFonts w:hint="eastAsia" w:ascii="宋体" w:hAnsi="宋体" w:eastAsia="宋体" w:cs="宋体"/>
          <w:b/>
          <w:bCs/>
          <w:color w:val="auto"/>
          <w:sz w:val="28"/>
          <w:szCs w:val="28"/>
          <w:highlight w:val="none"/>
        </w:rPr>
      </w:pPr>
    </w:p>
    <w:p w14:paraId="6DBD7E5B">
      <w:pPr>
        <w:numPr>
          <w:ilvl w:val="0"/>
          <w:numId w:val="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55018451">
      <w:pPr>
        <w:pStyle w:val="69"/>
        <w:rPr>
          <w:rFonts w:hint="eastAsia" w:ascii="宋体" w:hAnsi="宋体" w:eastAsia="宋体" w:cs="宋体"/>
          <w:color w:val="auto"/>
          <w:highlight w:val="none"/>
        </w:rPr>
      </w:pPr>
    </w:p>
    <w:p w14:paraId="64303C26">
      <w:pPr>
        <w:tabs>
          <w:tab w:val="left" w:pos="5040"/>
        </w:tabs>
        <w:spacing w:line="400" w:lineRule="exact"/>
        <w:rPr>
          <w:rFonts w:hint="eastAsia" w:ascii="宋体" w:hAnsi="宋体" w:eastAsia="宋体" w:cs="宋体"/>
          <w:color w:val="auto"/>
          <w:szCs w:val="21"/>
          <w:highlight w:val="none"/>
        </w:rPr>
      </w:pPr>
    </w:p>
    <w:p w14:paraId="7463D720">
      <w:pPr>
        <w:pStyle w:val="69"/>
        <w:rPr>
          <w:rFonts w:hint="eastAsia" w:ascii="宋体" w:hAnsi="宋体" w:eastAsia="宋体" w:cs="宋体"/>
          <w:color w:val="auto"/>
          <w:szCs w:val="21"/>
          <w:highlight w:val="none"/>
        </w:rPr>
      </w:pPr>
    </w:p>
    <w:p w14:paraId="6A5DD084">
      <w:pPr>
        <w:pStyle w:val="69"/>
        <w:rPr>
          <w:rFonts w:hint="eastAsia" w:ascii="宋体" w:hAnsi="宋体" w:eastAsia="宋体" w:cs="宋体"/>
          <w:color w:val="auto"/>
          <w:szCs w:val="21"/>
          <w:highlight w:val="none"/>
        </w:rPr>
      </w:pPr>
    </w:p>
    <w:p w14:paraId="41BD7C83">
      <w:pPr>
        <w:pStyle w:val="69"/>
        <w:rPr>
          <w:rFonts w:hint="eastAsia" w:ascii="宋体" w:hAnsi="宋体" w:eastAsia="宋体" w:cs="宋体"/>
          <w:color w:val="auto"/>
          <w:szCs w:val="21"/>
          <w:highlight w:val="none"/>
        </w:rPr>
      </w:pPr>
    </w:p>
    <w:p w14:paraId="4B24434C">
      <w:pPr>
        <w:pStyle w:val="69"/>
        <w:rPr>
          <w:rFonts w:hint="eastAsia" w:ascii="宋体" w:hAnsi="宋体" w:eastAsia="宋体" w:cs="宋体"/>
          <w:color w:val="auto"/>
          <w:szCs w:val="21"/>
          <w:highlight w:val="none"/>
        </w:rPr>
      </w:pPr>
    </w:p>
    <w:p w14:paraId="34935BBC">
      <w:pPr>
        <w:keepLines w:val="0"/>
        <w:pageBreakBefore w:val="0"/>
        <w:widowControl w:val="0"/>
        <w:numPr>
          <w:ilvl w:val="0"/>
          <w:numId w:val="7"/>
        </w:numPr>
        <w:tabs>
          <w:tab w:val="left" w:pos="3570"/>
        </w:tabs>
        <w:kinsoku/>
        <w:wordWrap/>
        <w:overflowPunct/>
        <w:topLinePunct w:val="0"/>
        <w:autoSpaceDE/>
        <w:autoSpaceDN/>
        <w:bidi w:val="0"/>
        <w:adjustRightInd/>
        <w:snapToGrid/>
        <w:spacing w:line="400" w:lineRule="exact"/>
        <w:jc w:val="center"/>
        <w:textAlignment w:val="auto"/>
        <w:outlineLvl w:val="1"/>
        <w:rPr>
          <w:rFonts w:hint="eastAsia" w:ascii="华文中宋" w:hAnsi="华文中宋" w:eastAsia="华文中宋" w:cs="华文中宋"/>
          <w:b/>
          <w:bCs/>
          <w:iCs w:val="0"/>
          <w:color w:val="auto"/>
          <w:kern w:val="2"/>
          <w:sz w:val="30"/>
          <w:szCs w:val="30"/>
          <w:highlight w:val="none"/>
          <w:lang w:val="en-US" w:eastAsia="zh-CN" w:bidi="ar-SA"/>
        </w:rPr>
      </w:pPr>
      <w:bookmarkStart w:id="1078" w:name="_Toc497927071"/>
      <w:bookmarkStart w:id="1079" w:name="_Toc11067"/>
      <w:bookmarkStart w:id="1080" w:name="_Toc7185"/>
      <w:r>
        <w:rPr>
          <w:rFonts w:hint="eastAsia" w:ascii="宋体" w:hAnsi="宋体" w:eastAsia="宋体" w:cs="宋体"/>
          <w:color w:val="auto"/>
          <w:sz w:val="32"/>
          <w:szCs w:val="32"/>
          <w:highlight w:val="none"/>
          <w:lang w:eastAsia="zh-CN"/>
        </w:rPr>
        <w:br w:type="page"/>
      </w:r>
      <w:bookmarkStart w:id="1081" w:name="_Toc12268"/>
      <w:r>
        <w:rPr>
          <w:rFonts w:hint="eastAsia" w:ascii="华文中宋" w:hAnsi="华文中宋" w:eastAsia="华文中宋" w:cs="华文中宋"/>
          <w:b/>
          <w:bCs/>
          <w:color w:val="auto"/>
          <w:sz w:val="30"/>
          <w:szCs w:val="30"/>
          <w:highlight w:val="none"/>
          <w:lang w:val="en-US" w:eastAsia="zh-CN"/>
        </w:rPr>
        <w:t>资格</w:t>
      </w:r>
      <w:r>
        <w:rPr>
          <w:rFonts w:hint="eastAsia" w:ascii="华文中宋" w:hAnsi="华文中宋" w:eastAsia="华文中宋" w:cs="华文中宋"/>
          <w:b/>
          <w:bCs/>
          <w:iCs w:val="0"/>
          <w:color w:val="auto"/>
          <w:kern w:val="2"/>
          <w:sz w:val="30"/>
          <w:szCs w:val="30"/>
          <w:highlight w:val="none"/>
          <w:lang w:val="en-US" w:eastAsia="zh-CN" w:bidi="ar-SA"/>
        </w:rPr>
        <w:t>性响应证明材料目录</w:t>
      </w:r>
      <w:bookmarkEnd w:id="1078"/>
      <w:bookmarkEnd w:id="1079"/>
      <w:bookmarkEnd w:id="1080"/>
      <w:bookmarkEnd w:id="1081"/>
    </w:p>
    <w:p w14:paraId="224722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71DAF1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供应商相应的法定</w:t>
      </w:r>
      <w:r>
        <w:rPr>
          <w:rFonts w:hint="eastAsia" w:ascii="宋体" w:hAnsi="宋体" w:eastAsia="宋体" w:cs="宋体"/>
          <w:b w:val="0"/>
          <w:bCs w:val="0"/>
          <w:color w:val="auto"/>
          <w:sz w:val="24"/>
          <w:szCs w:val="24"/>
          <w:highlight w:val="none"/>
          <w:lang w:eastAsia="zh-CN"/>
        </w:rPr>
        <w:t>代表人、负责人、自然人有效身份证正反两面复印件</w:t>
      </w:r>
      <w:r>
        <w:rPr>
          <w:rFonts w:hint="eastAsia" w:ascii="宋体" w:hAnsi="宋体" w:eastAsia="宋体" w:cs="宋体"/>
          <w:b w:val="0"/>
          <w:bCs w:val="0"/>
          <w:color w:val="auto"/>
          <w:sz w:val="24"/>
          <w:szCs w:val="24"/>
          <w:highlight w:val="none"/>
        </w:rPr>
        <w:t>（必须提供）；</w:t>
      </w:r>
    </w:p>
    <w:p w14:paraId="161523BD">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供应商的授权委托书原件、委托代理人身份证正反面复印件以及由县级以上（含县级）社会养老保险经办机构出具的供应商为委托代理人交纳的响应文件递交截止时间前</w:t>
      </w:r>
      <w:r>
        <w:rPr>
          <w:rFonts w:hint="eastAsia" w:ascii="宋体" w:hAnsi="宋体" w:eastAsia="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复印件，除供应商为以下</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种情形的：①如供应商为截标时间前60日以内成立的公司，可以提供供应商与委托代理人签订的劳动合同复印件代替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复印件；②如供应商为事业单位，可以提供事业单位机构编制管理证复印件或事业单位机构为其发放工资的工资条复印件代替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复印件；③如委托代理人为免缴纳</w:t>
      </w:r>
      <w:r>
        <w:rPr>
          <w:rFonts w:hint="eastAsia" w:ascii="宋体" w:hAnsi="宋体" w:eastAsia="宋体" w:cs="宋体"/>
          <w:b w:val="0"/>
          <w:bCs w:val="0"/>
          <w:color w:val="auto"/>
          <w:sz w:val="24"/>
          <w:szCs w:val="24"/>
          <w:highlight w:val="none"/>
          <w:lang w:eastAsia="zh-CN"/>
        </w:rPr>
        <w:t>养老保险</w:t>
      </w:r>
      <w:r>
        <w:rPr>
          <w:rFonts w:hint="eastAsia" w:ascii="宋体" w:hAnsi="宋体" w:eastAsia="宋体" w:cs="宋体"/>
          <w:b w:val="0"/>
          <w:bCs w:val="0"/>
          <w:color w:val="auto"/>
          <w:sz w:val="24"/>
          <w:szCs w:val="24"/>
          <w:highlight w:val="none"/>
        </w:rPr>
        <w:t>人员，提供免缴纳</w:t>
      </w:r>
      <w:r>
        <w:rPr>
          <w:rFonts w:hint="eastAsia" w:ascii="宋体" w:hAnsi="宋体" w:eastAsia="宋体" w:cs="宋体"/>
          <w:b w:val="0"/>
          <w:bCs w:val="0"/>
          <w:color w:val="auto"/>
          <w:sz w:val="24"/>
          <w:szCs w:val="24"/>
          <w:highlight w:val="none"/>
          <w:lang w:eastAsia="zh-CN"/>
        </w:rPr>
        <w:t>养老保险</w:t>
      </w:r>
      <w:r>
        <w:rPr>
          <w:rFonts w:hint="eastAsia" w:ascii="宋体" w:hAnsi="宋体" w:eastAsia="宋体" w:cs="宋体"/>
          <w:b w:val="0"/>
          <w:bCs w:val="0"/>
          <w:color w:val="auto"/>
          <w:sz w:val="24"/>
          <w:szCs w:val="24"/>
          <w:highlight w:val="none"/>
        </w:rPr>
        <w:t>的证明材料复印件及供应商与委托代理人签订的劳动合同复印件代替</w:t>
      </w:r>
      <w:r>
        <w:rPr>
          <w:rFonts w:hint="eastAsia" w:ascii="宋体" w:hAnsi="宋体" w:eastAsia="宋体" w:cs="宋体"/>
          <w:b w:val="0"/>
          <w:bCs w:val="0"/>
          <w:color w:val="auto"/>
          <w:sz w:val="24"/>
          <w:szCs w:val="24"/>
          <w:highlight w:val="none"/>
          <w:lang w:eastAsia="zh-CN"/>
        </w:rPr>
        <w:t>养老保险证明</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val="0"/>
          <w:bCs w:val="0"/>
          <w:color w:val="auto"/>
          <w:sz w:val="24"/>
          <w:szCs w:val="24"/>
          <w:highlight w:val="none"/>
          <w:lang w:eastAsia="zh-CN"/>
        </w:rPr>
        <w:t>三个月内任意一个月养老保险证明</w:t>
      </w:r>
      <w:r>
        <w:rPr>
          <w:rFonts w:hint="eastAsia" w:ascii="宋体" w:hAnsi="宋体" w:eastAsia="宋体" w:cs="宋体"/>
          <w:b w:val="0"/>
          <w:bCs w:val="0"/>
          <w:color w:val="auto"/>
          <w:sz w:val="24"/>
          <w:szCs w:val="24"/>
          <w:highlight w:val="none"/>
        </w:rPr>
        <w:t>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（委托代理时必须提供）</w:t>
      </w:r>
    </w:p>
    <w:p w14:paraId="2510C1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供应商参加政府采购活动前3年内在经营活动中没有重大违法记录及有关信用信息的书面声明（必须提供）；</w:t>
      </w:r>
    </w:p>
    <w:p w14:paraId="5C4A03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供应商的法人或者其他组织营业执照等证明文件复印件（必须提供，自然人除外）；</w:t>
      </w:r>
    </w:p>
    <w:p w14:paraId="0E7F4B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7B6C0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供应商有效的资质证书复印件</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p>
    <w:p w14:paraId="772C2B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拟派项目经理的</w:t>
      </w:r>
      <w:r>
        <w:rPr>
          <w:rFonts w:hint="eastAsia" w:ascii="宋体" w:hAnsi="宋体" w:cs="宋体"/>
          <w:b w:val="0"/>
          <w:bCs w:val="0"/>
          <w:color w:val="auto"/>
          <w:kern w:val="0"/>
          <w:sz w:val="24"/>
          <w:szCs w:val="24"/>
          <w:highlight w:val="none"/>
          <w:lang w:eastAsia="zh-CN"/>
        </w:rPr>
        <w:t>水利水电工程</w:t>
      </w:r>
      <w:r>
        <w:rPr>
          <w:rFonts w:hint="eastAsia" w:ascii="宋体" w:hAnsi="宋体" w:eastAsia="宋体" w:cs="宋体"/>
          <w:b w:val="0"/>
          <w:bCs w:val="0"/>
          <w:color w:val="auto"/>
          <w:kern w:val="0"/>
          <w:sz w:val="24"/>
          <w:szCs w:val="24"/>
          <w:highlight w:val="none"/>
          <w:lang w:eastAsia="zh-CN"/>
        </w:rPr>
        <w:t>专业二级及以上注册建造师证和安全生产考核合格证书（B类）复印件</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p>
    <w:p w14:paraId="74C2DE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项目经理无在建工程承诺书（格式自拟）（必须提供）；</w:t>
      </w:r>
    </w:p>
    <w:p w14:paraId="2E9B9E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.供应商2021年以来任意年度内的财务状况报告（或银行出具的资信证明）复印件（必须提供）</w:t>
      </w:r>
      <w:r>
        <w:rPr>
          <w:rFonts w:hint="eastAsia" w:ascii="宋体" w:hAnsi="宋体" w:eastAsia="宋体" w:cs="宋体"/>
          <w:b w:val="0"/>
          <w:bCs w:val="0"/>
          <w:color w:val="auto"/>
          <w:sz w:val="24"/>
          <w:szCs w:val="24"/>
          <w:highlight w:val="none"/>
        </w:rPr>
        <w:t>；</w:t>
      </w:r>
    </w:p>
    <w:p w14:paraId="06AB90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供应商截止响应文件递交截止时间前半年内任意</w:t>
      </w:r>
      <w:r>
        <w:rPr>
          <w:rFonts w:hint="eastAsia" w:ascii="宋体" w:hAnsi="宋体" w:eastAsia="宋体" w:cs="宋体"/>
          <w:b w:val="0"/>
          <w:bCs w:val="0"/>
          <w:color w:val="auto"/>
          <w:sz w:val="24"/>
          <w:szCs w:val="24"/>
          <w:highlight w:val="none"/>
        </w:rPr>
        <w:t>一个月或任一季度依法缴纳税收的证明材料</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增值税</w:t>
      </w:r>
      <w:r>
        <w:rPr>
          <w:rFonts w:hint="eastAsia" w:ascii="宋体" w:hAnsi="宋体" w:eastAsia="宋体" w:cs="宋体"/>
          <w:b w:val="0"/>
          <w:bCs w:val="0"/>
          <w:color w:val="auto"/>
          <w:sz w:val="24"/>
          <w:szCs w:val="24"/>
          <w:highlight w:val="none"/>
          <w:lang w:eastAsia="zh-CN"/>
        </w:rPr>
        <w:t>缴纳</w:t>
      </w:r>
      <w:r>
        <w:rPr>
          <w:rFonts w:hint="eastAsia" w:ascii="宋体" w:hAnsi="宋体" w:eastAsia="宋体" w:cs="宋体"/>
          <w:b w:val="0"/>
          <w:bCs w:val="0"/>
          <w:color w:val="auto"/>
          <w:sz w:val="24"/>
          <w:szCs w:val="24"/>
          <w:highlight w:val="none"/>
        </w:rPr>
        <w:t>发票(税收完税证明)或企业所得税完税证明或税务部门出具的免税证明</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复印件（必须提供）</w:t>
      </w:r>
      <w:r>
        <w:rPr>
          <w:rFonts w:hint="eastAsia" w:ascii="宋体" w:hAnsi="宋体" w:eastAsia="宋体" w:cs="宋体"/>
          <w:b w:val="0"/>
          <w:bCs w:val="0"/>
          <w:color w:val="auto"/>
          <w:sz w:val="24"/>
          <w:szCs w:val="24"/>
          <w:highlight w:val="none"/>
          <w:lang w:eastAsia="zh-CN"/>
        </w:rPr>
        <w:t>；</w:t>
      </w:r>
    </w:p>
    <w:p w14:paraId="15F4E4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color w:val="auto"/>
          <w:sz w:val="36"/>
          <w:szCs w:val="36"/>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中小企业声明函或者残疾人福利性单位声明函（格式后附）或者</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属于监狱企业的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eastAsia="zh-CN"/>
        </w:rPr>
        <w:t>提供由省级以上监狱管理局、戒毒管理局（含新疆生产建设兵团）出具的属于监狱企业的证明文件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必须提供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399315B2">
      <w:pPr>
        <w:spacing w:line="440" w:lineRule="atLeas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bookmarkStart w:id="1082" w:name="_Toc22703"/>
      <w:bookmarkStart w:id="1083" w:name="_Toc4819"/>
      <w:bookmarkStart w:id="1084" w:name="_Toc28594"/>
      <w:bookmarkStart w:id="1085" w:name="_Toc19265"/>
      <w:bookmarkStart w:id="1086" w:name="_Toc6697"/>
      <w:r>
        <w:rPr>
          <w:rFonts w:hint="eastAsia" w:ascii="宋体" w:hAnsi="宋体" w:eastAsia="宋体" w:cs="宋体"/>
          <w:b/>
          <w:color w:val="auto"/>
          <w:sz w:val="28"/>
          <w:szCs w:val="28"/>
          <w:highlight w:val="none"/>
          <w:lang w:val="en-US" w:eastAsia="zh-CN"/>
        </w:rPr>
        <w:t>1.</w:t>
      </w:r>
      <w:bookmarkEnd w:id="1082"/>
      <w:bookmarkEnd w:id="1083"/>
      <w:bookmarkEnd w:id="1084"/>
      <w:bookmarkEnd w:id="1085"/>
      <w:bookmarkEnd w:id="1086"/>
      <w:r>
        <w:rPr>
          <w:rFonts w:hint="eastAsia" w:ascii="宋体" w:hAnsi="宋体" w:eastAsia="宋体" w:cs="宋体"/>
          <w:b/>
          <w:color w:val="auto"/>
          <w:sz w:val="28"/>
          <w:szCs w:val="28"/>
          <w:highlight w:val="none"/>
          <w:lang w:val="en-US" w:eastAsia="zh-CN"/>
        </w:rPr>
        <w:t>供应商相应的法定代表人、负责人、自然人有效身份证正反两面复印件（必须提供）</w:t>
      </w:r>
    </w:p>
    <w:p w14:paraId="664385A0">
      <w:pPr>
        <w:spacing w:line="440" w:lineRule="atLeast"/>
        <w:rPr>
          <w:rFonts w:hint="eastAsia"/>
          <w:color w:val="auto"/>
          <w:highlight w:val="none"/>
        </w:rPr>
      </w:pPr>
    </w:p>
    <w:p w14:paraId="4267FC9E">
      <w:pPr>
        <w:rPr>
          <w:rFonts w:hint="eastAsia"/>
          <w:color w:val="auto"/>
          <w:highlight w:val="none"/>
        </w:rPr>
      </w:pPr>
    </w:p>
    <w:p w14:paraId="59F18047">
      <w:pPr>
        <w:spacing w:line="440" w:lineRule="atLeast"/>
        <w:rPr>
          <w:rFonts w:hint="eastAsia" w:ascii="宋体" w:hAnsi="宋体" w:eastAsia="宋体" w:cs="宋体"/>
          <w:b/>
          <w:color w:val="auto"/>
          <w:sz w:val="28"/>
          <w:szCs w:val="28"/>
          <w:highlight w:val="none"/>
        </w:rPr>
      </w:pPr>
    </w:p>
    <w:p w14:paraId="18628835">
      <w:pPr>
        <w:spacing w:line="440" w:lineRule="atLeast"/>
        <w:outlineLvl w:val="1"/>
        <w:rPr>
          <w:rFonts w:hint="eastAsia" w:ascii="宋体" w:hAnsi="宋体" w:eastAsia="宋体" w:cs="宋体"/>
          <w:b/>
          <w:color w:val="auto"/>
          <w:sz w:val="28"/>
          <w:szCs w:val="28"/>
          <w:highlight w:val="none"/>
        </w:rPr>
      </w:pPr>
      <w:bookmarkStart w:id="1087" w:name="_Toc16573"/>
      <w:bookmarkStart w:id="1088" w:name="_Toc3592"/>
      <w:bookmarkStart w:id="1089" w:name="_Toc1213"/>
      <w:bookmarkStart w:id="1090" w:name="_Toc15990"/>
      <w:bookmarkStart w:id="1091" w:name="_Toc29198"/>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bookmarkEnd w:id="1087"/>
      <w:bookmarkEnd w:id="1088"/>
      <w:bookmarkEnd w:id="1089"/>
      <w:bookmarkEnd w:id="1090"/>
      <w:bookmarkEnd w:id="1091"/>
      <w:r>
        <w:rPr>
          <w:rFonts w:hint="eastAsia" w:ascii="宋体" w:hAnsi="宋体" w:eastAsia="宋体" w:cs="宋体"/>
          <w:b/>
          <w:color w:val="auto"/>
          <w:sz w:val="28"/>
          <w:szCs w:val="28"/>
          <w:highlight w:val="none"/>
        </w:rPr>
        <w:t>供应商的授权委托书原件、委托代理人身份证正反面复印件以及由县级以上（含县级）社会养老保险经办机构出具的供应商为委托代理人交纳的响应文件递交截止时间前</w:t>
      </w:r>
      <w:r>
        <w:rPr>
          <w:rFonts w:hint="eastAsia" w:ascii="宋体" w:hAnsi="宋体" w:eastAsia="宋体" w:cs="宋体"/>
          <w:b/>
          <w:color w:val="auto"/>
          <w:sz w:val="28"/>
          <w:szCs w:val="28"/>
          <w:highlight w:val="none"/>
          <w:lang w:eastAsia="zh-CN"/>
        </w:rPr>
        <w:t>三个月内任意一个月养老保险证明</w:t>
      </w:r>
      <w:r>
        <w:rPr>
          <w:rFonts w:hint="eastAsia" w:ascii="宋体" w:hAnsi="宋体" w:eastAsia="宋体" w:cs="宋体"/>
          <w:b/>
          <w:color w:val="auto"/>
          <w:sz w:val="28"/>
          <w:szCs w:val="28"/>
          <w:highlight w:val="none"/>
        </w:rPr>
        <w:t>复印件，除供应商为以下</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146AA685">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①如供应商为截标时间前60日以内成立的公司，可以提供供应商与委托代理人签订的劳动合同复印件代替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p>
    <w:p w14:paraId="2793E414">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②如供应商为事业单位，可以提供事业单位机构编制管理证复印件或事业单位机构为其发放工资的工资条复印件代替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p>
    <w:p w14:paraId="7E37F480">
      <w:pPr>
        <w:spacing w:line="440" w:lineRule="atLeas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③如委托代理人为免缴纳</w:t>
      </w:r>
      <w:r>
        <w:rPr>
          <w:rFonts w:hint="eastAsia" w:ascii="宋体" w:hAnsi="宋体" w:eastAsia="宋体" w:cs="宋体"/>
          <w:b/>
          <w:color w:val="auto"/>
          <w:sz w:val="21"/>
          <w:szCs w:val="21"/>
          <w:highlight w:val="none"/>
          <w:lang w:eastAsia="zh-CN"/>
        </w:rPr>
        <w:t>养老保险</w:t>
      </w:r>
      <w:r>
        <w:rPr>
          <w:rFonts w:hint="eastAsia" w:ascii="宋体" w:hAnsi="宋体" w:eastAsia="宋体" w:cs="宋体"/>
          <w:b/>
          <w:color w:val="auto"/>
          <w:sz w:val="21"/>
          <w:szCs w:val="21"/>
          <w:highlight w:val="none"/>
        </w:rPr>
        <w:t>人员，提供免缴纳</w:t>
      </w:r>
      <w:r>
        <w:rPr>
          <w:rFonts w:hint="eastAsia" w:ascii="宋体" w:hAnsi="宋体" w:eastAsia="宋体" w:cs="宋体"/>
          <w:b/>
          <w:color w:val="auto"/>
          <w:sz w:val="21"/>
          <w:szCs w:val="21"/>
          <w:highlight w:val="none"/>
          <w:lang w:eastAsia="zh-CN"/>
        </w:rPr>
        <w:t>养老保险</w:t>
      </w:r>
      <w:r>
        <w:rPr>
          <w:rFonts w:hint="eastAsia" w:ascii="宋体" w:hAnsi="宋体" w:eastAsia="宋体" w:cs="宋体"/>
          <w:b/>
          <w:color w:val="auto"/>
          <w:sz w:val="21"/>
          <w:szCs w:val="21"/>
          <w:highlight w:val="none"/>
        </w:rPr>
        <w:t>的证明材料复印件及供应商与委托代理人签订的劳动合同复印件代替</w:t>
      </w:r>
      <w:r>
        <w:rPr>
          <w:rFonts w:hint="eastAsia" w:ascii="宋体" w:hAnsi="宋体" w:eastAsia="宋体" w:cs="宋体"/>
          <w:b/>
          <w:color w:val="auto"/>
          <w:sz w:val="21"/>
          <w:szCs w:val="21"/>
          <w:highlight w:val="none"/>
          <w:lang w:eastAsia="zh-CN"/>
        </w:rPr>
        <w:t>养老保险证明</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w:t>
      </w:r>
    </w:p>
    <w:p w14:paraId="358ECC3F">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3CD46658">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color w:val="auto"/>
          <w:sz w:val="21"/>
          <w:szCs w:val="21"/>
          <w:highlight w:val="none"/>
          <w:lang w:eastAsia="zh-CN"/>
        </w:rPr>
        <w:t>三个月内任意一个月养老保险证明</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1"/>
          <w:szCs w:val="21"/>
          <w:highlight w:val="none"/>
        </w:rPr>
        <w:t>】</w:t>
      </w:r>
      <w:r>
        <w:rPr>
          <w:rFonts w:hint="eastAsia" w:ascii="宋体" w:hAnsi="宋体" w:eastAsia="宋体" w:cs="宋体"/>
          <w:b/>
          <w:color w:val="auto"/>
          <w:sz w:val="28"/>
          <w:szCs w:val="28"/>
          <w:highlight w:val="none"/>
          <w:lang w:eastAsia="zh-CN"/>
        </w:rPr>
        <w:t>（委托代理时必须提供）</w:t>
      </w:r>
    </w:p>
    <w:p w14:paraId="56B2FD7E">
      <w:pPr>
        <w:spacing w:line="440" w:lineRule="atLeast"/>
        <w:rPr>
          <w:rFonts w:hint="eastAsia" w:ascii="宋体" w:hAnsi="宋体" w:eastAsia="宋体" w:cs="宋体"/>
          <w:b/>
          <w:color w:val="auto"/>
          <w:sz w:val="28"/>
          <w:szCs w:val="28"/>
          <w:highlight w:val="none"/>
        </w:rPr>
      </w:pPr>
    </w:p>
    <w:p w14:paraId="25C17B94">
      <w:pPr>
        <w:pStyle w:val="2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62BB1F40">
      <w:pPr>
        <w:pStyle w:val="28"/>
        <w:jc w:val="center"/>
        <w:rPr>
          <w:rFonts w:hint="eastAsia" w:ascii="宋体" w:hAnsi="宋体" w:eastAsia="宋体" w:cs="宋体"/>
          <w:b/>
          <w:color w:val="auto"/>
          <w:sz w:val="32"/>
          <w:highlight w:val="none"/>
        </w:rPr>
      </w:pPr>
      <w:bookmarkStart w:id="1092" w:name="_Toc5420_WPSOffice_Level1"/>
      <w:bookmarkStart w:id="1093" w:name="_Toc964_WPSOffice_Level1"/>
      <w:r>
        <w:rPr>
          <w:rFonts w:hint="eastAsia" w:ascii="宋体" w:hAnsi="宋体" w:eastAsia="宋体" w:cs="宋体"/>
          <w:b/>
          <w:color w:val="auto"/>
          <w:sz w:val="32"/>
          <w:highlight w:val="none"/>
        </w:rPr>
        <w:t>授权委托书（格式一）</w:t>
      </w:r>
      <w:bookmarkEnd w:id="1092"/>
      <w:bookmarkEnd w:id="1093"/>
    </w:p>
    <w:p w14:paraId="157C55A4">
      <w:pPr>
        <w:pStyle w:val="13"/>
        <w:rPr>
          <w:rFonts w:hint="eastAsia" w:eastAsia="宋体"/>
          <w:color w:val="auto"/>
          <w:highlight w:val="none"/>
          <w:lang w:eastAsia="zh-CN"/>
        </w:rPr>
      </w:pPr>
      <w:r>
        <w:rPr>
          <w:rFonts w:hint="eastAsia" w:ascii="宋体" w:hAnsi="宋体" w:eastAsia="宋体" w:cs="宋体"/>
          <w:b/>
          <w:color w:val="auto"/>
          <w:sz w:val="32"/>
          <w:highlight w:val="none"/>
          <w:lang w:eastAsia="zh-CN"/>
        </w:rPr>
        <w:t>（适合非自然人参与磋商）</w:t>
      </w:r>
    </w:p>
    <w:p w14:paraId="2D9D9AF9">
      <w:pPr>
        <w:pStyle w:val="28"/>
        <w:rPr>
          <w:rFonts w:hint="eastAsia" w:ascii="宋体" w:hAnsi="宋体" w:eastAsia="宋体" w:cs="宋体"/>
          <w:color w:val="auto"/>
          <w:highlight w:val="none"/>
        </w:rPr>
      </w:pPr>
    </w:p>
    <w:p w14:paraId="537E8B11">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u w:val="single"/>
          <w:lang w:val="en-US" w:eastAsia="zh-CN"/>
        </w:rPr>
        <w:t>桂林聚格项目管理有限公司</w:t>
      </w:r>
    </w:p>
    <w:p w14:paraId="54ED02F3">
      <w:pPr>
        <w:spacing w:line="400" w:lineRule="exact"/>
        <w:rPr>
          <w:rFonts w:hint="eastAsia" w:ascii="宋体" w:hAnsi="宋体" w:eastAsia="宋体" w:cs="宋体"/>
          <w:color w:val="auto"/>
          <w:szCs w:val="21"/>
          <w:highlight w:val="none"/>
        </w:rPr>
      </w:pPr>
    </w:p>
    <w:p w14:paraId="50B604AF">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6A4FA83">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26B63D30">
      <w:pPr>
        <w:pStyle w:val="2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655EB10D">
      <w:pPr>
        <w:pStyle w:val="2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AC4D493">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34C23300">
      <w:pPr>
        <w:spacing w:line="400" w:lineRule="exact"/>
        <w:ind w:firstLine="420" w:firstLineChars="200"/>
        <w:rPr>
          <w:rFonts w:hint="eastAsia" w:ascii="宋体" w:hAnsi="宋体" w:eastAsia="宋体" w:cs="宋体"/>
          <w:color w:val="auto"/>
          <w:kern w:val="0"/>
          <w:highlight w:val="none"/>
        </w:rPr>
      </w:pPr>
    </w:p>
    <w:p w14:paraId="1E4B6A0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67EFC6D2">
      <w:pPr>
        <w:spacing w:line="400" w:lineRule="exact"/>
        <w:ind w:firstLine="420" w:firstLineChars="200"/>
        <w:rPr>
          <w:rFonts w:hint="eastAsia" w:ascii="宋体" w:hAnsi="宋体" w:eastAsia="宋体" w:cs="宋体"/>
          <w:color w:val="auto"/>
          <w:szCs w:val="21"/>
          <w:highlight w:val="none"/>
        </w:rPr>
      </w:pPr>
    </w:p>
    <w:p w14:paraId="52DC4EFB">
      <w:pPr>
        <w:spacing w:line="400" w:lineRule="exact"/>
        <w:ind w:firstLine="420" w:firstLineChars="200"/>
        <w:rPr>
          <w:rFonts w:hint="eastAsia" w:ascii="宋体" w:hAnsi="宋体" w:eastAsia="宋体" w:cs="宋体"/>
          <w:color w:val="auto"/>
          <w:szCs w:val="21"/>
          <w:highlight w:val="none"/>
        </w:rPr>
      </w:pPr>
    </w:p>
    <w:p w14:paraId="5EDAE8CA">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A42A892">
      <w:pPr>
        <w:snapToGrid w:val="0"/>
        <w:spacing w:line="400" w:lineRule="exact"/>
        <w:ind w:firstLine="420"/>
        <w:rPr>
          <w:rFonts w:hint="eastAsia" w:ascii="宋体" w:hAnsi="宋体" w:eastAsia="宋体" w:cs="宋体"/>
          <w:color w:val="auto"/>
          <w:szCs w:val="21"/>
          <w:highlight w:val="none"/>
        </w:rPr>
      </w:pPr>
    </w:p>
    <w:p w14:paraId="425B9CE3">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F3515D4">
      <w:pPr>
        <w:pStyle w:val="2"/>
        <w:rPr>
          <w:rFonts w:hint="eastAsia" w:ascii="宋体" w:hAnsi="宋体" w:eastAsia="宋体" w:cs="宋体"/>
          <w:color w:val="auto"/>
          <w:highlight w:val="none"/>
        </w:rPr>
      </w:pPr>
    </w:p>
    <w:p w14:paraId="02575D7A">
      <w:pPr>
        <w:pStyle w:val="28"/>
        <w:spacing w:line="340" w:lineRule="exact"/>
        <w:ind w:firstLine="420" w:firstLineChars="200"/>
        <w:rPr>
          <w:rFonts w:hint="eastAsia" w:ascii="宋体" w:hAnsi="宋体" w:eastAsia="宋体" w:cs="宋体"/>
          <w:color w:val="auto"/>
          <w:highlight w:val="none"/>
        </w:rPr>
      </w:pPr>
    </w:p>
    <w:p w14:paraId="6B556ED3">
      <w:pPr>
        <w:pStyle w:val="13"/>
        <w:rPr>
          <w:rFonts w:hint="eastAsia"/>
          <w:color w:val="auto"/>
          <w:highlight w:val="none"/>
        </w:rPr>
      </w:pPr>
    </w:p>
    <w:p w14:paraId="3EBC384C">
      <w:pPr>
        <w:pStyle w:val="28"/>
        <w:jc w:val="center"/>
        <w:rPr>
          <w:rFonts w:hint="eastAsia" w:ascii="宋体" w:hAnsi="宋体" w:eastAsia="宋体" w:cs="宋体"/>
          <w:b/>
          <w:color w:val="auto"/>
          <w:sz w:val="32"/>
          <w:highlight w:val="none"/>
          <w:lang w:eastAsia="zh-CN"/>
        </w:rPr>
      </w:pPr>
      <w:bookmarkStart w:id="1094" w:name="_Toc21370_WPSOffice_Level1"/>
      <w:bookmarkStart w:id="1095" w:name="_Toc6975_WPSOffice_Level1"/>
      <w:r>
        <w:rPr>
          <w:rFonts w:hint="eastAsia" w:ascii="宋体" w:hAnsi="宋体" w:eastAsia="宋体" w:cs="宋体"/>
          <w:b/>
          <w:color w:val="auto"/>
          <w:sz w:val="32"/>
          <w:highlight w:val="none"/>
        </w:rPr>
        <w:t>授权委托书（格式二</w:t>
      </w:r>
      <w:r>
        <w:rPr>
          <w:rFonts w:hint="eastAsia" w:hAnsi="宋体" w:eastAsia="宋体" w:cs="宋体"/>
          <w:b/>
          <w:color w:val="auto"/>
          <w:sz w:val="32"/>
          <w:highlight w:val="none"/>
          <w:lang w:eastAsia="zh-CN"/>
        </w:rPr>
        <w:t>）</w:t>
      </w:r>
    </w:p>
    <w:p w14:paraId="7A2A1696">
      <w:pPr>
        <w:pStyle w:val="28"/>
        <w:jc w:val="center"/>
        <w:rPr>
          <w:rFonts w:hint="eastAsia" w:ascii="宋体" w:hAnsi="宋体" w:eastAsia="宋体" w:cs="宋体"/>
          <w:b/>
          <w:color w:val="auto"/>
          <w:sz w:val="32"/>
          <w:highlight w:val="none"/>
        </w:rPr>
      </w:pPr>
      <w:r>
        <w:rPr>
          <w:rFonts w:hint="eastAsia" w:hAnsi="宋体" w:eastAsia="宋体" w:cs="宋体"/>
          <w:b/>
          <w:color w:val="auto"/>
          <w:sz w:val="32"/>
          <w:highlight w:val="none"/>
          <w:lang w:eastAsia="zh-CN"/>
        </w:rPr>
        <w:t>（适合自然人参与磋商</w:t>
      </w:r>
      <w:r>
        <w:rPr>
          <w:rFonts w:hint="eastAsia" w:ascii="宋体" w:hAnsi="宋体" w:eastAsia="宋体" w:cs="宋体"/>
          <w:b/>
          <w:color w:val="auto"/>
          <w:sz w:val="32"/>
          <w:highlight w:val="none"/>
        </w:rPr>
        <w:t>）</w:t>
      </w:r>
      <w:bookmarkEnd w:id="1094"/>
      <w:bookmarkEnd w:id="1095"/>
    </w:p>
    <w:p w14:paraId="6138EB16">
      <w:pPr>
        <w:pStyle w:val="28"/>
        <w:jc w:val="both"/>
        <w:rPr>
          <w:rFonts w:hint="eastAsia" w:ascii="宋体" w:hAnsi="宋体" w:eastAsia="宋体" w:cs="宋体"/>
          <w:b/>
          <w:color w:val="auto"/>
          <w:sz w:val="32"/>
          <w:highlight w:val="none"/>
        </w:rPr>
      </w:pPr>
    </w:p>
    <w:p w14:paraId="651D776F">
      <w:pPr>
        <w:pStyle w:val="28"/>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hAnsi="宋体" w:cs="宋体"/>
          <w:color w:val="auto"/>
          <w:szCs w:val="21"/>
          <w:highlight w:val="none"/>
          <w:u w:val="single"/>
          <w:lang w:val="en-US" w:eastAsia="zh-CN"/>
        </w:rPr>
        <w:t>桂林聚格项目管理有限公司</w:t>
      </w:r>
    </w:p>
    <w:p w14:paraId="761C5059">
      <w:pPr>
        <w:rPr>
          <w:rFonts w:hint="eastAsia" w:ascii="宋体" w:hAnsi="宋体" w:eastAsia="宋体" w:cs="宋体"/>
          <w:color w:val="auto"/>
          <w:highlight w:val="none"/>
        </w:rPr>
      </w:pPr>
    </w:p>
    <w:p w14:paraId="0151B7A1">
      <w:pPr>
        <w:pStyle w:val="2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373BCAA0">
      <w:pPr>
        <w:pStyle w:val="2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656942B8">
      <w:pPr>
        <w:pStyle w:val="28"/>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13A37A72">
      <w:pPr>
        <w:pStyle w:val="28"/>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80158DB">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517E1A75">
      <w:pPr>
        <w:spacing w:line="340" w:lineRule="exact"/>
        <w:ind w:firstLine="420" w:firstLineChars="200"/>
        <w:rPr>
          <w:rFonts w:hint="eastAsia" w:ascii="宋体" w:hAnsi="宋体" w:eastAsia="宋体" w:cs="宋体"/>
          <w:color w:val="auto"/>
          <w:kern w:val="0"/>
          <w:highlight w:val="none"/>
        </w:rPr>
      </w:pPr>
    </w:p>
    <w:p w14:paraId="55137E73">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8031CEB">
      <w:pPr>
        <w:spacing w:line="340" w:lineRule="exact"/>
        <w:ind w:firstLine="420" w:firstLineChars="200"/>
        <w:rPr>
          <w:rFonts w:hint="eastAsia" w:ascii="宋体" w:hAnsi="宋体" w:eastAsia="宋体" w:cs="宋体"/>
          <w:color w:val="auto"/>
          <w:szCs w:val="21"/>
          <w:highlight w:val="none"/>
        </w:rPr>
      </w:pPr>
    </w:p>
    <w:p w14:paraId="60FDC977">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AB59C4">
      <w:pPr>
        <w:pStyle w:val="28"/>
        <w:spacing w:line="400" w:lineRule="exact"/>
        <w:ind w:left="420" w:leftChars="200"/>
        <w:rPr>
          <w:rFonts w:hint="eastAsia" w:ascii="宋体" w:hAnsi="宋体" w:eastAsia="宋体" w:cs="宋体"/>
          <w:color w:val="auto"/>
          <w:szCs w:val="21"/>
          <w:highlight w:val="none"/>
        </w:rPr>
      </w:pPr>
    </w:p>
    <w:p w14:paraId="2FD64B35">
      <w:pPr>
        <w:rPr>
          <w:rFonts w:hint="eastAsia" w:ascii="宋体" w:hAnsi="宋体" w:eastAsia="宋体" w:cs="宋体"/>
          <w:b/>
          <w:color w:val="auto"/>
          <w:szCs w:val="21"/>
          <w:highlight w:val="none"/>
        </w:rPr>
      </w:pPr>
    </w:p>
    <w:p w14:paraId="4D4F0397">
      <w:pPr>
        <w:pStyle w:val="2"/>
        <w:rPr>
          <w:rFonts w:hint="eastAsia" w:ascii="宋体" w:hAnsi="宋体" w:eastAsia="宋体" w:cs="宋体"/>
          <w:b/>
          <w:color w:val="auto"/>
          <w:szCs w:val="21"/>
          <w:highlight w:val="none"/>
        </w:rPr>
      </w:pPr>
    </w:p>
    <w:p w14:paraId="3036B2AD">
      <w:pPr>
        <w:pStyle w:val="2"/>
        <w:rPr>
          <w:rFonts w:hint="eastAsia" w:ascii="宋体" w:hAnsi="宋体" w:eastAsia="宋体" w:cs="宋体"/>
          <w:b/>
          <w:color w:val="auto"/>
          <w:szCs w:val="21"/>
          <w:highlight w:val="none"/>
        </w:rPr>
      </w:pPr>
    </w:p>
    <w:p w14:paraId="4301FC31">
      <w:pPr>
        <w:pStyle w:val="13"/>
        <w:numPr>
          <w:ilvl w:val="0"/>
          <w:numId w:val="0"/>
        </w:numPr>
        <w:outlineLvl w:val="1"/>
        <w:rPr>
          <w:rFonts w:hint="eastAsia" w:ascii="宋体" w:hAnsi="宋体" w:eastAsia="宋体" w:cs="宋体"/>
          <w:b/>
          <w:color w:val="auto"/>
          <w:sz w:val="28"/>
          <w:szCs w:val="28"/>
          <w:highlight w:val="none"/>
          <w:lang w:val="en-US" w:eastAsia="zh-CN"/>
        </w:rPr>
      </w:pPr>
      <w:bookmarkStart w:id="1096" w:name="_Toc27156"/>
      <w:bookmarkStart w:id="1097" w:name="_Toc2998"/>
      <w:bookmarkStart w:id="1098" w:name="_Toc24664"/>
      <w:bookmarkStart w:id="1099" w:name="_Toc2683"/>
      <w:bookmarkStart w:id="1100" w:name="_Toc2550"/>
    </w:p>
    <w:p w14:paraId="5A483143">
      <w:pPr>
        <w:pStyle w:val="13"/>
        <w:numPr>
          <w:ilvl w:val="0"/>
          <w:numId w:val="0"/>
        </w:numPr>
        <w:outlineLvl w:val="1"/>
        <w:rPr>
          <w:rFonts w:hint="eastAsia" w:ascii="宋体" w:hAnsi="宋体" w:eastAsia="宋体" w:cs="宋体"/>
          <w:b/>
          <w:color w:val="auto"/>
          <w:sz w:val="28"/>
          <w:szCs w:val="28"/>
          <w:highlight w:val="none"/>
          <w:lang w:val="en-US" w:eastAsia="zh-CN"/>
        </w:rPr>
      </w:pPr>
    </w:p>
    <w:p w14:paraId="1EDEE076">
      <w:pPr>
        <w:pStyle w:val="13"/>
        <w:numPr>
          <w:ilvl w:val="0"/>
          <w:numId w:val="0"/>
        </w:numPr>
        <w:outlineLvl w:val="1"/>
        <w:rPr>
          <w:rFonts w:hint="eastAsia" w:ascii="宋体" w:hAnsi="宋体" w:eastAsia="宋体" w:cs="宋体"/>
          <w:b/>
          <w:color w:val="auto"/>
          <w:sz w:val="28"/>
          <w:szCs w:val="28"/>
          <w:highlight w:val="none"/>
          <w:lang w:val="en-US" w:eastAsia="zh-CN"/>
        </w:rPr>
      </w:pPr>
    </w:p>
    <w:p w14:paraId="6E4819B0">
      <w:pPr>
        <w:pStyle w:val="13"/>
        <w:numPr>
          <w:ilvl w:val="0"/>
          <w:numId w:val="0"/>
        </w:numPr>
        <w:outlineLvl w:val="1"/>
        <w:rPr>
          <w:rFonts w:hint="eastAsia" w:ascii="宋体" w:hAnsi="宋体" w:eastAsia="宋体" w:cs="宋体"/>
          <w:b/>
          <w:color w:val="auto"/>
          <w:sz w:val="28"/>
          <w:szCs w:val="28"/>
          <w:highlight w:val="none"/>
          <w:lang w:val="en-US" w:eastAsia="zh-CN"/>
        </w:rPr>
      </w:pPr>
    </w:p>
    <w:p w14:paraId="5360D41C">
      <w:pPr>
        <w:pStyle w:val="13"/>
        <w:numPr>
          <w:ilvl w:val="0"/>
          <w:numId w:val="0"/>
        </w:num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bookmarkEnd w:id="1096"/>
      <w:bookmarkEnd w:id="1097"/>
      <w:bookmarkEnd w:id="1098"/>
      <w:bookmarkEnd w:id="1099"/>
      <w:bookmarkEnd w:id="1100"/>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753759DD">
      <w:pPr>
        <w:pStyle w:val="28"/>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576C5AEE">
      <w:pPr>
        <w:pStyle w:val="2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665965E9">
      <w:pPr>
        <w:pStyle w:val="28"/>
        <w:spacing w:line="400" w:lineRule="exact"/>
        <w:jc w:val="center"/>
        <w:rPr>
          <w:rFonts w:hint="eastAsia" w:ascii="宋体" w:hAnsi="宋体" w:eastAsia="宋体" w:cs="宋体"/>
          <w:b/>
          <w:color w:val="auto"/>
          <w:sz w:val="32"/>
          <w:szCs w:val="32"/>
          <w:highlight w:val="none"/>
        </w:rPr>
      </w:pPr>
      <w:bookmarkStart w:id="1101" w:name="_Toc30304_WPSOffice_Level1"/>
      <w:bookmarkStart w:id="1102" w:name="_Toc30890_WPSOffice_Level1"/>
      <w:r>
        <w:rPr>
          <w:rFonts w:hint="eastAsia" w:ascii="宋体" w:hAnsi="宋体" w:eastAsia="宋体" w:cs="宋体"/>
          <w:b/>
          <w:color w:val="auto"/>
          <w:sz w:val="32"/>
          <w:szCs w:val="32"/>
          <w:highlight w:val="none"/>
        </w:rPr>
        <w:t>声   明</w:t>
      </w:r>
      <w:bookmarkEnd w:id="1101"/>
      <w:bookmarkEnd w:id="1102"/>
    </w:p>
    <w:p w14:paraId="38238769">
      <w:pPr>
        <w:pStyle w:val="28"/>
        <w:spacing w:line="400" w:lineRule="exact"/>
        <w:jc w:val="both"/>
        <w:rPr>
          <w:rFonts w:hint="eastAsia" w:ascii="宋体" w:hAnsi="宋体" w:eastAsia="宋体" w:cs="宋体"/>
          <w:b/>
          <w:color w:val="auto"/>
          <w:sz w:val="32"/>
          <w:szCs w:val="32"/>
          <w:highlight w:val="none"/>
        </w:rPr>
      </w:pPr>
    </w:p>
    <w:p w14:paraId="39F8C14B">
      <w:pPr>
        <w:pStyle w:val="28"/>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val="0"/>
          <w:bCs/>
          <w:color w:val="auto"/>
          <w:szCs w:val="21"/>
          <w:highlight w:val="none"/>
        </w:rPr>
        <w:t>致：</w:t>
      </w:r>
      <w:r>
        <w:rPr>
          <w:rFonts w:hint="eastAsia" w:hAnsi="宋体" w:cs="宋体"/>
          <w:color w:val="auto"/>
          <w:szCs w:val="21"/>
          <w:highlight w:val="none"/>
          <w:u w:val="single"/>
          <w:lang w:val="en-US" w:eastAsia="zh-CN"/>
        </w:rPr>
        <w:t>桂林聚格项目管理有限公司</w:t>
      </w:r>
    </w:p>
    <w:p w14:paraId="4D405AD1">
      <w:pPr>
        <w:rPr>
          <w:rFonts w:hint="eastAsia" w:ascii="宋体" w:hAnsi="宋体" w:eastAsia="宋体" w:cs="宋体"/>
          <w:color w:val="auto"/>
          <w:szCs w:val="21"/>
          <w:highlight w:val="none"/>
          <w:u w:val="single"/>
        </w:rPr>
      </w:pPr>
    </w:p>
    <w:p w14:paraId="4676B929">
      <w:pPr>
        <w:pStyle w:val="2"/>
        <w:rPr>
          <w:rFonts w:hint="eastAsia" w:ascii="宋体" w:hAnsi="宋体" w:eastAsia="宋体" w:cs="宋体"/>
          <w:color w:val="auto"/>
          <w:highlight w:val="none"/>
        </w:rPr>
      </w:pPr>
    </w:p>
    <w:p w14:paraId="37FBCA22">
      <w:pPr>
        <w:pStyle w:val="2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08ECAA6">
      <w:pPr>
        <w:rPr>
          <w:rFonts w:hint="eastAsia" w:ascii="宋体" w:hAnsi="宋体" w:eastAsia="宋体" w:cs="宋体"/>
          <w:color w:val="auto"/>
          <w:highlight w:val="none"/>
        </w:rPr>
      </w:pPr>
    </w:p>
    <w:p w14:paraId="0B0B6F31">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4F71DA2">
      <w:pPr>
        <w:pStyle w:val="28"/>
        <w:ind w:firstLine="3990" w:firstLineChars="1900"/>
        <w:rPr>
          <w:rFonts w:hint="eastAsia" w:ascii="宋体" w:hAnsi="宋体" w:eastAsia="宋体" w:cs="宋体"/>
          <w:color w:val="auto"/>
          <w:highlight w:val="none"/>
        </w:rPr>
      </w:pPr>
    </w:p>
    <w:p w14:paraId="3123BD09">
      <w:pPr>
        <w:pStyle w:val="28"/>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5B4A704D">
      <w:pPr>
        <w:pStyle w:val="28"/>
        <w:spacing w:line="340" w:lineRule="exact"/>
        <w:rPr>
          <w:rFonts w:hint="eastAsia" w:ascii="宋体" w:hAnsi="宋体" w:eastAsia="宋体" w:cs="宋体"/>
          <w:b/>
          <w:color w:val="auto"/>
          <w:sz w:val="28"/>
          <w:szCs w:val="28"/>
          <w:highlight w:val="none"/>
        </w:rPr>
      </w:pPr>
    </w:p>
    <w:p w14:paraId="017BAEC3">
      <w:pPr>
        <w:pStyle w:val="28"/>
        <w:spacing w:line="340" w:lineRule="exact"/>
        <w:rPr>
          <w:rFonts w:hint="eastAsia" w:ascii="宋体" w:hAnsi="宋体" w:eastAsia="宋体" w:cs="宋体"/>
          <w:b/>
          <w:color w:val="auto"/>
          <w:sz w:val="28"/>
          <w:szCs w:val="28"/>
          <w:highlight w:val="none"/>
          <w:lang w:val="en-US" w:eastAsia="zh-CN"/>
        </w:rPr>
      </w:pPr>
    </w:p>
    <w:p w14:paraId="7D9AF1AB">
      <w:pPr>
        <w:pStyle w:val="28"/>
        <w:spacing w:line="340" w:lineRule="exact"/>
        <w:rPr>
          <w:rFonts w:hint="eastAsia" w:ascii="宋体" w:hAnsi="宋体" w:eastAsia="宋体" w:cs="宋体"/>
          <w:b/>
          <w:color w:val="auto"/>
          <w:sz w:val="28"/>
          <w:szCs w:val="28"/>
          <w:highlight w:val="none"/>
          <w:lang w:val="en-US" w:eastAsia="zh-CN"/>
        </w:rPr>
      </w:pPr>
    </w:p>
    <w:p w14:paraId="2D6CA8B1">
      <w:pPr>
        <w:pStyle w:val="13"/>
        <w:numPr>
          <w:ilvl w:val="0"/>
          <w:numId w:val="0"/>
        </w:numPr>
        <w:outlineLvl w:val="1"/>
        <w:rPr>
          <w:rFonts w:hint="eastAsia" w:ascii="宋体" w:hAnsi="宋体" w:eastAsia="宋体" w:cs="宋体"/>
          <w:b/>
          <w:color w:val="auto"/>
          <w:sz w:val="28"/>
          <w:szCs w:val="28"/>
          <w:highlight w:val="none"/>
        </w:rPr>
      </w:pPr>
      <w:bookmarkStart w:id="1103" w:name="_Toc32703"/>
      <w:bookmarkStart w:id="1104" w:name="_Toc28801"/>
      <w:bookmarkStart w:id="1105" w:name="_Toc20647"/>
      <w:bookmarkStart w:id="1106" w:name="_Toc28909"/>
      <w:bookmarkStart w:id="1107" w:name="_Toc20796"/>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1103"/>
      <w:bookmarkEnd w:id="1104"/>
      <w:bookmarkEnd w:id="1105"/>
      <w:bookmarkEnd w:id="1106"/>
      <w:bookmarkEnd w:id="1107"/>
      <w:r>
        <w:rPr>
          <w:rFonts w:hint="eastAsia" w:ascii="宋体" w:hAnsi="宋体" w:eastAsia="宋体" w:cs="宋体"/>
          <w:b/>
          <w:color w:val="auto"/>
          <w:sz w:val="28"/>
          <w:szCs w:val="28"/>
          <w:highlight w:val="none"/>
        </w:rPr>
        <w:t>供应商的法人或者其他组织营业执照等证明文件复印件（必须提供，自然人除外）</w:t>
      </w:r>
    </w:p>
    <w:p w14:paraId="681D5487">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540C1EF">
      <w:pPr>
        <w:rPr>
          <w:rFonts w:hint="eastAsia" w:ascii="宋体" w:hAnsi="宋体" w:eastAsia="宋体" w:cs="宋体"/>
          <w:b/>
          <w:bCs/>
          <w:color w:val="auto"/>
          <w:sz w:val="28"/>
          <w:szCs w:val="28"/>
          <w:highlight w:val="none"/>
        </w:rPr>
      </w:pPr>
    </w:p>
    <w:p w14:paraId="4D409BDA">
      <w:pPr>
        <w:pStyle w:val="28"/>
        <w:numPr>
          <w:ilvl w:val="0"/>
          <w:numId w:val="0"/>
        </w:numPr>
        <w:spacing w:line="340" w:lineRule="exact"/>
        <w:rPr>
          <w:rFonts w:hint="eastAsia" w:ascii="宋体" w:hAnsi="宋体" w:eastAsia="宋体" w:cs="宋体"/>
          <w:b/>
          <w:color w:val="auto"/>
          <w:sz w:val="28"/>
          <w:szCs w:val="28"/>
          <w:highlight w:val="none"/>
          <w:lang w:val="en-US" w:eastAsia="zh-CN"/>
        </w:rPr>
      </w:pPr>
    </w:p>
    <w:p w14:paraId="36DA1634">
      <w:pPr>
        <w:rPr>
          <w:rFonts w:hint="eastAsia" w:ascii="宋体" w:hAnsi="宋体" w:eastAsia="宋体" w:cs="宋体"/>
          <w:b/>
          <w:color w:val="auto"/>
          <w:sz w:val="28"/>
          <w:szCs w:val="28"/>
          <w:highlight w:val="none"/>
          <w:lang w:val="en-US" w:eastAsia="zh-CN"/>
        </w:rPr>
      </w:pPr>
      <w:bookmarkStart w:id="1108" w:name="_Toc29194"/>
      <w:bookmarkStart w:id="1109" w:name="_Toc28158"/>
      <w:bookmarkStart w:id="1110" w:name="_Toc6956"/>
      <w:bookmarkStart w:id="1111" w:name="_Toc12697"/>
      <w:r>
        <w:rPr>
          <w:rFonts w:hint="eastAsia" w:ascii="宋体" w:hAnsi="宋体" w:eastAsia="宋体" w:cs="宋体"/>
          <w:b/>
          <w:color w:val="auto"/>
          <w:sz w:val="28"/>
          <w:szCs w:val="28"/>
          <w:highlight w:val="none"/>
          <w:lang w:val="en-US" w:eastAsia="zh-CN"/>
        </w:rPr>
        <w:br w:type="page"/>
      </w:r>
    </w:p>
    <w:p w14:paraId="1461C9E9">
      <w:pPr>
        <w:pStyle w:val="13"/>
        <w:numPr>
          <w:ilvl w:val="0"/>
          <w:numId w:val="0"/>
        </w:numPr>
        <w:outlineLvl w:val="1"/>
        <w:rPr>
          <w:rFonts w:hint="eastAsia" w:ascii="宋体" w:hAnsi="宋体" w:eastAsia="宋体" w:cs="宋体"/>
          <w:b/>
          <w:color w:val="auto"/>
          <w:sz w:val="28"/>
          <w:szCs w:val="28"/>
          <w:highlight w:val="none"/>
          <w:lang w:val="en-US" w:eastAsia="zh-CN"/>
        </w:rPr>
      </w:pPr>
      <w:bookmarkStart w:id="1112" w:name="_Toc19732"/>
      <w:r>
        <w:rPr>
          <w:rFonts w:hint="eastAsia" w:ascii="宋体" w:hAnsi="宋体" w:eastAsia="宋体" w:cs="宋体"/>
          <w:b/>
          <w:color w:val="auto"/>
          <w:sz w:val="28"/>
          <w:szCs w:val="28"/>
          <w:highlight w:val="none"/>
          <w:lang w:val="en-US" w:eastAsia="zh-CN"/>
        </w:rPr>
        <w:t>5.</w:t>
      </w:r>
      <w:bookmarkEnd w:id="1108"/>
      <w:bookmarkEnd w:id="1109"/>
      <w:bookmarkEnd w:id="1110"/>
      <w:bookmarkEnd w:id="1111"/>
      <w:bookmarkEnd w:id="1112"/>
      <w:r>
        <w:rPr>
          <w:rFonts w:hint="eastAsia" w:ascii="宋体" w:hAnsi="宋体" w:eastAsia="宋体" w:cs="宋体"/>
          <w:b/>
          <w:color w:val="auto"/>
          <w:sz w:val="28"/>
          <w:szCs w:val="28"/>
          <w:highlight w:val="none"/>
          <w:lang w:val="en-US" w:eastAsia="zh-CN"/>
        </w:rPr>
        <w:t>供应商有效的资质证书及安全生产许可证复印件（必须提供）</w:t>
      </w:r>
    </w:p>
    <w:p w14:paraId="4FD062F6">
      <w:pPr>
        <w:pStyle w:val="13"/>
        <w:numPr>
          <w:ilvl w:val="0"/>
          <w:numId w:val="0"/>
        </w:numPr>
        <w:rPr>
          <w:rFonts w:hint="eastAsia"/>
          <w:color w:val="auto"/>
          <w:highlight w:val="none"/>
          <w:lang w:val="en-US" w:eastAsia="zh-CN"/>
        </w:rPr>
      </w:pPr>
    </w:p>
    <w:p w14:paraId="566EFAA6">
      <w:pPr>
        <w:pStyle w:val="28"/>
        <w:spacing w:line="340" w:lineRule="exact"/>
        <w:jc w:val="left"/>
        <w:rPr>
          <w:rFonts w:hint="eastAsia" w:ascii="宋体" w:hAnsi="宋体" w:eastAsia="宋体" w:cs="宋体"/>
          <w:b/>
          <w:color w:val="auto"/>
          <w:sz w:val="28"/>
          <w:szCs w:val="28"/>
          <w:highlight w:val="none"/>
          <w:lang w:val="en-US" w:eastAsia="zh-CN"/>
        </w:rPr>
      </w:pPr>
    </w:p>
    <w:p w14:paraId="08836959">
      <w:pPr>
        <w:pStyle w:val="13"/>
        <w:ind w:left="0" w:leftChars="0" w:firstLine="0" w:firstLineChars="0"/>
        <w:jc w:val="left"/>
        <w:rPr>
          <w:rFonts w:hint="eastAsia" w:ascii="宋体" w:hAnsi="宋体" w:eastAsia="宋体" w:cs="宋体"/>
          <w:b/>
          <w:color w:val="auto"/>
          <w:sz w:val="28"/>
          <w:szCs w:val="28"/>
          <w:highlight w:val="none"/>
          <w:lang w:val="en-US" w:eastAsia="zh-CN"/>
        </w:rPr>
      </w:pPr>
    </w:p>
    <w:p w14:paraId="07AD8C27">
      <w:pPr>
        <w:jc w:val="left"/>
        <w:rPr>
          <w:rFonts w:hint="eastAsia" w:ascii="宋体" w:hAnsi="宋体" w:eastAsia="宋体" w:cs="宋体"/>
          <w:b/>
          <w:color w:val="auto"/>
          <w:sz w:val="28"/>
          <w:szCs w:val="28"/>
          <w:highlight w:val="none"/>
          <w:lang w:val="en-US" w:eastAsia="zh-CN"/>
        </w:rPr>
      </w:pPr>
    </w:p>
    <w:p w14:paraId="52CE4725">
      <w:pPr>
        <w:pStyle w:val="34"/>
        <w:jc w:val="left"/>
        <w:rPr>
          <w:rFonts w:hint="eastAsia"/>
          <w:color w:val="auto"/>
          <w:highlight w:val="none"/>
          <w:lang w:val="en-US" w:eastAsia="zh-CN"/>
        </w:rPr>
      </w:pPr>
    </w:p>
    <w:p w14:paraId="478BE6FE">
      <w:pPr>
        <w:pStyle w:val="28"/>
        <w:spacing w:line="340" w:lineRule="exact"/>
        <w:jc w:val="left"/>
        <w:rPr>
          <w:rFonts w:hint="eastAsia" w:ascii="宋体" w:hAnsi="宋体" w:eastAsia="宋体" w:cs="宋体"/>
          <w:b/>
          <w:color w:val="auto"/>
          <w:sz w:val="28"/>
          <w:szCs w:val="28"/>
          <w:highlight w:val="none"/>
          <w:lang w:val="en-US" w:eastAsia="zh-CN"/>
        </w:rPr>
      </w:pPr>
    </w:p>
    <w:p w14:paraId="11970C30">
      <w:pPr>
        <w:pStyle w:val="13"/>
        <w:numPr>
          <w:ilvl w:val="0"/>
          <w:numId w:val="0"/>
        </w:numPr>
        <w:outlineLvl w:val="1"/>
        <w:rPr>
          <w:rFonts w:hint="default" w:ascii="宋体" w:hAnsi="宋体" w:eastAsia="宋体" w:cs="宋体"/>
          <w:b/>
          <w:color w:val="auto"/>
          <w:sz w:val="28"/>
          <w:szCs w:val="28"/>
          <w:highlight w:val="none"/>
          <w:lang w:val="en-US" w:eastAsia="zh-CN"/>
        </w:rPr>
      </w:pPr>
      <w:bookmarkStart w:id="1113" w:name="_Toc23822"/>
      <w:bookmarkStart w:id="1114" w:name="_Toc12365"/>
      <w:bookmarkStart w:id="1115" w:name="_Toc12953"/>
      <w:bookmarkStart w:id="1116" w:name="_Toc15020"/>
      <w:bookmarkStart w:id="1117" w:name="_Toc11223"/>
      <w:r>
        <w:rPr>
          <w:rFonts w:hint="eastAsia" w:ascii="宋体" w:hAnsi="宋体" w:eastAsia="宋体" w:cs="宋体"/>
          <w:b/>
          <w:color w:val="auto"/>
          <w:sz w:val="28"/>
          <w:szCs w:val="28"/>
          <w:highlight w:val="none"/>
          <w:lang w:val="en-US" w:eastAsia="zh-CN"/>
        </w:rPr>
        <w:t>6.</w:t>
      </w:r>
      <w:bookmarkEnd w:id="1113"/>
      <w:bookmarkEnd w:id="1114"/>
      <w:bookmarkEnd w:id="1115"/>
      <w:bookmarkEnd w:id="1116"/>
      <w:bookmarkEnd w:id="1117"/>
      <w:r>
        <w:rPr>
          <w:rFonts w:hint="eastAsia" w:ascii="宋体" w:hAnsi="宋体" w:eastAsia="宋体" w:cs="宋体"/>
          <w:b/>
          <w:color w:val="auto"/>
          <w:sz w:val="28"/>
          <w:szCs w:val="28"/>
          <w:highlight w:val="none"/>
          <w:lang w:val="en-US" w:eastAsia="zh-CN"/>
        </w:rPr>
        <w:t>拟派项目经理的</w:t>
      </w:r>
      <w:r>
        <w:rPr>
          <w:rFonts w:hint="eastAsia" w:ascii="宋体" w:hAnsi="宋体" w:cs="宋体"/>
          <w:b/>
          <w:color w:val="auto"/>
          <w:sz w:val="28"/>
          <w:szCs w:val="28"/>
          <w:highlight w:val="none"/>
          <w:lang w:val="en-US" w:eastAsia="zh-CN"/>
        </w:rPr>
        <w:t>水利水电工程</w:t>
      </w:r>
      <w:r>
        <w:rPr>
          <w:rFonts w:hint="eastAsia" w:ascii="宋体" w:hAnsi="宋体" w:eastAsia="宋体" w:cs="宋体"/>
          <w:b/>
          <w:color w:val="auto"/>
          <w:sz w:val="28"/>
          <w:szCs w:val="28"/>
          <w:highlight w:val="none"/>
          <w:lang w:val="en-US" w:eastAsia="zh-CN"/>
        </w:rPr>
        <w:t>专业二级及以上注册建造师证和安全生产考核合格证书（B类）复印件（必须提供）</w:t>
      </w:r>
    </w:p>
    <w:p w14:paraId="6C94B11E">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1118" w:name="_Toc27290"/>
      <w:bookmarkStart w:id="1119" w:name="_Toc16476"/>
      <w:bookmarkStart w:id="1120" w:name="_Toc1162"/>
      <w:bookmarkStart w:id="1121" w:name="_Toc31765"/>
    </w:p>
    <w:p w14:paraId="0CA6CF38">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30529411">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4B21BFDF">
      <w:pPr>
        <w:jc w:val="left"/>
        <w:rPr>
          <w:rFonts w:hint="eastAsia" w:ascii="宋体" w:hAnsi="宋体" w:eastAsia="宋体" w:cs="宋体"/>
          <w:b/>
          <w:color w:val="auto"/>
          <w:sz w:val="28"/>
          <w:szCs w:val="28"/>
          <w:highlight w:val="none"/>
          <w:lang w:val="en-US" w:eastAsia="zh-CN"/>
        </w:rPr>
      </w:pPr>
    </w:p>
    <w:p w14:paraId="35F9FDE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AAFDF68">
      <w:pPr>
        <w:widowControl w:val="0"/>
        <w:spacing w:line="340" w:lineRule="exact"/>
        <w:jc w:val="left"/>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项目经理无在建工程承诺书（格式自拟）（必须提供）；</w:t>
      </w:r>
    </w:p>
    <w:p w14:paraId="785DBD24">
      <w:pPr>
        <w:pStyle w:val="13"/>
        <w:numPr>
          <w:ilvl w:val="0"/>
          <w:numId w:val="0"/>
        </w:numPr>
        <w:outlineLvl w:val="1"/>
        <w:rPr>
          <w:rFonts w:hint="eastAsia" w:ascii="宋体" w:hAnsi="宋体" w:eastAsia="宋体" w:cs="宋体"/>
          <w:b/>
          <w:color w:val="auto"/>
          <w:sz w:val="28"/>
          <w:szCs w:val="28"/>
          <w:highlight w:val="none"/>
          <w:lang w:val="en-US" w:eastAsia="zh-CN"/>
        </w:rPr>
      </w:pPr>
      <w:bookmarkStart w:id="1122" w:name="_Toc3115"/>
    </w:p>
    <w:p w14:paraId="533D47F9">
      <w:pPr>
        <w:pStyle w:val="13"/>
        <w:numPr>
          <w:ilvl w:val="0"/>
          <w:numId w:val="0"/>
        </w:numPr>
        <w:outlineLvl w:val="1"/>
        <w:rPr>
          <w:rFonts w:hint="eastAsia" w:ascii="宋体" w:hAnsi="宋体" w:eastAsia="宋体" w:cs="宋体"/>
          <w:b/>
          <w:color w:val="auto"/>
          <w:sz w:val="28"/>
          <w:szCs w:val="28"/>
          <w:highlight w:val="none"/>
          <w:lang w:val="en-US" w:eastAsia="zh-CN"/>
        </w:rPr>
      </w:pPr>
    </w:p>
    <w:p w14:paraId="51C66DA1">
      <w:pPr>
        <w:pStyle w:val="13"/>
        <w:numPr>
          <w:ilvl w:val="0"/>
          <w:numId w:val="0"/>
        </w:numPr>
        <w:outlineLvl w:val="1"/>
        <w:rPr>
          <w:rFonts w:hint="eastAsia" w:ascii="宋体" w:hAnsi="宋体" w:eastAsia="宋体" w:cs="宋体"/>
          <w:b/>
          <w:color w:val="auto"/>
          <w:sz w:val="28"/>
          <w:szCs w:val="28"/>
          <w:highlight w:val="none"/>
          <w:lang w:val="en-US" w:eastAsia="zh-CN"/>
        </w:rPr>
      </w:pPr>
    </w:p>
    <w:p w14:paraId="68D64BEC">
      <w:pPr>
        <w:pStyle w:val="13"/>
        <w:numPr>
          <w:ilvl w:val="0"/>
          <w:numId w:val="0"/>
        </w:numPr>
        <w:outlineLvl w:val="1"/>
        <w:rPr>
          <w:rFonts w:hint="eastAsia" w:ascii="宋体" w:hAnsi="宋体" w:eastAsia="宋体" w:cs="宋体"/>
          <w:b/>
          <w:color w:val="auto"/>
          <w:sz w:val="28"/>
          <w:szCs w:val="28"/>
          <w:highlight w:val="none"/>
          <w:lang w:val="en-US" w:eastAsia="zh-CN"/>
        </w:rPr>
      </w:pPr>
    </w:p>
    <w:p w14:paraId="05076C00">
      <w:pPr>
        <w:pStyle w:val="13"/>
        <w:numPr>
          <w:ilvl w:val="0"/>
          <w:numId w:val="0"/>
        </w:numPr>
        <w:outlineLvl w:val="1"/>
        <w:rPr>
          <w:rFonts w:hint="eastAsia" w:ascii="宋体" w:hAnsi="宋体" w:eastAsia="宋体" w:cs="宋体"/>
          <w:b/>
          <w:color w:val="auto"/>
          <w:sz w:val="28"/>
          <w:szCs w:val="28"/>
          <w:highlight w:val="none"/>
          <w:lang w:val="en-US" w:eastAsia="zh-CN"/>
        </w:rPr>
      </w:pPr>
    </w:p>
    <w:p w14:paraId="2FE30341">
      <w:pPr>
        <w:pStyle w:val="13"/>
        <w:numPr>
          <w:ilvl w:val="0"/>
          <w:numId w:val="0"/>
        </w:numPr>
        <w:outlineLvl w:val="1"/>
        <w:rPr>
          <w:rFonts w:hint="eastAsia" w:ascii="宋体" w:hAnsi="宋体" w:eastAsia="宋体" w:cs="宋体"/>
          <w:b/>
          <w:color w:val="auto"/>
          <w:sz w:val="28"/>
          <w:szCs w:val="28"/>
          <w:highlight w:val="none"/>
          <w:lang w:val="en-US" w:eastAsia="zh-CN"/>
        </w:rPr>
      </w:pPr>
    </w:p>
    <w:p w14:paraId="6A4459EF">
      <w:pPr>
        <w:pStyle w:val="13"/>
        <w:numPr>
          <w:ilvl w:val="0"/>
          <w:numId w:val="0"/>
        </w:numPr>
        <w:outlineLvl w:val="1"/>
        <w:rPr>
          <w:rFonts w:hint="eastAsia" w:ascii="宋体" w:hAnsi="宋体" w:eastAsia="宋体" w:cs="宋体"/>
          <w:b/>
          <w:color w:val="auto"/>
          <w:sz w:val="28"/>
          <w:szCs w:val="28"/>
          <w:highlight w:val="none"/>
          <w:lang w:val="en-US" w:eastAsia="zh-CN"/>
        </w:rPr>
      </w:pPr>
    </w:p>
    <w:p w14:paraId="182B3C17">
      <w:pPr>
        <w:pStyle w:val="13"/>
        <w:numPr>
          <w:ilvl w:val="0"/>
          <w:numId w:val="0"/>
        </w:numPr>
        <w:outlineLvl w:val="1"/>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bookmarkEnd w:id="1118"/>
      <w:bookmarkEnd w:id="1119"/>
      <w:bookmarkEnd w:id="1120"/>
      <w:bookmarkEnd w:id="1121"/>
      <w:bookmarkEnd w:id="1122"/>
      <w:r>
        <w:rPr>
          <w:rFonts w:hint="eastAsia" w:ascii="宋体" w:hAnsi="宋体" w:eastAsia="宋体" w:cs="宋体"/>
          <w:b/>
          <w:color w:val="auto"/>
          <w:sz w:val="28"/>
          <w:szCs w:val="28"/>
          <w:highlight w:val="none"/>
          <w:lang w:val="en-US" w:eastAsia="zh-CN"/>
        </w:rPr>
        <w:t>供应商2021年以来任意年度内的财务状况报告（或银行出具的资信证明）复印件（必须提供）</w:t>
      </w:r>
    </w:p>
    <w:p w14:paraId="48A30642">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1123" w:name="_Toc18342"/>
      <w:bookmarkStart w:id="1124" w:name="_Toc12791"/>
      <w:bookmarkStart w:id="1125" w:name="_Toc10639"/>
      <w:bookmarkStart w:id="1126" w:name="_Toc21896"/>
    </w:p>
    <w:p w14:paraId="0E67FE91">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5ED88A77">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12B6037F">
      <w:pPr>
        <w:jc w:val="left"/>
        <w:rPr>
          <w:rFonts w:hint="eastAsia" w:ascii="宋体" w:hAnsi="宋体" w:eastAsia="宋体" w:cs="宋体"/>
          <w:b/>
          <w:color w:val="auto"/>
          <w:sz w:val="28"/>
          <w:szCs w:val="28"/>
          <w:highlight w:val="none"/>
          <w:lang w:val="en-US" w:eastAsia="zh-CN"/>
        </w:rPr>
      </w:pPr>
    </w:p>
    <w:p w14:paraId="13031614">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638A0BE">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7BAE4A90">
      <w:pPr>
        <w:pStyle w:val="13"/>
        <w:numPr>
          <w:ilvl w:val="0"/>
          <w:numId w:val="0"/>
        </w:numPr>
        <w:outlineLvl w:val="1"/>
        <w:rPr>
          <w:rFonts w:hint="eastAsia" w:ascii="宋体" w:hAnsi="宋体" w:eastAsia="宋体" w:cs="宋体"/>
          <w:b/>
          <w:color w:val="auto"/>
          <w:sz w:val="28"/>
          <w:szCs w:val="28"/>
          <w:highlight w:val="none"/>
          <w:lang w:val="en-US" w:eastAsia="zh-CN"/>
        </w:rPr>
      </w:pPr>
      <w:bookmarkStart w:id="1127" w:name="_Toc10118"/>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w:t>
      </w:r>
      <w:bookmarkEnd w:id="1123"/>
      <w:bookmarkEnd w:id="1124"/>
      <w:bookmarkEnd w:id="1125"/>
      <w:bookmarkEnd w:id="1126"/>
      <w:bookmarkEnd w:id="1127"/>
      <w:r>
        <w:rPr>
          <w:rFonts w:hint="eastAsia" w:ascii="宋体" w:hAnsi="宋体" w:eastAsia="宋体" w:cs="宋体"/>
          <w:b/>
          <w:color w:val="auto"/>
          <w:sz w:val="28"/>
          <w:szCs w:val="28"/>
          <w:highlight w:val="none"/>
          <w:lang w:val="en-US" w:eastAsia="zh-CN"/>
        </w:rPr>
        <w:t>供应商截止响应文件递交截止时间前半年内任意一个月或任一季度依法缴纳税收的证明材料[增值税缴纳发票(税收完税证明)或企业所得税完税证明或税务部门出具的免税证明]复印件（必须提供）</w:t>
      </w:r>
    </w:p>
    <w:p w14:paraId="58C3709B">
      <w:pPr>
        <w:numPr>
          <w:ilvl w:val="0"/>
          <w:numId w:val="0"/>
        </w:numPr>
        <w:jc w:val="both"/>
        <w:rPr>
          <w:rFonts w:hint="eastAsia" w:ascii="宋体" w:hAnsi="宋体" w:cs="宋体"/>
          <w:b/>
          <w:bCs/>
          <w:color w:val="auto"/>
          <w:sz w:val="32"/>
          <w:szCs w:val="32"/>
          <w:highlight w:val="none"/>
          <w:lang w:eastAsia="zh-CN"/>
        </w:rPr>
      </w:pPr>
    </w:p>
    <w:p w14:paraId="6B15E790">
      <w:pPr>
        <w:pStyle w:val="34"/>
        <w:rPr>
          <w:rFonts w:hint="eastAsia"/>
          <w:color w:val="auto"/>
          <w:highlight w:val="none"/>
          <w:lang w:eastAsia="zh-CN"/>
        </w:rPr>
      </w:pPr>
    </w:p>
    <w:p w14:paraId="7E40B2F6">
      <w:pP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p>
    <w:p w14:paraId="47CCF503">
      <w:pPr>
        <w:pStyle w:val="13"/>
        <w:numPr>
          <w:ilvl w:val="0"/>
          <w:numId w:val="0"/>
        </w:numPr>
        <w:outlineLvl w:val="1"/>
        <w:rPr>
          <w:rFonts w:hint="eastAsia" w:ascii="宋体" w:hAnsi="宋体" w:cs="宋体"/>
          <w:b/>
          <w:bCs/>
          <w:color w:val="auto"/>
          <w:sz w:val="32"/>
          <w:szCs w:val="32"/>
          <w:highlight w:val="none"/>
          <w:lang w:eastAsia="zh-CN"/>
        </w:rPr>
      </w:pPr>
      <w:bookmarkStart w:id="1128" w:name="_Toc18910"/>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w:t>
      </w:r>
      <w:bookmarkEnd w:id="1128"/>
      <w:r>
        <w:rPr>
          <w:rFonts w:hint="eastAsia" w:ascii="宋体" w:hAnsi="宋体" w:eastAsia="宋体" w:cs="宋体"/>
          <w:b/>
          <w:color w:val="auto"/>
          <w:kern w:val="2"/>
          <w:sz w:val="28"/>
          <w:szCs w:val="28"/>
          <w:highlight w:val="none"/>
          <w:lang w:val="en-US" w:eastAsia="zh-CN" w:bidi="ar-SA"/>
        </w:rPr>
        <w:t>中小企业声明函或者残疾人福利性单位声明函（格式后附）或者供应商属于监狱企业的，提供由省级以上监狱管理局、戒毒管理局（含新疆生产建设兵团）出具的属于监狱企业的证明文件（必须提供）</w:t>
      </w:r>
    </w:p>
    <w:p w14:paraId="2743232E">
      <w:pPr>
        <w:numPr>
          <w:ilvl w:val="0"/>
          <w:numId w:val="0"/>
        </w:numPr>
        <w:jc w:val="both"/>
        <w:rPr>
          <w:rFonts w:hint="eastAsia" w:ascii="宋体" w:hAnsi="宋体" w:cs="宋体"/>
          <w:b/>
          <w:bCs/>
          <w:color w:val="auto"/>
          <w:sz w:val="32"/>
          <w:szCs w:val="32"/>
          <w:highlight w:val="none"/>
          <w:lang w:eastAsia="zh-CN"/>
        </w:rPr>
      </w:pPr>
    </w:p>
    <w:p w14:paraId="0E4EDA85">
      <w:pPr>
        <w:jc w:val="center"/>
        <w:outlineLvl w:val="1"/>
        <w:rPr>
          <w:rStyle w:val="274"/>
          <w:rFonts w:hint="eastAsia" w:ascii="宋体" w:hAnsi="宋体" w:eastAsia="宋体" w:cs="宋体"/>
          <w:b/>
          <w:bCs/>
          <w:color w:val="auto"/>
          <w:kern w:val="0"/>
          <w:sz w:val="24"/>
          <w:szCs w:val="24"/>
          <w:highlight w:val="none"/>
          <w:lang w:eastAsia="zh-CN"/>
        </w:rPr>
      </w:pPr>
      <w:bookmarkStart w:id="1129" w:name="_Toc20326"/>
      <w:bookmarkStart w:id="1130" w:name="_Toc27491"/>
      <w:bookmarkStart w:id="1131" w:name="_Toc23913"/>
      <w:bookmarkStart w:id="1132" w:name="_Toc20297"/>
      <w:bookmarkStart w:id="1133" w:name="_Toc16031"/>
      <w:bookmarkStart w:id="1134" w:name="_Toc22992"/>
      <w:r>
        <w:rPr>
          <w:rStyle w:val="274"/>
          <w:rFonts w:hint="eastAsia" w:ascii="宋体" w:hAnsi="宋体" w:cs="宋体"/>
          <w:b/>
          <w:bCs/>
          <w:color w:val="auto"/>
          <w:kern w:val="0"/>
          <w:sz w:val="24"/>
          <w:szCs w:val="24"/>
          <w:highlight w:val="none"/>
          <w:lang w:eastAsia="zh-CN"/>
        </w:rPr>
        <w:t>（</w:t>
      </w:r>
      <w:r>
        <w:rPr>
          <w:rStyle w:val="274"/>
          <w:rFonts w:hint="eastAsia" w:ascii="宋体" w:hAnsi="宋体" w:cs="宋体"/>
          <w:b/>
          <w:bCs/>
          <w:color w:val="auto"/>
          <w:kern w:val="0"/>
          <w:sz w:val="24"/>
          <w:szCs w:val="24"/>
          <w:highlight w:val="none"/>
          <w:lang w:val="en-US" w:eastAsia="zh-CN"/>
        </w:rPr>
        <w:t>1</w:t>
      </w:r>
      <w:r>
        <w:rPr>
          <w:rStyle w:val="274"/>
          <w:rFonts w:hint="eastAsia" w:ascii="宋体" w:hAnsi="宋体" w:cs="宋体"/>
          <w:b/>
          <w:bCs/>
          <w:color w:val="auto"/>
          <w:kern w:val="0"/>
          <w:sz w:val="24"/>
          <w:szCs w:val="24"/>
          <w:highlight w:val="none"/>
          <w:lang w:eastAsia="zh-CN"/>
        </w:rPr>
        <w:t>）</w:t>
      </w:r>
      <w:r>
        <w:rPr>
          <w:rStyle w:val="274"/>
          <w:rFonts w:ascii="宋体" w:hAnsi="宋体" w:cs="宋体"/>
          <w:b/>
          <w:bCs/>
          <w:color w:val="auto"/>
          <w:kern w:val="0"/>
          <w:sz w:val="24"/>
          <w:szCs w:val="24"/>
          <w:highlight w:val="none"/>
        </w:rPr>
        <w:t>中小企业声明函（</w:t>
      </w:r>
      <w:r>
        <w:rPr>
          <w:rStyle w:val="274"/>
          <w:rFonts w:hint="eastAsia" w:ascii="宋体" w:hAnsi="宋体" w:cs="宋体"/>
          <w:b/>
          <w:bCs/>
          <w:color w:val="auto"/>
          <w:kern w:val="0"/>
          <w:sz w:val="24"/>
          <w:szCs w:val="24"/>
          <w:highlight w:val="none"/>
        </w:rPr>
        <w:t>工程</w:t>
      </w:r>
      <w:r>
        <w:rPr>
          <w:rStyle w:val="274"/>
          <w:rFonts w:ascii="宋体" w:hAnsi="宋体" w:cs="宋体"/>
          <w:b/>
          <w:bCs/>
          <w:color w:val="auto"/>
          <w:kern w:val="0"/>
          <w:sz w:val="24"/>
          <w:szCs w:val="24"/>
          <w:highlight w:val="none"/>
        </w:rPr>
        <w:t>）</w:t>
      </w:r>
      <w:bookmarkEnd w:id="1129"/>
      <w:bookmarkEnd w:id="1130"/>
      <w:bookmarkEnd w:id="1131"/>
      <w:bookmarkEnd w:id="1132"/>
      <w:bookmarkEnd w:id="1133"/>
      <w:r>
        <w:rPr>
          <w:rStyle w:val="274"/>
          <w:rFonts w:hint="eastAsia" w:ascii="宋体" w:hAnsi="宋体" w:cs="宋体"/>
          <w:b/>
          <w:bCs/>
          <w:color w:val="auto"/>
          <w:kern w:val="0"/>
          <w:sz w:val="24"/>
          <w:szCs w:val="24"/>
          <w:highlight w:val="none"/>
          <w:lang w:eastAsia="zh-CN"/>
        </w:rPr>
        <w:t>（</w:t>
      </w:r>
      <w:r>
        <w:rPr>
          <w:rStyle w:val="274"/>
          <w:rFonts w:hint="eastAsia" w:ascii="宋体" w:hAnsi="宋体" w:cs="宋体"/>
          <w:b/>
          <w:bCs/>
          <w:color w:val="auto"/>
          <w:kern w:val="0"/>
          <w:sz w:val="24"/>
          <w:szCs w:val="24"/>
          <w:highlight w:val="none"/>
          <w:lang w:val="en-US" w:eastAsia="zh-CN"/>
        </w:rPr>
        <w:t>格式</w:t>
      </w:r>
      <w:r>
        <w:rPr>
          <w:rStyle w:val="274"/>
          <w:rFonts w:hint="eastAsia" w:ascii="宋体" w:hAnsi="宋体" w:cs="宋体"/>
          <w:b/>
          <w:bCs/>
          <w:color w:val="auto"/>
          <w:kern w:val="0"/>
          <w:sz w:val="24"/>
          <w:szCs w:val="24"/>
          <w:highlight w:val="none"/>
          <w:lang w:eastAsia="zh-CN"/>
        </w:rPr>
        <w:t>）</w:t>
      </w:r>
      <w:bookmarkEnd w:id="1134"/>
    </w:p>
    <w:p w14:paraId="55730F2A">
      <w:pPr>
        <w:widowControl w:val="0"/>
        <w:spacing w:after="60" w:line="360" w:lineRule="atLeast"/>
        <w:ind w:left="63" w:leftChars="30" w:right="63" w:rightChars="30"/>
        <w:jc w:val="center"/>
        <w:rPr>
          <w:rFonts w:ascii="Times New Roman" w:hAnsi="Times New Roman" w:eastAsia="宋体" w:cs="Times New Roman"/>
          <w:color w:val="auto"/>
          <w:kern w:val="0"/>
          <w:sz w:val="21"/>
          <w:szCs w:val="21"/>
          <w:highlight w:val="none"/>
          <w:lang w:val="en-US" w:eastAsia="zh-CN" w:bidi="ar-SA"/>
        </w:rPr>
      </w:pPr>
    </w:p>
    <w:p w14:paraId="39B0F193">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4"/>
          <w:szCs w:val="24"/>
          <w:highlight w:val="none"/>
          <w:u w:val="single"/>
        </w:rPr>
        <w:t>（单位名称）</w:t>
      </w:r>
      <w:r>
        <w:rPr>
          <w:rFonts w:hint="eastAsia" w:ascii="Times New Roman" w:hAnsi="Times New Roman" w:cs="Times New Roman"/>
          <w:bCs/>
          <w:color w:val="auto"/>
          <w:sz w:val="24"/>
          <w:szCs w:val="24"/>
          <w:highlight w:val="none"/>
        </w:rPr>
        <w:t>的</w:t>
      </w:r>
      <w:r>
        <w:rPr>
          <w:rFonts w:hint="eastAsia" w:ascii="Times New Roman" w:hAnsi="Times New Roman" w:cs="Times New Roman"/>
          <w:bCs/>
          <w:color w:val="auto"/>
          <w:sz w:val="24"/>
          <w:szCs w:val="24"/>
          <w:highlight w:val="none"/>
          <w:u w:val="single"/>
        </w:rPr>
        <w:t>（项目名称）</w:t>
      </w:r>
      <w:r>
        <w:rPr>
          <w:rFonts w:hint="eastAsia" w:ascii="Times New Roman" w:hAnsi="Times New Roman" w:cs="Times New Roman"/>
          <w:bCs/>
          <w:color w:val="auto"/>
          <w:sz w:val="24"/>
          <w:szCs w:val="24"/>
          <w:highlight w:val="none"/>
        </w:rPr>
        <w:t>采购活动，</w:t>
      </w:r>
      <w:r>
        <w:rPr>
          <w:rFonts w:hint="eastAsia" w:ascii="Times New Roman" w:hAnsi="Times New Roman" w:cs="Times New Roman"/>
          <w:bCs/>
          <w:color w:val="auto"/>
          <w:sz w:val="24"/>
          <w:szCs w:val="24"/>
          <w:highlight w:val="none"/>
          <w:lang w:val="en-US" w:eastAsia="zh-CN"/>
        </w:rPr>
        <w:t>工程的施工单位</w:t>
      </w:r>
      <w:r>
        <w:rPr>
          <w:rFonts w:hint="eastAsia" w:ascii="Times New Roman" w:hAnsi="Times New Roman" w:cs="Times New Roman"/>
          <w:bCs/>
          <w:color w:val="auto"/>
          <w:sz w:val="24"/>
          <w:szCs w:val="24"/>
          <w:highlight w:val="none"/>
        </w:rPr>
        <w:t>全部</w:t>
      </w:r>
      <w:r>
        <w:rPr>
          <w:rFonts w:hint="eastAsia" w:ascii="Times New Roman" w:hAnsi="Times New Roman" w:cs="Times New Roman"/>
          <w:bCs/>
          <w:color w:val="auto"/>
          <w:sz w:val="24"/>
          <w:szCs w:val="24"/>
          <w:highlight w:val="none"/>
          <w:lang w:val="en-US" w:eastAsia="zh-CN"/>
        </w:rPr>
        <w:t>为</w:t>
      </w:r>
      <w:r>
        <w:rPr>
          <w:rFonts w:hint="eastAsia" w:ascii="Times New Roman" w:hAnsi="Times New Roman" w:cs="Times New Roman"/>
          <w:bCs/>
          <w:color w:val="auto"/>
          <w:sz w:val="24"/>
          <w:szCs w:val="24"/>
          <w:highlight w:val="none"/>
        </w:rPr>
        <w:t>符合政策要求的中小企业承接。相关企业（含联合体中的中小企业、签订分包意向协议的中小企业） 的具体情况如下：</w:t>
      </w:r>
    </w:p>
    <w:p w14:paraId="11854E67">
      <w:pPr>
        <w:spacing w:line="360" w:lineRule="auto"/>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1.</w:t>
      </w:r>
      <w:r>
        <w:rPr>
          <w:rFonts w:hint="eastAsia" w:ascii="Times New Roman" w:hAnsi="Times New Roman" w:cs="Times New Roman"/>
          <w:bCs/>
          <w:color w:val="auto"/>
          <w:sz w:val="24"/>
          <w:szCs w:val="24"/>
          <w:highlight w:val="none"/>
          <w:u w:val="single"/>
        </w:rPr>
        <w:t>（标的名称）</w:t>
      </w:r>
      <w:r>
        <w:rPr>
          <w:rFonts w:hint="eastAsia" w:ascii="Times New Roman" w:hAnsi="Times New Roman" w:cs="Times New Roman"/>
          <w:bCs/>
          <w:color w:val="auto"/>
          <w:sz w:val="24"/>
          <w:szCs w:val="24"/>
          <w:highlight w:val="none"/>
        </w:rPr>
        <w:t>，属于</w:t>
      </w:r>
      <w:r>
        <w:rPr>
          <w:rFonts w:hint="eastAsia" w:ascii="Times New Roman" w:hAnsi="Times New Roman" w:cs="Times New Roman"/>
          <w:bCs/>
          <w:color w:val="auto"/>
          <w:sz w:val="24"/>
          <w:szCs w:val="24"/>
          <w:highlight w:val="none"/>
          <w:u w:val="single"/>
        </w:rPr>
        <w:t>（采购文件中明确的所属行业）</w:t>
      </w:r>
      <w:r>
        <w:rPr>
          <w:rFonts w:hint="eastAsia" w:ascii="Times New Roman" w:hAnsi="Times New Roman" w:cs="Times New Roman"/>
          <w:bCs/>
          <w:color w:val="auto"/>
          <w:sz w:val="24"/>
          <w:szCs w:val="24"/>
          <w:highlight w:val="none"/>
        </w:rPr>
        <w:t>行业；承</w:t>
      </w:r>
      <w:r>
        <w:rPr>
          <w:rFonts w:hint="eastAsia" w:ascii="Times New Roman" w:hAnsi="Times New Roman" w:cs="Times New Roman"/>
          <w:bCs/>
          <w:color w:val="auto"/>
          <w:sz w:val="24"/>
          <w:szCs w:val="24"/>
          <w:highlight w:val="none"/>
          <w:lang w:val="en-US" w:eastAsia="zh-CN"/>
        </w:rPr>
        <w:t>建</w:t>
      </w:r>
      <w:r>
        <w:rPr>
          <w:rFonts w:hint="eastAsia" w:ascii="Times New Roman" w:hAnsi="Times New Roman" w:cs="Times New Roman"/>
          <w:bCs/>
          <w:color w:val="auto"/>
          <w:sz w:val="24"/>
          <w:szCs w:val="24"/>
          <w:highlight w:val="none"/>
        </w:rPr>
        <w:t>企业为</w:t>
      </w:r>
      <w:r>
        <w:rPr>
          <w:rFonts w:hint="eastAsia" w:ascii="Times New Roman" w:hAnsi="Times New Roman" w:cs="Times New Roman"/>
          <w:bCs/>
          <w:color w:val="auto"/>
          <w:sz w:val="24"/>
          <w:szCs w:val="24"/>
          <w:highlight w:val="none"/>
          <w:u w:val="single"/>
        </w:rPr>
        <w:t>（企业名称）</w:t>
      </w:r>
      <w:r>
        <w:rPr>
          <w:rFonts w:hint="eastAsia" w:ascii="Times New Roman" w:hAnsi="Times New Roman" w:cs="Times New Roman"/>
          <w:bCs/>
          <w:color w:val="auto"/>
          <w:sz w:val="24"/>
          <w:szCs w:val="24"/>
          <w:highlight w:val="none"/>
        </w:rPr>
        <w:t>，从业人员</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人，营业收入为</w:t>
      </w:r>
      <w:r>
        <w:rPr>
          <w:rFonts w:hint="eastAsia"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万元，资产总额为</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万元，属于</w:t>
      </w:r>
      <w:r>
        <w:rPr>
          <w:rFonts w:hint="eastAsia" w:ascii="Times New Roman" w:hAnsi="Times New Roman" w:cs="Times New Roman"/>
          <w:bCs/>
          <w:color w:val="auto"/>
          <w:sz w:val="24"/>
          <w:szCs w:val="24"/>
          <w:highlight w:val="none"/>
          <w:u w:val="single"/>
        </w:rPr>
        <w:t>（中型企业、小型企业、微型企业）</w:t>
      </w:r>
      <w:r>
        <w:rPr>
          <w:rFonts w:hint="eastAsia" w:ascii="Times New Roman" w:hAnsi="Times New Roman" w:cs="Times New Roman"/>
          <w:bCs/>
          <w:color w:val="auto"/>
          <w:sz w:val="24"/>
          <w:szCs w:val="24"/>
          <w:highlight w:val="none"/>
        </w:rPr>
        <w:t>；</w:t>
      </w:r>
    </w:p>
    <w:p w14:paraId="0FDA5946">
      <w:pPr>
        <w:spacing w:line="360" w:lineRule="auto"/>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2.</w:t>
      </w:r>
      <w:r>
        <w:rPr>
          <w:rFonts w:hint="eastAsia" w:ascii="Times New Roman" w:hAnsi="Times New Roman" w:cs="Times New Roman"/>
          <w:bCs/>
          <w:color w:val="auto"/>
          <w:sz w:val="24"/>
          <w:szCs w:val="24"/>
          <w:highlight w:val="none"/>
          <w:u w:val="single"/>
        </w:rPr>
        <w:t>（标的名称）</w:t>
      </w:r>
      <w:r>
        <w:rPr>
          <w:rFonts w:hint="eastAsia" w:ascii="Times New Roman" w:hAnsi="Times New Roman" w:cs="Times New Roman"/>
          <w:bCs/>
          <w:color w:val="auto"/>
          <w:sz w:val="24"/>
          <w:szCs w:val="24"/>
          <w:highlight w:val="none"/>
        </w:rPr>
        <w:t>，属于</w:t>
      </w:r>
      <w:r>
        <w:rPr>
          <w:rFonts w:hint="eastAsia" w:ascii="Times New Roman" w:hAnsi="Times New Roman" w:cs="Times New Roman"/>
          <w:bCs/>
          <w:color w:val="auto"/>
          <w:sz w:val="24"/>
          <w:szCs w:val="24"/>
          <w:highlight w:val="none"/>
          <w:u w:val="single"/>
        </w:rPr>
        <w:t>（采购文件中明确的所属行业）</w:t>
      </w:r>
      <w:r>
        <w:rPr>
          <w:rFonts w:hint="eastAsia" w:ascii="Times New Roman" w:hAnsi="Times New Roman" w:cs="Times New Roman"/>
          <w:bCs/>
          <w:color w:val="auto"/>
          <w:sz w:val="24"/>
          <w:szCs w:val="24"/>
          <w:highlight w:val="none"/>
        </w:rPr>
        <w:t>行业；承</w:t>
      </w:r>
      <w:r>
        <w:rPr>
          <w:rFonts w:hint="eastAsia" w:ascii="Times New Roman" w:hAnsi="Times New Roman" w:cs="Times New Roman"/>
          <w:bCs/>
          <w:color w:val="auto"/>
          <w:sz w:val="24"/>
          <w:szCs w:val="24"/>
          <w:highlight w:val="none"/>
          <w:lang w:val="en-US" w:eastAsia="zh-CN"/>
        </w:rPr>
        <w:t>建</w:t>
      </w:r>
      <w:r>
        <w:rPr>
          <w:rFonts w:hint="eastAsia" w:ascii="Times New Roman" w:hAnsi="Times New Roman" w:cs="Times New Roman"/>
          <w:bCs/>
          <w:color w:val="auto"/>
          <w:sz w:val="24"/>
          <w:szCs w:val="24"/>
          <w:highlight w:val="none"/>
        </w:rPr>
        <w:t>企业为</w:t>
      </w:r>
      <w:r>
        <w:rPr>
          <w:rFonts w:hint="eastAsia" w:ascii="Times New Roman" w:hAnsi="Times New Roman" w:cs="Times New Roman"/>
          <w:bCs/>
          <w:color w:val="auto"/>
          <w:sz w:val="24"/>
          <w:szCs w:val="24"/>
          <w:highlight w:val="none"/>
          <w:u w:val="single"/>
        </w:rPr>
        <w:t>（企业名称）</w:t>
      </w:r>
      <w:r>
        <w:rPr>
          <w:rFonts w:hint="eastAsia" w:ascii="Times New Roman" w:hAnsi="Times New Roman" w:cs="Times New Roman"/>
          <w:bCs/>
          <w:color w:val="auto"/>
          <w:sz w:val="24"/>
          <w:szCs w:val="24"/>
          <w:highlight w:val="none"/>
        </w:rPr>
        <w:t>，从业人员</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人，营业收入为</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万元，资产总额为</w:t>
      </w:r>
      <w:r>
        <w:rPr>
          <w:rFonts w:hint="eastAsia"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u w:val="single"/>
        </w:rPr>
        <w:t xml:space="preserve"> </w:t>
      </w:r>
      <w:r>
        <w:rPr>
          <w:rFonts w:hint="eastAsia" w:ascii="Times New Roman" w:hAnsi="Times New Roman" w:cs="Times New Roman"/>
          <w:bCs/>
          <w:color w:val="auto"/>
          <w:sz w:val="24"/>
          <w:szCs w:val="24"/>
          <w:highlight w:val="none"/>
        </w:rPr>
        <w:t>万元，属于</w:t>
      </w:r>
      <w:r>
        <w:rPr>
          <w:rFonts w:hint="eastAsia" w:ascii="Times New Roman" w:hAnsi="Times New Roman" w:cs="Times New Roman"/>
          <w:bCs/>
          <w:color w:val="auto"/>
          <w:sz w:val="24"/>
          <w:szCs w:val="24"/>
          <w:highlight w:val="none"/>
          <w:u w:val="single"/>
        </w:rPr>
        <w:t>（中型企业、小型企业、微型企业）</w:t>
      </w:r>
      <w:r>
        <w:rPr>
          <w:rFonts w:hint="eastAsia" w:ascii="Times New Roman" w:hAnsi="Times New Roman" w:cs="Times New Roman"/>
          <w:bCs/>
          <w:color w:val="auto"/>
          <w:sz w:val="24"/>
          <w:szCs w:val="24"/>
          <w:highlight w:val="none"/>
        </w:rPr>
        <w:t>；</w:t>
      </w:r>
    </w:p>
    <w:p w14:paraId="441A2F37">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w:t>
      </w:r>
    </w:p>
    <w:p w14:paraId="29BFFBE6">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以上企业，不属于大企业的分支机构，不存在控股股东为大企业的情形，也不存在与大企业的负责人为同一人的情形。</w:t>
      </w:r>
    </w:p>
    <w:p w14:paraId="3D3D6B00">
      <w:pPr>
        <w:spacing w:line="360" w:lineRule="auto"/>
        <w:ind w:firstLine="42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本企业对上述声明内容的真实性负责。如有虚假，将依法承担相应责任。</w:t>
      </w:r>
    </w:p>
    <w:p w14:paraId="4D181931">
      <w:pPr>
        <w:ind w:right="420" w:firstLine="6120" w:firstLineChars="2550"/>
        <w:rPr>
          <w:rFonts w:hint="eastAsia" w:ascii="Times New Roman" w:hAnsi="Times New Roman" w:cs="Times New Roman"/>
          <w:bCs/>
          <w:color w:val="auto"/>
          <w:sz w:val="24"/>
          <w:szCs w:val="24"/>
          <w:highlight w:val="none"/>
        </w:rPr>
      </w:pPr>
    </w:p>
    <w:p w14:paraId="372B0DD6">
      <w:pPr>
        <w:spacing w:line="360" w:lineRule="auto"/>
        <w:ind w:firstLine="960" w:firstLineChars="400"/>
        <w:jc w:val="both"/>
        <w:rPr>
          <w:rFonts w:ascii="Arial" w:hAnsi="Arial" w:cs="Arial"/>
          <w:color w:val="auto"/>
          <w:sz w:val="24"/>
          <w:szCs w:val="24"/>
          <w:highlight w:val="none"/>
        </w:rPr>
      </w:pPr>
      <w:r>
        <w:rPr>
          <w:rFonts w:hint="eastAsia" w:ascii="Arial" w:hAnsi="Arial" w:cs="Arial"/>
          <w:color w:val="auto"/>
          <w:sz w:val="24"/>
          <w:szCs w:val="24"/>
          <w:highlight w:val="none"/>
          <w:lang w:eastAsia="zh-CN"/>
        </w:rPr>
        <w:t>供应商</w:t>
      </w:r>
      <w:r>
        <w:rPr>
          <w:rFonts w:ascii="Arial" w:hAnsi="Arial" w:cs="Arial"/>
          <w:color w:val="auto"/>
          <w:sz w:val="24"/>
          <w:szCs w:val="24"/>
          <w:highlight w:val="none"/>
        </w:rPr>
        <w:t>：</w:t>
      </w:r>
      <w:r>
        <w:rPr>
          <w:rFonts w:ascii="Arial" w:hAnsi="Arial" w:cs="Arial"/>
          <w:color w:val="auto"/>
          <w:sz w:val="24"/>
          <w:szCs w:val="24"/>
          <w:highlight w:val="none"/>
          <w:u w:val="single"/>
        </w:rPr>
        <w:t xml:space="preserve">                                       </w:t>
      </w:r>
      <w:r>
        <w:rPr>
          <w:rFonts w:hint="eastAsia" w:ascii="宋体" w:hAnsi="宋体" w:eastAsia="宋体" w:cs="宋体"/>
          <w:color w:val="auto"/>
          <w:sz w:val="24"/>
          <w:szCs w:val="24"/>
          <w:highlight w:val="none"/>
        </w:rPr>
        <w:t>[公章（CA签章）]</w:t>
      </w:r>
    </w:p>
    <w:p w14:paraId="45F39AF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ascii="Arial" w:hAnsi="Arial" w:cs="Arial"/>
          <w:color w:val="auto"/>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026CD72B">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58A2F22B">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7DF7B89B">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0E2EBB8A">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w:t>
      </w:r>
      <w:r>
        <w:rPr>
          <w:rFonts w:hint="eastAsia" w:cs="宋体"/>
          <w:b/>
          <w:color w:val="auto"/>
          <w:sz w:val="21"/>
          <w:szCs w:val="21"/>
          <w:highlight w:val="none"/>
          <w:lang w:val="en-US" w:eastAsia="zh-CN"/>
        </w:rPr>
        <w:t>中型、</w:t>
      </w:r>
      <w:r>
        <w:rPr>
          <w:rFonts w:hint="eastAsia" w:ascii="宋体" w:hAnsi="宋体" w:eastAsia="宋体" w:cs="宋体"/>
          <w:b/>
          <w:color w:val="auto"/>
          <w:sz w:val="21"/>
          <w:szCs w:val="21"/>
          <w:highlight w:val="none"/>
        </w:rPr>
        <w:t>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0975A337">
      <w:pPr>
        <w:spacing w:line="240" w:lineRule="auto"/>
        <w:rPr>
          <w:rFonts w:hint="eastAsia" w:ascii="宋体" w:hAnsi="宋体" w:eastAsia="宋体" w:cs="宋体"/>
          <w:b/>
          <w:bCs/>
          <w:iCs/>
          <w:color w:val="auto"/>
          <w:kern w:val="2"/>
          <w:sz w:val="24"/>
          <w:szCs w:val="24"/>
          <w:highlight w:val="none"/>
          <w:lang w:val="en-US" w:eastAsia="zh-CN" w:bidi="ar-SA"/>
        </w:rPr>
      </w:pPr>
    </w:p>
    <w:p w14:paraId="7FABD4BD">
      <w:pPr>
        <w:rPr>
          <w:rFonts w:hint="eastAsia" w:ascii="宋体" w:hAnsi="宋体" w:cs="宋体"/>
          <w:b/>
          <w:color w:val="auto"/>
          <w:kern w:val="0"/>
          <w:sz w:val="24"/>
          <w:szCs w:val="24"/>
          <w:highlight w:val="none"/>
          <w:lang w:eastAsia="zh-CN"/>
        </w:rPr>
      </w:pPr>
      <w:bookmarkStart w:id="1135" w:name="_Toc15783"/>
      <w:bookmarkStart w:id="1136" w:name="_Toc13328"/>
      <w:bookmarkStart w:id="1137" w:name="_Toc7068"/>
      <w:bookmarkStart w:id="1138" w:name="_Toc20905"/>
      <w:bookmarkStart w:id="1139" w:name="OLE_LINK14"/>
      <w:bookmarkStart w:id="1140" w:name="OLE_LINK13"/>
      <w:r>
        <w:rPr>
          <w:rFonts w:hint="eastAsia" w:ascii="宋体" w:hAnsi="宋体" w:cs="宋体"/>
          <w:b/>
          <w:color w:val="auto"/>
          <w:kern w:val="0"/>
          <w:sz w:val="24"/>
          <w:szCs w:val="24"/>
          <w:highlight w:val="none"/>
          <w:lang w:eastAsia="zh-CN"/>
        </w:rPr>
        <w:br w:type="page"/>
      </w:r>
    </w:p>
    <w:p w14:paraId="52622235">
      <w:pPr>
        <w:spacing w:line="588" w:lineRule="exact"/>
        <w:jc w:val="center"/>
        <w:outlineLvl w:val="1"/>
        <w:rPr>
          <w:rFonts w:hint="eastAsia" w:ascii="宋体" w:hAnsi="宋体" w:eastAsia="宋体" w:cs="宋体"/>
          <w:b/>
          <w:color w:val="auto"/>
          <w:kern w:val="0"/>
          <w:sz w:val="24"/>
          <w:szCs w:val="24"/>
          <w:highlight w:val="none"/>
        </w:rPr>
      </w:pPr>
      <w:bookmarkStart w:id="1141" w:name="_Toc2170"/>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残疾人福利性单位声明函（格式）</w:t>
      </w:r>
      <w:bookmarkEnd w:id="1135"/>
      <w:bookmarkEnd w:id="1136"/>
      <w:bookmarkEnd w:id="1137"/>
      <w:bookmarkEnd w:id="1138"/>
      <w:bookmarkEnd w:id="1141"/>
    </w:p>
    <w:bookmarkEnd w:id="1139"/>
    <w:bookmarkEnd w:id="1140"/>
    <w:p w14:paraId="5EE625FC">
      <w:pPr>
        <w:spacing w:line="588" w:lineRule="exact"/>
        <w:rPr>
          <w:rFonts w:hint="eastAsia" w:ascii="宋体" w:hAnsi="宋体" w:eastAsia="宋体" w:cs="宋体"/>
          <w:b/>
          <w:color w:val="auto"/>
          <w:kern w:val="0"/>
          <w:sz w:val="21"/>
          <w:szCs w:val="21"/>
          <w:highlight w:val="none"/>
        </w:rPr>
      </w:pPr>
    </w:p>
    <w:p w14:paraId="5F9C06A6">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83D255">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25B0F23A">
      <w:pPr>
        <w:spacing w:line="588" w:lineRule="exact"/>
        <w:ind w:firstLine="420" w:firstLineChars="200"/>
        <w:rPr>
          <w:rFonts w:hint="eastAsia" w:ascii="宋体" w:hAnsi="宋体" w:eastAsia="宋体" w:cs="宋体"/>
          <w:color w:val="auto"/>
          <w:kern w:val="0"/>
          <w:sz w:val="21"/>
          <w:szCs w:val="21"/>
          <w:highlight w:val="none"/>
        </w:rPr>
      </w:pPr>
    </w:p>
    <w:p w14:paraId="3643025E">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CDEDA1C">
      <w:pPr>
        <w:widowControl w:val="0"/>
        <w:spacing w:line="300" w:lineRule="exact"/>
        <w:ind w:left="2940" w:leftChars="1400" w:firstLine="630" w:firstLineChars="300"/>
        <w:jc w:val="both"/>
        <w:rPr>
          <w:rFonts w:hint="eastAsia" w:ascii="宋体" w:hAnsi="宋体" w:eastAsia="宋体" w:cs="宋体"/>
          <w:color w:val="auto"/>
          <w:kern w:val="2"/>
          <w:sz w:val="21"/>
          <w:szCs w:val="22"/>
          <w:highlight w:val="none"/>
          <w:lang w:val="en-US" w:eastAsia="zh-CN" w:bidi="ar-SA"/>
        </w:rPr>
      </w:pPr>
    </w:p>
    <w:p w14:paraId="6D99346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imes New Roman" w:hAnsi="Times New Roman" w:cs="Times New Roman"/>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B74CF37">
      <w:pPr>
        <w:numPr>
          <w:ilvl w:val="0"/>
          <w:numId w:val="0"/>
        </w:numPr>
        <w:jc w:val="both"/>
        <w:rPr>
          <w:rFonts w:hint="eastAsia" w:ascii="宋体" w:hAnsi="宋体" w:cs="宋体"/>
          <w:b/>
          <w:bCs/>
          <w:color w:val="auto"/>
          <w:sz w:val="32"/>
          <w:szCs w:val="32"/>
          <w:highlight w:val="none"/>
          <w:lang w:eastAsia="zh-CN"/>
        </w:rPr>
      </w:pPr>
    </w:p>
    <w:p w14:paraId="16509CA4">
      <w:pPr>
        <w:numPr>
          <w:ilvl w:val="0"/>
          <w:numId w:val="0"/>
        </w:numPr>
        <w:jc w:val="both"/>
        <w:rPr>
          <w:rFonts w:hint="eastAsia" w:ascii="宋体" w:hAnsi="宋体" w:cs="宋体"/>
          <w:b/>
          <w:bCs/>
          <w:color w:val="auto"/>
          <w:sz w:val="32"/>
          <w:szCs w:val="32"/>
          <w:highlight w:val="none"/>
          <w:lang w:eastAsia="zh-CN"/>
        </w:rPr>
      </w:pPr>
    </w:p>
    <w:p w14:paraId="5E09EB97">
      <w:pPr>
        <w:numPr>
          <w:ilvl w:val="0"/>
          <w:numId w:val="0"/>
        </w:numPr>
        <w:jc w:val="both"/>
        <w:rPr>
          <w:rFonts w:hint="eastAsia" w:ascii="宋体" w:hAnsi="宋体" w:cs="宋体"/>
          <w:b/>
          <w:bCs/>
          <w:color w:val="auto"/>
          <w:sz w:val="32"/>
          <w:szCs w:val="32"/>
          <w:highlight w:val="none"/>
          <w:lang w:eastAsia="zh-CN"/>
        </w:rPr>
      </w:pPr>
      <w:r>
        <w:rPr>
          <w:rFonts w:hint="eastAsia" w:ascii="宋体" w:hAnsi="宋体"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67EAE9AB">
      <w:pPr>
        <w:numPr>
          <w:ilvl w:val="0"/>
          <w:numId w:val="0"/>
        </w:numPr>
        <w:jc w:val="both"/>
        <w:rPr>
          <w:rFonts w:hint="eastAsia" w:ascii="宋体" w:hAnsi="宋体" w:cs="宋体"/>
          <w:b/>
          <w:bCs/>
          <w:color w:val="auto"/>
          <w:sz w:val="32"/>
          <w:szCs w:val="32"/>
          <w:highlight w:val="none"/>
          <w:lang w:eastAsia="zh-CN"/>
        </w:rPr>
      </w:pPr>
    </w:p>
    <w:p w14:paraId="630BF101">
      <w:pPr>
        <w:numPr>
          <w:ilvl w:val="0"/>
          <w:numId w:val="0"/>
        </w:numPr>
        <w:ind w:left="420" w:leftChars="0"/>
        <w:jc w:val="center"/>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br w:type="page"/>
      </w:r>
      <w:bookmarkStart w:id="1142" w:name="_Toc22183"/>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bookmarkEnd w:id="1142"/>
    </w:p>
    <w:p w14:paraId="1FED963A">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p>
    <w:p w14:paraId="0E1EE1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响应函（格式见附件）（必须提供）；</w:t>
      </w:r>
    </w:p>
    <w:p w14:paraId="295E39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.已标价工程量清单（必须提供）；</w:t>
      </w:r>
    </w:p>
    <w:p w14:paraId="2F9821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48DA9B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.主要人员简历表（必须提供）</w:t>
      </w:r>
      <w:r>
        <w:rPr>
          <w:rFonts w:hint="eastAsia" w:ascii="宋体" w:hAnsi="宋体" w:eastAsia="宋体" w:cs="宋体"/>
          <w:b w:val="0"/>
          <w:bCs w:val="0"/>
          <w:color w:val="auto"/>
          <w:sz w:val="24"/>
          <w:szCs w:val="24"/>
          <w:highlight w:val="none"/>
          <w:lang w:eastAsia="zh-CN"/>
        </w:rPr>
        <w:t>；</w:t>
      </w:r>
    </w:p>
    <w:p w14:paraId="13CA83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施工组织设计（根据工程量清单及工程情况自行编制）（格式自拟，必须提供）</w:t>
      </w:r>
      <w:r>
        <w:rPr>
          <w:rFonts w:hint="eastAsia" w:ascii="宋体" w:hAnsi="宋体" w:eastAsia="宋体" w:cs="宋体"/>
          <w:b w:val="0"/>
          <w:bCs w:val="0"/>
          <w:color w:val="auto"/>
          <w:sz w:val="24"/>
          <w:szCs w:val="24"/>
          <w:highlight w:val="none"/>
          <w:lang w:eastAsia="zh-CN"/>
        </w:rPr>
        <w:t>；</w:t>
      </w:r>
    </w:p>
    <w:p w14:paraId="5267A5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.工程完工服务承诺书（必须提供）；</w:t>
      </w:r>
    </w:p>
    <w:p w14:paraId="7D7638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1143" w:name="_Toc6633"/>
      <w:bookmarkStart w:id="1144" w:name="_Toc1014"/>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.农民工工资保障金交纳与使用承诺书（必须提供）</w:t>
      </w:r>
      <w:bookmarkEnd w:id="1143"/>
      <w:bookmarkEnd w:id="1144"/>
      <w:r>
        <w:rPr>
          <w:rFonts w:hint="eastAsia" w:ascii="宋体" w:hAnsi="宋体" w:cs="宋体"/>
          <w:b w:val="0"/>
          <w:bCs w:val="0"/>
          <w:color w:val="auto"/>
          <w:sz w:val="24"/>
          <w:szCs w:val="24"/>
          <w:highlight w:val="none"/>
          <w:lang w:val="en-US" w:eastAsia="zh-CN"/>
        </w:rPr>
        <w:t>。</w:t>
      </w:r>
    </w:p>
    <w:p w14:paraId="5284AB11">
      <w:pPr>
        <w:pStyle w:val="69"/>
        <w:rPr>
          <w:rFonts w:hint="eastAsia" w:ascii="宋体" w:hAnsi="宋体" w:eastAsia="宋体" w:cs="宋体"/>
          <w:color w:val="auto"/>
          <w:highlight w:val="none"/>
        </w:rPr>
      </w:pPr>
    </w:p>
    <w:p w14:paraId="020DB4CC">
      <w:pPr>
        <w:pStyle w:val="2"/>
        <w:rPr>
          <w:rFonts w:hint="eastAsia" w:ascii="宋体" w:hAnsi="宋体" w:eastAsia="宋体" w:cs="宋体"/>
          <w:color w:val="auto"/>
          <w:highlight w:val="none"/>
        </w:rPr>
      </w:pPr>
    </w:p>
    <w:p w14:paraId="62C4642F">
      <w:pPr>
        <w:numPr>
          <w:ilvl w:val="0"/>
          <w:numId w:val="0"/>
        </w:numPr>
        <w:spacing w:line="400" w:lineRule="exact"/>
        <w:outlineLvl w:val="1"/>
        <w:rPr>
          <w:rFonts w:hint="eastAsia" w:ascii="宋体" w:hAnsi="宋体" w:eastAsia="宋体" w:cs="宋体"/>
          <w:b/>
          <w:bCs/>
          <w:color w:val="auto"/>
          <w:sz w:val="28"/>
          <w:szCs w:val="28"/>
          <w:highlight w:val="none"/>
        </w:rPr>
      </w:pPr>
      <w:bookmarkStart w:id="1145" w:name="_Toc497927072"/>
      <w:bookmarkStart w:id="1146" w:name="_Toc17617"/>
      <w:bookmarkStart w:id="1147" w:name="_Toc12920"/>
      <w:r>
        <w:rPr>
          <w:rFonts w:hint="eastAsia" w:ascii="宋体" w:hAnsi="宋体" w:cs="宋体"/>
          <w:b/>
          <w:bCs/>
          <w:color w:val="auto"/>
          <w:sz w:val="28"/>
          <w:szCs w:val="28"/>
          <w:highlight w:val="none"/>
          <w:lang w:val="en-US" w:eastAsia="zh-CN"/>
        </w:rPr>
        <w:br w:type="page"/>
      </w:r>
      <w:bookmarkStart w:id="1148" w:name="_Toc7733"/>
      <w:bookmarkStart w:id="1149" w:name="_Toc15513"/>
      <w:bookmarkStart w:id="1150" w:name="_Toc4512"/>
      <w:bookmarkStart w:id="1151" w:name="_Toc15505"/>
      <w:bookmarkStart w:id="1152" w:name="_Toc22576"/>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145"/>
      <w:bookmarkEnd w:id="1146"/>
      <w:bookmarkEnd w:id="1147"/>
      <w:bookmarkEnd w:id="1148"/>
      <w:bookmarkEnd w:id="1149"/>
      <w:bookmarkEnd w:id="1150"/>
      <w:bookmarkEnd w:id="1151"/>
      <w:bookmarkEnd w:id="1152"/>
    </w:p>
    <w:p w14:paraId="42E09B10">
      <w:pPr>
        <w:pStyle w:val="69"/>
        <w:rPr>
          <w:rFonts w:hint="eastAsia" w:ascii="宋体" w:hAnsi="宋体" w:eastAsia="宋体" w:cs="宋体"/>
          <w:color w:val="auto"/>
          <w:highlight w:val="none"/>
        </w:rPr>
      </w:pPr>
    </w:p>
    <w:p w14:paraId="3B97FD31">
      <w:pPr>
        <w:pStyle w:val="2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471C08A9">
      <w:pPr>
        <w:pStyle w:val="28"/>
        <w:ind w:firstLine="803" w:firstLineChars="250"/>
        <w:jc w:val="center"/>
        <w:rPr>
          <w:rFonts w:hint="eastAsia" w:ascii="宋体" w:hAnsi="宋体" w:eastAsia="宋体" w:cs="宋体"/>
          <w:b/>
          <w:color w:val="auto"/>
          <w:sz w:val="32"/>
          <w:highlight w:val="none"/>
        </w:rPr>
      </w:pPr>
      <w:bookmarkStart w:id="1153" w:name="_Toc7273_WPSOffice_Level1"/>
      <w:bookmarkStart w:id="1154" w:name="_Toc17832_WPSOffice_Level1"/>
      <w:r>
        <w:rPr>
          <w:rFonts w:hint="eastAsia" w:ascii="宋体" w:hAnsi="宋体" w:eastAsia="宋体" w:cs="宋体"/>
          <w:b/>
          <w:color w:val="auto"/>
          <w:sz w:val="32"/>
          <w:highlight w:val="none"/>
        </w:rPr>
        <w:t>响 应 函 （格 式）</w:t>
      </w:r>
      <w:bookmarkEnd w:id="1153"/>
      <w:bookmarkEnd w:id="1154"/>
    </w:p>
    <w:p w14:paraId="33621326">
      <w:pPr>
        <w:spacing w:line="240" w:lineRule="exact"/>
        <w:jc w:val="center"/>
        <w:rPr>
          <w:rFonts w:hint="eastAsia" w:ascii="宋体" w:hAnsi="宋体" w:eastAsia="宋体" w:cs="宋体"/>
          <w:color w:val="auto"/>
          <w:sz w:val="32"/>
          <w:highlight w:val="none"/>
        </w:rPr>
      </w:pPr>
    </w:p>
    <w:p w14:paraId="112B73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val="en-US" w:eastAsia="zh-CN"/>
        </w:rPr>
        <w:t>桂林聚格项目管理有限公司</w:t>
      </w:r>
    </w:p>
    <w:p w14:paraId="418D9C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p w14:paraId="02C8DC0C">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7D6D8765">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A091D80">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56EFD415">
      <w:pPr>
        <w:pStyle w:val="503"/>
        <w:tabs>
          <w:tab w:val="left" w:pos="7560"/>
        </w:tabs>
        <w:spacing w:line="460" w:lineRule="exact"/>
        <w:ind w:firstLine="420" w:firstLineChars="200"/>
        <w:rPr>
          <w:rStyle w:val="56"/>
          <w:rFonts w:ascii="Times New Roman" w:hAnsi="Times New Roman" w:eastAsia="宋体" w:cs="Times New Roman"/>
          <w:color w:val="auto"/>
          <w:szCs w:val="21"/>
          <w:highlight w:val="none"/>
        </w:rPr>
      </w:pPr>
      <w:r>
        <w:rPr>
          <w:rStyle w:val="56"/>
          <w:rFonts w:hint="eastAsia" w:ascii="Times New Roman" w:hAnsi="Times New Roman" w:eastAsia="宋体" w:cs="宋体"/>
          <w:color w:val="auto"/>
          <w:szCs w:val="21"/>
          <w:highlight w:val="none"/>
        </w:rPr>
        <w:t>我方愿以人民币（大写）</w:t>
      </w:r>
      <w:r>
        <w:rPr>
          <w:rStyle w:val="56"/>
          <w:rFonts w:ascii="Times New Roman" w:hAnsi="Times New Roman" w:eastAsia="宋体" w:cs="Times New Roman"/>
          <w:color w:val="auto"/>
          <w:szCs w:val="21"/>
          <w:highlight w:val="none"/>
          <w:u w:val="single"/>
        </w:rPr>
        <w:t xml:space="preserve">      </w:t>
      </w:r>
      <w:r>
        <w:rPr>
          <w:rStyle w:val="56"/>
          <w:rFonts w:hint="eastAsia" w:ascii="Times New Roman" w:hAnsi="Times New Roman" w:cs="Times New Roman"/>
          <w:color w:val="auto"/>
          <w:szCs w:val="21"/>
          <w:highlight w:val="none"/>
          <w:u w:val="single"/>
          <w:lang w:val="en-US" w:eastAsia="zh-CN"/>
        </w:rPr>
        <w:t xml:space="preserve">      </w:t>
      </w:r>
      <w:r>
        <w:rPr>
          <w:rStyle w:val="56"/>
          <w:rFonts w:hint="eastAsia" w:ascii="Times New Roman" w:hAnsi="Times New Roman" w:eastAsia="宋体" w:cs="宋体"/>
          <w:color w:val="auto"/>
          <w:szCs w:val="21"/>
          <w:highlight w:val="none"/>
        </w:rPr>
        <w:t>（</w:t>
      </w:r>
      <w:r>
        <w:rPr>
          <w:rStyle w:val="56"/>
          <w:rFonts w:hint="eastAsia" w:ascii="Times New Roman" w:hAnsi="Times New Roman" w:eastAsia="宋体" w:cs="宋体"/>
          <w:color w:val="auto"/>
          <w:szCs w:val="21"/>
          <w:highlight w:val="none"/>
          <w:u w:val="single"/>
        </w:rPr>
        <w:t>￥</w:t>
      </w:r>
      <w:r>
        <w:rPr>
          <w:rStyle w:val="56"/>
          <w:rFonts w:ascii="Times New Roman" w:hAnsi="Times New Roman" w:eastAsia="宋体" w:cs="Times New Roman"/>
          <w:color w:val="auto"/>
          <w:szCs w:val="21"/>
          <w:highlight w:val="none"/>
          <w:u w:val="single"/>
        </w:rPr>
        <w:t xml:space="preserve">   </w:t>
      </w:r>
      <w:r>
        <w:rPr>
          <w:rStyle w:val="56"/>
          <w:rFonts w:hint="eastAsia" w:ascii="Times New Roman" w:hAnsi="Times New Roman" w:cs="Times New Roman"/>
          <w:color w:val="auto"/>
          <w:szCs w:val="21"/>
          <w:highlight w:val="none"/>
          <w:u w:val="single"/>
          <w:lang w:val="en-US" w:eastAsia="zh-CN"/>
        </w:rPr>
        <w:t xml:space="preserve">   </w:t>
      </w:r>
      <w:r>
        <w:rPr>
          <w:rStyle w:val="56"/>
          <w:rFonts w:ascii="Times New Roman" w:hAnsi="Times New Roman" w:eastAsia="宋体" w:cs="Times New Roman"/>
          <w:color w:val="auto"/>
          <w:szCs w:val="21"/>
          <w:highlight w:val="none"/>
          <w:u w:val="single"/>
        </w:rPr>
        <w:t xml:space="preserve">   </w:t>
      </w:r>
      <w:r>
        <w:rPr>
          <w:rStyle w:val="56"/>
          <w:rFonts w:hint="eastAsia" w:ascii="Times New Roman" w:hAnsi="Times New Roman" w:eastAsia="宋体" w:cs="宋体"/>
          <w:color w:val="auto"/>
          <w:szCs w:val="21"/>
          <w:highlight w:val="none"/>
        </w:rPr>
        <w:t>元）的</w:t>
      </w:r>
      <w:r>
        <w:rPr>
          <w:rStyle w:val="56"/>
          <w:rFonts w:hint="eastAsia" w:ascii="Times New Roman" w:hAnsi="Times New Roman" w:cs="宋体"/>
          <w:color w:val="auto"/>
          <w:szCs w:val="21"/>
          <w:highlight w:val="none"/>
          <w:lang w:eastAsia="zh-CN"/>
        </w:rPr>
        <w:t>磋商报</w:t>
      </w:r>
      <w:r>
        <w:rPr>
          <w:rStyle w:val="56"/>
          <w:rFonts w:hint="eastAsia" w:ascii="Times New Roman" w:hAnsi="Times New Roman" w:eastAsia="宋体" w:cs="宋体"/>
          <w:color w:val="auto"/>
          <w:szCs w:val="21"/>
          <w:highlight w:val="none"/>
        </w:rPr>
        <w:t>价并按上述图纸、合同条款、工程建设标准和工程量清单的条件要求承包上述工程的施工、竣工，并承担任何质量缺陷保修责任。我方保证工程质量达到</w:t>
      </w:r>
      <w:r>
        <w:rPr>
          <w:rStyle w:val="56"/>
          <w:rFonts w:ascii="Times New Roman" w:hAnsi="Times New Roman" w:eastAsia="宋体" w:cs="Times New Roman"/>
          <w:color w:val="auto"/>
          <w:szCs w:val="21"/>
          <w:highlight w:val="none"/>
          <w:u w:val="single"/>
        </w:rPr>
        <w:t xml:space="preserve">     </w:t>
      </w:r>
      <w:r>
        <w:rPr>
          <w:rStyle w:val="56"/>
          <w:rFonts w:hint="eastAsia" w:ascii="Times New Roman" w:hAnsi="Times New Roman" w:cs="Times New Roman"/>
          <w:color w:val="auto"/>
          <w:szCs w:val="21"/>
          <w:highlight w:val="none"/>
          <w:u w:val="single"/>
          <w:lang w:val="en-US" w:eastAsia="zh-CN"/>
        </w:rPr>
        <w:t xml:space="preserve"> </w:t>
      </w:r>
      <w:r>
        <w:rPr>
          <w:rStyle w:val="56"/>
          <w:rFonts w:ascii="Times New Roman" w:hAnsi="Times New Roman" w:eastAsia="宋体" w:cs="Times New Roman"/>
          <w:color w:val="auto"/>
          <w:szCs w:val="21"/>
          <w:highlight w:val="none"/>
          <w:u w:val="single"/>
        </w:rPr>
        <w:t xml:space="preserve">  </w:t>
      </w:r>
      <w:r>
        <w:rPr>
          <w:rStyle w:val="56"/>
          <w:rFonts w:hint="eastAsia" w:ascii="Times New Roman" w:hAnsi="Times New Roman" w:eastAsia="宋体" w:cs="宋体"/>
          <w:color w:val="auto"/>
          <w:szCs w:val="21"/>
          <w:highlight w:val="none"/>
        </w:rPr>
        <w:t>等级。</w:t>
      </w:r>
      <w:r>
        <w:rPr>
          <w:rFonts w:hint="eastAsia" w:ascii="宋体" w:hAnsi="宋体" w:cs="宋体"/>
          <w:color w:val="auto"/>
          <w:sz w:val="21"/>
          <w:szCs w:val="21"/>
          <w:highlight w:val="none"/>
        </w:rPr>
        <w:t>工期：</w:t>
      </w:r>
      <w:r>
        <w:rPr>
          <w:rFonts w:hint="eastAsia" w:ascii="宋体" w:hAnsi="宋体" w:cs="宋体"/>
          <w:color w:val="auto"/>
          <w:sz w:val="21"/>
          <w:szCs w:val="21"/>
          <w:highlight w:val="none"/>
          <w:u w:val="single"/>
        </w:rPr>
        <w:t xml:space="preserve">          </w:t>
      </w:r>
      <w:r>
        <w:rPr>
          <w:rStyle w:val="56"/>
          <w:rFonts w:hint="eastAsia" w:ascii="Times New Roman" w:hAnsi="Times New Roman" w:eastAsia="宋体" w:cs="宋体"/>
          <w:color w:val="auto"/>
          <w:szCs w:val="21"/>
          <w:highlight w:val="none"/>
        </w:rPr>
        <w:t>日历天</w:t>
      </w:r>
      <w:r>
        <w:rPr>
          <w:rFonts w:hint="eastAsia" w:ascii="宋体" w:hAnsi="宋体" w:cs="宋体"/>
          <w:color w:val="auto"/>
          <w:sz w:val="21"/>
          <w:szCs w:val="21"/>
          <w:highlight w:val="none"/>
          <w:u w:val="none"/>
        </w:rPr>
        <w:t>；</w:t>
      </w:r>
    </w:p>
    <w:p w14:paraId="5B1A74C4">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2130BAFF">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25760D0A">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73D974D2">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17E77893">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126954E9">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68119AD1">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771E360C">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58761550">
      <w:pPr>
        <w:rPr>
          <w:rFonts w:hint="eastAsia" w:ascii="宋体" w:hAnsi="宋体" w:eastAsia="宋体" w:cs="宋体"/>
          <w:color w:val="auto"/>
          <w:sz w:val="21"/>
          <w:szCs w:val="21"/>
          <w:highlight w:val="none"/>
        </w:rPr>
      </w:pPr>
    </w:p>
    <w:p w14:paraId="040CFBA1">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邮编：</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098416DD">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电话、传真：</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val="en-US" w:eastAsia="zh-CN"/>
        </w:rPr>
        <w:t xml:space="preserve">                 </w:t>
      </w:r>
    </w:p>
    <w:p w14:paraId="653FC7FB">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开户名称：</w:t>
      </w:r>
      <w:r>
        <w:rPr>
          <w:rFonts w:hint="eastAsia" w:ascii="宋体" w:hAnsi="宋体" w:eastAsia="宋体" w:cs="宋体"/>
          <w:b w:val="0"/>
          <w:bCs w:val="0"/>
          <w:color w:val="auto"/>
          <w:sz w:val="21"/>
          <w:szCs w:val="21"/>
          <w:highlight w:val="none"/>
          <w:u w:val="single"/>
        </w:rPr>
        <w:t xml:space="preserve">                               </w:t>
      </w:r>
    </w:p>
    <w:p w14:paraId="3A1756CA">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w:t>
      </w:r>
      <w:r>
        <w:rPr>
          <w:rFonts w:hint="eastAsia" w:ascii="宋体" w:hAnsi="宋体" w:eastAsia="宋体" w:cs="宋体"/>
          <w:b w:val="0"/>
          <w:bCs w:val="0"/>
          <w:color w:val="auto"/>
          <w:sz w:val="21"/>
          <w:szCs w:val="21"/>
          <w:highlight w:val="none"/>
          <w:u w:val="single"/>
        </w:rPr>
        <w:t xml:space="preserve">                               </w:t>
      </w:r>
    </w:p>
    <w:p w14:paraId="74F9304D">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号：</w:t>
      </w:r>
      <w:r>
        <w:rPr>
          <w:rFonts w:hint="eastAsia" w:ascii="宋体" w:hAnsi="宋体" w:eastAsia="宋体" w:cs="宋体"/>
          <w:b w:val="0"/>
          <w:bCs w:val="0"/>
          <w:color w:val="auto"/>
          <w:sz w:val="21"/>
          <w:szCs w:val="21"/>
          <w:highlight w:val="none"/>
          <w:u w:val="single"/>
        </w:rPr>
        <w:t xml:space="preserve">                               </w:t>
      </w:r>
    </w:p>
    <w:p w14:paraId="6A9B519A">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lang w:val="en-US" w:eastAsia="zh-CN"/>
        </w:rPr>
        <w:t>(CA签章)</w:t>
      </w:r>
      <w:r>
        <w:rPr>
          <w:rFonts w:hint="eastAsia" w:ascii="宋体" w:hAnsi="宋体" w:eastAsia="宋体" w:cs="宋体"/>
          <w:b w:val="0"/>
          <w:bCs w:val="0"/>
          <w:color w:val="auto"/>
          <w:sz w:val="21"/>
          <w:szCs w:val="21"/>
          <w:highlight w:val="none"/>
        </w:rPr>
        <w:t>、自然人除外</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3E1DE6CB">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法定代表人、负责人、自然人或相应的委托代理人签字</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或盖章</w:t>
      </w:r>
      <w:r>
        <w:rPr>
          <w:rFonts w:hint="eastAsia" w:ascii="宋体" w:hAnsi="宋体" w:eastAsia="宋体" w:cs="宋体"/>
          <w:b w:val="0"/>
          <w:bCs w:val="0"/>
          <w:color w:val="auto"/>
          <w:sz w:val="21"/>
          <w:szCs w:val="21"/>
          <w:highlight w:val="none"/>
          <w:lang w:val="en-US" w:eastAsia="zh-CN"/>
        </w:rPr>
        <w:t>(CA签章)]</w:t>
      </w:r>
    </w:p>
    <w:p w14:paraId="6E8C4A3F">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（属自然人的应在签名处加盖大拇指指印</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lang w:val="en-US" w:eastAsia="zh-CN"/>
        </w:rPr>
        <w:t>个人CA签章</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p>
    <w:p w14:paraId="5A82653A">
      <w:pPr>
        <w:pStyle w:val="2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hAnsi="宋体" w:cs="宋体"/>
          <w:b w:val="0"/>
          <w:bCs w:val="0"/>
          <w:color w:val="auto"/>
          <w:sz w:val="28"/>
          <w:szCs w:val="28"/>
          <w:highlight w:val="none"/>
          <w:lang w:val="en-US" w:eastAsia="zh-CN"/>
        </w:rPr>
      </w:pPr>
      <w:r>
        <w:rPr>
          <w:rFonts w:hint="eastAsia" w:ascii="宋体" w:hAnsi="宋体" w:eastAsia="宋体" w:cs="宋体"/>
          <w:b w:val="0"/>
          <w:bCs w:val="0"/>
          <w:color w:val="auto"/>
          <w:sz w:val="21"/>
          <w:szCs w:val="21"/>
          <w:highlight w:val="none"/>
        </w:rPr>
        <w:t>响应日期：</w:t>
      </w:r>
      <w:r>
        <w:rPr>
          <w:rFonts w:hint="eastAsia" w:ascii="宋体" w:hAnsi="宋体" w:eastAsia="宋体" w:cs="宋体"/>
          <w:b w:val="0"/>
          <w:bCs w:val="0"/>
          <w:color w:val="auto"/>
          <w:sz w:val="21"/>
          <w:szCs w:val="21"/>
          <w:highlight w:val="none"/>
          <w:u w:val="single"/>
        </w:rPr>
        <w:t xml:space="preserve">                               </w:t>
      </w:r>
    </w:p>
    <w:p w14:paraId="3F0E00C4">
      <w:pPr>
        <w:rPr>
          <w:rFonts w:hint="eastAsia" w:hAnsi="宋体" w:cs="宋体"/>
          <w:b/>
          <w:color w:val="auto"/>
          <w:sz w:val="28"/>
          <w:szCs w:val="28"/>
          <w:highlight w:val="none"/>
          <w:lang w:val="en-US" w:eastAsia="zh-CN"/>
        </w:rPr>
      </w:pPr>
      <w:bookmarkStart w:id="1155" w:name="_Toc20211"/>
      <w:bookmarkStart w:id="1156" w:name="_Toc28417"/>
      <w:r>
        <w:rPr>
          <w:rFonts w:hint="eastAsia" w:hAnsi="宋体" w:cs="宋体"/>
          <w:b/>
          <w:color w:val="auto"/>
          <w:sz w:val="28"/>
          <w:szCs w:val="28"/>
          <w:highlight w:val="none"/>
          <w:lang w:val="en-US" w:eastAsia="zh-CN"/>
        </w:rPr>
        <w:br w:type="page"/>
      </w:r>
    </w:p>
    <w:bookmarkEnd w:id="1155"/>
    <w:bookmarkEnd w:id="1156"/>
    <w:p w14:paraId="09635DFF">
      <w:pPr>
        <w:numPr>
          <w:ilvl w:val="0"/>
          <w:numId w:val="0"/>
        </w:numPr>
        <w:spacing w:line="400" w:lineRule="exact"/>
        <w:outlineLvl w:val="1"/>
        <w:rPr>
          <w:rFonts w:hint="eastAsia" w:ascii="宋体" w:hAnsi="宋体" w:eastAsia="宋体" w:cs="宋体"/>
          <w:b/>
          <w:color w:val="auto"/>
          <w:sz w:val="28"/>
          <w:szCs w:val="28"/>
          <w:highlight w:val="none"/>
          <w:lang w:val="en-US" w:eastAsia="zh-CN"/>
        </w:rPr>
      </w:pPr>
      <w:bookmarkStart w:id="1157" w:name="_Toc4209"/>
      <w:bookmarkStart w:id="1158" w:name="_Toc21686"/>
      <w:bookmarkStart w:id="1159" w:name="_Toc8996"/>
      <w:bookmarkStart w:id="1160" w:name="_Toc5788"/>
      <w:bookmarkStart w:id="1161" w:name="_Toc32015"/>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bookmarkEnd w:id="1157"/>
      <w:bookmarkEnd w:id="1158"/>
      <w:bookmarkEnd w:id="1159"/>
      <w:bookmarkEnd w:id="1160"/>
      <w:bookmarkEnd w:id="1161"/>
      <w:r>
        <w:rPr>
          <w:rFonts w:hint="eastAsia" w:ascii="宋体" w:hAnsi="宋体" w:eastAsia="宋体" w:cs="宋体"/>
          <w:b/>
          <w:color w:val="auto"/>
          <w:sz w:val="28"/>
          <w:szCs w:val="28"/>
          <w:highlight w:val="none"/>
          <w:lang w:val="en-US" w:eastAsia="zh-CN"/>
        </w:rPr>
        <w:t>已标价工程量清单（必须提供）</w:t>
      </w:r>
    </w:p>
    <w:p w14:paraId="07845CBE">
      <w:pPr>
        <w:spacing w:line="240" w:lineRule="auto"/>
        <w:jc w:val="both"/>
        <w:rPr>
          <w:rFonts w:hint="eastAsia" w:ascii="宋体" w:hAnsi="宋体" w:eastAsia="宋体" w:cs="宋体"/>
          <w:color w:val="auto"/>
          <w:highlight w:val="none"/>
        </w:rPr>
      </w:pPr>
    </w:p>
    <w:p w14:paraId="530F6A9F">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2D43A7F">
      <w:pPr>
        <w:spacing w:line="340" w:lineRule="exact"/>
        <w:rPr>
          <w:rFonts w:hint="eastAsia" w:ascii="宋体" w:hAnsi="宋体" w:eastAsia="宋体" w:cs="宋体"/>
          <w:color w:val="auto"/>
          <w:szCs w:val="21"/>
          <w:highlight w:val="none"/>
        </w:rPr>
      </w:pPr>
    </w:p>
    <w:p w14:paraId="205CB58E">
      <w:pPr>
        <w:pStyle w:val="2"/>
        <w:rPr>
          <w:rFonts w:hint="eastAsia" w:ascii="宋体" w:hAnsi="宋体" w:eastAsia="宋体" w:cs="宋体"/>
          <w:color w:val="auto"/>
          <w:highlight w:val="none"/>
        </w:rPr>
      </w:pPr>
    </w:p>
    <w:p w14:paraId="4C9BBD00">
      <w:pPr>
        <w:pStyle w:val="2"/>
        <w:rPr>
          <w:rFonts w:hint="eastAsia" w:ascii="宋体" w:hAnsi="宋体" w:eastAsia="宋体" w:cs="宋体"/>
          <w:color w:val="auto"/>
          <w:highlight w:val="none"/>
        </w:rPr>
      </w:pPr>
    </w:p>
    <w:p w14:paraId="05E4A015">
      <w:pPr>
        <w:pStyle w:val="2"/>
        <w:rPr>
          <w:rFonts w:hint="eastAsia" w:ascii="宋体" w:hAnsi="宋体" w:eastAsia="宋体" w:cs="宋体"/>
          <w:color w:val="auto"/>
          <w:highlight w:val="none"/>
        </w:rPr>
      </w:pPr>
    </w:p>
    <w:p w14:paraId="5929EABC">
      <w:pPr>
        <w:pStyle w:val="2"/>
        <w:rPr>
          <w:rFonts w:hint="eastAsia" w:ascii="宋体" w:hAnsi="宋体" w:eastAsia="宋体" w:cs="宋体"/>
          <w:color w:val="auto"/>
          <w:highlight w:val="none"/>
        </w:rPr>
      </w:pPr>
    </w:p>
    <w:p w14:paraId="3263987C">
      <w:pPr>
        <w:pStyle w:val="2"/>
        <w:rPr>
          <w:rFonts w:hint="eastAsia" w:ascii="宋体" w:hAnsi="宋体" w:eastAsia="宋体" w:cs="宋体"/>
          <w:color w:val="auto"/>
          <w:highlight w:val="none"/>
        </w:rPr>
      </w:pPr>
    </w:p>
    <w:p w14:paraId="096C7876">
      <w:pPr>
        <w:rPr>
          <w:rFonts w:hint="eastAsia" w:ascii="宋体" w:hAnsi="宋体" w:eastAsia="宋体" w:cs="宋体"/>
          <w:color w:val="auto"/>
          <w:highlight w:val="none"/>
        </w:rPr>
      </w:pPr>
    </w:p>
    <w:p w14:paraId="2384523A">
      <w:pPr>
        <w:pStyle w:val="24"/>
        <w:rPr>
          <w:rFonts w:hint="eastAsia"/>
          <w:color w:val="auto"/>
          <w:highlight w:val="none"/>
        </w:rPr>
      </w:pPr>
    </w:p>
    <w:p w14:paraId="3196967A">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br w:type="page"/>
      </w:r>
      <w:bookmarkStart w:id="1162" w:name="_Toc8898"/>
      <w:bookmarkStart w:id="1163" w:name="_Toc24899"/>
      <w:bookmarkStart w:id="1164" w:name="_Toc26600"/>
      <w:bookmarkStart w:id="1165" w:name="_Toc13917"/>
      <w:bookmarkStart w:id="1166" w:name="_Toc22086"/>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w:t>
      </w:r>
      <w:bookmarkEnd w:id="1162"/>
      <w:bookmarkEnd w:id="1163"/>
      <w:bookmarkEnd w:id="1164"/>
      <w:bookmarkEnd w:id="1165"/>
      <w:bookmarkEnd w:id="1166"/>
      <w:r>
        <w:rPr>
          <w:rFonts w:hint="eastAsia" w:ascii="宋体" w:hAnsi="宋体" w:eastAsia="宋体" w:cs="宋体"/>
          <w:b/>
          <w:color w:val="auto"/>
          <w:sz w:val="28"/>
          <w:szCs w:val="28"/>
          <w:highlight w:val="none"/>
          <w:lang w:val="en-US" w:eastAsia="zh-CN"/>
        </w:rPr>
        <w:t>拟投入本工程主要施工管理人员表【必须提供，并一起提供由县级以上（含县级）社会养老保险经办机构出具的投标人为项目实施人员缴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14:paraId="3907A87E">
      <w:pPr>
        <w:spacing w:line="400" w:lineRule="exact"/>
        <w:ind w:firstLine="361" w:firstLineChars="150"/>
        <w:jc w:val="left"/>
        <w:rPr>
          <w:rFonts w:hint="eastAsia" w:ascii="宋体" w:hAnsi="宋体"/>
          <w:b/>
          <w:bCs/>
          <w:color w:val="auto"/>
          <w:sz w:val="24"/>
          <w:highlight w:val="none"/>
        </w:rPr>
      </w:pPr>
      <w:r>
        <w:rPr>
          <w:rFonts w:hint="eastAsia" w:ascii="宋体" w:hAnsi="宋体"/>
          <w:b/>
          <w:bCs/>
          <w:color w:val="auto"/>
          <w:sz w:val="24"/>
          <w:highlight w:val="none"/>
        </w:rPr>
        <w:t>附件</w:t>
      </w:r>
    </w:p>
    <w:p w14:paraId="19738833">
      <w:pPr>
        <w:spacing w:line="400" w:lineRule="exact"/>
        <w:ind w:firstLine="422" w:firstLineChars="150"/>
        <w:jc w:val="center"/>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主要施工管理人员表</w:t>
      </w:r>
    </w:p>
    <w:p w14:paraId="0131F014">
      <w:pPr>
        <w:spacing w:line="400" w:lineRule="exact"/>
        <w:ind w:firstLine="422" w:firstLineChars="150"/>
        <w:jc w:val="center"/>
        <w:rPr>
          <w:rFonts w:hint="eastAsia" w:ascii="宋体" w:hAnsi="宋体"/>
          <w:b/>
          <w:color w:val="auto"/>
          <w:sz w:val="28"/>
          <w:szCs w:val="28"/>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789"/>
        <w:gridCol w:w="788"/>
        <w:gridCol w:w="1440"/>
        <w:gridCol w:w="3653"/>
      </w:tblGrid>
      <w:tr w14:paraId="56C5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6426F60">
            <w:pPr>
              <w:spacing w:line="300" w:lineRule="auto"/>
              <w:jc w:val="center"/>
              <w:rPr>
                <w:rFonts w:hint="eastAsia" w:ascii="宋体" w:hAnsi="宋体"/>
                <w:color w:val="auto"/>
                <w:szCs w:val="21"/>
                <w:highlight w:val="none"/>
              </w:rPr>
            </w:pPr>
            <w:r>
              <w:rPr>
                <w:rFonts w:hint="eastAsia" w:ascii="宋体" w:hAnsi="宋体"/>
                <w:color w:val="auto"/>
                <w:szCs w:val="21"/>
                <w:highlight w:val="none"/>
              </w:rPr>
              <w:t>名   称</w:t>
            </w:r>
          </w:p>
        </w:tc>
        <w:tc>
          <w:tcPr>
            <w:tcW w:w="789" w:type="dxa"/>
            <w:noWrap w:val="0"/>
            <w:vAlign w:val="center"/>
          </w:tcPr>
          <w:p w14:paraId="6164E313">
            <w:pPr>
              <w:spacing w:line="30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788" w:type="dxa"/>
            <w:noWrap w:val="0"/>
            <w:vAlign w:val="center"/>
          </w:tcPr>
          <w:p w14:paraId="792248F7">
            <w:pPr>
              <w:spacing w:line="30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noWrap w:val="0"/>
            <w:vAlign w:val="center"/>
          </w:tcPr>
          <w:p w14:paraId="2D509828">
            <w:pPr>
              <w:spacing w:line="300" w:lineRule="auto"/>
              <w:jc w:val="center"/>
              <w:rPr>
                <w:rFonts w:hint="eastAsia" w:ascii="宋体" w:hAnsi="宋体"/>
                <w:color w:val="auto"/>
                <w:szCs w:val="21"/>
                <w:highlight w:val="none"/>
              </w:rPr>
            </w:pPr>
            <w:r>
              <w:rPr>
                <w:rFonts w:hint="eastAsia" w:ascii="宋体" w:hAnsi="宋体"/>
                <w:color w:val="auto"/>
                <w:szCs w:val="21"/>
                <w:highlight w:val="none"/>
              </w:rPr>
              <w:t>资质/职称</w:t>
            </w:r>
          </w:p>
        </w:tc>
        <w:tc>
          <w:tcPr>
            <w:tcW w:w="3653" w:type="dxa"/>
            <w:noWrap w:val="0"/>
            <w:vAlign w:val="center"/>
          </w:tcPr>
          <w:p w14:paraId="0ED6311B">
            <w:pPr>
              <w:spacing w:line="300" w:lineRule="auto"/>
              <w:jc w:val="center"/>
              <w:rPr>
                <w:rFonts w:hint="eastAsia" w:ascii="宋体" w:hAnsi="宋体"/>
                <w:color w:val="auto"/>
                <w:szCs w:val="21"/>
                <w:highlight w:val="none"/>
              </w:rPr>
            </w:pPr>
            <w:r>
              <w:rPr>
                <w:rFonts w:hint="eastAsia" w:ascii="宋体" w:hAnsi="宋体"/>
                <w:color w:val="auto"/>
                <w:szCs w:val="21"/>
                <w:highlight w:val="none"/>
              </w:rPr>
              <w:t>主要资历、经验及承担的项目</w:t>
            </w:r>
          </w:p>
        </w:tc>
      </w:tr>
      <w:tr w14:paraId="59AA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5AA0AC6C">
            <w:pPr>
              <w:spacing w:line="300" w:lineRule="auto"/>
              <w:rPr>
                <w:rFonts w:hint="eastAsia" w:ascii="宋体" w:hAnsi="宋体"/>
                <w:color w:val="auto"/>
                <w:szCs w:val="21"/>
                <w:highlight w:val="none"/>
              </w:rPr>
            </w:pPr>
            <w:r>
              <w:rPr>
                <w:rFonts w:hint="eastAsia" w:ascii="宋体" w:hAnsi="宋体"/>
                <w:color w:val="auto"/>
                <w:szCs w:val="21"/>
                <w:highlight w:val="none"/>
              </w:rPr>
              <w:t>一、总部</w:t>
            </w:r>
          </w:p>
        </w:tc>
        <w:tc>
          <w:tcPr>
            <w:tcW w:w="789" w:type="dxa"/>
            <w:noWrap w:val="0"/>
            <w:vAlign w:val="center"/>
          </w:tcPr>
          <w:p w14:paraId="64D45911">
            <w:pPr>
              <w:spacing w:line="300" w:lineRule="auto"/>
              <w:rPr>
                <w:rFonts w:hint="eastAsia" w:ascii="宋体" w:hAnsi="宋体"/>
                <w:color w:val="auto"/>
                <w:szCs w:val="21"/>
                <w:highlight w:val="none"/>
              </w:rPr>
            </w:pPr>
          </w:p>
        </w:tc>
        <w:tc>
          <w:tcPr>
            <w:tcW w:w="788" w:type="dxa"/>
            <w:noWrap w:val="0"/>
            <w:vAlign w:val="center"/>
          </w:tcPr>
          <w:p w14:paraId="3D67E76A">
            <w:pPr>
              <w:spacing w:line="300" w:lineRule="auto"/>
              <w:rPr>
                <w:rFonts w:hint="eastAsia" w:ascii="宋体" w:hAnsi="宋体"/>
                <w:color w:val="auto"/>
                <w:szCs w:val="21"/>
                <w:highlight w:val="none"/>
              </w:rPr>
            </w:pPr>
          </w:p>
        </w:tc>
        <w:tc>
          <w:tcPr>
            <w:tcW w:w="1440" w:type="dxa"/>
            <w:noWrap w:val="0"/>
            <w:vAlign w:val="center"/>
          </w:tcPr>
          <w:p w14:paraId="6241B67B">
            <w:pPr>
              <w:spacing w:line="300" w:lineRule="auto"/>
              <w:rPr>
                <w:rFonts w:hint="eastAsia" w:ascii="宋体" w:hAnsi="宋体"/>
                <w:color w:val="auto"/>
                <w:szCs w:val="21"/>
                <w:highlight w:val="none"/>
              </w:rPr>
            </w:pPr>
          </w:p>
        </w:tc>
        <w:tc>
          <w:tcPr>
            <w:tcW w:w="3653" w:type="dxa"/>
            <w:noWrap w:val="0"/>
            <w:vAlign w:val="center"/>
          </w:tcPr>
          <w:p w14:paraId="57BBB9E9">
            <w:pPr>
              <w:spacing w:line="300" w:lineRule="auto"/>
              <w:rPr>
                <w:rFonts w:hint="eastAsia" w:ascii="宋体" w:hAnsi="宋体"/>
                <w:color w:val="auto"/>
                <w:szCs w:val="21"/>
                <w:highlight w:val="none"/>
              </w:rPr>
            </w:pPr>
          </w:p>
        </w:tc>
      </w:tr>
      <w:tr w14:paraId="5D2E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42A8759">
            <w:pPr>
              <w:spacing w:line="300" w:lineRule="auto"/>
              <w:rPr>
                <w:rFonts w:hint="eastAsia" w:ascii="宋体" w:hAnsi="宋体"/>
                <w:color w:val="auto"/>
                <w:szCs w:val="21"/>
                <w:highlight w:val="none"/>
              </w:rPr>
            </w:pPr>
            <w:r>
              <w:rPr>
                <w:rFonts w:hint="eastAsia" w:ascii="宋体" w:hAnsi="宋体"/>
                <w:color w:val="auto"/>
                <w:szCs w:val="21"/>
                <w:highlight w:val="none"/>
              </w:rPr>
              <w:t>1.项目主管</w:t>
            </w:r>
          </w:p>
        </w:tc>
        <w:tc>
          <w:tcPr>
            <w:tcW w:w="789" w:type="dxa"/>
            <w:noWrap w:val="0"/>
            <w:vAlign w:val="center"/>
          </w:tcPr>
          <w:p w14:paraId="5C4DDBCC">
            <w:pPr>
              <w:spacing w:line="300" w:lineRule="auto"/>
              <w:rPr>
                <w:rFonts w:hint="eastAsia" w:ascii="宋体" w:hAnsi="宋体"/>
                <w:color w:val="auto"/>
                <w:szCs w:val="21"/>
                <w:highlight w:val="none"/>
              </w:rPr>
            </w:pPr>
          </w:p>
        </w:tc>
        <w:tc>
          <w:tcPr>
            <w:tcW w:w="788" w:type="dxa"/>
            <w:noWrap w:val="0"/>
            <w:vAlign w:val="center"/>
          </w:tcPr>
          <w:p w14:paraId="60A411A0">
            <w:pPr>
              <w:spacing w:line="300" w:lineRule="auto"/>
              <w:rPr>
                <w:rFonts w:hint="eastAsia" w:ascii="宋体" w:hAnsi="宋体"/>
                <w:color w:val="auto"/>
                <w:szCs w:val="21"/>
                <w:highlight w:val="none"/>
              </w:rPr>
            </w:pPr>
          </w:p>
        </w:tc>
        <w:tc>
          <w:tcPr>
            <w:tcW w:w="1440" w:type="dxa"/>
            <w:noWrap w:val="0"/>
            <w:vAlign w:val="center"/>
          </w:tcPr>
          <w:p w14:paraId="4E2DE9B7">
            <w:pPr>
              <w:spacing w:line="300" w:lineRule="auto"/>
              <w:rPr>
                <w:rFonts w:hint="eastAsia" w:ascii="宋体" w:hAnsi="宋体"/>
                <w:color w:val="auto"/>
                <w:szCs w:val="21"/>
                <w:highlight w:val="none"/>
              </w:rPr>
            </w:pPr>
          </w:p>
        </w:tc>
        <w:tc>
          <w:tcPr>
            <w:tcW w:w="3653" w:type="dxa"/>
            <w:noWrap w:val="0"/>
            <w:vAlign w:val="center"/>
          </w:tcPr>
          <w:p w14:paraId="0F0B9CA4">
            <w:pPr>
              <w:spacing w:line="300" w:lineRule="auto"/>
              <w:rPr>
                <w:rFonts w:hint="eastAsia" w:ascii="宋体" w:hAnsi="宋体"/>
                <w:color w:val="auto"/>
                <w:szCs w:val="21"/>
                <w:highlight w:val="none"/>
              </w:rPr>
            </w:pPr>
          </w:p>
        </w:tc>
      </w:tr>
      <w:tr w14:paraId="255C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D84A4F4">
            <w:pPr>
              <w:spacing w:line="300" w:lineRule="auto"/>
              <w:rPr>
                <w:rFonts w:hint="eastAsia" w:ascii="宋体" w:hAnsi="宋体"/>
                <w:color w:val="auto"/>
                <w:szCs w:val="21"/>
                <w:highlight w:val="none"/>
              </w:rPr>
            </w:pPr>
            <w:r>
              <w:rPr>
                <w:rFonts w:hint="eastAsia" w:ascii="宋体" w:hAnsi="宋体"/>
                <w:color w:val="auto"/>
                <w:szCs w:val="21"/>
                <w:highlight w:val="none"/>
              </w:rPr>
              <w:t>2.其他人员</w:t>
            </w:r>
          </w:p>
        </w:tc>
        <w:tc>
          <w:tcPr>
            <w:tcW w:w="789" w:type="dxa"/>
            <w:noWrap w:val="0"/>
            <w:vAlign w:val="center"/>
          </w:tcPr>
          <w:p w14:paraId="44D77665">
            <w:pPr>
              <w:spacing w:line="300" w:lineRule="auto"/>
              <w:rPr>
                <w:rFonts w:hint="eastAsia" w:ascii="宋体" w:hAnsi="宋体"/>
                <w:color w:val="auto"/>
                <w:szCs w:val="21"/>
                <w:highlight w:val="none"/>
              </w:rPr>
            </w:pPr>
          </w:p>
        </w:tc>
        <w:tc>
          <w:tcPr>
            <w:tcW w:w="788" w:type="dxa"/>
            <w:noWrap w:val="0"/>
            <w:vAlign w:val="center"/>
          </w:tcPr>
          <w:p w14:paraId="204EB1E3">
            <w:pPr>
              <w:spacing w:line="300" w:lineRule="auto"/>
              <w:rPr>
                <w:rFonts w:hint="eastAsia" w:ascii="宋体" w:hAnsi="宋体"/>
                <w:color w:val="auto"/>
                <w:szCs w:val="21"/>
                <w:highlight w:val="none"/>
              </w:rPr>
            </w:pPr>
          </w:p>
        </w:tc>
        <w:tc>
          <w:tcPr>
            <w:tcW w:w="1440" w:type="dxa"/>
            <w:noWrap w:val="0"/>
            <w:vAlign w:val="center"/>
          </w:tcPr>
          <w:p w14:paraId="51D7A295">
            <w:pPr>
              <w:spacing w:line="300" w:lineRule="auto"/>
              <w:rPr>
                <w:rFonts w:hint="eastAsia" w:ascii="宋体" w:hAnsi="宋体"/>
                <w:color w:val="auto"/>
                <w:szCs w:val="21"/>
                <w:highlight w:val="none"/>
              </w:rPr>
            </w:pPr>
          </w:p>
        </w:tc>
        <w:tc>
          <w:tcPr>
            <w:tcW w:w="3653" w:type="dxa"/>
            <w:noWrap w:val="0"/>
            <w:vAlign w:val="center"/>
          </w:tcPr>
          <w:p w14:paraId="073FD2BF">
            <w:pPr>
              <w:spacing w:line="300" w:lineRule="auto"/>
              <w:rPr>
                <w:rFonts w:hint="eastAsia" w:ascii="宋体" w:hAnsi="宋体"/>
                <w:color w:val="auto"/>
                <w:szCs w:val="21"/>
                <w:highlight w:val="none"/>
              </w:rPr>
            </w:pPr>
          </w:p>
        </w:tc>
      </w:tr>
      <w:tr w14:paraId="481B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1265223">
            <w:pPr>
              <w:spacing w:line="300" w:lineRule="auto"/>
              <w:rPr>
                <w:rFonts w:hint="eastAsia" w:ascii="宋体" w:hAnsi="宋体"/>
                <w:color w:val="auto"/>
                <w:szCs w:val="21"/>
                <w:highlight w:val="none"/>
              </w:rPr>
            </w:pPr>
          </w:p>
        </w:tc>
        <w:tc>
          <w:tcPr>
            <w:tcW w:w="789" w:type="dxa"/>
            <w:noWrap w:val="0"/>
            <w:vAlign w:val="center"/>
          </w:tcPr>
          <w:p w14:paraId="5C16722E">
            <w:pPr>
              <w:spacing w:line="300" w:lineRule="auto"/>
              <w:rPr>
                <w:rFonts w:hint="eastAsia" w:ascii="宋体" w:hAnsi="宋体"/>
                <w:color w:val="auto"/>
                <w:szCs w:val="21"/>
                <w:highlight w:val="none"/>
              </w:rPr>
            </w:pPr>
          </w:p>
        </w:tc>
        <w:tc>
          <w:tcPr>
            <w:tcW w:w="788" w:type="dxa"/>
            <w:noWrap w:val="0"/>
            <w:vAlign w:val="center"/>
          </w:tcPr>
          <w:p w14:paraId="2AF47D64">
            <w:pPr>
              <w:spacing w:line="300" w:lineRule="auto"/>
              <w:rPr>
                <w:rFonts w:hint="eastAsia" w:ascii="宋体" w:hAnsi="宋体"/>
                <w:color w:val="auto"/>
                <w:szCs w:val="21"/>
                <w:highlight w:val="none"/>
              </w:rPr>
            </w:pPr>
          </w:p>
        </w:tc>
        <w:tc>
          <w:tcPr>
            <w:tcW w:w="1440" w:type="dxa"/>
            <w:noWrap w:val="0"/>
            <w:vAlign w:val="center"/>
          </w:tcPr>
          <w:p w14:paraId="6FDA75F9">
            <w:pPr>
              <w:spacing w:line="300" w:lineRule="auto"/>
              <w:rPr>
                <w:rFonts w:hint="eastAsia" w:ascii="宋体" w:hAnsi="宋体"/>
                <w:color w:val="auto"/>
                <w:szCs w:val="21"/>
                <w:highlight w:val="none"/>
              </w:rPr>
            </w:pPr>
          </w:p>
        </w:tc>
        <w:tc>
          <w:tcPr>
            <w:tcW w:w="3653" w:type="dxa"/>
            <w:noWrap w:val="0"/>
            <w:vAlign w:val="center"/>
          </w:tcPr>
          <w:p w14:paraId="36013CD3">
            <w:pPr>
              <w:spacing w:line="300" w:lineRule="auto"/>
              <w:rPr>
                <w:rFonts w:hint="eastAsia" w:ascii="宋体" w:hAnsi="宋体"/>
                <w:color w:val="auto"/>
                <w:szCs w:val="21"/>
                <w:highlight w:val="none"/>
              </w:rPr>
            </w:pPr>
          </w:p>
        </w:tc>
      </w:tr>
      <w:tr w14:paraId="6C19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6DAEC43">
            <w:pPr>
              <w:spacing w:line="300" w:lineRule="auto"/>
              <w:rPr>
                <w:rFonts w:hint="eastAsia" w:ascii="宋体" w:hAnsi="宋体"/>
                <w:color w:val="auto"/>
                <w:szCs w:val="21"/>
                <w:highlight w:val="none"/>
              </w:rPr>
            </w:pPr>
            <w:r>
              <w:rPr>
                <w:rFonts w:hint="eastAsia" w:ascii="宋体" w:hAnsi="宋体"/>
                <w:color w:val="auto"/>
                <w:szCs w:val="21"/>
                <w:highlight w:val="none"/>
              </w:rPr>
              <w:t>二、现场</w:t>
            </w:r>
          </w:p>
        </w:tc>
        <w:tc>
          <w:tcPr>
            <w:tcW w:w="789" w:type="dxa"/>
            <w:noWrap w:val="0"/>
            <w:vAlign w:val="center"/>
          </w:tcPr>
          <w:p w14:paraId="4A0EB596">
            <w:pPr>
              <w:spacing w:line="300" w:lineRule="auto"/>
              <w:rPr>
                <w:rFonts w:hint="eastAsia" w:ascii="宋体" w:hAnsi="宋体"/>
                <w:color w:val="auto"/>
                <w:szCs w:val="21"/>
                <w:highlight w:val="none"/>
              </w:rPr>
            </w:pPr>
          </w:p>
        </w:tc>
        <w:tc>
          <w:tcPr>
            <w:tcW w:w="788" w:type="dxa"/>
            <w:noWrap w:val="0"/>
            <w:vAlign w:val="center"/>
          </w:tcPr>
          <w:p w14:paraId="4B9082AA">
            <w:pPr>
              <w:spacing w:line="300" w:lineRule="auto"/>
              <w:rPr>
                <w:rFonts w:hint="eastAsia" w:ascii="宋体" w:hAnsi="宋体"/>
                <w:color w:val="auto"/>
                <w:szCs w:val="21"/>
                <w:highlight w:val="none"/>
              </w:rPr>
            </w:pPr>
          </w:p>
        </w:tc>
        <w:tc>
          <w:tcPr>
            <w:tcW w:w="1440" w:type="dxa"/>
            <w:noWrap w:val="0"/>
            <w:vAlign w:val="center"/>
          </w:tcPr>
          <w:p w14:paraId="1E53DA37">
            <w:pPr>
              <w:spacing w:line="300" w:lineRule="auto"/>
              <w:rPr>
                <w:rFonts w:hint="eastAsia" w:ascii="宋体" w:hAnsi="宋体"/>
                <w:color w:val="auto"/>
                <w:szCs w:val="21"/>
                <w:highlight w:val="none"/>
              </w:rPr>
            </w:pPr>
          </w:p>
        </w:tc>
        <w:tc>
          <w:tcPr>
            <w:tcW w:w="3653" w:type="dxa"/>
            <w:noWrap w:val="0"/>
            <w:vAlign w:val="center"/>
          </w:tcPr>
          <w:p w14:paraId="6CA190D6">
            <w:pPr>
              <w:spacing w:line="300" w:lineRule="auto"/>
              <w:rPr>
                <w:rFonts w:hint="eastAsia" w:ascii="宋体" w:hAnsi="宋体"/>
                <w:color w:val="auto"/>
                <w:szCs w:val="21"/>
                <w:highlight w:val="none"/>
              </w:rPr>
            </w:pPr>
          </w:p>
        </w:tc>
      </w:tr>
      <w:tr w14:paraId="3075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5FF0682B">
            <w:pPr>
              <w:spacing w:line="300" w:lineRule="auto"/>
              <w:rPr>
                <w:rFonts w:hint="eastAsia" w:ascii="宋体" w:hAnsi="宋体"/>
                <w:color w:val="auto"/>
                <w:szCs w:val="21"/>
                <w:highlight w:val="none"/>
              </w:rPr>
            </w:pPr>
            <w:r>
              <w:rPr>
                <w:rFonts w:hint="eastAsia" w:ascii="宋体" w:hAnsi="宋体"/>
                <w:color w:val="auto"/>
                <w:szCs w:val="21"/>
                <w:highlight w:val="none"/>
              </w:rPr>
              <w:t>1.项目经理</w:t>
            </w:r>
          </w:p>
        </w:tc>
        <w:tc>
          <w:tcPr>
            <w:tcW w:w="789" w:type="dxa"/>
            <w:noWrap w:val="0"/>
            <w:vAlign w:val="center"/>
          </w:tcPr>
          <w:p w14:paraId="4CE15AB5">
            <w:pPr>
              <w:spacing w:line="300" w:lineRule="auto"/>
              <w:rPr>
                <w:rFonts w:hint="eastAsia" w:ascii="宋体" w:hAnsi="宋体"/>
                <w:color w:val="auto"/>
                <w:szCs w:val="21"/>
                <w:highlight w:val="none"/>
              </w:rPr>
            </w:pPr>
          </w:p>
        </w:tc>
        <w:tc>
          <w:tcPr>
            <w:tcW w:w="788" w:type="dxa"/>
            <w:noWrap w:val="0"/>
            <w:vAlign w:val="center"/>
          </w:tcPr>
          <w:p w14:paraId="21B83337">
            <w:pPr>
              <w:spacing w:line="300" w:lineRule="auto"/>
              <w:rPr>
                <w:rFonts w:hint="eastAsia" w:ascii="宋体" w:hAnsi="宋体"/>
                <w:color w:val="auto"/>
                <w:szCs w:val="21"/>
                <w:highlight w:val="none"/>
              </w:rPr>
            </w:pPr>
          </w:p>
        </w:tc>
        <w:tc>
          <w:tcPr>
            <w:tcW w:w="1440" w:type="dxa"/>
            <w:noWrap w:val="0"/>
            <w:vAlign w:val="center"/>
          </w:tcPr>
          <w:p w14:paraId="5736CFEB">
            <w:pPr>
              <w:spacing w:line="300" w:lineRule="auto"/>
              <w:rPr>
                <w:rFonts w:hint="eastAsia" w:ascii="宋体" w:hAnsi="宋体"/>
                <w:color w:val="auto"/>
                <w:szCs w:val="21"/>
                <w:highlight w:val="none"/>
              </w:rPr>
            </w:pPr>
          </w:p>
        </w:tc>
        <w:tc>
          <w:tcPr>
            <w:tcW w:w="3653" w:type="dxa"/>
            <w:noWrap w:val="0"/>
            <w:vAlign w:val="center"/>
          </w:tcPr>
          <w:p w14:paraId="6D40349E">
            <w:pPr>
              <w:spacing w:line="300" w:lineRule="auto"/>
              <w:rPr>
                <w:rFonts w:hint="eastAsia" w:ascii="宋体" w:hAnsi="宋体"/>
                <w:color w:val="auto"/>
                <w:szCs w:val="21"/>
                <w:highlight w:val="none"/>
              </w:rPr>
            </w:pPr>
          </w:p>
        </w:tc>
      </w:tr>
      <w:tr w14:paraId="1536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3FB88263">
            <w:pPr>
              <w:spacing w:line="300" w:lineRule="auto"/>
              <w:rPr>
                <w:rFonts w:hint="eastAsia" w:ascii="宋体" w:hAnsi="宋体"/>
                <w:color w:val="auto"/>
                <w:szCs w:val="21"/>
                <w:highlight w:val="none"/>
              </w:rPr>
            </w:pPr>
            <w:r>
              <w:rPr>
                <w:rFonts w:hint="eastAsia" w:ascii="宋体" w:hAnsi="宋体"/>
                <w:color w:val="auto"/>
                <w:szCs w:val="21"/>
                <w:highlight w:val="none"/>
              </w:rPr>
              <w:t>2.项目副经理（如有）</w:t>
            </w:r>
          </w:p>
        </w:tc>
        <w:tc>
          <w:tcPr>
            <w:tcW w:w="789" w:type="dxa"/>
            <w:noWrap w:val="0"/>
            <w:vAlign w:val="center"/>
          </w:tcPr>
          <w:p w14:paraId="35CA0657">
            <w:pPr>
              <w:spacing w:line="300" w:lineRule="auto"/>
              <w:rPr>
                <w:rFonts w:hint="eastAsia" w:ascii="宋体" w:hAnsi="宋体"/>
                <w:color w:val="auto"/>
                <w:szCs w:val="21"/>
                <w:highlight w:val="none"/>
              </w:rPr>
            </w:pPr>
          </w:p>
        </w:tc>
        <w:tc>
          <w:tcPr>
            <w:tcW w:w="788" w:type="dxa"/>
            <w:noWrap w:val="0"/>
            <w:vAlign w:val="center"/>
          </w:tcPr>
          <w:p w14:paraId="09D5B80E">
            <w:pPr>
              <w:spacing w:line="300" w:lineRule="auto"/>
              <w:rPr>
                <w:rFonts w:hint="eastAsia" w:ascii="宋体" w:hAnsi="宋体"/>
                <w:color w:val="auto"/>
                <w:szCs w:val="21"/>
                <w:highlight w:val="none"/>
              </w:rPr>
            </w:pPr>
          </w:p>
        </w:tc>
        <w:tc>
          <w:tcPr>
            <w:tcW w:w="1440" w:type="dxa"/>
            <w:noWrap w:val="0"/>
            <w:vAlign w:val="center"/>
          </w:tcPr>
          <w:p w14:paraId="749AE667">
            <w:pPr>
              <w:spacing w:line="300" w:lineRule="auto"/>
              <w:rPr>
                <w:rFonts w:hint="eastAsia" w:ascii="宋体" w:hAnsi="宋体"/>
                <w:color w:val="auto"/>
                <w:szCs w:val="21"/>
                <w:highlight w:val="none"/>
              </w:rPr>
            </w:pPr>
          </w:p>
        </w:tc>
        <w:tc>
          <w:tcPr>
            <w:tcW w:w="3653" w:type="dxa"/>
            <w:noWrap w:val="0"/>
            <w:vAlign w:val="center"/>
          </w:tcPr>
          <w:p w14:paraId="516CAF94">
            <w:pPr>
              <w:spacing w:line="300" w:lineRule="auto"/>
              <w:rPr>
                <w:rFonts w:hint="eastAsia" w:ascii="宋体" w:hAnsi="宋体"/>
                <w:color w:val="auto"/>
                <w:szCs w:val="21"/>
                <w:highlight w:val="none"/>
              </w:rPr>
            </w:pPr>
          </w:p>
        </w:tc>
      </w:tr>
      <w:tr w14:paraId="7E88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6F9F765E">
            <w:pPr>
              <w:spacing w:line="300" w:lineRule="auto"/>
              <w:rPr>
                <w:rFonts w:hint="eastAsia" w:ascii="宋体" w:hAnsi="宋体"/>
                <w:color w:val="auto"/>
                <w:szCs w:val="21"/>
                <w:highlight w:val="none"/>
              </w:rPr>
            </w:pPr>
            <w:r>
              <w:rPr>
                <w:rFonts w:ascii="宋体" w:hAnsi="宋体"/>
                <w:color w:val="auto"/>
                <w:szCs w:val="21"/>
                <w:highlight w:val="none"/>
              </w:rPr>
              <w:t>……</w:t>
            </w:r>
          </w:p>
        </w:tc>
        <w:tc>
          <w:tcPr>
            <w:tcW w:w="789" w:type="dxa"/>
            <w:noWrap w:val="0"/>
            <w:vAlign w:val="center"/>
          </w:tcPr>
          <w:p w14:paraId="15E70EB0">
            <w:pPr>
              <w:spacing w:line="300" w:lineRule="auto"/>
              <w:rPr>
                <w:rFonts w:hint="eastAsia" w:ascii="宋体" w:hAnsi="宋体"/>
                <w:color w:val="auto"/>
                <w:szCs w:val="21"/>
                <w:highlight w:val="none"/>
              </w:rPr>
            </w:pPr>
          </w:p>
        </w:tc>
        <w:tc>
          <w:tcPr>
            <w:tcW w:w="788" w:type="dxa"/>
            <w:noWrap w:val="0"/>
            <w:vAlign w:val="center"/>
          </w:tcPr>
          <w:p w14:paraId="7D62B5C6">
            <w:pPr>
              <w:spacing w:line="300" w:lineRule="auto"/>
              <w:rPr>
                <w:rFonts w:hint="eastAsia" w:ascii="宋体" w:hAnsi="宋体"/>
                <w:color w:val="auto"/>
                <w:szCs w:val="21"/>
                <w:highlight w:val="none"/>
              </w:rPr>
            </w:pPr>
          </w:p>
        </w:tc>
        <w:tc>
          <w:tcPr>
            <w:tcW w:w="1440" w:type="dxa"/>
            <w:noWrap w:val="0"/>
            <w:vAlign w:val="center"/>
          </w:tcPr>
          <w:p w14:paraId="2D8F905B">
            <w:pPr>
              <w:spacing w:line="300" w:lineRule="auto"/>
              <w:rPr>
                <w:rFonts w:hint="eastAsia" w:ascii="宋体" w:hAnsi="宋体"/>
                <w:color w:val="auto"/>
                <w:szCs w:val="21"/>
                <w:highlight w:val="none"/>
              </w:rPr>
            </w:pPr>
          </w:p>
        </w:tc>
        <w:tc>
          <w:tcPr>
            <w:tcW w:w="3653" w:type="dxa"/>
            <w:noWrap w:val="0"/>
            <w:vAlign w:val="center"/>
          </w:tcPr>
          <w:p w14:paraId="0F82F0CE">
            <w:pPr>
              <w:spacing w:line="300" w:lineRule="auto"/>
              <w:rPr>
                <w:rFonts w:hint="eastAsia" w:ascii="宋体" w:hAnsi="宋体"/>
                <w:color w:val="auto"/>
                <w:szCs w:val="21"/>
                <w:highlight w:val="none"/>
              </w:rPr>
            </w:pPr>
          </w:p>
        </w:tc>
      </w:tr>
      <w:tr w14:paraId="0BF4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7E9C1A51">
            <w:pPr>
              <w:spacing w:line="300" w:lineRule="auto"/>
              <w:rPr>
                <w:rFonts w:hint="eastAsia" w:ascii="宋体" w:hAnsi="宋体"/>
                <w:color w:val="auto"/>
                <w:szCs w:val="21"/>
                <w:highlight w:val="none"/>
              </w:rPr>
            </w:pPr>
            <w:r>
              <w:rPr>
                <w:rFonts w:hint="eastAsia" w:ascii="宋体" w:hAnsi="宋体"/>
                <w:color w:val="auto"/>
                <w:szCs w:val="21"/>
                <w:highlight w:val="none"/>
              </w:rPr>
              <w:t>3.技术负责人</w:t>
            </w:r>
          </w:p>
        </w:tc>
        <w:tc>
          <w:tcPr>
            <w:tcW w:w="789" w:type="dxa"/>
            <w:noWrap w:val="0"/>
            <w:vAlign w:val="center"/>
          </w:tcPr>
          <w:p w14:paraId="185EFF63">
            <w:pPr>
              <w:spacing w:line="300" w:lineRule="auto"/>
              <w:rPr>
                <w:rFonts w:hint="eastAsia" w:ascii="宋体" w:hAnsi="宋体"/>
                <w:color w:val="auto"/>
                <w:szCs w:val="21"/>
                <w:highlight w:val="none"/>
              </w:rPr>
            </w:pPr>
          </w:p>
        </w:tc>
        <w:tc>
          <w:tcPr>
            <w:tcW w:w="788" w:type="dxa"/>
            <w:noWrap w:val="0"/>
            <w:vAlign w:val="center"/>
          </w:tcPr>
          <w:p w14:paraId="19166E05">
            <w:pPr>
              <w:spacing w:line="300" w:lineRule="auto"/>
              <w:rPr>
                <w:rFonts w:hint="eastAsia" w:ascii="宋体" w:hAnsi="宋体"/>
                <w:color w:val="auto"/>
                <w:szCs w:val="21"/>
                <w:highlight w:val="none"/>
              </w:rPr>
            </w:pPr>
          </w:p>
        </w:tc>
        <w:tc>
          <w:tcPr>
            <w:tcW w:w="1440" w:type="dxa"/>
            <w:noWrap w:val="0"/>
            <w:vAlign w:val="center"/>
          </w:tcPr>
          <w:p w14:paraId="242CCE8B">
            <w:pPr>
              <w:spacing w:line="300" w:lineRule="auto"/>
              <w:rPr>
                <w:rFonts w:hint="eastAsia" w:ascii="宋体" w:hAnsi="宋体"/>
                <w:color w:val="auto"/>
                <w:szCs w:val="21"/>
                <w:highlight w:val="none"/>
              </w:rPr>
            </w:pPr>
          </w:p>
        </w:tc>
        <w:tc>
          <w:tcPr>
            <w:tcW w:w="3653" w:type="dxa"/>
            <w:noWrap w:val="0"/>
            <w:vAlign w:val="center"/>
          </w:tcPr>
          <w:p w14:paraId="64A025D9">
            <w:pPr>
              <w:spacing w:line="300" w:lineRule="auto"/>
              <w:rPr>
                <w:rFonts w:hint="eastAsia" w:ascii="宋体" w:hAnsi="宋体"/>
                <w:color w:val="auto"/>
                <w:szCs w:val="21"/>
                <w:highlight w:val="none"/>
              </w:rPr>
            </w:pPr>
          </w:p>
        </w:tc>
      </w:tr>
      <w:tr w14:paraId="142A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65015897">
            <w:pPr>
              <w:spacing w:line="300" w:lineRule="auto"/>
              <w:rPr>
                <w:rFonts w:hint="eastAsia" w:ascii="宋体" w:hAnsi="宋体"/>
                <w:color w:val="auto"/>
                <w:szCs w:val="21"/>
                <w:highlight w:val="none"/>
              </w:rPr>
            </w:pPr>
            <w:r>
              <w:rPr>
                <w:rFonts w:hint="eastAsia" w:ascii="宋体" w:hAnsi="宋体"/>
                <w:color w:val="auto"/>
                <w:szCs w:val="21"/>
                <w:highlight w:val="none"/>
              </w:rPr>
              <w:t>4.施工员</w:t>
            </w:r>
          </w:p>
        </w:tc>
        <w:tc>
          <w:tcPr>
            <w:tcW w:w="789" w:type="dxa"/>
            <w:noWrap w:val="0"/>
            <w:vAlign w:val="center"/>
          </w:tcPr>
          <w:p w14:paraId="58157CB7">
            <w:pPr>
              <w:spacing w:line="300" w:lineRule="auto"/>
              <w:rPr>
                <w:rFonts w:hint="eastAsia" w:ascii="宋体" w:hAnsi="宋体"/>
                <w:color w:val="auto"/>
                <w:szCs w:val="21"/>
                <w:highlight w:val="none"/>
              </w:rPr>
            </w:pPr>
          </w:p>
        </w:tc>
        <w:tc>
          <w:tcPr>
            <w:tcW w:w="788" w:type="dxa"/>
            <w:noWrap w:val="0"/>
            <w:vAlign w:val="center"/>
          </w:tcPr>
          <w:p w14:paraId="3E167F93">
            <w:pPr>
              <w:spacing w:line="300" w:lineRule="auto"/>
              <w:rPr>
                <w:rFonts w:hint="eastAsia" w:ascii="宋体" w:hAnsi="宋体"/>
                <w:color w:val="auto"/>
                <w:szCs w:val="21"/>
                <w:highlight w:val="none"/>
              </w:rPr>
            </w:pPr>
          </w:p>
        </w:tc>
        <w:tc>
          <w:tcPr>
            <w:tcW w:w="1440" w:type="dxa"/>
            <w:noWrap w:val="0"/>
            <w:vAlign w:val="center"/>
          </w:tcPr>
          <w:p w14:paraId="1085890B">
            <w:pPr>
              <w:spacing w:line="300" w:lineRule="auto"/>
              <w:rPr>
                <w:rFonts w:hint="eastAsia" w:ascii="宋体" w:hAnsi="宋体"/>
                <w:color w:val="auto"/>
                <w:szCs w:val="21"/>
                <w:highlight w:val="none"/>
              </w:rPr>
            </w:pPr>
          </w:p>
        </w:tc>
        <w:tc>
          <w:tcPr>
            <w:tcW w:w="3653" w:type="dxa"/>
            <w:noWrap w:val="0"/>
            <w:vAlign w:val="center"/>
          </w:tcPr>
          <w:p w14:paraId="0E630528">
            <w:pPr>
              <w:spacing w:line="300" w:lineRule="auto"/>
              <w:rPr>
                <w:rFonts w:hint="eastAsia" w:ascii="宋体" w:hAnsi="宋体"/>
                <w:color w:val="auto"/>
                <w:szCs w:val="21"/>
                <w:highlight w:val="none"/>
              </w:rPr>
            </w:pPr>
          </w:p>
        </w:tc>
      </w:tr>
      <w:tr w14:paraId="2C0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0B4253E">
            <w:pPr>
              <w:spacing w:line="300" w:lineRule="auto"/>
              <w:rPr>
                <w:rFonts w:hint="eastAsia" w:ascii="宋体" w:hAnsi="宋体"/>
                <w:color w:val="auto"/>
                <w:szCs w:val="21"/>
                <w:highlight w:val="none"/>
              </w:rPr>
            </w:pPr>
            <w:r>
              <w:rPr>
                <w:rFonts w:ascii="宋体" w:hAnsi="宋体"/>
                <w:color w:val="auto"/>
                <w:szCs w:val="21"/>
                <w:highlight w:val="none"/>
              </w:rPr>
              <w:t>……</w:t>
            </w:r>
          </w:p>
        </w:tc>
        <w:tc>
          <w:tcPr>
            <w:tcW w:w="789" w:type="dxa"/>
            <w:noWrap w:val="0"/>
            <w:vAlign w:val="center"/>
          </w:tcPr>
          <w:p w14:paraId="361EBC2A">
            <w:pPr>
              <w:spacing w:line="300" w:lineRule="auto"/>
              <w:rPr>
                <w:rFonts w:hint="eastAsia" w:ascii="宋体" w:hAnsi="宋体"/>
                <w:color w:val="auto"/>
                <w:szCs w:val="21"/>
                <w:highlight w:val="none"/>
              </w:rPr>
            </w:pPr>
          </w:p>
        </w:tc>
        <w:tc>
          <w:tcPr>
            <w:tcW w:w="788" w:type="dxa"/>
            <w:noWrap w:val="0"/>
            <w:vAlign w:val="center"/>
          </w:tcPr>
          <w:p w14:paraId="678AB7BA">
            <w:pPr>
              <w:spacing w:line="300" w:lineRule="auto"/>
              <w:rPr>
                <w:rFonts w:hint="eastAsia" w:ascii="宋体" w:hAnsi="宋体"/>
                <w:color w:val="auto"/>
                <w:szCs w:val="21"/>
                <w:highlight w:val="none"/>
              </w:rPr>
            </w:pPr>
          </w:p>
        </w:tc>
        <w:tc>
          <w:tcPr>
            <w:tcW w:w="1440" w:type="dxa"/>
            <w:noWrap w:val="0"/>
            <w:vAlign w:val="center"/>
          </w:tcPr>
          <w:p w14:paraId="4160F7C3">
            <w:pPr>
              <w:spacing w:line="300" w:lineRule="auto"/>
              <w:rPr>
                <w:rFonts w:hint="eastAsia" w:ascii="宋体" w:hAnsi="宋体"/>
                <w:color w:val="auto"/>
                <w:szCs w:val="21"/>
                <w:highlight w:val="none"/>
              </w:rPr>
            </w:pPr>
          </w:p>
        </w:tc>
        <w:tc>
          <w:tcPr>
            <w:tcW w:w="3653" w:type="dxa"/>
            <w:noWrap w:val="0"/>
            <w:vAlign w:val="center"/>
          </w:tcPr>
          <w:p w14:paraId="721C15D9">
            <w:pPr>
              <w:spacing w:line="300" w:lineRule="auto"/>
              <w:rPr>
                <w:rFonts w:hint="eastAsia" w:ascii="宋体" w:hAnsi="宋体"/>
                <w:color w:val="auto"/>
                <w:szCs w:val="21"/>
                <w:highlight w:val="none"/>
              </w:rPr>
            </w:pPr>
          </w:p>
        </w:tc>
      </w:tr>
      <w:tr w14:paraId="7FC1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23E1FB7E">
            <w:pPr>
              <w:spacing w:line="300" w:lineRule="auto"/>
              <w:rPr>
                <w:rFonts w:hint="eastAsia" w:ascii="宋体" w:hAnsi="宋体"/>
                <w:color w:val="auto"/>
                <w:szCs w:val="21"/>
                <w:highlight w:val="none"/>
              </w:rPr>
            </w:pPr>
            <w:r>
              <w:rPr>
                <w:rFonts w:hint="eastAsia" w:ascii="宋体" w:hAnsi="宋体"/>
                <w:color w:val="auto"/>
                <w:szCs w:val="21"/>
                <w:highlight w:val="none"/>
              </w:rPr>
              <w:t>5. 质检员</w:t>
            </w:r>
          </w:p>
        </w:tc>
        <w:tc>
          <w:tcPr>
            <w:tcW w:w="789" w:type="dxa"/>
            <w:noWrap w:val="0"/>
            <w:vAlign w:val="center"/>
          </w:tcPr>
          <w:p w14:paraId="5AEA696F">
            <w:pPr>
              <w:spacing w:line="300" w:lineRule="auto"/>
              <w:rPr>
                <w:rFonts w:hint="eastAsia" w:ascii="宋体" w:hAnsi="宋体"/>
                <w:color w:val="auto"/>
                <w:szCs w:val="21"/>
                <w:highlight w:val="none"/>
              </w:rPr>
            </w:pPr>
          </w:p>
        </w:tc>
        <w:tc>
          <w:tcPr>
            <w:tcW w:w="788" w:type="dxa"/>
            <w:noWrap w:val="0"/>
            <w:vAlign w:val="center"/>
          </w:tcPr>
          <w:p w14:paraId="126D2395">
            <w:pPr>
              <w:spacing w:line="300" w:lineRule="auto"/>
              <w:rPr>
                <w:rFonts w:hint="eastAsia" w:ascii="宋体" w:hAnsi="宋体"/>
                <w:color w:val="auto"/>
                <w:szCs w:val="21"/>
                <w:highlight w:val="none"/>
              </w:rPr>
            </w:pPr>
          </w:p>
        </w:tc>
        <w:tc>
          <w:tcPr>
            <w:tcW w:w="1440" w:type="dxa"/>
            <w:noWrap w:val="0"/>
            <w:vAlign w:val="center"/>
          </w:tcPr>
          <w:p w14:paraId="6690FD62">
            <w:pPr>
              <w:spacing w:line="300" w:lineRule="auto"/>
              <w:rPr>
                <w:rFonts w:hint="eastAsia" w:ascii="宋体" w:hAnsi="宋体"/>
                <w:color w:val="auto"/>
                <w:szCs w:val="21"/>
                <w:highlight w:val="none"/>
              </w:rPr>
            </w:pPr>
          </w:p>
        </w:tc>
        <w:tc>
          <w:tcPr>
            <w:tcW w:w="3653" w:type="dxa"/>
            <w:noWrap w:val="0"/>
            <w:vAlign w:val="center"/>
          </w:tcPr>
          <w:p w14:paraId="67F41725">
            <w:pPr>
              <w:spacing w:line="300" w:lineRule="auto"/>
              <w:rPr>
                <w:rFonts w:hint="eastAsia" w:ascii="宋体" w:hAnsi="宋体"/>
                <w:color w:val="auto"/>
                <w:szCs w:val="21"/>
                <w:highlight w:val="none"/>
              </w:rPr>
            </w:pPr>
          </w:p>
        </w:tc>
      </w:tr>
      <w:tr w14:paraId="6D4E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66F73225">
            <w:pPr>
              <w:spacing w:line="300" w:lineRule="auto"/>
              <w:rPr>
                <w:rFonts w:hint="eastAsia" w:ascii="宋体" w:hAnsi="宋体"/>
                <w:color w:val="auto"/>
                <w:szCs w:val="21"/>
                <w:highlight w:val="none"/>
              </w:rPr>
            </w:pPr>
            <w:r>
              <w:rPr>
                <w:rFonts w:ascii="宋体" w:hAnsi="宋体"/>
                <w:color w:val="auto"/>
                <w:szCs w:val="21"/>
                <w:highlight w:val="none"/>
              </w:rPr>
              <w:t>……</w:t>
            </w:r>
          </w:p>
        </w:tc>
        <w:tc>
          <w:tcPr>
            <w:tcW w:w="789" w:type="dxa"/>
            <w:noWrap w:val="0"/>
            <w:vAlign w:val="center"/>
          </w:tcPr>
          <w:p w14:paraId="3D88BBCC">
            <w:pPr>
              <w:spacing w:line="300" w:lineRule="auto"/>
              <w:rPr>
                <w:rFonts w:ascii="宋体" w:hAnsi="宋体"/>
                <w:color w:val="auto"/>
                <w:szCs w:val="21"/>
                <w:highlight w:val="none"/>
              </w:rPr>
            </w:pPr>
          </w:p>
        </w:tc>
        <w:tc>
          <w:tcPr>
            <w:tcW w:w="788" w:type="dxa"/>
            <w:noWrap w:val="0"/>
            <w:vAlign w:val="center"/>
          </w:tcPr>
          <w:p w14:paraId="62F33022">
            <w:pPr>
              <w:spacing w:line="300" w:lineRule="auto"/>
              <w:rPr>
                <w:rFonts w:ascii="宋体" w:hAnsi="宋体"/>
                <w:color w:val="auto"/>
                <w:szCs w:val="21"/>
                <w:highlight w:val="none"/>
              </w:rPr>
            </w:pPr>
          </w:p>
        </w:tc>
        <w:tc>
          <w:tcPr>
            <w:tcW w:w="1440" w:type="dxa"/>
            <w:noWrap w:val="0"/>
            <w:vAlign w:val="center"/>
          </w:tcPr>
          <w:p w14:paraId="5650A62A">
            <w:pPr>
              <w:spacing w:line="300" w:lineRule="auto"/>
              <w:rPr>
                <w:rFonts w:ascii="宋体" w:hAnsi="宋体"/>
                <w:color w:val="auto"/>
                <w:szCs w:val="21"/>
                <w:highlight w:val="none"/>
              </w:rPr>
            </w:pPr>
          </w:p>
        </w:tc>
        <w:tc>
          <w:tcPr>
            <w:tcW w:w="3653" w:type="dxa"/>
            <w:noWrap w:val="0"/>
            <w:vAlign w:val="center"/>
          </w:tcPr>
          <w:p w14:paraId="483CD342">
            <w:pPr>
              <w:spacing w:line="300" w:lineRule="auto"/>
              <w:rPr>
                <w:rFonts w:ascii="宋体" w:hAnsi="宋体"/>
                <w:color w:val="auto"/>
                <w:szCs w:val="21"/>
                <w:highlight w:val="none"/>
              </w:rPr>
            </w:pPr>
          </w:p>
        </w:tc>
      </w:tr>
      <w:tr w14:paraId="722F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3AA1C8E7">
            <w:pPr>
              <w:spacing w:line="300" w:lineRule="auto"/>
              <w:rPr>
                <w:rFonts w:hint="eastAsia" w:ascii="宋体" w:hAnsi="宋体"/>
                <w:color w:val="auto"/>
                <w:szCs w:val="21"/>
                <w:highlight w:val="none"/>
              </w:rPr>
            </w:pPr>
            <w:r>
              <w:rPr>
                <w:rFonts w:hint="eastAsia" w:ascii="宋体" w:hAnsi="宋体"/>
                <w:color w:val="auto"/>
                <w:szCs w:val="21"/>
                <w:highlight w:val="none"/>
              </w:rPr>
              <w:t>6.专职安全生产管理人员</w:t>
            </w:r>
          </w:p>
        </w:tc>
        <w:tc>
          <w:tcPr>
            <w:tcW w:w="789" w:type="dxa"/>
            <w:noWrap w:val="0"/>
            <w:vAlign w:val="center"/>
          </w:tcPr>
          <w:p w14:paraId="00B71480">
            <w:pPr>
              <w:spacing w:line="300" w:lineRule="auto"/>
              <w:rPr>
                <w:rFonts w:ascii="宋体" w:hAnsi="宋体"/>
                <w:color w:val="auto"/>
                <w:szCs w:val="21"/>
                <w:highlight w:val="none"/>
              </w:rPr>
            </w:pPr>
          </w:p>
        </w:tc>
        <w:tc>
          <w:tcPr>
            <w:tcW w:w="788" w:type="dxa"/>
            <w:noWrap w:val="0"/>
            <w:vAlign w:val="center"/>
          </w:tcPr>
          <w:p w14:paraId="1F91D6C2">
            <w:pPr>
              <w:spacing w:line="300" w:lineRule="auto"/>
              <w:rPr>
                <w:rFonts w:ascii="宋体" w:hAnsi="宋体"/>
                <w:color w:val="auto"/>
                <w:szCs w:val="21"/>
                <w:highlight w:val="none"/>
              </w:rPr>
            </w:pPr>
          </w:p>
        </w:tc>
        <w:tc>
          <w:tcPr>
            <w:tcW w:w="1440" w:type="dxa"/>
            <w:noWrap w:val="0"/>
            <w:vAlign w:val="center"/>
          </w:tcPr>
          <w:p w14:paraId="1D4A3CDB">
            <w:pPr>
              <w:spacing w:line="300" w:lineRule="auto"/>
              <w:rPr>
                <w:rFonts w:ascii="宋体" w:hAnsi="宋体"/>
                <w:color w:val="auto"/>
                <w:szCs w:val="21"/>
                <w:highlight w:val="none"/>
              </w:rPr>
            </w:pPr>
          </w:p>
        </w:tc>
        <w:tc>
          <w:tcPr>
            <w:tcW w:w="3653" w:type="dxa"/>
            <w:noWrap w:val="0"/>
            <w:vAlign w:val="center"/>
          </w:tcPr>
          <w:p w14:paraId="2DC13F48">
            <w:pPr>
              <w:spacing w:line="300" w:lineRule="auto"/>
              <w:rPr>
                <w:rFonts w:ascii="宋体" w:hAnsi="宋体"/>
                <w:color w:val="auto"/>
                <w:szCs w:val="21"/>
                <w:highlight w:val="none"/>
              </w:rPr>
            </w:pPr>
          </w:p>
        </w:tc>
      </w:tr>
      <w:tr w14:paraId="0F91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4680F82A">
            <w:pPr>
              <w:spacing w:line="300" w:lineRule="auto"/>
              <w:rPr>
                <w:rFonts w:hint="eastAsia" w:ascii="宋体" w:hAnsi="宋体"/>
                <w:color w:val="auto"/>
                <w:szCs w:val="21"/>
                <w:highlight w:val="none"/>
              </w:rPr>
            </w:pPr>
            <w:r>
              <w:rPr>
                <w:rFonts w:ascii="宋体" w:hAnsi="宋体"/>
                <w:color w:val="auto"/>
                <w:szCs w:val="21"/>
                <w:highlight w:val="none"/>
              </w:rPr>
              <w:t>……</w:t>
            </w:r>
          </w:p>
        </w:tc>
        <w:tc>
          <w:tcPr>
            <w:tcW w:w="789" w:type="dxa"/>
            <w:noWrap w:val="0"/>
            <w:vAlign w:val="center"/>
          </w:tcPr>
          <w:p w14:paraId="5E60906C">
            <w:pPr>
              <w:spacing w:line="300" w:lineRule="auto"/>
              <w:rPr>
                <w:rFonts w:ascii="宋体" w:hAnsi="宋体"/>
                <w:color w:val="auto"/>
                <w:szCs w:val="21"/>
                <w:highlight w:val="none"/>
              </w:rPr>
            </w:pPr>
          </w:p>
        </w:tc>
        <w:tc>
          <w:tcPr>
            <w:tcW w:w="788" w:type="dxa"/>
            <w:noWrap w:val="0"/>
            <w:vAlign w:val="center"/>
          </w:tcPr>
          <w:p w14:paraId="70BA98D0">
            <w:pPr>
              <w:spacing w:line="300" w:lineRule="auto"/>
              <w:rPr>
                <w:rFonts w:ascii="宋体" w:hAnsi="宋体"/>
                <w:color w:val="auto"/>
                <w:szCs w:val="21"/>
                <w:highlight w:val="none"/>
              </w:rPr>
            </w:pPr>
          </w:p>
        </w:tc>
        <w:tc>
          <w:tcPr>
            <w:tcW w:w="1440" w:type="dxa"/>
            <w:noWrap w:val="0"/>
            <w:vAlign w:val="center"/>
          </w:tcPr>
          <w:p w14:paraId="6DB686F5">
            <w:pPr>
              <w:spacing w:line="300" w:lineRule="auto"/>
              <w:rPr>
                <w:rFonts w:ascii="宋体" w:hAnsi="宋体"/>
                <w:color w:val="auto"/>
                <w:szCs w:val="21"/>
                <w:highlight w:val="none"/>
              </w:rPr>
            </w:pPr>
          </w:p>
        </w:tc>
        <w:tc>
          <w:tcPr>
            <w:tcW w:w="3653" w:type="dxa"/>
            <w:noWrap w:val="0"/>
            <w:vAlign w:val="center"/>
          </w:tcPr>
          <w:p w14:paraId="7E92967E">
            <w:pPr>
              <w:spacing w:line="300" w:lineRule="auto"/>
              <w:rPr>
                <w:rFonts w:ascii="宋体" w:hAnsi="宋体"/>
                <w:color w:val="auto"/>
                <w:szCs w:val="21"/>
                <w:highlight w:val="none"/>
              </w:rPr>
            </w:pPr>
          </w:p>
        </w:tc>
      </w:tr>
      <w:tr w14:paraId="0066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37407151">
            <w:pPr>
              <w:spacing w:line="300" w:lineRule="auto"/>
              <w:rPr>
                <w:rFonts w:hint="eastAsia" w:ascii="宋体" w:hAnsi="宋体"/>
                <w:color w:val="auto"/>
                <w:szCs w:val="21"/>
                <w:highlight w:val="none"/>
              </w:rPr>
            </w:pPr>
            <w:r>
              <w:rPr>
                <w:rFonts w:hint="eastAsia" w:ascii="宋体" w:hAnsi="宋体"/>
                <w:color w:val="auto"/>
                <w:szCs w:val="21"/>
                <w:highlight w:val="none"/>
              </w:rPr>
              <w:t>7.材料员</w:t>
            </w:r>
          </w:p>
        </w:tc>
        <w:tc>
          <w:tcPr>
            <w:tcW w:w="789" w:type="dxa"/>
            <w:noWrap w:val="0"/>
            <w:vAlign w:val="center"/>
          </w:tcPr>
          <w:p w14:paraId="74E1F082">
            <w:pPr>
              <w:spacing w:line="300" w:lineRule="auto"/>
              <w:rPr>
                <w:rFonts w:ascii="宋体" w:hAnsi="宋体"/>
                <w:color w:val="auto"/>
                <w:szCs w:val="21"/>
                <w:highlight w:val="none"/>
              </w:rPr>
            </w:pPr>
          </w:p>
        </w:tc>
        <w:tc>
          <w:tcPr>
            <w:tcW w:w="788" w:type="dxa"/>
            <w:noWrap w:val="0"/>
            <w:vAlign w:val="center"/>
          </w:tcPr>
          <w:p w14:paraId="6C9C4F73">
            <w:pPr>
              <w:spacing w:line="300" w:lineRule="auto"/>
              <w:rPr>
                <w:rFonts w:ascii="宋体" w:hAnsi="宋体"/>
                <w:color w:val="auto"/>
                <w:szCs w:val="21"/>
                <w:highlight w:val="none"/>
              </w:rPr>
            </w:pPr>
          </w:p>
        </w:tc>
        <w:tc>
          <w:tcPr>
            <w:tcW w:w="1440" w:type="dxa"/>
            <w:noWrap w:val="0"/>
            <w:vAlign w:val="center"/>
          </w:tcPr>
          <w:p w14:paraId="72581F7F">
            <w:pPr>
              <w:spacing w:line="300" w:lineRule="auto"/>
              <w:rPr>
                <w:rFonts w:ascii="宋体" w:hAnsi="宋体"/>
                <w:color w:val="auto"/>
                <w:szCs w:val="21"/>
                <w:highlight w:val="none"/>
              </w:rPr>
            </w:pPr>
          </w:p>
        </w:tc>
        <w:tc>
          <w:tcPr>
            <w:tcW w:w="3653" w:type="dxa"/>
            <w:noWrap w:val="0"/>
            <w:vAlign w:val="center"/>
          </w:tcPr>
          <w:p w14:paraId="17C74F8F">
            <w:pPr>
              <w:spacing w:line="300" w:lineRule="auto"/>
              <w:rPr>
                <w:rFonts w:ascii="宋体" w:hAnsi="宋体"/>
                <w:color w:val="auto"/>
                <w:szCs w:val="21"/>
                <w:highlight w:val="none"/>
              </w:rPr>
            </w:pPr>
          </w:p>
        </w:tc>
      </w:tr>
      <w:tr w14:paraId="7BE2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134" w:type="dxa"/>
            <w:noWrap w:val="0"/>
            <w:vAlign w:val="center"/>
          </w:tcPr>
          <w:p w14:paraId="300FDF7D">
            <w:pPr>
              <w:spacing w:line="300" w:lineRule="auto"/>
              <w:rPr>
                <w:rFonts w:hint="eastAsia" w:ascii="宋体" w:hAnsi="宋体"/>
                <w:color w:val="auto"/>
                <w:szCs w:val="21"/>
                <w:highlight w:val="none"/>
              </w:rPr>
            </w:pPr>
            <w:r>
              <w:rPr>
                <w:rFonts w:ascii="宋体" w:hAnsi="宋体"/>
                <w:color w:val="auto"/>
                <w:szCs w:val="21"/>
                <w:highlight w:val="none"/>
              </w:rPr>
              <w:t>……</w:t>
            </w:r>
          </w:p>
        </w:tc>
        <w:tc>
          <w:tcPr>
            <w:tcW w:w="789" w:type="dxa"/>
            <w:noWrap w:val="0"/>
            <w:vAlign w:val="center"/>
          </w:tcPr>
          <w:p w14:paraId="1BF94BB5">
            <w:pPr>
              <w:spacing w:line="300" w:lineRule="auto"/>
              <w:rPr>
                <w:rFonts w:ascii="宋体" w:hAnsi="宋体"/>
                <w:color w:val="auto"/>
                <w:szCs w:val="21"/>
                <w:highlight w:val="none"/>
              </w:rPr>
            </w:pPr>
          </w:p>
        </w:tc>
        <w:tc>
          <w:tcPr>
            <w:tcW w:w="788" w:type="dxa"/>
            <w:noWrap w:val="0"/>
            <w:vAlign w:val="center"/>
          </w:tcPr>
          <w:p w14:paraId="0D9289CE">
            <w:pPr>
              <w:spacing w:line="300" w:lineRule="auto"/>
              <w:rPr>
                <w:rFonts w:ascii="宋体" w:hAnsi="宋体"/>
                <w:color w:val="auto"/>
                <w:szCs w:val="21"/>
                <w:highlight w:val="none"/>
              </w:rPr>
            </w:pPr>
          </w:p>
        </w:tc>
        <w:tc>
          <w:tcPr>
            <w:tcW w:w="1440" w:type="dxa"/>
            <w:noWrap w:val="0"/>
            <w:vAlign w:val="center"/>
          </w:tcPr>
          <w:p w14:paraId="6B479B7F">
            <w:pPr>
              <w:spacing w:line="300" w:lineRule="auto"/>
              <w:rPr>
                <w:rFonts w:ascii="宋体" w:hAnsi="宋体"/>
                <w:color w:val="auto"/>
                <w:szCs w:val="21"/>
                <w:highlight w:val="none"/>
              </w:rPr>
            </w:pPr>
          </w:p>
        </w:tc>
        <w:tc>
          <w:tcPr>
            <w:tcW w:w="3653" w:type="dxa"/>
            <w:noWrap w:val="0"/>
            <w:vAlign w:val="center"/>
          </w:tcPr>
          <w:p w14:paraId="4E834FAF">
            <w:pPr>
              <w:spacing w:line="300" w:lineRule="auto"/>
              <w:rPr>
                <w:rFonts w:ascii="宋体" w:hAnsi="宋体"/>
                <w:color w:val="auto"/>
                <w:szCs w:val="21"/>
                <w:highlight w:val="none"/>
              </w:rPr>
            </w:pPr>
          </w:p>
        </w:tc>
      </w:tr>
    </w:tbl>
    <w:p w14:paraId="77F010C9">
      <w:pPr>
        <w:rPr>
          <w:rFonts w:hint="eastAsia" w:ascii="宋体" w:hAnsi="宋体"/>
          <w:b/>
          <w:color w:val="auto"/>
          <w:highlight w:val="none"/>
        </w:rPr>
      </w:pPr>
    </w:p>
    <w:p w14:paraId="0634B5A3">
      <w:pPr>
        <w:rPr>
          <w:rFonts w:ascii="宋体" w:hAnsi="宋体"/>
          <w:b/>
          <w:color w:val="auto"/>
          <w:szCs w:val="21"/>
          <w:highlight w:val="none"/>
        </w:rPr>
      </w:pPr>
      <w:r>
        <w:rPr>
          <w:rFonts w:hint="eastAsia" w:ascii="宋体" w:hAnsi="宋体"/>
          <w:b/>
          <w:color w:val="auto"/>
          <w:highlight w:val="none"/>
        </w:rPr>
        <w:t>注：</w:t>
      </w:r>
      <w:r>
        <w:rPr>
          <w:rFonts w:hint="eastAsia" w:ascii="宋体" w:hAnsi="宋体"/>
          <w:b/>
          <w:color w:val="auto"/>
          <w:highlight w:val="none"/>
          <w:lang w:val="en-US" w:eastAsia="zh-CN"/>
        </w:rPr>
        <w:t>主要施工管理人员表</w:t>
      </w:r>
      <w:r>
        <w:rPr>
          <w:rFonts w:hint="eastAsia" w:ascii="宋体" w:hAnsi="宋体"/>
          <w:b/>
          <w:color w:val="auto"/>
          <w:szCs w:val="21"/>
          <w:highlight w:val="none"/>
        </w:rPr>
        <w:t>配备最低要求：</w:t>
      </w:r>
    </w:p>
    <w:tbl>
      <w:tblPr>
        <w:tblStyle w:val="5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14:paraId="7ED6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451DC67E">
            <w:pPr>
              <w:widowControl/>
              <w:spacing w:before="100" w:beforeAutospacing="1" w:after="100" w:afterAutospacing="1" w:line="240" w:lineRule="exact"/>
              <w:jc w:val="center"/>
              <w:rPr>
                <w:rFonts w:ascii="宋体" w:hAnsi="宋体" w:cs="宋体"/>
                <w:color w:val="auto"/>
                <w:kern w:val="0"/>
                <w:szCs w:val="21"/>
                <w:highlight w:val="none"/>
              </w:rPr>
            </w:pPr>
            <w:r>
              <w:rPr>
                <w:rFonts w:hint="eastAsia"/>
                <w:b/>
                <w:color w:val="auto"/>
                <w:highlight w:val="none"/>
              </w:rPr>
              <w:t>人员类型</w:t>
            </w:r>
          </w:p>
        </w:tc>
        <w:tc>
          <w:tcPr>
            <w:tcW w:w="3227" w:type="dxa"/>
            <w:tcBorders>
              <w:top w:val="single" w:color="auto" w:sz="4" w:space="0"/>
              <w:left w:val="nil"/>
              <w:bottom w:val="single" w:color="auto" w:sz="4" w:space="0"/>
              <w:right w:val="single" w:color="auto" w:sz="4" w:space="0"/>
            </w:tcBorders>
            <w:noWrap w:val="0"/>
            <w:vAlign w:val="center"/>
          </w:tcPr>
          <w:p w14:paraId="74F5D24F">
            <w:pPr>
              <w:widowControl/>
              <w:spacing w:before="100" w:beforeAutospacing="1" w:after="100" w:afterAutospacing="1" w:line="2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r>
      <w:tr w14:paraId="6890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09043E44">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3227" w:type="dxa"/>
            <w:tcBorders>
              <w:top w:val="single" w:color="auto" w:sz="4" w:space="0"/>
              <w:left w:val="nil"/>
              <w:bottom w:val="single" w:color="auto" w:sz="4" w:space="0"/>
              <w:right w:val="single" w:color="auto" w:sz="4" w:space="0"/>
            </w:tcBorders>
            <w:noWrap w:val="0"/>
            <w:vAlign w:val="center"/>
          </w:tcPr>
          <w:p w14:paraId="5517A0EE">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r>
      <w:tr w14:paraId="473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noWrap w:val="0"/>
            <w:vAlign w:val="center"/>
          </w:tcPr>
          <w:p w14:paraId="3A0B8560">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项目副经理</w:t>
            </w:r>
          </w:p>
        </w:tc>
        <w:tc>
          <w:tcPr>
            <w:tcW w:w="3227" w:type="dxa"/>
            <w:tcBorders>
              <w:top w:val="single" w:color="auto" w:sz="4" w:space="0"/>
              <w:left w:val="nil"/>
              <w:bottom w:val="single" w:color="auto" w:sz="4" w:space="0"/>
              <w:right w:val="single" w:color="auto" w:sz="4" w:space="0"/>
            </w:tcBorders>
            <w:noWrap w:val="0"/>
            <w:vAlign w:val="center"/>
          </w:tcPr>
          <w:p w14:paraId="6E93A4D0">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rPr>
              <w:t>～</w:t>
            </w:r>
            <w:r>
              <w:rPr>
                <w:rFonts w:ascii="宋体" w:hAnsi="宋体" w:cs="宋体"/>
                <w:color w:val="auto"/>
                <w:kern w:val="0"/>
                <w:szCs w:val="21"/>
                <w:highlight w:val="none"/>
              </w:rPr>
              <w:t>1</w:t>
            </w:r>
          </w:p>
        </w:tc>
      </w:tr>
      <w:tr w14:paraId="208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noWrap w:val="0"/>
            <w:vAlign w:val="center"/>
          </w:tcPr>
          <w:p w14:paraId="0462812B">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p>
        </w:tc>
        <w:tc>
          <w:tcPr>
            <w:tcW w:w="3227" w:type="dxa"/>
            <w:tcBorders>
              <w:top w:val="single" w:color="auto" w:sz="4" w:space="0"/>
              <w:left w:val="nil"/>
              <w:bottom w:val="single" w:color="auto" w:sz="4" w:space="0"/>
              <w:right w:val="single" w:color="auto" w:sz="4" w:space="0"/>
            </w:tcBorders>
            <w:noWrap w:val="0"/>
            <w:vAlign w:val="center"/>
          </w:tcPr>
          <w:p w14:paraId="789B015B">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r>
      <w:tr w14:paraId="10DB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noWrap w:val="0"/>
            <w:vAlign w:val="center"/>
          </w:tcPr>
          <w:p w14:paraId="70BAAFF7">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施工员</w:t>
            </w:r>
          </w:p>
        </w:tc>
        <w:tc>
          <w:tcPr>
            <w:tcW w:w="3227" w:type="dxa"/>
            <w:tcBorders>
              <w:top w:val="single" w:color="auto" w:sz="4" w:space="0"/>
              <w:left w:val="nil"/>
              <w:bottom w:val="single" w:color="auto" w:sz="4" w:space="0"/>
              <w:right w:val="single" w:color="auto" w:sz="4" w:space="0"/>
            </w:tcBorders>
            <w:noWrap w:val="0"/>
            <w:vAlign w:val="center"/>
          </w:tcPr>
          <w:p w14:paraId="4DAA6E5C">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r>
      <w:tr w14:paraId="09C6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noWrap w:val="0"/>
            <w:vAlign w:val="center"/>
          </w:tcPr>
          <w:p w14:paraId="5B92CC00">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质检员</w:t>
            </w:r>
          </w:p>
        </w:tc>
        <w:tc>
          <w:tcPr>
            <w:tcW w:w="3227" w:type="dxa"/>
            <w:tcBorders>
              <w:top w:val="single" w:color="auto" w:sz="4" w:space="0"/>
              <w:left w:val="nil"/>
              <w:bottom w:val="single" w:color="auto" w:sz="4" w:space="0"/>
              <w:right w:val="single" w:color="auto" w:sz="4" w:space="0"/>
            </w:tcBorders>
            <w:noWrap w:val="0"/>
            <w:vAlign w:val="center"/>
          </w:tcPr>
          <w:p w14:paraId="691C1B56">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r>
      <w:tr w14:paraId="2A45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noWrap w:val="0"/>
            <w:vAlign w:val="center"/>
          </w:tcPr>
          <w:p w14:paraId="4604BCDD">
            <w:pPr>
              <w:widowControl/>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专职安全生产管理人员</w:t>
            </w:r>
          </w:p>
        </w:tc>
        <w:tc>
          <w:tcPr>
            <w:tcW w:w="3227" w:type="dxa"/>
            <w:tcBorders>
              <w:top w:val="single" w:color="auto" w:sz="4" w:space="0"/>
              <w:left w:val="nil"/>
              <w:bottom w:val="single" w:color="auto" w:sz="4" w:space="0"/>
              <w:right w:val="single" w:color="auto" w:sz="4" w:space="0"/>
            </w:tcBorders>
            <w:noWrap w:val="0"/>
            <w:vAlign w:val="center"/>
          </w:tcPr>
          <w:p w14:paraId="7325C269">
            <w:pPr>
              <w:widowControl/>
              <w:spacing w:before="100" w:beforeAutospacing="1" w:after="100" w:afterAutospacing="1"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r>
    </w:tbl>
    <w:p w14:paraId="242064EE">
      <w:pPr>
        <w:spacing w:line="400" w:lineRule="exact"/>
        <w:ind w:firstLine="422" w:firstLineChars="200"/>
        <w:rPr>
          <w:rFonts w:ascii="宋体" w:hAnsi="宋体"/>
          <w:b/>
          <w:color w:val="auto"/>
          <w:szCs w:val="21"/>
          <w:highlight w:val="none"/>
        </w:rPr>
      </w:pPr>
    </w:p>
    <w:p w14:paraId="43D336C0">
      <w:pPr>
        <w:spacing w:line="400" w:lineRule="exact"/>
        <w:rPr>
          <w:rFonts w:hint="eastAsia" w:hAnsi="宋体"/>
          <w:color w:val="auto"/>
          <w:highlight w:val="none"/>
        </w:rPr>
      </w:pPr>
    </w:p>
    <w:p w14:paraId="0A2FEBF9">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21DB1CD">
      <w:pPr>
        <w:snapToGrid w:val="0"/>
        <w:spacing w:line="400" w:lineRule="atLeast"/>
        <w:ind w:left="937" w:leftChars="446" w:firstLine="3255" w:firstLineChars="1550"/>
        <w:jc w:val="lef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p>
    <w:p w14:paraId="52B3D5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p>
    <w:p w14:paraId="7F60C76F">
      <w:pPr>
        <w:pStyle w:val="28"/>
        <w:spacing w:line="340" w:lineRule="exact"/>
        <w:jc w:val="center"/>
        <w:rPr>
          <w:rFonts w:hint="eastAsia" w:ascii="宋体" w:hAnsi="宋体" w:eastAsia="宋体" w:cs="宋体"/>
          <w:b/>
          <w:color w:val="auto"/>
          <w:sz w:val="32"/>
          <w:szCs w:val="32"/>
          <w:highlight w:val="none"/>
        </w:rPr>
      </w:pPr>
    </w:p>
    <w:p w14:paraId="58BCA209">
      <w:pPr>
        <w:pStyle w:val="2"/>
        <w:rPr>
          <w:rFonts w:hint="eastAsia" w:ascii="宋体" w:hAnsi="宋体" w:eastAsia="宋体" w:cs="宋体"/>
          <w:b/>
          <w:bCs/>
          <w:color w:val="auto"/>
          <w:szCs w:val="21"/>
          <w:highlight w:val="none"/>
        </w:rPr>
      </w:pPr>
    </w:p>
    <w:p w14:paraId="33E3EEF5">
      <w:pPr>
        <w:numPr>
          <w:ilvl w:val="0"/>
          <w:numId w:val="0"/>
        </w:numPr>
        <w:spacing w:line="400" w:lineRule="exact"/>
        <w:outlineLvl w:val="1"/>
        <w:rPr>
          <w:rFonts w:hint="eastAsia" w:ascii="宋体" w:hAnsi="宋体" w:eastAsia="宋体" w:cs="宋体"/>
          <w:color w:val="auto"/>
          <w:highlight w:val="none"/>
        </w:rPr>
      </w:pPr>
      <w:r>
        <w:rPr>
          <w:rFonts w:hint="eastAsia" w:hAnsi="宋体" w:cs="宋体"/>
          <w:b/>
          <w:color w:val="auto"/>
          <w:sz w:val="28"/>
          <w:szCs w:val="28"/>
          <w:highlight w:val="none"/>
          <w:lang w:val="en-US" w:eastAsia="zh-CN"/>
        </w:rPr>
        <w:br w:type="page"/>
      </w:r>
      <w:bookmarkStart w:id="1167" w:name="_Toc24032"/>
      <w:bookmarkStart w:id="1168" w:name="_Toc9556"/>
      <w:bookmarkStart w:id="1169" w:name="_Toc21827"/>
      <w:bookmarkStart w:id="1170" w:name="_Toc16701"/>
      <w:bookmarkStart w:id="1171" w:name="_Toc791"/>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w:t>
      </w:r>
      <w:bookmarkEnd w:id="1167"/>
      <w:bookmarkEnd w:id="1168"/>
      <w:bookmarkEnd w:id="1169"/>
      <w:bookmarkEnd w:id="1170"/>
      <w:bookmarkEnd w:id="1171"/>
      <w:r>
        <w:rPr>
          <w:rFonts w:hint="eastAsia" w:ascii="宋体" w:hAnsi="宋体" w:eastAsia="宋体" w:cs="宋体"/>
          <w:b/>
          <w:color w:val="auto"/>
          <w:sz w:val="28"/>
          <w:szCs w:val="28"/>
          <w:highlight w:val="none"/>
          <w:lang w:val="en-US" w:eastAsia="zh-CN"/>
        </w:rPr>
        <w:t>主要人员简历表（必须提供）</w:t>
      </w:r>
    </w:p>
    <w:p w14:paraId="1D8FE11D">
      <w:pPr>
        <w:spacing w:line="400" w:lineRule="exact"/>
        <w:ind w:firstLine="361" w:firstLineChars="150"/>
        <w:rPr>
          <w:rFonts w:hint="eastAsia" w:ascii="宋体" w:hAnsi="宋体"/>
          <w:b/>
          <w:bCs/>
          <w:color w:val="auto"/>
          <w:sz w:val="24"/>
          <w:highlight w:val="none"/>
        </w:rPr>
      </w:pPr>
      <w:r>
        <w:rPr>
          <w:rFonts w:hint="eastAsia" w:ascii="宋体" w:hAnsi="宋体"/>
          <w:b/>
          <w:bCs/>
          <w:color w:val="auto"/>
          <w:sz w:val="24"/>
          <w:highlight w:val="none"/>
        </w:rPr>
        <w:t>附件</w:t>
      </w:r>
    </w:p>
    <w:p w14:paraId="57C16F74">
      <w:pPr>
        <w:spacing w:line="400" w:lineRule="exact"/>
        <w:jc w:val="center"/>
        <w:rPr>
          <w:rFonts w:hint="eastAsia" w:ascii="宋体" w:hAnsi="宋体"/>
          <w:color w:val="auto"/>
          <w:sz w:val="24"/>
          <w:highlight w:val="none"/>
        </w:rPr>
      </w:pPr>
      <w:r>
        <w:rPr>
          <w:rFonts w:hint="eastAsia" w:ascii="宋体" w:hAnsi="宋体"/>
          <w:b/>
          <w:color w:val="auto"/>
          <w:sz w:val="28"/>
          <w:szCs w:val="28"/>
          <w:highlight w:val="none"/>
        </w:rPr>
        <w:t>主要人员简历表（格式）</w:t>
      </w:r>
    </w:p>
    <w:tbl>
      <w:tblPr>
        <w:tblStyle w:val="54"/>
        <w:tblW w:w="0" w:type="auto"/>
        <w:tblInd w:w="-5" w:type="dxa"/>
        <w:tblLayout w:type="fixed"/>
        <w:tblCellMar>
          <w:top w:w="0" w:type="dxa"/>
          <w:left w:w="0" w:type="dxa"/>
          <w:bottom w:w="0" w:type="dxa"/>
          <w:right w:w="0" w:type="dxa"/>
        </w:tblCellMar>
      </w:tblPr>
      <w:tblGrid>
        <w:gridCol w:w="1343"/>
        <w:gridCol w:w="407"/>
        <w:gridCol w:w="816"/>
        <w:gridCol w:w="1048"/>
        <w:gridCol w:w="1206"/>
        <w:gridCol w:w="801"/>
        <w:gridCol w:w="1426"/>
        <w:gridCol w:w="185"/>
        <w:gridCol w:w="2416"/>
      </w:tblGrid>
      <w:tr w14:paraId="223DCE51">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2D879C2F">
            <w:pPr>
              <w:jc w:val="center"/>
              <w:rPr>
                <w:rFonts w:ascii="宋体" w:hAnsi="宋体"/>
                <w:color w:val="auto"/>
                <w:kern w:val="0"/>
                <w:sz w:val="24"/>
                <w:highlight w:val="none"/>
              </w:rPr>
            </w:pPr>
            <w:r>
              <w:rPr>
                <w:rFonts w:hint="eastAsia" w:ascii="宋体" w:hAnsi="宋体" w:cs="MingLiU"/>
                <w:color w:val="auto"/>
                <w:kern w:val="0"/>
                <w:szCs w:val="21"/>
                <w:highlight w:val="none"/>
              </w:rPr>
              <w:t>姓</w:t>
            </w:r>
            <w:r>
              <w:rPr>
                <w:rFonts w:ascii="宋体" w:hAnsi="宋体"/>
                <w:color w:val="auto"/>
                <w:kern w:val="0"/>
                <w:szCs w:val="21"/>
                <w:highlight w:val="none"/>
              </w:rPr>
              <w:tab/>
            </w:r>
            <w:r>
              <w:rPr>
                <w:rFonts w:hint="eastAsia" w:ascii="宋体" w:hAnsi="宋体" w:cs="MingLiU"/>
                <w:color w:val="auto"/>
                <w:kern w:val="0"/>
                <w:szCs w:val="21"/>
                <w:highlight w:val="none"/>
              </w:rPr>
              <w:t>名</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14:paraId="77F5BCA1">
            <w:pPr>
              <w:jc w:val="center"/>
              <w:rPr>
                <w:rFonts w:ascii="宋体" w:hAnsi="宋体"/>
                <w:color w:val="auto"/>
                <w:kern w:val="0"/>
                <w:sz w:val="24"/>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4A42394E">
            <w:pPr>
              <w:jc w:val="center"/>
              <w:rPr>
                <w:rFonts w:ascii="宋体" w:hAnsi="宋体"/>
                <w:color w:val="auto"/>
                <w:kern w:val="0"/>
                <w:sz w:val="24"/>
                <w:highlight w:val="none"/>
              </w:rPr>
            </w:pPr>
            <w:r>
              <w:rPr>
                <w:rFonts w:hint="eastAsia" w:ascii="宋体" w:hAnsi="宋体" w:cs="MingLiU"/>
                <w:color w:val="auto"/>
                <w:kern w:val="0"/>
                <w:szCs w:val="21"/>
                <w:highlight w:val="none"/>
              </w:rPr>
              <w:t>年</w:t>
            </w:r>
            <w:r>
              <w:rPr>
                <w:rFonts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D23F082">
            <w:pPr>
              <w:jc w:val="center"/>
              <w:rPr>
                <w:rFonts w:ascii="宋体" w:hAnsi="宋体"/>
                <w:color w:val="auto"/>
                <w:kern w:val="0"/>
                <w:sz w:val="24"/>
                <w:highlight w:val="none"/>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14:paraId="354BBCB5">
            <w:pPr>
              <w:jc w:val="center"/>
              <w:rPr>
                <w:rFonts w:ascii="宋体" w:hAnsi="宋体"/>
                <w:color w:val="auto"/>
                <w:kern w:val="0"/>
                <w:sz w:val="24"/>
                <w:highlight w:val="none"/>
              </w:rPr>
            </w:pPr>
            <w:r>
              <w:rPr>
                <w:rFonts w:hint="eastAsia" w:ascii="宋体" w:hAnsi="宋体" w:cs="MingLiU"/>
                <w:color w:val="auto"/>
                <w:kern w:val="0"/>
                <w:szCs w:val="21"/>
                <w:highlight w:val="none"/>
              </w:rPr>
              <w:t>学历</w:t>
            </w:r>
          </w:p>
        </w:tc>
        <w:tc>
          <w:tcPr>
            <w:tcW w:w="2416" w:type="dxa"/>
            <w:tcBorders>
              <w:top w:val="single" w:color="000000" w:sz="4" w:space="0"/>
              <w:left w:val="single" w:color="000000" w:sz="4" w:space="0"/>
              <w:bottom w:val="single" w:color="000000" w:sz="4" w:space="0"/>
              <w:right w:val="single" w:color="000000" w:sz="4" w:space="0"/>
            </w:tcBorders>
            <w:noWrap w:val="0"/>
            <w:vAlign w:val="top"/>
          </w:tcPr>
          <w:p w14:paraId="4AEA9E25">
            <w:pPr>
              <w:rPr>
                <w:rFonts w:ascii="宋体" w:hAnsi="宋体"/>
                <w:color w:val="auto"/>
                <w:kern w:val="0"/>
                <w:sz w:val="24"/>
                <w:highlight w:val="none"/>
              </w:rPr>
            </w:pPr>
          </w:p>
        </w:tc>
      </w:tr>
      <w:tr w14:paraId="18DFD51D">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45AC4D93">
            <w:pPr>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ascii="宋体" w:hAnsi="宋体"/>
                <w:color w:val="auto"/>
                <w:kern w:val="0"/>
                <w:szCs w:val="21"/>
                <w:highlight w:val="none"/>
              </w:rPr>
              <w:tab/>
            </w:r>
            <w:r>
              <w:rPr>
                <w:rFonts w:hint="eastAsia" w:ascii="宋体" w:hAnsi="宋体" w:cs="MingLiU"/>
                <w:color w:val="auto"/>
                <w:kern w:val="0"/>
                <w:szCs w:val="21"/>
                <w:highlight w:val="none"/>
              </w:rPr>
              <w:t>称</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14:paraId="44FBF611">
            <w:pPr>
              <w:jc w:val="center"/>
              <w:rPr>
                <w:rFonts w:ascii="宋体" w:hAnsi="宋体"/>
                <w:color w:val="auto"/>
                <w:kern w:val="0"/>
                <w:sz w:val="24"/>
                <w:highlight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9536370">
            <w:pPr>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ascii="宋体" w:hAnsi="宋体"/>
                <w:color w:val="auto"/>
                <w:kern w:val="0"/>
                <w:szCs w:val="21"/>
                <w:highlight w:val="none"/>
              </w:rPr>
              <w:t xml:space="preserve">  </w:t>
            </w:r>
            <w:r>
              <w:rPr>
                <w:rFonts w:hint="eastAsia" w:ascii="宋体" w:hAnsi="宋体" w:cs="MingLiU"/>
                <w:color w:val="auto"/>
                <w:kern w:val="0"/>
                <w:szCs w:val="21"/>
                <w:highlight w:val="none"/>
              </w:rPr>
              <w:t>务</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B060C92">
            <w:pPr>
              <w:jc w:val="center"/>
              <w:rPr>
                <w:rFonts w:ascii="宋体" w:hAnsi="宋体"/>
                <w:color w:val="auto"/>
                <w:kern w:val="0"/>
                <w:sz w:val="24"/>
                <w:highlight w:val="none"/>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14:paraId="7FE55D8E">
            <w:pPr>
              <w:jc w:val="center"/>
              <w:rPr>
                <w:rFonts w:ascii="宋体" w:hAnsi="宋体"/>
                <w:color w:val="auto"/>
                <w:kern w:val="0"/>
                <w:sz w:val="24"/>
                <w:highlight w:val="none"/>
              </w:rPr>
            </w:pPr>
            <w:r>
              <w:rPr>
                <w:rFonts w:hint="eastAsia" w:ascii="宋体" w:hAnsi="宋体" w:cs="MingLiU"/>
                <w:color w:val="auto"/>
                <w:kern w:val="0"/>
                <w:szCs w:val="21"/>
                <w:highlight w:val="none"/>
              </w:rPr>
              <w:t>拟在本合同任职</w:t>
            </w:r>
          </w:p>
        </w:tc>
        <w:tc>
          <w:tcPr>
            <w:tcW w:w="2416" w:type="dxa"/>
            <w:tcBorders>
              <w:top w:val="single" w:color="000000" w:sz="4" w:space="0"/>
              <w:left w:val="single" w:color="000000" w:sz="4" w:space="0"/>
              <w:bottom w:val="single" w:color="000000" w:sz="4" w:space="0"/>
              <w:right w:val="single" w:color="000000" w:sz="4" w:space="0"/>
            </w:tcBorders>
            <w:noWrap w:val="0"/>
            <w:vAlign w:val="top"/>
          </w:tcPr>
          <w:p w14:paraId="22BBAFDD">
            <w:pPr>
              <w:rPr>
                <w:rFonts w:ascii="宋体" w:hAnsi="宋体"/>
                <w:color w:val="auto"/>
                <w:kern w:val="0"/>
                <w:sz w:val="24"/>
                <w:highlight w:val="none"/>
              </w:rPr>
            </w:pPr>
          </w:p>
        </w:tc>
      </w:tr>
      <w:tr w14:paraId="4BD76830">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noWrap w:val="0"/>
            <w:vAlign w:val="center"/>
          </w:tcPr>
          <w:p w14:paraId="1E52D8CA">
            <w:pPr>
              <w:jc w:val="center"/>
              <w:rPr>
                <w:rFonts w:ascii="宋体" w:hAnsi="宋体"/>
                <w:color w:val="auto"/>
                <w:kern w:val="0"/>
                <w:sz w:val="24"/>
                <w:highlight w:val="none"/>
              </w:rPr>
            </w:pPr>
            <w:r>
              <w:rPr>
                <w:rFonts w:hint="eastAsia" w:ascii="宋体" w:hAnsi="宋体" w:cs="MingLiU"/>
                <w:color w:val="auto"/>
                <w:kern w:val="0"/>
                <w:szCs w:val="21"/>
                <w:highlight w:val="none"/>
              </w:rPr>
              <w:t>毕业学校</w:t>
            </w:r>
          </w:p>
        </w:tc>
        <w:tc>
          <w:tcPr>
            <w:tcW w:w="8305" w:type="dxa"/>
            <w:gridSpan w:val="8"/>
            <w:tcBorders>
              <w:top w:val="single" w:color="000000" w:sz="4" w:space="0"/>
              <w:left w:val="single" w:color="000000" w:sz="4" w:space="0"/>
              <w:bottom w:val="single" w:color="000000" w:sz="4" w:space="0"/>
              <w:right w:val="single" w:color="000000" w:sz="4" w:space="0"/>
            </w:tcBorders>
            <w:noWrap w:val="0"/>
            <w:vAlign w:val="top"/>
          </w:tcPr>
          <w:p w14:paraId="4A104F47">
            <w:pPr>
              <w:ind w:firstLine="315" w:firstLineChars="150"/>
              <w:rPr>
                <w:rFonts w:ascii="宋体" w:hAnsi="宋体"/>
                <w:color w:val="auto"/>
                <w:kern w:val="0"/>
                <w:sz w:val="24"/>
                <w:highlight w:val="none"/>
              </w:rPr>
            </w:pPr>
            <w:r>
              <w:rPr>
                <w:rFonts w:hint="eastAsia" w:ascii="宋体" w:hAnsi="宋体" w:cs="MingLiU"/>
                <w:color w:val="auto"/>
                <w:kern w:val="0"/>
                <w:szCs w:val="21"/>
                <w:highlight w:val="none"/>
              </w:rPr>
              <w:t>年</w:t>
            </w:r>
            <w:r>
              <w:rPr>
                <w:rFonts w:hint="eastAsia" w:ascii="宋体" w:hAnsi="宋体" w:cs="MingLiU"/>
                <w:color w:val="auto"/>
                <w:spacing w:val="-1"/>
                <w:kern w:val="0"/>
                <w:szCs w:val="21"/>
                <w:highlight w:val="none"/>
              </w:rPr>
              <w:t>毕</w:t>
            </w:r>
            <w:r>
              <w:rPr>
                <w:rFonts w:hint="eastAsia" w:ascii="宋体" w:hAnsi="宋体" w:cs="MingLiU"/>
                <w:color w:val="auto"/>
                <w:kern w:val="0"/>
                <w:szCs w:val="21"/>
                <w:highlight w:val="none"/>
              </w:rPr>
              <w:t>业于</w:t>
            </w:r>
            <w:r>
              <w:rPr>
                <w:rFonts w:ascii="宋体" w:hAnsi="宋体"/>
                <w:color w:val="auto"/>
                <w:kern w:val="0"/>
                <w:szCs w:val="21"/>
                <w:highlight w:val="none"/>
              </w:rPr>
              <w:tab/>
            </w:r>
            <w:r>
              <w:rPr>
                <w:rFonts w:hint="eastAsia" w:ascii="宋体" w:hAnsi="宋体" w:cs="MingLiU"/>
                <w:color w:val="auto"/>
                <w:kern w:val="0"/>
                <w:szCs w:val="21"/>
                <w:highlight w:val="none"/>
              </w:rPr>
              <w:t>学校</w:t>
            </w:r>
            <w:r>
              <w:rPr>
                <w:rFonts w:ascii="宋体" w:hAnsi="宋体"/>
                <w:color w:val="auto"/>
                <w:kern w:val="0"/>
                <w:szCs w:val="21"/>
                <w:highlight w:val="none"/>
              </w:rPr>
              <w:tab/>
            </w:r>
            <w:r>
              <w:rPr>
                <w:rFonts w:hint="eastAsia" w:ascii="宋体" w:hAnsi="宋体" w:cs="MingLiU"/>
                <w:color w:val="auto"/>
                <w:kern w:val="0"/>
                <w:szCs w:val="21"/>
                <w:highlight w:val="none"/>
              </w:rPr>
              <w:t>专业</w:t>
            </w:r>
          </w:p>
        </w:tc>
      </w:tr>
      <w:tr w14:paraId="30577AFA">
        <w:tblPrEx>
          <w:tblCellMar>
            <w:top w:w="0" w:type="dxa"/>
            <w:left w:w="0" w:type="dxa"/>
            <w:bottom w:w="0" w:type="dxa"/>
            <w:right w:w="0" w:type="dxa"/>
          </w:tblCellMar>
        </w:tblPrEx>
        <w:trPr>
          <w:trHeight w:val="340" w:hRule="exact"/>
        </w:trPr>
        <w:tc>
          <w:tcPr>
            <w:tcW w:w="9648" w:type="dxa"/>
            <w:gridSpan w:val="9"/>
            <w:tcBorders>
              <w:top w:val="single" w:color="000000" w:sz="4" w:space="0"/>
              <w:left w:val="single" w:color="000000" w:sz="4" w:space="0"/>
              <w:bottom w:val="single" w:color="000000" w:sz="4" w:space="0"/>
              <w:right w:val="single" w:color="000000" w:sz="4" w:space="0"/>
            </w:tcBorders>
            <w:noWrap w:val="0"/>
            <w:vAlign w:val="top"/>
          </w:tcPr>
          <w:p w14:paraId="0976BF32">
            <w:pPr>
              <w:rPr>
                <w:rFonts w:ascii="宋体" w:hAnsi="宋体"/>
                <w:color w:val="auto"/>
                <w:kern w:val="0"/>
                <w:sz w:val="24"/>
                <w:highlight w:val="none"/>
              </w:rPr>
            </w:pPr>
            <w:r>
              <w:rPr>
                <w:rFonts w:hint="eastAsia" w:ascii="宋体" w:hAnsi="宋体" w:cs="MingLiU"/>
                <w:color w:val="auto"/>
                <w:kern w:val="0"/>
                <w:szCs w:val="21"/>
                <w:highlight w:val="none"/>
              </w:rPr>
              <w:t>主要工作经历</w:t>
            </w:r>
          </w:p>
        </w:tc>
      </w:tr>
      <w:tr w14:paraId="16307991">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5403E71C">
            <w:pPr>
              <w:ind w:firstLine="105" w:firstLineChars="50"/>
              <w:jc w:val="center"/>
              <w:rPr>
                <w:rFonts w:ascii="宋体" w:hAnsi="宋体"/>
                <w:color w:val="auto"/>
                <w:kern w:val="0"/>
                <w:sz w:val="24"/>
                <w:highlight w:val="none"/>
              </w:rPr>
            </w:pPr>
            <w:r>
              <w:rPr>
                <w:rFonts w:hint="eastAsia" w:ascii="宋体" w:hAnsi="宋体" w:cs="MingLiU"/>
                <w:color w:val="auto"/>
                <w:kern w:val="0"/>
                <w:szCs w:val="21"/>
                <w:highlight w:val="none"/>
              </w:rPr>
              <w:t>时</w:t>
            </w:r>
            <w:r>
              <w:rPr>
                <w:rFonts w:ascii="宋体" w:hAnsi="宋体"/>
                <w:color w:val="auto"/>
                <w:kern w:val="0"/>
                <w:szCs w:val="21"/>
                <w:highlight w:val="none"/>
              </w:rPr>
              <w:tab/>
            </w:r>
            <w:r>
              <w:rPr>
                <w:rFonts w:hint="eastAsia" w:ascii="宋体" w:hAnsi="宋体" w:cs="MingLiU"/>
                <w:color w:val="auto"/>
                <w:kern w:val="0"/>
                <w:szCs w:val="21"/>
                <w:highlight w:val="none"/>
              </w:rPr>
              <w:t>间</w:t>
            </w:r>
          </w:p>
        </w:tc>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14:paraId="1A488D37">
            <w:pPr>
              <w:jc w:val="center"/>
              <w:rPr>
                <w:rFonts w:ascii="宋体" w:hAnsi="宋体"/>
                <w:color w:val="auto"/>
                <w:kern w:val="0"/>
                <w:sz w:val="24"/>
                <w:highlight w:val="none"/>
              </w:rPr>
            </w:pPr>
            <w:r>
              <w:rPr>
                <w:rFonts w:hint="eastAsia" w:ascii="宋体" w:hAnsi="宋体" w:cs="MingLiU"/>
                <w:color w:val="auto"/>
                <w:kern w:val="0"/>
                <w:szCs w:val="21"/>
                <w:highlight w:val="none"/>
              </w:rPr>
              <w:t>参加过的类似项目</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DE7BCE4">
            <w:pPr>
              <w:jc w:val="center"/>
              <w:rPr>
                <w:rFonts w:ascii="宋体" w:hAnsi="宋体"/>
                <w:color w:val="auto"/>
                <w:kern w:val="0"/>
                <w:sz w:val="24"/>
                <w:highlight w:val="none"/>
              </w:rPr>
            </w:pPr>
            <w:r>
              <w:rPr>
                <w:rFonts w:hint="eastAsia" w:ascii="宋体" w:hAnsi="宋体" w:cs="MingLiU"/>
                <w:color w:val="auto"/>
                <w:kern w:val="0"/>
                <w:szCs w:val="21"/>
                <w:highlight w:val="none"/>
              </w:rPr>
              <w:t>担任职务</w:t>
            </w:r>
          </w:p>
        </w:tc>
        <w:tc>
          <w:tcPr>
            <w:tcW w:w="2601" w:type="dxa"/>
            <w:gridSpan w:val="2"/>
            <w:tcBorders>
              <w:top w:val="single" w:color="000000" w:sz="4" w:space="0"/>
              <w:left w:val="single" w:color="000000" w:sz="4" w:space="0"/>
              <w:bottom w:val="single" w:color="000000" w:sz="4" w:space="0"/>
              <w:right w:val="single" w:color="000000" w:sz="4" w:space="0"/>
            </w:tcBorders>
            <w:noWrap w:val="0"/>
            <w:vAlign w:val="center"/>
          </w:tcPr>
          <w:p w14:paraId="3879FEE7">
            <w:pPr>
              <w:jc w:val="center"/>
              <w:rPr>
                <w:rFonts w:ascii="宋体" w:hAnsi="宋体"/>
                <w:color w:val="auto"/>
                <w:kern w:val="0"/>
                <w:sz w:val="24"/>
                <w:highlight w:val="none"/>
              </w:rPr>
            </w:pPr>
            <w:r>
              <w:rPr>
                <w:rFonts w:hint="eastAsia" w:ascii="宋体" w:hAnsi="宋体" w:cs="MingLiU"/>
                <w:color w:val="auto"/>
                <w:kern w:val="0"/>
                <w:szCs w:val="21"/>
                <w:highlight w:val="none"/>
              </w:rPr>
              <w:t>发包人及联系电话</w:t>
            </w:r>
          </w:p>
        </w:tc>
      </w:tr>
      <w:tr w14:paraId="4E18795D">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top"/>
          </w:tcPr>
          <w:p w14:paraId="40116F68">
            <w:pPr>
              <w:rPr>
                <w:rFonts w:ascii="宋体" w:hAnsi="宋体"/>
                <w:color w:val="auto"/>
                <w:kern w:val="0"/>
                <w:sz w:val="24"/>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noWrap w:val="0"/>
            <w:vAlign w:val="top"/>
          </w:tcPr>
          <w:p w14:paraId="12D612E8">
            <w:pPr>
              <w:rPr>
                <w:rFonts w:ascii="宋体" w:hAnsi="宋体"/>
                <w:color w:val="auto"/>
                <w:kern w:val="0"/>
                <w:sz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119C1A33">
            <w:pPr>
              <w:rPr>
                <w:rFonts w:ascii="宋体" w:hAnsi="宋体"/>
                <w:color w:val="auto"/>
                <w:kern w:val="0"/>
                <w:sz w:val="24"/>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noWrap w:val="0"/>
            <w:vAlign w:val="top"/>
          </w:tcPr>
          <w:p w14:paraId="1EDA2EF2">
            <w:pPr>
              <w:rPr>
                <w:rFonts w:ascii="宋体" w:hAnsi="宋体"/>
                <w:color w:val="auto"/>
                <w:kern w:val="0"/>
                <w:sz w:val="24"/>
                <w:highlight w:val="none"/>
              </w:rPr>
            </w:pPr>
          </w:p>
        </w:tc>
      </w:tr>
      <w:tr w14:paraId="3334633A">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noWrap w:val="0"/>
            <w:vAlign w:val="top"/>
          </w:tcPr>
          <w:p w14:paraId="507EA92A">
            <w:pPr>
              <w:rPr>
                <w:rFonts w:ascii="宋体" w:hAnsi="宋体"/>
                <w:color w:val="auto"/>
                <w:kern w:val="0"/>
                <w:sz w:val="24"/>
                <w:highlight w:val="none"/>
              </w:rPr>
            </w:pPr>
          </w:p>
        </w:tc>
        <w:tc>
          <w:tcPr>
            <w:tcW w:w="3871" w:type="dxa"/>
            <w:gridSpan w:val="4"/>
            <w:tcBorders>
              <w:top w:val="single" w:color="000000" w:sz="4" w:space="0"/>
              <w:left w:val="single" w:color="000000" w:sz="4" w:space="0"/>
              <w:bottom w:val="single" w:color="000000" w:sz="4" w:space="0"/>
              <w:right w:val="single" w:color="000000" w:sz="4" w:space="0"/>
            </w:tcBorders>
            <w:noWrap w:val="0"/>
            <w:vAlign w:val="top"/>
          </w:tcPr>
          <w:p w14:paraId="17338AD9">
            <w:pPr>
              <w:rPr>
                <w:rFonts w:ascii="宋体" w:hAnsi="宋体"/>
                <w:color w:val="auto"/>
                <w:kern w:val="0"/>
                <w:sz w:val="24"/>
                <w:highlight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1D461728">
            <w:pPr>
              <w:rPr>
                <w:rFonts w:ascii="宋体" w:hAnsi="宋体"/>
                <w:color w:val="auto"/>
                <w:kern w:val="0"/>
                <w:sz w:val="24"/>
                <w:highlight w:val="none"/>
              </w:rPr>
            </w:pPr>
          </w:p>
        </w:tc>
        <w:tc>
          <w:tcPr>
            <w:tcW w:w="2601" w:type="dxa"/>
            <w:gridSpan w:val="2"/>
            <w:tcBorders>
              <w:top w:val="single" w:color="000000" w:sz="4" w:space="0"/>
              <w:left w:val="single" w:color="000000" w:sz="4" w:space="0"/>
              <w:bottom w:val="single" w:color="000000" w:sz="4" w:space="0"/>
              <w:right w:val="single" w:color="000000" w:sz="4" w:space="0"/>
            </w:tcBorders>
            <w:noWrap w:val="0"/>
            <w:vAlign w:val="top"/>
          </w:tcPr>
          <w:p w14:paraId="51A3AA2A">
            <w:pPr>
              <w:rPr>
                <w:rFonts w:ascii="宋体" w:hAnsi="宋体"/>
                <w:color w:val="auto"/>
                <w:kern w:val="0"/>
                <w:sz w:val="24"/>
                <w:highlight w:val="none"/>
              </w:rPr>
            </w:pPr>
          </w:p>
        </w:tc>
      </w:tr>
    </w:tbl>
    <w:p w14:paraId="0153D69C">
      <w:pPr>
        <w:spacing w:line="400" w:lineRule="exact"/>
        <w:rPr>
          <w:rFonts w:hint="eastAsia" w:ascii="宋体" w:hAnsi="宋体"/>
          <w:b/>
          <w:color w:val="auto"/>
          <w:sz w:val="28"/>
          <w:szCs w:val="28"/>
          <w:highlight w:val="none"/>
        </w:rPr>
      </w:pPr>
    </w:p>
    <w:p w14:paraId="1CBB418B">
      <w:pPr>
        <w:pStyle w:val="2"/>
        <w:rPr>
          <w:rFonts w:hint="eastAsia" w:ascii="宋体" w:hAnsi="宋体" w:eastAsia="宋体" w:cs="宋体"/>
          <w:b/>
          <w:color w:val="auto"/>
          <w:sz w:val="24"/>
          <w:highlight w:val="none"/>
          <w:lang w:eastAsia="zh-CN"/>
        </w:rPr>
      </w:pPr>
      <w:r>
        <w:rPr>
          <w:rFonts w:hint="eastAsia" w:ascii="宋体" w:hAnsi="宋体"/>
          <w:b/>
          <w:color w:val="auto"/>
          <w:szCs w:val="21"/>
          <w:highlight w:val="none"/>
        </w:rPr>
        <w:t>注：项目经理应附身份证、注册建造师执业资格证书、安全生产考核合格证书（B类）、职称证书（如有）的复印件或扫描件；项目技术负责人应附身份证复印件或扫描件、职称证书复印件或扫描件；专职安全生产管理人员应附身份证、专职安全员安全生产考核合格证书（C类）、职称证书（如有）复印件或扫描件；其他主要人员应附身份证</w:t>
      </w:r>
      <w:r>
        <w:rPr>
          <w:rFonts w:hint="eastAsia" w:ascii="宋体" w:hAnsi="宋体"/>
          <w:b/>
          <w:color w:val="auto"/>
          <w:szCs w:val="21"/>
          <w:highlight w:val="none"/>
          <w:lang w:eastAsia="zh-CN"/>
        </w:rPr>
        <w:t>、</w:t>
      </w:r>
      <w:r>
        <w:rPr>
          <w:rFonts w:hint="eastAsia" w:ascii="宋体" w:hAnsi="宋体"/>
          <w:b/>
          <w:color w:val="auto"/>
          <w:szCs w:val="21"/>
          <w:highlight w:val="none"/>
        </w:rPr>
        <w:t>执业证或上岗证书、职称证书（如有）复印件或扫描件；</w:t>
      </w:r>
      <w:r>
        <w:rPr>
          <w:rFonts w:hint="eastAsia" w:ascii="宋体" w:hAnsi="宋体"/>
          <w:b/>
          <w:color w:val="auto"/>
          <w:szCs w:val="21"/>
          <w:highlight w:val="none"/>
          <w:lang w:eastAsia="zh-CN"/>
        </w:rPr>
        <w:t>提供以上人员由社保部门出具的供应商为其缴纳的</w:t>
      </w:r>
      <w:r>
        <w:rPr>
          <w:rFonts w:hint="eastAsia" w:ascii="宋体" w:hAnsi="宋体"/>
          <w:b/>
          <w:color w:val="auto"/>
          <w:szCs w:val="21"/>
          <w:highlight w:val="none"/>
          <w:lang w:val="en-US" w:eastAsia="zh-CN"/>
        </w:rPr>
        <w:t>开标截止时间前三个月内任意一个月养老保险证明复印件或扫描件</w:t>
      </w:r>
      <w:r>
        <w:rPr>
          <w:rFonts w:hint="eastAsia" w:ascii="宋体" w:hAnsi="宋体"/>
          <w:b/>
          <w:color w:val="auto"/>
          <w:szCs w:val="21"/>
          <w:highlight w:val="none"/>
          <w:lang w:eastAsia="zh-CN"/>
        </w:rPr>
        <w:t>；若为新进员工，请提供劳动合同复印件或扫描件</w:t>
      </w:r>
      <w:r>
        <w:rPr>
          <w:rFonts w:hint="eastAsia" w:ascii="宋体" w:hAnsi="宋体"/>
          <w:b/>
          <w:color w:val="auto"/>
          <w:szCs w:val="21"/>
          <w:highlight w:val="none"/>
        </w:rPr>
        <w:t>。</w:t>
      </w:r>
    </w:p>
    <w:p w14:paraId="65CDC819">
      <w:pPr>
        <w:widowControl/>
        <w:ind w:firstLine="3092" w:firstLineChars="1100"/>
        <w:jc w:val="left"/>
        <w:rPr>
          <w:rFonts w:hint="eastAsia" w:ascii="宋体" w:hAnsi="宋体" w:eastAsia="宋体" w:cs="宋体"/>
          <w:b/>
          <w:color w:val="auto"/>
          <w:kern w:val="0"/>
          <w:sz w:val="28"/>
          <w:szCs w:val="28"/>
          <w:highlight w:val="none"/>
          <w:lang w:bidi="ar"/>
        </w:rPr>
      </w:pPr>
    </w:p>
    <w:p w14:paraId="14D039FC">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613C100">
      <w:pPr>
        <w:snapToGrid w:val="0"/>
        <w:spacing w:line="400" w:lineRule="atLeast"/>
        <w:ind w:left="937" w:leftChars="446" w:firstLine="3255" w:firstLineChars="1550"/>
        <w:jc w:val="lef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p>
    <w:p w14:paraId="78A59AB1">
      <w:pPr>
        <w:snapToGrid w:val="0"/>
        <w:spacing w:line="300" w:lineRule="exact"/>
        <w:ind w:firstLine="3570" w:firstLineChars="1700"/>
        <w:rPr>
          <w:rFonts w:hint="eastAsia" w:ascii="宋体" w:hAnsi="宋体" w:eastAsia="宋体" w:cs="宋体"/>
          <w:color w:val="auto"/>
          <w:highlight w:val="none"/>
          <w:u w:val="single"/>
        </w:rPr>
      </w:pPr>
    </w:p>
    <w:p w14:paraId="61E2BCE3">
      <w:pPr>
        <w:pStyle w:val="2"/>
        <w:rPr>
          <w:rFonts w:hint="eastAsia" w:ascii="宋体" w:hAnsi="宋体" w:eastAsia="宋体" w:cs="宋体"/>
          <w:color w:val="auto"/>
          <w:highlight w:val="none"/>
          <w:u w:val="single"/>
        </w:rPr>
      </w:pPr>
    </w:p>
    <w:p w14:paraId="3A6583D0">
      <w:pPr>
        <w:pStyle w:val="2"/>
        <w:rPr>
          <w:rFonts w:hint="eastAsia" w:ascii="宋体" w:hAnsi="宋体" w:eastAsia="宋体" w:cs="宋体"/>
          <w:color w:val="auto"/>
          <w:highlight w:val="none"/>
          <w:u w:val="single"/>
        </w:rPr>
      </w:pPr>
    </w:p>
    <w:p w14:paraId="26167856">
      <w:pPr>
        <w:pStyle w:val="2"/>
        <w:rPr>
          <w:rFonts w:hint="eastAsia" w:ascii="宋体" w:hAnsi="宋体" w:eastAsia="宋体" w:cs="宋体"/>
          <w:b/>
          <w:bCs/>
          <w:color w:val="auto"/>
          <w:szCs w:val="21"/>
          <w:highlight w:val="none"/>
        </w:rPr>
      </w:pPr>
    </w:p>
    <w:p w14:paraId="0497191E">
      <w:pPr>
        <w:rPr>
          <w:rFonts w:hint="eastAsia" w:ascii="宋体" w:hAnsi="宋体" w:eastAsia="宋体" w:cs="宋体"/>
          <w:b/>
          <w:color w:val="auto"/>
          <w:sz w:val="28"/>
          <w:szCs w:val="28"/>
          <w:highlight w:val="none"/>
          <w:lang w:val="en-US" w:eastAsia="zh-CN"/>
        </w:rPr>
      </w:pPr>
      <w:bookmarkStart w:id="1172" w:name="_Toc31920"/>
      <w:bookmarkStart w:id="1173" w:name="_Toc13064"/>
      <w:r>
        <w:rPr>
          <w:rFonts w:hint="eastAsia" w:ascii="宋体" w:hAnsi="宋体" w:eastAsia="宋体" w:cs="宋体"/>
          <w:b/>
          <w:color w:val="auto"/>
          <w:sz w:val="28"/>
          <w:szCs w:val="28"/>
          <w:highlight w:val="none"/>
          <w:lang w:val="en-US" w:eastAsia="zh-CN"/>
        </w:rPr>
        <w:br w:type="page"/>
      </w:r>
    </w:p>
    <w:p w14:paraId="18DB26A2">
      <w:pPr>
        <w:numPr>
          <w:ilvl w:val="0"/>
          <w:numId w:val="0"/>
        </w:numPr>
        <w:spacing w:line="400" w:lineRule="exact"/>
        <w:outlineLvl w:val="1"/>
        <w:rPr>
          <w:rFonts w:hint="eastAsia" w:ascii="宋体" w:hAnsi="宋体" w:eastAsia="宋体" w:cs="宋体"/>
          <w:b/>
          <w:color w:val="auto"/>
          <w:sz w:val="28"/>
          <w:szCs w:val="28"/>
          <w:highlight w:val="none"/>
        </w:rPr>
      </w:pPr>
      <w:bookmarkStart w:id="1174" w:name="_Toc10745"/>
      <w:bookmarkStart w:id="1175" w:name="_Toc4756"/>
      <w:bookmarkStart w:id="1176" w:name="_Toc9716"/>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bookmarkEnd w:id="1172"/>
      <w:bookmarkEnd w:id="1173"/>
      <w:bookmarkEnd w:id="1174"/>
      <w:bookmarkEnd w:id="1175"/>
      <w:bookmarkEnd w:id="1176"/>
      <w:r>
        <w:rPr>
          <w:rFonts w:hint="eastAsia" w:ascii="宋体" w:hAnsi="宋体" w:eastAsia="宋体" w:cs="宋体"/>
          <w:b/>
          <w:color w:val="auto"/>
          <w:sz w:val="28"/>
          <w:szCs w:val="28"/>
          <w:highlight w:val="none"/>
          <w:lang w:val="en-US" w:eastAsia="zh-CN"/>
        </w:rPr>
        <w:t>施工组织设计（根据工程量清单及工程情况自行编制）（格式自拟，必须提供）</w:t>
      </w:r>
    </w:p>
    <w:p w14:paraId="06F9534E">
      <w:pPr>
        <w:snapToGrid w:val="0"/>
        <w:spacing w:line="400" w:lineRule="exact"/>
        <w:jc w:val="center"/>
        <w:outlineLvl w:val="9"/>
        <w:rPr>
          <w:rFonts w:hint="eastAsia" w:ascii="宋体" w:hAnsi="宋体" w:eastAsia="宋体" w:cs="宋体"/>
          <w:b/>
          <w:color w:val="auto"/>
          <w:sz w:val="28"/>
          <w:szCs w:val="28"/>
          <w:highlight w:val="none"/>
          <w:lang w:val="en-US" w:eastAsia="zh-CN"/>
        </w:rPr>
      </w:pPr>
    </w:p>
    <w:p w14:paraId="1062B39E">
      <w:pPr>
        <w:snapToGrid w:val="0"/>
        <w:spacing w:line="400" w:lineRule="exact"/>
        <w:jc w:val="center"/>
        <w:outlineLvl w:val="9"/>
        <w:rPr>
          <w:rFonts w:hint="eastAsia" w:ascii="宋体" w:hAnsi="宋体" w:cs="宋体"/>
          <w:b/>
          <w:color w:val="auto"/>
          <w:sz w:val="24"/>
          <w:szCs w:val="24"/>
          <w:highlight w:val="none"/>
          <w:lang w:val="en-US" w:eastAsia="zh-CN"/>
        </w:rPr>
      </w:pPr>
      <w:r>
        <w:rPr>
          <w:rFonts w:hint="eastAsia" w:ascii="宋体" w:hAnsi="宋体" w:eastAsia="宋体" w:cs="宋体"/>
          <w:b/>
          <w:color w:val="auto"/>
          <w:sz w:val="28"/>
          <w:szCs w:val="28"/>
          <w:highlight w:val="none"/>
          <w:lang w:val="en-US" w:eastAsia="zh-CN"/>
        </w:rPr>
        <w:t>施工组织设计</w:t>
      </w:r>
    </w:p>
    <w:p w14:paraId="753877DA">
      <w:pPr>
        <w:pStyle w:val="28"/>
        <w:numPr>
          <w:ilvl w:val="0"/>
          <w:numId w:val="0"/>
        </w:numPr>
        <w:spacing w:line="340" w:lineRule="exact"/>
        <w:rPr>
          <w:rFonts w:hint="eastAsia" w:ascii="宋体" w:hAnsi="宋体" w:eastAsia="宋体" w:cs="宋体"/>
          <w:b/>
          <w:color w:val="auto"/>
          <w:sz w:val="28"/>
          <w:szCs w:val="28"/>
          <w:highlight w:val="none"/>
          <w:lang w:val="en-US" w:eastAsia="zh-CN"/>
        </w:rPr>
      </w:pPr>
    </w:p>
    <w:p w14:paraId="5EB3DB38">
      <w:pPr>
        <w:numPr>
          <w:ilvl w:val="0"/>
          <w:numId w:val="0"/>
        </w:numPr>
        <w:spacing w:line="400" w:lineRule="exact"/>
        <w:outlineLvl w:val="1"/>
        <w:rPr>
          <w:rFonts w:hint="eastAsia" w:ascii="宋体" w:hAnsi="宋体" w:eastAsia="宋体" w:cs="宋体"/>
          <w:b/>
          <w:color w:val="auto"/>
          <w:sz w:val="28"/>
          <w:szCs w:val="28"/>
          <w:highlight w:val="none"/>
          <w:lang w:val="en-US" w:eastAsia="zh-CN"/>
        </w:rPr>
      </w:pPr>
    </w:p>
    <w:p w14:paraId="65FC0064">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74A2E5E">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bookmarkStart w:id="1177" w:name="_Toc226"/>
      <w:bookmarkStart w:id="1178" w:name="_Toc15169"/>
      <w:bookmarkStart w:id="1179" w:name="_Toc1099"/>
      <w:bookmarkStart w:id="1180" w:name="_Toc18938"/>
      <w:bookmarkStart w:id="1181" w:name="_Toc4253"/>
    </w:p>
    <w:p w14:paraId="5ABA5178">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highlight w:val="none"/>
          <w:u w:val="single"/>
        </w:rPr>
      </w:pPr>
    </w:p>
    <w:p w14:paraId="4897B1A6">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color w:val="auto"/>
          <w:highlight w:val="none"/>
          <w:u w:val="single"/>
        </w:rPr>
      </w:pPr>
    </w:p>
    <w:p w14:paraId="2D07F180">
      <w:pPr>
        <w:keepNext w:val="0"/>
        <w:keepLines w:val="0"/>
        <w:pageBreakBefore w:val="0"/>
        <w:widowControl w:val="0"/>
        <w:kinsoku/>
        <w:wordWrap/>
        <w:overflowPunct/>
        <w:topLinePunct w:val="0"/>
        <w:autoSpaceDE/>
        <w:autoSpaceDN/>
        <w:bidi w:val="0"/>
        <w:adjustRightInd/>
        <w:snapToGrid w:val="0"/>
        <w:spacing w:line="400" w:lineRule="atLeast"/>
        <w:ind w:left="0" w:leftChars="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服务承诺书（必须提供）</w:t>
      </w:r>
      <w:bookmarkEnd w:id="1177"/>
      <w:bookmarkEnd w:id="1178"/>
      <w:bookmarkEnd w:id="1179"/>
      <w:bookmarkEnd w:id="1180"/>
      <w:bookmarkEnd w:id="1181"/>
    </w:p>
    <w:p w14:paraId="24BFB8F3">
      <w:pPr>
        <w:pStyle w:val="70"/>
        <w:rPr>
          <w:rFonts w:hint="eastAsia"/>
          <w:color w:val="auto"/>
          <w:highlight w:val="none"/>
        </w:rPr>
      </w:pPr>
    </w:p>
    <w:p w14:paraId="656E76B5">
      <w:pPr>
        <w:pStyle w:val="28"/>
        <w:jc w:val="center"/>
        <w:rPr>
          <w:rFonts w:hint="eastAsia" w:hAnsi="宋体" w:cs="宋体"/>
          <w:color w:val="auto"/>
          <w:highlight w:val="none"/>
        </w:rPr>
      </w:pPr>
      <w:r>
        <w:rPr>
          <w:rFonts w:hint="eastAsia" w:ascii="宋体" w:hAnsi="宋体" w:eastAsia="宋体" w:cs="宋体"/>
          <w:b/>
          <w:color w:val="auto"/>
          <w:sz w:val="28"/>
          <w:szCs w:val="28"/>
          <w:highlight w:val="none"/>
          <w:lang w:val="en-US" w:eastAsia="zh-CN"/>
        </w:rPr>
        <w:t>工程</w:t>
      </w:r>
      <w:r>
        <w:rPr>
          <w:rFonts w:hint="eastAsia" w:ascii="宋体" w:hAnsi="宋体" w:eastAsia="宋体" w:cs="宋体"/>
          <w:b/>
          <w:bCs/>
          <w:color w:val="auto"/>
          <w:sz w:val="28"/>
          <w:szCs w:val="28"/>
          <w:highlight w:val="none"/>
          <w:lang w:val="en-US" w:eastAsia="zh-CN"/>
        </w:rPr>
        <w:t>完工</w:t>
      </w:r>
      <w:r>
        <w:rPr>
          <w:rFonts w:hint="eastAsia" w:ascii="宋体" w:hAnsi="宋体" w:eastAsia="宋体" w:cs="宋体"/>
          <w:b/>
          <w:color w:val="auto"/>
          <w:sz w:val="28"/>
          <w:szCs w:val="28"/>
          <w:highlight w:val="none"/>
          <w:lang w:val="en-US" w:eastAsia="zh-CN"/>
        </w:rPr>
        <w:t>服务承诺书</w:t>
      </w:r>
    </w:p>
    <w:p w14:paraId="7BFBDB90">
      <w:pPr>
        <w:widowControl/>
        <w:jc w:val="left"/>
        <w:rPr>
          <w:rFonts w:hint="eastAsia" w:ascii="宋体" w:hAnsi="宋体" w:eastAsia="宋体" w:cs="宋体"/>
          <w:color w:val="auto"/>
          <w:szCs w:val="21"/>
          <w:highlight w:val="none"/>
          <w:lang w:eastAsia="zh-CN"/>
        </w:rPr>
      </w:pPr>
    </w:p>
    <w:p w14:paraId="0F45A80A">
      <w:pPr>
        <w:pStyle w:val="70"/>
        <w:rPr>
          <w:rFonts w:hint="eastAsia"/>
          <w:color w:val="auto"/>
          <w:highlight w:val="none"/>
          <w:lang w:eastAsia="zh-CN"/>
        </w:rPr>
      </w:pPr>
    </w:p>
    <w:p w14:paraId="49174136">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BC758F3">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56912C5F">
      <w:pPr>
        <w:rPr>
          <w:rFonts w:hint="eastAsia"/>
          <w:color w:val="auto"/>
          <w:highlight w:val="none"/>
        </w:rPr>
      </w:pPr>
    </w:p>
    <w:p w14:paraId="5420BF9B">
      <w:pPr>
        <w:spacing w:line="420" w:lineRule="exact"/>
        <w:rPr>
          <w:rFonts w:hint="eastAsia" w:ascii="宋体" w:hAnsi="宋体" w:eastAsia="宋体" w:cs="宋体"/>
          <w:b/>
          <w:color w:val="auto"/>
          <w:sz w:val="28"/>
          <w:szCs w:val="28"/>
          <w:highlight w:val="none"/>
          <w:lang w:val="en-US" w:eastAsia="zh-CN"/>
        </w:rPr>
      </w:pPr>
    </w:p>
    <w:p w14:paraId="60BC79A7">
      <w:pPr>
        <w:pStyle w:val="34"/>
        <w:rPr>
          <w:rFonts w:hint="eastAsia"/>
          <w:color w:val="auto"/>
          <w:highlight w:val="none"/>
          <w:lang w:val="en-US" w:eastAsia="zh-CN"/>
        </w:rPr>
      </w:pPr>
    </w:p>
    <w:p w14:paraId="3478F1E4">
      <w:pPr>
        <w:numPr>
          <w:ilvl w:val="0"/>
          <w:numId w:val="0"/>
        </w:numPr>
        <w:spacing w:line="400" w:lineRule="exact"/>
        <w:outlineLvl w:val="1"/>
        <w:rPr>
          <w:rFonts w:hint="eastAsia" w:ascii="宋体" w:hAnsi="宋体" w:eastAsia="宋体" w:cs="宋体"/>
          <w:b/>
          <w:color w:val="auto"/>
          <w:sz w:val="28"/>
          <w:szCs w:val="28"/>
          <w:highlight w:val="none"/>
          <w:lang w:val="en-US" w:eastAsia="zh-CN"/>
        </w:rPr>
      </w:pPr>
      <w:bookmarkStart w:id="1182" w:name="_Toc31962"/>
      <w:bookmarkStart w:id="1183" w:name="_Toc24798"/>
      <w:bookmarkStart w:id="1184" w:name="_Toc1043"/>
      <w:bookmarkStart w:id="1185" w:name="_Toc32582"/>
      <w:bookmarkStart w:id="1186" w:name="_Toc26788"/>
      <w:bookmarkStart w:id="1187" w:name="_Toc330"/>
      <w:bookmarkStart w:id="1188" w:name="_Toc27687"/>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工资保障金交纳与使用承诺书（必须提供）</w:t>
      </w:r>
      <w:bookmarkEnd w:id="1182"/>
      <w:bookmarkEnd w:id="1183"/>
      <w:bookmarkEnd w:id="1184"/>
      <w:bookmarkEnd w:id="1185"/>
      <w:bookmarkEnd w:id="1186"/>
      <w:bookmarkEnd w:id="1187"/>
      <w:bookmarkEnd w:id="1188"/>
    </w:p>
    <w:p w14:paraId="614C8D6D">
      <w:pPr>
        <w:spacing w:line="420" w:lineRule="exact"/>
        <w:ind w:firstLine="562" w:firstLineChars="200"/>
        <w:jc w:val="center"/>
        <w:rPr>
          <w:rFonts w:hint="eastAsia" w:ascii="宋体" w:hAnsi="宋体" w:cs="宋体"/>
          <w:b/>
          <w:color w:val="auto"/>
          <w:kern w:val="0"/>
          <w:sz w:val="24"/>
          <w:szCs w:val="24"/>
          <w:highlight w:val="none"/>
        </w:rPr>
      </w:pPr>
      <w:r>
        <w:rPr>
          <w:rFonts w:hint="eastAsia" w:ascii="宋体" w:hAnsi="宋体" w:eastAsia="宋体" w:cs="宋体"/>
          <w:b/>
          <w:bCs/>
          <w:color w:val="auto"/>
          <w:sz w:val="28"/>
          <w:szCs w:val="28"/>
          <w:highlight w:val="none"/>
          <w:lang w:val="en-US" w:eastAsia="zh-CN"/>
        </w:rPr>
        <w:t>农民工</w:t>
      </w:r>
      <w:r>
        <w:rPr>
          <w:rFonts w:hint="eastAsia" w:ascii="宋体" w:hAnsi="宋体" w:eastAsia="宋体" w:cs="宋体"/>
          <w:b/>
          <w:color w:val="auto"/>
          <w:sz w:val="28"/>
          <w:szCs w:val="28"/>
          <w:highlight w:val="none"/>
          <w:lang w:val="en-US" w:eastAsia="zh-CN"/>
        </w:rPr>
        <w:t>工资保障金交纳与使用承诺书</w:t>
      </w:r>
    </w:p>
    <w:p w14:paraId="6BC1E1BA">
      <w:pPr>
        <w:spacing w:line="420" w:lineRule="exact"/>
        <w:rPr>
          <w:rFonts w:hint="eastAsia" w:ascii="宋体" w:hAnsi="宋体" w:cs="宋体"/>
          <w:color w:val="auto"/>
          <w:kern w:val="0"/>
          <w:szCs w:val="21"/>
          <w:highlight w:val="none"/>
        </w:rPr>
      </w:pPr>
    </w:p>
    <w:p w14:paraId="18FB884C">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val="en-US" w:eastAsia="zh-CN"/>
        </w:rPr>
        <w:t>桂林聚格项目管理有限公司</w:t>
      </w:r>
    </w:p>
    <w:p w14:paraId="0D5035E8">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533C7116">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4431DDD2">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2AA1B1B0">
      <w:pPr>
        <w:keepNext w:val="0"/>
        <w:keepLines w:val="0"/>
        <w:pageBreakBefore w:val="0"/>
        <w:widowControl w:val="0"/>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0926AC7D">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highlight w:val="none"/>
        </w:rPr>
      </w:pPr>
      <w:r>
        <w:rPr>
          <w:rFonts w:hint="eastAsia" w:ascii="宋体" w:hAnsi="宋体" w:cs="宋体"/>
          <w:color w:val="auto"/>
          <w:kern w:val="0"/>
          <w:szCs w:val="21"/>
          <w:highlight w:val="none"/>
        </w:rPr>
        <w:t>4.如我方不按时、足额存入农民工工资保证金，采购人有权取消我方承包资格。</w:t>
      </w:r>
    </w:p>
    <w:p w14:paraId="4C869E7D">
      <w:pPr>
        <w:pStyle w:val="28"/>
        <w:spacing w:line="340" w:lineRule="exact"/>
        <w:rPr>
          <w:rFonts w:hint="eastAsia" w:ascii="宋体" w:hAnsi="宋体" w:eastAsia="宋体" w:cs="宋体"/>
          <w:b/>
          <w:color w:val="auto"/>
          <w:sz w:val="28"/>
          <w:szCs w:val="28"/>
          <w:highlight w:val="none"/>
        </w:rPr>
      </w:pPr>
    </w:p>
    <w:p w14:paraId="2589920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1189" w:name="_Toc497927084"/>
      <w:bookmarkStart w:id="1190" w:name="_Toc9339"/>
      <w:bookmarkStart w:id="1191" w:name="_Toc28672"/>
    </w:p>
    <w:p w14:paraId="415CD9FA">
      <w:pPr>
        <w:snapToGrid w:val="0"/>
        <w:spacing w:line="400" w:lineRule="atLeast"/>
        <w:ind w:firstLine="3780" w:firstLineChars="180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4279CA1">
      <w:pPr>
        <w:snapToGrid w:val="0"/>
        <w:spacing w:line="400" w:lineRule="atLeast"/>
        <w:ind w:left="937" w:leftChars="446" w:firstLine="3255" w:firstLineChars="1550"/>
        <w:jc w:val="left"/>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5867653C">
      <w:pPr>
        <w:pStyle w:val="34"/>
        <w:rPr>
          <w:rFonts w:hint="eastAsia" w:ascii="宋体" w:hAnsi="宋体" w:eastAsia="宋体" w:cs="宋体"/>
          <w:b/>
          <w:color w:val="auto"/>
          <w:sz w:val="28"/>
          <w:szCs w:val="28"/>
          <w:highlight w:val="none"/>
          <w:lang w:val="en-US" w:eastAsia="zh-CN"/>
        </w:rPr>
      </w:pPr>
    </w:p>
    <w:p w14:paraId="61CDA84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1"/>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br w:type="page"/>
      </w:r>
      <w:bookmarkStart w:id="1192" w:name="_Toc26970"/>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1189"/>
      <w:bookmarkEnd w:id="1190"/>
      <w:bookmarkEnd w:id="1191"/>
      <w:bookmarkEnd w:id="1192"/>
    </w:p>
    <w:p w14:paraId="26155155">
      <w:pPr>
        <w:numPr>
          <w:ilvl w:val="0"/>
          <w:numId w:val="0"/>
        </w:numPr>
        <w:spacing w:line="360" w:lineRule="auto"/>
        <w:rPr>
          <w:rFonts w:hint="eastAsia" w:ascii="宋体" w:hAnsi="宋体" w:eastAsia="宋体" w:cs="宋体"/>
          <w:color w:val="auto"/>
          <w:sz w:val="21"/>
          <w:szCs w:val="21"/>
          <w:highlight w:val="none"/>
          <w:lang w:val="en-US" w:eastAsia="zh-CN"/>
        </w:rPr>
      </w:pPr>
    </w:p>
    <w:p w14:paraId="08D84861">
      <w:pPr>
        <w:numPr>
          <w:ilvl w:val="0"/>
          <w:numId w:val="0"/>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lang w:eastAsia="zh-CN"/>
        </w:rPr>
        <w:t>供应商2021年1月1日以来具有同类</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的业绩相关证明材料（无不良记录，以中标、成交通知书或签订的合同为准，并能清晰反映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（如有，请提供）；</w:t>
      </w:r>
    </w:p>
    <w:p w14:paraId="709055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14:paraId="08F3780D">
      <w:pPr>
        <w:spacing w:line="360" w:lineRule="auto"/>
        <w:ind w:firstLine="480" w:firstLineChars="200"/>
        <w:rPr>
          <w:rFonts w:hint="eastAsia" w:ascii="宋体" w:hAnsi="宋体" w:eastAsia="宋体" w:cs="宋体"/>
          <w:color w:val="auto"/>
          <w:sz w:val="24"/>
          <w:highlight w:val="none"/>
        </w:rPr>
      </w:pPr>
    </w:p>
    <w:p w14:paraId="02BA4A5D">
      <w:pPr>
        <w:pStyle w:val="69"/>
        <w:rPr>
          <w:rFonts w:hint="eastAsia" w:ascii="宋体" w:hAnsi="宋体" w:eastAsia="宋体" w:cs="宋体"/>
          <w:b/>
          <w:bCs/>
          <w:color w:val="auto"/>
          <w:sz w:val="24"/>
          <w:highlight w:val="none"/>
        </w:rPr>
      </w:pPr>
    </w:p>
    <w:p w14:paraId="2DF2AB7C">
      <w:pPr>
        <w:pStyle w:val="69"/>
        <w:rPr>
          <w:rFonts w:hint="eastAsia" w:ascii="宋体" w:hAnsi="宋体" w:eastAsia="宋体" w:cs="宋体"/>
          <w:b/>
          <w:bCs/>
          <w:color w:val="auto"/>
          <w:sz w:val="24"/>
          <w:highlight w:val="none"/>
        </w:rPr>
      </w:pPr>
    </w:p>
    <w:p w14:paraId="74278247">
      <w:pPr>
        <w:pStyle w:val="69"/>
        <w:rPr>
          <w:rFonts w:hint="eastAsia" w:ascii="宋体" w:hAnsi="宋体" w:eastAsia="宋体" w:cs="宋体"/>
          <w:b/>
          <w:bCs/>
          <w:color w:val="auto"/>
          <w:sz w:val="24"/>
          <w:highlight w:val="none"/>
        </w:rPr>
      </w:pPr>
    </w:p>
    <w:p w14:paraId="1AC31D4A">
      <w:pPr>
        <w:pStyle w:val="69"/>
        <w:rPr>
          <w:rFonts w:hint="eastAsia" w:ascii="宋体" w:hAnsi="宋体" w:eastAsia="宋体" w:cs="宋体"/>
          <w:b/>
          <w:bCs/>
          <w:color w:val="auto"/>
          <w:sz w:val="24"/>
          <w:highlight w:val="none"/>
        </w:rPr>
      </w:pPr>
    </w:p>
    <w:p w14:paraId="5085ED8B">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br w:type="page"/>
      </w:r>
      <w:bookmarkStart w:id="1193" w:name="_Toc4151"/>
      <w:bookmarkStart w:id="1194" w:name="_Toc6063"/>
      <w:bookmarkStart w:id="1195" w:name="_Toc6250"/>
      <w:bookmarkStart w:id="1196" w:name="_Toc13907"/>
      <w:bookmarkStart w:id="1197" w:name="_Toc4954"/>
      <w:r>
        <w:rPr>
          <w:rFonts w:hint="eastAsia" w:ascii="宋体" w:hAnsi="宋体" w:eastAsia="宋体" w:cs="宋体"/>
          <w:b/>
          <w:bCs/>
          <w:iCs/>
          <w:color w:val="auto"/>
          <w:kern w:val="2"/>
          <w:sz w:val="28"/>
          <w:szCs w:val="28"/>
          <w:highlight w:val="none"/>
          <w:lang w:val="en-US" w:eastAsia="zh-CN" w:bidi="ar-SA"/>
        </w:rPr>
        <w:t>1.</w:t>
      </w:r>
      <w:bookmarkEnd w:id="1193"/>
      <w:bookmarkEnd w:id="1194"/>
      <w:bookmarkEnd w:id="1195"/>
      <w:bookmarkEnd w:id="1196"/>
      <w:bookmarkEnd w:id="1197"/>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2021年1月1日以来</w:t>
      </w:r>
      <w:r>
        <w:rPr>
          <w:rFonts w:hint="eastAsia" w:ascii="宋体" w:hAnsi="宋体" w:eastAsia="宋体" w:cs="宋体"/>
          <w:b/>
          <w:bCs/>
          <w:iCs/>
          <w:color w:val="auto"/>
          <w:kern w:val="2"/>
          <w:sz w:val="28"/>
          <w:szCs w:val="28"/>
          <w:highlight w:val="none"/>
          <w:lang w:val="en-US" w:eastAsia="zh-CN" w:bidi="ar-SA"/>
        </w:rPr>
        <w:t>具有同类项目的业绩相关证明材料（无不良记录，以中标、成交通知书或签订的合同为准，并能清晰反映项目的名称、采购内容、采购金额、采购时间）（如有，请提供）</w:t>
      </w:r>
    </w:p>
    <w:p w14:paraId="57A96B6F">
      <w:pPr>
        <w:rPr>
          <w:rFonts w:hint="eastAsia"/>
          <w:color w:val="auto"/>
          <w:highlight w:val="none"/>
          <w:lang w:val="en-US" w:eastAsia="zh-CN"/>
        </w:rPr>
      </w:pPr>
    </w:p>
    <w:p w14:paraId="2E6E66FF">
      <w:pPr>
        <w:rPr>
          <w:rFonts w:hint="eastAsia"/>
          <w:color w:val="auto"/>
          <w:highlight w:val="none"/>
          <w:lang w:val="en-US" w:eastAsia="zh-CN"/>
        </w:rPr>
      </w:pPr>
    </w:p>
    <w:p w14:paraId="16460E7A">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36B2EF72">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3CF5C366">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宋体" w:hAnsi="宋体" w:eastAsia="宋体" w:cs="宋体"/>
          <w:b w:val="0"/>
          <w:bCs/>
          <w:color w:val="auto"/>
          <w:kern w:val="0"/>
          <w:sz w:val="28"/>
          <w:szCs w:val="28"/>
          <w:highlight w:val="none"/>
          <w:lang w:val="en-US" w:eastAsia="zh-CN"/>
        </w:rPr>
      </w:pPr>
    </w:p>
    <w:p w14:paraId="127320A7">
      <w:pPr>
        <w:spacing w:line="240" w:lineRule="auto"/>
        <w:outlineLvl w:val="1"/>
        <w:rPr>
          <w:rFonts w:hint="eastAsia" w:ascii="宋体" w:hAnsi="宋体" w:eastAsia="宋体" w:cs="宋体"/>
          <w:b/>
          <w:bCs/>
          <w:iCs/>
          <w:color w:val="auto"/>
          <w:kern w:val="2"/>
          <w:sz w:val="28"/>
          <w:szCs w:val="28"/>
          <w:highlight w:val="none"/>
          <w:lang w:val="en-US" w:eastAsia="zh-CN" w:bidi="ar-SA"/>
        </w:rPr>
      </w:pPr>
      <w:bookmarkStart w:id="1198" w:name="_Toc30255"/>
      <w:bookmarkStart w:id="1199" w:name="_Toc15093"/>
      <w:bookmarkStart w:id="1200" w:name="_Toc21043"/>
      <w:bookmarkStart w:id="1201" w:name="_Toc21485"/>
      <w:bookmarkStart w:id="1202" w:name="_Toc17885"/>
      <w:r>
        <w:rPr>
          <w:rFonts w:hint="eastAsia" w:ascii="宋体" w:hAnsi="宋体" w:cs="宋体"/>
          <w:b/>
          <w:bCs/>
          <w:iCs/>
          <w:color w:val="auto"/>
          <w:kern w:val="2"/>
          <w:sz w:val="28"/>
          <w:szCs w:val="28"/>
          <w:highlight w:val="none"/>
          <w:lang w:val="en-US" w:eastAsia="zh-CN" w:bidi="ar-SA"/>
        </w:rPr>
        <w:t>2</w:t>
      </w:r>
      <w:r>
        <w:rPr>
          <w:rFonts w:hint="eastAsia" w:ascii="宋体" w:hAnsi="宋体" w:eastAsia="宋体" w:cs="宋体"/>
          <w:b/>
          <w:bCs/>
          <w:iCs/>
          <w:color w:val="auto"/>
          <w:kern w:val="2"/>
          <w:sz w:val="28"/>
          <w:szCs w:val="28"/>
          <w:highlight w:val="none"/>
          <w:lang w:val="en-US" w:eastAsia="zh-CN" w:bidi="ar-SA"/>
        </w:rPr>
        <w:t>.</w:t>
      </w:r>
      <w:bookmarkEnd w:id="1198"/>
      <w:bookmarkEnd w:id="1199"/>
      <w:bookmarkEnd w:id="1200"/>
      <w:bookmarkEnd w:id="1201"/>
      <w:bookmarkEnd w:id="1202"/>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供应商可结合本项目的评审办法视自身情况自行提交其它相关证明材料（如有，请提供）</w:t>
      </w:r>
    </w:p>
    <w:p w14:paraId="03623C6D">
      <w:pPr>
        <w:bidi w:val="0"/>
        <w:rPr>
          <w:rFonts w:hint="default"/>
          <w:color w:val="auto"/>
          <w:highlight w:val="none"/>
          <w:lang w:val="en-US" w:eastAsia="zh-CN"/>
        </w:rPr>
      </w:pPr>
    </w:p>
    <w:p w14:paraId="6560E054">
      <w:pPr>
        <w:rPr>
          <w:rFonts w:hint="default"/>
          <w:color w:val="auto"/>
          <w:highlight w:val="none"/>
          <w:lang w:val="en-US" w:eastAsia="zh-CN"/>
        </w:rPr>
      </w:pPr>
    </w:p>
    <w:p w14:paraId="6AABC002">
      <w:pPr>
        <w:rPr>
          <w:rFonts w:hint="default"/>
          <w:color w:val="auto"/>
          <w:highlight w:val="none"/>
          <w:lang w:val="en-US" w:eastAsia="zh-CN"/>
        </w:rPr>
      </w:pPr>
    </w:p>
    <w:p w14:paraId="61BBF1E9">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1203" w:name="_Toc16390"/>
      <w:bookmarkStart w:id="1204" w:name="_Toc6973"/>
      <w:bookmarkStart w:id="1205" w:name="_Toc2237"/>
      <w:bookmarkStart w:id="1206" w:name="_Toc12385"/>
      <w:bookmarkStart w:id="1207" w:name="_Toc22545"/>
      <w:bookmarkStart w:id="1208" w:name="_Toc18780"/>
      <w:bookmarkStart w:id="1209" w:name="_Toc16284"/>
      <w:bookmarkStart w:id="1210" w:name="_Toc1637952"/>
      <w:r>
        <w:rPr>
          <w:rFonts w:hint="eastAsia" w:ascii="华文中宋" w:hAnsi="华文中宋" w:eastAsia="华文中宋" w:cs="华文中宋"/>
          <w:b/>
          <w:bCs/>
          <w:color w:val="auto"/>
          <w:kern w:val="2"/>
          <w:sz w:val="32"/>
          <w:szCs w:val="32"/>
          <w:highlight w:val="none"/>
          <w:lang w:val="en-US" w:eastAsia="zh-CN" w:bidi="ar-SA"/>
        </w:rPr>
        <w:br w:type="page"/>
      </w:r>
      <w:bookmarkStart w:id="1211" w:name="_Toc13075"/>
      <w:r>
        <w:rPr>
          <w:rFonts w:hint="eastAsia" w:ascii="华文中宋" w:hAnsi="华文中宋" w:eastAsia="华文中宋" w:cs="华文中宋"/>
          <w:b/>
          <w:bCs/>
          <w:color w:val="auto"/>
          <w:kern w:val="2"/>
          <w:sz w:val="32"/>
          <w:szCs w:val="32"/>
          <w:highlight w:val="none"/>
          <w:lang w:val="en-US" w:eastAsia="zh-CN" w:bidi="ar-SA"/>
        </w:rPr>
        <w:t>第七章  图纸</w:t>
      </w:r>
      <w:bookmarkEnd w:id="1203"/>
      <w:bookmarkEnd w:id="1204"/>
      <w:bookmarkEnd w:id="1205"/>
      <w:bookmarkEnd w:id="1206"/>
      <w:bookmarkEnd w:id="1207"/>
      <w:bookmarkEnd w:id="1208"/>
      <w:bookmarkEnd w:id="1209"/>
      <w:bookmarkEnd w:id="1211"/>
    </w:p>
    <w:bookmarkEnd w:id="1210"/>
    <w:p w14:paraId="78E7B7B5">
      <w:pPr>
        <w:jc w:val="center"/>
        <w:rPr>
          <w:rFonts w:hint="eastAsia"/>
          <w:color w:val="auto"/>
          <w:highlight w:val="none"/>
        </w:rPr>
      </w:pPr>
    </w:p>
    <w:p w14:paraId="50CBC45A">
      <w:pPr>
        <w:ind w:left="0" w:leftChars="0" w:right="0" w:rightChars="0" w:firstLine="0" w:firstLineChars="0"/>
        <w:jc w:val="center"/>
        <w:rPr>
          <w:rFonts w:hint="eastAsia" w:ascii="宋体" w:hAnsi="宋体" w:eastAsia="宋体" w:cs="宋体"/>
          <w:b/>
          <w:color w:val="auto"/>
          <w:kern w:val="0"/>
          <w:sz w:val="24"/>
          <w:highlight w:val="none"/>
        </w:rPr>
      </w:pPr>
      <w:bookmarkStart w:id="1212" w:name="_Toc16907"/>
      <w:bookmarkStart w:id="1213" w:name="_Toc11205"/>
      <w:r>
        <w:rPr>
          <w:rFonts w:hint="eastAsia" w:ascii="宋体" w:hAnsi="宋体" w:eastAsia="宋体" w:cs="宋体"/>
          <w:b/>
          <w:color w:val="auto"/>
          <w:kern w:val="0"/>
          <w:sz w:val="24"/>
          <w:highlight w:val="none"/>
        </w:rPr>
        <w:t>另附</w:t>
      </w:r>
      <w:bookmarkEnd w:id="1212"/>
      <w:bookmarkEnd w:id="1213"/>
    </w:p>
    <w:p w14:paraId="7A0CCB26">
      <w:pPr>
        <w:ind w:left="0" w:leftChars="0" w:right="0" w:rightChars="0" w:firstLine="0" w:firstLineChars="0"/>
        <w:jc w:val="both"/>
        <w:rPr>
          <w:rFonts w:hint="default"/>
          <w:color w:val="auto"/>
          <w:highlight w:val="none"/>
          <w:lang w:val="en-US" w:eastAsia="zh-CN"/>
        </w:rPr>
      </w:pPr>
    </w:p>
    <w:sectPr>
      <w:headerReference r:id="rId7" w:type="default"/>
      <w:footerReference r:id="rId8"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9F9B">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AED04">
                          <w:pPr>
                            <w:pStyle w:val="3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5D8AED04">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7B92">
    <w:pPr>
      <w:pStyle w:val="3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DA19B">
                          <w:pPr>
                            <w:pStyle w:val="3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34EDA19B">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D237">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63F43">
                          <w:pPr>
                            <w:pStyle w:val="3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00B63F43">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7E8F">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AE3F3">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31AAE3F3">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E143">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AF4A3">
                          <w:pPr>
                            <w:pStyle w:val="34"/>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231AF4A3">
                    <w:pPr>
                      <w:pStyle w:val="34"/>
                    </w:pPr>
                    <w:r>
                      <w:fldChar w:fldCharType="begin"/>
                    </w:r>
                    <w:r>
                      <w:instrText xml:space="preserve"> PAGE  \* MERGEFORMAT </w:instrText>
                    </w:r>
                    <w:r>
                      <w:fldChar w:fldCharType="separate"/>
                    </w:r>
                    <w:r>
                      <w:t>64</w:t>
                    </w:r>
                    <w:r>
                      <w:fldChar w:fldCharType="end"/>
                    </w:r>
                  </w:p>
                </w:txbxContent>
              </v:textbox>
            </v:shape>
          </w:pict>
        </mc:Fallback>
      </mc:AlternateContent>
    </w:r>
  </w:p>
  <w:p w14:paraId="6D3AB73E">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A74B">
    <w:pPr>
      <w:pStyle w:val="3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3616"/>
    <w:multiLevelType w:val="singleLevel"/>
    <w:tmpl w:val="AE873616"/>
    <w:lvl w:ilvl="0" w:tentative="0">
      <w:start w:val="5"/>
      <w:numFmt w:val="decimal"/>
      <w:suff w:val="space"/>
      <w:lvlText w:val="%1."/>
      <w:lvlJc w:val="left"/>
    </w:lvl>
  </w:abstractNum>
  <w:abstractNum w:abstractNumId="1">
    <w:nsid w:val="DF1D21AD"/>
    <w:multiLevelType w:val="singleLevel"/>
    <w:tmpl w:val="DF1D21AD"/>
    <w:lvl w:ilvl="0" w:tentative="0">
      <w:start w:val="31"/>
      <w:numFmt w:val="decimal"/>
      <w:suff w:val="space"/>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5">
    <w:nsid w:val="40D69635"/>
    <w:multiLevelType w:val="singleLevel"/>
    <w:tmpl w:val="40D69635"/>
    <w:lvl w:ilvl="0" w:tentative="0">
      <w:start w:val="1"/>
      <w:numFmt w:val="chineseCounting"/>
      <w:suff w:val="nothing"/>
      <w:lvlText w:val="（%1）"/>
      <w:lvlJc w:val="left"/>
      <w:rPr>
        <w:rFonts w:hint="eastAsia"/>
      </w:rPr>
    </w:lvl>
  </w:abstractNum>
  <w:abstractNum w:abstractNumId="6">
    <w:nsid w:val="6D4FA51F"/>
    <w:multiLevelType w:val="singleLevel"/>
    <w:tmpl w:val="6D4FA51F"/>
    <w:lvl w:ilvl="0" w:tentative="0">
      <w:start w:val="26"/>
      <w:numFmt w:val="decimal"/>
      <w:suff w:val="space"/>
      <w:lvlText w:val="%1."/>
      <w:lvlJc w:val="left"/>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2ExMGEyZTAwYjc0YzQ2MmE5OTNiZTI2NzFmZTY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33B96"/>
    <w:rsid w:val="00143300"/>
    <w:rsid w:val="00146FCC"/>
    <w:rsid w:val="00150620"/>
    <w:rsid w:val="001518F2"/>
    <w:rsid w:val="00176A20"/>
    <w:rsid w:val="00181FDA"/>
    <w:rsid w:val="00182959"/>
    <w:rsid w:val="00185AFE"/>
    <w:rsid w:val="00186BF0"/>
    <w:rsid w:val="00190D1C"/>
    <w:rsid w:val="001953A0"/>
    <w:rsid w:val="00196424"/>
    <w:rsid w:val="001A05FF"/>
    <w:rsid w:val="001A1D20"/>
    <w:rsid w:val="001B399B"/>
    <w:rsid w:val="001B587B"/>
    <w:rsid w:val="001B68A2"/>
    <w:rsid w:val="001C5FFC"/>
    <w:rsid w:val="001F0439"/>
    <w:rsid w:val="001F12DB"/>
    <w:rsid w:val="001F1C5F"/>
    <w:rsid w:val="001F2EC1"/>
    <w:rsid w:val="00200AD6"/>
    <w:rsid w:val="002146AC"/>
    <w:rsid w:val="0022120F"/>
    <w:rsid w:val="00234289"/>
    <w:rsid w:val="00234F73"/>
    <w:rsid w:val="00236FF0"/>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7131"/>
    <w:rsid w:val="008D7486"/>
    <w:rsid w:val="008E1CB2"/>
    <w:rsid w:val="008E6AFF"/>
    <w:rsid w:val="008F1FDB"/>
    <w:rsid w:val="008F32EE"/>
    <w:rsid w:val="008F4CB9"/>
    <w:rsid w:val="00902716"/>
    <w:rsid w:val="0090616B"/>
    <w:rsid w:val="009202A3"/>
    <w:rsid w:val="00924030"/>
    <w:rsid w:val="00951FCC"/>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83AD0"/>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17C10"/>
    <w:rsid w:val="00B2179F"/>
    <w:rsid w:val="00B306D5"/>
    <w:rsid w:val="00B32474"/>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51682"/>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C5E6F"/>
    <w:rsid w:val="00DD1CAC"/>
    <w:rsid w:val="00DD2234"/>
    <w:rsid w:val="00DD455D"/>
    <w:rsid w:val="00DD7941"/>
    <w:rsid w:val="00DE1928"/>
    <w:rsid w:val="00DE6D5C"/>
    <w:rsid w:val="00DF03C7"/>
    <w:rsid w:val="00DF1BF0"/>
    <w:rsid w:val="00DF1FAE"/>
    <w:rsid w:val="00DF6431"/>
    <w:rsid w:val="00E05419"/>
    <w:rsid w:val="00E05EA8"/>
    <w:rsid w:val="00E0605C"/>
    <w:rsid w:val="00E16991"/>
    <w:rsid w:val="00E26490"/>
    <w:rsid w:val="00E30130"/>
    <w:rsid w:val="00E43258"/>
    <w:rsid w:val="00E56063"/>
    <w:rsid w:val="00E576DD"/>
    <w:rsid w:val="00E57853"/>
    <w:rsid w:val="00E67600"/>
    <w:rsid w:val="00E75742"/>
    <w:rsid w:val="00E86CAC"/>
    <w:rsid w:val="00E953CB"/>
    <w:rsid w:val="00E96A11"/>
    <w:rsid w:val="00EA058C"/>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4049"/>
    <w:rsid w:val="00FF5475"/>
    <w:rsid w:val="00FF55B1"/>
    <w:rsid w:val="00FF7A8A"/>
    <w:rsid w:val="010333FC"/>
    <w:rsid w:val="012071AD"/>
    <w:rsid w:val="013712F7"/>
    <w:rsid w:val="01543C57"/>
    <w:rsid w:val="01791991"/>
    <w:rsid w:val="01896E60"/>
    <w:rsid w:val="019F1BEA"/>
    <w:rsid w:val="01A32A0C"/>
    <w:rsid w:val="01B97AC1"/>
    <w:rsid w:val="01BC366C"/>
    <w:rsid w:val="01E04C9E"/>
    <w:rsid w:val="01FC10EF"/>
    <w:rsid w:val="020C43CC"/>
    <w:rsid w:val="021871C8"/>
    <w:rsid w:val="02342041"/>
    <w:rsid w:val="02532161"/>
    <w:rsid w:val="025D08EA"/>
    <w:rsid w:val="026E54F6"/>
    <w:rsid w:val="028E4F47"/>
    <w:rsid w:val="029727B7"/>
    <w:rsid w:val="02C804A1"/>
    <w:rsid w:val="02D23086"/>
    <w:rsid w:val="02F32FFC"/>
    <w:rsid w:val="02FE3E7B"/>
    <w:rsid w:val="03046B20"/>
    <w:rsid w:val="03165668"/>
    <w:rsid w:val="033B5B99"/>
    <w:rsid w:val="0360556D"/>
    <w:rsid w:val="036068E4"/>
    <w:rsid w:val="037631EF"/>
    <w:rsid w:val="03830824"/>
    <w:rsid w:val="038C592B"/>
    <w:rsid w:val="0394000D"/>
    <w:rsid w:val="03993BA4"/>
    <w:rsid w:val="03B44752"/>
    <w:rsid w:val="03C31792"/>
    <w:rsid w:val="041B6CAE"/>
    <w:rsid w:val="045C444A"/>
    <w:rsid w:val="046B56CD"/>
    <w:rsid w:val="046D17C2"/>
    <w:rsid w:val="04785EAF"/>
    <w:rsid w:val="047D1717"/>
    <w:rsid w:val="048159B7"/>
    <w:rsid w:val="048E3466"/>
    <w:rsid w:val="048F3F30"/>
    <w:rsid w:val="049B394B"/>
    <w:rsid w:val="04A034A9"/>
    <w:rsid w:val="04A362D9"/>
    <w:rsid w:val="04A50C67"/>
    <w:rsid w:val="04B861EF"/>
    <w:rsid w:val="04C609C8"/>
    <w:rsid w:val="04ED064B"/>
    <w:rsid w:val="04EE2BBA"/>
    <w:rsid w:val="04F512AE"/>
    <w:rsid w:val="04FE39CA"/>
    <w:rsid w:val="04FF5AEC"/>
    <w:rsid w:val="05090331"/>
    <w:rsid w:val="050F365D"/>
    <w:rsid w:val="055037B9"/>
    <w:rsid w:val="0556373A"/>
    <w:rsid w:val="05571F68"/>
    <w:rsid w:val="055D1B99"/>
    <w:rsid w:val="0569768E"/>
    <w:rsid w:val="05760640"/>
    <w:rsid w:val="057B0515"/>
    <w:rsid w:val="059D67A3"/>
    <w:rsid w:val="059E1945"/>
    <w:rsid w:val="05AF3B52"/>
    <w:rsid w:val="05B1175A"/>
    <w:rsid w:val="05BB42A5"/>
    <w:rsid w:val="05BD140C"/>
    <w:rsid w:val="05CA794E"/>
    <w:rsid w:val="05FC5DF0"/>
    <w:rsid w:val="06186DAE"/>
    <w:rsid w:val="061F2581"/>
    <w:rsid w:val="062D4371"/>
    <w:rsid w:val="062F0B5F"/>
    <w:rsid w:val="06323ED9"/>
    <w:rsid w:val="063253FF"/>
    <w:rsid w:val="0637588F"/>
    <w:rsid w:val="06381797"/>
    <w:rsid w:val="06564195"/>
    <w:rsid w:val="06650BDB"/>
    <w:rsid w:val="067508F8"/>
    <w:rsid w:val="06782B10"/>
    <w:rsid w:val="06787FCA"/>
    <w:rsid w:val="068439A7"/>
    <w:rsid w:val="06860FCF"/>
    <w:rsid w:val="068C566F"/>
    <w:rsid w:val="069843EF"/>
    <w:rsid w:val="06A05249"/>
    <w:rsid w:val="06A24A02"/>
    <w:rsid w:val="06AB431A"/>
    <w:rsid w:val="06BC0C19"/>
    <w:rsid w:val="06D27AF8"/>
    <w:rsid w:val="06F51A39"/>
    <w:rsid w:val="07106873"/>
    <w:rsid w:val="07283BBC"/>
    <w:rsid w:val="07320AAF"/>
    <w:rsid w:val="074759E2"/>
    <w:rsid w:val="0749768F"/>
    <w:rsid w:val="07500A1D"/>
    <w:rsid w:val="07893F2F"/>
    <w:rsid w:val="07AD34DA"/>
    <w:rsid w:val="07CB3375"/>
    <w:rsid w:val="07CC43E5"/>
    <w:rsid w:val="07D43A0A"/>
    <w:rsid w:val="07E13D6B"/>
    <w:rsid w:val="07F9062E"/>
    <w:rsid w:val="07F910B5"/>
    <w:rsid w:val="0807124B"/>
    <w:rsid w:val="080F08D8"/>
    <w:rsid w:val="081B648D"/>
    <w:rsid w:val="0822060B"/>
    <w:rsid w:val="084012E8"/>
    <w:rsid w:val="08493DEA"/>
    <w:rsid w:val="08566507"/>
    <w:rsid w:val="08607919"/>
    <w:rsid w:val="08734357"/>
    <w:rsid w:val="08D11F35"/>
    <w:rsid w:val="08DB6A0C"/>
    <w:rsid w:val="091343F8"/>
    <w:rsid w:val="09242970"/>
    <w:rsid w:val="092B4FFE"/>
    <w:rsid w:val="095073FA"/>
    <w:rsid w:val="095E38C5"/>
    <w:rsid w:val="09616F12"/>
    <w:rsid w:val="097E61C1"/>
    <w:rsid w:val="09A53B82"/>
    <w:rsid w:val="09A80FE4"/>
    <w:rsid w:val="09AC6783"/>
    <w:rsid w:val="09C83435"/>
    <w:rsid w:val="09CD18FD"/>
    <w:rsid w:val="0A073F5D"/>
    <w:rsid w:val="0A391C3C"/>
    <w:rsid w:val="0A571B81"/>
    <w:rsid w:val="0A75079C"/>
    <w:rsid w:val="0A890D51"/>
    <w:rsid w:val="0A8C1B57"/>
    <w:rsid w:val="0AAF0151"/>
    <w:rsid w:val="0AB17FEF"/>
    <w:rsid w:val="0AD90D68"/>
    <w:rsid w:val="0AE17F1C"/>
    <w:rsid w:val="0AE20526"/>
    <w:rsid w:val="0B024724"/>
    <w:rsid w:val="0B064214"/>
    <w:rsid w:val="0B187AA4"/>
    <w:rsid w:val="0B1A65E0"/>
    <w:rsid w:val="0B464611"/>
    <w:rsid w:val="0B4B60CB"/>
    <w:rsid w:val="0B56486A"/>
    <w:rsid w:val="0B5A630E"/>
    <w:rsid w:val="0B7E7085"/>
    <w:rsid w:val="0B806FF8"/>
    <w:rsid w:val="0B905F9B"/>
    <w:rsid w:val="0B9A7C95"/>
    <w:rsid w:val="0B9F11F4"/>
    <w:rsid w:val="0BCE42CE"/>
    <w:rsid w:val="0BF40511"/>
    <w:rsid w:val="0C026FFF"/>
    <w:rsid w:val="0C104C1F"/>
    <w:rsid w:val="0C123672"/>
    <w:rsid w:val="0C140D82"/>
    <w:rsid w:val="0C193AD3"/>
    <w:rsid w:val="0C6A2581"/>
    <w:rsid w:val="0C6C6D4F"/>
    <w:rsid w:val="0C7277D4"/>
    <w:rsid w:val="0C796C68"/>
    <w:rsid w:val="0C8278CB"/>
    <w:rsid w:val="0C992C63"/>
    <w:rsid w:val="0C9F66CF"/>
    <w:rsid w:val="0CA359A6"/>
    <w:rsid w:val="0CA77331"/>
    <w:rsid w:val="0CAD246E"/>
    <w:rsid w:val="0CBC447D"/>
    <w:rsid w:val="0CBD0903"/>
    <w:rsid w:val="0CC55A09"/>
    <w:rsid w:val="0CD53589"/>
    <w:rsid w:val="0CDD0FA5"/>
    <w:rsid w:val="0CE045F1"/>
    <w:rsid w:val="0CE13D52"/>
    <w:rsid w:val="0CEA1D01"/>
    <w:rsid w:val="0CEC11E8"/>
    <w:rsid w:val="0CF14A50"/>
    <w:rsid w:val="0D0B5B12"/>
    <w:rsid w:val="0D144BB8"/>
    <w:rsid w:val="0D15073F"/>
    <w:rsid w:val="0D2E1801"/>
    <w:rsid w:val="0D490AEC"/>
    <w:rsid w:val="0D904B5A"/>
    <w:rsid w:val="0D9637BE"/>
    <w:rsid w:val="0D966D20"/>
    <w:rsid w:val="0D9755F8"/>
    <w:rsid w:val="0DBB646B"/>
    <w:rsid w:val="0DBE74A6"/>
    <w:rsid w:val="0DFB4557"/>
    <w:rsid w:val="0E286250"/>
    <w:rsid w:val="0E2F5189"/>
    <w:rsid w:val="0E462B7A"/>
    <w:rsid w:val="0E67321C"/>
    <w:rsid w:val="0E71088B"/>
    <w:rsid w:val="0E981627"/>
    <w:rsid w:val="0EC00B7E"/>
    <w:rsid w:val="0F0B0898"/>
    <w:rsid w:val="0F103AD7"/>
    <w:rsid w:val="0F19203C"/>
    <w:rsid w:val="0F21235A"/>
    <w:rsid w:val="0F220EF1"/>
    <w:rsid w:val="0F3550C8"/>
    <w:rsid w:val="0F4672D5"/>
    <w:rsid w:val="0F501F02"/>
    <w:rsid w:val="0F512100"/>
    <w:rsid w:val="0F5D017B"/>
    <w:rsid w:val="0F5E6FEA"/>
    <w:rsid w:val="0F71201B"/>
    <w:rsid w:val="0F7D437D"/>
    <w:rsid w:val="0F9E6A41"/>
    <w:rsid w:val="0FBF66B5"/>
    <w:rsid w:val="0FDE29B3"/>
    <w:rsid w:val="0FDE3802"/>
    <w:rsid w:val="0FDE5F55"/>
    <w:rsid w:val="100B5E29"/>
    <w:rsid w:val="100D394F"/>
    <w:rsid w:val="10264A11"/>
    <w:rsid w:val="10295EC3"/>
    <w:rsid w:val="10390BE8"/>
    <w:rsid w:val="106B68C8"/>
    <w:rsid w:val="10914580"/>
    <w:rsid w:val="10945E1E"/>
    <w:rsid w:val="10AD6EE0"/>
    <w:rsid w:val="10BE1696"/>
    <w:rsid w:val="10CF50A9"/>
    <w:rsid w:val="10D77ADC"/>
    <w:rsid w:val="10EE120F"/>
    <w:rsid w:val="10FB5D66"/>
    <w:rsid w:val="1114617F"/>
    <w:rsid w:val="11146F5F"/>
    <w:rsid w:val="112E0750"/>
    <w:rsid w:val="112E1562"/>
    <w:rsid w:val="1131178D"/>
    <w:rsid w:val="113D56DD"/>
    <w:rsid w:val="11881C25"/>
    <w:rsid w:val="11BC4DB9"/>
    <w:rsid w:val="11D010D8"/>
    <w:rsid w:val="11DB1BC5"/>
    <w:rsid w:val="11DD3607"/>
    <w:rsid w:val="120B1515"/>
    <w:rsid w:val="12371157"/>
    <w:rsid w:val="124B69B1"/>
    <w:rsid w:val="125C38D0"/>
    <w:rsid w:val="12821C8E"/>
    <w:rsid w:val="129056B5"/>
    <w:rsid w:val="12926799"/>
    <w:rsid w:val="12A105AB"/>
    <w:rsid w:val="12B0405A"/>
    <w:rsid w:val="12C4029B"/>
    <w:rsid w:val="12EA7F78"/>
    <w:rsid w:val="130C25E4"/>
    <w:rsid w:val="133236CD"/>
    <w:rsid w:val="134148EC"/>
    <w:rsid w:val="134A0A16"/>
    <w:rsid w:val="13503220"/>
    <w:rsid w:val="135B0E75"/>
    <w:rsid w:val="13762452"/>
    <w:rsid w:val="138231D2"/>
    <w:rsid w:val="138243AC"/>
    <w:rsid w:val="13887C14"/>
    <w:rsid w:val="13897791"/>
    <w:rsid w:val="139E7BBC"/>
    <w:rsid w:val="13A50343"/>
    <w:rsid w:val="13A83FEE"/>
    <w:rsid w:val="13C37044"/>
    <w:rsid w:val="13D9584A"/>
    <w:rsid w:val="13F63148"/>
    <w:rsid w:val="14036F6F"/>
    <w:rsid w:val="14341EA0"/>
    <w:rsid w:val="146F39FE"/>
    <w:rsid w:val="14705EE9"/>
    <w:rsid w:val="14714C4C"/>
    <w:rsid w:val="14844010"/>
    <w:rsid w:val="14867A8D"/>
    <w:rsid w:val="149305CF"/>
    <w:rsid w:val="14951E8E"/>
    <w:rsid w:val="149E13F0"/>
    <w:rsid w:val="14B71508"/>
    <w:rsid w:val="14BA1BCC"/>
    <w:rsid w:val="14E37374"/>
    <w:rsid w:val="15066EC8"/>
    <w:rsid w:val="15071395"/>
    <w:rsid w:val="150C3747"/>
    <w:rsid w:val="1523598F"/>
    <w:rsid w:val="154A2ABB"/>
    <w:rsid w:val="155838BF"/>
    <w:rsid w:val="158226E9"/>
    <w:rsid w:val="15961DF1"/>
    <w:rsid w:val="159863B1"/>
    <w:rsid w:val="159E3EA6"/>
    <w:rsid w:val="15A9236C"/>
    <w:rsid w:val="15B7373B"/>
    <w:rsid w:val="15CC1BB7"/>
    <w:rsid w:val="15E2587E"/>
    <w:rsid w:val="15EE0320"/>
    <w:rsid w:val="16166EFF"/>
    <w:rsid w:val="162419F3"/>
    <w:rsid w:val="163B4748"/>
    <w:rsid w:val="163B5944"/>
    <w:rsid w:val="164B1177"/>
    <w:rsid w:val="164D77A8"/>
    <w:rsid w:val="166A62AA"/>
    <w:rsid w:val="169F744C"/>
    <w:rsid w:val="16B42F26"/>
    <w:rsid w:val="16CE38AF"/>
    <w:rsid w:val="16D42E36"/>
    <w:rsid w:val="16DC051F"/>
    <w:rsid w:val="16DC6904"/>
    <w:rsid w:val="16EA4574"/>
    <w:rsid w:val="16F2555F"/>
    <w:rsid w:val="16F615E1"/>
    <w:rsid w:val="170D06D9"/>
    <w:rsid w:val="172C7FDC"/>
    <w:rsid w:val="17345C65"/>
    <w:rsid w:val="173B3498"/>
    <w:rsid w:val="173B7DBE"/>
    <w:rsid w:val="17444C18"/>
    <w:rsid w:val="17467198"/>
    <w:rsid w:val="174F0CF1"/>
    <w:rsid w:val="175869FE"/>
    <w:rsid w:val="17663A36"/>
    <w:rsid w:val="1772167E"/>
    <w:rsid w:val="1780534F"/>
    <w:rsid w:val="17955AF0"/>
    <w:rsid w:val="1796651F"/>
    <w:rsid w:val="17981307"/>
    <w:rsid w:val="17A10052"/>
    <w:rsid w:val="17A70B2D"/>
    <w:rsid w:val="17A77202"/>
    <w:rsid w:val="17B47757"/>
    <w:rsid w:val="17DE3E23"/>
    <w:rsid w:val="18041ADC"/>
    <w:rsid w:val="18234DFF"/>
    <w:rsid w:val="182A5A63"/>
    <w:rsid w:val="18312C0E"/>
    <w:rsid w:val="18321F5C"/>
    <w:rsid w:val="184E2D57"/>
    <w:rsid w:val="18605E3F"/>
    <w:rsid w:val="187F47D6"/>
    <w:rsid w:val="188E5849"/>
    <w:rsid w:val="18B16537"/>
    <w:rsid w:val="18BB20F3"/>
    <w:rsid w:val="18DE1CB6"/>
    <w:rsid w:val="18E5585C"/>
    <w:rsid w:val="18F97167"/>
    <w:rsid w:val="190046F4"/>
    <w:rsid w:val="191B66E5"/>
    <w:rsid w:val="192E4A76"/>
    <w:rsid w:val="193C34F7"/>
    <w:rsid w:val="19487815"/>
    <w:rsid w:val="19510D51"/>
    <w:rsid w:val="195852A8"/>
    <w:rsid w:val="19FB6F0E"/>
    <w:rsid w:val="19FD48D6"/>
    <w:rsid w:val="1A372A66"/>
    <w:rsid w:val="1A501008"/>
    <w:rsid w:val="1A5017E6"/>
    <w:rsid w:val="1A737ED0"/>
    <w:rsid w:val="1AA11864"/>
    <w:rsid w:val="1AA20B6A"/>
    <w:rsid w:val="1AAE2E67"/>
    <w:rsid w:val="1AC90DBB"/>
    <w:rsid w:val="1ACD2659"/>
    <w:rsid w:val="1AD301C7"/>
    <w:rsid w:val="1ADD2E53"/>
    <w:rsid w:val="1B0336B6"/>
    <w:rsid w:val="1B3064BA"/>
    <w:rsid w:val="1B3C22E0"/>
    <w:rsid w:val="1B66485B"/>
    <w:rsid w:val="1B9A62B3"/>
    <w:rsid w:val="1B9A6D54"/>
    <w:rsid w:val="1BC8507E"/>
    <w:rsid w:val="1BC9505E"/>
    <w:rsid w:val="1BD579F9"/>
    <w:rsid w:val="1BD712B5"/>
    <w:rsid w:val="1BD9327F"/>
    <w:rsid w:val="1BEC6B0F"/>
    <w:rsid w:val="1BF648BE"/>
    <w:rsid w:val="1C050F51"/>
    <w:rsid w:val="1C074871"/>
    <w:rsid w:val="1C1C299A"/>
    <w:rsid w:val="1C67088B"/>
    <w:rsid w:val="1C6C7C4F"/>
    <w:rsid w:val="1C9635A4"/>
    <w:rsid w:val="1CA07888"/>
    <w:rsid w:val="1CAC2742"/>
    <w:rsid w:val="1CC436F9"/>
    <w:rsid w:val="1CD04682"/>
    <w:rsid w:val="1CE04199"/>
    <w:rsid w:val="1CE454C6"/>
    <w:rsid w:val="1CF245F9"/>
    <w:rsid w:val="1D105BB2"/>
    <w:rsid w:val="1D1C65C6"/>
    <w:rsid w:val="1D216C8C"/>
    <w:rsid w:val="1D2D13FF"/>
    <w:rsid w:val="1D320E99"/>
    <w:rsid w:val="1D454B1B"/>
    <w:rsid w:val="1D7A45EE"/>
    <w:rsid w:val="1D7B2840"/>
    <w:rsid w:val="1D8E2A78"/>
    <w:rsid w:val="1D9A42E3"/>
    <w:rsid w:val="1DA77CED"/>
    <w:rsid w:val="1DD61D08"/>
    <w:rsid w:val="1E0D3161"/>
    <w:rsid w:val="1E1A491E"/>
    <w:rsid w:val="1E1E31CB"/>
    <w:rsid w:val="1E281770"/>
    <w:rsid w:val="1E3429EF"/>
    <w:rsid w:val="1E37057C"/>
    <w:rsid w:val="1E3D7AF5"/>
    <w:rsid w:val="1E4744D0"/>
    <w:rsid w:val="1E4A3FC0"/>
    <w:rsid w:val="1E547E5A"/>
    <w:rsid w:val="1E560BB7"/>
    <w:rsid w:val="1E6F1C79"/>
    <w:rsid w:val="1E9265F0"/>
    <w:rsid w:val="1EA736F8"/>
    <w:rsid w:val="1EAC07D7"/>
    <w:rsid w:val="1EB70307"/>
    <w:rsid w:val="1EC2702E"/>
    <w:rsid w:val="1EC37D91"/>
    <w:rsid w:val="1EE35F3B"/>
    <w:rsid w:val="1EF93107"/>
    <w:rsid w:val="1F04026B"/>
    <w:rsid w:val="1F4E7AE0"/>
    <w:rsid w:val="1F5301CF"/>
    <w:rsid w:val="1F5A6485"/>
    <w:rsid w:val="1F75506D"/>
    <w:rsid w:val="1F973235"/>
    <w:rsid w:val="1FA66046"/>
    <w:rsid w:val="1FC75B6B"/>
    <w:rsid w:val="1FD61FB0"/>
    <w:rsid w:val="1FDC1A61"/>
    <w:rsid w:val="1FE12DE5"/>
    <w:rsid w:val="1FE16016"/>
    <w:rsid w:val="1FE52564"/>
    <w:rsid w:val="200C3C23"/>
    <w:rsid w:val="205F52D4"/>
    <w:rsid w:val="20631369"/>
    <w:rsid w:val="209F7F61"/>
    <w:rsid w:val="20B52727"/>
    <w:rsid w:val="20D17A8C"/>
    <w:rsid w:val="20E303D3"/>
    <w:rsid w:val="21186CA9"/>
    <w:rsid w:val="21265E4F"/>
    <w:rsid w:val="212C3F92"/>
    <w:rsid w:val="21463165"/>
    <w:rsid w:val="214E6C93"/>
    <w:rsid w:val="2177567B"/>
    <w:rsid w:val="21802DC7"/>
    <w:rsid w:val="21AD0336"/>
    <w:rsid w:val="21C1459A"/>
    <w:rsid w:val="21C85928"/>
    <w:rsid w:val="21D0113C"/>
    <w:rsid w:val="220B5DF0"/>
    <w:rsid w:val="222A78BB"/>
    <w:rsid w:val="222D44CC"/>
    <w:rsid w:val="22380440"/>
    <w:rsid w:val="2250232D"/>
    <w:rsid w:val="226338A3"/>
    <w:rsid w:val="227114F9"/>
    <w:rsid w:val="22812EA5"/>
    <w:rsid w:val="22A2261D"/>
    <w:rsid w:val="22A77C33"/>
    <w:rsid w:val="22AC524A"/>
    <w:rsid w:val="230A0DF6"/>
    <w:rsid w:val="2318544F"/>
    <w:rsid w:val="233A4603"/>
    <w:rsid w:val="23594390"/>
    <w:rsid w:val="235E529A"/>
    <w:rsid w:val="238824E9"/>
    <w:rsid w:val="23A55950"/>
    <w:rsid w:val="23EE3640"/>
    <w:rsid w:val="24066BDB"/>
    <w:rsid w:val="24217571"/>
    <w:rsid w:val="24385B68"/>
    <w:rsid w:val="243948BB"/>
    <w:rsid w:val="2465632D"/>
    <w:rsid w:val="246C588C"/>
    <w:rsid w:val="24701C01"/>
    <w:rsid w:val="2492221D"/>
    <w:rsid w:val="249935AC"/>
    <w:rsid w:val="24A24B56"/>
    <w:rsid w:val="24A30AF0"/>
    <w:rsid w:val="24B0709F"/>
    <w:rsid w:val="24C820E3"/>
    <w:rsid w:val="24D36BE2"/>
    <w:rsid w:val="24D740D4"/>
    <w:rsid w:val="24E65A81"/>
    <w:rsid w:val="250F5077"/>
    <w:rsid w:val="25227CA1"/>
    <w:rsid w:val="252A06A8"/>
    <w:rsid w:val="255E4015"/>
    <w:rsid w:val="257003D2"/>
    <w:rsid w:val="257A447E"/>
    <w:rsid w:val="2595302D"/>
    <w:rsid w:val="25A20B86"/>
    <w:rsid w:val="25AF3F9B"/>
    <w:rsid w:val="25DF553A"/>
    <w:rsid w:val="25F969F8"/>
    <w:rsid w:val="25FF7D86"/>
    <w:rsid w:val="26064C71"/>
    <w:rsid w:val="26247424"/>
    <w:rsid w:val="26571970"/>
    <w:rsid w:val="265E2CFF"/>
    <w:rsid w:val="26636159"/>
    <w:rsid w:val="26851A34"/>
    <w:rsid w:val="26915A69"/>
    <w:rsid w:val="26A53647"/>
    <w:rsid w:val="26A5654C"/>
    <w:rsid w:val="26AD5B77"/>
    <w:rsid w:val="26BC7A25"/>
    <w:rsid w:val="26D80785"/>
    <w:rsid w:val="26DD412B"/>
    <w:rsid w:val="26FE3B9A"/>
    <w:rsid w:val="27030352"/>
    <w:rsid w:val="2725144D"/>
    <w:rsid w:val="27507FF3"/>
    <w:rsid w:val="27805F80"/>
    <w:rsid w:val="27973840"/>
    <w:rsid w:val="27986805"/>
    <w:rsid w:val="27A72484"/>
    <w:rsid w:val="27B47404"/>
    <w:rsid w:val="27C7448E"/>
    <w:rsid w:val="27D4131B"/>
    <w:rsid w:val="27D84AA3"/>
    <w:rsid w:val="27EB05C2"/>
    <w:rsid w:val="27ED2817"/>
    <w:rsid w:val="27F531EF"/>
    <w:rsid w:val="27F967E2"/>
    <w:rsid w:val="281B7617"/>
    <w:rsid w:val="282252D6"/>
    <w:rsid w:val="2831213E"/>
    <w:rsid w:val="28371CB3"/>
    <w:rsid w:val="283C2BCC"/>
    <w:rsid w:val="285618A9"/>
    <w:rsid w:val="286633F7"/>
    <w:rsid w:val="28753810"/>
    <w:rsid w:val="28D97DB8"/>
    <w:rsid w:val="2907142C"/>
    <w:rsid w:val="290C4A69"/>
    <w:rsid w:val="290D47D6"/>
    <w:rsid w:val="29114058"/>
    <w:rsid w:val="292E1701"/>
    <w:rsid w:val="29573CE9"/>
    <w:rsid w:val="29603124"/>
    <w:rsid w:val="2961776B"/>
    <w:rsid w:val="29A8094A"/>
    <w:rsid w:val="29B8134E"/>
    <w:rsid w:val="29DE0B40"/>
    <w:rsid w:val="29F55728"/>
    <w:rsid w:val="29F937DB"/>
    <w:rsid w:val="2A047719"/>
    <w:rsid w:val="2A3E7D03"/>
    <w:rsid w:val="2A3F0751"/>
    <w:rsid w:val="2A4E3930"/>
    <w:rsid w:val="2A5406A7"/>
    <w:rsid w:val="2A74238E"/>
    <w:rsid w:val="2A756869"/>
    <w:rsid w:val="2A81520E"/>
    <w:rsid w:val="2A88034A"/>
    <w:rsid w:val="2A900FAD"/>
    <w:rsid w:val="2A952A67"/>
    <w:rsid w:val="2AA1140C"/>
    <w:rsid w:val="2B2067D5"/>
    <w:rsid w:val="2B481888"/>
    <w:rsid w:val="2B515016"/>
    <w:rsid w:val="2B73203E"/>
    <w:rsid w:val="2B74525E"/>
    <w:rsid w:val="2B7D7783"/>
    <w:rsid w:val="2B967B5D"/>
    <w:rsid w:val="2BA73CB7"/>
    <w:rsid w:val="2BAD07CB"/>
    <w:rsid w:val="2BC43604"/>
    <w:rsid w:val="2BC5112A"/>
    <w:rsid w:val="2BD40CBE"/>
    <w:rsid w:val="2BFA7026"/>
    <w:rsid w:val="2C131E96"/>
    <w:rsid w:val="2C1F2B66"/>
    <w:rsid w:val="2C1F6A8C"/>
    <w:rsid w:val="2C397017"/>
    <w:rsid w:val="2C3B7CF2"/>
    <w:rsid w:val="2C3F0EDD"/>
    <w:rsid w:val="2C60573B"/>
    <w:rsid w:val="2C6E17C2"/>
    <w:rsid w:val="2C800F7A"/>
    <w:rsid w:val="2C950AFD"/>
    <w:rsid w:val="2CA13945"/>
    <w:rsid w:val="2CBC42DB"/>
    <w:rsid w:val="2CBE62A5"/>
    <w:rsid w:val="2CDC497D"/>
    <w:rsid w:val="2CEC3EC3"/>
    <w:rsid w:val="2CF3012F"/>
    <w:rsid w:val="2CFA1C67"/>
    <w:rsid w:val="2D200D0E"/>
    <w:rsid w:val="2D236108"/>
    <w:rsid w:val="2D304D68"/>
    <w:rsid w:val="2D34274A"/>
    <w:rsid w:val="2D5A361F"/>
    <w:rsid w:val="2D76092E"/>
    <w:rsid w:val="2D836160"/>
    <w:rsid w:val="2D9B2B75"/>
    <w:rsid w:val="2DA37249"/>
    <w:rsid w:val="2DAB4FC5"/>
    <w:rsid w:val="2DE735DA"/>
    <w:rsid w:val="2E204D3E"/>
    <w:rsid w:val="2E316EB5"/>
    <w:rsid w:val="2E3911B7"/>
    <w:rsid w:val="2E4108EA"/>
    <w:rsid w:val="2E6B5FB9"/>
    <w:rsid w:val="2E792A9B"/>
    <w:rsid w:val="2E86077E"/>
    <w:rsid w:val="2E9B22F1"/>
    <w:rsid w:val="2EBD433B"/>
    <w:rsid w:val="2EBE07DF"/>
    <w:rsid w:val="2EEF4D6F"/>
    <w:rsid w:val="2EFE6E2D"/>
    <w:rsid w:val="2F314314"/>
    <w:rsid w:val="2F763CAE"/>
    <w:rsid w:val="2F9236BA"/>
    <w:rsid w:val="2FD47B8E"/>
    <w:rsid w:val="2FF46F70"/>
    <w:rsid w:val="2FFB7130"/>
    <w:rsid w:val="300466C5"/>
    <w:rsid w:val="301E16C7"/>
    <w:rsid w:val="303074BA"/>
    <w:rsid w:val="3078676B"/>
    <w:rsid w:val="30922B6E"/>
    <w:rsid w:val="30942F77"/>
    <w:rsid w:val="3099071F"/>
    <w:rsid w:val="30A47560"/>
    <w:rsid w:val="30B8125D"/>
    <w:rsid w:val="30D065A7"/>
    <w:rsid w:val="30DC4F4C"/>
    <w:rsid w:val="31126BC0"/>
    <w:rsid w:val="3126266B"/>
    <w:rsid w:val="312D39F9"/>
    <w:rsid w:val="313721C7"/>
    <w:rsid w:val="313C59EB"/>
    <w:rsid w:val="31590E82"/>
    <w:rsid w:val="31676588"/>
    <w:rsid w:val="316C6E4D"/>
    <w:rsid w:val="31A25DCC"/>
    <w:rsid w:val="31D27479"/>
    <w:rsid w:val="31E57E0B"/>
    <w:rsid w:val="323A46EF"/>
    <w:rsid w:val="324C6101"/>
    <w:rsid w:val="325A3C70"/>
    <w:rsid w:val="32785148"/>
    <w:rsid w:val="32801B39"/>
    <w:rsid w:val="32843918"/>
    <w:rsid w:val="329F6BE9"/>
    <w:rsid w:val="32BC36FB"/>
    <w:rsid w:val="32C5132B"/>
    <w:rsid w:val="33030EB6"/>
    <w:rsid w:val="33043FA7"/>
    <w:rsid w:val="330864CC"/>
    <w:rsid w:val="330C763F"/>
    <w:rsid w:val="33177932"/>
    <w:rsid w:val="33191029"/>
    <w:rsid w:val="332C73F5"/>
    <w:rsid w:val="333170A5"/>
    <w:rsid w:val="33336683"/>
    <w:rsid w:val="33541711"/>
    <w:rsid w:val="335C2374"/>
    <w:rsid w:val="3366138E"/>
    <w:rsid w:val="338B0EAB"/>
    <w:rsid w:val="33B026C0"/>
    <w:rsid w:val="33B81129"/>
    <w:rsid w:val="33D01F98"/>
    <w:rsid w:val="33D10AFB"/>
    <w:rsid w:val="33D402CE"/>
    <w:rsid w:val="33F46A50"/>
    <w:rsid w:val="33F627C9"/>
    <w:rsid w:val="340537C2"/>
    <w:rsid w:val="341C31B2"/>
    <w:rsid w:val="34256015"/>
    <w:rsid w:val="34331CF7"/>
    <w:rsid w:val="34370F81"/>
    <w:rsid w:val="344A7771"/>
    <w:rsid w:val="34535CDA"/>
    <w:rsid w:val="3454129D"/>
    <w:rsid w:val="348778C5"/>
    <w:rsid w:val="34AA375F"/>
    <w:rsid w:val="34B14942"/>
    <w:rsid w:val="34C86096"/>
    <w:rsid w:val="34CC177B"/>
    <w:rsid w:val="34D643A8"/>
    <w:rsid w:val="34E268A9"/>
    <w:rsid w:val="34F012AE"/>
    <w:rsid w:val="35054F41"/>
    <w:rsid w:val="35373099"/>
    <w:rsid w:val="35492DCC"/>
    <w:rsid w:val="355A3DF9"/>
    <w:rsid w:val="356E5C9A"/>
    <w:rsid w:val="357A2D6D"/>
    <w:rsid w:val="358E358F"/>
    <w:rsid w:val="35956011"/>
    <w:rsid w:val="35977693"/>
    <w:rsid w:val="35E054DE"/>
    <w:rsid w:val="35F66AB0"/>
    <w:rsid w:val="360A3A37"/>
    <w:rsid w:val="360A6D2C"/>
    <w:rsid w:val="36142551"/>
    <w:rsid w:val="361956CA"/>
    <w:rsid w:val="36274FBF"/>
    <w:rsid w:val="363932F5"/>
    <w:rsid w:val="36877708"/>
    <w:rsid w:val="368924B2"/>
    <w:rsid w:val="368F0CB2"/>
    <w:rsid w:val="36AF0A91"/>
    <w:rsid w:val="36B129D7"/>
    <w:rsid w:val="36C7044C"/>
    <w:rsid w:val="36E25286"/>
    <w:rsid w:val="36EE03B6"/>
    <w:rsid w:val="36F03CAB"/>
    <w:rsid w:val="370F76FD"/>
    <w:rsid w:val="37125937"/>
    <w:rsid w:val="371A0862"/>
    <w:rsid w:val="371B60A2"/>
    <w:rsid w:val="372159D9"/>
    <w:rsid w:val="3727783C"/>
    <w:rsid w:val="374A4141"/>
    <w:rsid w:val="37520721"/>
    <w:rsid w:val="37647A49"/>
    <w:rsid w:val="376B31FC"/>
    <w:rsid w:val="3781684D"/>
    <w:rsid w:val="37876CD7"/>
    <w:rsid w:val="37891C41"/>
    <w:rsid w:val="37AA07D2"/>
    <w:rsid w:val="37AF33BA"/>
    <w:rsid w:val="37BC5AD7"/>
    <w:rsid w:val="37C130EE"/>
    <w:rsid w:val="37D22C05"/>
    <w:rsid w:val="37D9563C"/>
    <w:rsid w:val="37F64415"/>
    <w:rsid w:val="37FC4126"/>
    <w:rsid w:val="380E6B51"/>
    <w:rsid w:val="382220E8"/>
    <w:rsid w:val="382A0901"/>
    <w:rsid w:val="38325D99"/>
    <w:rsid w:val="38484CF7"/>
    <w:rsid w:val="385D7F24"/>
    <w:rsid w:val="385F2084"/>
    <w:rsid w:val="38617056"/>
    <w:rsid w:val="386C12AB"/>
    <w:rsid w:val="388D2FD0"/>
    <w:rsid w:val="38A5656B"/>
    <w:rsid w:val="38A95010"/>
    <w:rsid w:val="38B245C5"/>
    <w:rsid w:val="38F6475A"/>
    <w:rsid w:val="390B232E"/>
    <w:rsid w:val="39111E53"/>
    <w:rsid w:val="3932140D"/>
    <w:rsid w:val="393F65A9"/>
    <w:rsid w:val="399F120C"/>
    <w:rsid w:val="39A93E39"/>
    <w:rsid w:val="39C11183"/>
    <w:rsid w:val="39D013C6"/>
    <w:rsid w:val="39E15381"/>
    <w:rsid w:val="3A10439C"/>
    <w:rsid w:val="3A18450B"/>
    <w:rsid w:val="3A271E4D"/>
    <w:rsid w:val="3A362890"/>
    <w:rsid w:val="3A417045"/>
    <w:rsid w:val="3A443B62"/>
    <w:rsid w:val="3A4F49E1"/>
    <w:rsid w:val="3A540410"/>
    <w:rsid w:val="3A66066B"/>
    <w:rsid w:val="3A6A7A6C"/>
    <w:rsid w:val="3A8521B0"/>
    <w:rsid w:val="3AA12337"/>
    <w:rsid w:val="3AAC1E33"/>
    <w:rsid w:val="3ACC4283"/>
    <w:rsid w:val="3ACF1BA7"/>
    <w:rsid w:val="3AEE314D"/>
    <w:rsid w:val="3AEF06FC"/>
    <w:rsid w:val="3AF13CEA"/>
    <w:rsid w:val="3B3616FD"/>
    <w:rsid w:val="3B3C2749"/>
    <w:rsid w:val="3B6061D8"/>
    <w:rsid w:val="3B6202C3"/>
    <w:rsid w:val="3B682EC6"/>
    <w:rsid w:val="3B7B35B3"/>
    <w:rsid w:val="3B7F4E52"/>
    <w:rsid w:val="3B8763FC"/>
    <w:rsid w:val="3B9528C7"/>
    <w:rsid w:val="3B9F47B3"/>
    <w:rsid w:val="3BAD26F5"/>
    <w:rsid w:val="3BC60CD2"/>
    <w:rsid w:val="3BD25F30"/>
    <w:rsid w:val="3BDA652C"/>
    <w:rsid w:val="3BDD7DCA"/>
    <w:rsid w:val="3BF34D89"/>
    <w:rsid w:val="3BF55114"/>
    <w:rsid w:val="3C0B1989"/>
    <w:rsid w:val="3C2123AD"/>
    <w:rsid w:val="3C224794"/>
    <w:rsid w:val="3C28373B"/>
    <w:rsid w:val="3C320116"/>
    <w:rsid w:val="3C3A0AFA"/>
    <w:rsid w:val="3C413BB6"/>
    <w:rsid w:val="3C4A1903"/>
    <w:rsid w:val="3C68390B"/>
    <w:rsid w:val="3C6C74F7"/>
    <w:rsid w:val="3C836BC3"/>
    <w:rsid w:val="3C8F37BA"/>
    <w:rsid w:val="3C9B5B59"/>
    <w:rsid w:val="3CB16673"/>
    <w:rsid w:val="3CB72468"/>
    <w:rsid w:val="3CB74ABF"/>
    <w:rsid w:val="3CE358B4"/>
    <w:rsid w:val="3D1141CF"/>
    <w:rsid w:val="3D2A703F"/>
    <w:rsid w:val="3D671F31"/>
    <w:rsid w:val="3D682F88"/>
    <w:rsid w:val="3D8E3A72"/>
    <w:rsid w:val="3DC02C3B"/>
    <w:rsid w:val="3DC553B8"/>
    <w:rsid w:val="3DC72AE0"/>
    <w:rsid w:val="3DCE3AD0"/>
    <w:rsid w:val="3E00251B"/>
    <w:rsid w:val="3E090362"/>
    <w:rsid w:val="3E0F5C51"/>
    <w:rsid w:val="3E206C6B"/>
    <w:rsid w:val="3E23637C"/>
    <w:rsid w:val="3E3C7B94"/>
    <w:rsid w:val="3E3F3371"/>
    <w:rsid w:val="3E444130"/>
    <w:rsid w:val="3E5743BA"/>
    <w:rsid w:val="3E592C54"/>
    <w:rsid w:val="3E6842C3"/>
    <w:rsid w:val="3E7E7642"/>
    <w:rsid w:val="3E894239"/>
    <w:rsid w:val="3E99447C"/>
    <w:rsid w:val="3EA37089"/>
    <w:rsid w:val="3EA9063C"/>
    <w:rsid w:val="3EB23790"/>
    <w:rsid w:val="3EB92D70"/>
    <w:rsid w:val="3ED96A73"/>
    <w:rsid w:val="3EED2A1A"/>
    <w:rsid w:val="3EF616C7"/>
    <w:rsid w:val="3EFC1BA7"/>
    <w:rsid w:val="3F06752D"/>
    <w:rsid w:val="3F087854"/>
    <w:rsid w:val="3F650B29"/>
    <w:rsid w:val="3F736B52"/>
    <w:rsid w:val="3F8743E7"/>
    <w:rsid w:val="3F892743"/>
    <w:rsid w:val="3F9335C1"/>
    <w:rsid w:val="3FA1678F"/>
    <w:rsid w:val="3FB917DF"/>
    <w:rsid w:val="3FB95A21"/>
    <w:rsid w:val="3FCE4D23"/>
    <w:rsid w:val="3FD019E0"/>
    <w:rsid w:val="3FD87871"/>
    <w:rsid w:val="3FF86ED3"/>
    <w:rsid w:val="40390128"/>
    <w:rsid w:val="403E177F"/>
    <w:rsid w:val="404A6FCD"/>
    <w:rsid w:val="405D597D"/>
    <w:rsid w:val="40695D6E"/>
    <w:rsid w:val="40814918"/>
    <w:rsid w:val="408B4299"/>
    <w:rsid w:val="40A8045D"/>
    <w:rsid w:val="40AD397C"/>
    <w:rsid w:val="40BF235C"/>
    <w:rsid w:val="40C652D1"/>
    <w:rsid w:val="40CD0C4F"/>
    <w:rsid w:val="40F24318"/>
    <w:rsid w:val="41004C2F"/>
    <w:rsid w:val="41033C84"/>
    <w:rsid w:val="41197AF6"/>
    <w:rsid w:val="41281AE7"/>
    <w:rsid w:val="41296076"/>
    <w:rsid w:val="414D154E"/>
    <w:rsid w:val="41564230"/>
    <w:rsid w:val="415820B8"/>
    <w:rsid w:val="415E5BE8"/>
    <w:rsid w:val="416F5968"/>
    <w:rsid w:val="417B53B5"/>
    <w:rsid w:val="4182744A"/>
    <w:rsid w:val="419D7DDA"/>
    <w:rsid w:val="41AC7E24"/>
    <w:rsid w:val="41AE46E3"/>
    <w:rsid w:val="41B9518B"/>
    <w:rsid w:val="41CE08E1"/>
    <w:rsid w:val="41CE268F"/>
    <w:rsid w:val="41DB1250"/>
    <w:rsid w:val="41EB3B14"/>
    <w:rsid w:val="41EF6DBA"/>
    <w:rsid w:val="4227235F"/>
    <w:rsid w:val="422A188F"/>
    <w:rsid w:val="422C1AAB"/>
    <w:rsid w:val="42332E3A"/>
    <w:rsid w:val="42672AE3"/>
    <w:rsid w:val="42723962"/>
    <w:rsid w:val="428C6D8D"/>
    <w:rsid w:val="429B2A93"/>
    <w:rsid w:val="42A81A5D"/>
    <w:rsid w:val="42C004C3"/>
    <w:rsid w:val="42D96836"/>
    <w:rsid w:val="42E721A6"/>
    <w:rsid w:val="42EB121C"/>
    <w:rsid w:val="42FD44B2"/>
    <w:rsid w:val="430D499A"/>
    <w:rsid w:val="43125387"/>
    <w:rsid w:val="43140575"/>
    <w:rsid w:val="4315253F"/>
    <w:rsid w:val="432E1E4F"/>
    <w:rsid w:val="43572758"/>
    <w:rsid w:val="436D237B"/>
    <w:rsid w:val="43721740"/>
    <w:rsid w:val="43824495"/>
    <w:rsid w:val="439873F8"/>
    <w:rsid w:val="43B50079"/>
    <w:rsid w:val="43C26B6A"/>
    <w:rsid w:val="43EA6572"/>
    <w:rsid w:val="43EB561E"/>
    <w:rsid w:val="4407115F"/>
    <w:rsid w:val="440A7BCA"/>
    <w:rsid w:val="44103433"/>
    <w:rsid w:val="44312E4B"/>
    <w:rsid w:val="443211DD"/>
    <w:rsid w:val="443317FF"/>
    <w:rsid w:val="44332BA9"/>
    <w:rsid w:val="444A4C25"/>
    <w:rsid w:val="445E6CA4"/>
    <w:rsid w:val="44711D77"/>
    <w:rsid w:val="44731C6A"/>
    <w:rsid w:val="44740900"/>
    <w:rsid w:val="44A338EB"/>
    <w:rsid w:val="44BF6C07"/>
    <w:rsid w:val="44C041EC"/>
    <w:rsid w:val="450148D5"/>
    <w:rsid w:val="451900C5"/>
    <w:rsid w:val="451D1C26"/>
    <w:rsid w:val="452577F8"/>
    <w:rsid w:val="452E69E2"/>
    <w:rsid w:val="454809AA"/>
    <w:rsid w:val="45611A6C"/>
    <w:rsid w:val="4567631F"/>
    <w:rsid w:val="456F23DB"/>
    <w:rsid w:val="458974A9"/>
    <w:rsid w:val="45A469F2"/>
    <w:rsid w:val="45A656D1"/>
    <w:rsid w:val="45AB761C"/>
    <w:rsid w:val="45C36283"/>
    <w:rsid w:val="45E71D50"/>
    <w:rsid w:val="45F2318F"/>
    <w:rsid w:val="45FE4010"/>
    <w:rsid w:val="460B06DB"/>
    <w:rsid w:val="460E4F45"/>
    <w:rsid w:val="46111740"/>
    <w:rsid w:val="461D57A5"/>
    <w:rsid w:val="46296ED5"/>
    <w:rsid w:val="466943F9"/>
    <w:rsid w:val="466E4440"/>
    <w:rsid w:val="466F126D"/>
    <w:rsid w:val="4676111D"/>
    <w:rsid w:val="46845A12"/>
    <w:rsid w:val="4686223B"/>
    <w:rsid w:val="469A2312"/>
    <w:rsid w:val="469C3FEF"/>
    <w:rsid w:val="46A936CA"/>
    <w:rsid w:val="46B311F9"/>
    <w:rsid w:val="46D06EA9"/>
    <w:rsid w:val="46EC6E20"/>
    <w:rsid w:val="471C3C7C"/>
    <w:rsid w:val="47222787"/>
    <w:rsid w:val="472471F5"/>
    <w:rsid w:val="47767A51"/>
    <w:rsid w:val="47952C04"/>
    <w:rsid w:val="47B71E17"/>
    <w:rsid w:val="47C30B14"/>
    <w:rsid w:val="47F8383C"/>
    <w:rsid w:val="47FC5B63"/>
    <w:rsid w:val="48217291"/>
    <w:rsid w:val="48234CBA"/>
    <w:rsid w:val="48B87BF5"/>
    <w:rsid w:val="48C06CFA"/>
    <w:rsid w:val="48CD092B"/>
    <w:rsid w:val="48FF5824"/>
    <w:rsid w:val="490F69F3"/>
    <w:rsid w:val="491118AD"/>
    <w:rsid w:val="491D6F70"/>
    <w:rsid w:val="492B2127"/>
    <w:rsid w:val="492E057F"/>
    <w:rsid w:val="493F4EA8"/>
    <w:rsid w:val="495A5150"/>
    <w:rsid w:val="495E76CE"/>
    <w:rsid w:val="49711EE2"/>
    <w:rsid w:val="49746132"/>
    <w:rsid w:val="497A134E"/>
    <w:rsid w:val="49962061"/>
    <w:rsid w:val="499C12C5"/>
    <w:rsid w:val="49CA5E32"/>
    <w:rsid w:val="49E8275C"/>
    <w:rsid w:val="49F12DDA"/>
    <w:rsid w:val="4A0D3F70"/>
    <w:rsid w:val="4A115A2C"/>
    <w:rsid w:val="4A1470AD"/>
    <w:rsid w:val="4A1C5FDA"/>
    <w:rsid w:val="4A205A39"/>
    <w:rsid w:val="4A2117CA"/>
    <w:rsid w:val="4A261AFB"/>
    <w:rsid w:val="4A3A0F04"/>
    <w:rsid w:val="4A471230"/>
    <w:rsid w:val="4A5809C6"/>
    <w:rsid w:val="4A62250E"/>
    <w:rsid w:val="4A8D7450"/>
    <w:rsid w:val="4A924D6C"/>
    <w:rsid w:val="4AA360E2"/>
    <w:rsid w:val="4AA84652"/>
    <w:rsid w:val="4AAA5C63"/>
    <w:rsid w:val="4AB6597F"/>
    <w:rsid w:val="4B227F57"/>
    <w:rsid w:val="4B384997"/>
    <w:rsid w:val="4B3A0D95"/>
    <w:rsid w:val="4B4614E8"/>
    <w:rsid w:val="4B4E4840"/>
    <w:rsid w:val="4B524331"/>
    <w:rsid w:val="4B55790B"/>
    <w:rsid w:val="4B55797D"/>
    <w:rsid w:val="4B9A1834"/>
    <w:rsid w:val="4BA75709"/>
    <w:rsid w:val="4BC0450D"/>
    <w:rsid w:val="4BC0573E"/>
    <w:rsid w:val="4BCD5AF4"/>
    <w:rsid w:val="4BEB0C49"/>
    <w:rsid w:val="4BF76C86"/>
    <w:rsid w:val="4C0C0983"/>
    <w:rsid w:val="4C0F3FD0"/>
    <w:rsid w:val="4C207F8B"/>
    <w:rsid w:val="4C461FAB"/>
    <w:rsid w:val="4C4869B3"/>
    <w:rsid w:val="4C5D09EA"/>
    <w:rsid w:val="4C6857B5"/>
    <w:rsid w:val="4C8A1066"/>
    <w:rsid w:val="4C8A5E8F"/>
    <w:rsid w:val="4C9269AF"/>
    <w:rsid w:val="4C940EBC"/>
    <w:rsid w:val="4CB66B41"/>
    <w:rsid w:val="4CB87639"/>
    <w:rsid w:val="4CE7652C"/>
    <w:rsid w:val="4CED51A9"/>
    <w:rsid w:val="4CFB2914"/>
    <w:rsid w:val="4D0D7563"/>
    <w:rsid w:val="4D2C661C"/>
    <w:rsid w:val="4D694096"/>
    <w:rsid w:val="4D752558"/>
    <w:rsid w:val="4DB14CDF"/>
    <w:rsid w:val="4DBB0B01"/>
    <w:rsid w:val="4DC112FA"/>
    <w:rsid w:val="4DE374C2"/>
    <w:rsid w:val="4DE408D6"/>
    <w:rsid w:val="4E08517B"/>
    <w:rsid w:val="4E1E46A2"/>
    <w:rsid w:val="4E355844"/>
    <w:rsid w:val="4E456FA4"/>
    <w:rsid w:val="4E4D2583"/>
    <w:rsid w:val="4E4E2F43"/>
    <w:rsid w:val="4E5B44D1"/>
    <w:rsid w:val="4E5C7519"/>
    <w:rsid w:val="4E616639"/>
    <w:rsid w:val="4E7B5F30"/>
    <w:rsid w:val="4E7D41AC"/>
    <w:rsid w:val="4E843CCF"/>
    <w:rsid w:val="4E9D1D67"/>
    <w:rsid w:val="4EB80E01"/>
    <w:rsid w:val="4EC81323"/>
    <w:rsid w:val="4F111E0D"/>
    <w:rsid w:val="4F1813ED"/>
    <w:rsid w:val="4F231D15"/>
    <w:rsid w:val="4F257D14"/>
    <w:rsid w:val="4F322AFA"/>
    <w:rsid w:val="4F38383D"/>
    <w:rsid w:val="4F570711"/>
    <w:rsid w:val="4F6313C6"/>
    <w:rsid w:val="4F7B372A"/>
    <w:rsid w:val="4F8354FA"/>
    <w:rsid w:val="4F844391"/>
    <w:rsid w:val="4F9111A0"/>
    <w:rsid w:val="4F99788D"/>
    <w:rsid w:val="4FA47125"/>
    <w:rsid w:val="4FD07F1A"/>
    <w:rsid w:val="500532A1"/>
    <w:rsid w:val="50360D32"/>
    <w:rsid w:val="50586946"/>
    <w:rsid w:val="507F6933"/>
    <w:rsid w:val="509645A9"/>
    <w:rsid w:val="50B63535"/>
    <w:rsid w:val="50B65D89"/>
    <w:rsid w:val="50B909AE"/>
    <w:rsid w:val="50BB0282"/>
    <w:rsid w:val="50C2524A"/>
    <w:rsid w:val="50F65B77"/>
    <w:rsid w:val="510936E3"/>
    <w:rsid w:val="51256043"/>
    <w:rsid w:val="51382DFD"/>
    <w:rsid w:val="514B21A5"/>
    <w:rsid w:val="51516E38"/>
    <w:rsid w:val="515801C7"/>
    <w:rsid w:val="51595CED"/>
    <w:rsid w:val="515B7CB7"/>
    <w:rsid w:val="51750D79"/>
    <w:rsid w:val="51751070"/>
    <w:rsid w:val="51842D6A"/>
    <w:rsid w:val="51A70F54"/>
    <w:rsid w:val="51AE428B"/>
    <w:rsid w:val="51C34297"/>
    <w:rsid w:val="52291B63"/>
    <w:rsid w:val="522B58DB"/>
    <w:rsid w:val="525564B4"/>
    <w:rsid w:val="52A42F98"/>
    <w:rsid w:val="52B33A1E"/>
    <w:rsid w:val="52C8137C"/>
    <w:rsid w:val="53180DBA"/>
    <w:rsid w:val="53191BD8"/>
    <w:rsid w:val="5321256E"/>
    <w:rsid w:val="532D2E42"/>
    <w:rsid w:val="534A578C"/>
    <w:rsid w:val="53603363"/>
    <w:rsid w:val="53B11E10"/>
    <w:rsid w:val="53CA3C92"/>
    <w:rsid w:val="53DA60A6"/>
    <w:rsid w:val="53E8302C"/>
    <w:rsid w:val="53EE33A5"/>
    <w:rsid w:val="53F51CFD"/>
    <w:rsid w:val="5426635A"/>
    <w:rsid w:val="54370553"/>
    <w:rsid w:val="543D6DE5"/>
    <w:rsid w:val="54521371"/>
    <w:rsid w:val="54577081"/>
    <w:rsid w:val="54840371"/>
    <w:rsid w:val="54EB1B0B"/>
    <w:rsid w:val="54F2623D"/>
    <w:rsid w:val="55045B96"/>
    <w:rsid w:val="55180608"/>
    <w:rsid w:val="551D59AF"/>
    <w:rsid w:val="553B4087"/>
    <w:rsid w:val="55441B9C"/>
    <w:rsid w:val="555032D6"/>
    <w:rsid w:val="558150DE"/>
    <w:rsid w:val="55851F6B"/>
    <w:rsid w:val="55963754"/>
    <w:rsid w:val="55967510"/>
    <w:rsid w:val="559D264C"/>
    <w:rsid w:val="559F37CF"/>
    <w:rsid w:val="55DC02C1"/>
    <w:rsid w:val="56014D43"/>
    <w:rsid w:val="560426CB"/>
    <w:rsid w:val="560C332E"/>
    <w:rsid w:val="562E7748"/>
    <w:rsid w:val="56355833"/>
    <w:rsid w:val="564156CE"/>
    <w:rsid w:val="564B20A8"/>
    <w:rsid w:val="566778F3"/>
    <w:rsid w:val="56694C24"/>
    <w:rsid w:val="56941CA1"/>
    <w:rsid w:val="569548FC"/>
    <w:rsid w:val="5697709C"/>
    <w:rsid w:val="5699669D"/>
    <w:rsid w:val="56A143BE"/>
    <w:rsid w:val="56AB6FEB"/>
    <w:rsid w:val="56AF1DF3"/>
    <w:rsid w:val="56B16EEB"/>
    <w:rsid w:val="56C6570E"/>
    <w:rsid w:val="56D36FB6"/>
    <w:rsid w:val="56DF6C95"/>
    <w:rsid w:val="56F3629C"/>
    <w:rsid w:val="56F40992"/>
    <w:rsid w:val="56F91B04"/>
    <w:rsid w:val="570A670A"/>
    <w:rsid w:val="57172250"/>
    <w:rsid w:val="572336AB"/>
    <w:rsid w:val="57257664"/>
    <w:rsid w:val="572D74DD"/>
    <w:rsid w:val="57493C11"/>
    <w:rsid w:val="57684EDC"/>
    <w:rsid w:val="5786146C"/>
    <w:rsid w:val="5793664A"/>
    <w:rsid w:val="57B91F59"/>
    <w:rsid w:val="57C40335"/>
    <w:rsid w:val="57CC0FC7"/>
    <w:rsid w:val="57CF71DE"/>
    <w:rsid w:val="57D30C82"/>
    <w:rsid w:val="57D93826"/>
    <w:rsid w:val="57DF495C"/>
    <w:rsid w:val="57FF75EE"/>
    <w:rsid w:val="58110CF2"/>
    <w:rsid w:val="58207565"/>
    <w:rsid w:val="58296419"/>
    <w:rsid w:val="583956E1"/>
    <w:rsid w:val="584B2834"/>
    <w:rsid w:val="58590BB5"/>
    <w:rsid w:val="586F62C0"/>
    <w:rsid w:val="58981BA8"/>
    <w:rsid w:val="58AD0DF8"/>
    <w:rsid w:val="58CB74D0"/>
    <w:rsid w:val="58E051ED"/>
    <w:rsid w:val="58F06F37"/>
    <w:rsid w:val="590127A7"/>
    <w:rsid w:val="590C2C7D"/>
    <w:rsid w:val="59286680"/>
    <w:rsid w:val="5947124D"/>
    <w:rsid w:val="59526A97"/>
    <w:rsid w:val="597E2608"/>
    <w:rsid w:val="59973856"/>
    <w:rsid w:val="59995821"/>
    <w:rsid w:val="59A81EF2"/>
    <w:rsid w:val="59AC7302"/>
    <w:rsid w:val="59BE0DE3"/>
    <w:rsid w:val="59C363FA"/>
    <w:rsid w:val="59EA1BD8"/>
    <w:rsid w:val="59FD3F9E"/>
    <w:rsid w:val="5A1B2617"/>
    <w:rsid w:val="5A257C61"/>
    <w:rsid w:val="5A607CCE"/>
    <w:rsid w:val="5A663F2E"/>
    <w:rsid w:val="5A6F390B"/>
    <w:rsid w:val="5A886F3D"/>
    <w:rsid w:val="5A8A1CF7"/>
    <w:rsid w:val="5ACE5056"/>
    <w:rsid w:val="5ADF54B5"/>
    <w:rsid w:val="5AE76118"/>
    <w:rsid w:val="5AF21AE9"/>
    <w:rsid w:val="5AF44DD6"/>
    <w:rsid w:val="5B114646"/>
    <w:rsid w:val="5B1B7CC7"/>
    <w:rsid w:val="5B500161"/>
    <w:rsid w:val="5B5B46DE"/>
    <w:rsid w:val="5B8E63C4"/>
    <w:rsid w:val="5BB24978"/>
    <w:rsid w:val="5BC37254"/>
    <w:rsid w:val="5BC822EF"/>
    <w:rsid w:val="5BF73DE3"/>
    <w:rsid w:val="5BFC5BF3"/>
    <w:rsid w:val="5BFC63C7"/>
    <w:rsid w:val="5C11057A"/>
    <w:rsid w:val="5C5A1297"/>
    <w:rsid w:val="5C9654EB"/>
    <w:rsid w:val="5CA73DB1"/>
    <w:rsid w:val="5CB36705"/>
    <w:rsid w:val="5CB5471F"/>
    <w:rsid w:val="5CBD1826"/>
    <w:rsid w:val="5CCC5E7E"/>
    <w:rsid w:val="5CD04C47"/>
    <w:rsid w:val="5CD1707F"/>
    <w:rsid w:val="5CD32DF8"/>
    <w:rsid w:val="5CF949BB"/>
    <w:rsid w:val="5D057255"/>
    <w:rsid w:val="5D0C1301"/>
    <w:rsid w:val="5D1F7DEB"/>
    <w:rsid w:val="5D2B2C34"/>
    <w:rsid w:val="5D573992"/>
    <w:rsid w:val="5D5C103F"/>
    <w:rsid w:val="5DA30A1C"/>
    <w:rsid w:val="5DCA5FA9"/>
    <w:rsid w:val="5DEB68EA"/>
    <w:rsid w:val="5E005E6E"/>
    <w:rsid w:val="5E082AC2"/>
    <w:rsid w:val="5E1D07CE"/>
    <w:rsid w:val="5E3D49CC"/>
    <w:rsid w:val="5E5341F0"/>
    <w:rsid w:val="5E684992"/>
    <w:rsid w:val="5E6A1E17"/>
    <w:rsid w:val="5E9071F2"/>
    <w:rsid w:val="5E99597B"/>
    <w:rsid w:val="5E9A1E1F"/>
    <w:rsid w:val="5EB427B5"/>
    <w:rsid w:val="5EE527E1"/>
    <w:rsid w:val="5EF808F3"/>
    <w:rsid w:val="5EFD415C"/>
    <w:rsid w:val="5F015E04"/>
    <w:rsid w:val="5F023620"/>
    <w:rsid w:val="5F030150"/>
    <w:rsid w:val="5F2142EE"/>
    <w:rsid w:val="5F337B7D"/>
    <w:rsid w:val="5F393B80"/>
    <w:rsid w:val="5F3A715E"/>
    <w:rsid w:val="5F441D8B"/>
    <w:rsid w:val="5F442CB4"/>
    <w:rsid w:val="5F54438E"/>
    <w:rsid w:val="5F751F44"/>
    <w:rsid w:val="5FD07687"/>
    <w:rsid w:val="5FD61086"/>
    <w:rsid w:val="5FE70F2D"/>
    <w:rsid w:val="5FE84E0C"/>
    <w:rsid w:val="5FF10EC5"/>
    <w:rsid w:val="5FFF5CB2"/>
    <w:rsid w:val="600F05EB"/>
    <w:rsid w:val="6029146A"/>
    <w:rsid w:val="604F343F"/>
    <w:rsid w:val="605E7C94"/>
    <w:rsid w:val="606C1960"/>
    <w:rsid w:val="60AA51A8"/>
    <w:rsid w:val="60B82A30"/>
    <w:rsid w:val="60DF7FBD"/>
    <w:rsid w:val="60EA1C6A"/>
    <w:rsid w:val="60FD4F46"/>
    <w:rsid w:val="610572F8"/>
    <w:rsid w:val="613E50BB"/>
    <w:rsid w:val="61447E20"/>
    <w:rsid w:val="61534507"/>
    <w:rsid w:val="615D5095"/>
    <w:rsid w:val="616F3F04"/>
    <w:rsid w:val="61A3723C"/>
    <w:rsid w:val="61A54728"/>
    <w:rsid w:val="61C471B3"/>
    <w:rsid w:val="61C677DA"/>
    <w:rsid w:val="61E561AB"/>
    <w:rsid w:val="61F863AE"/>
    <w:rsid w:val="61FE10B3"/>
    <w:rsid w:val="62253924"/>
    <w:rsid w:val="625610C0"/>
    <w:rsid w:val="6261002D"/>
    <w:rsid w:val="62682234"/>
    <w:rsid w:val="6278282F"/>
    <w:rsid w:val="62943799"/>
    <w:rsid w:val="62A50D92"/>
    <w:rsid w:val="62AC2121"/>
    <w:rsid w:val="62CE653B"/>
    <w:rsid w:val="62D44271"/>
    <w:rsid w:val="62DC0E43"/>
    <w:rsid w:val="62E0626E"/>
    <w:rsid w:val="62E419D3"/>
    <w:rsid w:val="630A471E"/>
    <w:rsid w:val="631657EC"/>
    <w:rsid w:val="631F28F3"/>
    <w:rsid w:val="63247F09"/>
    <w:rsid w:val="63485CDE"/>
    <w:rsid w:val="634C2C1B"/>
    <w:rsid w:val="63500CFE"/>
    <w:rsid w:val="63564FFB"/>
    <w:rsid w:val="635C1421"/>
    <w:rsid w:val="63620A31"/>
    <w:rsid w:val="637C56E8"/>
    <w:rsid w:val="63AA1DD1"/>
    <w:rsid w:val="63B000AA"/>
    <w:rsid w:val="63C879BB"/>
    <w:rsid w:val="63DC6A36"/>
    <w:rsid w:val="63DD455C"/>
    <w:rsid w:val="63ED451C"/>
    <w:rsid w:val="63F02068"/>
    <w:rsid w:val="63F30730"/>
    <w:rsid w:val="63FF2724"/>
    <w:rsid w:val="644C3BBB"/>
    <w:rsid w:val="64636AC3"/>
    <w:rsid w:val="64801AB7"/>
    <w:rsid w:val="6480761A"/>
    <w:rsid w:val="648B7B6D"/>
    <w:rsid w:val="649D0E83"/>
    <w:rsid w:val="64A532CB"/>
    <w:rsid w:val="64E27A00"/>
    <w:rsid w:val="64E42046"/>
    <w:rsid w:val="6501237B"/>
    <w:rsid w:val="65047763"/>
    <w:rsid w:val="650708A6"/>
    <w:rsid w:val="650B38EE"/>
    <w:rsid w:val="652579C5"/>
    <w:rsid w:val="65270184"/>
    <w:rsid w:val="6531774A"/>
    <w:rsid w:val="654732CD"/>
    <w:rsid w:val="65501489"/>
    <w:rsid w:val="655B2A2B"/>
    <w:rsid w:val="65A13A93"/>
    <w:rsid w:val="65A90B99"/>
    <w:rsid w:val="65B17A4E"/>
    <w:rsid w:val="65B61A11"/>
    <w:rsid w:val="65BF6897"/>
    <w:rsid w:val="65C9123C"/>
    <w:rsid w:val="65E51D30"/>
    <w:rsid w:val="65F067C8"/>
    <w:rsid w:val="660B1854"/>
    <w:rsid w:val="661A1A97"/>
    <w:rsid w:val="662907EC"/>
    <w:rsid w:val="662D5327"/>
    <w:rsid w:val="663C7C5F"/>
    <w:rsid w:val="666176C6"/>
    <w:rsid w:val="66664CDC"/>
    <w:rsid w:val="668138C4"/>
    <w:rsid w:val="66943183"/>
    <w:rsid w:val="66A4359E"/>
    <w:rsid w:val="66BC66AA"/>
    <w:rsid w:val="66CC4E7E"/>
    <w:rsid w:val="66D71736"/>
    <w:rsid w:val="66F31BAD"/>
    <w:rsid w:val="66F73586"/>
    <w:rsid w:val="66FD73EF"/>
    <w:rsid w:val="670562A3"/>
    <w:rsid w:val="671B3424"/>
    <w:rsid w:val="671D635B"/>
    <w:rsid w:val="672C582D"/>
    <w:rsid w:val="67401F4D"/>
    <w:rsid w:val="67415D26"/>
    <w:rsid w:val="676C5591"/>
    <w:rsid w:val="67851192"/>
    <w:rsid w:val="678E41BC"/>
    <w:rsid w:val="678F7B49"/>
    <w:rsid w:val="679A139F"/>
    <w:rsid w:val="679D64DC"/>
    <w:rsid w:val="67A927F6"/>
    <w:rsid w:val="67C021CA"/>
    <w:rsid w:val="67DB0DB2"/>
    <w:rsid w:val="67E460B6"/>
    <w:rsid w:val="68165925"/>
    <w:rsid w:val="6833299C"/>
    <w:rsid w:val="68510504"/>
    <w:rsid w:val="687F083D"/>
    <w:rsid w:val="688A2F04"/>
    <w:rsid w:val="68951A5F"/>
    <w:rsid w:val="68B03FED"/>
    <w:rsid w:val="68B56134"/>
    <w:rsid w:val="68CA23D1"/>
    <w:rsid w:val="68D85345"/>
    <w:rsid w:val="68E1459C"/>
    <w:rsid w:val="68E32614"/>
    <w:rsid w:val="690B3AD2"/>
    <w:rsid w:val="69196036"/>
    <w:rsid w:val="691E53FA"/>
    <w:rsid w:val="69741FC9"/>
    <w:rsid w:val="69794D27"/>
    <w:rsid w:val="69831701"/>
    <w:rsid w:val="69E91EAC"/>
    <w:rsid w:val="69FA19C4"/>
    <w:rsid w:val="69FD58C9"/>
    <w:rsid w:val="6A0E546F"/>
    <w:rsid w:val="6A287F98"/>
    <w:rsid w:val="6A34616B"/>
    <w:rsid w:val="6A35284B"/>
    <w:rsid w:val="6A5E619E"/>
    <w:rsid w:val="6A701C86"/>
    <w:rsid w:val="6A771266"/>
    <w:rsid w:val="6A852A96"/>
    <w:rsid w:val="6A89113D"/>
    <w:rsid w:val="6AB53B3C"/>
    <w:rsid w:val="6AC23A23"/>
    <w:rsid w:val="6AD761A9"/>
    <w:rsid w:val="6AF6662F"/>
    <w:rsid w:val="6AFA59F3"/>
    <w:rsid w:val="6B016D82"/>
    <w:rsid w:val="6B030D4C"/>
    <w:rsid w:val="6B142F59"/>
    <w:rsid w:val="6B1E4384"/>
    <w:rsid w:val="6B4E0D76"/>
    <w:rsid w:val="6B5362D7"/>
    <w:rsid w:val="6B614135"/>
    <w:rsid w:val="6B9E0A74"/>
    <w:rsid w:val="6BB17B6E"/>
    <w:rsid w:val="6BB45BC2"/>
    <w:rsid w:val="6BBB5183"/>
    <w:rsid w:val="6BC93952"/>
    <w:rsid w:val="6BCC55E2"/>
    <w:rsid w:val="6BE0108D"/>
    <w:rsid w:val="6BEE7E20"/>
    <w:rsid w:val="6BFE286F"/>
    <w:rsid w:val="6C07661A"/>
    <w:rsid w:val="6C1D4922"/>
    <w:rsid w:val="6C1F1A3A"/>
    <w:rsid w:val="6C2A0233"/>
    <w:rsid w:val="6C460B63"/>
    <w:rsid w:val="6C504070"/>
    <w:rsid w:val="6C566E2D"/>
    <w:rsid w:val="6C6B4EFE"/>
    <w:rsid w:val="6C6D0B73"/>
    <w:rsid w:val="6C71397E"/>
    <w:rsid w:val="6C7B105D"/>
    <w:rsid w:val="6C7D0B4F"/>
    <w:rsid w:val="6CB5381C"/>
    <w:rsid w:val="6CC72BB6"/>
    <w:rsid w:val="6CCD33BF"/>
    <w:rsid w:val="6CFF7116"/>
    <w:rsid w:val="6D262AD0"/>
    <w:rsid w:val="6D401DE3"/>
    <w:rsid w:val="6D4B1CBB"/>
    <w:rsid w:val="6D54763D"/>
    <w:rsid w:val="6D763A57"/>
    <w:rsid w:val="6DD469CF"/>
    <w:rsid w:val="6DD80BDE"/>
    <w:rsid w:val="6DDC4B60"/>
    <w:rsid w:val="6DEE54F9"/>
    <w:rsid w:val="6DFB5D0A"/>
    <w:rsid w:val="6E065DC5"/>
    <w:rsid w:val="6E101E89"/>
    <w:rsid w:val="6E2711F5"/>
    <w:rsid w:val="6E2D42B2"/>
    <w:rsid w:val="6E355D2E"/>
    <w:rsid w:val="6E3B25AB"/>
    <w:rsid w:val="6E3C30B0"/>
    <w:rsid w:val="6E46167B"/>
    <w:rsid w:val="6E4B0408"/>
    <w:rsid w:val="6E594B7C"/>
    <w:rsid w:val="6E6733A0"/>
    <w:rsid w:val="6E796E19"/>
    <w:rsid w:val="6EC641D8"/>
    <w:rsid w:val="6EEB2223"/>
    <w:rsid w:val="6EF15F7A"/>
    <w:rsid w:val="6EFA3169"/>
    <w:rsid w:val="6F084B83"/>
    <w:rsid w:val="6F1057E5"/>
    <w:rsid w:val="6F176B74"/>
    <w:rsid w:val="6F1A326F"/>
    <w:rsid w:val="6F4A519B"/>
    <w:rsid w:val="6F4F630E"/>
    <w:rsid w:val="6F591D65"/>
    <w:rsid w:val="6F655B31"/>
    <w:rsid w:val="6F70539D"/>
    <w:rsid w:val="6F875D3C"/>
    <w:rsid w:val="6FA537AE"/>
    <w:rsid w:val="6FBB6C0A"/>
    <w:rsid w:val="6FBD596D"/>
    <w:rsid w:val="6FD84B7F"/>
    <w:rsid w:val="6FDD600F"/>
    <w:rsid w:val="6FE77305"/>
    <w:rsid w:val="6FFA2942"/>
    <w:rsid w:val="6FFB0A55"/>
    <w:rsid w:val="6FFB46E7"/>
    <w:rsid w:val="70052F7C"/>
    <w:rsid w:val="701628A7"/>
    <w:rsid w:val="702E6C97"/>
    <w:rsid w:val="70306917"/>
    <w:rsid w:val="7034449D"/>
    <w:rsid w:val="70696AA8"/>
    <w:rsid w:val="70726651"/>
    <w:rsid w:val="70797212"/>
    <w:rsid w:val="707D700C"/>
    <w:rsid w:val="709E4A5F"/>
    <w:rsid w:val="70A64653"/>
    <w:rsid w:val="70AB7EBB"/>
    <w:rsid w:val="70B157EF"/>
    <w:rsid w:val="70B527D7"/>
    <w:rsid w:val="70C62FCD"/>
    <w:rsid w:val="70EF09D6"/>
    <w:rsid w:val="70F744A9"/>
    <w:rsid w:val="70F85A34"/>
    <w:rsid w:val="71092E34"/>
    <w:rsid w:val="713F0604"/>
    <w:rsid w:val="71494FDF"/>
    <w:rsid w:val="71685DAD"/>
    <w:rsid w:val="717C1858"/>
    <w:rsid w:val="71843CAF"/>
    <w:rsid w:val="71987FBF"/>
    <w:rsid w:val="719A3A8C"/>
    <w:rsid w:val="71CF4334"/>
    <w:rsid w:val="71F340C1"/>
    <w:rsid w:val="71FF4B3F"/>
    <w:rsid w:val="72005FE5"/>
    <w:rsid w:val="720A24F5"/>
    <w:rsid w:val="72190C9A"/>
    <w:rsid w:val="721D0945"/>
    <w:rsid w:val="72231757"/>
    <w:rsid w:val="7240240E"/>
    <w:rsid w:val="72536A46"/>
    <w:rsid w:val="72651E8C"/>
    <w:rsid w:val="726714AF"/>
    <w:rsid w:val="727E4290"/>
    <w:rsid w:val="72936E59"/>
    <w:rsid w:val="729D5D7B"/>
    <w:rsid w:val="72B80B87"/>
    <w:rsid w:val="72BB3A2A"/>
    <w:rsid w:val="72C1034B"/>
    <w:rsid w:val="72CE73C6"/>
    <w:rsid w:val="72FF44EF"/>
    <w:rsid w:val="73013662"/>
    <w:rsid w:val="73027B3B"/>
    <w:rsid w:val="73124222"/>
    <w:rsid w:val="73396BF6"/>
    <w:rsid w:val="73527B18"/>
    <w:rsid w:val="738F2539"/>
    <w:rsid w:val="739C7F8F"/>
    <w:rsid w:val="73CA554E"/>
    <w:rsid w:val="73CA68AB"/>
    <w:rsid w:val="73CF0191"/>
    <w:rsid w:val="73CF67B0"/>
    <w:rsid w:val="73DE7D51"/>
    <w:rsid w:val="73FB0F96"/>
    <w:rsid w:val="74023BFC"/>
    <w:rsid w:val="740C6EC3"/>
    <w:rsid w:val="740E3227"/>
    <w:rsid w:val="740F250F"/>
    <w:rsid w:val="74257F85"/>
    <w:rsid w:val="743326A2"/>
    <w:rsid w:val="74477EFB"/>
    <w:rsid w:val="7457535D"/>
    <w:rsid w:val="746C188E"/>
    <w:rsid w:val="74714F78"/>
    <w:rsid w:val="74784559"/>
    <w:rsid w:val="747D391D"/>
    <w:rsid w:val="748059D1"/>
    <w:rsid w:val="748C0004"/>
    <w:rsid w:val="74962C31"/>
    <w:rsid w:val="74A34E20"/>
    <w:rsid w:val="74A43BC8"/>
    <w:rsid w:val="74AE1D28"/>
    <w:rsid w:val="74B65081"/>
    <w:rsid w:val="74B84955"/>
    <w:rsid w:val="74CD2669"/>
    <w:rsid w:val="74EF5098"/>
    <w:rsid w:val="74F01935"/>
    <w:rsid w:val="74F43C06"/>
    <w:rsid w:val="750C7513"/>
    <w:rsid w:val="75183C34"/>
    <w:rsid w:val="753A42E5"/>
    <w:rsid w:val="75703482"/>
    <w:rsid w:val="75B1177F"/>
    <w:rsid w:val="75D32B82"/>
    <w:rsid w:val="75DC2C78"/>
    <w:rsid w:val="75FE784C"/>
    <w:rsid w:val="760D414E"/>
    <w:rsid w:val="76200A04"/>
    <w:rsid w:val="764334D3"/>
    <w:rsid w:val="765C61F9"/>
    <w:rsid w:val="767A1B5B"/>
    <w:rsid w:val="76931C72"/>
    <w:rsid w:val="769413F2"/>
    <w:rsid w:val="76962A74"/>
    <w:rsid w:val="76B07D5F"/>
    <w:rsid w:val="76B949BA"/>
    <w:rsid w:val="76C40C26"/>
    <w:rsid w:val="76D05B67"/>
    <w:rsid w:val="770A79A4"/>
    <w:rsid w:val="770E3163"/>
    <w:rsid w:val="772207AC"/>
    <w:rsid w:val="77291B3A"/>
    <w:rsid w:val="77685F73"/>
    <w:rsid w:val="777668B4"/>
    <w:rsid w:val="777B1B0F"/>
    <w:rsid w:val="778F5094"/>
    <w:rsid w:val="7792362F"/>
    <w:rsid w:val="77A37E61"/>
    <w:rsid w:val="77B32F6D"/>
    <w:rsid w:val="77EB3293"/>
    <w:rsid w:val="77F16C67"/>
    <w:rsid w:val="77F871A2"/>
    <w:rsid w:val="780103C1"/>
    <w:rsid w:val="782A0DA6"/>
    <w:rsid w:val="782B18E2"/>
    <w:rsid w:val="788174A2"/>
    <w:rsid w:val="788773D1"/>
    <w:rsid w:val="78885CDF"/>
    <w:rsid w:val="78A05E2C"/>
    <w:rsid w:val="78A20007"/>
    <w:rsid w:val="78A418E4"/>
    <w:rsid w:val="78A43B6E"/>
    <w:rsid w:val="78FE6C92"/>
    <w:rsid w:val="791B29B4"/>
    <w:rsid w:val="79202AC9"/>
    <w:rsid w:val="7936053E"/>
    <w:rsid w:val="7947433B"/>
    <w:rsid w:val="79730387"/>
    <w:rsid w:val="797A2291"/>
    <w:rsid w:val="798B075D"/>
    <w:rsid w:val="798E6CC9"/>
    <w:rsid w:val="79A11E5C"/>
    <w:rsid w:val="79E306C6"/>
    <w:rsid w:val="79F04B91"/>
    <w:rsid w:val="79F9310E"/>
    <w:rsid w:val="79FC6A9D"/>
    <w:rsid w:val="79FF0842"/>
    <w:rsid w:val="7A236D15"/>
    <w:rsid w:val="7A28251C"/>
    <w:rsid w:val="7A557D7A"/>
    <w:rsid w:val="7A5944E4"/>
    <w:rsid w:val="7A6D11AC"/>
    <w:rsid w:val="7A74131E"/>
    <w:rsid w:val="7A884DCA"/>
    <w:rsid w:val="7AA2038C"/>
    <w:rsid w:val="7AA95FF0"/>
    <w:rsid w:val="7AB45AE2"/>
    <w:rsid w:val="7AC557A1"/>
    <w:rsid w:val="7AD42547"/>
    <w:rsid w:val="7AE54A07"/>
    <w:rsid w:val="7AED0B42"/>
    <w:rsid w:val="7AEF2658"/>
    <w:rsid w:val="7B025BE9"/>
    <w:rsid w:val="7B07777E"/>
    <w:rsid w:val="7B173349"/>
    <w:rsid w:val="7B3E36DA"/>
    <w:rsid w:val="7B5F72A0"/>
    <w:rsid w:val="7B615D46"/>
    <w:rsid w:val="7B915F00"/>
    <w:rsid w:val="7BA82FBC"/>
    <w:rsid w:val="7BBE7F39"/>
    <w:rsid w:val="7BBF2A6D"/>
    <w:rsid w:val="7BC741EA"/>
    <w:rsid w:val="7BD47593"/>
    <w:rsid w:val="7BE91898"/>
    <w:rsid w:val="7C33560B"/>
    <w:rsid w:val="7C5E48D0"/>
    <w:rsid w:val="7C75137E"/>
    <w:rsid w:val="7CA23160"/>
    <w:rsid w:val="7CA87CB5"/>
    <w:rsid w:val="7CB11315"/>
    <w:rsid w:val="7CB9049B"/>
    <w:rsid w:val="7CE86C9A"/>
    <w:rsid w:val="7D435C34"/>
    <w:rsid w:val="7D495EEB"/>
    <w:rsid w:val="7D750127"/>
    <w:rsid w:val="7D7E4262"/>
    <w:rsid w:val="7DBC3708"/>
    <w:rsid w:val="7DC00960"/>
    <w:rsid w:val="7DC9403A"/>
    <w:rsid w:val="7DD2531E"/>
    <w:rsid w:val="7E0B769B"/>
    <w:rsid w:val="7E155322"/>
    <w:rsid w:val="7E211369"/>
    <w:rsid w:val="7E221091"/>
    <w:rsid w:val="7E287243"/>
    <w:rsid w:val="7E2C65B8"/>
    <w:rsid w:val="7E2D1F10"/>
    <w:rsid w:val="7E3549AA"/>
    <w:rsid w:val="7E44486F"/>
    <w:rsid w:val="7E490D14"/>
    <w:rsid w:val="7E773EE8"/>
    <w:rsid w:val="7E8946B4"/>
    <w:rsid w:val="7E924622"/>
    <w:rsid w:val="7EA22534"/>
    <w:rsid w:val="7ED54355"/>
    <w:rsid w:val="7ED77B95"/>
    <w:rsid w:val="7EE12C11"/>
    <w:rsid w:val="7EE30820"/>
    <w:rsid w:val="7EE35FE0"/>
    <w:rsid w:val="7EF06B5D"/>
    <w:rsid w:val="7EFA1459"/>
    <w:rsid w:val="7F061CF4"/>
    <w:rsid w:val="7F2828C2"/>
    <w:rsid w:val="7F30567C"/>
    <w:rsid w:val="7F3E1EFB"/>
    <w:rsid w:val="7F5A62A6"/>
    <w:rsid w:val="7F5D4A77"/>
    <w:rsid w:val="7F607DDA"/>
    <w:rsid w:val="7F643ECB"/>
    <w:rsid w:val="7F6770DA"/>
    <w:rsid w:val="7F6F47AA"/>
    <w:rsid w:val="7F7333AD"/>
    <w:rsid w:val="7F826322"/>
    <w:rsid w:val="7F832857"/>
    <w:rsid w:val="7F855D7C"/>
    <w:rsid w:val="7F8D0B43"/>
    <w:rsid w:val="7F973D35"/>
    <w:rsid w:val="7F9B46DF"/>
    <w:rsid w:val="7FA01F4C"/>
    <w:rsid w:val="7FA028A6"/>
    <w:rsid w:val="7FB44B21"/>
    <w:rsid w:val="7FB56661"/>
    <w:rsid w:val="7FB979E7"/>
    <w:rsid w:val="7FF076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7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01"/>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4"/>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7">
    <w:name w:val="heading 5"/>
    <w:basedOn w:val="1"/>
    <w:next w:val="1"/>
    <w:link w:val="75"/>
    <w:qFormat/>
    <w:uiPriority w:val="0"/>
    <w:pPr>
      <w:keepNext/>
      <w:keepLines/>
      <w:spacing w:before="280" w:after="290" w:line="376" w:lineRule="auto"/>
      <w:outlineLvl w:val="4"/>
    </w:pPr>
    <w:rPr>
      <w:b/>
      <w:bCs/>
      <w:sz w:val="28"/>
      <w:szCs w:val="28"/>
    </w:rPr>
  </w:style>
  <w:style w:type="paragraph" w:styleId="8">
    <w:name w:val="heading 6"/>
    <w:basedOn w:val="1"/>
    <w:next w:val="1"/>
    <w:link w:val="76"/>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link w:val="77"/>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78"/>
    <w:qFormat/>
    <w:uiPriority w:val="0"/>
    <w:pPr>
      <w:keepNext/>
      <w:keepLines/>
      <w:spacing w:before="240" w:after="64" w:line="320" w:lineRule="auto"/>
      <w:ind w:firstLine="200" w:firstLineChars="200"/>
      <w:outlineLvl w:val="7"/>
    </w:pPr>
    <w:rPr>
      <w:rFonts w:ascii="Cambria" w:hAnsi="Cambria"/>
      <w:sz w:val="24"/>
    </w:rPr>
  </w:style>
  <w:style w:type="paragraph" w:styleId="11">
    <w:name w:val="heading 9"/>
    <w:basedOn w:val="1"/>
    <w:next w:val="1"/>
    <w:link w:val="79"/>
    <w:qFormat/>
    <w:uiPriority w:val="0"/>
    <w:pPr>
      <w:keepNext/>
      <w:keepLines/>
      <w:spacing w:before="240" w:after="64" w:line="320" w:lineRule="auto"/>
      <w:ind w:firstLine="200" w:firstLineChars="200"/>
      <w:outlineLvl w:val="8"/>
    </w:pPr>
    <w:rPr>
      <w:rFonts w:ascii="Cambria" w:hAnsi="Cambria"/>
      <w:szCs w:val="21"/>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4"/>
    <w:unhideWhenUsed/>
    <w:qFormat/>
    <w:uiPriority w:val="0"/>
    <w:pPr>
      <w:spacing w:after="120"/>
    </w:pPr>
  </w:style>
  <w:style w:type="paragraph" w:styleId="12">
    <w:name w:val="toc 7"/>
    <w:basedOn w:val="1"/>
    <w:next w:val="1"/>
    <w:unhideWhenUsed/>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qFormat/>
    <w:uiPriority w:val="0"/>
    <w:pPr>
      <w:ind w:left="1400" w:leftChars="1400" w:firstLine="0"/>
    </w:pPr>
  </w:style>
  <w:style w:type="paragraph" w:styleId="14">
    <w:name w:val="Normal Indent"/>
    <w:basedOn w:val="1"/>
    <w:next w:val="15"/>
    <w:link w:val="80"/>
    <w:qFormat/>
    <w:uiPriority w:val="0"/>
    <w:pPr>
      <w:adjustRightInd w:val="0"/>
      <w:spacing w:line="312" w:lineRule="atLeast"/>
      <w:ind w:firstLine="420" w:firstLineChars="200"/>
    </w:pPr>
    <w:rPr>
      <w:kern w:val="0"/>
      <w:szCs w:val="20"/>
    </w:rPr>
  </w:style>
  <w:style w:type="paragraph" w:customStyle="1" w:styleId="1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6">
    <w:name w:val="caption"/>
    <w:basedOn w:val="1"/>
    <w:next w:val="1"/>
    <w:qFormat/>
    <w:uiPriority w:val="0"/>
    <w:pPr>
      <w:spacing w:line="360" w:lineRule="exact"/>
      <w:ind w:firstLine="200" w:firstLineChars="200"/>
    </w:pPr>
    <w:rPr>
      <w:rFonts w:ascii="Cambria" w:hAnsi="Cambria" w:eastAsia="黑体"/>
      <w:sz w:val="20"/>
      <w:szCs w:val="20"/>
    </w:rPr>
  </w:style>
  <w:style w:type="paragraph" w:styleId="17">
    <w:name w:val="List Bullet"/>
    <w:basedOn w:val="1"/>
    <w:qFormat/>
    <w:uiPriority w:val="0"/>
    <w:pPr>
      <w:tabs>
        <w:tab w:val="left" w:pos="360"/>
      </w:tabs>
      <w:ind w:left="360" w:hanging="360"/>
    </w:pPr>
  </w:style>
  <w:style w:type="paragraph" w:styleId="18">
    <w:name w:val="Document Map"/>
    <w:basedOn w:val="1"/>
    <w:link w:val="81"/>
    <w:qFormat/>
    <w:uiPriority w:val="0"/>
    <w:pPr>
      <w:shd w:val="clear" w:color="auto" w:fill="000080"/>
      <w:spacing w:line="360" w:lineRule="exact"/>
      <w:ind w:firstLine="200" w:firstLineChars="200"/>
    </w:pPr>
  </w:style>
  <w:style w:type="paragraph" w:styleId="19">
    <w:name w:val="annotation text"/>
    <w:basedOn w:val="1"/>
    <w:link w:val="82"/>
    <w:qFormat/>
    <w:uiPriority w:val="0"/>
    <w:pPr>
      <w:widowControl/>
      <w:jc w:val="left"/>
    </w:pPr>
    <w:rPr>
      <w:rFonts w:ascii="Calibri" w:hAnsi="Calibri" w:eastAsia="宋体" w:cs="Times New Roman"/>
    </w:rPr>
  </w:style>
  <w:style w:type="paragraph" w:styleId="20">
    <w:name w:val="Body Text 3"/>
    <w:basedOn w:val="1"/>
    <w:link w:val="83"/>
    <w:qFormat/>
    <w:uiPriority w:val="0"/>
    <w:pPr>
      <w:spacing w:line="360" w:lineRule="exact"/>
      <w:ind w:firstLine="200" w:firstLineChars="200"/>
    </w:pPr>
    <w:rPr>
      <w:rFonts w:ascii="宋体"/>
      <w:sz w:val="24"/>
      <w:szCs w:val="20"/>
    </w:rPr>
  </w:style>
  <w:style w:type="paragraph" w:styleId="21">
    <w:name w:val="Body Text Indent"/>
    <w:basedOn w:val="1"/>
    <w:next w:val="22"/>
    <w:link w:val="85"/>
    <w:qFormat/>
    <w:uiPriority w:val="0"/>
    <w:pPr>
      <w:spacing w:after="120" w:line="360" w:lineRule="exact"/>
      <w:ind w:left="420" w:leftChars="200" w:firstLine="200" w:firstLineChars="200"/>
    </w:p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840" w:hanging="420"/>
    </w:pPr>
    <w:rPr>
      <w:szCs w:val="20"/>
    </w:rPr>
  </w:style>
  <w:style w:type="paragraph" w:styleId="24">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0"/>
    <w:pPr>
      <w:spacing w:line="360" w:lineRule="exact"/>
      <w:ind w:left="840" w:firstLine="200" w:firstLineChars="200"/>
      <w:jc w:val="left"/>
    </w:pPr>
    <w:rPr>
      <w:rFonts w:ascii="Calibri" w:hAnsi="Calibri"/>
      <w:sz w:val="18"/>
      <w:szCs w:val="18"/>
    </w:rPr>
  </w:style>
  <w:style w:type="paragraph" w:styleId="27">
    <w:name w:val="toc 3"/>
    <w:basedOn w:val="1"/>
    <w:next w:val="1"/>
    <w:unhideWhenUsed/>
    <w:qFormat/>
    <w:uiPriority w:val="39"/>
    <w:pPr>
      <w:ind w:left="840" w:leftChars="400"/>
    </w:pPr>
  </w:style>
  <w:style w:type="paragraph" w:styleId="28">
    <w:name w:val="Plain Text"/>
    <w:basedOn w:val="1"/>
    <w:next w:val="1"/>
    <w:link w:val="86"/>
    <w:qFormat/>
    <w:uiPriority w:val="0"/>
    <w:rPr>
      <w:rFonts w:ascii="宋体" w:hAnsi="Courier New" w:cs="Times New Roman"/>
      <w:szCs w:val="22"/>
    </w:rPr>
  </w:style>
  <w:style w:type="paragraph" w:styleId="29">
    <w:name w:val="toc 8"/>
    <w:basedOn w:val="1"/>
    <w:next w:val="1"/>
    <w:unhideWhenUsed/>
    <w:qFormat/>
    <w:uiPriority w:val="0"/>
    <w:pPr>
      <w:spacing w:line="360" w:lineRule="exact"/>
      <w:ind w:left="1470" w:firstLine="200" w:firstLineChars="200"/>
      <w:jc w:val="left"/>
    </w:pPr>
    <w:rPr>
      <w:rFonts w:ascii="Calibri" w:hAnsi="Calibri"/>
      <w:sz w:val="18"/>
      <w:szCs w:val="18"/>
    </w:rPr>
  </w:style>
  <w:style w:type="paragraph" w:styleId="30">
    <w:name w:val="index 3"/>
    <w:basedOn w:val="1"/>
    <w:next w:val="1"/>
    <w:qFormat/>
    <w:uiPriority w:val="0"/>
    <w:pPr>
      <w:ind w:left="400" w:leftChars="400"/>
      <w:jc w:val="left"/>
    </w:pPr>
  </w:style>
  <w:style w:type="paragraph" w:styleId="31">
    <w:name w:val="Date"/>
    <w:basedOn w:val="1"/>
    <w:next w:val="1"/>
    <w:link w:val="87"/>
    <w:qFormat/>
    <w:uiPriority w:val="0"/>
    <w:pPr>
      <w:spacing w:line="360" w:lineRule="exact"/>
      <w:ind w:left="100" w:leftChars="2500" w:firstLine="200" w:firstLineChars="200"/>
    </w:pPr>
    <w:rPr>
      <w:rFonts w:ascii="Calibri" w:hAnsi="Calibri" w:eastAsia="宋体" w:cs="Times New Roman"/>
    </w:rPr>
  </w:style>
  <w:style w:type="paragraph" w:styleId="32">
    <w:name w:val="Body Text Indent 2"/>
    <w:basedOn w:val="1"/>
    <w:link w:val="88"/>
    <w:qFormat/>
    <w:uiPriority w:val="0"/>
    <w:pPr>
      <w:spacing w:after="120" w:line="480" w:lineRule="auto"/>
      <w:ind w:left="420" w:leftChars="200" w:firstLine="200" w:firstLineChars="200"/>
    </w:pPr>
  </w:style>
  <w:style w:type="paragraph" w:styleId="33">
    <w:name w:val="Balloon Text"/>
    <w:basedOn w:val="1"/>
    <w:link w:val="89"/>
    <w:unhideWhenUsed/>
    <w:qFormat/>
    <w:uiPriority w:val="0"/>
    <w:rPr>
      <w:sz w:val="18"/>
      <w:szCs w:val="18"/>
    </w:rPr>
  </w:style>
  <w:style w:type="paragraph" w:styleId="34">
    <w:name w:val="footer"/>
    <w:basedOn w:val="1"/>
    <w:link w:val="90"/>
    <w:unhideWhenUsed/>
    <w:qFormat/>
    <w:uiPriority w:val="0"/>
    <w:pPr>
      <w:tabs>
        <w:tab w:val="center" w:pos="4153"/>
        <w:tab w:val="right" w:pos="8306"/>
      </w:tabs>
      <w:snapToGrid w:val="0"/>
      <w:jc w:val="left"/>
    </w:pPr>
    <w:rPr>
      <w:sz w:val="18"/>
      <w:szCs w:val="18"/>
    </w:rPr>
  </w:style>
  <w:style w:type="paragraph" w:styleId="3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0"/>
    <w:pPr>
      <w:spacing w:line="360" w:lineRule="exact"/>
      <w:ind w:left="630" w:firstLine="200" w:firstLineChars="200"/>
      <w:jc w:val="left"/>
    </w:pPr>
    <w:rPr>
      <w:rFonts w:ascii="Calibri" w:hAnsi="Calibri"/>
      <w:sz w:val="18"/>
      <w:szCs w:val="18"/>
    </w:rPr>
  </w:style>
  <w:style w:type="paragraph" w:styleId="38">
    <w:name w:val="Subtitle"/>
    <w:basedOn w:val="1"/>
    <w:next w:val="1"/>
    <w:link w:val="92"/>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9">
    <w:name w:val="footnote text"/>
    <w:basedOn w:val="1"/>
    <w:link w:val="93"/>
    <w:qFormat/>
    <w:uiPriority w:val="0"/>
    <w:pPr>
      <w:snapToGrid w:val="0"/>
      <w:jc w:val="left"/>
    </w:pPr>
    <w:rPr>
      <w:sz w:val="18"/>
      <w:szCs w:val="18"/>
    </w:rPr>
  </w:style>
  <w:style w:type="paragraph" w:styleId="40">
    <w:name w:val="toc 6"/>
    <w:basedOn w:val="1"/>
    <w:next w:val="1"/>
    <w:unhideWhenUsed/>
    <w:qFormat/>
    <w:uiPriority w:val="0"/>
    <w:pPr>
      <w:spacing w:line="360" w:lineRule="exact"/>
      <w:ind w:left="1050" w:firstLine="200" w:firstLineChars="200"/>
      <w:jc w:val="left"/>
    </w:pPr>
    <w:rPr>
      <w:rFonts w:ascii="Calibri" w:hAnsi="Calibri"/>
      <w:sz w:val="18"/>
      <w:szCs w:val="18"/>
    </w:rPr>
  </w:style>
  <w:style w:type="paragraph" w:styleId="41">
    <w:name w:val="List 5"/>
    <w:basedOn w:val="1"/>
    <w:qFormat/>
    <w:uiPriority w:val="0"/>
    <w:pPr>
      <w:ind w:left="2100" w:hanging="420"/>
    </w:pPr>
    <w:rPr>
      <w:szCs w:val="20"/>
    </w:rPr>
  </w:style>
  <w:style w:type="paragraph" w:styleId="42">
    <w:name w:val="Body Text Indent 3"/>
    <w:basedOn w:val="1"/>
    <w:link w:val="94"/>
    <w:qFormat/>
    <w:uiPriority w:val="0"/>
    <w:pPr>
      <w:spacing w:after="120" w:line="360" w:lineRule="exact"/>
      <w:ind w:left="420" w:leftChars="200" w:firstLine="200" w:firstLineChars="200"/>
    </w:pPr>
    <w:rPr>
      <w:sz w:val="16"/>
      <w:szCs w:val="16"/>
    </w:rPr>
  </w:style>
  <w:style w:type="paragraph" w:styleId="43">
    <w:name w:val="index 9"/>
    <w:basedOn w:val="1"/>
    <w:next w:val="1"/>
    <w:qFormat/>
    <w:uiPriority w:val="0"/>
    <w:pPr>
      <w:ind w:left="1600" w:leftChars="1600"/>
    </w:pPr>
    <w:rPr>
      <w:szCs w:val="20"/>
    </w:rPr>
  </w:style>
  <w:style w:type="paragraph" w:styleId="44">
    <w:name w:val="toc 2"/>
    <w:basedOn w:val="1"/>
    <w:next w:val="1"/>
    <w:link w:val="95"/>
    <w:unhideWhenUsed/>
    <w:qFormat/>
    <w:uiPriority w:val="39"/>
    <w:pPr>
      <w:ind w:left="420" w:leftChars="200"/>
    </w:pPr>
  </w:style>
  <w:style w:type="paragraph" w:styleId="45">
    <w:name w:val="toc 9"/>
    <w:basedOn w:val="1"/>
    <w:next w:val="1"/>
    <w:unhideWhenUsed/>
    <w:qFormat/>
    <w:uiPriority w:val="0"/>
    <w:pPr>
      <w:spacing w:line="360" w:lineRule="exact"/>
      <w:ind w:left="1680" w:firstLine="200" w:firstLineChars="200"/>
      <w:jc w:val="left"/>
    </w:pPr>
    <w:rPr>
      <w:rFonts w:ascii="Calibri" w:hAnsi="Calibri"/>
      <w:sz w:val="18"/>
      <w:szCs w:val="18"/>
    </w:rPr>
  </w:style>
  <w:style w:type="paragraph" w:styleId="46">
    <w:name w:val="Body Text 2"/>
    <w:basedOn w:val="1"/>
    <w:link w:val="96"/>
    <w:qFormat/>
    <w:uiPriority w:val="0"/>
    <w:pPr>
      <w:spacing w:after="120" w:line="480" w:lineRule="auto"/>
      <w:ind w:firstLine="200" w:firstLineChars="200"/>
    </w:pPr>
    <w:rPr>
      <w:rFonts w:ascii="Calibri" w:hAnsi="Calibri" w:eastAsia="宋体" w:cs="Times New Roman"/>
    </w:rPr>
  </w:style>
  <w:style w:type="paragraph" w:styleId="47">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pPr>
      <w:ind w:right="257"/>
    </w:pPr>
    <w:rPr>
      <w:rFonts w:ascii="宋体" w:hAnsi="宋体"/>
      <w:szCs w:val="20"/>
    </w:rPr>
  </w:style>
  <w:style w:type="paragraph" w:styleId="50">
    <w:name w:val="Title"/>
    <w:basedOn w:val="1"/>
    <w:next w:val="28"/>
    <w:link w:val="98"/>
    <w:qFormat/>
    <w:uiPriority w:val="0"/>
    <w:pPr>
      <w:spacing w:before="240" w:after="240"/>
      <w:ind w:firstLine="1687"/>
      <w:jc w:val="center"/>
      <w:outlineLvl w:val="0"/>
    </w:pPr>
    <w:rPr>
      <w:rFonts w:ascii="Cambria" w:hAnsi="Cambria" w:eastAsia="宋体" w:cs="Times New Roman"/>
      <w:b/>
      <w:bCs/>
      <w:sz w:val="32"/>
      <w:szCs w:val="32"/>
    </w:rPr>
  </w:style>
  <w:style w:type="paragraph" w:styleId="51">
    <w:name w:val="annotation subject"/>
    <w:basedOn w:val="19"/>
    <w:next w:val="19"/>
    <w:link w:val="99"/>
    <w:qFormat/>
    <w:uiPriority w:val="0"/>
    <w:pPr>
      <w:widowControl w:val="0"/>
      <w:spacing w:line="360" w:lineRule="exact"/>
      <w:ind w:firstLine="200" w:firstLineChars="200"/>
    </w:pPr>
    <w:rPr>
      <w:rFonts w:ascii="Times New Roman" w:hAnsi="Times New Roman" w:eastAsia="宋体" w:cs="Times New Roman"/>
      <w:b/>
      <w:bCs/>
    </w:rPr>
  </w:style>
  <w:style w:type="paragraph" w:styleId="52">
    <w:name w:val="Body Text First Indent"/>
    <w:basedOn w:val="2"/>
    <w:link w:val="100"/>
    <w:qFormat/>
    <w:uiPriority w:val="0"/>
    <w:pPr>
      <w:ind w:firstLine="420" w:firstLineChars="100"/>
    </w:pPr>
  </w:style>
  <w:style w:type="paragraph" w:styleId="53">
    <w:name w:val="Body Text First Indent 2"/>
    <w:basedOn w:val="1"/>
    <w:unhideWhenUsed/>
    <w:qFormat/>
    <w:uiPriority w:val="99"/>
    <w:pPr>
      <w:ind w:firstLine="420" w:firstLineChars="20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333333"/>
      <w:u w:val="none"/>
    </w:rPr>
  </w:style>
  <w:style w:type="character" w:styleId="60">
    <w:name w:val="Emphasis"/>
    <w:qFormat/>
    <w:uiPriority w:val="0"/>
    <w:rPr>
      <w:i/>
      <w:iCs/>
    </w:rPr>
  </w:style>
  <w:style w:type="character" w:styleId="61">
    <w:name w:val="HTML Definition"/>
    <w:qFormat/>
    <w:uiPriority w:val="0"/>
  </w:style>
  <w:style w:type="character" w:styleId="62">
    <w:name w:val="HTML Acronym"/>
    <w:basedOn w:val="56"/>
    <w:qFormat/>
    <w:uiPriority w:val="0"/>
  </w:style>
  <w:style w:type="character" w:styleId="63">
    <w:name w:val="HTML Variable"/>
    <w:qFormat/>
    <w:uiPriority w:val="0"/>
  </w:style>
  <w:style w:type="character" w:styleId="64">
    <w:name w:val="Hyperlink"/>
    <w:basedOn w:val="56"/>
    <w:qFormat/>
    <w:uiPriority w:val="99"/>
    <w:rPr>
      <w:color w:val="333333"/>
      <w:u w:val="none"/>
    </w:rPr>
  </w:style>
  <w:style w:type="character" w:styleId="65">
    <w:name w:val="HTML Code"/>
    <w:qFormat/>
    <w:uiPriority w:val="0"/>
    <w:rPr>
      <w:rFonts w:ascii="Courier New" w:hAnsi="Courier New"/>
      <w:color w:val="505050"/>
      <w:sz w:val="24"/>
      <w:szCs w:val="24"/>
    </w:rPr>
  </w:style>
  <w:style w:type="character" w:styleId="66">
    <w:name w:val="annotation reference"/>
    <w:qFormat/>
    <w:uiPriority w:val="0"/>
    <w:rPr>
      <w:sz w:val="21"/>
      <w:szCs w:val="21"/>
    </w:rPr>
  </w:style>
  <w:style w:type="character" w:styleId="67">
    <w:name w:val="HTML Cite"/>
    <w:qFormat/>
    <w:uiPriority w:val="0"/>
  </w:style>
  <w:style w:type="character" w:styleId="68">
    <w:name w:val="footnote reference"/>
    <w:qFormat/>
    <w:uiPriority w:val="0"/>
    <w:rPr>
      <w:vertAlign w:val="superscript"/>
    </w:rPr>
  </w:style>
  <w:style w:type="paragraph" w:customStyle="1" w:styleId="6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71">
    <w:name w:val="标题 2 Char1"/>
    <w:link w:val="4"/>
    <w:qFormat/>
    <w:uiPriority w:val="0"/>
    <w:rPr>
      <w:rFonts w:ascii="Cambria" w:hAnsi="Cambria" w:eastAsia="宋体" w:cs="Times New Roman"/>
      <w:b/>
      <w:bCs/>
      <w:sz w:val="32"/>
      <w:szCs w:val="32"/>
    </w:rPr>
  </w:style>
  <w:style w:type="character" w:customStyle="1" w:styleId="72">
    <w:name w:val="标题 1 Char"/>
    <w:link w:val="3"/>
    <w:qFormat/>
    <w:uiPriority w:val="0"/>
    <w:rPr>
      <w:rFonts w:ascii="Times New Roman" w:hAnsi="Times New Roman" w:eastAsia="宋体" w:cs="Times New Roman"/>
      <w:b/>
      <w:bCs/>
      <w:kern w:val="44"/>
      <w:sz w:val="36"/>
      <w:szCs w:val="44"/>
    </w:rPr>
  </w:style>
  <w:style w:type="character" w:customStyle="1" w:styleId="73">
    <w:name w:val="标题 3 Char"/>
    <w:link w:val="5"/>
    <w:qFormat/>
    <w:uiPriority w:val="0"/>
    <w:rPr>
      <w:rFonts w:ascii="Times New Roman" w:hAnsi="Times New Roman" w:eastAsia="宋体" w:cs="Times New Roman"/>
      <w:b/>
      <w:bCs/>
      <w:kern w:val="2"/>
      <w:sz w:val="24"/>
      <w:szCs w:val="32"/>
    </w:rPr>
  </w:style>
  <w:style w:type="character" w:customStyle="1" w:styleId="74">
    <w:name w:val="标题 4 Char"/>
    <w:link w:val="6"/>
    <w:qFormat/>
    <w:uiPriority w:val="0"/>
    <w:rPr>
      <w:rFonts w:ascii="Calibri Light" w:hAnsi="Calibri Light" w:eastAsia="宋体"/>
      <w:b/>
      <w:bCs/>
      <w:iCs/>
    </w:rPr>
  </w:style>
  <w:style w:type="character" w:customStyle="1" w:styleId="75">
    <w:name w:val="标题 5 Char"/>
    <w:link w:val="7"/>
    <w:qFormat/>
    <w:uiPriority w:val="0"/>
    <w:rPr>
      <w:rFonts w:ascii="Times New Roman" w:hAnsi="Times New Roman" w:eastAsia="宋体" w:cs="Times New Roman"/>
      <w:b/>
      <w:bCs/>
      <w:sz w:val="28"/>
      <w:szCs w:val="28"/>
    </w:rPr>
  </w:style>
  <w:style w:type="character" w:customStyle="1" w:styleId="76">
    <w:name w:val="标题 6 Char"/>
    <w:link w:val="8"/>
    <w:qFormat/>
    <w:uiPriority w:val="0"/>
    <w:rPr>
      <w:rFonts w:ascii="Cambria" w:hAnsi="Cambria" w:eastAsia="宋体" w:cs="Times New Roman"/>
      <w:b/>
      <w:bCs/>
      <w:sz w:val="24"/>
      <w:szCs w:val="24"/>
    </w:rPr>
  </w:style>
  <w:style w:type="character" w:customStyle="1" w:styleId="77">
    <w:name w:val="标题 7 Char"/>
    <w:link w:val="9"/>
    <w:qFormat/>
    <w:uiPriority w:val="0"/>
    <w:rPr>
      <w:rFonts w:ascii="Times New Roman" w:hAnsi="Times New Roman" w:eastAsia="宋体" w:cs="Times New Roman"/>
      <w:b/>
      <w:bCs/>
      <w:sz w:val="24"/>
      <w:szCs w:val="24"/>
    </w:rPr>
  </w:style>
  <w:style w:type="character" w:customStyle="1" w:styleId="78">
    <w:name w:val="标题 8 Char"/>
    <w:link w:val="10"/>
    <w:qFormat/>
    <w:uiPriority w:val="0"/>
    <w:rPr>
      <w:rFonts w:ascii="Cambria" w:hAnsi="Cambria" w:eastAsia="宋体" w:cs="Times New Roman"/>
      <w:sz w:val="24"/>
      <w:szCs w:val="24"/>
    </w:rPr>
  </w:style>
  <w:style w:type="character" w:customStyle="1" w:styleId="79">
    <w:name w:val="标题 9 Char"/>
    <w:link w:val="11"/>
    <w:qFormat/>
    <w:uiPriority w:val="0"/>
    <w:rPr>
      <w:rFonts w:ascii="Cambria" w:hAnsi="Cambria" w:eastAsia="宋体" w:cs="Times New Roman"/>
      <w:szCs w:val="21"/>
    </w:rPr>
  </w:style>
  <w:style w:type="character" w:customStyle="1" w:styleId="80">
    <w:name w:val="正文缩进 Char"/>
    <w:link w:val="14"/>
    <w:qFormat/>
    <w:locked/>
    <w:uiPriority w:val="0"/>
    <w:rPr>
      <w:sz w:val="21"/>
    </w:rPr>
  </w:style>
  <w:style w:type="character" w:customStyle="1" w:styleId="81">
    <w:name w:val="文档结构图 Char"/>
    <w:link w:val="18"/>
    <w:qFormat/>
    <w:uiPriority w:val="0"/>
    <w:rPr>
      <w:rFonts w:ascii="Times New Roman" w:hAnsi="Times New Roman" w:eastAsia="宋体" w:cs="Times New Roman"/>
      <w:szCs w:val="24"/>
      <w:shd w:val="clear" w:color="auto" w:fill="000080"/>
    </w:rPr>
  </w:style>
  <w:style w:type="character" w:customStyle="1" w:styleId="82">
    <w:name w:val="批注文字 Char"/>
    <w:link w:val="19"/>
    <w:qFormat/>
    <w:uiPriority w:val="0"/>
    <w:rPr>
      <w:szCs w:val="24"/>
    </w:rPr>
  </w:style>
  <w:style w:type="character" w:customStyle="1" w:styleId="83">
    <w:name w:val="正文文本 3 Char"/>
    <w:link w:val="20"/>
    <w:qFormat/>
    <w:uiPriority w:val="0"/>
    <w:rPr>
      <w:rFonts w:ascii="宋体" w:hAnsi="Times New Roman" w:eastAsia="宋体" w:cs="Times New Roman"/>
      <w:sz w:val="24"/>
      <w:szCs w:val="20"/>
    </w:rPr>
  </w:style>
  <w:style w:type="character" w:customStyle="1" w:styleId="84">
    <w:name w:val="正文文本 Char"/>
    <w:link w:val="2"/>
    <w:qFormat/>
    <w:uiPriority w:val="0"/>
    <w:rPr>
      <w:rFonts w:ascii="Times New Roman" w:hAnsi="Times New Roman" w:eastAsia="宋体" w:cs="Times New Roman"/>
      <w:szCs w:val="24"/>
    </w:rPr>
  </w:style>
  <w:style w:type="character" w:customStyle="1" w:styleId="85">
    <w:name w:val="正文文本缩进 Char"/>
    <w:link w:val="21"/>
    <w:qFormat/>
    <w:uiPriority w:val="0"/>
    <w:rPr>
      <w:rFonts w:ascii="Times New Roman" w:hAnsi="Times New Roman" w:eastAsia="宋体" w:cs="Times New Roman"/>
      <w:szCs w:val="24"/>
    </w:rPr>
  </w:style>
  <w:style w:type="character" w:customStyle="1" w:styleId="86">
    <w:name w:val="纯文本 Char"/>
    <w:link w:val="28"/>
    <w:qFormat/>
    <w:uiPriority w:val="0"/>
    <w:rPr>
      <w:rFonts w:ascii="宋体" w:hAnsi="Courier New" w:eastAsia="宋体"/>
    </w:rPr>
  </w:style>
  <w:style w:type="character" w:customStyle="1" w:styleId="87">
    <w:name w:val="日期 Char"/>
    <w:link w:val="31"/>
    <w:qFormat/>
    <w:uiPriority w:val="0"/>
    <w:rPr>
      <w:szCs w:val="24"/>
    </w:rPr>
  </w:style>
  <w:style w:type="character" w:customStyle="1" w:styleId="88">
    <w:name w:val="正文文本缩进 2 Char"/>
    <w:link w:val="32"/>
    <w:qFormat/>
    <w:uiPriority w:val="0"/>
    <w:rPr>
      <w:rFonts w:ascii="Times New Roman" w:hAnsi="Times New Roman" w:eastAsia="宋体" w:cs="Times New Roman"/>
      <w:szCs w:val="24"/>
    </w:rPr>
  </w:style>
  <w:style w:type="character" w:customStyle="1" w:styleId="89">
    <w:name w:val="批注框文本 Char"/>
    <w:link w:val="33"/>
    <w:qFormat/>
    <w:uiPriority w:val="0"/>
    <w:rPr>
      <w:rFonts w:ascii="Times New Roman" w:hAnsi="Times New Roman" w:eastAsia="宋体" w:cs="Times New Roman"/>
      <w:sz w:val="18"/>
      <w:szCs w:val="18"/>
    </w:rPr>
  </w:style>
  <w:style w:type="character" w:customStyle="1" w:styleId="90">
    <w:name w:val="页脚 Char"/>
    <w:link w:val="34"/>
    <w:qFormat/>
    <w:uiPriority w:val="0"/>
    <w:rPr>
      <w:rFonts w:ascii="Times New Roman" w:hAnsi="Times New Roman" w:eastAsia="宋体" w:cs="Times New Roman"/>
      <w:sz w:val="18"/>
      <w:szCs w:val="18"/>
    </w:rPr>
  </w:style>
  <w:style w:type="character" w:customStyle="1" w:styleId="91">
    <w:name w:val="页眉 Char"/>
    <w:link w:val="35"/>
    <w:qFormat/>
    <w:uiPriority w:val="0"/>
    <w:rPr>
      <w:rFonts w:ascii="Times New Roman" w:hAnsi="Times New Roman" w:eastAsia="宋体" w:cs="Times New Roman"/>
      <w:sz w:val="18"/>
      <w:szCs w:val="18"/>
    </w:rPr>
  </w:style>
  <w:style w:type="character" w:customStyle="1" w:styleId="92">
    <w:name w:val="副标题 Char"/>
    <w:link w:val="38"/>
    <w:qFormat/>
    <w:uiPriority w:val="0"/>
    <w:rPr>
      <w:rFonts w:ascii="Cambria" w:hAnsi="Cambria" w:cs="Times New Roman"/>
      <w:b/>
      <w:bCs/>
      <w:kern w:val="28"/>
      <w:sz w:val="32"/>
      <w:szCs w:val="32"/>
    </w:rPr>
  </w:style>
  <w:style w:type="character" w:customStyle="1" w:styleId="93">
    <w:name w:val="脚注文本 Char1"/>
    <w:link w:val="39"/>
    <w:qFormat/>
    <w:uiPriority w:val="0"/>
    <w:rPr>
      <w:kern w:val="2"/>
      <w:sz w:val="18"/>
      <w:szCs w:val="18"/>
    </w:rPr>
  </w:style>
  <w:style w:type="character" w:customStyle="1" w:styleId="94">
    <w:name w:val="正文文本缩进 3 Char"/>
    <w:link w:val="42"/>
    <w:qFormat/>
    <w:uiPriority w:val="0"/>
    <w:rPr>
      <w:rFonts w:ascii="Times New Roman" w:hAnsi="Times New Roman" w:eastAsia="宋体" w:cs="Times New Roman"/>
      <w:sz w:val="16"/>
      <w:szCs w:val="16"/>
    </w:rPr>
  </w:style>
  <w:style w:type="character" w:customStyle="1" w:styleId="95">
    <w:name w:val="目录 2 Char"/>
    <w:link w:val="44"/>
    <w:qFormat/>
    <w:locked/>
    <w:uiPriority w:val="39"/>
    <w:rPr>
      <w:rFonts w:ascii="Times New Roman" w:hAnsi="Times New Roman" w:eastAsia="宋体" w:cs="Times New Roman"/>
      <w:szCs w:val="24"/>
    </w:rPr>
  </w:style>
  <w:style w:type="character" w:customStyle="1" w:styleId="96">
    <w:name w:val="正文文本 2 Char"/>
    <w:link w:val="46"/>
    <w:qFormat/>
    <w:uiPriority w:val="0"/>
    <w:rPr>
      <w:szCs w:val="24"/>
    </w:rPr>
  </w:style>
  <w:style w:type="character" w:customStyle="1" w:styleId="97">
    <w:name w:val="HTML 预设格式 Char"/>
    <w:link w:val="47"/>
    <w:qFormat/>
    <w:uiPriority w:val="0"/>
    <w:rPr>
      <w:rFonts w:ascii="Arial" w:hAnsi="Arial" w:cs="Arial"/>
      <w:sz w:val="24"/>
      <w:szCs w:val="24"/>
    </w:rPr>
  </w:style>
  <w:style w:type="character" w:customStyle="1" w:styleId="98">
    <w:name w:val="标题 Char"/>
    <w:link w:val="50"/>
    <w:qFormat/>
    <w:uiPriority w:val="0"/>
    <w:rPr>
      <w:rFonts w:ascii="Cambria" w:hAnsi="Cambria"/>
      <w:b/>
      <w:bCs/>
      <w:sz w:val="32"/>
      <w:szCs w:val="32"/>
    </w:rPr>
  </w:style>
  <w:style w:type="character" w:customStyle="1" w:styleId="99">
    <w:name w:val="批注主题 Char"/>
    <w:link w:val="51"/>
    <w:qFormat/>
    <w:uiPriority w:val="0"/>
    <w:rPr>
      <w:rFonts w:ascii="Times New Roman" w:hAnsi="Times New Roman" w:eastAsia="宋体" w:cs="Times New Roman"/>
      <w:b/>
      <w:bCs/>
      <w:szCs w:val="24"/>
    </w:rPr>
  </w:style>
  <w:style w:type="character" w:customStyle="1" w:styleId="100">
    <w:name w:val="正文首行缩进 Char"/>
    <w:link w:val="52"/>
    <w:qFormat/>
    <w:uiPriority w:val="0"/>
    <w:rPr>
      <w:rFonts w:ascii="Times New Roman" w:hAnsi="Times New Roman" w:eastAsia="宋体" w:cs="Times New Roman"/>
      <w:kern w:val="2"/>
      <w:sz w:val="21"/>
      <w:szCs w:val="24"/>
    </w:rPr>
  </w:style>
  <w:style w:type="character" w:customStyle="1" w:styleId="101">
    <w:name w:val="标题 3 字符"/>
    <w:link w:val="5"/>
    <w:qFormat/>
    <w:uiPriority w:val="0"/>
    <w:rPr>
      <w:rFonts w:ascii="Calibri" w:hAnsi="Calibri" w:eastAsia="宋体"/>
      <w:b/>
      <w:sz w:val="32"/>
    </w:rPr>
  </w:style>
  <w:style w:type="character" w:customStyle="1" w:styleId="102">
    <w:name w:val="标题 1 Char Char"/>
    <w:qFormat/>
    <w:uiPriority w:val="0"/>
    <w:rPr>
      <w:rFonts w:eastAsia="宋体"/>
      <w:b/>
      <w:sz w:val="44"/>
      <w:lang w:val="en-US" w:eastAsia="zh-CN" w:bidi="ar-SA"/>
    </w:rPr>
  </w:style>
  <w:style w:type="paragraph" w:customStyle="1" w:styleId="103">
    <w:name w:val="首行缩进"/>
    <w:basedOn w:val="1"/>
    <w:qFormat/>
    <w:uiPriority w:val="0"/>
    <w:pPr>
      <w:spacing w:line="360" w:lineRule="auto"/>
      <w:ind w:firstLine="480" w:firstLineChars="200"/>
    </w:pPr>
    <w:rPr>
      <w:rFonts w:ascii="宋体" w:hAnsi="宋体"/>
      <w:kern w:val="0"/>
      <w:sz w:val="24"/>
    </w:rPr>
  </w:style>
  <w:style w:type="character" w:customStyle="1" w:styleId="104">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5">
    <w:name w:val="4 Char Char"/>
    <w:link w:val="106"/>
    <w:qFormat/>
    <w:uiPriority w:val="0"/>
    <w:rPr>
      <w:rFonts w:ascii="Cambria" w:hAnsi="Cambria" w:eastAsia="宋体" w:cs="Times New Roman"/>
      <w:b/>
      <w:bCs/>
      <w:sz w:val="32"/>
      <w:szCs w:val="28"/>
    </w:rPr>
  </w:style>
  <w:style w:type="paragraph" w:customStyle="1" w:styleId="106">
    <w:name w:val="4"/>
    <w:basedOn w:val="6"/>
    <w:next w:val="2"/>
    <w:link w:val="105"/>
    <w:qFormat/>
    <w:uiPriority w:val="0"/>
    <w:pPr>
      <w:widowControl w:val="0"/>
      <w:spacing w:before="120" w:after="120" w:line="360" w:lineRule="exact"/>
    </w:pPr>
    <w:rPr>
      <w:rFonts w:ascii="Cambria" w:hAnsi="Cambria" w:cs="Times New Roman"/>
      <w:iCs w:val="0"/>
      <w:sz w:val="32"/>
      <w:szCs w:val="28"/>
    </w:rPr>
  </w:style>
  <w:style w:type="character" w:customStyle="1" w:styleId="107">
    <w:name w:val="Heading 3 Char"/>
    <w:qFormat/>
    <w:uiPriority w:val="0"/>
    <w:rPr>
      <w:rFonts w:cs="Times New Roman"/>
      <w:b/>
      <w:bCs/>
      <w:kern w:val="2"/>
      <w:sz w:val="32"/>
      <w:szCs w:val="32"/>
    </w:rPr>
  </w:style>
  <w:style w:type="character" w:customStyle="1" w:styleId="108">
    <w:name w:val="op-map-singlepoint-info-right"/>
    <w:basedOn w:val="56"/>
    <w:qFormat/>
    <w:uiPriority w:val="0"/>
  </w:style>
  <w:style w:type="character" w:customStyle="1" w:styleId="109">
    <w:name w:val="15"/>
    <w:qFormat/>
    <w:uiPriority w:val="0"/>
    <w:rPr>
      <w:rFonts w:hint="default" w:ascii="Times New Roman" w:hAnsi="Times New Roman" w:cs="Times New Roman"/>
      <w:color w:val="0000FF"/>
      <w:u w:val="single"/>
    </w:rPr>
  </w:style>
  <w:style w:type="character" w:customStyle="1" w:styleId="110">
    <w:name w:val="Body Text Indent Char"/>
    <w:qFormat/>
    <w:uiPriority w:val="0"/>
    <w:rPr>
      <w:rFonts w:ascii="宋体" w:hAnsi="宋体" w:eastAsia="宋体"/>
      <w:kern w:val="2"/>
      <w:sz w:val="21"/>
      <w:lang w:val="en-US" w:eastAsia="zh-CN" w:bidi="ar-SA"/>
    </w:rPr>
  </w:style>
  <w:style w:type="character" w:customStyle="1" w:styleId="111">
    <w:name w:val="明显引用 Char"/>
    <w:link w:val="112"/>
    <w:qFormat/>
    <w:uiPriority w:val="0"/>
    <w:rPr>
      <w:b/>
      <w:bCs/>
      <w:i/>
      <w:iCs/>
      <w:color w:val="4F81BD"/>
      <w:szCs w:val="24"/>
    </w:rPr>
  </w:style>
  <w:style w:type="paragraph" w:styleId="112">
    <w:name w:val="Intense Quote"/>
    <w:basedOn w:val="1"/>
    <w:next w:val="1"/>
    <w:link w:val="111"/>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3">
    <w:name w:val="正文文本 (2)_"/>
    <w:link w:val="114"/>
    <w:qFormat/>
    <w:uiPriority w:val="0"/>
    <w:rPr>
      <w:rFonts w:ascii="MingLiU" w:hAnsi="MingLiU" w:eastAsia="MingLiU" w:cs="MingLiU"/>
      <w:spacing w:val="20"/>
      <w:sz w:val="22"/>
      <w:shd w:val="clear" w:color="auto" w:fill="FFFFFF"/>
    </w:rPr>
  </w:style>
  <w:style w:type="paragraph" w:customStyle="1" w:styleId="114">
    <w:name w:val="正文文本 (2)4"/>
    <w:basedOn w:val="1"/>
    <w:link w:val="113"/>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5">
    <w:name w:val="正文呀 Char"/>
    <w:link w:val="116"/>
    <w:qFormat/>
    <w:uiPriority w:val="0"/>
    <w:rPr>
      <w:rFonts w:ascii="宋体" w:hAnsi="宋体"/>
      <w:kern w:val="2"/>
      <w:sz w:val="21"/>
      <w:szCs w:val="21"/>
    </w:rPr>
  </w:style>
  <w:style w:type="paragraph" w:customStyle="1" w:styleId="116">
    <w:name w:val="正文呀"/>
    <w:basedOn w:val="1"/>
    <w:link w:val="115"/>
    <w:qFormat/>
    <w:uiPriority w:val="0"/>
    <w:pPr>
      <w:spacing w:line="420" w:lineRule="exact"/>
      <w:ind w:firstLine="420" w:firstLineChars="200"/>
    </w:pPr>
    <w:rPr>
      <w:rFonts w:ascii="宋体" w:hAnsi="宋体"/>
      <w:szCs w:val="21"/>
    </w:rPr>
  </w:style>
  <w:style w:type="character" w:customStyle="1" w:styleId="117">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8">
    <w:name w:val="正文文本 (45)_"/>
    <w:link w:val="119"/>
    <w:qFormat/>
    <w:locked/>
    <w:uiPriority w:val="0"/>
    <w:rPr>
      <w:rFonts w:ascii="MingLiU" w:hAnsi="MingLiU" w:eastAsia="MingLiU"/>
      <w:sz w:val="22"/>
      <w:shd w:val="clear" w:color="auto" w:fill="FFFFFF"/>
    </w:rPr>
  </w:style>
  <w:style w:type="paragraph" w:customStyle="1" w:styleId="119">
    <w:name w:val="正文文本 (45)"/>
    <w:basedOn w:val="1"/>
    <w:link w:val="118"/>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20">
    <w:name w:val="普通文字 Char Char1"/>
    <w:qFormat/>
    <w:uiPriority w:val="0"/>
    <w:rPr>
      <w:rFonts w:ascii="宋体" w:hAnsi="Courier New" w:eastAsia="宋体"/>
      <w:kern w:val="2"/>
      <w:sz w:val="21"/>
      <w:lang w:val="en-US" w:eastAsia="zh-CN" w:bidi="ar-SA"/>
    </w:rPr>
  </w:style>
  <w:style w:type="character" w:customStyle="1" w:styleId="121">
    <w:name w:val="纯文本 Char2"/>
    <w:qFormat/>
    <w:uiPriority w:val="0"/>
    <w:rPr>
      <w:rFonts w:ascii="宋体" w:hAnsi="Courier New"/>
      <w:kern w:val="2"/>
      <w:sz w:val="21"/>
    </w:rPr>
  </w:style>
  <w:style w:type="character" w:customStyle="1" w:styleId="12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3">
    <w:name w:val="Subtle Reference"/>
    <w:qFormat/>
    <w:uiPriority w:val="0"/>
    <w:rPr>
      <w:smallCaps/>
      <w:color w:val="C0504D"/>
      <w:u w:val="single"/>
    </w:rPr>
  </w:style>
  <w:style w:type="character" w:customStyle="1" w:styleId="124">
    <w:name w:val="标题 #7_"/>
    <w:link w:val="125"/>
    <w:qFormat/>
    <w:locked/>
    <w:uiPriority w:val="0"/>
    <w:rPr>
      <w:rFonts w:ascii="MingLiU" w:hAnsi="MingLiU" w:eastAsia="MingLiU"/>
      <w:spacing w:val="30"/>
      <w:sz w:val="26"/>
      <w:szCs w:val="26"/>
      <w:shd w:val="clear" w:color="auto" w:fill="FFFFFF"/>
    </w:rPr>
  </w:style>
  <w:style w:type="paragraph" w:customStyle="1" w:styleId="125">
    <w:name w:val="标题 #7"/>
    <w:basedOn w:val="1"/>
    <w:link w:val="124"/>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6">
    <w:name w:val="Plain Text Char"/>
    <w:qFormat/>
    <w:uiPriority w:val="0"/>
    <w:rPr>
      <w:rFonts w:ascii="宋体" w:hAnsi="Courier New" w:eastAsia="宋体"/>
      <w:sz w:val="24"/>
      <w:lang w:bidi="ar-SA"/>
    </w:rPr>
  </w:style>
  <w:style w:type="character" w:customStyle="1" w:styleId="127">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8">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9">
    <w:name w:val="Char Char21"/>
    <w:qFormat/>
    <w:uiPriority w:val="0"/>
    <w:rPr>
      <w:rFonts w:ascii="Arial" w:hAnsi="Arial" w:eastAsia="黑体" w:cs="Times New Roman"/>
      <w:b/>
      <w:bCs/>
      <w:sz w:val="32"/>
      <w:szCs w:val="32"/>
    </w:rPr>
  </w:style>
  <w:style w:type="character" w:customStyle="1" w:styleId="130">
    <w:name w:val="样式4 Char Char"/>
    <w:link w:val="131"/>
    <w:qFormat/>
    <w:uiPriority w:val="0"/>
    <w:rPr>
      <w:rFonts w:ascii="宋体" w:hAnsi="宋体"/>
      <w:color w:val="FF0000"/>
      <w:sz w:val="24"/>
      <w:szCs w:val="24"/>
    </w:rPr>
  </w:style>
  <w:style w:type="paragraph" w:customStyle="1" w:styleId="131">
    <w:name w:val="样式4"/>
    <w:link w:val="130"/>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2">
    <w:name w:val="Char Char20"/>
    <w:qFormat/>
    <w:uiPriority w:val="0"/>
    <w:rPr>
      <w:rFonts w:ascii="Times New Roman" w:hAnsi="Times New Roman" w:eastAsia="宋体" w:cs="Times New Roman"/>
      <w:b/>
      <w:bCs/>
      <w:sz w:val="24"/>
      <w:szCs w:val="32"/>
    </w:rPr>
  </w:style>
  <w:style w:type="character" w:customStyle="1" w:styleId="133">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4">
    <w:name w:val="正文文本缩进 Char1"/>
    <w:semiHidden/>
    <w:qFormat/>
    <w:uiPriority w:val="99"/>
    <w:rPr>
      <w:sz w:val="21"/>
    </w:rPr>
  </w:style>
  <w:style w:type="character" w:customStyle="1" w:styleId="135">
    <w:name w:val="Heading 2 Char"/>
    <w:qFormat/>
    <w:uiPriority w:val="0"/>
    <w:rPr>
      <w:rFonts w:ascii="Arial" w:hAnsi="Arial" w:eastAsia="黑体"/>
      <w:b/>
      <w:bCs/>
      <w:kern w:val="2"/>
      <w:sz w:val="32"/>
      <w:szCs w:val="32"/>
      <w:lang w:val="en-US" w:eastAsia="zh-CN" w:bidi="ar-SA"/>
    </w:rPr>
  </w:style>
  <w:style w:type="character" w:customStyle="1" w:styleId="136">
    <w:name w:val="Title Char"/>
    <w:qFormat/>
    <w:uiPriority w:val="0"/>
    <w:rPr>
      <w:rFonts w:ascii="Cambria" w:hAnsi="Cambria"/>
      <w:b/>
      <w:sz w:val="32"/>
      <w:lang w:bidi="ar-SA"/>
    </w:rPr>
  </w:style>
  <w:style w:type="character" w:customStyle="1" w:styleId="137">
    <w:name w:val="Comment Text Char1"/>
    <w:qFormat/>
    <w:uiPriority w:val="0"/>
    <w:rPr>
      <w:sz w:val="24"/>
      <w:lang w:bidi="ar-SA"/>
    </w:rPr>
  </w:style>
  <w:style w:type="character" w:customStyle="1" w:styleId="138">
    <w:name w:val="样式3 Char Char"/>
    <w:link w:val="139"/>
    <w:qFormat/>
    <w:uiPriority w:val="0"/>
    <w:rPr>
      <w:rFonts w:ascii="Times New Roman" w:hAnsi="Times New Roman" w:eastAsia="宋体" w:cs="Times New Roman"/>
      <w:szCs w:val="24"/>
    </w:rPr>
  </w:style>
  <w:style w:type="paragraph" w:customStyle="1" w:styleId="139">
    <w:name w:val="样式3"/>
    <w:basedOn w:val="2"/>
    <w:link w:val="138"/>
    <w:qFormat/>
    <w:uiPriority w:val="0"/>
    <w:pPr>
      <w:spacing w:line="360" w:lineRule="exact"/>
    </w:pPr>
    <w:rPr>
      <w:rFonts w:ascii="Calibri" w:hAnsi="Calibri" w:eastAsia="宋体" w:cs="Times New Roman"/>
    </w:rPr>
  </w:style>
  <w:style w:type="character" w:customStyle="1" w:styleId="140">
    <w:name w:val="不明显强调3"/>
    <w:qFormat/>
    <w:uiPriority w:val="0"/>
    <w:rPr>
      <w:i/>
      <w:iCs/>
      <w:color w:val="808080"/>
    </w:rPr>
  </w:style>
  <w:style w:type="character" w:customStyle="1" w:styleId="141">
    <w:name w:val="Subtle Emphasis"/>
    <w:qFormat/>
    <w:uiPriority w:val="0"/>
    <w:rPr>
      <w:i/>
      <w:iCs/>
      <w:color w:val="808080"/>
    </w:rPr>
  </w:style>
  <w:style w:type="character" w:customStyle="1" w:styleId="142">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3">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4">
    <w:name w:val="标题 #8_"/>
    <w:link w:val="145"/>
    <w:qFormat/>
    <w:uiPriority w:val="0"/>
    <w:rPr>
      <w:rFonts w:ascii="MingLiU" w:hAnsi="MingLiU" w:eastAsia="MingLiU" w:cs="MingLiU"/>
      <w:b/>
      <w:bCs/>
      <w:spacing w:val="10"/>
      <w:sz w:val="22"/>
      <w:shd w:val="clear" w:color="auto" w:fill="FFFFFF"/>
    </w:rPr>
  </w:style>
  <w:style w:type="paragraph" w:customStyle="1" w:styleId="145">
    <w:name w:val="标题 #8"/>
    <w:basedOn w:val="1"/>
    <w:link w:val="144"/>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6">
    <w:name w:val="样式5 Char Char"/>
    <w:link w:val="147"/>
    <w:qFormat/>
    <w:uiPriority w:val="0"/>
    <w:rPr>
      <w:szCs w:val="24"/>
    </w:rPr>
  </w:style>
  <w:style w:type="paragraph" w:customStyle="1" w:styleId="147">
    <w:name w:val="样式5"/>
    <w:basedOn w:val="1"/>
    <w:next w:val="148"/>
    <w:link w:val="146"/>
    <w:qFormat/>
    <w:uiPriority w:val="0"/>
    <w:pPr>
      <w:spacing w:line="360" w:lineRule="exact"/>
    </w:pPr>
    <w:rPr>
      <w:rFonts w:ascii="Calibri" w:hAnsi="Calibri" w:eastAsia="宋体" w:cs="Times New Roman"/>
    </w:rPr>
  </w:style>
  <w:style w:type="paragraph" w:customStyle="1" w:styleId="148">
    <w:name w:val="样式2"/>
    <w:basedOn w:val="2"/>
    <w:link w:val="149"/>
    <w:qFormat/>
    <w:uiPriority w:val="0"/>
    <w:pPr>
      <w:wordWrap w:val="0"/>
      <w:spacing w:after="0" w:line="440" w:lineRule="exact"/>
      <w:ind w:firstLine="480" w:firstLineChars="200"/>
    </w:pPr>
    <w:rPr>
      <w:rFonts w:ascii="宋体" w:hAnsi="宋体" w:cs="Times New Roman"/>
      <w:sz w:val="24"/>
      <w:szCs w:val="84"/>
    </w:rPr>
  </w:style>
  <w:style w:type="character" w:customStyle="1" w:styleId="149">
    <w:name w:val="样式2 Char Char"/>
    <w:link w:val="148"/>
    <w:qFormat/>
    <w:uiPriority w:val="0"/>
    <w:rPr>
      <w:rFonts w:ascii="宋体" w:hAnsi="宋体" w:eastAsia="宋体"/>
      <w:sz w:val="24"/>
      <w:szCs w:val="84"/>
    </w:rPr>
  </w:style>
  <w:style w:type="character" w:customStyle="1" w:styleId="150">
    <w:name w:val="页脚 Char1"/>
    <w:semiHidden/>
    <w:qFormat/>
    <w:uiPriority w:val="99"/>
    <w:rPr>
      <w:sz w:val="18"/>
      <w:szCs w:val="18"/>
    </w:rPr>
  </w:style>
  <w:style w:type="character" w:customStyle="1" w:styleId="151">
    <w:name w:val="正文文本 (5)_"/>
    <w:link w:val="152"/>
    <w:qFormat/>
    <w:uiPriority w:val="0"/>
    <w:rPr>
      <w:rFonts w:ascii="MingLiU" w:hAnsi="MingLiU" w:eastAsia="MingLiU" w:cs="MingLiU"/>
      <w:shd w:val="clear" w:color="auto" w:fill="FFFFFF"/>
    </w:rPr>
  </w:style>
  <w:style w:type="paragraph" w:customStyle="1" w:styleId="152">
    <w:name w:val="正文文本 (5)"/>
    <w:basedOn w:val="1"/>
    <w:link w:val="151"/>
    <w:qFormat/>
    <w:uiPriority w:val="0"/>
    <w:pPr>
      <w:shd w:val="clear" w:color="auto" w:fill="FFFFFF"/>
      <w:spacing w:before="5100" w:line="0" w:lineRule="atLeast"/>
      <w:jc w:val="left"/>
    </w:pPr>
    <w:rPr>
      <w:rFonts w:ascii="MingLiU" w:hAnsi="MingLiU" w:eastAsia="MingLiU" w:cs="MingLiU"/>
      <w:szCs w:val="22"/>
    </w:rPr>
  </w:style>
  <w:style w:type="character" w:customStyle="1" w:styleId="153">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4">
    <w:name w:val="style6"/>
    <w:basedOn w:val="56"/>
    <w:qFormat/>
    <w:uiPriority w:val="0"/>
  </w:style>
  <w:style w:type="character" w:customStyle="1" w:styleId="155">
    <w:name w:val="Date Char"/>
    <w:qFormat/>
    <w:uiPriority w:val="0"/>
    <w:rPr>
      <w:rFonts w:eastAsia="宋体"/>
      <w:kern w:val="2"/>
      <w:sz w:val="21"/>
      <w:szCs w:val="24"/>
      <w:lang w:val="en-US" w:eastAsia="zh-CN" w:bidi="ar-SA"/>
    </w:rPr>
  </w:style>
  <w:style w:type="character" w:customStyle="1" w:styleId="156">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7">
    <w:name w:val="标题 1 Char_1"/>
    <w:link w:val="158"/>
    <w:qFormat/>
    <w:uiPriority w:val="99"/>
    <w:rPr>
      <w:rFonts w:ascii="Calibri" w:hAnsi="Calibri"/>
      <w:b/>
      <w:bCs/>
      <w:kern w:val="44"/>
      <w:sz w:val="32"/>
      <w:szCs w:val="44"/>
    </w:rPr>
  </w:style>
  <w:style w:type="paragraph" w:customStyle="1" w:styleId="158">
    <w:name w:val="标题 1_1"/>
    <w:basedOn w:val="159"/>
    <w:next w:val="159"/>
    <w:link w:val="157"/>
    <w:qFormat/>
    <w:uiPriority w:val="99"/>
    <w:pPr>
      <w:keepNext/>
      <w:keepLines/>
      <w:spacing w:line="360" w:lineRule="auto"/>
      <w:outlineLvl w:val="0"/>
    </w:pPr>
    <w:rPr>
      <w:b/>
      <w:bCs/>
      <w:kern w:val="44"/>
      <w:sz w:val="32"/>
      <w:szCs w:val="44"/>
    </w:rPr>
  </w:style>
  <w:style w:type="paragraph" w:customStyle="1" w:styleId="159">
    <w:name w:val="正文_2"/>
    <w:next w:val="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4_1"/>
    <w:basedOn w:val="159"/>
    <w:next w:val="159"/>
    <w:qFormat/>
    <w:uiPriority w:val="99"/>
    <w:pPr>
      <w:keepNext/>
      <w:keepLines/>
      <w:spacing w:before="280" w:after="290" w:line="376" w:lineRule="auto"/>
      <w:outlineLvl w:val="3"/>
    </w:pPr>
    <w:rPr>
      <w:rFonts w:ascii="Arial" w:hAnsi="Arial" w:eastAsia="黑体"/>
      <w:b/>
      <w:bCs/>
      <w:sz w:val="28"/>
      <w:szCs w:val="28"/>
    </w:rPr>
  </w:style>
  <w:style w:type="character" w:customStyle="1" w:styleId="161">
    <w:name w:val="不明显参考3"/>
    <w:qFormat/>
    <w:uiPriority w:val="0"/>
    <w:rPr>
      <w:smallCaps/>
      <w:color w:val="C0504D"/>
      <w:u w:val="single"/>
    </w:rPr>
  </w:style>
  <w:style w:type="character" w:customStyle="1" w:styleId="162">
    <w:name w:val="正文小标题 Char"/>
    <w:link w:val="163"/>
    <w:qFormat/>
    <w:uiPriority w:val="0"/>
    <w:rPr>
      <w:rFonts w:hAnsi="宋体"/>
      <w:sz w:val="21"/>
      <w:szCs w:val="21"/>
    </w:rPr>
  </w:style>
  <w:style w:type="paragraph" w:customStyle="1" w:styleId="163">
    <w:name w:val="正文小标题"/>
    <w:basedOn w:val="3"/>
    <w:link w:val="162"/>
    <w:qFormat/>
    <w:uiPriority w:val="0"/>
    <w:pPr>
      <w:keepLines w:val="0"/>
      <w:spacing w:before="240" w:after="240" w:line="420" w:lineRule="exact"/>
    </w:pPr>
    <w:rPr>
      <w:rFonts w:hAnsi="宋体"/>
      <w:b w:val="0"/>
      <w:bCs w:val="0"/>
      <w:kern w:val="0"/>
      <w:sz w:val="21"/>
      <w:szCs w:val="21"/>
    </w:rPr>
  </w:style>
  <w:style w:type="character" w:customStyle="1" w:styleId="164">
    <w:name w:val="正文文本 (42)_"/>
    <w:link w:val="165"/>
    <w:qFormat/>
    <w:locked/>
    <w:uiPriority w:val="0"/>
    <w:rPr>
      <w:rFonts w:ascii="MingLiU" w:hAnsi="MingLiU" w:eastAsia="MingLiU"/>
      <w:b/>
      <w:bCs/>
      <w:shd w:val="clear" w:color="auto" w:fill="FFFFFF"/>
    </w:rPr>
  </w:style>
  <w:style w:type="paragraph" w:customStyle="1" w:styleId="165">
    <w:name w:val="正文文本 (42)1"/>
    <w:basedOn w:val="1"/>
    <w:link w:val="164"/>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6">
    <w:name w:val="T10 Char"/>
    <w:link w:val="167"/>
    <w:qFormat/>
    <w:uiPriority w:val="0"/>
    <w:rPr>
      <w:rFonts w:ascii="宋体" w:hAnsi="宋体"/>
      <w:b/>
      <w:sz w:val="28"/>
    </w:rPr>
  </w:style>
  <w:style w:type="paragraph" w:customStyle="1" w:styleId="167">
    <w:name w:val="T10"/>
    <w:basedOn w:val="1"/>
    <w:link w:val="166"/>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8">
    <w:name w:val="ca-11"/>
    <w:qFormat/>
    <w:uiPriority w:val="0"/>
    <w:rPr>
      <w:rFonts w:ascii="宋体" w:eastAsia="宋体"/>
      <w:sz w:val="21"/>
      <w:szCs w:val="21"/>
    </w:rPr>
  </w:style>
  <w:style w:type="character" w:customStyle="1" w:styleId="169">
    <w:name w:val="Char Char24"/>
    <w:qFormat/>
    <w:uiPriority w:val="0"/>
    <w:rPr>
      <w:rFonts w:eastAsia="宋体"/>
      <w:b/>
      <w:bCs/>
      <w:kern w:val="44"/>
      <w:sz w:val="32"/>
      <w:szCs w:val="44"/>
      <w:lang w:val="en-US" w:eastAsia="zh-CN" w:bidi="ar-SA"/>
    </w:rPr>
  </w:style>
  <w:style w:type="character" w:customStyle="1" w:styleId="170">
    <w:name w:val="Char Char3"/>
    <w:qFormat/>
    <w:uiPriority w:val="0"/>
    <w:rPr>
      <w:rFonts w:eastAsia="宋体"/>
      <w:kern w:val="2"/>
      <w:sz w:val="21"/>
      <w:szCs w:val="24"/>
      <w:lang w:val="en-US" w:eastAsia="zh-CN" w:bidi="ar-SA"/>
    </w:rPr>
  </w:style>
  <w:style w:type="character" w:customStyle="1" w:styleId="171">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2">
    <w:name w:val="Comment Text Char"/>
    <w:qFormat/>
    <w:uiPriority w:val="0"/>
    <w:rPr>
      <w:rFonts w:cs="Times New Roman"/>
      <w:sz w:val="24"/>
      <w:szCs w:val="24"/>
    </w:rPr>
  </w:style>
  <w:style w:type="character" w:customStyle="1" w:styleId="173">
    <w:name w:val="不明显参考1"/>
    <w:qFormat/>
    <w:uiPriority w:val="31"/>
    <w:rPr>
      <w:smallCaps/>
      <w:color w:val="C0504D"/>
      <w:u w:val="single"/>
    </w:rPr>
  </w:style>
  <w:style w:type="character" w:customStyle="1" w:styleId="174">
    <w:name w:val="标题 Char2"/>
    <w:qFormat/>
    <w:uiPriority w:val="0"/>
    <w:rPr>
      <w:rFonts w:ascii="Cambria" w:hAnsi="Cambria" w:eastAsia="宋体" w:cs="Times New Roman"/>
      <w:b/>
      <w:bCs/>
      <w:sz w:val="32"/>
      <w:szCs w:val="32"/>
    </w:rPr>
  </w:style>
  <w:style w:type="character" w:customStyle="1" w:styleId="175">
    <w:name w:val="引用 Char1"/>
    <w:qFormat/>
    <w:uiPriority w:val="29"/>
    <w:rPr>
      <w:rFonts w:ascii="Times New Roman" w:hAnsi="Times New Roman" w:eastAsia="宋体" w:cs="Times New Roman"/>
      <w:i/>
      <w:iCs/>
      <w:color w:val="000000"/>
      <w:szCs w:val="24"/>
    </w:rPr>
  </w:style>
  <w:style w:type="character" w:customStyle="1" w:styleId="176">
    <w:name w:val="纯文本 Char1"/>
    <w:qFormat/>
    <w:uiPriority w:val="0"/>
    <w:rPr>
      <w:rFonts w:ascii="宋体" w:hAnsi="Courier New" w:eastAsia="宋体" w:cs="Courier New"/>
      <w:szCs w:val="21"/>
    </w:rPr>
  </w:style>
  <w:style w:type="character" w:customStyle="1" w:styleId="177">
    <w:name w:val="Char Char6"/>
    <w:qFormat/>
    <w:uiPriority w:val="0"/>
    <w:rPr>
      <w:rFonts w:ascii="Arial" w:hAnsi="Arial" w:eastAsia="宋体"/>
      <w:b/>
      <w:bCs/>
      <w:kern w:val="2"/>
      <w:sz w:val="21"/>
      <w:szCs w:val="28"/>
      <w:lang w:val="en-US" w:eastAsia="zh-CN" w:bidi="ar-SA"/>
    </w:rPr>
  </w:style>
  <w:style w:type="character" w:customStyle="1" w:styleId="178">
    <w:name w:val="明显强调1"/>
    <w:qFormat/>
    <w:uiPriority w:val="21"/>
    <w:rPr>
      <w:b/>
      <w:bCs/>
      <w:i/>
      <w:iCs/>
      <w:color w:val="4F81BD"/>
    </w:rPr>
  </w:style>
  <w:style w:type="character" w:customStyle="1" w:styleId="179">
    <w:name w:val="Comment Subject Char"/>
    <w:qFormat/>
    <w:uiPriority w:val="0"/>
    <w:rPr>
      <w:b/>
      <w:sz w:val="24"/>
      <w:lang w:bidi="ar-SA"/>
    </w:rPr>
  </w:style>
  <w:style w:type="character" w:customStyle="1" w:styleId="180">
    <w:name w:val="Char Char"/>
    <w:qFormat/>
    <w:uiPriority w:val="0"/>
    <w:rPr>
      <w:rFonts w:ascii="Cambria" w:hAnsi="Cambria"/>
      <w:b/>
      <w:bCs/>
      <w:kern w:val="2"/>
      <w:sz w:val="32"/>
      <w:szCs w:val="32"/>
      <w:lang w:bidi="ar-SA"/>
    </w:rPr>
  </w:style>
  <w:style w:type="character" w:customStyle="1" w:styleId="181">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2">
    <w:name w:val="明显引用 Char2"/>
    <w:qFormat/>
    <w:uiPriority w:val="30"/>
    <w:rPr>
      <w:b/>
      <w:bCs/>
      <w:i/>
      <w:iCs/>
      <w:color w:val="4F81BD"/>
      <w:sz w:val="21"/>
    </w:rPr>
  </w:style>
  <w:style w:type="character" w:customStyle="1" w:styleId="183">
    <w:name w:val="正文文本缩进 2 Char1"/>
    <w:semiHidden/>
    <w:qFormat/>
    <w:uiPriority w:val="99"/>
    <w:rPr>
      <w:sz w:val="21"/>
    </w:rPr>
  </w:style>
  <w:style w:type="character" w:customStyle="1" w:styleId="184">
    <w:name w:val="明显参考1"/>
    <w:qFormat/>
    <w:uiPriority w:val="32"/>
    <w:rPr>
      <w:b/>
      <w:bCs/>
      <w:smallCaps/>
      <w:color w:val="C0504D"/>
      <w:spacing w:val="5"/>
      <w:u w:val="single"/>
    </w:rPr>
  </w:style>
  <w:style w:type="character" w:customStyle="1" w:styleId="185">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6">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7">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8">
    <w:name w:val="书籍标题2"/>
    <w:qFormat/>
    <w:uiPriority w:val="33"/>
    <w:rPr>
      <w:b/>
      <w:bCs/>
      <w:smallCaps/>
      <w:spacing w:val="5"/>
    </w:rPr>
  </w:style>
  <w:style w:type="character" w:customStyle="1" w:styleId="189">
    <w:name w:val="Header Char"/>
    <w:qFormat/>
    <w:uiPriority w:val="0"/>
    <w:rPr>
      <w:rFonts w:eastAsia="宋体"/>
      <w:kern w:val="2"/>
      <w:sz w:val="18"/>
      <w:szCs w:val="18"/>
      <w:lang w:val="en-US" w:eastAsia="zh-CN" w:bidi="ar-SA"/>
    </w:rPr>
  </w:style>
  <w:style w:type="character" w:customStyle="1" w:styleId="190">
    <w:name w:val="样式 宋体 小四 加粗 黑色"/>
    <w:qFormat/>
    <w:uiPriority w:val="0"/>
    <w:rPr>
      <w:rFonts w:ascii="宋体" w:hAnsi="宋体"/>
      <w:b/>
      <w:bCs/>
      <w:color w:val="000000"/>
      <w:sz w:val="24"/>
    </w:rPr>
  </w:style>
  <w:style w:type="character" w:customStyle="1" w:styleId="191">
    <w:name w:val="明显引用 Char3"/>
    <w:qFormat/>
    <w:uiPriority w:val="99"/>
    <w:rPr>
      <w:b/>
      <w:bCs/>
      <w:i/>
      <w:iCs/>
      <w:color w:val="4F81BD"/>
      <w:kern w:val="2"/>
      <w:sz w:val="21"/>
      <w:szCs w:val="24"/>
    </w:rPr>
  </w:style>
  <w:style w:type="character" w:customStyle="1" w:styleId="192">
    <w:name w:val="正文文本 (15)_"/>
    <w:link w:val="193"/>
    <w:qFormat/>
    <w:locked/>
    <w:uiPriority w:val="0"/>
    <w:rPr>
      <w:rFonts w:ascii="MingLiU" w:hAnsi="MingLiU" w:eastAsia="MingLiU"/>
      <w:b/>
      <w:bCs/>
      <w:sz w:val="28"/>
      <w:szCs w:val="28"/>
      <w:shd w:val="clear" w:color="auto" w:fill="FFFFFF"/>
    </w:rPr>
  </w:style>
  <w:style w:type="paragraph" w:customStyle="1" w:styleId="193">
    <w:name w:val="正文文本 (15)"/>
    <w:basedOn w:val="1"/>
    <w:link w:val="192"/>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4">
    <w:name w:val="正文文本 (19)_"/>
    <w:link w:val="195"/>
    <w:qFormat/>
    <w:uiPriority w:val="0"/>
    <w:rPr>
      <w:rFonts w:ascii="MingLiU" w:hAnsi="MingLiU" w:eastAsia="MingLiU" w:cs="MingLiU"/>
      <w:b/>
      <w:bCs/>
      <w:spacing w:val="10"/>
      <w:sz w:val="22"/>
      <w:shd w:val="clear" w:color="auto" w:fill="FFFFFF"/>
    </w:rPr>
  </w:style>
  <w:style w:type="paragraph" w:customStyle="1" w:styleId="195">
    <w:name w:val="正文文本 (19)"/>
    <w:basedOn w:val="1"/>
    <w:link w:val="194"/>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6">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7">
    <w:name w:val="小标题无样式 Char"/>
    <w:link w:val="198"/>
    <w:qFormat/>
    <w:uiPriority w:val="0"/>
    <w:rPr>
      <w:rFonts w:ascii="宋体" w:hAnsi="宋体"/>
      <w:b/>
      <w:sz w:val="24"/>
      <w:szCs w:val="21"/>
    </w:rPr>
  </w:style>
  <w:style w:type="paragraph" w:customStyle="1" w:styleId="198">
    <w:name w:val="小标题无样式"/>
    <w:basedOn w:val="116"/>
    <w:link w:val="197"/>
    <w:qFormat/>
    <w:uiPriority w:val="0"/>
    <w:pPr>
      <w:ind w:firstLine="0" w:firstLineChars="0"/>
    </w:pPr>
    <w:rPr>
      <w:b/>
      <w:kern w:val="0"/>
      <w:sz w:val="24"/>
    </w:rPr>
  </w:style>
  <w:style w:type="character" w:customStyle="1" w:styleId="199">
    <w:name w:val="样式 Char Char"/>
    <w:qFormat/>
    <w:uiPriority w:val="0"/>
    <w:rPr>
      <w:rFonts w:ascii="宋体" w:hAnsi="宋体" w:eastAsia="宋体" w:cs="宋体"/>
      <w:sz w:val="24"/>
      <w:szCs w:val="24"/>
      <w:lang w:val="en-US" w:eastAsia="zh-CN" w:bidi="ar-SA"/>
    </w:rPr>
  </w:style>
  <w:style w:type="character" w:customStyle="1" w:styleId="200">
    <w:name w:val="Char Char2"/>
    <w:qFormat/>
    <w:uiPriority w:val="0"/>
    <w:rPr>
      <w:rFonts w:ascii="宋体" w:hAnsi="Courier New" w:eastAsia="宋体"/>
      <w:kern w:val="2"/>
      <w:sz w:val="21"/>
      <w:szCs w:val="24"/>
      <w:lang w:val="en-US" w:eastAsia="zh-CN" w:bidi="ar-SA"/>
    </w:rPr>
  </w:style>
  <w:style w:type="character" w:customStyle="1" w:styleId="201">
    <w:name w:val="明显参考2"/>
    <w:qFormat/>
    <w:uiPriority w:val="32"/>
    <w:rPr>
      <w:b/>
      <w:bCs/>
      <w:smallCaps/>
      <w:color w:val="C0504D"/>
      <w:spacing w:val="5"/>
      <w:u w:val="single"/>
    </w:rPr>
  </w:style>
  <w:style w:type="character" w:customStyle="1" w:styleId="202">
    <w:name w:val="para1"/>
    <w:qFormat/>
    <w:uiPriority w:val="0"/>
    <w:rPr>
      <w:rFonts w:hint="default" w:ascii="Arial" w:hAnsi="Arial" w:cs="Arial"/>
      <w:sz w:val="18"/>
      <w:szCs w:val="18"/>
    </w:rPr>
  </w:style>
  <w:style w:type="character" w:customStyle="1" w:styleId="203">
    <w:name w:val="明显强调2"/>
    <w:qFormat/>
    <w:uiPriority w:val="21"/>
    <w:rPr>
      <w:b/>
      <w:bCs/>
      <w:i/>
      <w:iCs/>
      <w:color w:val="4F81BD"/>
    </w:rPr>
  </w:style>
  <w:style w:type="character" w:customStyle="1" w:styleId="204">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5">
    <w:name w:val="Intense Reference"/>
    <w:qFormat/>
    <w:uiPriority w:val="0"/>
    <w:rPr>
      <w:b/>
      <w:bCs/>
      <w:smallCaps/>
      <w:color w:val="C0504D"/>
      <w:spacing w:val="5"/>
      <w:u w:val="single"/>
    </w:rPr>
  </w:style>
  <w:style w:type="character" w:customStyle="1" w:styleId="206">
    <w:name w:val="正文文本 (14)_"/>
    <w:link w:val="207"/>
    <w:qFormat/>
    <w:uiPriority w:val="0"/>
    <w:rPr>
      <w:rFonts w:ascii="MingLiU" w:hAnsi="MingLiU" w:eastAsia="MingLiU" w:cs="MingLiU"/>
      <w:sz w:val="18"/>
      <w:szCs w:val="18"/>
      <w:shd w:val="clear" w:color="auto" w:fill="FFFFFF"/>
    </w:rPr>
  </w:style>
  <w:style w:type="paragraph" w:customStyle="1" w:styleId="207">
    <w:name w:val="正文文本 (14)"/>
    <w:basedOn w:val="1"/>
    <w:link w:val="206"/>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8">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9">
    <w:name w:val="Intense Emphasis"/>
    <w:qFormat/>
    <w:uiPriority w:val="0"/>
    <w:rPr>
      <w:b/>
      <w:bCs/>
      <w:i/>
      <w:iCs/>
      <w:color w:val="4F81BD"/>
    </w:rPr>
  </w:style>
  <w:style w:type="character" w:customStyle="1" w:styleId="210">
    <w:name w:val="页眉或页脚_"/>
    <w:link w:val="211"/>
    <w:qFormat/>
    <w:locked/>
    <w:uiPriority w:val="0"/>
    <w:rPr>
      <w:rFonts w:ascii="MingLiU" w:hAnsi="MingLiU" w:eastAsia="MingLiU"/>
      <w:spacing w:val="10"/>
      <w:shd w:val="clear" w:color="auto" w:fill="FFFFFF"/>
    </w:rPr>
  </w:style>
  <w:style w:type="paragraph" w:customStyle="1" w:styleId="211">
    <w:name w:val="页眉或页脚1"/>
    <w:basedOn w:val="1"/>
    <w:link w:val="210"/>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2">
    <w:name w:val="书籍标题1"/>
    <w:qFormat/>
    <w:uiPriority w:val="33"/>
    <w:rPr>
      <w:b/>
      <w:bCs/>
      <w:smallCaps/>
      <w:spacing w:val="5"/>
    </w:rPr>
  </w:style>
  <w:style w:type="character" w:customStyle="1" w:styleId="213">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4">
    <w:name w:val="标题 3 Char Char"/>
    <w:qFormat/>
    <w:uiPriority w:val="0"/>
    <w:rPr>
      <w:rFonts w:eastAsia="宋体"/>
      <w:b/>
      <w:bCs/>
      <w:kern w:val="2"/>
      <w:sz w:val="32"/>
      <w:szCs w:val="32"/>
      <w:lang w:val="en-US" w:eastAsia="zh-CN" w:bidi="ar-SA"/>
    </w:rPr>
  </w:style>
  <w:style w:type="character" w:customStyle="1" w:styleId="215">
    <w:name w:val="en"/>
    <w:basedOn w:val="56"/>
    <w:qFormat/>
    <w:uiPriority w:val="0"/>
  </w:style>
  <w:style w:type="character" w:customStyle="1" w:styleId="216">
    <w:name w:val="Char Char7"/>
    <w:qFormat/>
    <w:uiPriority w:val="0"/>
    <w:rPr>
      <w:rFonts w:eastAsia="宋体"/>
      <w:b/>
      <w:bCs/>
      <w:kern w:val="2"/>
      <w:sz w:val="24"/>
      <w:szCs w:val="32"/>
      <w:lang w:val="en-US" w:eastAsia="zh-CN" w:bidi="ar-SA"/>
    </w:rPr>
  </w:style>
  <w:style w:type="character" w:customStyle="1" w:styleId="217">
    <w:name w:val="Char Char23"/>
    <w:qFormat/>
    <w:uiPriority w:val="0"/>
    <w:rPr>
      <w:rFonts w:eastAsia="宋体"/>
      <w:b/>
      <w:bCs/>
      <w:kern w:val="44"/>
      <w:sz w:val="32"/>
      <w:szCs w:val="44"/>
      <w:lang w:val="en-US" w:eastAsia="zh-CN" w:bidi="ar-SA"/>
    </w:rPr>
  </w:style>
  <w:style w:type="character" w:customStyle="1" w:styleId="218">
    <w:name w:val="批注文字 Char2"/>
    <w:qFormat/>
    <w:uiPriority w:val="0"/>
    <w:rPr>
      <w:kern w:val="2"/>
      <w:sz w:val="21"/>
      <w:szCs w:val="24"/>
    </w:rPr>
  </w:style>
  <w:style w:type="character" w:customStyle="1" w:styleId="219">
    <w:name w:val="标题 2 Char"/>
    <w:qFormat/>
    <w:uiPriority w:val="0"/>
    <w:rPr>
      <w:rFonts w:ascii="Cambria" w:hAnsi="Cambria" w:eastAsia="宋体" w:cs="Times New Roman"/>
      <w:b/>
      <w:bCs/>
      <w:sz w:val="32"/>
      <w:szCs w:val="32"/>
    </w:rPr>
  </w:style>
  <w:style w:type="character" w:customStyle="1" w:styleId="220">
    <w:name w:val="标题 #7 (5)_"/>
    <w:link w:val="221"/>
    <w:qFormat/>
    <w:locked/>
    <w:uiPriority w:val="0"/>
    <w:rPr>
      <w:rFonts w:ascii="MingLiU" w:hAnsi="MingLiU" w:eastAsia="MingLiU"/>
      <w:spacing w:val="50"/>
      <w:sz w:val="30"/>
      <w:szCs w:val="30"/>
      <w:shd w:val="clear" w:color="auto" w:fill="FFFFFF"/>
    </w:rPr>
  </w:style>
  <w:style w:type="paragraph" w:customStyle="1" w:styleId="221">
    <w:name w:val="标题 #7 (5)"/>
    <w:basedOn w:val="1"/>
    <w:link w:val="220"/>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2">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3">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4">
    <w:name w:val="日期 Char1"/>
    <w:qFormat/>
    <w:uiPriority w:val="0"/>
    <w:rPr>
      <w:rFonts w:ascii="Times New Roman" w:hAnsi="Times New Roman" w:eastAsia="宋体" w:cs="Times New Roman"/>
      <w:szCs w:val="24"/>
    </w:rPr>
  </w:style>
  <w:style w:type="character" w:customStyle="1" w:styleId="225">
    <w:name w:val="Char Char5"/>
    <w:qFormat/>
    <w:uiPriority w:val="0"/>
    <w:rPr>
      <w:rFonts w:eastAsia="宋体"/>
      <w:b/>
      <w:bCs/>
      <w:kern w:val="2"/>
      <w:sz w:val="28"/>
      <w:szCs w:val="28"/>
      <w:lang w:val="en-US" w:eastAsia="zh-CN" w:bidi="ar-SA"/>
    </w:rPr>
  </w:style>
  <w:style w:type="character" w:customStyle="1" w:styleId="226">
    <w:name w:val="标题 Char3"/>
    <w:qFormat/>
    <w:uiPriority w:val="0"/>
    <w:rPr>
      <w:rFonts w:ascii="Cambria" w:hAnsi="Cambria" w:cs="Times New Roman"/>
      <w:b/>
      <w:bCs/>
      <w:kern w:val="2"/>
      <w:sz w:val="32"/>
      <w:szCs w:val="32"/>
    </w:rPr>
  </w:style>
  <w:style w:type="character" w:customStyle="1" w:styleId="227">
    <w:name w:val="正文文本 Char2"/>
    <w:qFormat/>
    <w:uiPriority w:val="0"/>
    <w:rPr>
      <w:kern w:val="2"/>
      <w:sz w:val="21"/>
      <w:szCs w:val="24"/>
    </w:rPr>
  </w:style>
  <w:style w:type="character" w:customStyle="1" w:styleId="228">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9">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30">
    <w:name w:val="Char Char4"/>
    <w:qFormat/>
    <w:uiPriority w:val="0"/>
    <w:rPr>
      <w:b/>
      <w:bCs/>
      <w:kern w:val="2"/>
      <w:sz w:val="21"/>
      <w:szCs w:val="24"/>
      <w:lang w:bidi="ar-SA"/>
    </w:rPr>
  </w:style>
  <w:style w:type="character" w:customStyle="1" w:styleId="231">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2">
    <w:name w:val="Char Char19"/>
    <w:qFormat/>
    <w:uiPriority w:val="0"/>
    <w:rPr>
      <w:rFonts w:ascii="Arial" w:hAnsi="Arial" w:eastAsia="宋体" w:cs="Times New Roman"/>
      <w:b/>
      <w:bCs/>
      <w:szCs w:val="28"/>
    </w:rPr>
  </w:style>
  <w:style w:type="character" w:customStyle="1" w:styleId="233">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4">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5">
    <w:name w:val="批注框文本 Char1"/>
    <w:qFormat/>
    <w:uiPriority w:val="0"/>
    <w:rPr>
      <w:sz w:val="18"/>
      <w:szCs w:val="18"/>
    </w:rPr>
  </w:style>
  <w:style w:type="character" w:customStyle="1" w:styleId="236">
    <w:name w:val="引用 Char2"/>
    <w:qFormat/>
    <w:uiPriority w:val="29"/>
    <w:rPr>
      <w:i/>
      <w:iCs/>
      <w:color w:val="000000"/>
      <w:sz w:val="21"/>
    </w:rPr>
  </w:style>
  <w:style w:type="character" w:customStyle="1" w:styleId="237">
    <w:name w:val="标题 Char1"/>
    <w:qFormat/>
    <w:uiPriority w:val="0"/>
    <w:rPr>
      <w:rFonts w:ascii="Cambria" w:hAnsi="Cambria" w:eastAsia="宋体" w:cs="Times New Roman"/>
      <w:b/>
      <w:bCs/>
      <w:sz w:val="32"/>
      <w:szCs w:val="32"/>
    </w:rPr>
  </w:style>
  <w:style w:type="character" w:customStyle="1" w:styleId="238">
    <w:name w:val="引用 Char3"/>
    <w:qFormat/>
    <w:uiPriority w:val="99"/>
    <w:rPr>
      <w:i/>
      <w:iCs/>
      <w:color w:val="000000"/>
      <w:kern w:val="2"/>
      <w:sz w:val="21"/>
      <w:szCs w:val="24"/>
    </w:rPr>
  </w:style>
  <w:style w:type="character" w:customStyle="1" w:styleId="239">
    <w:name w:val="正文文本 Char1"/>
    <w:qFormat/>
    <w:uiPriority w:val="0"/>
    <w:rPr>
      <w:sz w:val="21"/>
    </w:rPr>
  </w:style>
  <w:style w:type="character" w:customStyle="1" w:styleId="240">
    <w:name w:val="文档结构图 Char1"/>
    <w:qFormat/>
    <w:uiPriority w:val="0"/>
    <w:rPr>
      <w:rFonts w:ascii="宋体"/>
      <w:sz w:val="18"/>
      <w:szCs w:val="18"/>
    </w:rPr>
  </w:style>
  <w:style w:type="character" w:customStyle="1" w:styleId="241">
    <w:name w:val="Heading 3 Char1"/>
    <w:qFormat/>
    <w:uiPriority w:val="0"/>
    <w:rPr>
      <w:rFonts w:eastAsia="宋体"/>
      <w:b/>
      <w:bCs/>
      <w:kern w:val="2"/>
      <w:sz w:val="24"/>
      <w:szCs w:val="32"/>
      <w:lang w:val="en-US" w:eastAsia="zh-CN" w:bidi="ar-SA"/>
    </w:rPr>
  </w:style>
  <w:style w:type="character" w:customStyle="1" w:styleId="242">
    <w:name w:val="Footnote Text Char"/>
    <w:qFormat/>
    <w:uiPriority w:val="0"/>
    <w:rPr>
      <w:rFonts w:eastAsia="宋体"/>
      <w:sz w:val="18"/>
      <w:lang w:val="en-US" w:eastAsia="zh-CN" w:bidi="ar-SA"/>
    </w:rPr>
  </w:style>
  <w:style w:type="character" w:customStyle="1" w:styleId="243">
    <w:name w:val="副标题 Char1"/>
    <w:qFormat/>
    <w:uiPriority w:val="11"/>
    <w:rPr>
      <w:rFonts w:ascii="Cambria" w:hAnsi="Cambria" w:eastAsia="宋体" w:cs="Times New Roman"/>
      <w:b/>
      <w:bCs/>
      <w:kern w:val="28"/>
      <w:sz w:val="32"/>
      <w:szCs w:val="32"/>
    </w:rPr>
  </w:style>
  <w:style w:type="character" w:customStyle="1" w:styleId="244">
    <w:name w:val="明显强调3"/>
    <w:qFormat/>
    <w:uiPriority w:val="0"/>
    <w:rPr>
      <w:b/>
      <w:bCs/>
      <w:i/>
      <w:iCs/>
      <w:color w:val="4F81BD"/>
    </w:rPr>
  </w:style>
  <w:style w:type="character" w:customStyle="1" w:styleId="245">
    <w:name w:val="style1"/>
    <w:basedOn w:val="56"/>
    <w:qFormat/>
    <w:uiPriority w:val="0"/>
  </w:style>
  <w:style w:type="character" w:customStyle="1" w:styleId="246">
    <w:name w:val="HTML 预设格式 Char1"/>
    <w:qFormat/>
    <w:uiPriority w:val="99"/>
    <w:rPr>
      <w:rFonts w:ascii="Courier New" w:hAnsi="Courier New" w:cs="Courier New"/>
      <w:kern w:val="2"/>
    </w:rPr>
  </w:style>
  <w:style w:type="character" w:customStyle="1" w:styleId="247">
    <w:name w:val="正文呀2 Char"/>
    <w:link w:val="248"/>
    <w:qFormat/>
    <w:uiPriority w:val="0"/>
    <w:rPr>
      <w:kern w:val="2"/>
      <w:sz w:val="21"/>
      <w:szCs w:val="21"/>
    </w:rPr>
  </w:style>
  <w:style w:type="paragraph" w:customStyle="1" w:styleId="248">
    <w:name w:val="正文呀2"/>
    <w:basedOn w:val="116"/>
    <w:link w:val="247"/>
    <w:qFormat/>
    <w:uiPriority w:val="0"/>
    <w:rPr>
      <w:rFonts w:ascii="Times New Roman" w:hAnsi="Times New Roman"/>
    </w:rPr>
  </w:style>
  <w:style w:type="character" w:customStyle="1" w:styleId="249">
    <w:name w:val="普通文字 Char Char5"/>
    <w:qFormat/>
    <w:uiPriority w:val="0"/>
    <w:rPr>
      <w:rFonts w:ascii="宋体" w:hAnsi="Courier New" w:eastAsia="宋体"/>
      <w:szCs w:val="21"/>
      <w:lang w:bidi="ar-SA"/>
    </w:rPr>
  </w:style>
  <w:style w:type="character" w:customStyle="1" w:styleId="250">
    <w:name w:val="Footer Char"/>
    <w:qFormat/>
    <w:uiPriority w:val="0"/>
    <w:rPr>
      <w:rFonts w:eastAsia="宋体"/>
      <w:kern w:val="2"/>
      <w:sz w:val="18"/>
      <w:szCs w:val="18"/>
      <w:lang w:val="en-US" w:eastAsia="zh-CN" w:bidi="ar-SA"/>
    </w:rPr>
  </w:style>
  <w:style w:type="character" w:customStyle="1" w:styleId="251">
    <w:name w:val="表格标题 (4)_"/>
    <w:link w:val="252"/>
    <w:qFormat/>
    <w:locked/>
    <w:uiPriority w:val="0"/>
    <w:rPr>
      <w:rFonts w:ascii="MingLiU" w:hAnsi="MingLiU" w:eastAsia="MingLiU"/>
      <w:b/>
      <w:bCs/>
      <w:sz w:val="22"/>
      <w:shd w:val="clear" w:color="auto" w:fill="FFFFFF"/>
    </w:rPr>
  </w:style>
  <w:style w:type="paragraph" w:customStyle="1" w:styleId="252">
    <w:name w:val="表格标题 (4)"/>
    <w:basedOn w:val="1"/>
    <w:link w:val="251"/>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3">
    <w:name w:val="批注文字 Char Char"/>
    <w:qFormat/>
    <w:uiPriority w:val="0"/>
    <w:rPr>
      <w:rFonts w:ascii="宋体" w:hAnsi="Times New Roman" w:eastAsia="宋体" w:cs="Times New Roman"/>
      <w:sz w:val="28"/>
      <w:szCs w:val="20"/>
    </w:rPr>
  </w:style>
  <w:style w:type="character" w:customStyle="1" w:styleId="254">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5">
    <w:name w:val="标题5 Char Char"/>
    <w:link w:val="256"/>
    <w:qFormat/>
    <w:uiPriority w:val="0"/>
    <w:rPr>
      <w:rFonts w:ascii="Arial" w:hAnsi="Arial"/>
      <w:b/>
      <w:bCs/>
      <w:sz w:val="24"/>
      <w:szCs w:val="32"/>
    </w:rPr>
  </w:style>
  <w:style w:type="paragraph" w:customStyle="1" w:styleId="256">
    <w:name w:val="标题5"/>
    <w:basedOn w:val="5"/>
    <w:link w:val="255"/>
    <w:qFormat/>
    <w:uiPriority w:val="0"/>
    <w:pPr>
      <w:widowControl w:val="0"/>
      <w:spacing w:line="413" w:lineRule="auto"/>
    </w:pPr>
    <w:rPr>
      <w:rFonts w:ascii="Arial" w:hAnsi="Arial"/>
      <w:kern w:val="0"/>
    </w:rPr>
  </w:style>
  <w:style w:type="character" w:customStyle="1" w:styleId="257">
    <w:name w:val="标题 #8 (3)_"/>
    <w:link w:val="258"/>
    <w:qFormat/>
    <w:uiPriority w:val="0"/>
    <w:rPr>
      <w:rFonts w:ascii="MingLiU" w:hAnsi="MingLiU" w:eastAsia="MingLiU" w:cs="MingLiU"/>
      <w:shd w:val="clear" w:color="auto" w:fill="FFFFFF"/>
    </w:rPr>
  </w:style>
  <w:style w:type="paragraph" w:customStyle="1" w:styleId="258">
    <w:name w:val="标题 #8 (3)"/>
    <w:basedOn w:val="1"/>
    <w:link w:val="257"/>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9">
    <w:name w:val="脚注文本 Char"/>
    <w:qFormat/>
    <w:uiPriority w:val="0"/>
    <w:rPr>
      <w:sz w:val="18"/>
      <w:szCs w:val="18"/>
    </w:rPr>
  </w:style>
  <w:style w:type="character" w:customStyle="1" w:styleId="260">
    <w:name w:val="批注主题 Char1"/>
    <w:qFormat/>
    <w:uiPriority w:val="0"/>
    <w:rPr>
      <w:b/>
      <w:bCs/>
      <w:kern w:val="2"/>
      <w:sz w:val="21"/>
      <w:szCs w:val="24"/>
    </w:rPr>
  </w:style>
  <w:style w:type="character" w:customStyle="1" w:styleId="261">
    <w:name w:val="Char Char8"/>
    <w:qFormat/>
    <w:uiPriority w:val="0"/>
    <w:rPr>
      <w:rFonts w:eastAsia="宋体"/>
      <w:b/>
      <w:bCs/>
      <w:kern w:val="44"/>
      <w:sz w:val="32"/>
      <w:szCs w:val="44"/>
      <w:lang w:val="en-US" w:eastAsia="zh-CN" w:bidi="ar-SA"/>
    </w:rPr>
  </w:style>
  <w:style w:type="character" w:customStyle="1" w:styleId="262">
    <w:name w:val="Char Char Char"/>
    <w:qFormat/>
    <w:uiPriority w:val="0"/>
    <w:rPr>
      <w:rFonts w:eastAsia="宋体"/>
      <w:kern w:val="2"/>
      <w:sz w:val="18"/>
      <w:szCs w:val="18"/>
      <w:lang w:val="en-US" w:eastAsia="zh-CN" w:bidi="ar-SA"/>
    </w:rPr>
  </w:style>
  <w:style w:type="character" w:customStyle="1" w:styleId="263">
    <w:name w:val="副标题 Char2"/>
    <w:qFormat/>
    <w:uiPriority w:val="0"/>
    <w:rPr>
      <w:rFonts w:ascii="Cambria" w:hAnsi="Cambria" w:cs="Times New Roman"/>
      <w:b/>
      <w:bCs/>
      <w:kern w:val="28"/>
      <w:sz w:val="32"/>
      <w:szCs w:val="32"/>
    </w:rPr>
  </w:style>
  <w:style w:type="character" w:customStyle="1" w:styleId="264">
    <w:name w:val="062"/>
    <w:qFormat/>
    <w:uiPriority w:val="0"/>
    <w:rPr>
      <w:rFonts w:ascii="宋体" w:hAnsi="宋体"/>
      <w:b/>
      <w:bCs/>
      <w:sz w:val="32"/>
    </w:rPr>
  </w:style>
  <w:style w:type="character" w:customStyle="1" w:styleId="265">
    <w:name w:val="Char Char22"/>
    <w:qFormat/>
    <w:uiPriority w:val="0"/>
    <w:rPr>
      <w:rFonts w:ascii="Times New Roman" w:hAnsi="Times New Roman" w:eastAsia="宋体" w:cs="Times New Roman"/>
      <w:b/>
      <w:bCs/>
      <w:kern w:val="44"/>
      <w:sz w:val="32"/>
      <w:szCs w:val="44"/>
    </w:rPr>
  </w:style>
  <w:style w:type="character" w:customStyle="1" w:styleId="266">
    <w:name w:val="Book Title"/>
    <w:qFormat/>
    <w:uiPriority w:val="0"/>
    <w:rPr>
      <w:b/>
      <w:bCs/>
      <w:smallCaps/>
      <w:spacing w:val="5"/>
    </w:rPr>
  </w:style>
  <w:style w:type="character" w:customStyle="1" w:styleId="267">
    <w:name w:val="标题 3 Char1"/>
    <w:qFormat/>
    <w:uiPriority w:val="0"/>
    <w:rPr>
      <w:b/>
      <w:bCs/>
      <w:kern w:val="2"/>
      <w:sz w:val="32"/>
      <w:szCs w:val="32"/>
    </w:rPr>
  </w:style>
  <w:style w:type="character" w:customStyle="1" w:styleId="268">
    <w:name w:val="书籍标题3"/>
    <w:qFormat/>
    <w:uiPriority w:val="0"/>
    <w:rPr>
      <w:b/>
      <w:bCs/>
      <w:smallCaps/>
      <w:spacing w:val="5"/>
    </w:rPr>
  </w:style>
  <w:style w:type="character" w:customStyle="1" w:styleId="269">
    <w:name w:val="Char Char91"/>
    <w:qFormat/>
    <w:uiPriority w:val="0"/>
    <w:rPr>
      <w:rFonts w:eastAsia="宋体"/>
      <w:b/>
      <w:bCs/>
      <w:kern w:val="44"/>
      <w:sz w:val="32"/>
      <w:szCs w:val="44"/>
      <w:lang w:val="en-US" w:eastAsia="zh-CN" w:bidi="ar-SA"/>
    </w:rPr>
  </w:style>
  <w:style w:type="character" w:customStyle="1" w:styleId="270">
    <w:name w:val="Body Text Indent 2 Char"/>
    <w:qFormat/>
    <w:uiPriority w:val="0"/>
    <w:rPr>
      <w:rFonts w:eastAsia="宋体"/>
      <w:kern w:val="2"/>
      <w:sz w:val="21"/>
      <w:szCs w:val="24"/>
      <w:lang w:val="en-US" w:eastAsia="zh-CN" w:bidi="ar-SA"/>
    </w:rPr>
  </w:style>
  <w:style w:type="character" w:customStyle="1" w:styleId="271">
    <w:name w:val="明显参考3"/>
    <w:qFormat/>
    <w:uiPriority w:val="0"/>
    <w:rPr>
      <w:b/>
      <w:bCs/>
      <w:smallCaps/>
      <w:color w:val="C0504D"/>
      <w:spacing w:val="5"/>
      <w:u w:val="single"/>
    </w:rPr>
  </w:style>
  <w:style w:type="character" w:customStyle="1" w:styleId="272">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273">
    <w:name w:val="不明显参考2"/>
    <w:qFormat/>
    <w:uiPriority w:val="31"/>
    <w:rPr>
      <w:smallCaps/>
      <w:color w:val="C0504D"/>
      <w:u w:val="single"/>
    </w:rPr>
  </w:style>
  <w:style w:type="character" w:customStyle="1" w:styleId="274">
    <w:name w:val="NormalCharacter"/>
    <w:semiHidden/>
    <w:qFormat/>
    <w:uiPriority w:val="0"/>
  </w:style>
  <w:style w:type="character" w:customStyle="1" w:styleId="275">
    <w:name w:val="Char Char9"/>
    <w:qFormat/>
    <w:uiPriority w:val="0"/>
    <w:rPr>
      <w:rFonts w:eastAsia="宋体"/>
      <w:b/>
      <w:bCs/>
      <w:kern w:val="44"/>
      <w:sz w:val="32"/>
      <w:szCs w:val="44"/>
      <w:lang w:val="en-US" w:eastAsia="zh-CN" w:bidi="ar-SA"/>
    </w:rPr>
  </w:style>
  <w:style w:type="character" w:customStyle="1" w:styleId="276">
    <w:name w:val="样式 Char"/>
    <w:qFormat/>
    <w:uiPriority w:val="0"/>
    <w:rPr>
      <w:rFonts w:ascii="宋体" w:hAnsi="宋体" w:eastAsia="宋体" w:cs="宋体"/>
      <w:sz w:val="24"/>
      <w:szCs w:val="24"/>
      <w:lang w:val="en-US" w:eastAsia="zh-CN" w:bidi="ar-SA"/>
    </w:rPr>
  </w:style>
  <w:style w:type="character" w:customStyle="1" w:styleId="277">
    <w:name w:val="批注文字 Char1"/>
    <w:qFormat/>
    <w:uiPriority w:val="0"/>
    <w:rPr>
      <w:rFonts w:ascii="Times New Roman" w:hAnsi="Times New Roman" w:eastAsia="宋体" w:cs="Times New Roman"/>
      <w:szCs w:val="24"/>
    </w:rPr>
  </w:style>
  <w:style w:type="character" w:customStyle="1" w:styleId="278">
    <w:name w:val="Heading 4 Char"/>
    <w:qFormat/>
    <w:uiPriority w:val="0"/>
    <w:rPr>
      <w:rFonts w:ascii="Arial" w:hAnsi="Arial" w:eastAsia="宋体"/>
      <w:b/>
      <w:bCs/>
      <w:kern w:val="2"/>
      <w:sz w:val="21"/>
      <w:szCs w:val="28"/>
      <w:lang w:val="en-US" w:eastAsia="zh-CN" w:bidi="ar-SA"/>
    </w:rPr>
  </w:style>
  <w:style w:type="character" w:customStyle="1" w:styleId="279">
    <w:name w:val="Heading 5 Char"/>
    <w:qFormat/>
    <w:uiPriority w:val="0"/>
    <w:rPr>
      <w:rFonts w:eastAsia="宋体"/>
      <w:b/>
      <w:bCs/>
      <w:kern w:val="2"/>
      <w:sz w:val="28"/>
      <w:szCs w:val="28"/>
      <w:lang w:val="en-US" w:eastAsia="zh-CN" w:bidi="ar-SA"/>
    </w:rPr>
  </w:style>
  <w:style w:type="character" w:customStyle="1" w:styleId="280">
    <w:name w:val="font161"/>
    <w:qFormat/>
    <w:uiPriority w:val="0"/>
    <w:rPr>
      <w:rFonts w:ascii="Arial" w:hAnsi="Arial" w:eastAsia="黑体"/>
      <w:b/>
      <w:bCs/>
      <w:kern w:val="2"/>
      <w:sz w:val="32"/>
      <w:szCs w:val="32"/>
      <w:lang w:val="en-US" w:eastAsia="zh-CN" w:bidi="ar-SA"/>
    </w:rPr>
  </w:style>
  <w:style w:type="character" w:customStyle="1" w:styleId="281">
    <w:name w:val="不明显强调1"/>
    <w:qFormat/>
    <w:uiPriority w:val="19"/>
    <w:rPr>
      <w:i/>
      <w:iCs/>
      <w:color w:val="808080"/>
    </w:rPr>
  </w:style>
  <w:style w:type="character" w:customStyle="1" w:styleId="282">
    <w:name w:val="样式 4 + 四号 Char Char"/>
    <w:link w:val="283"/>
    <w:qFormat/>
    <w:uiPriority w:val="0"/>
    <w:rPr>
      <w:rFonts w:ascii="Cambria" w:hAnsi="Cambria" w:eastAsia="宋体" w:cs="Times New Roman"/>
      <w:b/>
      <w:bCs/>
      <w:sz w:val="28"/>
      <w:szCs w:val="28"/>
    </w:rPr>
  </w:style>
  <w:style w:type="paragraph" w:customStyle="1" w:styleId="283">
    <w:name w:val="样式 4 + 四号"/>
    <w:basedOn w:val="106"/>
    <w:next w:val="6"/>
    <w:link w:val="282"/>
    <w:qFormat/>
    <w:uiPriority w:val="0"/>
    <w:rPr>
      <w:sz w:val="28"/>
    </w:rPr>
  </w:style>
  <w:style w:type="character" w:customStyle="1" w:styleId="284">
    <w:name w:val="标题 #7 (4)_"/>
    <w:link w:val="285"/>
    <w:qFormat/>
    <w:locked/>
    <w:uiPriority w:val="0"/>
    <w:rPr>
      <w:rFonts w:ascii="MingLiU" w:hAnsi="MingLiU" w:eastAsia="MingLiU"/>
      <w:sz w:val="26"/>
      <w:szCs w:val="26"/>
      <w:shd w:val="clear" w:color="auto" w:fill="FFFFFF"/>
    </w:rPr>
  </w:style>
  <w:style w:type="paragraph" w:customStyle="1" w:styleId="285">
    <w:name w:val="标题 #7 (4)"/>
    <w:basedOn w:val="1"/>
    <w:link w:val="284"/>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6">
    <w:name w:val="Balloon Text Char"/>
    <w:qFormat/>
    <w:uiPriority w:val="0"/>
    <w:rPr>
      <w:sz w:val="18"/>
      <w:lang w:bidi="ar-SA"/>
    </w:rPr>
  </w:style>
  <w:style w:type="character" w:customStyle="1" w:styleId="287">
    <w:name w:val="脚注文本 Char2"/>
    <w:qFormat/>
    <w:uiPriority w:val="99"/>
    <w:rPr>
      <w:kern w:val="2"/>
      <w:sz w:val="18"/>
      <w:szCs w:val="18"/>
    </w:rPr>
  </w:style>
  <w:style w:type="character" w:customStyle="1" w:styleId="288">
    <w:name w:val="引用 Char"/>
    <w:link w:val="289"/>
    <w:qFormat/>
    <w:uiPriority w:val="0"/>
    <w:rPr>
      <w:i/>
      <w:iCs/>
      <w:color w:val="000000"/>
      <w:szCs w:val="24"/>
    </w:rPr>
  </w:style>
  <w:style w:type="paragraph" w:styleId="289">
    <w:name w:val="Quote"/>
    <w:basedOn w:val="1"/>
    <w:next w:val="1"/>
    <w:link w:val="288"/>
    <w:qFormat/>
    <w:uiPriority w:val="0"/>
    <w:pPr>
      <w:spacing w:line="360" w:lineRule="exact"/>
      <w:ind w:firstLine="200" w:firstLineChars="200"/>
    </w:pPr>
    <w:rPr>
      <w:rFonts w:ascii="Calibri" w:hAnsi="Calibri" w:eastAsia="宋体" w:cs="Times New Roman"/>
      <w:i/>
      <w:iCs/>
      <w:color w:val="000000"/>
    </w:rPr>
  </w:style>
  <w:style w:type="character" w:customStyle="1" w:styleId="290">
    <w:name w:val="标题4 Char Char"/>
    <w:link w:val="291"/>
    <w:qFormat/>
    <w:uiPriority w:val="0"/>
    <w:rPr>
      <w:rFonts w:ascii="Arial" w:hAnsi="Arial"/>
      <w:b/>
      <w:bCs/>
      <w:sz w:val="24"/>
      <w:szCs w:val="32"/>
    </w:rPr>
  </w:style>
  <w:style w:type="paragraph" w:customStyle="1" w:styleId="291">
    <w:name w:val="标题4"/>
    <w:basedOn w:val="4"/>
    <w:next w:val="25"/>
    <w:link w:val="290"/>
    <w:qFormat/>
    <w:uiPriority w:val="0"/>
    <w:pPr>
      <w:spacing w:before="60" w:after="60" w:line="413" w:lineRule="auto"/>
      <w:jc w:val="center"/>
    </w:pPr>
    <w:rPr>
      <w:rFonts w:ascii="Arial" w:hAnsi="Arial"/>
      <w:kern w:val="0"/>
      <w:sz w:val="24"/>
    </w:rPr>
  </w:style>
  <w:style w:type="character" w:customStyle="1" w:styleId="292">
    <w:name w:val="正文文本 (31)_"/>
    <w:link w:val="293"/>
    <w:qFormat/>
    <w:locked/>
    <w:uiPriority w:val="0"/>
    <w:rPr>
      <w:shd w:val="clear" w:color="auto" w:fill="FFFFFF"/>
      <w:lang w:eastAsia="en-US"/>
    </w:rPr>
  </w:style>
  <w:style w:type="paragraph" w:customStyle="1" w:styleId="293">
    <w:name w:val="正文文本 (31)"/>
    <w:basedOn w:val="1"/>
    <w:link w:val="292"/>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4">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5">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6">
    <w:name w:val="Char Char1"/>
    <w:qFormat/>
    <w:uiPriority w:val="0"/>
    <w:rPr>
      <w:rFonts w:eastAsia="宋体"/>
      <w:kern w:val="2"/>
      <w:sz w:val="18"/>
      <w:szCs w:val="18"/>
      <w:lang w:val="en-US" w:eastAsia="zh-CN" w:bidi="ar-SA"/>
    </w:rPr>
  </w:style>
  <w:style w:type="character" w:customStyle="1" w:styleId="297">
    <w:name w:val="Char Char61"/>
    <w:qFormat/>
    <w:uiPriority w:val="0"/>
    <w:rPr>
      <w:rFonts w:eastAsia="宋体"/>
      <w:b/>
      <w:bCs/>
      <w:kern w:val="44"/>
      <w:sz w:val="32"/>
      <w:szCs w:val="44"/>
      <w:lang w:val="en-US" w:eastAsia="zh-CN" w:bidi="ar-SA"/>
    </w:rPr>
  </w:style>
  <w:style w:type="character" w:customStyle="1" w:styleId="298">
    <w:name w:val="font5 Char"/>
    <w:qFormat/>
    <w:uiPriority w:val="0"/>
    <w:rPr>
      <w:rFonts w:ascii="宋体" w:hAnsi="宋体" w:eastAsia="宋体"/>
      <w:sz w:val="24"/>
      <w:szCs w:val="24"/>
      <w:lang w:val="en-US" w:eastAsia="zh-CN" w:bidi="ar-SA"/>
    </w:rPr>
  </w:style>
  <w:style w:type="character" w:customStyle="1" w:styleId="299">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300">
    <w:name w:val="样式6 Char Char"/>
    <w:link w:val="301"/>
    <w:qFormat/>
    <w:uiPriority w:val="0"/>
    <w:rPr>
      <w:rFonts w:ascii="Times New Roman" w:hAnsi="Times New Roman" w:eastAsia="宋体" w:cs="Times New Roman"/>
      <w:sz w:val="18"/>
      <w:szCs w:val="18"/>
    </w:rPr>
  </w:style>
  <w:style w:type="paragraph" w:customStyle="1" w:styleId="301">
    <w:name w:val="样式6"/>
    <w:basedOn w:val="35"/>
    <w:next w:val="302"/>
    <w:link w:val="300"/>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2">
    <w:name w:val="样式1"/>
    <w:basedOn w:val="35"/>
    <w:next w:val="1"/>
    <w:link w:val="303"/>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3">
    <w:name w:val="样式1 Char Char"/>
    <w:link w:val="302"/>
    <w:qFormat/>
    <w:uiPriority w:val="0"/>
    <w:rPr>
      <w:rFonts w:eastAsia="黑体"/>
      <w:b/>
      <w:sz w:val="44"/>
      <w:szCs w:val="18"/>
    </w:rPr>
  </w:style>
  <w:style w:type="character" w:customStyle="1" w:styleId="304">
    <w:name w:val="1ji Char Char"/>
    <w:link w:val="305"/>
    <w:qFormat/>
    <w:uiPriority w:val="0"/>
    <w:rPr>
      <w:rFonts w:ascii="宋体" w:hAnsi="宋体"/>
      <w:b/>
      <w:bCs/>
      <w:sz w:val="36"/>
    </w:rPr>
  </w:style>
  <w:style w:type="paragraph" w:customStyle="1" w:styleId="305">
    <w:name w:val="1ji"/>
    <w:basedOn w:val="3"/>
    <w:link w:val="304"/>
    <w:qFormat/>
    <w:uiPriority w:val="0"/>
    <w:pPr>
      <w:keepLines w:val="0"/>
      <w:widowControl/>
      <w:spacing w:before="0" w:after="0" w:line="240" w:lineRule="auto"/>
      <w:jc w:val="center"/>
    </w:pPr>
    <w:rPr>
      <w:rFonts w:ascii="宋体" w:hAnsi="宋体"/>
      <w:kern w:val="0"/>
      <w:szCs w:val="20"/>
    </w:rPr>
  </w:style>
  <w:style w:type="character" w:customStyle="1" w:styleId="306">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07">
    <w:name w:val="正文文本 (30)_"/>
    <w:link w:val="308"/>
    <w:qFormat/>
    <w:locked/>
    <w:uiPriority w:val="0"/>
    <w:rPr>
      <w:shd w:val="clear" w:color="auto" w:fill="FFFFFF"/>
      <w:lang w:eastAsia="en-US"/>
    </w:rPr>
  </w:style>
  <w:style w:type="paragraph" w:customStyle="1" w:styleId="308">
    <w:name w:val="正文文本 (30)"/>
    <w:basedOn w:val="1"/>
    <w:link w:val="307"/>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9">
    <w:name w:val="标题 3 Char Char Char"/>
    <w:qFormat/>
    <w:uiPriority w:val="0"/>
    <w:rPr>
      <w:rFonts w:eastAsia="宋体"/>
      <w:b/>
      <w:bCs/>
      <w:kern w:val="2"/>
      <w:sz w:val="32"/>
      <w:szCs w:val="32"/>
      <w:lang w:val="en-US" w:eastAsia="zh-CN" w:bidi="ar-SA"/>
    </w:rPr>
  </w:style>
  <w:style w:type="character" w:customStyle="1" w:styleId="310">
    <w:name w:val="不明显强调2"/>
    <w:qFormat/>
    <w:uiPriority w:val="19"/>
    <w:rPr>
      <w:i/>
      <w:iCs/>
      <w:color w:val="808080"/>
    </w:rPr>
  </w:style>
  <w:style w:type="character" w:customStyle="1" w:styleId="311">
    <w:name w:val="正文文本 2 Char1"/>
    <w:qFormat/>
    <w:uiPriority w:val="0"/>
    <w:rPr>
      <w:rFonts w:ascii="Times New Roman" w:hAnsi="Times New Roman" w:eastAsia="宋体" w:cs="Times New Roman"/>
      <w:szCs w:val="24"/>
    </w:rPr>
  </w:style>
  <w:style w:type="character" w:customStyle="1" w:styleId="312">
    <w:name w:val="Document Map Char"/>
    <w:qFormat/>
    <w:uiPriority w:val="0"/>
    <w:rPr>
      <w:rFonts w:eastAsia="宋体"/>
      <w:kern w:val="2"/>
      <w:sz w:val="21"/>
      <w:szCs w:val="24"/>
      <w:lang w:val="en-US" w:eastAsia="zh-CN" w:bidi="ar-SA"/>
    </w:rPr>
  </w:style>
  <w:style w:type="character" w:customStyle="1" w:styleId="313">
    <w:name w:val="Heading 1 Char"/>
    <w:qFormat/>
    <w:uiPriority w:val="0"/>
    <w:rPr>
      <w:rFonts w:eastAsia="宋体"/>
      <w:b/>
      <w:bCs/>
      <w:kern w:val="44"/>
      <w:sz w:val="32"/>
      <w:szCs w:val="44"/>
      <w:lang w:val="en-US" w:eastAsia="zh-CN" w:bidi="ar-SA"/>
    </w:rPr>
  </w:style>
  <w:style w:type="character" w:customStyle="1" w:styleId="314">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5">
    <w:name w:val="textcontents"/>
    <w:qFormat/>
    <w:uiPriority w:val="0"/>
    <w:rPr>
      <w:rFonts w:cs="Times New Roman"/>
    </w:rPr>
  </w:style>
  <w:style w:type="character" w:customStyle="1" w:styleId="316">
    <w:name w:val="Char Char18"/>
    <w:qFormat/>
    <w:uiPriority w:val="0"/>
    <w:rPr>
      <w:rFonts w:ascii="Times New Roman" w:hAnsi="Times New Roman" w:eastAsia="宋体" w:cs="Times New Roman"/>
      <w:b/>
      <w:bCs/>
      <w:sz w:val="28"/>
      <w:szCs w:val="28"/>
    </w:rPr>
  </w:style>
  <w:style w:type="character" w:customStyle="1" w:styleId="317">
    <w:name w:val="正文文本缩进 3 Char1"/>
    <w:semiHidden/>
    <w:qFormat/>
    <w:uiPriority w:val="99"/>
    <w:rPr>
      <w:sz w:val="16"/>
      <w:szCs w:val="16"/>
    </w:rPr>
  </w:style>
  <w:style w:type="character" w:customStyle="1" w:styleId="318">
    <w:name w:val="表格标题_"/>
    <w:link w:val="319"/>
    <w:qFormat/>
    <w:locked/>
    <w:uiPriority w:val="0"/>
    <w:rPr>
      <w:rFonts w:ascii="MingLiU" w:hAnsi="MingLiU" w:eastAsia="MingLiU"/>
      <w:shd w:val="clear" w:color="auto" w:fill="FFFFFF"/>
    </w:rPr>
  </w:style>
  <w:style w:type="paragraph" w:customStyle="1" w:styleId="319">
    <w:name w:val="表格标题"/>
    <w:basedOn w:val="1"/>
    <w:link w:val="318"/>
    <w:qFormat/>
    <w:uiPriority w:val="0"/>
    <w:pPr>
      <w:shd w:val="clear" w:color="auto" w:fill="FFFFFF"/>
      <w:spacing w:line="322" w:lineRule="exact"/>
      <w:jc w:val="distribute"/>
    </w:pPr>
    <w:rPr>
      <w:rFonts w:ascii="MingLiU" w:hAnsi="MingLiU" w:eastAsia="MingLiU" w:cs="Times New Roman"/>
      <w:szCs w:val="22"/>
    </w:rPr>
  </w:style>
  <w:style w:type="character" w:customStyle="1" w:styleId="320">
    <w:name w:val="copy1"/>
    <w:qFormat/>
    <w:uiPriority w:val="0"/>
    <w:rPr>
      <w:rFonts w:hint="default" w:ascii="Arial" w:hAnsi="Arial" w:cs="Arial"/>
      <w:color w:val="525252"/>
      <w:sz w:val="15"/>
      <w:szCs w:val="15"/>
      <w:u w:val="none"/>
    </w:rPr>
  </w:style>
  <w:style w:type="character" w:customStyle="1" w:styleId="321">
    <w:name w:val="页眉 Char1"/>
    <w:semiHidden/>
    <w:qFormat/>
    <w:uiPriority w:val="99"/>
    <w:rPr>
      <w:sz w:val="18"/>
      <w:szCs w:val="18"/>
    </w:rPr>
  </w:style>
  <w:style w:type="character" w:customStyle="1" w:styleId="322">
    <w:name w:val="明显引用 Char1"/>
    <w:qFormat/>
    <w:uiPriority w:val="30"/>
    <w:rPr>
      <w:rFonts w:ascii="Times New Roman" w:hAnsi="Times New Roman" w:eastAsia="宋体" w:cs="Times New Roman"/>
      <w:b/>
      <w:bCs/>
      <w:i/>
      <w:iCs/>
      <w:color w:val="4F81BD"/>
      <w:szCs w:val="24"/>
    </w:rPr>
  </w:style>
  <w:style w:type="paragraph" w:styleId="323">
    <w:name w:val="List Paragraph"/>
    <w:basedOn w:val="1"/>
    <w:qFormat/>
    <w:uiPriority w:val="0"/>
    <w:pPr>
      <w:ind w:firstLine="420" w:firstLineChars="200"/>
    </w:pPr>
  </w:style>
  <w:style w:type="paragraph" w:customStyle="1" w:styleId="324">
    <w:name w:val="p0"/>
    <w:basedOn w:val="1"/>
    <w:qFormat/>
    <w:uiPriority w:val="0"/>
    <w:pPr>
      <w:widowControl/>
    </w:pPr>
    <w:rPr>
      <w:rFonts w:ascii="Calibri" w:hAnsi="Calibri" w:cs="宋体"/>
      <w:kern w:val="0"/>
      <w:szCs w:val="21"/>
    </w:rPr>
  </w:style>
  <w:style w:type="paragraph" w:customStyle="1" w:styleId="325">
    <w:name w:val="Char2 Char Char Char"/>
    <w:basedOn w:val="1"/>
    <w:qFormat/>
    <w:uiPriority w:val="0"/>
  </w:style>
  <w:style w:type="paragraph" w:customStyle="1" w:styleId="326">
    <w:name w:val="Char Char10"/>
    <w:basedOn w:val="1"/>
    <w:qFormat/>
    <w:uiPriority w:val="0"/>
    <w:rPr>
      <w:rFonts w:ascii="仿宋_GB2312" w:eastAsia="仿宋_GB2312"/>
      <w:b/>
      <w:sz w:val="32"/>
      <w:szCs w:val="32"/>
    </w:rPr>
  </w:style>
  <w:style w:type="paragraph" w:customStyle="1" w:styleId="327">
    <w:name w:val="_Style 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8">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9">
    <w:name w:val="样式 样式 4 + 宋体 小三 黑色 + 居中 左侧:  2 字符 首行缩进:  2 字符"/>
    <w:basedOn w:val="330"/>
    <w:next w:val="6"/>
    <w:qFormat/>
    <w:uiPriority w:val="0"/>
    <w:pPr>
      <w:ind w:left="420" w:firstLine="602"/>
      <w:jc w:val="center"/>
    </w:pPr>
    <w:rPr>
      <w:rFonts w:cs="宋体"/>
      <w:szCs w:val="20"/>
    </w:rPr>
  </w:style>
  <w:style w:type="paragraph" w:customStyle="1" w:styleId="330">
    <w:name w:val="样式 4 + 宋体 小三 黑色"/>
    <w:basedOn w:val="106"/>
    <w:next w:val="6"/>
    <w:qFormat/>
    <w:uiPriority w:val="0"/>
    <w:rPr>
      <w:rFonts w:ascii="宋体" w:hAnsi="宋体"/>
      <w:color w:val="000000"/>
      <w:sz w:val="30"/>
    </w:rPr>
  </w:style>
  <w:style w:type="paragraph" w:customStyle="1" w:styleId="331">
    <w:name w:val="2-2ji"/>
    <w:basedOn w:val="4"/>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2">
    <w:name w:val="(1)"/>
    <w:basedOn w:val="333"/>
    <w:qFormat/>
    <w:uiPriority w:val="0"/>
    <w:pPr>
      <w:spacing w:before="240"/>
      <w:ind w:left="431" w:hanging="431"/>
    </w:pPr>
    <w:rPr>
      <w:b w:val="0"/>
      <w:sz w:val="24"/>
    </w:rPr>
  </w:style>
  <w:style w:type="paragraph" w:customStyle="1" w:styleId="333">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4">
    <w:name w:val="a 正文"/>
    <w:basedOn w:val="335"/>
    <w:qFormat/>
    <w:uiPriority w:val="0"/>
    <w:pPr>
      <w:tabs>
        <w:tab w:val="left" w:pos="720"/>
        <w:tab w:val="left" w:pos="3240"/>
        <w:tab w:val="left" w:pos="3750"/>
      </w:tabs>
      <w:ind w:left="681" w:hanging="227"/>
    </w:pPr>
  </w:style>
  <w:style w:type="paragraph" w:customStyle="1" w:styleId="335">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36">
    <w:name w:val="样式 4 + 段前: 0 磅 段后: 0 磅 行距: 单倍行距"/>
    <w:basedOn w:val="106"/>
    <w:qFormat/>
    <w:uiPriority w:val="0"/>
    <w:pPr>
      <w:spacing w:before="0" w:after="0" w:line="240" w:lineRule="auto"/>
    </w:pPr>
    <w:rPr>
      <w:rFonts w:cs="宋体"/>
      <w:b w:val="0"/>
      <w:szCs w:val="20"/>
    </w:rPr>
  </w:style>
  <w:style w:type="paragraph" w:customStyle="1" w:styleId="337">
    <w:name w:val="bb"/>
    <w:basedOn w:val="1"/>
    <w:qFormat/>
    <w:uiPriority w:val="0"/>
    <w:pPr>
      <w:widowControl/>
      <w:spacing w:before="100" w:beforeAutospacing="1" w:after="100" w:afterAutospacing="1"/>
      <w:jc w:val="left"/>
    </w:pPr>
    <w:rPr>
      <w:rFonts w:ascii="宋体"/>
      <w:kern w:val="0"/>
      <w:sz w:val="24"/>
    </w:rPr>
  </w:style>
  <w:style w:type="paragraph" w:customStyle="1" w:styleId="338">
    <w:name w:val="TOC Heading"/>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40">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41">
    <w:name w:val="样式 样式 样式 小四 加粗 居中 + 宋体 加粗 黑色 + 左侧:  0.74 厘米"/>
    <w:basedOn w:val="342"/>
    <w:qFormat/>
    <w:uiPriority w:val="0"/>
    <w:pPr>
      <w:ind w:left="420" w:firstLine="422"/>
    </w:pPr>
  </w:style>
  <w:style w:type="paragraph" w:customStyle="1" w:styleId="342">
    <w:name w:val="样式 样式 小四 加粗 居中 + 宋体 加粗 黑色"/>
    <w:basedOn w:val="343"/>
    <w:next w:val="7"/>
    <w:qFormat/>
    <w:uiPriority w:val="0"/>
    <w:rPr>
      <w:rFonts w:ascii="宋体" w:hAnsi="宋体"/>
      <w:b/>
      <w:bCs/>
      <w:color w:val="000000"/>
    </w:rPr>
  </w:style>
  <w:style w:type="paragraph" w:customStyle="1" w:styleId="343">
    <w:name w:val="样式 小四 加粗 居中"/>
    <w:basedOn w:val="7"/>
    <w:next w:val="7"/>
    <w:qFormat/>
    <w:uiPriority w:val="0"/>
    <w:pPr>
      <w:spacing w:before="50" w:beforeLines="50" w:after="50" w:afterLines="50" w:line="240" w:lineRule="auto"/>
      <w:jc w:val="center"/>
    </w:pPr>
    <w:rPr>
      <w:rFonts w:cs="宋体"/>
      <w:b w:val="0"/>
      <w:bCs w:val="0"/>
      <w:sz w:val="24"/>
      <w:szCs w:val="20"/>
    </w:rPr>
  </w:style>
  <w:style w:type="paragraph" w:customStyle="1" w:styleId="344">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45">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6">
    <w:name w:val="样式 4 + 小三"/>
    <w:basedOn w:val="106"/>
    <w:next w:val="6"/>
    <w:qFormat/>
    <w:uiPriority w:val="0"/>
    <w:rPr>
      <w:sz w:val="30"/>
    </w:rPr>
  </w:style>
  <w:style w:type="paragraph" w:customStyle="1" w:styleId="34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8">
    <w:name w:val="标准正文"/>
    <w:basedOn w:val="1"/>
    <w:qFormat/>
    <w:uiPriority w:val="99"/>
    <w:pPr>
      <w:spacing w:afterLines="50"/>
      <w:ind w:firstLine="200" w:firstLineChars="200"/>
      <w:jc w:val="left"/>
    </w:pPr>
    <w:rPr>
      <w:sz w:val="24"/>
      <w:szCs w:val="21"/>
    </w:rPr>
  </w:style>
  <w:style w:type="paragraph" w:customStyle="1" w:styleId="349">
    <w:name w:val="合同正文"/>
    <w:basedOn w:val="1"/>
    <w:qFormat/>
    <w:uiPriority w:val="0"/>
    <w:pPr>
      <w:adjustRightInd w:val="0"/>
      <w:spacing w:line="580" w:lineRule="exact"/>
    </w:pPr>
    <w:rPr>
      <w:b/>
      <w:sz w:val="24"/>
      <w:szCs w:val="20"/>
    </w:rPr>
  </w:style>
  <w:style w:type="paragraph" w:customStyle="1" w:styleId="350">
    <w:name w:val="**"/>
    <w:basedOn w:val="333"/>
    <w:qFormat/>
    <w:uiPriority w:val="0"/>
    <w:rPr>
      <w:rFonts w:ascii="楷体" w:eastAsia="楷体"/>
      <w:sz w:val="24"/>
    </w:rPr>
  </w:style>
  <w:style w:type="paragraph" w:customStyle="1" w:styleId="351">
    <w:name w:val="表格2"/>
    <w:basedOn w:val="1"/>
    <w:qFormat/>
    <w:uiPriority w:val="0"/>
    <w:pPr>
      <w:adjustRightInd w:val="0"/>
      <w:spacing w:before="60" w:after="60"/>
      <w:jc w:val="center"/>
    </w:pPr>
    <w:rPr>
      <w:rFonts w:ascii="宋体"/>
      <w:color w:val="000000"/>
      <w:kern w:val="0"/>
      <w:sz w:val="24"/>
      <w:szCs w:val="20"/>
    </w:rPr>
  </w:style>
  <w:style w:type="paragraph" w:customStyle="1" w:styleId="352">
    <w:name w:val="p16"/>
    <w:basedOn w:val="1"/>
    <w:qFormat/>
    <w:uiPriority w:val="0"/>
    <w:pPr>
      <w:widowControl/>
    </w:pPr>
    <w:rPr>
      <w:kern w:val="0"/>
      <w:szCs w:val="21"/>
    </w:rPr>
  </w:style>
  <w:style w:type="paragraph" w:customStyle="1" w:styleId="353">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4">
    <w:name w:val="3"/>
    <w:basedOn w:val="5"/>
    <w:next w:val="5"/>
    <w:qFormat/>
    <w:uiPriority w:val="0"/>
    <w:pPr>
      <w:widowControl w:val="0"/>
      <w:spacing w:before="0" w:after="0" w:line="415" w:lineRule="auto"/>
    </w:pPr>
    <w:rPr>
      <w:rFonts w:ascii="黑体" w:eastAsia="黑体"/>
      <w:sz w:val="28"/>
      <w:szCs w:val="28"/>
    </w:rPr>
  </w:style>
  <w:style w:type="paragraph" w:customStyle="1" w:styleId="355">
    <w:name w:val="TOC 标题3"/>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6">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57">
    <w:name w:val="Char Char Char Char Char Char Char Char Char Char"/>
    <w:basedOn w:val="1"/>
    <w:qFormat/>
    <w:uiPriority w:val="0"/>
  </w:style>
  <w:style w:type="paragraph" w:customStyle="1" w:styleId="358">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359">
    <w:name w:val="+正文"/>
    <w:basedOn w:val="1"/>
    <w:qFormat/>
    <w:uiPriority w:val="0"/>
    <w:pPr>
      <w:spacing w:line="360" w:lineRule="auto"/>
      <w:ind w:firstLine="200" w:firstLineChars="200"/>
    </w:pPr>
    <w:rPr>
      <w:sz w:val="24"/>
      <w:szCs w:val="28"/>
    </w:rPr>
  </w:style>
  <w:style w:type="paragraph" w:customStyle="1" w:styleId="36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纯文本2"/>
    <w:basedOn w:val="1"/>
    <w:qFormat/>
    <w:uiPriority w:val="0"/>
    <w:rPr>
      <w:rFonts w:ascii="宋体" w:hAnsi="Courier New"/>
      <w:szCs w:val="20"/>
    </w:rPr>
  </w:style>
  <w:style w:type="paragraph" w:customStyle="1" w:styleId="36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Index8"/>
    <w:basedOn w:val="1"/>
    <w:next w:val="1"/>
    <w:qFormat/>
    <w:locked/>
    <w:uiPriority w:val="0"/>
    <w:pPr>
      <w:ind w:left="2940"/>
    </w:pPr>
  </w:style>
  <w:style w:type="paragraph" w:customStyle="1" w:styleId="365">
    <w:name w:val="2"/>
    <w:basedOn w:val="5"/>
    <w:qFormat/>
    <w:uiPriority w:val="0"/>
    <w:pPr>
      <w:widowControl w:val="0"/>
      <w:spacing w:before="120" w:beforeLines="50" w:after="120" w:afterLines="50" w:line="240" w:lineRule="auto"/>
      <w:jc w:val="center"/>
    </w:pPr>
    <w:rPr>
      <w:rFonts w:ascii="黑体" w:eastAsia="黑体"/>
      <w:sz w:val="44"/>
      <w:szCs w:val="28"/>
    </w:rPr>
  </w:style>
  <w:style w:type="paragraph" w:customStyle="1" w:styleId="366">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7">
    <w:name w:val="样式 4 + 小三 两端对齐 段前: 0 磅 段后: 0 磅 行距: 单倍行距"/>
    <w:basedOn w:val="106"/>
    <w:qFormat/>
    <w:uiPriority w:val="0"/>
    <w:pPr>
      <w:spacing w:before="0" w:after="0" w:line="240" w:lineRule="auto"/>
      <w:jc w:val="both"/>
    </w:pPr>
    <w:rPr>
      <w:rFonts w:cs="宋体"/>
      <w:sz w:val="30"/>
      <w:szCs w:val="20"/>
    </w:rPr>
  </w:style>
  <w:style w:type="paragraph" w:customStyle="1" w:styleId="368">
    <w:name w:val="444"/>
    <w:basedOn w:val="1"/>
    <w:qFormat/>
    <w:uiPriority w:val="0"/>
    <w:pPr>
      <w:adjustRightInd w:val="0"/>
      <w:spacing w:line="312" w:lineRule="atLeast"/>
      <w:jc w:val="center"/>
      <w:textAlignment w:val="baseline"/>
    </w:pPr>
    <w:rPr>
      <w:b/>
      <w:kern w:val="0"/>
      <w:sz w:val="36"/>
      <w:szCs w:val="36"/>
    </w:rPr>
  </w:style>
  <w:style w:type="paragraph" w:customStyle="1" w:styleId="369">
    <w:name w:val="标题2"/>
    <w:basedOn w:val="4"/>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370">
    <w:name w:val="Char Char Char Char Char Char Char Char Char1 Char Char Char Char Char Char Char Char Char Char Char Char Char"/>
    <w:basedOn w:val="3"/>
    <w:qFormat/>
    <w:uiPriority w:val="0"/>
    <w:pPr>
      <w:snapToGrid w:val="0"/>
      <w:spacing w:before="240" w:after="240" w:line="348" w:lineRule="auto"/>
    </w:pPr>
    <w:rPr>
      <w:sz w:val="44"/>
    </w:rPr>
  </w:style>
  <w:style w:type="paragraph" w:customStyle="1" w:styleId="371">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3">
    <w:name w:val="tds100"/>
    <w:basedOn w:val="44"/>
    <w:qFormat/>
    <w:uiPriority w:val="0"/>
    <w:pPr>
      <w:tabs>
        <w:tab w:val="right" w:leader="dot" w:pos="9628"/>
      </w:tabs>
      <w:ind w:left="200"/>
      <w:jc w:val="center"/>
    </w:pPr>
    <w:rPr>
      <w:b/>
      <w:sz w:val="44"/>
    </w:rPr>
  </w:style>
  <w:style w:type="paragraph" w:customStyle="1" w:styleId="374">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5">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7">
    <w:name w:val="PlainText"/>
    <w:basedOn w:val="1"/>
    <w:next w:val="364"/>
    <w:qFormat/>
    <w:locked/>
    <w:uiPriority w:val="0"/>
    <w:rPr>
      <w:rFonts w:ascii="宋体" w:hAnsi="Courier New"/>
      <w:szCs w:val="20"/>
    </w:rPr>
  </w:style>
  <w:style w:type="paragraph" w:customStyle="1" w:styleId="378">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80">
    <w:name w:val="Char"/>
    <w:basedOn w:val="1"/>
    <w:qFormat/>
    <w:uiPriority w:val="0"/>
    <w:rPr>
      <w:rFonts w:ascii="Tahoma" w:hAnsi="Tahoma"/>
      <w:sz w:val="24"/>
      <w:szCs w:val="20"/>
    </w:rPr>
  </w:style>
  <w:style w:type="paragraph" w:customStyle="1" w:styleId="381">
    <w:name w:val="font6"/>
    <w:basedOn w:val="1"/>
    <w:qFormat/>
    <w:uiPriority w:val="0"/>
    <w:pPr>
      <w:widowControl/>
      <w:spacing w:before="100" w:beforeAutospacing="1" w:after="100" w:afterAutospacing="1"/>
      <w:jc w:val="left"/>
    </w:pPr>
    <w:rPr>
      <w:kern w:val="0"/>
      <w:sz w:val="24"/>
    </w:rPr>
  </w:style>
  <w:style w:type="paragraph" w:customStyle="1" w:styleId="382">
    <w:name w:val="5 Char Char Char Char Char Char Char Char Char Char"/>
    <w:basedOn w:val="1"/>
    <w:qFormat/>
    <w:uiPriority w:val="0"/>
  </w:style>
  <w:style w:type="paragraph" w:customStyle="1" w:styleId="38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4">
    <w:name w:val="2ji"/>
    <w:basedOn w:val="4"/>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5">
    <w:name w:val="样式 标题 3 + (中文) 黑体 小四 非加粗 段前: 7.8 磅 段后: 0 磅 行距: 固定值 20 磅"/>
    <w:basedOn w:val="5"/>
    <w:qFormat/>
    <w:uiPriority w:val="0"/>
    <w:pPr>
      <w:widowControl w:val="0"/>
      <w:spacing w:before="0" w:after="0" w:line="400" w:lineRule="exact"/>
    </w:pPr>
    <w:rPr>
      <w:rFonts w:ascii="黑体" w:eastAsia="黑体" w:cs="宋体"/>
      <w:b w:val="0"/>
      <w:bCs w:val="0"/>
      <w:szCs w:val="20"/>
    </w:rPr>
  </w:style>
  <w:style w:type="paragraph" w:customStyle="1" w:styleId="386">
    <w:name w:val="样式 4 + 宋体 小三 黑色 两端对齐 段前: 0 磅 段后: 0 磅 行距: 单倍行距1"/>
    <w:basedOn w:val="106"/>
    <w:next w:val="6"/>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qFormat/>
    <w:uiPriority w:val="0"/>
    <w:rPr>
      <w:rFonts w:ascii="Times New Roman" w:hAnsi="Times New Roman" w:eastAsia="宋体" w:cs="Times New Roman"/>
      <w:sz w:val="21"/>
      <w:lang w:val="en-US" w:eastAsia="zh-CN" w:bidi="ar-SA"/>
    </w:rPr>
  </w:style>
  <w:style w:type="paragraph" w:customStyle="1" w:styleId="388">
    <w:name w:val="F2"/>
    <w:basedOn w:val="1"/>
    <w:qFormat/>
    <w:uiPriority w:val="0"/>
    <w:pPr>
      <w:autoSpaceDE w:val="0"/>
      <w:autoSpaceDN w:val="0"/>
      <w:adjustRightInd w:val="0"/>
      <w:ind w:firstLine="601"/>
      <w:textAlignment w:val="baseline"/>
    </w:pPr>
    <w:rPr>
      <w:kern w:val="0"/>
      <w:sz w:val="24"/>
      <w:szCs w:val="20"/>
    </w:rPr>
  </w:style>
  <w:style w:type="paragraph" w:customStyle="1" w:styleId="38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qFormat/>
    <w:uiPriority w:val="0"/>
    <w:pPr>
      <w:spacing w:line="600" w:lineRule="exact"/>
      <w:jc w:val="left"/>
    </w:pPr>
    <w:rPr>
      <w:b/>
      <w:sz w:val="30"/>
      <w:szCs w:val="20"/>
    </w:rPr>
  </w:style>
  <w:style w:type="paragraph" w:customStyle="1" w:styleId="3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7"/>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next w:val="3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文本_0"/>
    <w:basedOn w:val="393"/>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95">
    <w:name w:val="样式 2 + 段前: 0 磅 段后: 0 磅 行距: 多倍行距 1.73 字行"/>
    <w:basedOn w:val="365"/>
    <w:next w:val="4"/>
    <w:qFormat/>
    <w:uiPriority w:val="0"/>
    <w:pPr>
      <w:spacing w:before="0" w:beforeLines="0" w:after="0" w:afterLines="0" w:line="415" w:lineRule="auto"/>
    </w:pPr>
    <w:rPr>
      <w:rFonts w:cs="宋体"/>
      <w:szCs w:val="20"/>
    </w:rPr>
  </w:style>
  <w:style w:type="paragraph" w:customStyle="1" w:styleId="3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7">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9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99">
    <w:name w:val="Char Char Char Char Char Char Char2"/>
    <w:basedOn w:val="1"/>
    <w:qFormat/>
    <w:uiPriority w:val="0"/>
  </w:style>
  <w:style w:type="paragraph" w:customStyle="1" w:styleId="400">
    <w:name w:val="Char Char Char Char Char Char Char Char Char Char1"/>
    <w:basedOn w:val="18"/>
    <w:qFormat/>
    <w:uiPriority w:val="0"/>
    <w:pPr>
      <w:keepNext/>
      <w:spacing w:before="312" w:beforeLines="100" w:line="240" w:lineRule="auto"/>
      <w:ind w:firstLine="0" w:firstLineChars="0"/>
    </w:pPr>
    <w:rPr>
      <w:rFonts w:ascii="Tahoma" w:hAnsi="Tahoma"/>
      <w:sz w:val="24"/>
    </w:rPr>
  </w:style>
  <w:style w:type="paragraph" w:customStyle="1" w:styleId="401">
    <w:name w:val="批注框文本 Char Char"/>
    <w:basedOn w:val="1"/>
    <w:qFormat/>
    <w:uiPriority w:val="0"/>
    <w:rPr>
      <w:sz w:val="18"/>
      <w:szCs w:val="20"/>
    </w:rPr>
  </w:style>
  <w:style w:type="paragraph" w:customStyle="1" w:styleId="402">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3">
    <w:name w:val="表格"/>
    <w:basedOn w:val="1"/>
    <w:qFormat/>
    <w:uiPriority w:val="0"/>
    <w:pPr>
      <w:jc w:val="center"/>
      <w:textAlignment w:val="center"/>
    </w:pPr>
    <w:rPr>
      <w:rFonts w:ascii="华文细黑" w:hAnsi="华文细黑"/>
      <w:kern w:val="0"/>
      <w:szCs w:val="20"/>
    </w:rPr>
  </w:style>
  <w:style w:type="paragraph" w:customStyle="1" w:styleId="404">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05">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0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7">
    <w:name w:val="纯文本11"/>
    <w:basedOn w:val="1"/>
    <w:qFormat/>
    <w:uiPriority w:val="0"/>
    <w:rPr>
      <w:rFonts w:ascii="宋体" w:hAnsi="Courier New"/>
      <w:szCs w:val="20"/>
    </w:rPr>
  </w:style>
  <w:style w:type="paragraph" w:customStyle="1" w:styleId="408">
    <w:name w:val="Char1 Char Char Char Char Char Char"/>
    <w:basedOn w:val="1"/>
    <w:qFormat/>
    <w:uiPriority w:val="0"/>
    <w:rPr>
      <w:rFonts w:ascii="Tahoma" w:hAnsi="Tahoma"/>
      <w:sz w:val="24"/>
      <w:szCs w:val="20"/>
    </w:rPr>
  </w:style>
  <w:style w:type="paragraph" w:customStyle="1" w:styleId="409">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410">
    <w:name w:val="p15"/>
    <w:basedOn w:val="1"/>
    <w:qFormat/>
    <w:uiPriority w:val="0"/>
    <w:pPr>
      <w:widowControl/>
      <w:jc w:val="left"/>
    </w:pPr>
    <w:rPr>
      <w:kern w:val="0"/>
      <w:szCs w:val="21"/>
    </w:rPr>
  </w:style>
  <w:style w:type="paragraph" w:customStyle="1" w:styleId="411">
    <w:name w:val="font9"/>
    <w:basedOn w:val="1"/>
    <w:qFormat/>
    <w:uiPriority w:val="0"/>
    <w:pPr>
      <w:widowControl/>
      <w:spacing w:before="100" w:beforeAutospacing="1" w:after="100" w:afterAutospacing="1"/>
      <w:jc w:val="left"/>
    </w:pPr>
    <w:rPr>
      <w:kern w:val="0"/>
      <w:sz w:val="40"/>
      <w:szCs w:val="40"/>
    </w:rPr>
  </w:style>
  <w:style w:type="paragraph" w:customStyle="1" w:styleId="412">
    <w:name w:val="样式 样式 小四 加粗 居中 + 加粗"/>
    <w:basedOn w:val="2"/>
    <w:next w:val="1"/>
    <w:qFormat/>
    <w:uiPriority w:val="0"/>
    <w:pPr>
      <w:spacing w:line="360" w:lineRule="exact"/>
      <w:ind w:firstLine="200" w:firstLineChars="200"/>
    </w:pPr>
    <w:rPr>
      <w:b/>
      <w:bCs/>
    </w:rPr>
  </w:style>
  <w:style w:type="paragraph" w:customStyle="1" w:styleId="41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4">
    <w:name w:val="样式 3 + 两端对齐 段前: 0 磅 段后: 0 磅 行距: 单倍行距"/>
    <w:basedOn w:val="354"/>
    <w:next w:val="5"/>
    <w:qFormat/>
    <w:uiPriority w:val="0"/>
    <w:pPr>
      <w:spacing w:line="240" w:lineRule="auto"/>
    </w:pPr>
    <w:rPr>
      <w:rFonts w:eastAsia="宋体" w:cs="宋体"/>
      <w:sz w:val="32"/>
      <w:szCs w:val="20"/>
    </w:rPr>
  </w:style>
  <w:style w:type="paragraph" w:customStyle="1" w:styleId="415">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6">
    <w:name w:val="样式 3 + 首行缩进:  0.74 厘米"/>
    <w:basedOn w:val="354"/>
    <w:next w:val="5"/>
    <w:qFormat/>
    <w:uiPriority w:val="0"/>
    <w:pPr>
      <w:ind w:firstLine="422"/>
    </w:pPr>
    <w:rPr>
      <w:rFonts w:cs="宋体"/>
      <w:szCs w:val="20"/>
    </w:rPr>
  </w:style>
  <w:style w:type="paragraph" w:customStyle="1" w:styleId="417">
    <w:name w:val="List Paragraph1"/>
    <w:basedOn w:val="1"/>
    <w:qFormat/>
    <w:uiPriority w:val="0"/>
    <w:pPr>
      <w:ind w:left="424" w:firstLine="480"/>
    </w:pPr>
  </w:style>
  <w:style w:type="paragraph" w:customStyle="1" w:styleId="418">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9">
    <w:name w:val="样式 3 + 段前: 0 磅 段后: 0 磅 行距: 多倍行距 1.73 字行"/>
    <w:basedOn w:val="354"/>
    <w:next w:val="5"/>
    <w:qFormat/>
    <w:uiPriority w:val="0"/>
    <w:rPr>
      <w:rFonts w:cs="宋体"/>
      <w:szCs w:val="20"/>
    </w:rPr>
  </w:style>
  <w:style w:type="paragraph" w:customStyle="1" w:styleId="4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1">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3">
    <w:name w:val="样式 4 + 居中"/>
    <w:basedOn w:val="106"/>
    <w:next w:val="2"/>
    <w:qFormat/>
    <w:uiPriority w:val="0"/>
    <w:pPr>
      <w:jc w:val="center"/>
    </w:pPr>
    <w:rPr>
      <w:rFonts w:cs="宋体"/>
      <w:szCs w:val="20"/>
    </w:rPr>
  </w:style>
  <w:style w:type="paragraph" w:customStyle="1" w:styleId="424">
    <w:name w:val="样式 4 + 黑色 段前: 0 磅 段后: 0 磅 行距: 单倍行距"/>
    <w:basedOn w:val="106"/>
    <w:next w:val="6"/>
    <w:qFormat/>
    <w:uiPriority w:val="0"/>
    <w:pPr>
      <w:spacing w:before="0" w:after="0" w:line="240" w:lineRule="auto"/>
    </w:pPr>
    <w:rPr>
      <w:rFonts w:cs="宋体"/>
      <w:color w:val="000000"/>
      <w:szCs w:val="20"/>
    </w:rPr>
  </w:style>
  <w:style w:type="paragraph" w:customStyle="1" w:styleId="425">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9">
    <w:name w:val="TOC 标题2"/>
    <w:basedOn w:val="3"/>
    <w:next w:val="1"/>
    <w:qFormat/>
    <w:uiPriority w:val="39"/>
    <w:pPr>
      <w:spacing w:before="120" w:beforeLines="50" w:after="120" w:afterLines="50" w:line="240" w:lineRule="auto"/>
      <w:jc w:val="center"/>
      <w:outlineLvl w:val="9"/>
    </w:pPr>
    <w:rPr>
      <w:rFonts w:eastAsia="黑体"/>
      <w:spacing w:val="200"/>
      <w:sz w:val="72"/>
    </w:rPr>
  </w:style>
  <w:style w:type="paragraph" w:customStyle="1" w:styleId="430">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1">
    <w:name w:val="(i)正文"/>
    <w:basedOn w:val="1"/>
    <w:qFormat/>
    <w:uiPriority w:val="0"/>
    <w:pPr>
      <w:widowControl/>
      <w:tabs>
        <w:tab w:val="left" w:pos="0"/>
        <w:tab w:val="left" w:pos="2381"/>
      </w:tabs>
      <w:spacing w:line="360" w:lineRule="exact"/>
    </w:pPr>
    <w:rPr>
      <w:szCs w:val="20"/>
    </w:rPr>
  </w:style>
  <w:style w:type="paragraph" w:customStyle="1" w:styleId="432">
    <w:name w:val="1"/>
    <w:basedOn w:val="4"/>
    <w:next w:val="28"/>
    <w:qFormat/>
    <w:uiPriority w:val="0"/>
    <w:pPr>
      <w:spacing w:before="360" w:after="360" w:line="360" w:lineRule="exact"/>
      <w:jc w:val="center"/>
    </w:pPr>
    <w:rPr>
      <w:rFonts w:eastAsia="黑体"/>
      <w:sz w:val="72"/>
    </w:rPr>
  </w:style>
  <w:style w:type="paragraph" w:customStyle="1" w:styleId="433">
    <w:name w:val="样式 宋体 小四 加粗 黑色 居中 左侧:  2 字符 首行缩进:  2 字符"/>
    <w:basedOn w:val="1"/>
    <w:next w:val="7"/>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4">
    <w:name w:val="Revision"/>
    <w:qFormat/>
    <w:uiPriority w:val="0"/>
    <w:rPr>
      <w:rFonts w:ascii="Times New Roman" w:hAnsi="Times New Roman" w:eastAsia="宋体" w:cs="Times New Roman"/>
      <w:sz w:val="21"/>
      <w:lang w:val="en-US" w:eastAsia="zh-CN" w:bidi="ar-SA"/>
    </w:rPr>
  </w:style>
  <w:style w:type="paragraph" w:customStyle="1" w:styleId="435">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6">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39">
    <w:name w:val="_Style 21"/>
    <w:basedOn w:val="1"/>
    <w:next w:val="21"/>
    <w:qFormat/>
    <w:uiPriority w:val="0"/>
    <w:pPr>
      <w:spacing w:line="200" w:lineRule="exact"/>
      <w:ind w:firstLine="301"/>
    </w:pPr>
    <w:rPr>
      <w:rFonts w:ascii="宋体" w:hAnsi="Courier New"/>
      <w:spacing w:val="-4"/>
      <w:sz w:val="18"/>
      <w:szCs w:val="20"/>
    </w:rPr>
  </w:style>
  <w:style w:type="paragraph" w:customStyle="1" w:styleId="440">
    <w:name w:val="样式 3 + 三号"/>
    <w:basedOn w:val="354"/>
    <w:next w:val="5"/>
    <w:qFormat/>
    <w:uiPriority w:val="0"/>
    <w:rPr>
      <w:sz w:val="32"/>
    </w:rPr>
  </w:style>
  <w:style w:type="paragraph" w:customStyle="1" w:styleId="441">
    <w:name w:val="a"/>
    <w:basedOn w:val="333"/>
    <w:qFormat/>
    <w:uiPriority w:val="0"/>
    <w:pPr>
      <w:ind w:left="360" w:hanging="360"/>
    </w:pPr>
    <w:rPr>
      <w:rFonts w:ascii="楷体" w:eastAsia="楷体"/>
      <w:sz w:val="24"/>
    </w:rPr>
  </w:style>
  <w:style w:type="paragraph" w:customStyle="1" w:styleId="442">
    <w:name w:val="样式 3 + 首行缩进:  0.31 厘米"/>
    <w:basedOn w:val="354"/>
    <w:next w:val="5"/>
    <w:qFormat/>
    <w:uiPriority w:val="0"/>
    <w:pPr>
      <w:ind w:firstLine="175"/>
    </w:pPr>
    <w:rPr>
      <w:rFonts w:cs="宋体"/>
      <w:szCs w:val="20"/>
    </w:rPr>
  </w:style>
  <w:style w:type="paragraph" w:customStyle="1" w:styleId="4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4">
    <w:name w:val="正文文本 21"/>
    <w:basedOn w:val="1"/>
    <w:qFormat/>
    <w:uiPriority w:val="0"/>
    <w:pPr>
      <w:adjustRightInd w:val="0"/>
      <w:spacing w:line="460" w:lineRule="exact"/>
      <w:ind w:firstLine="635"/>
      <w:jc w:val="left"/>
      <w:textAlignment w:val="baseline"/>
    </w:pPr>
    <w:rPr>
      <w:sz w:val="28"/>
      <w:szCs w:val="20"/>
    </w:rPr>
  </w:style>
  <w:style w:type="paragraph" w:customStyle="1" w:styleId="4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6">
    <w:name w:val="_Style 2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样式 样式 4 + 宋体 小三 黑色 + 左侧:  2 字符 首行缩进:  2 字符"/>
    <w:basedOn w:val="330"/>
    <w:next w:val="6"/>
    <w:qFormat/>
    <w:uiPriority w:val="0"/>
    <w:pPr>
      <w:ind w:left="420" w:firstLine="602"/>
    </w:pPr>
    <w:rPr>
      <w:rFonts w:cs="宋体"/>
      <w:szCs w:val="20"/>
    </w:rPr>
  </w:style>
  <w:style w:type="paragraph" w:customStyle="1" w:styleId="449">
    <w:name w:val="(a)正文"/>
    <w:basedOn w:val="1"/>
    <w:qFormat/>
    <w:uiPriority w:val="0"/>
    <w:pPr>
      <w:widowControl/>
      <w:tabs>
        <w:tab w:val="left" w:pos="1871"/>
      </w:tabs>
      <w:spacing w:line="360" w:lineRule="exact"/>
    </w:pPr>
    <w:rPr>
      <w:szCs w:val="20"/>
    </w:rPr>
  </w:style>
  <w:style w:type="paragraph" w:customStyle="1" w:styleId="45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1">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52">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4">
    <w:name w:val="样式 行距: 固定值 25 磅"/>
    <w:basedOn w:val="1"/>
    <w:qFormat/>
    <w:uiPriority w:val="0"/>
    <w:pPr>
      <w:spacing w:line="500" w:lineRule="exact"/>
    </w:pPr>
    <w:rPr>
      <w:rFonts w:cs="宋体"/>
      <w:sz w:val="28"/>
      <w:szCs w:val="20"/>
    </w:rPr>
  </w:style>
  <w:style w:type="paragraph" w:customStyle="1" w:styleId="455">
    <w:name w:val="纯文本1"/>
    <w:basedOn w:val="1"/>
    <w:qFormat/>
    <w:uiPriority w:val="0"/>
    <w:pPr>
      <w:adjustRightInd w:val="0"/>
      <w:jc w:val="left"/>
      <w:textAlignment w:val="baseline"/>
    </w:pPr>
    <w:rPr>
      <w:rFonts w:ascii="宋体" w:hAnsi="Courier New"/>
      <w:szCs w:val="20"/>
    </w:rPr>
  </w:style>
  <w:style w:type="paragraph" w:customStyle="1" w:styleId="456">
    <w:name w:val="样式 4 + 居中 段前: 0 磅 段后: 0 磅 行距: 单倍行距1"/>
    <w:basedOn w:val="106"/>
    <w:next w:val="6"/>
    <w:qFormat/>
    <w:uiPriority w:val="0"/>
    <w:pPr>
      <w:spacing w:before="0" w:after="0" w:line="240" w:lineRule="auto"/>
      <w:jc w:val="center"/>
    </w:pPr>
    <w:rPr>
      <w:rFonts w:cs="宋体"/>
      <w:szCs w:val="20"/>
    </w:rPr>
  </w:style>
  <w:style w:type="paragraph" w:customStyle="1" w:styleId="4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9">
    <w:name w:val="_Style 15"/>
    <w:basedOn w:val="1"/>
    <w:next w:val="28"/>
    <w:qFormat/>
    <w:uiPriority w:val="0"/>
    <w:rPr>
      <w:rFonts w:ascii="宋体" w:hAnsi="Courier New"/>
      <w:szCs w:val="20"/>
    </w:rPr>
  </w:style>
  <w:style w:type="paragraph" w:customStyle="1" w:styleId="460">
    <w:name w:val="默认段落字体 Para Char Char Char Char Char Char Char Char Char Char"/>
    <w:basedOn w:val="1"/>
    <w:qFormat/>
    <w:uiPriority w:val="0"/>
    <w:rPr>
      <w:rFonts w:ascii="Tahoma" w:hAnsi="Tahoma"/>
      <w:sz w:val="24"/>
      <w:u w:val="single"/>
    </w:rPr>
  </w:style>
  <w:style w:type="paragraph" w:customStyle="1" w:styleId="4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3">
    <w:name w:val="_Style 37"/>
    <w:basedOn w:val="1"/>
    <w:next w:val="1"/>
    <w:qFormat/>
    <w:uiPriority w:val="0"/>
  </w:style>
  <w:style w:type="paragraph" w:customStyle="1" w:styleId="464">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8">
    <w:name w:val="Char1 Char Char Char Char Char Char1"/>
    <w:basedOn w:val="1"/>
    <w:qFormat/>
    <w:uiPriority w:val="0"/>
    <w:rPr>
      <w:rFonts w:ascii="Tahoma" w:hAnsi="Tahoma"/>
      <w:sz w:val="24"/>
      <w:szCs w:val="20"/>
    </w:rPr>
  </w:style>
  <w:style w:type="paragraph" w:customStyle="1" w:styleId="469">
    <w:name w:val="样式 标题 4 + 黑色 首行缩进:  2 字符"/>
    <w:basedOn w:val="7"/>
    <w:next w:val="7"/>
    <w:qFormat/>
    <w:uiPriority w:val="0"/>
    <w:pPr>
      <w:spacing w:before="50" w:beforeLines="50" w:after="50" w:afterLines="50" w:line="240" w:lineRule="auto"/>
      <w:ind w:firstLine="562" w:firstLineChars="200"/>
    </w:pPr>
    <w:rPr>
      <w:rFonts w:cs="宋体"/>
      <w:color w:val="000000"/>
      <w:szCs w:val="20"/>
    </w:rPr>
  </w:style>
  <w:style w:type="paragraph" w:customStyle="1" w:styleId="4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1">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2">
    <w:name w:val="Char1"/>
    <w:basedOn w:val="1"/>
    <w:qFormat/>
    <w:uiPriority w:val="0"/>
    <w:rPr>
      <w:rFonts w:ascii="仿宋_GB2312" w:eastAsia="仿宋_GB2312"/>
      <w:b/>
      <w:sz w:val="32"/>
      <w:szCs w:val="32"/>
    </w:rPr>
  </w:style>
  <w:style w:type="paragraph" w:customStyle="1" w:styleId="473">
    <w:name w:val="样式 4 + 居中 段前: 0 磅 段后: 0 磅 行距: 单倍行距"/>
    <w:basedOn w:val="106"/>
    <w:next w:val="6"/>
    <w:qFormat/>
    <w:uiPriority w:val="0"/>
    <w:pPr>
      <w:spacing w:before="0" w:after="0" w:line="240" w:lineRule="auto"/>
      <w:jc w:val="center"/>
    </w:pPr>
    <w:rPr>
      <w:rFonts w:cs="宋体"/>
      <w:szCs w:val="20"/>
    </w:rPr>
  </w:style>
  <w:style w:type="paragraph" w:customStyle="1" w:styleId="474">
    <w:name w:val="样式 4 + 宋体 小三 黑色 两端对齐 段前: 0 磅 段后: 0 磅 行距: 单倍行距"/>
    <w:basedOn w:val="106"/>
    <w:next w:val="6"/>
    <w:qFormat/>
    <w:uiPriority w:val="0"/>
    <w:pPr>
      <w:spacing w:before="0" w:after="0" w:line="240" w:lineRule="auto"/>
      <w:jc w:val="both"/>
    </w:pPr>
    <w:rPr>
      <w:rFonts w:ascii="宋体" w:hAnsi="宋体" w:cs="宋体"/>
      <w:color w:val="000000"/>
      <w:sz w:val="30"/>
      <w:szCs w:val="20"/>
    </w:rPr>
  </w:style>
  <w:style w:type="paragraph" w:customStyle="1" w:styleId="47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6">
    <w:name w:val="样式 样式 标题 3 + (中文) 黑体 小四 非加粗 段前: 7.8 磅 段后: 0 磅 行距: 固定值 20 磅 + 黑色..."/>
    <w:basedOn w:val="385"/>
    <w:next w:val="106"/>
    <w:qFormat/>
    <w:uiPriority w:val="0"/>
    <w:pPr>
      <w:ind w:firstLine="480"/>
    </w:pPr>
    <w:rPr>
      <w:color w:val="000000"/>
    </w:rPr>
  </w:style>
  <w:style w:type="paragraph" w:customStyle="1" w:styleId="477">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8">
    <w:name w:val="简单回函地址"/>
    <w:basedOn w:val="1"/>
    <w:qFormat/>
    <w:uiPriority w:val="0"/>
    <w:rPr>
      <w:rFonts w:ascii="仿宋_GB2312" w:hAnsi="宋体" w:eastAsia="仿宋_GB2312"/>
      <w:bCs/>
      <w:sz w:val="30"/>
      <w:szCs w:val="20"/>
    </w:rPr>
  </w:style>
  <w:style w:type="paragraph" w:customStyle="1" w:styleId="4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80">
    <w:name w:val="样式 4 + 段前: 0 磅 段后: 0 磅 行距: 单倍行距1"/>
    <w:basedOn w:val="106"/>
    <w:next w:val="6"/>
    <w:qFormat/>
    <w:uiPriority w:val="0"/>
    <w:pPr>
      <w:spacing w:before="0" w:after="0" w:line="240" w:lineRule="auto"/>
    </w:pPr>
    <w:rPr>
      <w:rFonts w:cs="宋体"/>
      <w:szCs w:val="20"/>
    </w:rPr>
  </w:style>
  <w:style w:type="paragraph" w:customStyle="1" w:styleId="481">
    <w:name w:val="文件标题"/>
    <w:basedOn w:val="1"/>
    <w:qFormat/>
    <w:uiPriority w:val="0"/>
    <w:pPr>
      <w:jc w:val="center"/>
    </w:pPr>
    <w:rPr>
      <w:b/>
      <w:sz w:val="36"/>
      <w:szCs w:val="20"/>
    </w:rPr>
  </w:style>
  <w:style w:type="paragraph" w:customStyle="1" w:styleId="482">
    <w:name w:val="2 Char Char Char Char Char Char Char Char Char Char Char Char1 Char"/>
    <w:basedOn w:val="1"/>
    <w:qFormat/>
    <w:uiPriority w:val="0"/>
    <w:pPr>
      <w:spacing w:line="360" w:lineRule="auto"/>
      <w:ind w:firstLine="200" w:firstLineChars="200"/>
    </w:pPr>
  </w:style>
  <w:style w:type="paragraph" w:customStyle="1" w:styleId="483">
    <w:name w:val="菲页(卷)"/>
    <w:basedOn w:val="3"/>
    <w:next w:val="484"/>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8">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9">
    <w:name w:val="样式 标题 4 + 小四 首行缩进:  2 字符"/>
    <w:basedOn w:val="6"/>
    <w:next w:val="7"/>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90">
    <w:name w:val="表"/>
    <w:basedOn w:val="1"/>
    <w:qFormat/>
    <w:uiPriority w:val="0"/>
    <w:pPr>
      <w:spacing w:line="300" w:lineRule="auto"/>
    </w:pPr>
    <w:rPr>
      <w:color w:val="000000"/>
      <w:szCs w:val="21"/>
    </w:rPr>
  </w:style>
  <w:style w:type="table" w:customStyle="1" w:styleId="491">
    <w:name w:val="Table Normal"/>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2">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3">
    <w:name w:val="WPSOffice手动目录 1"/>
    <w:qFormat/>
    <w:uiPriority w:val="0"/>
    <w:pPr>
      <w:ind w:leftChars="0"/>
    </w:pPr>
    <w:rPr>
      <w:rFonts w:ascii="Times New Roman" w:hAnsi="Times New Roman" w:eastAsia="宋体" w:cs="Times New Roman"/>
      <w:sz w:val="20"/>
      <w:szCs w:val="20"/>
    </w:rPr>
  </w:style>
  <w:style w:type="paragraph" w:customStyle="1" w:styleId="494">
    <w:name w:val="WPSOffice手动目录 2"/>
    <w:qFormat/>
    <w:uiPriority w:val="0"/>
    <w:pPr>
      <w:ind w:leftChars="200"/>
    </w:pPr>
    <w:rPr>
      <w:rFonts w:ascii="Times New Roman" w:hAnsi="Times New Roman" w:eastAsia="宋体" w:cs="Times New Roman"/>
      <w:sz w:val="20"/>
      <w:szCs w:val="20"/>
    </w:rPr>
  </w:style>
  <w:style w:type="paragraph" w:customStyle="1" w:styleId="495">
    <w:name w:val="WPSOffice手动目录 3"/>
    <w:qFormat/>
    <w:uiPriority w:val="0"/>
    <w:pPr>
      <w:ind w:leftChars="400"/>
    </w:pPr>
    <w:rPr>
      <w:rFonts w:ascii="Times New Roman" w:hAnsi="Times New Roman" w:eastAsia="宋体" w:cs="Times New Roman"/>
      <w:sz w:val="20"/>
      <w:szCs w:val="20"/>
    </w:rPr>
  </w:style>
  <w:style w:type="paragraph" w:customStyle="1" w:styleId="496">
    <w:name w:val="NormalIndent"/>
    <w:basedOn w:val="1"/>
    <w:next w:val="1"/>
    <w:qFormat/>
    <w:uiPriority w:val="0"/>
    <w:pPr>
      <w:ind w:firstLine="420" w:firstLineChars="200"/>
    </w:pPr>
    <w:rPr>
      <w:kern w:val="0"/>
      <w:sz w:val="24"/>
    </w:rPr>
  </w:style>
  <w:style w:type="paragraph" w:customStyle="1" w:styleId="49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正文呀2_1"/>
    <w:basedOn w:val="499"/>
    <w:qFormat/>
    <w:uiPriority w:val="0"/>
    <w:rPr>
      <w:rFonts w:ascii="Times New Roman" w:hAnsi="Times New Roman" w:eastAsia="宋体" w:cs="Times New Roman"/>
      <w:kern w:val="2"/>
      <w:sz w:val="21"/>
      <w:lang w:val="en-US" w:eastAsia="zh-CN"/>
    </w:rPr>
  </w:style>
  <w:style w:type="paragraph" w:customStyle="1" w:styleId="499">
    <w:name w:val="正文呀_1"/>
    <w:basedOn w:val="393"/>
    <w:qFormat/>
    <w:uiPriority w:val="0"/>
    <w:pPr>
      <w:spacing w:line="420" w:lineRule="exact"/>
      <w:ind w:firstLine="420" w:firstLineChars="200"/>
    </w:pPr>
    <w:rPr>
      <w:rFonts w:ascii="宋体" w:hAnsi="宋体"/>
      <w:kern w:val="0"/>
      <w:sz w:val="20"/>
      <w:szCs w:val="21"/>
      <w:lang w:val="zh-CN" w:eastAsia="zh-CN"/>
    </w:rPr>
  </w:style>
  <w:style w:type="paragraph" w:customStyle="1" w:styleId="500">
    <w:name w:val="正文小标题_0"/>
    <w:basedOn w:val="501"/>
    <w:qFormat/>
    <w:uiPriority w:val="0"/>
    <w:pPr>
      <w:spacing w:line="420" w:lineRule="exact"/>
    </w:pPr>
    <w:rPr>
      <w:rFonts w:hAnsi="宋体" w:eastAsia="宋体"/>
      <w:sz w:val="21"/>
      <w:szCs w:val="21"/>
    </w:rPr>
  </w:style>
  <w:style w:type="paragraph" w:customStyle="1" w:styleId="501">
    <w:name w:val="标题 1_0"/>
    <w:basedOn w:val="393"/>
    <w:next w:val="393"/>
    <w:qFormat/>
    <w:uiPriority w:val="99"/>
    <w:pPr>
      <w:keepNext/>
      <w:keepLines/>
      <w:spacing w:line="360" w:lineRule="auto"/>
      <w:outlineLvl w:val="0"/>
    </w:pPr>
    <w:rPr>
      <w:rFonts w:eastAsia="黑体"/>
      <w:b/>
      <w:bCs/>
      <w:kern w:val="44"/>
      <w:sz w:val="32"/>
      <w:szCs w:val="44"/>
    </w:rPr>
  </w:style>
  <w:style w:type="paragraph" w:customStyle="1" w:styleId="502">
    <w:name w:val="纯文本_0"/>
    <w:basedOn w:val="393"/>
    <w:unhideWhenUsed/>
    <w:qFormat/>
    <w:uiPriority w:val="0"/>
    <w:rPr>
      <w:rFonts w:ascii="宋体" w:hAnsi="Courier New"/>
      <w:szCs w:val="24"/>
    </w:rPr>
  </w:style>
  <w:style w:type="paragraph" w:customStyle="1" w:styleId="50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TOC1"/>
    <w:basedOn w:val="1"/>
    <w:next w:val="1"/>
    <w:qFormat/>
    <w:uiPriority w:val="0"/>
    <w:pPr>
      <w:jc w:val="both"/>
      <w:textAlignment w:val="baseline"/>
    </w:pPr>
    <w:rPr>
      <w:rFonts w:ascii="Calibri" w:hAnsi="Calibri" w:eastAsia="宋体"/>
      <w:kern w:val="2"/>
      <w:sz w:val="21"/>
      <w:szCs w:val="22"/>
      <w:lang w:val="en-US" w:eastAsia="zh-CN" w:bidi="ar-SA"/>
    </w:rPr>
  </w:style>
  <w:style w:type="paragraph" w:customStyle="1" w:styleId="505">
    <w:name w:val="标题 3_1"/>
    <w:basedOn w:val="159"/>
    <w:next w:val="159"/>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06">
    <w:name w:val="标题 4_0"/>
    <w:basedOn w:val="159"/>
    <w:next w:val="159"/>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customStyle="1" w:styleId="507">
    <w:name w:val="Body text|1_1"/>
    <w:basedOn w:val="159"/>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08">
    <w:name w:val="Body text|2_0"/>
    <w:basedOn w:val="159"/>
    <w:qFormat/>
    <w:uiPriority w:val="0"/>
    <w:pPr>
      <w:spacing w:after="30"/>
      <w:ind w:firstLine="420"/>
    </w:pPr>
    <w:rPr>
      <w:rFonts w:eastAsia="宋体"/>
      <w:color w:val="auto"/>
      <w:sz w:val="20"/>
      <w:szCs w:val="20"/>
      <w:lang w:bidi="ar-SA"/>
    </w:rPr>
  </w:style>
  <w:style w:type="paragraph" w:customStyle="1" w:styleId="509">
    <w:name w:val="Body text|1"/>
    <w:basedOn w:val="1"/>
    <w:qFormat/>
    <w:uiPriority w:val="0"/>
    <w:pPr>
      <w:spacing w:line="360" w:lineRule="auto"/>
      <w:ind w:firstLine="400"/>
    </w:pPr>
    <w:rPr>
      <w:rFonts w:ascii="宋体" w:hAnsi="宋体" w:eastAsia="宋体" w:cs="宋体"/>
      <w:sz w:val="20"/>
      <w:szCs w:val="20"/>
      <w:lang w:val="zh-CN" w:bidi="zh-CN"/>
    </w:rPr>
  </w:style>
  <w:style w:type="paragraph" w:customStyle="1" w:styleId="510">
    <w:name w:val="Body text|2"/>
    <w:basedOn w:val="1"/>
    <w:qFormat/>
    <w:uiPriority w:val="0"/>
    <w:pPr>
      <w:spacing w:after="30"/>
      <w:ind w:firstLine="420"/>
    </w:pPr>
    <w:rPr>
      <w:sz w:val="20"/>
      <w:szCs w:val="20"/>
    </w:rPr>
  </w:style>
  <w:style w:type="paragraph" w:customStyle="1" w:styleId="511">
    <w:name w:val="Other|1"/>
    <w:basedOn w:val="1"/>
    <w:qFormat/>
    <w:uiPriority w:val="0"/>
    <w:pPr>
      <w:spacing w:line="360" w:lineRule="auto"/>
      <w:ind w:firstLine="400"/>
    </w:pPr>
    <w:rPr>
      <w:rFonts w:ascii="宋体" w:hAnsi="宋体" w:eastAsia="宋体" w:cs="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123</Pages>
  <Words>25471</Words>
  <Characters>27581</Characters>
  <Lines>368</Lines>
  <Paragraphs>103</Paragraphs>
  <TotalTime>2</TotalTime>
  <ScaleCrop>false</ScaleCrop>
  <LinksUpToDate>false</LinksUpToDate>
  <CharactersWithSpaces>31018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Pierdt'</cp:lastModifiedBy>
  <cp:lastPrinted>2021-11-16T07:23:00Z</cp:lastPrinted>
  <dcterms:modified xsi:type="dcterms:W3CDTF">2025-03-25T01:34:34Z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559DC02B2A5847A580C7826B0D8B7F9F_13</vt:lpwstr>
  </property>
  <property fmtid="{D5CDD505-2E9C-101B-9397-08002B2CF9AE}" pid="4" name="commondata">
    <vt:lpwstr>eyJoZGlkIjoiNmI0ZWI0N2Y0ZjU5YzVjZThmOGM0OTdjZGU1NTliN2QifQ==</vt:lpwstr>
  </property>
  <property fmtid="{D5CDD505-2E9C-101B-9397-08002B2CF9AE}" pid="5" name="KSOTemplateDocerSaveRecord">
    <vt:lpwstr>eyJoZGlkIjoiNTc0NmJiZDE0ZDI5NDBmZDgwYmFlOGNkYWFjMzIxMDYiLCJ1c2VySWQiOiI3MjM3NTc4NDgifQ==</vt:lpwstr>
  </property>
</Properties>
</file>