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51597">
      <w:pPr>
        <w:rPr>
          <w:rFonts w:hint="eastAsia" w:ascii="宋体" w:hAnsi="宋体" w:eastAsia="宋体" w:cs="宋体"/>
          <w:color w:val="auto"/>
        </w:rPr>
      </w:pPr>
    </w:p>
    <w:p w14:paraId="6CEF04A3">
      <w:pPr>
        <w:spacing w:line="840" w:lineRule="exact"/>
        <w:jc w:val="center"/>
        <w:rPr>
          <w:rFonts w:hint="eastAsia" w:ascii="宋体" w:hAnsi="宋体" w:eastAsia="宋体" w:cs="宋体"/>
          <w:b/>
          <w:color w:val="auto"/>
          <w:sz w:val="72"/>
          <w:szCs w:val="72"/>
        </w:rPr>
      </w:pPr>
    </w:p>
    <w:p w14:paraId="68486DFC">
      <w:pPr>
        <w:spacing w:line="840" w:lineRule="exact"/>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广西佳益工程项目管理咨询有限公司</w:t>
      </w:r>
    </w:p>
    <w:p w14:paraId="31951DC2">
      <w:pPr>
        <w:rPr>
          <w:rFonts w:hint="eastAsia" w:ascii="宋体" w:hAnsi="宋体" w:eastAsia="宋体" w:cs="宋体"/>
          <w:color w:val="auto"/>
        </w:rPr>
      </w:pPr>
    </w:p>
    <w:p w14:paraId="54C0537E">
      <w:pPr>
        <w:rPr>
          <w:rFonts w:hint="eastAsia" w:ascii="宋体" w:hAnsi="宋体" w:eastAsia="宋体" w:cs="宋体"/>
          <w:color w:val="auto"/>
        </w:rPr>
      </w:pPr>
    </w:p>
    <w:p w14:paraId="675FAF11">
      <w:pPr>
        <w:rPr>
          <w:rFonts w:hint="eastAsia" w:ascii="宋体" w:hAnsi="宋体" w:eastAsia="宋体" w:cs="宋体"/>
          <w:color w:val="auto"/>
        </w:rPr>
      </w:pPr>
    </w:p>
    <w:p w14:paraId="723FC3A2">
      <w:pPr>
        <w:rPr>
          <w:rFonts w:hint="eastAsia" w:ascii="宋体" w:hAnsi="宋体" w:eastAsia="宋体" w:cs="宋体"/>
          <w:color w:val="auto"/>
        </w:rPr>
      </w:pPr>
    </w:p>
    <w:p w14:paraId="73BB6506">
      <w:pPr>
        <w:rPr>
          <w:rFonts w:hint="eastAsia" w:ascii="宋体" w:hAnsi="宋体" w:eastAsia="宋体" w:cs="宋体"/>
          <w:color w:val="auto"/>
        </w:rPr>
      </w:pPr>
    </w:p>
    <w:p w14:paraId="6FB8EF9A">
      <w:pPr>
        <w:rPr>
          <w:rFonts w:hint="eastAsia" w:ascii="宋体" w:hAnsi="宋体" w:eastAsia="宋体" w:cs="宋体"/>
          <w:color w:val="auto"/>
        </w:rPr>
      </w:pPr>
    </w:p>
    <w:p w14:paraId="15C311F0">
      <w:pPr>
        <w:spacing w:line="720" w:lineRule="exact"/>
        <w:jc w:val="center"/>
        <w:rPr>
          <w:rFonts w:hint="eastAsia" w:ascii="宋体" w:hAnsi="宋体" w:eastAsia="宋体" w:cs="宋体"/>
          <w:color w:val="auto"/>
          <w:sz w:val="72"/>
        </w:rPr>
      </w:pPr>
    </w:p>
    <w:p w14:paraId="3C6B4A05">
      <w:pPr>
        <w:spacing w:line="840" w:lineRule="exact"/>
        <w:jc w:val="center"/>
        <w:rPr>
          <w:rFonts w:hint="eastAsia" w:ascii="宋体" w:hAnsi="宋体" w:eastAsia="宋体" w:cs="宋体"/>
          <w:b/>
          <w:color w:val="auto"/>
          <w:sz w:val="84"/>
          <w:szCs w:val="84"/>
        </w:rPr>
      </w:pPr>
      <w:r>
        <w:rPr>
          <w:rFonts w:hint="eastAsia" w:ascii="宋体" w:hAnsi="宋体" w:eastAsia="宋体" w:cs="宋体"/>
          <w:b/>
          <w:color w:val="auto"/>
          <w:sz w:val="72"/>
          <w:szCs w:val="72"/>
        </w:rPr>
        <w:t>竞争性磋商文件</w:t>
      </w:r>
      <w:r>
        <w:rPr>
          <w:rFonts w:hint="eastAsia" w:ascii="宋体" w:hAnsi="宋体" w:eastAsia="宋体" w:cs="宋体"/>
          <w:b/>
          <w:color w:val="auto"/>
          <w:sz w:val="84"/>
          <w:szCs w:val="84"/>
        </w:rPr>
        <w:cr/>
      </w:r>
    </w:p>
    <w:p w14:paraId="580A1F1B">
      <w:pPr>
        <w:pStyle w:val="22"/>
        <w:outlineLvl w:val="9"/>
        <w:rPr>
          <w:rFonts w:hint="eastAsia" w:ascii="宋体" w:hAnsi="宋体" w:eastAsia="宋体" w:cs="宋体"/>
          <w:color w:val="auto"/>
        </w:rPr>
      </w:pPr>
    </w:p>
    <w:p w14:paraId="471335AA">
      <w:pPr>
        <w:pStyle w:val="10"/>
        <w:rPr>
          <w:rFonts w:hint="eastAsia" w:ascii="宋体" w:hAnsi="宋体" w:eastAsia="宋体" w:cs="宋体"/>
          <w:color w:val="auto"/>
        </w:rPr>
      </w:pPr>
    </w:p>
    <w:p w14:paraId="1590AB82">
      <w:pPr>
        <w:jc w:val="center"/>
        <w:rPr>
          <w:rFonts w:hint="eastAsia" w:ascii="宋体" w:hAnsi="宋体" w:eastAsia="宋体" w:cs="宋体"/>
          <w:b/>
          <w:bCs/>
          <w:color w:val="auto"/>
          <w:spacing w:val="40"/>
          <w:sz w:val="32"/>
          <w:szCs w:val="32"/>
        </w:rPr>
      </w:pPr>
      <w:r>
        <w:rPr>
          <w:rFonts w:hint="eastAsia" w:ascii="宋体" w:hAnsi="宋体" w:eastAsia="宋体" w:cs="宋体"/>
          <w:b/>
          <w:bCs/>
          <w:color w:val="auto"/>
          <w:spacing w:val="40"/>
          <w:sz w:val="32"/>
          <w:szCs w:val="32"/>
        </w:rPr>
        <w:t>项目名称：灵川县矿产资源税费征收综合信息管理平台项目（二期）</w:t>
      </w:r>
    </w:p>
    <w:p w14:paraId="738BF09E">
      <w:pPr>
        <w:pStyle w:val="22"/>
        <w:jc w:val="center"/>
        <w:rPr>
          <w:rFonts w:hint="eastAsia" w:ascii="宋体" w:hAnsi="宋体" w:eastAsia="宋体" w:cs="宋体"/>
          <w:b/>
          <w:bCs/>
          <w:color w:val="auto"/>
          <w:spacing w:val="40"/>
          <w:sz w:val="32"/>
          <w:szCs w:val="32"/>
          <w:lang w:eastAsia="zh-CN"/>
        </w:rPr>
      </w:pPr>
      <w:r>
        <w:rPr>
          <w:rFonts w:hint="eastAsia" w:ascii="宋体" w:hAnsi="宋体" w:eastAsia="宋体" w:cs="宋体"/>
          <w:b/>
          <w:bCs/>
          <w:color w:val="auto"/>
          <w:spacing w:val="40"/>
          <w:sz w:val="32"/>
          <w:szCs w:val="32"/>
        </w:rPr>
        <w:t>项目编号</w:t>
      </w:r>
      <w:r>
        <w:rPr>
          <w:rFonts w:hint="eastAsia" w:ascii="宋体" w:hAnsi="宋体" w:eastAsia="宋体" w:cs="宋体"/>
          <w:b/>
          <w:bCs/>
          <w:color w:val="auto"/>
          <w:spacing w:val="40"/>
          <w:sz w:val="32"/>
          <w:szCs w:val="32"/>
          <w:lang w:eastAsia="zh-CN"/>
        </w:rPr>
        <w:t>：</w:t>
      </w:r>
      <w:bookmarkStart w:id="0" w:name="_Toc30253"/>
      <w:r>
        <w:rPr>
          <w:rFonts w:hint="eastAsia" w:ascii="宋体" w:hAnsi="宋体" w:eastAsia="宋体" w:cs="宋体"/>
          <w:b/>
          <w:bCs/>
          <w:color w:val="auto"/>
          <w:spacing w:val="40"/>
          <w:sz w:val="32"/>
          <w:szCs w:val="32"/>
          <w:lang w:eastAsia="zh-CN"/>
        </w:rPr>
        <w:t>GLZC2025-C3-230027-GXJY</w:t>
      </w:r>
    </w:p>
    <w:p w14:paraId="269AD9CC">
      <w:pPr>
        <w:pStyle w:val="22"/>
        <w:jc w:val="center"/>
        <w:rPr>
          <w:rFonts w:hint="eastAsia" w:ascii="宋体" w:hAnsi="宋体" w:eastAsia="宋体" w:cs="宋体"/>
          <w:b w:val="0"/>
          <w:bCs w:val="0"/>
          <w:color w:val="auto"/>
          <w:sz w:val="32"/>
        </w:rPr>
      </w:pPr>
      <w:r>
        <w:rPr>
          <w:rFonts w:hint="eastAsia" w:ascii="宋体" w:hAnsi="宋体" w:eastAsia="宋体" w:cs="宋体"/>
          <w:b w:val="0"/>
          <w:bCs w:val="0"/>
          <w:color w:val="auto"/>
          <w:sz w:val="32"/>
        </w:rPr>
        <w:t>采购人：</w:t>
      </w:r>
      <w:bookmarkEnd w:id="0"/>
      <w:r>
        <w:rPr>
          <w:rFonts w:hint="eastAsia" w:ascii="宋体" w:hAnsi="宋体" w:eastAsia="宋体" w:cs="宋体"/>
          <w:b w:val="0"/>
          <w:bCs w:val="0"/>
          <w:color w:val="auto"/>
          <w:sz w:val="32"/>
        </w:rPr>
        <w:t>灵川县自然资源局</w:t>
      </w:r>
    </w:p>
    <w:p w14:paraId="15CC0956">
      <w:pPr>
        <w:ind w:left="2275" w:leftChars="550" w:hanging="1120" w:hangingChars="350"/>
        <w:rPr>
          <w:rFonts w:hint="eastAsia" w:ascii="宋体" w:hAnsi="宋体" w:eastAsia="宋体" w:cs="宋体"/>
          <w:color w:val="auto"/>
          <w:sz w:val="32"/>
          <w:szCs w:val="32"/>
        </w:rPr>
      </w:pPr>
      <w:r>
        <w:rPr>
          <w:rFonts w:hint="eastAsia" w:ascii="宋体" w:hAnsi="宋体" w:eastAsia="宋体" w:cs="宋体"/>
          <w:color w:val="auto"/>
          <w:sz w:val="32"/>
          <w:szCs w:val="32"/>
        </w:rPr>
        <w:t>采购代理机构：广西佳益工程项目管理咨询有限公司</w:t>
      </w:r>
      <w:bookmarkStart w:id="1" w:name="_Toc25897"/>
    </w:p>
    <w:p w14:paraId="0DD10EA7">
      <w:pPr>
        <w:ind w:left="1890" w:leftChars="900" w:firstLine="643" w:firstLineChars="200"/>
        <w:rPr>
          <w:rFonts w:hint="eastAsia" w:ascii="宋体" w:hAnsi="宋体" w:eastAsia="宋体" w:cs="宋体"/>
          <w:b/>
          <w:bCs/>
          <w:color w:val="auto"/>
          <w:sz w:val="32"/>
        </w:rPr>
      </w:pPr>
    </w:p>
    <w:p w14:paraId="0E2D05AF">
      <w:pPr>
        <w:ind w:left="1890" w:leftChars="900" w:firstLine="643" w:firstLineChars="200"/>
        <w:rPr>
          <w:rFonts w:hint="eastAsia" w:ascii="宋体" w:hAnsi="宋体" w:eastAsia="宋体" w:cs="宋体"/>
          <w:color w:val="auto"/>
          <w:sz w:val="32"/>
        </w:rPr>
      </w:pPr>
      <w:r>
        <w:rPr>
          <w:rFonts w:hint="eastAsia" w:ascii="宋体" w:hAnsi="宋体" w:eastAsia="宋体" w:cs="宋体"/>
          <w:b/>
          <w:bCs/>
          <w:color w:val="auto"/>
          <w:sz w:val="32"/>
        </w:rPr>
        <w:t>日期：2025年</w:t>
      </w:r>
      <w:r>
        <w:rPr>
          <w:rFonts w:hint="eastAsia" w:ascii="宋体" w:hAnsi="宋体" w:eastAsia="宋体" w:cs="宋体"/>
          <w:b/>
          <w:bCs/>
          <w:color w:val="auto"/>
          <w:sz w:val="32"/>
          <w:lang w:val="en-US" w:eastAsia="zh-CN"/>
        </w:rPr>
        <w:t>4</w:t>
      </w:r>
      <w:r>
        <w:rPr>
          <w:rFonts w:hint="eastAsia" w:ascii="宋体" w:hAnsi="宋体" w:eastAsia="宋体" w:cs="宋体"/>
          <w:b/>
          <w:bCs/>
          <w:color w:val="auto"/>
          <w:sz w:val="32"/>
        </w:rPr>
        <w:t>月</w:t>
      </w:r>
      <w:r>
        <w:rPr>
          <w:rFonts w:hint="eastAsia" w:ascii="宋体" w:hAnsi="宋体" w:eastAsia="宋体" w:cs="宋体"/>
          <w:b/>
          <w:bCs/>
          <w:color w:val="auto"/>
          <w:sz w:val="32"/>
          <w:lang w:val="en-US" w:eastAsia="zh-CN"/>
        </w:rPr>
        <w:t>28</w:t>
      </w:r>
      <w:r>
        <w:rPr>
          <w:rFonts w:hint="eastAsia" w:ascii="宋体" w:hAnsi="宋体" w:eastAsia="宋体" w:cs="宋体"/>
          <w:b/>
          <w:bCs/>
          <w:color w:val="auto"/>
          <w:sz w:val="32"/>
        </w:rPr>
        <w:t>日</w:t>
      </w:r>
      <w:bookmarkEnd w:id="1"/>
    </w:p>
    <w:p w14:paraId="6A421C4C">
      <w:pPr>
        <w:pStyle w:val="14"/>
        <w:tabs>
          <w:tab w:val="right" w:leader="dot" w:pos="9660"/>
        </w:tabs>
        <w:spacing w:line="360" w:lineRule="auto"/>
        <w:jc w:val="center"/>
        <w:rPr>
          <w:rFonts w:hint="eastAsia" w:ascii="宋体" w:hAnsi="宋体" w:eastAsia="宋体" w:cs="宋体"/>
          <w:b/>
          <w:color w:val="auto"/>
          <w:spacing w:val="-6"/>
          <w:kern w:val="0"/>
          <w:sz w:val="44"/>
          <w:szCs w:val="44"/>
        </w:rPr>
      </w:pPr>
    </w:p>
    <w:p w14:paraId="31C85B29">
      <w:pPr>
        <w:pStyle w:val="14"/>
        <w:tabs>
          <w:tab w:val="right" w:leader="dot" w:pos="9660"/>
        </w:tabs>
        <w:spacing w:line="360" w:lineRule="auto"/>
        <w:jc w:val="center"/>
        <w:rPr>
          <w:rFonts w:hint="eastAsia" w:ascii="宋体" w:hAnsi="宋体" w:eastAsia="宋体" w:cs="宋体"/>
          <w:b/>
          <w:color w:val="auto"/>
          <w:spacing w:val="-6"/>
          <w:kern w:val="0"/>
          <w:sz w:val="44"/>
          <w:szCs w:val="44"/>
        </w:rPr>
      </w:pPr>
    </w:p>
    <w:p w14:paraId="4A798DB7">
      <w:pPr>
        <w:pStyle w:val="14"/>
        <w:tabs>
          <w:tab w:val="right" w:leader="dot" w:pos="9660"/>
        </w:tabs>
        <w:spacing w:line="360" w:lineRule="auto"/>
        <w:jc w:val="center"/>
        <w:rPr>
          <w:rFonts w:hint="eastAsia" w:ascii="宋体" w:hAnsi="宋体" w:eastAsia="宋体" w:cs="宋体"/>
          <w:b/>
          <w:color w:val="auto"/>
          <w:spacing w:val="-6"/>
          <w:kern w:val="0"/>
          <w:sz w:val="44"/>
          <w:szCs w:val="44"/>
        </w:rPr>
      </w:pPr>
      <w:r>
        <w:rPr>
          <w:rFonts w:hint="eastAsia" w:ascii="宋体" w:hAnsi="宋体" w:eastAsia="宋体" w:cs="宋体"/>
          <w:b/>
          <w:color w:val="auto"/>
          <w:spacing w:val="-6"/>
          <w:kern w:val="0"/>
          <w:sz w:val="44"/>
          <w:szCs w:val="44"/>
        </w:rPr>
        <w:t>目  录</w:t>
      </w:r>
    </w:p>
    <w:p w14:paraId="616FC99F">
      <w:pPr>
        <w:rPr>
          <w:rFonts w:hint="eastAsia" w:ascii="宋体" w:hAnsi="宋体" w:eastAsia="宋体" w:cs="宋体"/>
          <w:color w:val="auto"/>
          <w:sz w:val="32"/>
          <w:szCs w:val="32"/>
        </w:rPr>
      </w:pPr>
    </w:p>
    <w:p w14:paraId="23EE15F2">
      <w:pPr>
        <w:pStyle w:val="14"/>
        <w:tabs>
          <w:tab w:val="right" w:leader="dot" w:pos="9660"/>
        </w:tabs>
        <w:spacing w:line="360" w:lineRule="auto"/>
        <w:rPr>
          <w:rFonts w:hint="eastAsia" w:ascii="宋体" w:hAnsi="宋体" w:eastAsia="宋体" w:cs="宋体"/>
          <w:b/>
          <w:bCs/>
          <w:color w:val="auto"/>
          <w:sz w:val="32"/>
          <w:szCs w:val="32"/>
        </w:rPr>
      </w:pPr>
      <w:r>
        <w:rPr>
          <w:rFonts w:hint="eastAsia" w:ascii="宋体" w:hAnsi="宋体" w:eastAsia="宋体" w:cs="宋体"/>
          <w:b/>
          <w:bCs/>
          <w:color w:val="auto"/>
          <w:spacing w:val="-6"/>
          <w:kern w:val="0"/>
          <w:sz w:val="32"/>
          <w:szCs w:val="32"/>
        </w:rPr>
        <w:fldChar w:fldCharType="begin"/>
      </w:r>
      <w:r>
        <w:rPr>
          <w:rFonts w:hint="eastAsia" w:ascii="宋体" w:hAnsi="宋体" w:eastAsia="宋体" w:cs="宋体"/>
          <w:b/>
          <w:bCs/>
          <w:color w:val="auto"/>
          <w:spacing w:val="-6"/>
          <w:kern w:val="0"/>
          <w:sz w:val="32"/>
          <w:szCs w:val="32"/>
        </w:rPr>
        <w:instrText xml:space="preserve">TOC \o "1-1" \h \u </w:instrText>
      </w:r>
      <w:r>
        <w:rPr>
          <w:rFonts w:hint="eastAsia" w:ascii="宋体" w:hAnsi="宋体" w:eastAsia="宋体" w:cs="宋体"/>
          <w:b/>
          <w:bCs/>
          <w:color w:val="auto"/>
          <w:spacing w:val="-6"/>
          <w:kern w:val="0"/>
          <w:sz w:val="32"/>
          <w:szCs w:val="32"/>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"_Toc5645" </w:instrText>
      </w:r>
      <w:r>
        <w:rPr>
          <w:rFonts w:hint="eastAsia" w:ascii="宋体" w:hAnsi="宋体" w:eastAsia="宋体" w:cs="宋体"/>
          <w:color w:val="auto"/>
        </w:rPr>
        <w:fldChar w:fldCharType="separate"/>
      </w:r>
      <w:r>
        <w:rPr>
          <w:rFonts w:hint="eastAsia" w:ascii="宋体" w:hAnsi="宋体" w:eastAsia="宋体" w:cs="宋体"/>
          <w:b/>
          <w:bCs/>
          <w:color w:val="auto"/>
          <w:sz w:val="32"/>
          <w:szCs w:val="32"/>
        </w:rPr>
        <w:t>第一章 竞争性磋商公告</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_Toc5645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3</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14:paraId="6D776B71">
      <w:pPr>
        <w:pStyle w:val="14"/>
        <w:tabs>
          <w:tab w:val="right" w:leader="dot" w:pos="9660"/>
        </w:tabs>
        <w:spacing w:line="360" w:lineRule="auto"/>
        <w:rPr>
          <w:rFonts w:hint="eastAsia" w:ascii="宋体" w:hAnsi="宋体" w:eastAsia="宋体" w:cs="宋体"/>
          <w:b/>
          <w:bCs/>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"_Toc8011" </w:instrText>
      </w:r>
      <w:r>
        <w:rPr>
          <w:rFonts w:hint="eastAsia" w:ascii="宋体" w:hAnsi="宋体" w:eastAsia="宋体" w:cs="宋体"/>
          <w:color w:val="auto"/>
        </w:rPr>
        <w:fldChar w:fldCharType="separate"/>
      </w:r>
      <w:r>
        <w:rPr>
          <w:rFonts w:hint="eastAsia" w:ascii="宋体" w:hAnsi="宋体" w:eastAsia="宋体" w:cs="宋体"/>
          <w:b/>
          <w:bCs/>
          <w:color w:val="auto"/>
          <w:sz w:val="32"/>
          <w:szCs w:val="32"/>
        </w:rPr>
        <w:t>第二章 供应商须知</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_Toc8011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6</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14:paraId="50990EB4">
      <w:pPr>
        <w:pStyle w:val="14"/>
        <w:tabs>
          <w:tab w:val="right" w:leader="dot" w:pos="9660"/>
        </w:tabs>
        <w:spacing w:line="360" w:lineRule="auto"/>
        <w:rPr>
          <w:rFonts w:hint="eastAsia" w:ascii="宋体" w:hAnsi="宋体" w:eastAsia="宋体" w:cs="宋体"/>
          <w:b/>
          <w:bCs/>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"_Toc31755" </w:instrText>
      </w:r>
      <w:r>
        <w:rPr>
          <w:rFonts w:hint="eastAsia" w:ascii="宋体" w:hAnsi="宋体" w:eastAsia="宋体" w:cs="宋体"/>
          <w:color w:val="auto"/>
        </w:rPr>
        <w:fldChar w:fldCharType="separate"/>
      </w:r>
      <w:r>
        <w:rPr>
          <w:rFonts w:hint="eastAsia" w:ascii="宋体" w:hAnsi="宋体" w:eastAsia="宋体" w:cs="宋体"/>
          <w:b/>
          <w:bCs/>
          <w:color w:val="auto"/>
          <w:sz w:val="32"/>
          <w:szCs w:val="32"/>
        </w:rPr>
        <w:t>第三章 项目需求表</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_Toc31755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29</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14:paraId="238F5253">
      <w:pPr>
        <w:pStyle w:val="14"/>
        <w:tabs>
          <w:tab w:val="right" w:leader="dot" w:pos="9660"/>
        </w:tabs>
        <w:spacing w:line="360" w:lineRule="auto"/>
        <w:rPr>
          <w:rFonts w:hint="eastAsia" w:ascii="宋体" w:hAnsi="宋体" w:eastAsia="宋体" w:cs="宋体"/>
          <w:b/>
          <w:bCs/>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"_Toc27023" </w:instrText>
      </w:r>
      <w:r>
        <w:rPr>
          <w:rFonts w:hint="eastAsia" w:ascii="宋体" w:hAnsi="宋体" w:eastAsia="宋体" w:cs="宋体"/>
          <w:color w:val="auto"/>
        </w:rPr>
        <w:fldChar w:fldCharType="separate"/>
      </w:r>
      <w:r>
        <w:rPr>
          <w:rFonts w:hint="eastAsia" w:ascii="宋体" w:hAnsi="宋体" w:eastAsia="宋体" w:cs="宋体"/>
          <w:b/>
          <w:bCs/>
          <w:color w:val="auto"/>
          <w:sz w:val="32"/>
          <w:szCs w:val="32"/>
        </w:rPr>
        <w:t>第四章 评审办法</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_Toc27023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39</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14:paraId="0D6CA2F0">
      <w:pPr>
        <w:pStyle w:val="14"/>
        <w:tabs>
          <w:tab w:val="right" w:leader="dot" w:pos="9660"/>
        </w:tabs>
        <w:spacing w:line="360" w:lineRule="auto"/>
        <w:rPr>
          <w:rFonts w:hint="eastAsia" w:ascii="宋体" w:hAnsi="宋体" w:eastAsia="宋体" w:cs="宋体"/>
          <w:b/>
          <w:bCs/>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"_Toc3626" </w:instrText>
      </w:r>
      <w:r>
        <w:rPr>
          <w:rFonts w:hint="eastAsia" w:ascii="宋体" w:hAnsi="宋体" w:eastAsia="宋体" w:cs="宋体"/>
          <w:color w:val="auto"/>
        </w:rPr>
        <w:fldChar w:fldCharType="separate"/>
      </w:r>
      <w:r>
        <w:rPr>
          <w:rFonts w:hint="eastAsia" w:ascii="宋体" w:hAnsi="宋体" w:eastAsia="宋体" w:cs="宋体"/>
          <w:b/>
          <w:bCs/>
          <w:color w:val="auto"/>
          <w:sz w:val="32"/>
          <w:szCs w:val="32"/>
        </w:rPr>
        <w:t>第五章 采购合同（合同主要条款及格式）</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_Toc3626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39</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14:paraId="5CA763A8">
      <w:pPr>
        <w:pStyle w:val="14"/>
        <w:tabs>
          <w:tab w:val="right" w:leader="dot" w:pos="9660"/>
        </w:tabs>
        <w:spacing w:line="360" w:lineRule="auto"/>
        <w:rPr>
          <w:rFonts w:hint="eastAsia" w:ascii="宋体" w:hAnsi="宋体" w:eastAsia="宋体" w:cs="宋体"/>
          <w:b/>
          <w:bCs/>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"_Toc13301" </w:instrText>
      </w:r>
      <w:r>
        <w:rPr>
          <w:rFonts w:hint="eastAsia" w:ascii="宋体" w:hAnsi="宋体" w:eastAsia="宋体" w:cs="宋体"/>
          <w:color w:val="auto"/>
        </w:rPr>
        <w:fldChar w:fldCharType="separate"/>
      </w:r>
      <w:r>
        <w:rPr>
          <w:rFonts w:hint="eastAsia" w:ascii="宋体" w:hAnsi="宋体" w:eastAsia="宋体" w:cs="宋体"/>
          <w:b/>
          <w:bCs/>
          <w:color w:val="auto"/>
          <w:kern w:val="44"/>
          <w:sz w:val="32"/>
          <w:szCs w:val="32"/>
        </w:rPr>
        <w:t xml:space="preserve">第六章 </w:t>
      </w:r>
      <w:r>
        <w:rPr>
          <w:rFonts w:hint="eastAsia" w:ascii="宋体" w:hAnsi="宋体" w:eastAsia="宋体" w:cs="宋体"/>
          <w:b/>
          <w:bCs/>
          <w:color w:val="auto"/>
          <w:sz w:val="32"/>
          <w:szCs w:val="32"/>
        </w:rPr>
        <w:t>响应文件（格式）</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_Toc13301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46</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14:paraId="102EB14D">
      <w:pPr>
        <w:spacing w:line="360" w:lineRule="auto"/>
        <w:jc w:val="center"/>
        <w:rPr>
          <w:rFonts w:hint="eastAsia" w:ascii="宋体" w:hAnsi="宋体" w:eastAsia="宋体" w:cs="宋体"/>
          <w:color w:val="auto"/>
          <w:spacing w:val="-6"/>
          <w:kern w:val="0"/>
          <w:sz w:val="28"/>
          <w:szCs w:val="28"/>
        </w:rPr>
      </w:pPr>
      <w:r>
        <w:rPr>
          <w:rFonts w:hint="eastAsia" w:ascii="宋体" w:hAnsi="宋体" w:eastAsia="宋体" w:cs="宋体"/>
          <w:b/>
          <w:bCs/>
          <w:color w:val="auto"/>
          <w:spacing w:val="-6"/>
          <w:kern w:val="0"/>
          <w:sz w:val="32"/>
          <w:szCs w:val="32"/>
        </w:rPr>
        <w:fldChar w:fldCharType="end"/>
      </w:r>
    </w:p>
    <w:p w14:paraId="314F6E51">
      <w:pPr>
        <w:rPr>
          <w:rFonts w:hint="eastAsia" w:ascii="宋体" w:hAnsi="宋体" w:eastAsia="宋体" w:cs="宋体"/>
          <w:color w:val="auto"/>
          <w:spacing w:val="-6"/>
          <w:kern w:val="0"/>
          <w:sz w:val="24"/>
        </w:rPr>
      </w:pPr>
    </w:p>
    <w:p w14:paraId="28F8950C">
      <w:pPr>
        <w:rPr>
          <w:rFonts w:hint="eastAsia" w:ascii="宋体" w:hAnsi="宋体" w:eastAsia="宋体" w:cs="宋体"/>
          <w:color w:val="auto"/>
          <w:spacing w:val="-6"/>
          <w:kern w:val="0"/>
          <w:sz w:val="24"/>
        </w:rPr>
      </w:pPr>
    </w:p>
    <w:p w14:paraId="02C19C5D">
      <w:pPr>
        <w:rPr>
          <w:rFonts w:hint="eastAsia" w:ascii="宋体" w:hAnsi="宋体" w:eastAsia="宋体" w:cs="宋体"/>
          <w:color w:val="auto"/>
          <w:spacing w:val="-6"/>
          <w:kern w:val="0"/>
          <w:sz w:val="24"/>
        </w:rPr>
      </w:pPr>
    </w:p>
    <w:p w14:paraId="7CB4529A">
      <w:pPr>
        <w:rPr>
          <w:rFonts w:hint="eastAsia" w:ascii="宋体" w:hAnsi="宋体" w:eastAsia="宋体" w:cs="宋体"/>
          <w:color w:val="auto"/>
          <w:spacing w:val="-6"/>
          <w:kern w:val="0"/>
          <w:sz w:val="24"/>
        </w:rPr>
      </w:pPr>
    </w:p>
    <w:p w14:paraId="620820D8">
      <w:pPr>
        <w:pStyle w:val="2"/>
        <w:pageBreakBefore/>
        <w:tabs>
          <w:tab w:val="left" w:pos="0"/>
        </w:tabs>
        <w:autoSpaceDE w:val="0"/>
        <w:autoSpaceDN w:val="0"/>
        <w:adjustRightInd w:val="0"/>
        <w:spacing w:before="0" w:after="0" w:line="360" w:lineRule="auto"/>
        <w:ind w:left="425"/>
        <w:jc w:val="center"/>
        <w:rPr>
          <w:rFonts w:hint="eastAsia" w:ascii="宋体" w:hAnsi="宋体" w:eastAsia="宋体" w:cs="宋体"/>
          <w:color w:val="auto"/>
          <w:sz w:val="32"/>
          <w:szCs w:val="32"/>
        </w:rPr>
      </w:pPr>
      <w:bookmarkStart w:id="2" w:name="_Toc35393797"/>
      <w:bookmarkStart w:id="3" w:name="_Toc28359011"/>
      <w:bookmarkStart w:id="4" w:name="_Toc21930"/>
      <w:bookmarkStart w:id="5" w:name="_Toc5645"/>
      <w:bookmarkStart w:id="6" w:name="_Toc26809"/>
      <w:bookmarkStart w:id="7" w:name="_Toc30170"/>
      <w:bookmarkStart w:id="8" w:name="_Toc9165"/>
      <w:r>
        <w:rPr>
          <w:rFonts w:hint="eastAsia" w:ascii="宋体" w:hAnsi="宋体" w:eastAsia="宋体" w:cs="宋体"/>
          <w:color w:val="auto"/>
          <w:sz w:val="32"/>
          <w:szCs w:val="32"/>
        </w:rPr>
        <w:t>第一章  竞争性磋商公告</w:t>
      </w:r>
      <w:bookmarkEnd w:id="2"/>
      <w:bookmarkEnd w:id="3"/>
      <w:bookmarkEnd w:id="4"/>
      <w:bookmarkEnd w:id="5"/>
      <w:bookmarkEnd w:id="6"/>
      <w:bookmarkEnd w:id="7"/>
      <w:bookmarkEnd w:id="8"/>
    </w:p>
    <w:p w14:paraId="6A3BEF8C">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Cs w:val="21"/>
        </w:rPr>
      </w:pPr>
      <w:bookmarkStart w:id="9" w:name="_Toc35393798"/>
      <w:bookmarkStart w:id="10" w:name="_Toc28359089"/>
      <w:bookmarkStart w:id="11" w:name="_Toc28359012"/>
      <w:bookmarkStart w:id="12" w:name="_Toc35393629"/>
      <w:r>
        <w:rPr>
          <w:rFonts w:hint="eastAsia" w:ascii="宋体" w:hAnsi="宋体" w:eastAsia="宋体" w:cs="宋体"/>
          <w:color w:val="auto"/>
          <w:szCs w:val="21"/>
        </w:rPr>
        <w:t>项目概况</w:t>
      </w:r>
    </w:p>
    <w:p w14:paraId="47999C5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灵川县矿产资源税费征收综合信息管理平台项目（二期）</w:t>
      </w:r>
      <w:r>
        <w:rPr>
          <w:rFonts w:hint="eastAsia" w:ascii="宋体" w:hAnsi="宋体" w:eastAsia="宋体" w:cs="宋体"/>
          <w:color w:val="auto"/>
        </w:rPr>
        <w:t>项目的潜在供应商应登录广西政府采购云平台https://www.gcy.zfcg.gxzf.gov.cn/在线申请获取竞争性磋商文件电子版（进入“项目采购”应用，在获取采购文件菜单中选择项目，申请获取竞争性磋商文件电子版），</w:t>
      </w:r>
      <w:r>
        <w:rPr>
          <w:rFonts w:hint="eastAsia" w:ascii="宋体" w:hAnsi="宋体" w:eastAsia="宋体" w:cs="宋体"/>
          <w:color w:val="auto"/>
          <w:szCs w:val="21"/>
        </w:rPr>
        <w:t>并于</w:t>
      </w:r>
      <w:r>
        <w:rPr>
          <w:rFonts w:hint="eastAsia" w:ascii="宋体" w:hAnsi="宋体" w:eastAsia="宋体" w:cs="宋体"/>
          <w:color w:val="auto"/>
          <w:szCs w:val="21"/>
          <w:u w:val="single"/>
        </w:rPr>
        <w:t>2025年</w:t>
      </w:r>
      <w:r>
        <w:rPr>
          <w:rFonts w:hint="eastAsia" w:ascii="宋体" w:hAnsi="宋体" w:eastAsia="宋体" w:cs="宋体"/>
          <w:color w:val="auto"/>
          <w:szCs w:val="21"/>
          <w:u w:val="single"/>
          <w:lang w:val="en-US" w:eastAsia="zh-CN"/>
        </w:rPr>
        <w:t>5</w:t>
      </w:r>
      <w:r>
        <w:rPr>
          <w:rFonts w:hint="eastAsia" w:ascii="宋体" w:hAnsi="宋体" w:eastAsia="宋体" w:cs="宋体"/>
          <w:color w:val="auto"/>
          <w:szCs w:val="21"/>
          <w:u w:val="single"/>
        </w:rPr>
        <w:t>月</w:t>
      </w:r>
      <w:r>
        <w:rPr>
          <w:rFonts w:hint="eastAsia" w:ascii="宋体" w:hAnsi="宋体" w:eastAsia="宋体" w:cs="宋体"/>
          <w:color w:val="auto"/>
          <w:szCs w:val="21"/>
          <w:u w:val="single"/>
          <w:lang w:val="en-US" w:eastAsia="zh-CN"/>
        </w:rPr>
        <w:t>9</w:t>
      </w:r>
      <w:r>
        <w:rPr>
          <w:rFonts w:hint="eastAsia" w:ascii="宋体" w:hAnsi="宋体" w:eastAsia="宋体" w:cs="宋体"/>
          <w:color w:val="auto"/>
          <w:szCs w:val="21"/>
          <w:u w:val="single"/>
        </w:rPr>
        <w:t>日</w:t>
      </w:r>
      <w:r>
        <w:rPr>
          <w:rFonts w:hint="eastAsia" w:ascii="宋体" w:hAnsi="宋体" w:eastAsia="宋体" w:cs="宋体"/>
          <w:color w:val="auto"/>
          <w:szCs w:val="21"/>
          <w:u w:val="single"/>
          <w:lang w:val="en-US" w:eastAsia="zh-CN"/>
        </w:rPr>
        <w:t>09时30</w:t>
      </w:r>
      <w:r>
        <w:rPr>
          <w:rFonts w:hint="eastAsia" w:ascii="宋体" w:hAnsi="宋体" w:eastAsia="宋体" w:cs="宋体"/>
          <w:color w:val="auto"/>
          <w:szCs w:val="21"/>
          <w:u w:val="single"/>
        </w:rPr>
        <w:t>分</w:t>
      </w:r>
      <w:r>
        <w:rPr>
          <w:rFonts w:hint="eastAsia" w:ascii="宋体" w:hAnsi="宋体" w:eastAsia="宋体" w:cs="宋体"/>
          <w:bCs/>
          <w:color w:val="auto"/>
          <w:szCs w:val="21"/>
          <w:u w:val="single"/>
        </w:rPr>
        <w:t>（</w:t>
      </w:r>
      <w:r>
        <w:rPr>
          <w:rFonts w:hint="eastAsia" w:ascii="宋体" w:hAnsi="宋体" w:eastAsia="宋体" w:cs="宋体"/>
          <w:bCs/>
          <w:color w:val="auto"/>
          <w:szCs w:val="21"/>
        </w:rPr>
        <w:t>北京时间）前递交响应文件</w:t>
      </w:r>
      <w:r>
        <w:rPr>
          <w:rFonts w:hint="eastAsia" w:ascii="宋体" w:hAnsi="宋体" w:eastAsia="宋体" w:cs="宋体"/>
          <w:color w:val="auto"/>
          <w:szCs w:val="21"/>
        </w:rPr>
        <w:t>。</w:t>
      </w:r>
    </w:p>
    <w:p w14:paraId="7F8F0B6F">
      <w:pPr>
        <w:spacing w:line="360" w:lineRule="auto"/>
        <w:rPr>
          <w:rFonts w:hint="eastAsia" w:ascii="宋体" w:hAnsi="宋体" w:eastAsia="宋体" w:cs="宋体"/>
          <w:color w:val="auto"/>
          <w:szCs w:val="21"/>
        </w:rPr>
      </w:pPr>
      <w:r>
        <w:rPr>
          <w:rFonts w:hint="eastAsia" w:ascii="宋体" w:hAnsi="宋体" w:eastAsia="宋体" w:cs="宋体"/>
          <w:b/>
          <w:bCs/>
          <w:color w:val="auto"/>
          <w:szCs w:val="21"/>
        </w:rPr>
        <w:t>一、项目基本情况</w:t>
      </w:r>
      <w:bookmarkEnd w:id="9"/>
      <w:bookmarkEnd w:id="10"/>
      <w:bookmarkEnd w:id="11"/>
      <w:bookmarkEnd w:id="12"/>
    </w:p>
    <w:p w14:paraId="39A7F911">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项目编号：</w:t>
      </w:r>
      <w:r>
        <w:rPr>
          <w:rFonts w:hint="eastAsia" w:ascii="宋体" w:hAnsi="宋体" w:eastAsia="宋体" w:cs="宋体"/>
          <w:color w:val="auto"/>
          <w:szCs w:val="21"/>
          <w:lang w:eastAsia="zh-CN"/>
        </w:rPr>
        <w:t>GLZC2025-C3-230027-GXJY</w:t>
      </w:r>
    </w:p>
    <w:p w14:paraId="345B26D3">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项目名称：灵川县矿产资源税费征收综合信息管理平台项目（二期）</w:t>
      </w:r>
    </w:p>
    <w:p w14:paraId="4E15FEC5">
      <w:pPr>
        <w:spacing w:line="360" w:lineRule="auto"/>
        <w:ind w:firstLine="420" w:firstLineChars="200"/>
        <w:rPr>
          <w:rFonts w:hint="eastAsia" w:ascii="宋体" w:hAnsi="宋体" w:eastAsia="宋体" w:cs="宋体"/>
          <w:color w:val="auto"/>
          <w:szCs w:val="21"/>
        </w:rPr>
      </w:pPr>
      <w:bookmarkStart w:id="13" w:name="_Toc28359013"/>
      <w:bookmarkStart w:id="14" w:name="_Toc35393630"/>
      <w:bookmarkStart w:id="15" w:name="_Toc35393799"/>
      <w:bookmarkStart w:id="16" w:name="_Toc28359090"/>
      <w:r>
        <w:rPr>
          <w:rFonts w:hint="eastAsia" w:ascii="宋体" w:hAnsi="宋体" w:eastAsia="宋体" w:cs="宋体"/>
          <w:color w:val="auto"/>
          <w:szCs w:val="21"/>
        </w:rPr>
        <w:t>预算总金额:人民币14</w:t>
      </w:r>
      <w:r>
        <w:rPr>
          <w:rFonts w:hint="eastAsia" w:ascii="宋体" w:hAnsi="宋体" w:cs="宋体"/>
          <w:color w:val="auto"/>
          <w:szCs w:val="21"/>
          <w:lang w:val="en-US" w:eastAsia="zh-CN"/>
        </w:rPr>
        <w:t>8000</w:t>
      </w:r>
      <w:r>
        <w:rPr>
          <w:rFonts w:hint="eastAsia" w:ascii="宋体" w:hAnsi="宋体" w:eastAsia="宋体" w:cs="宋体"/>
          <w:color w:val="auto"/>
          <w:szCs w:val="21"/>
        </w:rPr>
        <w:t>0.00元</w:t>
      </w:r>
    </w:p>
    <w:p w14:paraId="7079281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最高限价：人民币1479980.00元</w:t>
      </w:r>
      <w:bookmarkStart w:id="318" w:name="_GoBack"/>
      <w:bookmarkEnd w:id="318"/>
    </w:p>
    <w:p w14:paraId="246EB91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采购需求：具体内容详见“第三章 项目需求表”内容。</w:t>
      </w:r>
    </w:p>
    <w:p w14:paraId="27C898A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标项名称: 灵川县矿产资源税费征收综合信息管理平台项目（二期）</w:t>
      </w:r>
    </w:p>
    <w:p w14:paraId="4CFEECA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数量:1项</w:t>
      </w:r>
    </w:p>
    <w:p w14:paraId="25A8E97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简要规格描述或项目基本概况介绍、用途：灵川县矿产资源税费征收综合信息管理平台项目（二期）采购一项，具体内容详见“项目需求表”内容。</w:t>
      </w:r>
    </w:p>
    <w:p w14:paraId="4D9FA82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合同履约期限：自合同签订生效之日起至本项目质保期满之日止。</w:t>
      </w:r>
    </w:p>
    <w:p w14:paraId="4552C5A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本标项（是）接受联合体投标</w:t>
      </w:r>
    </w:p>
    <w:p w14:paraId="57FC2D6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本项目不接受进口产品</w:t>
      </w:r>
    </w:p>
    <w:p w14:paraId="728D29D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szCs w:val="21"/>
        </w:rPr>
        <w:t>备注：/</w:t>
      </w:r>
    </w:p>
    <w:p w14:paraId="4785F966">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二、申请人的资格要求：</w:t>
      </w:r>
      <w:bookmarkEnd w:id="13"/>
      <w:bookmarkEnd w:id="14"/>
      <w:bookmarkEnd w:id="15"/>
      <w:bookmarkEnd w:id="16"/>
    </w:p>
    <w:p w14:paraId="0040DB0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1、符合《中华人民共和国政府采购法》第二十二条规定；</w:t>
      </w:r>
    </w:p>
    <w:p w14:paraId="0EF5F323">
      <w:pPr>
        <w:spacing w:line="360" w:lineRule="auto"/>
        <w:ind w:firstLine="420" w:firstLineChars="200"/>
        <w:rPr>
          <w:rFonts w:hint="eastAsia" w:ascii="宋体" w:hAnsi="宋体" w:eastAsia="宋体" w:cs="宋体"/>
          <w:b/>
          <w:bCs/>
          <w:color w:val="auto"/>
          <w:szCs w:val="21"/>
        </w:rPr>
      </w:pPr>
      <w:bookmarkStart w:id="17" w:name="_Toc28359091"/>
      <w:bookmarkStart w:id="18" w:name="_Toc28359014"/>
      <w:r>
        <w:rPr>
          <w:rFonts w:hint="eastAsia" w:ascii="宋体" w:hAnsi="宋体" w:eastAsia="宋体" w:cs="宋体"/>
          <w:color w:val="auto"/>
          <w:szCs w:val="21"/>
        </w:rPr>
        <w:t>2、落实政府采购政策需满足的资格要求：</w:t>
      </w:r>
      <w:r>
        <w:rPr>
          <w:rFonts w:hint="eastAsia" w:ascii="宋体" w:hAnsi="宋体" w:eastAsia="宋体" w:cs="宋体"/>
          <w:b/>
          <w:bCs/>
          <w:color w:val="auto"/>
          <w:szCs w:val="21"/>
        </w:rPr>
        <w:t>无</w:t>
      </w:r>
      <w:r>
        <w:rPr>
          <w:rFonts w:hint="eastAsia" w:ascii="宋体" w:hAnsi="宋体" w:eastAsia="宋体" w:cs="宋体"/>
          <w:color w:val="auto"/>
          <w:szCs w:val="21"/>
        </w:rPr>
        <w:t>；</w:t>
      </w:r>
    </w:p>
    <w:p w14:paraId="4EC46E4C">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3、本项目的特定资格要求：</w:t>
      </w:r>
      <w:bookmarkStart w:id="19" w:name="_Toc35393800"/>
      <w:bookmarkStart w:id="20" w:name="_Toc35393631"/>
      <w:r>
        <w:rPr>
          <w:rFonts w:hint="eastAsia" w:ascii="宋体" w:hAnsi="宋体" w:eastAsia="宋体" w:cs="宋体"/>
          <w:b/>
          <w:bCs/>
          <w:color w:val="auto"/>
          <w:szCs w:val="21"/>
        </w:rPr>
        <w:t>无。</w:t>
      </w:r>
    </w:p>
    <w:bookmarkEnd w:id="17"/>
    <w:bookmarkEnd w:id="18"/>
    <w:bookmarkEnd w:id="19"/>
    <w:bookmarkEnd w:id="20"/>
    <w:p w14:paraId="7D9BBB2D">
      <w:pPr>
        <w:spacing w:line="360" w:lineRule="auto"/>
        <w:rPr>
          <w:rFonts w:hint="eastAsia" w:ascii="宋体" w:hAnsi="宋体" w:eastAsia="宋体" w:cs="宋体"/>
          <w:b/>
          <w:bCs/>
          <w:color w:val="auto"/>
        </w:rPr>
      </w:pPr>
      <w:r>
        <w:rPr>
          <w:rFonts w:hint="eastAsia" w:ascii="宋体" w:hAnsi="宋体" w:eastAsia="宋体" w:cs="宋体"/>
          <w:b/>
          <w:bCs/>
          <w:color w:val="auto"/>
        </w:rPr>
        <w:t>三、获取竞争性磋商文件</w:t>
      </w:r>
    </w:p>
    <w:p w14:paraId="69F9EEC5">
      <w:pPr>
        <w:spacing w:line="360" w:lineRule="auto"/>
        <w:ind w:firstLine="420" w:firstLineChars="200"/>
        <w:rPr>
          <w:rFonts w:hint="eastAsia" w:ascii="宋体" w:hAnsi="宋体" w:eastAsia="宋体" w:cs="宋体"/>
          <w:color w:val="auto"/>
          <w:szCs w:val="21"/>
        </w:rPr>
      </w:pPr>
      <w:bookmarkStart w:id="21" w:name="_Toc28359082"/>
      <w:bookmarkStart w:id="22" w:name="_Toc28359005"/>
      <w:bookmarkStart w:id="23" w:name="_Toc35393793"/>
      <w:bookmarkStart w:id="24" w:name="_Toc35393624"/>
      <w:r>
        <w:rPr>
          <w:rFonts w:hint="eastAsia" w:ascii="宋体" w:hAnsi="宋体" w:eastAsia="宋体" w:cs="宋体"/>
          <w:color w:val="auto"/>
          <w:szCs w:val="21"/>
        </w:rPr>
        <w:t>1.竞争性磋商文件获取时间</w:t>
      </w:r>
      <w:r>
        <w:rPr>
          <w:rFonts w:hint="eastAsia" w:ascii="宋体" w:hAnsi="宋体" w:eastAsia="宋体" w:cs="宋体"/>
          <w:color w:val="auto"/>
          <w:szCs w:val="21"/>
          <w:lang w:val="en-US" w:eastAsia="zh-CN"/>
        </w:rPr>
        <w:t>竞争性磋商公告发布之日起</w:t>
      </w:r>
      <w:r>
        <w:rPr>
          <w:rFonts w:hint="eastAsia" w:ascii="宋体" w:hAnsi="宋体" w:eastAsia="宋体" w:cs="宋体"/>
          <w:color w:val="auto"/>
          <w:szCs w:val="21"/>
        </w:rPr>
        <w:t>至2025年</w:t>
      </w:r>
      <w:r>
        <w:rPr>
          <w:rFonts w:hint="eastAsia" w:ascii="宋体" w:hAnsi="宋体" w:eastAsia="宋体" w:cs="宋体"/>
          <w:color w:val="auto"/>
          <w:szCs w:val="21"/>
          <w:lang w:val="en-US" w:eastAsia="zh-CN"/>
        </w:rPr>
        <w:t>5</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9</w:t>
      </w:r>
      <w:r>
        <w:rPr>
          <w:rFonts w:hint="eastAsia" w:ascii="宋体" w:hAnsi="宋体" w:eastAsia="宋体" w:cs="宋体"/>
          <w:color w:val="auto"/>
          <w:szCs w:val="21"/>
        </w:rPr>
        <w:t>日</w:t>
      </w:r>
      <w:r>
        <w:rPr>
          <w:rFonts w:hint="eastAsia" w:ascii="宋体" w:hAnsi="宋体" w:eastAsia="宋体" w:cs="宋体"/>
          <w:color w:val="auto"/>
          <w:szCs w:val="21"/>
          <w:lang w:val="en-US" w:eastAsia="zh-CN"/>
        </w:rPr>
        <w:t>09时30</w:t>
      </w:r>
      <w:r>
        <w:rPr>
          <w:rFonts w:hint="eastAsia" w:ascii="宋体" w:hAnsi="宋体" w:eastAsia="宋体" w:cs="宋体"/>
          <w:color w:val="auto"/>
          <w:szCs w:val="21"/>
        </w:rPr>
        <w:t>分。</w:t>
      </w:r>
    </w:p>
    <w:p w14:paraId="3C5D16C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地点及方式：潜在供应商请登录广西政府采购云平台https://www.gcy.zfcg.gxzf.gov.cn/在线申请获取竞争性磋商文件电子版（进入“项目采购”应用，在获取采购文件菜单中选择项目，申请获取竞争性磋商文件电子版）。</w:t>
      </w:r>
    </w:p>
    <w:p w14:paraId="0538F606">
      <w:pPr>
        <w:widowControl/>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3.竞争性磋商文件售价：0元。</w:t>
      </w:r>
    </w:p>
    <w:p w14:paraId="577B912E">
      <w:pPr>
        <w:widowControl/>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b/>
          <w:bCs/>
          <w:color w:val="auto"/>
          <w:szCs w:val="21"/>
        </w:rPr>
        <w:t>备注：为配合采购人进行政府采购项目执行和备案，未在广西政府采购云平台注册的供应商可在获取竞争性磋商文件后登录广西政府采购云平台进行注册，中标/成交供应商须在合同签订前完成广西政府采购云平台备案成为正式供应商；如在操作过程中遇到问题或者需要技术支持，请致电广西政府采购云平台客服热线：95763。</w:t>
      </w:r>
    </w:p>
    <w:p w14:paraId="2E5B1F4B">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四、响应文件</w:t>
      </w:r>
      <w:bookmarkEnd w:id="21"/>
      <w:bookmarkEnd w:id="22"/>
      <w:r>
        <w:rPr>
          <w:rFonts w:hint="eastAsia" w:ascii="宋体" w:hAnsi="宋体" w:eastAsia="宋体" w:cs="宋体"/>
          <w:b/>
          <w:bCs/>
          <w:color w:val="auto"/>
          <w:szCs w:val="21"/>
        </w:rPr>
        <w:t>提交时间和地点</w:t>
      </w:r>
      <w:bookmarkEnd w:id="23"/>
      <w:bookmarkEnd w:id="24"/>
    </w:p>
    <w:p w14:paraId="0620778F">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截止时间：</w:t>
      </w:r>
      <w:r>
        <w:rPr>
          <w:rFonts w:hint="eastAsia" w:ascii="宋体" w:hAnsi="宋体" w:eastAsia="宋体" w:cs="宋体"/>
          <w:color w:val="auto"/>
          <w:szCs w:val="21"/>
        </w:rPr>
        <w:t>2025年</w:t>
      </w:r>
      <w:r>
        <w:rPr>
          <w:rFonts w:hint="eastAsia" w:ascii="宋体" w:hAnsi="宋体" w:eastAsia="宋体" w:cs="宋体"/>
          <w:color w:val="auto"/>
          <w:szCs w:val="21"/>
          <w:lang w:val="en-US" w:eastAsia="zh-CN"/>
        </w:rPr>
        <w:t>5</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9</w:t>
      </w:r>
      <w:r>
        <w:rPr>
          <w:rFonts w:hint="eastAsia" w:ascii="宋体" w:hAnsi="宋体" w:eastAsia="宋体" w:cs="宋体"/>
          <w:color w:val="auto"/>
          <w:szCs w:val="21"/>
        </w:rPr>
        <w:t>日</w:t>
      </w:r>
      <w:r>
        <w:rPr>
          <w:rFonts w:hint="eastAsia" w:ascii="宋体" w:hAnsi="宋体" w:eastAsia="宋体" w:cs="宋体"/>
          <w:color w:val="auto"/>
          <w:szCs w:val="21"/>
          <w:lang w:val="en-US" w:eastAsia="zh-CN"/>
        </w:rPr>
        <w:t>09时30</w:t>
      </w:r>
      <w:r>
        <w:rPr>
          <w:rFonts w:hint="eastAsia" w:ascii="宋体" w:hAnsi="宋体" w:eastAsia="宋体" w:cs="宋体"/>
          <w:color w:val="auto"/>
          <w:szCs w:val="21"/>
        </w:rPr>
        <w:t>分</w:t>
      </w:r>
      <w:r>
        <w:rPr>
          <w:rFonts w:hint="eastAsia" w:ascii="宋体" w:hAnsi="宋体" w:eastAsia="宋体" w:cs="宋体"/>
          <w:bCs/>
          <w:color w:val="auto"/>
          <w:szCs w:val="21"/>
        </w:rPr>
        <w:t>（北京时间）。</w:t>
      </w:r>
    </w:p>
    <w:p w14:paraId="0E6B05F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地    点：通过广西政府采购云平台实行在线响应。</w:t>
      </w:r>
    </w:p>
    <w:p w14:paraId="13BAF55F">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五、开启</w:t>
      </w:r>
    </w:p>
    <w:p w14:paraId="035FC09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时间：2025年</w:t>
      </w:r>
      <w:r>
        <w:rPr>
          <w:rFonts w:hint="eastAsia" w:ascii="宋体" w:hAnsi="宋体" w:eastAsia="宋体" w:cs="宋体"/>
          <w:color w:val="auto"/>
          <w:szCs w:val="21"/>
          <w:lang w:val="en-US" w:eastAsia="zh-CN"/>
        </w:rPr>
        <w:t>5</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9</w:t>
      </w:r>
      <w:r>
        <w:rPr>
          <w:rFonts w:hint="eastAsia" w:ascii="宋体" w:hAnsi="宋体" w:eastAsia="宋体" w:cs="宋体"/>
          <w:color w:val="auto"/>
          <w:szCs w:val="21"/>
        </w:rPr>
        <w:t>日</w:t>
      </w:r>
      <w:r>
        <w:rPr>
          <w:rFonts w:hint="eastAsia" w:ascii="宋体" w:hAnsi="宋体" w:eastAsia="宋体" w:cs="宋体"/>
          <w:color w:val="auto"/>
          <w:szCs w:val="21"/>
          <w:lang w:val="en-US" w:eastAsia="zh-CN"/>
        </w:rPr>
        <w:t>09时30</w:t>
      </w:r>
      <w:r>
        <w:rPr>
          <w:rFonts w:hint="eastAsia" w:ascii="宋体" w:hAnsi="宋体" w:eastAsia="宋体" w:cs="宋体"/>
          <w:color w:val="auto"/>
          <w:szCs w:val="21"/>
        </w:rPr>
        <w:t>分（北京时间）截标后。</w:t>
      </w:r>
    </w:p>
    <w:p w14:paraId="022700E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地点：通过广西政府采购云平台实行在线解密开启。</w:t>
      </w:r>
    </w:p>
    <w:p w14:paraId="55C83DCA">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六、公告期限：自本公告发布之日起5个工作日。</w:t>
      </w:r>
    </w:p>
    <w:p w14:paraId="081D7E25">
      <w:pPr>
        <w:spacing w:line="360" w:lineRule="auto"/>
        <w:rPr>
          <w:rFonts w:hint="eastAsia" w:ascii="宋体" w:hAnsi="宋体" w:eastAsia="宋体" w:cs="宋体"/>
          <w:b/>
          <w:bCs/>
          <w:color w:val="auto"/>
        </w:rPr>
      </w:pPr>
      <w:r>
        <w:rPr>
          <w:rFonts w:hint="eastAsia" w:ascii="宋体" w:hAnsi="宋体" w:eastAsia="宋体" w:cs="宋体"/>
          <w:b/>
          <w:bCs/>
          <w:color w:val="auto"/>
        </w:rPr>
        <w:t>七、其他补充事宜</w:t>
      </w:r>
    </w:p>
    <w:p w14:paraId="75A7772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宋体" w:hAnsi="宋体" w:eastAsia="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eastAsia="宋体" w:cs="宋体"/>
          <w:color w:val="auto"/>
          <w:szCs w:val="21"/>
        </w:rPr>
        <w:t>2.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r>
        <w:rPr>
          <w:rFonts w:hint="eastAsia" w:ascii="宋体" w:hAnsi="宋体" w:eastAsia="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eastAsia="宋体" w:cs="宋体"/>
          <w:color w:val="auto"/>
          <w:szCs w:val="21"/>
        </w:rPr>
        <w:t>3.磋商保证金：无</w:t>
      </w:r>
      <w:r>
        <w:rPr>
          <w:rFonts w:hint="eastAsia" w:ascii="宋体" w:hAnsi="宋体" w:eastAsia="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eastAsia="宋体" w:cs="宋体"/>
          <w:color w:val="auto"/>
          <w:szCs w:val="21"/>
        </w:rPr>
        <w:t>4.网上查询地址</w:t>
      </w:r>
      <w:r>
        <w:rPr>
          <w:rFonts w:hint="eastAsia" w:ascii="宋体" w:hAnsi="宋体" w:eastAsia="宋体" w:cs="宋体"/>
          <w:color w:val="auto"/>
          <w:szCs w:val="21"/>
          <w:lang w:eastAsia="zh-CN"/>
        </w:rPr>
        <w:t>：</w:t>
      </w:r>
      <w:r>
        <w:rPr>
          <w:rFonts w:hint="eastAsia" w:ascii="宋体" w:hAnsi="宋体" w:eastAsia="宋体" w:cs="宋体"/>
          <w:color w:val="auto"/>
          <w:szCs w:val="21"/>
        </w:rPr>
        <w:t>www.ccgp.gov.cn（中国政府采购网）、www.ccgp-guangxi.gov.cn（广西壮族自治区政府采购网）、zfcg.czj.guilin.gov.cn（桂林市政府采购网）。</w:t>
      </w:r>
      <w:r>
        <w:rPr>
          <w:rFonts w:hint="eastAsia" w:ascii="宋体" w:hAnsi="宋体" w:eastAsia="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eastAsia="宋体" w:cs="宋体"/>
          <w:color w:val="auto"/>
          <w:szCs w:val="21"/>
        </w:rPr>
        <w:t>5. 本项目需要落实的政府采购政策</w:t>
      </w:r>
      <w:r>
        <w:rPr>
          <w:rFonts w:hint="eastAsia" w:ascii="宋体" w:hAnsi="宋体" w:eastAsia="宋体" w:cs="宋体"/>
          <w:color w:val="auto"/>
          <w:szCs w:val="21"/>
        </w:rPr>
        <w:br w:type="textWrapping"/>
      </w:r>
      <w:r>
        <w:rPr>
          <w:rFonts w:hint="eastAsia" w:ascii="宋体" w:hAnsi="宋体" w:eastAsia="宋体" w:cs="宋体"/>
          <w:color w:val="auto"/>
          <w:szCs w:val="21"/>
        </w:rPr>
        <w:t>（1）《政府采购促进中小企业发展管理办法》（财库[2020]46号）。</w:t>
      </w:r>
      <w:r>
        <w:rPr>
          <w:rFonts w:hint="eastAsia" w:ascii="宋体" w:hAnsi="宋体" w:eastAsia="宋体" w:cs="宋体"/>
          <w:color w:val="auto"/>
          <w:szCs w:val="21"/>
        </w:rPr>
        <w:br w:type="textWrapping"/>
      </w:r>
      <w:r>
        <w:rPr>
          <w:rFonts w:hint="eastAsia" w:ascii="宋体" w:hAnsi="宋体" w:eastAsia="宋体" w:cs="宋体"/>
          <w:color w:val="auto"/>
          <w:szCs w:val="21"/>
        </w:rPr>
        <w:t>（2）《关于政府采购支持监狱企业发展有关问题的通知》（财库[2014]68号）。</w:t>
      </w:r>
      <w:r>
        <w:rPr>
          <w:rFonts w:hint="eastAsia" w:ascii="宋体" w:hAnsi="宋体" w:eastAsia="宋体" w:cs="宋体"/>
          <w:color w:val="auto"/>
          <w:szCs w:val="21"/>
        </w:rPr>
        <w:br w:type="textWrapping"/>
      </w:r>
      <w:r>
        <w:rPr>
          <w:rFonts w:hint="eastAsia" w:ascii="宋体" w:hAnsi="宋体" w:eastAsia="宋体" w:cs="宋体"/>
          <w:color w:val="auto"/>
          <w:szCs w:val="21"/>
        </w:rPr>
        <w:t>（3）《关于促进残疾人就业政府采购政策的通知》（财库[2017]141号）。</w:t>
      </w:r>
      <w:r>
        <w:rPr>
          <w:rFonts w:hint="eastAsia" w:ascii="宋体" w:hAnsi="宋体" w:eastAsia="宋体" w:cs="宋体"/>
          <w:color w:val="auto"/>
          <w:szCs w:val="21"/>
        </w:rPr>
        <w:br w:type="textWrapping"/>
      </w:r>
      <w:r>
        <w:rPr>
          <w:rFonts w:hint="eastAsia" w:ascii="宋体" w:hAnsi="宋体" w:eastAsia="宋体" w:cs="宋体"/>
          <w:color w:val="auto"/>
          <w:szCs w:val="21"/>
        </w:rPr>
        <w:t>（4）《关于我区政府采购支持监狱企业发展有关问题的通知》（桂财采[2015]24号）。</w:t>
      </w:r>
      <w:r>
        <w:rPr>
          <w:rFonts w:hint="eastAsia" w:ascii="宋体" w:hAnsi="宋体" w:eastAsia="宋体" w:cs="宋体"/>
          <w:color w:val="auto"/>
          <w:szCs w:val="21"/>
        </w:rPr>
        <w:br w:type="textWrapping"/>
      </w:r>
      <w:r>
        <w:rPr>
          <w:rFonts w:hint="eastAsia" w:ascii="宋体" w:hAnsi="宋体" w:eastAsia="宋体" w:cs="宋体"/>
          <w:color w:val="auto"/>
          <w:szCs w:val="21"/>
        </w:rPr>
        <w:t>（5）本项目为专门面向中小企业采购的项目。</w:t>
      </w:r>
      <w:r>
        <w:rPr>
          <w:rFonts w:hint="eastAsia" w:ascii="宋体" w:hAnsi="宋体" w:eastAsia="宋体" w:cs="宋体"/>
          <w:color w:val="auto"/>
          <w:szCs w:val="21"/>
        </w:rPr>
        <w:br w:type="textWrapping"/>
      </w:r>
      <w:r>
        <w:rPr>
          <w:rFonts w:hint="eastAsia" w:ascii="宋体" w:hAnsi="宋体" w:eastAsia="宋体" w:cs="宋体"/>
          <w:color w:val="auto"/>
          <w:szCs w:val="21"/>
        </w:rPr>
        <w:t>（6）本项目中小企业划分标准所属行业：其他未列明行业。</w:t>
      </w:r>
      <w:r>
        <w:rPr>
          <w:rFonts w:hint="eastAsia" w:ascii="宋体" w:hAnsi="宋体" w:eastAsia="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eastAsia="宋体" w:cs="宋体"/>
          <w:color w:val="auto"/>
          <w:szCs w:val="21"/>
        </w:rPr>
        <w:t>6.响应文件解密时间：提交响应文件截止时间，广西政府采购云平台自动提取所有供应商响应文件，各供应商须在提交响应文件截止后30分钟内，登录广西政府采购云平台，通过“项目采购-开标评标”功能解密电子响应文件。若供应商在规定时间内无法解密或解密失败或超时解密的，系统默认自动放弃，响应文件按无效响应处理。</w:t>
      </w:r>
      <w:r>
        <w:rPr>
          <w:rFonts w:hint="eastAsia" w:ascii="宋体" w:hAnsi="宋体" w:eastAsia="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eastAsia="宋体" w:cs="宋体"/>
          <w:color w:val="auto"/>
          <w:szCs w:val="21"/>
        </w:rPr>
        <w:t>7.“广西政府采购云平台”电子投标相关事宜说明：</w:t>
      </w:r>
      <w:r>
        <w:rPr>
          <w:rFonts w:hint="eastAsia" w:ascii="宋体" w:hAnsi="宋体" w:eastAsia="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eastAsia="宋体" w:cs="宋体"/>
          <w:color w:val="auto"/>
          <w:szCs w:val="21"/>
        </w:rPr>
        <w:t>7.1 本项目实行全流程电子化采购，供应商通过“广西政府采购云平台”参与电子投标，并应做好以下相关准备工作：①在“广西政府采购云平台”注册成为正式供应商（操作方法详见广西政府采购网—办事服务—办事指南）；②完成CA认证证书申领和绑定（费用由供应商自行承担，办理流程详见广西政府采购网—办事服务—办事指南，完成CA认证证书办理预计一周左右，建议供应商尽快办理）；③下载“广西政府采购云平台新版客户端”（新版客户端下载路径：广西政府采购网（访问地址http://zfcg.gxzf.gov.cn/）—办事服务—下载专区）并安装成功，供应商应当在响应文件提交截止时间前在“广西政府采购云平台”完成身份认证，确保能够对相关数据电子文件进行加密和使用电子签章；④自备计算机和网络设备并确保能接入互联网（费用由供应商自行承担，设备确保可进行视频通话和读取广西政府采购云平台CA认证证书）。因供应商未做好相关准备工作等自身原因导致无法参加本项目电子投标或投标失败的，造成的一切后果，由供应商自行承担。</w:t>
      </w:r>
      <w:r>
        <w:rPr>
          <w:rFonts w:hint="eastAsia" w:ascii="宋体" w:hAnsi="宋体" w:eastAsia="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eastAsia="宋体" w:cs="宋体"/>
          <w:color w:val="auto"/>
          <w:szCs w:val="21"/>
        </w:rPr>
        <w:t>7.2电子投标具体操作流程参考《政府采购项目电子交易管理操作指南-供应商》，如遇平台技术问题详询95763。</w:t>
      </w:r>
      <w:r>
        <w:rPr>
          <w:rFonts w:hint="eastAsia" w:ascii="宋体" w:hAnsi="宋体" w:eastAsia="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eastAsia="宋体" w:cs="宋体"/>
          <w:color w:val="auto"/>
          <w:szCs w:val="21"/>
        </w:rPr>
        <w:t>7.3电子响应文件的制作、加密、提交等相关事宜详见第二章“投标人须知”。  </w:t>
      </w:r>
    </w:p>
    <w:p w14:paraId="5749CF1D">
      <w:pPr>
        <w:spacing w:line="360" w:lineRule="auto"/>
        <w:rPr>
          <w:rFonts w:hint="eastAsia" w:ascii="宋体" w:hAnsi="宋体" w:eastAsia="宋体" w:cs="宋体"/>
          <w:b/>
          <w:bCs/>
          <w:color w:val="auto"/>
        </w:rPr>
      </w:pPr>
      <w:r>
        <w:rPr>
          <w:rFonts w:hint="eastAsia" w:ascii="宋体" w:hAnsi="宋体" w:eastAsia="宋体" w:cs="宋体"/>
          <w:b/>
          <w:bCs/>
          <w:color w:val="auto"/>
        </w:rPr>
        <w:t>八、对本次招标提出询问，请按以下方式联系</w:t>
      </w:r>
    </w:p>
    <w:p w14:paraId="69D59A68">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1.采购人信息</w:t>
      </w:r>
    </w:p>
    <w:p w14:paraId="4892B134">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名    称：灵川县自然资源局　　</w:t>
      </w:r>
    </w:p>
    <w:p w14:paraId="326AFC81">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地    址：</w:t>
      </w:r>
      <w:r>
        <w:rPr>
          <w:rFonts w:hint="eastAsia" w:ascii="宋体" w:hAnsi="宋体" w:eastAsia="宋体" w:cs="宋体"/>
          <w:bCs/>
          <w:color w:val="auto"/>
        </w:rPr>
        <w:t>灵川县银渠路丰源1号楼</w:t>
      </w:r>
      <w:r>
        <w:rPr>
          <w:rFonts w:hint="eastAsia" w:ascii="宋体" w:hAnsi="宋体" w:eastAsia="宋体" w:cs="宋体"/>
          <w:color w:val="auto"/>
        </w:rPr>
        <w:t>　</w:t>
      </w:r>
    </w:p>
    <w:p w14:paraId="1E0D5843">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项目联系人：</w:t>
      </w:r>
      <w:r>
        <w:rPr>
          <w:rFonts w:hint="eastAsia" w:ascii="宋体" w:hAnsi="宋体" w:eastAsia="宋体" w:cs="宋体"/>
          <w:bCs/>
          <w:color w:val="auto"/>
        </w:rPr>
        <w:t>李工</w:t>
      </w:r>
    </w:p>
    <w:p w14:paraId="2E6B8354">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联系方式：</w:t>
      </w:r>
      <w:r>
        <w:rPr>
          <w:rFonts w:hint="eastAsia" w:ascii="宋体" w:hAnsi="宋体" w:eastAsia="宋体" w:cs="宋体"/>
          <w:bCs/>
          <w:color w:val="auto"/>
        </w:rPr>
        <w:t xml:space="preserve"> 0773-6863286</w:t>
      </w:r>
      <w:r>
        <w:rPr>
          <w:rFonts w:hint="eastAsia" w:ascii="宋体" w:hAnsi="宋体" w:eastAsia="宋体" w:cs="宋体"/>
          <w:color w:val="auto"/>
        </w:rPr>
        <w:t>　　　</w:t>
      </w:r>
    </w:p>
    <w:p w14:paraId="2387B5A7">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2.采购代理机构信息</w:t>
      </w:r>
    </w:p>
    <w:p w14:paraId="634758A4">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 xml:space="preserve">名    称：广西佳益工程项目管理咨询有限公司　　　　　　　　　 </w:t>
      </w:r>
    </w:p>
    <w:p w14:paraId="4CE343D3">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地　  址：桂林市七星区桂林高新区信息产业园D12号地块软件大厦一楼　　　　　　　　　</w:t>
      </w:r>
    </w:p>
    <w:p w14:paraId="2F4B8A75">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联系方式：陈工，电话：0773-2605610          　</w:t>
      </w:r>
    </w:p>
    <w:p w14:paraId="2E73D308">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3.项目联系方式</w:t>
      </w:r>
    </w:p>
    <w:p w14:paraId="4DB8B928">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 xml:space="preserve">项目联系人：陈工                                   </w:t>
      </w:r>
    </w:p>
    <w:p w14:paraId="7F5E6345">
      <w:pPr>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电　话：0773-2605610</w:t>
      </w:r>
    </w:p>
    <w:p w14:paraId="28BDAB02">
      <w:pPr>
        <w:spacing w:line="360" w:lineRule="auto"/>
        <w:ind w:firstLine="525" w:firstLineChars="250"/>
        <w:rPr>
          <w:rFonts w:hint="eastAsia" w:ascii="宋体" w:hAnsi="宋体" w:eastAsia="宋体" w:cs="宋体"/>
          <w:color w:val="auto"/>
        </w:rPr>
      </w:pPr>
    </w:p>
    <w:p w14:paraId="328B68D5">
      <w:pPr>
        <w:spacing w:line="360" w:lineRule="auto"/>
        <w:ind w:firstLine="525" w:firstLineChars="250"/>
        <w:rPr>
          <w:rFonts w:hint="eastAsia" w:ascii="宋体" w:hAnsi="宋体" w:eastAsia="宋体" w:cs="宋体"/>
          <w:color w:val="auto"/>
        </w:rPr>
      </w:pPr>
    </w:p>
    <w:p w14:paraId="019C3408">
      <w:pPr>
        <w:pStyle w:val="7"/>
        <w:spacing w:line="360" w:lineRule="auto"/>
        <w:jc w:val="right"/>
        <w:rPr>
          <w:rFonts w:hint="eastAsia" w:ascii="宋体" w:hAnsi="宋体" w:eastAsia="宋体" w:cs="宋体"/>
          <w:color w:val="auto"/>
        </w:rPr>
      </w:pPr>
      <w:r>
        <w:rPr>
          <w:rFonts w:hint="eastAsia" w:ascii="宋体" w:hAnsi="宋体" w:eastAsia="宋体" w:cs="宋体"/>
          <w:color w:val="auto"/>
        </w:rPr>
        <w:t>广西佳益工程项目管理咨询有限公司　　</w:t>
      </w:r>
    </w:p>
    <w:p w14:paraId="472F7EFF">
      <w:pPr>
        <w:pStyle w:val="7"/>
        <w:spacing w:line="360" w:lineRule="auto"/>
        <w:jc w:val="right"/>
        <w:rPr>
          <w:rFonts w:hint="default" w:ascii="宋体" w:hAnsi="宋体" w:eastAsia="宋体" w:cs="宋体"/>
          <w:color w:val="auto"/>
          <w:lang w:val="en-US" w:eastAsia="zh-CN"/>
        </w:rPr>
      </w:pPr>
      <w:r>
        <w:rPr>
          <w:rFonts w:hint="eastAsia" w:ascii="宋体" w:hAnsi="宋体" w:cs="宋体"/>
          <w:color w:val="auto"/>
          <w:lang w:val="en-US" w:eastAsia="zh-CN"/>
        </w:rPr>
        <w:t>2025年4月28日</w:t>
      </w:r>
    </w:p>
    <w:p w14:paraId="585E8CDC">
      <w:pPr>
        <w:pStyle w:val="2"/>
        <w:pageBreakBefore/>
        <w:spacing w:line="400" w:lineRule="exact"/>
        <w:jc w:val="center"/>
        <w:rPr>
          <w:rFonts w:hint="eastAsia" w:ascii="宋体" w:hAnsi="宋体" w:eastAsia="宋体" w:cs="宋体"/>
          <w:color w:val="auto"/>
          <w:sz w:val="32"/>
          <w:szCs w:val="32"/>
        </w:rPr>
      </w:pPr>
      <w:bookmarkStart w:id="25" w:name="_Toc16898"/>
      <w:bookmarkStart w:id="26" w:name="_Toc8011"/>
      <w:bookmarkStart w:id="27" w:name="_Toc26924"/>
      <w:r>
        <w:rPr>
          <w:rFonts w:hint="eastAsia" w:ascii="宋体" w:hAnsi="宋体" w:eastAsia="宋体" w:cs="宋体"/>
          <w:color w:val="auto"/>
          <w:sz w:val="32"/>
          <w:szCs w:val="32"/>
        </w:rPr>
        <w:t>第二章 供应商须知</w:t>
      </w:r>
      <w:bookmarkEnd w:id="25"/>
      <w:bookmarkEnd w:id="26"/>
      <w:bookmarkEnd w:id="27"/>
    </w:p>
    <w:p w14:paraId="47D66E89">
      <w:pPr>
        <w:keepNext/>
        <w:keepLines/>
        <w:tabs>
          <w:tab w:val="left" w:pos="567"/>
        </w:tabs>
        <w:spacing w:line="400" w:lineRule="exact"/>
        <w:jc w:val="center"/>
        <w:rPr>
          <w:rFonts w:hint="eastAsia" w:ascii="宋体" w:hAnsi="宋体" w:eastAsia="宋体" w:cs="宋体"/>
          <w:b/>
          <w:color w:val="auto"/>
          <w:sz w:val="24"/>
        </w:rPr>
      </w:pPr>
      <w:bookmarkStart w:id="28" w:name="_Toc1585"/>
      <w:bookmarkStart w:id="29" w:name="_Toc10555"/>
      <w:bookmarkStart w:id="30" w:name="_Toc13547"/>
      <w:bookmarkStart w:id="31" w:name="_Toc25063"/>
      <w:bookmarkStart w:id="32" w:name="_Toc9508"/>
      <w:r>
        <w:rPr>
          <w:rFonts w:hint="eastAsia" w:ascii="宋体" w:hAnsi="宋体" w:eastAsia="宋体" w:cs="宋体"/>
          <w:b/>
          <w:color w:val="auto"/>
          <w:sz w:val="24"/>
        </w:rPr>
        <w:t>供 应 商 须 知 前 附 表</w:t>
      </w:r>
      <w:bookmarkEnd w:id="28"/>
      <w:bookmarkEnd w:id="29"/>
      <w:bookmarkEnd w:id="30"/>
      <w:bookmarkEnd w:id="31"/>
      <w:bookmarkEnd w:id="32"/>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65C4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14:paraId="1D6BC6E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942" w:type="dxa"/>
            <w:vAlign w:val="center"/>
          </w:tcPr>
          <w:p w14:paraId="297782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条款号</w:t>
            </w:r>
          </w:p>
        </w:tc>
        <w:tc>
          <w:tcPr>
            <w:tcW w:w="1775" w:type="dxa"/>
            <w:vAlign w:val="center"/>
          </w:tcPr>
          <w:p w14:paraId="4ABFDFA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条款名称</w:t>
            </w:r>
          </w:p>
        </w:tc>
        <w:tc>
          <w:tcPr>
            <w:tcW w:w="6912" w:type="dxa"/>
            <w:vAlign w:val="center"/>
          </w:tcPr>
          <w:p w14:paraId="320F291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内容、要求</w:t>
            </w:r>
          </w:p>
        </w:tc>
      </w:tr>
      <w:tr w14:paraId="6ABD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213976F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942" w:type="dxa"/>
            <w:vAlign w:val="center"/>
          </w:tcPr>
          <w:p w14:paraId="21D294A2">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775" w:type="dxa"/>
            <w:vAlign w:val="center"/>
          </w:tcPr>
          <w:p w14:paraId="78E924B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项目名称及项目编号</w:t>
            </w:r>
          </w:p>
        </w:tc>
        <w:tc>
          <w:tcPr>
            <w:tcW w:w="6912" w:type="dxa"/>
            <w:vAlign w:val="center"/>
          </w:tcPr>
          <w:p w14:paraId="79240979">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项目名称：灵川县矿产资源税费征收综合信息管理平台项目（二期）  </w:t>
            </w:r>
          </w:p>
          <w:p w14:paraId="171DDF90">
            <w:pPr>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rPr>
              <w:t>项目编号：</w:t>
            </w:r>
            <w:r>
              <w:rPr>
                <w:rFonts w:hint="eastAsia" w:ascii="宋体" w:hAnsi="宋体" w:eastAsia="宋体" w:cs="宋体"/>
                <w:color w:val="auto"/>
                <w:szCs w:val="21"/>
                <w:lang w:eastAsia="zh-CN"/>
              </w:rPr>
              <w:t>GLZC2025-C3-230027-GXJY</w:t>
            </w:r>
          </w:p>
        </w:tc>
      </w:tr>
      <w:tr w14:paraId="178B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57C49EB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942" w:type="dxa"/>
            <w:vAlign w:val="center"/>
          </w:tcPr>
          <w:p w14:paraId="4D38270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775" w:type="dxa"/>
            <w:vAlign w:val="center"/>
          </w:tcPr>
          <w:p w14:paraId="0BEEE49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供应商资格</w:t>
            </w:r>
          </w:p>
        </w:tc>
        <w:tc>
          <w:tcPr>
            <w:tcW w:w="6912" w:type="dxa"/>
            <w:vAlign w:val="center"/>
          </w:tcPr>
          <w:p w14:paraId="34C36C4F">
            <w:pPr>
              <w:spacing w:line="440" w:lineRule="exact"/>
              <w:rPr>
                <w:rFonts w:hint="eastAsia" w:ascii="宋体" w:hAnsi="宋体" w:eastAsia="宋体" w:cs="宋体"/>
                <w:color w:val="auto"/>
              </w:rPr>
            </w:pPr>
            <w:r>
              <w:rPr>
                <w:rFonts w:hint="eastAsia" w:ascii="宋体" w:hAnsi="宋体" w:eastAsia="宋体" w:cs="宋体"/>
                <w:color w:val="auto"/>
              </w:rPr>
              <w:t>3.1符合《中华人民共和国政府采购法》第二十二条规定；</w:t>
            </w:r>
          </w:p>
          <w:p w14:paraId="4BBD1BBF">
            <w:pPr>
              <w:spacing w:line="420" w:lineRule="exact"/>
              <w:rPr>
                <w:rFonts w:hint="eastAsia" w:ascii="宋体" w:hAnsi="宋体" w:eastAsia="宋体" w:cs="宋体"/>
                <w:color w:val="auto"/>
              </w:rPr>
            </w:pPr>
            <w:r>
              <w:rPr>
                <w:rFonts w:hint="eastAsia" w:ascii="宋体" w:hAnsi="宋体" w:eastAsia="宋体" w:cs="宋体"/>
                <w:color w:val="auto"/>
              </w:rPr>
              <w:t>3.2落实政府采购政策需满足的资格要求：无；</w:t>
            </w:r>
          </w:p>
          <w:p w14:paraId="46157522">
            <w:pPr>
              <w:spacing w:line="420" w:lineRule="exact"/>
              <w:rPr>
                <w:rFonts w:hint="eastAsia" w:ascii="宋体" w:hAnsi="宋体" w:eastAsia="宋体" w:cs="宋体"/>
                <w:color w:val="auto"/>
              </w:rPr>
            </w:pPr>
            <w:r>
              <w:rPr>
                <w:rFonts w:hint="eastAsia" w:ascii="宋体" w:hAnsi="宋体" w:eastAsia="宋体" w:cs="宋体"/>
                <w:color w:val="auto"/>
              </w:rPr>
              <w:t>3.3本项目的特定资格要求：无</w:t>
            </w:r>
            <w:r>
              <w:rPr>
                <w:rFonts w:hint="eastAsia" w:ascii="宋体" w:hAnsi="宋体" w:eastAsia="宋体" w:cs="宋体"/>
                <w:b/>
                <w:bCs/>
                <w:color w:val="auto"/>
                <w:szCs w:val="21"/>
              </w:rPr>
              <w:t>。</w:t>
            </w:r>
          </w:p>
        </w:tc>
      </w:tr>
      <w:tr w14:paraId="38A2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751DF43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942" w:type="dxa"/>
            <w:vAlign w:val="center"/>
          </w:tcPr>
          <w:p w14:paraId="39E119A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775" w:type="dxa"/>
            <w:vAlign w:val="center"/>
          </w:tcPr>
          <w:p w14:paraId="61BBFED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磋商费用</w:t>
            </w:r>
          </w:p>
        </w:tc>
        <w:tc>
          <w:tcPr>
            <w:tcW w:w="6912" w:type="dxa"/>
            <w:vAlign w:val="center"/>
          </w:tcPr>
          <w:p w14:paraId="78E11CFF">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不论磋商结果如何，供应商均应自行承担所有与磋商有关的全部费用。 </w:t>
            </w:r>
          </w:p>
        </w:tc>
      </w:tr>
      <w:tr w14:paraId="228B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62" w:type="dxa"/>
            <w:vAlign w:val="center"/>
          </w:tcPr>
          <w:p w14:paraId="3EDF595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942" w:type="dxa"/>
            <w:vAlign w:val="center"/>
          </w:tcPr>
          <w:p w14:paraId="5B108C71">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13</w:t>
            </w:r>
          </w:p>
        </w:tc>
        <w:tc>
          <w:tcPr>
            <w:tcW w:w="1775" w:type="dxa"/>
            <w:vAlign w:val="center"/>
          </w:tcPr>
          <w:p w14:paraId="649E0832">
            <w:pPr>
              <w:spacing w:line="360" w:lineRule="exact"/>
              <w:jc w:val="center"/>
              <w:rPr>
                <w:rFonts w:hint="eastAsia" w:ascii="宋体" w:hAnsi="宋体" w:eastAsia="宋体" w:cs="宋体"/>
                <w:color w:val="auto"/>
                <w:position w:val="-2"/>
                <w:szCs w:val="21"/>
              </w:rPr>
            </w:pPr>
            <w:r>
              <w:rPr>
                <w:rFonts w:hint="eastAsia" w:ascii="宋体" w:hAnsi="宋体" w:eastAsia="宋体" w:cs="宋体"/>
                <w:color w:val="auto"/>
                <w:szCs w:val="21"/>
              </w:rPr>
              <w:t>磋商报价及采购预算金额</w:t>
            </w:r>
          </w:p>
        </w:tc>
        <w:tc>
          <w:tcPr>
            <w:tcW w:w="6912" w:type="dxa"/>
            <w:vAlign w:val="center"/>
          </w:tcPr>
          <w:p w14:paraId="4EE1CCE5">
            <w:pPr>
              <w:widowControl/>
              <w:snapToGrid w:val="0"/>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13.1供应商必须就“采购需求”中的所有内容作完整唯一报价，响应文件只允许有一个报价方案，有选择的或有条件的报价将不予接受。</w:t>
            </w:r>
          </w:p>
          <w:p w14:paraId="3B6F5064">
            <w:pPr>
              <w:widowControl/>
              <w:snapToGrid w:val="0"/>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13.2采购预算金额（人民币）：14</w:t>
            </w:r>
            <w:r>
              <w:rPr>
                <w:rFonts w:hint="eastAsia" w:ascii="宋体" w:hAnsi="宋体" w:cs="宋体"/>
                <w:color w:val="auto"/>
                <w:szCs w:val="21"/>
                <w:lang w:val="en-US" w:eastAsia="zh-CN"/>
              </w:rPr>
              <w:t>8000</w:t>
            </w:r>
            <w:r>
              <w:rPr>
                <w:rFonts w:hint="eastAsia" w:ascii="宋体" w:hAnsi="宋体" w:eastAsia="宋体" w:cs="宋体"/>
                <w:color w:val="auto"/>
                <w:szCs w:val="21"/>
              </w:rPr>
              <w:t>0</w:t>
            </w:r>
            <w:r>
              <w:rPr>
                <w:rFonts w:hint="eastAsia" w:ascii="宋体" w:hAnsi="宋体" w:cs="宋体"/>
                <w:color w:val="auto"/>
                <w:szCs w:val="21"/>
                <w:lang w:val="en-US" w:eastAsia="zh-CN"/>
              </w:rPr>
              <w:t>.00元，</w:t>
            </w:r>
            <w:r>
              <w:rPr>
                <w:rFonts w:hint="eastAsia" w:ascii="宋体" w:hAnsi="宋体" w:eastAsia="宋体" w:cs="宋体"/>
                <w:color w:val="auto"/>
                <w:szCs w:val="21"/>
              </w:rPr>
              <w:t>最高限价</w:t>
            </w:r>
            <w:r>
              <w:rPr>
                <w:rFonts w:hint="eastAsia" w:ascii="宋体" w:hAnsi="宋体" w:cs="宋体"/>
                <w:color w:val="auto"/>
                <w:szCs w:val="21"/>
                <w:lang w:eastAsia="zh-CN"/>
              </w:rPr>
              <w:t>（人民币）：</w:t>
            </w:r>
            <w:r>
              <w:rPr>
                <w:rFonts w:hint="eastAsia" w:ascii="宋体" w:hAnsi="宋体" w:eastAsia="宋体" w:cs="宋体"/>
                <w:color w:val="auto"/>
                <w:szCs w:val="21"/>
              </w:rPr>
              <w:t>1479980.00元。报价超采购预算金额或最高限价金额的，响应文件作无效处理。</w:t>
            </w:r>
          </w:p>
          <w:p w14:paraId="3B1D0F56">
            <w:pPr>
              <w:widowControl/>
              <w:snapToGrid w:val="0"/>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13.3供应商磋商报价应综合考虑完成本项目产生的所有成本、税金及合理利润，具体包含但不限于完成项目需求表包含的所有设备、服务、相关技术支持、售后服务（含质保期外产生的维保费用除外）、差旅、劳务、材料、培训、验收、交通、保险、各项税金及由于市场价格波动增加的费用，以及不可预见费等全部费用。</w:t>
            </w:r>
          </w:p>
          <w:p w14:paraId="5B85187D">
            <w:pPr>
              <w:widowControl/>
              <w:snapToGrid w:val="0"/>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13.4未书面退出磋商的供应商必须在规定时间内登录广西政府采购云平台在线提交最后报价，其最后报价不得超出采购预算；磋商过程中磋商文件未作实质性变动的，最后报价不得超过首次报价。 </w:t>
            </w:r>
          </w:p>
        </w:tc>
      </w:tr>
      <w:tr w14:paraId="11AA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4185464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942" w:type="dxa"/>
            <w:vAlign w:val="center"/>
          </w:tcPr>
          <w:p w14:paraId="4D3E60BD">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14.1</w:t>
            </w:r>
          </w:p>
        </w:tc>
        <w:tc>
          <w:tcPr>
            <w:tcW w:w="1775" w:type="dxa"/>
            <w:vAlign w:val="center"/>
          </w:tcPr>
          <w:p w14:paraId="4F5F9DFB">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响应文件有效期</w:t>
            </w:r>
          </w:p>
        </w:tc>
        <w:tc>
          <w:tcPr>
            <w:tcW w:w="6912" w:type="dxa"/>
          </w:tcPr>
          <w:p w14:paraId="4ED0B486">
            <w:pPr>
              <w:tabs>
                <w:tab w:val="left" w:pos="1305"/>
              </w:tabs>
              <w:spacing w:line="440" w:lineRule="exact"/>
              <w:rPr>
                <w:rFonts w:hint="eastAsia" w:ascii="宋体" w:hAnsi="宋体" w:eastAsia="宋体" w:cs="宋体"/>
                <w:color w:val="auto"/>
                <w:szCs w:val="21"/>
              </w:rPr>
            </w:pPr>
            <w:r>
              <w:rPr>
                <w:rFonts w:hint="eastAsia" w:ascii="宋体" w:hAnsi="宋体" w:eastAsia="宋体" w:cs="宋体"/>
                <w:color w:val="auto"/>
                <w:szCs w:val="21"/>
              </w:rPr>
              <w:t>响应文件递交截止时间之日起90天，有效期不足的响应文件将被拒绝。</w:t>
            </w:r>
          </w:p>
        </w:tc>
      </w:tr>
      <w:tr w14:paraId="458B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4ADB717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942" w:type="dxa"/>
            <w:vAlign w:val="center"/>
          </w:tcPr>
          <w:p w14:paraId="7E3EF200">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15</w:t>
            </w:r>
          </w:p>
        </w:tc>
        <w:tc>
          <w:tcPr>
            <w:tcW w:w="1775" w:type="dxa"/>
            <w:vAlign w:val="center"/>
          </w:tcPr>
          <w:p w14:paraId="64654F30">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保证金</w:t>
            </w:r>
          </w:p>
        </w:tc>
        <w:tc>
          <w:tcPr>
            <w:tcW w:w="6912" w:type="dxa"/>
          </w:tcPr>
          <w:p w14:paraId="5835DDEA">
            <w:pPr>
              <w:tabs>
                <w:tab w:val="left" w:pos="1305"/>
              </w:tabs>
              <w:spacing w:line="440" w:lineRule="exact"/>
              <w:rPr>
                <w:rFonts w:hint="eastAsia" w:ascii="宋体" w:hAnsi="宋体" w:eastAsia="宋体" w:cs="宋体"/>
                <w:color w:val="auto"/>
                <w:szCs w:val="21"/>
              </w:rPr>
            </w:pPr>
            <w:r>
              <w:rPr>
                <w:rFonts w:hint="eastAsia" w:ascii="宋体" w:hAnsi="宋体" w:eastAsia="宋体" w:cs="宋体"/>
                <w:color w:val="auto"/>
                <w:szCs w:val="21"/>
              </w:rPr>
              <w:t>本项目无需缴纳磋商保证金</w:t>
            </w:r>
          </w:p>
        </w:tc>
      </w:tr>
      <w:tr w14:paraId="4FC0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4171CC7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942" w:type="dxa"/>
            <w:vAlign w:val="center"/>
          </w:tcPr>
          <w:p w14:paraId="66A6F53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1775" w:type="dxa"/>
            <w:vAlign w:val="center"/>
          </w:tcPr>
          <w:p w14:paraId="158B1065">
            <w:pPr>
              <w:pStyle w:val="4"/>
              <w:widowControl w:val="0"/>
              <w:spacing w:before="0" w:after="0" w:line="440" w:lineRule="exact"/>
              <w:jc w:val="center"/>
              <w:rPr>
                <w:rFonts w:hint="eastAsia" w:ascii="宋体" w:hAnsi="宋体" w:eastAsia="宋体" w:cs="宋体"/>
                <w:b w:val="0"/>
                <w:color w:val="auto"/>
                <w:sz w:val="21"/>
                <w:szCs w:val="21"/>
              </w:rPr>
            </w:pPr>
            <w:bookmarkStart w:id="33" w:name="_Toc27452"/>
            <w:bookmarkStart w:id="34" w:name="_Toc19954"/>
            <w:bookmarkStart w:id="35" w:name="_Toc19911"/>
            <w:r>
              <w:rPr>
                <w:rFonts w:hint="eastAsia" w:ascii="宋体" w:hAnsi="宋体" w:eastAsia="宋体" w:cs="宋体"/>
                <w:b w:val="0"/>
                <w:color w:val="auto"/>
                <w:sz w:val="21"/>
                <w:szCs w:val="21"/>
              </w:rPr>
              <w:t>竞争性磋商响应文件的制作</w:t>
            </w:r>
            <w:bookmarkEnd w:id="33"/>
            <w:bookmarkEnd w:id="34"/>
            <w:bookmarkEnd w:id="35"/>
          </w:p>
          <w:p w14:paraId="1EEC4167">
            <w:pPr>
              <w:spacing w:line="440" w:lineRule="exact"/>
              <w:jc w:val="center"/>
              <w:rPr>
                <w:rFonts w:hint="eastAsia" w:ascii="宋体" w:hAnsi="宋体" w:eastAsia="宋体" w:cs="宋体"/>
                <w:color w:val="auto"/>
                <w:szCs w:val="21"/>
              </w:rPr>
            </w:pPr>
          </w:p>
        </w:tc>
        <w:tc>
          <w:tcPr>
            <w:tcW w:w="6912" w:type="dxa"/>
            <w:vAlign w:val="center"/>
          </w:tcPr>
          <w:p w14:paraId="10C278EB">
            <w:pPr>
              <w:spacing w:line="440" w:lineRule="exact"/>
              <w:rPr>
                <w:rFonts w:hint="eastAsia" w:ascii="宋体" w:hAnsi="宋体" w:eastAsia="宋体" w:cs="宋体"/>
                <w:color w:val="auto"/>
                <w:szCs w:val="21"/>
              </w:rPr>
            </w:pPr>
            <w:r>
              <w:rPr>
                <w:rFonts w:hint="eastAsia" w:ascii="宋体" w:hAnsi="宋体" w:eastAsia="宋体" w:cs="宋体"/>
                <w:color w:val="auto"/>
                <w:szCs w:val="21"/>
              </w:rPr>
              <w:t>16.1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51E7C35C">
            <w:pPr>
              <w:spacing w:line="440" w:lineRule="exact"/>
              <w:rPr>
                <w:rFonts w:hint="eastAsia" w:ascii="宋体" w:hAnsi="宋体" w:eastAsia="宋体" w:cs="宋体"/>
                <w:color w:val="auto"/>
                <w:szCs w:val="21"/>
              </w:rPr>
            </w:pPr>
            <w:r>
              <w:rPr>
                <w:rFonts w:hint="eastAsia" w:ascii="宋体" w:hAnsi="宋体" w:eastAsia="宋体" w:cs="宋体"/>
                <w:color w:val="auto"/>
                <w:szCs w:val="21"/>
              </w:rPr>
              <w:t>16.2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14:paraId="54511DC3">
            <w:pPr>
              <w:spacing w:line="440" w:lineRule="exact"/>
              <w:rPr>
                <w:rFonts w:hint="eastAsia" w:ascii="宋体" w:hAnsi="宋体" w:eastAsia="宋体" w:cs="宋体"/>
                <w:color w:val="auto"/>
                <w:szCs w:val="21"/>
              </w:rPr>
            </w:pPr>
            <w:r>
              <w:rPr>
                <w:rFonts w:hint="eastAsia" w:ascii="宋体" w:hAnsi="宋体" w:eastAsia="宋体" w:cs="宋体"/>
                <w:color w:val="auto"/>
                <w:szCs w:val="21"/>
              </w:rPr>
              <w:t>16.3 磋商响应文件不得涂改，若有修改错漏处，须法定代表人（负责人）或授权委托人签字（或个人CA签章）。磋商响应文件因字迹潦草或表达不清所引起的后果由供应商负责。</w:t>
            </w:r>
          </w:p>
          <w:p w14:paraId="3EC33F4B">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16.4磋商前准备 </w:t>
            </w:r>
          </w:p>
          <w:p w14:paraId="71CD3743">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16.4.1本项目实行在线磋商，采用电子磋商响应文件。若供应商参与磋商，自行承担磋商一切费用。 </w:t>
            </w:r>
          </w:p>
          <w:p w14:paraId="6A7786F1">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14:paraId="7C9DA14D">
            <w:pPr>
              <w:spacing w:line="440" w:lineRule="exact"/>
              <w:rPr>
                <w:rFonts w:hint="eastAsia" w:ascii="宋体" w:hAnsi="宋体" w:eastAsia="宋体" w:cs="宋体"/>
                <w:color w:val="auto"/>
                <w:szCs w:val="21"/>
              </w:rPr>
            </w:pPr>
            <w:r>
              <w:rPr>
                <w:rFonts w:hint="eastAsia" w:ascii="宋体" w:hAnsi="宋体" w:eastAsia="宋体" w:cs="宋体"/>
                <w:color w:val="auto"/>
                <w:szCs w:val="21"/>
              </w:rPr>
              <w:t>16.4.3供应商将广西政府采购云平台电子交易客户端下载、安装完成后，可通过账号密码或 CA 登录客户端进行响应文件制作。客户端请至网站下载专区查看，如有问题可拨打广西政府采购云平台客户服务热线 95763进行咨询。</w:t>
            </w:r>
          </w:p>
        </w:tc>
      </w:tr>
      <w:tr w14:paraId="290A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2" w:type="dxa"/>
            <w:vAlign w:val="center"/>
          </w:tcPr>
          <w:p w14:paraId="2EDE106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942" w:type="dxa"/>
            <w:vAlign w:val="center"/>
          </w:tcPr>
          <w:p w14:paraId="0509B4F2">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18.1</w:t>
            </w:r>
          </w:p>
        </w:tc>
        <w:tc>
          <w:tcPr>
            <w:tcW w:w="1775" w:type="dxa"/>
            <w:vAlign w:val="center"/>
          </w:tcPr>
          <w:p w14:paraId="7241F69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响应文件递交截止时间</w:t>
            </w:r>
          </w:p>
        </w:tc>
        <w:tc>
          <w:tcPr>
            <w:tcW w:w="6912" w:type="dxa"/>
            <w:vAlign w:val="center"/>
          </w:tcPr>
          <w:p w14:paraId="49B41ADE">
            <w:pPr>
              <w:spacing w:line="440" w:lineRule="exact"/>
              <w:rPr>
                <w:rFonts w:hint="eastAsia" w:ascii="宋体" w:hAnsi="宋体" w:eastAsia="宋体" w:cs="宋体"/>
                <w:color w:val="auto"/>
                <w:szCs w:val="21"/>
              </w:rPr>
            </w:pPr>
            <w:r>
              <w:rPr>
                <w:rFonts w:hint="eastAsia" w:ascii="宋体" w:hAnsi="宋体" w:eastAsia="宋体" w:cs="宋体"/>
                <w:color w:val="auto"/>
                <w:szCs w:val="21"/>
                <w:u w:val="single"/>
              </w:rPr>
              <w:t>于2025年</w:t>
            </w:r>
            <w:r>
              <w:rPr>
                <w:rFonts w:hint="eastAsia" w:ascii="宋体" w:hAnsi="宋体" w:eastAsia="宋体" w:cs="宋体"/>
                <w:color w:val="auto"/>
                <w:szCs w:val="21"/>
                <w:u w:val="single"/>
                <w:lang w:val="en-US" w:eastAsia="zh-CN"/>
              </w:rPr>
              <w:t>5</w:t>
            </w:r>
            <w:r>
              <w:rPr>
                <w:rFonts w:hint="eastAsia" w:ascii="宋体" w:hAnsi="宋体" w:eastAsia="宋体" w:cs="宋体"/>
                <w:color w:val="auto"/>
                <w:szCs w:val="21"/>
                <w:u w:val="single"/>
              </w:rPr>
              <w:t>月</w:t>
            </w:r>
            <w:r>
              <w:rPr>
                <w:rFonts w:hint="eastAsia" w:ascii="宋体" w:hAnsi="宋体" w:eastAsia="宋体" w:cs="宋体"/>
                <w:color w:val="auto"/>
                <w:szCs w:val="21"/>
                <w:u w:val="single"/>
                <w:lang w:val="en-US" w:eastAsia="zh-CN"/>
              </w:rPr>
              <w:t>9</w:t>
            </w:r>
            <w:r>
              <w:rPr>
                <w:rFonts w:hint="eastAsia" w:ascii="宋体" w:hAnsi="宋体" w:eastAsia="宋体" w:cs="宋体"/>
                <w:color w:val="auto"/>
                <w:szCs w:val="21"/>
                <w:u w:val="single"/>
              </w:rPr>
              <w:t>日</w:t>
            </w:r>
            <w:r>
              <w:rPr>
                <w:rFonts w:hint="eastAsia" w:ascii="宋体" w:hAnsi="宋体" w:eastAsia="宋体" w:cs="宋体"/>
                <w:color w:val="auto"/>
                <w:szCs w:val="21"/>
                <w:u w:val="single"/>
                <w:lang w:val="en-US" w:eastAsia="zh-CN"/>
              </w:rPr>
              <w:t>09时30</w:t>
            </w:r>
            <w:r>
              <w:rPr>
                <w:rFonts w:hint="eastAsia" w:ascii="宋体" w:hAnsi="宋体" w:eastAsia="宋体" w:cs="宋体"/>
                <w:color w:val="auto"/>
                <w:szCs w:val="21"/>
                <w:u w:val="single"/>
              </w:rPr>
              <w:t>分</w:t>
            </w:r>
            <w:r>
              <w:rPr>
                <w:rFonts w:hint="eastAsia" w:ascii="宋体" w:hAnsi="宋体" w:eastAsia="宋体" w:cs="宋体"/>
                <w:color w:val="auto"/>
                <w:szCs w:val="21"/>
              </w:rPr>
              <w:t>之前将电子磋商响应文件上传到广西政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95763。</w:t>
            </w:r>
          </w:p>
        </w:tc>
      </w:tr>
      <w:tr w14:paraId="5045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25AB3EFD">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9</w:t>
            </w:r>
          </w:p>
        </w:tc>
        <w:tc>
          <w:tcPr>
            <w:tcW w:w="942" w:type="dxa"/>
            <w:vAlign w:val="center"/>
          </w:tcPr>
          <w:p w14:paraId="2B89E121">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18.2</w:t>
            </w:r>
          </w:p>
        </w:tc>
        <w:tc>
          <w:tcPr>
            <w:tcW w:w="1775" w:type="dxa"/>
            <w:vAlign w:val="center"/>
          </w:tcPr>
          <w:p w14:paraId="65BFE22F">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szCs w:val="21"/>
              </w:rPr>
              <w:t>磋商响应文件解密时间</w:t>
            </w:r>
          </w:p>
        </w:tc>
        <w:tc>
          <w:tcPr>
            <w:tcW w:w="6912" w:type="dxa"/>
            <w:vAlign w:val="center"/>
          </w:tcPr>
          <w:p w14:paraId="5ED9235F">
            <w:pPr>
              <w:pStyle w:val="6"/>
              <w:widowControl w:val="0"/>
              <w:spacing w:line="440" w:lineRule="exact"/>
              <w:rPr>
                <w:rFonts w:hint="eastAsia" w:ascii="宋体" w:hAnsi="宋体" w:eastAsia="宋体" w:cs="宋体"/>
                <w:color w:val="auto"/>
                <w:szCs w:val="21"/>
              </w:rPr>
            </w:pPr>
            <w:r>
              <w:rPr>
                <w:rFonts w:hint="eastAsia" w:ascii="宋体" w:hAnsi="宋体" w:eastAsia="宋体" w:cs="宋体"/>
                <w:color w:val="auto"/>
                <w:szCs w:val="21"/>
              </w:rPr>
              <w:t>磋商响应文件解密时间</w:t>
            </w:r>
            <w:r>
              <w:rPr>
                <w:rFonts w:hint="eastAsia" w:ascii="宋体" w:hAnsi="宋体" w:eastAsia="宋体" w:cs="宋体"/>
                <w:color w:val="auto"/>
              </w:rPr>
              <w:t>：截标时间后</w:t>
            </w:r>
            <w:r>
              <w:rPr>
                <w:rFonts w:hint="eastAsia" w:ascii="宋体" w:hAnsi="宋体" w:eastAsia="宋体" w:cs="宋体"/>
                <w:color w:val="auto"/>
                <w:u w:val="single"/>
              </w:rPr>
              <w:t>30</w:t>
            </w:r>
            <w:r>
              <w:rPr>
                <w:rFonts w:hint="eastAsia" w:ascii="宋体" w:hAnsi="宋体" w:eastAsia="宋体" w:cs="宋体"/>
                <w:color w:val="auto"/>
              </w:rPr>
              <w:t>分钟内磋商供应商可以登录广西政府采购云平台，用“项目采购-开标评标”功能进行解密磋商响应文件。若磋商供应商在规定时间内无法解密或解密失败，可以以电子备份磋商响应文件作为依据</w:t>
            </w:r>
            <w:r>
              <w:rPr>
                <w:rFonts w:hint="eastAsia" w:ascii="宋体" w:hAnsi="宋体" w:eastAsia="宋体" w:cs="宋体"/>
                <w:b/>
                <w:bCs/>
                <w:color w:val="auto"/>
              </w:rPr>
              <w:t>【在接到无法解密或解密失败的通知后，磋商供应商可根据自身实际情况按通知时要求的时间到桂林市公共资源交易中心</w:t>
            </w:r>
            <w:r>
              <w:rPr>
                <w:rFonts w:hint="eastAsia" w:ascii="宋体" w:hAnsi="宋体" w:eastAsia="宋体" w:cs="宋体"/>
                <w:b/>
                <w:bCs/>
                <w:color w:val="auto"/>
                <w:lang w:val="en-US" w:eastAsia="zh-CN"/>
              </w:rPr>
              <w:t>5</w:t>
            </w:r>
            <w:r>
              <w:rPr>
                <w:rFonts w:hint="eastAsia" w:ascii="宋体" w:hAnsi="宋体" w:eastAsia="宋体" w:cs="宋体"/>
                <w:b/>
                <w:bCs/>
                <w:color w:val="auto"/>
              </w:rPr>
              <w:t>号政采开标仓（广西桂林市临桂区西城中路69号创业大厦西辅楼4楼北区）现场提交或以电子邮件的形式（以通知时所告知的电子邮箱地址为准）提交电子备份磋商响应文件】</w:t>
            </w:r>
            <w:r>
              <w:rPr>
                <w:rFonts w:hint="eastAsia" w:ascii="宋体" w:hAnsi="宋体" w:eastAsia="宋体" w:cs="宋体"/>
                <w:color w:val="auto"/>
              </w:rPr>
              <w:t>，若磋商供应商在规定时间内无法解密或解密失败且未提供电子备份磋商响应文件的(包含提供的电子备份文件无效或无法解密的情况)，视为无效响应。</w:t>
            </w:r>
          </w:p>
        </w:tc>
      </w:tr>
      <w:tr w14:paraId="69F1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22809E5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942" w:type="dxa"/>
            <w:vAlign w:val="center"/>
          </w:tcPr>
          <w:p w14:paraId="45C831AD">
            <w:pPr>
              <w:spacing w:line="440" w:lineRule="exact"/>
              <w:ind w:firstLine="105" w:firstLineChars="50"/>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19.1</w:t>
            </w:r>
          </w:p>
        </w:tc>
        <w:tc>
          <w:tcPr>
            <w:tcW w:w="1775" w:type="dxa"/>
            <w:vAlign w:val="center"/>
          </w:tcPr>
          <w:p w14:paraId="5F9E3D9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磋商小组组成</w:t>
            </w:r>
          </w:p>
        </w:tc>
        <w:tc>
          <w:tcPr>
            <w:tcW w:w="6912" w:type="dxa"/>
            <w:vAlign w:val="center"/>
          </w:tcPr>
          <w:p w14:paraId="30F4FE00">
            <w:pPr>
              <w:spacing w:line="440" w:lineRule="exact"/>
              <w:rPr>
                <w:rFonts w:hint="eastAsia" w:ascii="宋体" w:hAnsi="宋体" w:eastAsia="宋体" w:cs="宋体"/>
                <w:bCs/>
                <w:color w:val="auto"/>
                <w:szCs w:val="21"/>
              </w:rPr>
            </w:pPr>
            <w:r>
              <w:rPr>
                <w:rFonts w:hint="eastAsia" w:ascii="宋体" w:hAnsi="宋体" w:eastAsia="宋体" w:cs="宋体"/>
                <w:bCs/>
                <w:color w:val="auto"/>
                <w:szCs w:val="21"/>
              </w:rPr>
              <w:t>磋商及评审组织工作由采购代理机构负责，具体磋商、评审工作由依法组建的磋商小组负责，磋商小组由采购人代表和有关方面的专家组成。磋商小组的构成：磋商小组的构成：成员人数共3人，其中采购人代表1人，技术、经济等专家2人。</w:t>
            </w:r>
          </w:p>
        </w:tc>
      </w:tr>
      <w:tr w14:paraId="456C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66D4781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942" w:type="dxa"/>
            <w:vAlign w:val="center"/>
          </w:tcPr>
          <w:p w14:paraId="4DD259D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19.2</w:t>
            </w:r>
          </w:p>
        </w:tc>
        <w:tc>
          <w:tcPr>
            <w:tcW w:w="1775" w:type="dxa"/>
            <w:vAlign w:val="center"/>
          </w:tcPr>
          <w:p w14:paraId="1BD7005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磋商时间、地点、人员</w:t>
            </w:r>
          </w:p>
        </w:tc>
        <w:tc>
          <w:tcPr>
            <w:tcW w:w="6912" w:type="dxa"/>
          </w:tcPr>
          <w:p w14:paraId="1A8D23E4">
            <w:pPr>
              <w:spacing w:line="440" w:lineRule="exact"/>
              <w:ind w:left="315" w:hanging="315" w:hangingChars="150"/>
              <w:jc w:val="left"/>
              <w:rPr>
                <w:rFonts w:hint="eastAsia" w:ascii="宋体" w:hAnsi="宋体" w:eastAsia="宋体" w:cs="宋体"/>
                <w:color w:val="auto"/>
                <w:szCs w:val="21"/>
              </w:rPr>
            </w:pPr>
            <w:r>
              <w:rPr>
                <w:rFonts w:hint="eastAsia" w:ascii="宋体" w:hAnsi="宋体" w:eastAsia="宋体" w:cs="宋体"/>
                <w:color w:val="auto"/>
                <w:szCs w:val="21"/>
              </w:rPr>
              <w:t>19.2.1磋商时间：响应文件递交截止时间后。</w:t>
            </w:r>
          </w:p>
          <w:p w14:paraId="7D7A0B37">
            <w:pPr>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19.2.2磋商地点：本项目需要磋商供应商代表在截标当天截标后，按磋商小组要求及时登陆广西政府采购云平台等候在线磋商。</w:t>
            </w:r>
          </w:p>
          <w:p w14:paraId="794D1B18">
            <w:pPr>
              <w:spacing w:line="440" w:lineRule="exact"/>
              <w:ind w:left="15" w:hanging="14" w:hangingChars="7"/>
              <w:jc w:val="left"/>
              <w:rPr>
                <w:rFonts w:hint="eastAsia" w:ascii="宋体" w:hAnsi="宋体" w:eastAsia="宋体" w:cs="宋体"/>
                <w:color w:val="auto"/>
                <w:szCs w:val="21"/>
              </w:rPr>
            </w:pPr>
            <w:r>
              <w:rPr>
                <w:rFonts w:hint="eastAsia" w:ascii="宋体" w:hAnsi="宋体" w:eastAsia="宋体" w:cs="宋体"/>
                <w:color w:val="auto"/>
                <w:szCs w:val="21"/>
              </w:rPr>
              <w:t>19.2.3磋商参加人员：供应商法定代表人、负责人、自然人或相应的委托代理人持有效身份证和供应商广西政府采购云平台CA数字证书参加磋商。请供应商按时等候磋商。</w:t>
            </w:r>
          </w:p>
          <w:p w14:paraId="23DED413">
            <w:pPr>
              <w:tabs>
                <w:tab w:val="left" w:pos="1140"/>
              </w:tabs>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19.2.4响应文件递交截止时间后，由磋商小组在评标室内线上开启响应文件。</w:t>
            </w:r>
          </w:p>
        </w:tc>
      </w:tr>
      <w:tr w14:paraId="18B7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1763982D">
            <w:pPr>
              <w:spacing w:line="44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12</w:t>
            </w:r>
          </w:p>
        </w:tc>
        <w:tc>
          <w:tcPr>
            <w:tcW w:w="942" w:type="dxa"/>
            <w:vAlign w:val="center"/>
          </w:tcPr>
          <w:p w14:paraId="3942843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20.2</w:t>
            </w:r>
          </w:p>
        </w:tc>
        <w:tc>
          <w:tcPr>
            <w:tcW w:w="1775" w:type="dxa"/>
            <w:vAlign w:val="center"/>
          </w:tcPr>
          <w:p w14:paraId="3D398424">
            <w:pPr>
              <w:pStyle w:val="10"/>
              <w:spacing w:line="4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评审办法</w:t>
            </w:r>
          </w:p>
        </w:tc>
        <w:tc>
          <w:tcPr>
            <w:tcW w:w="6912" w:type="dxa"/>
            <w:vAlign w:val="center"/>
          </w:tcPr>
          <w:p w14:paraId="4830F10B">
            <w:pPr>
              <w:tabs>
                <w:tab w:val="left" w:pos="1140"/>
              </w:tabs>
              <w:spacing w:line="440" w:lineRule="exact"/>
              <w:rPr>
                <w:rFonts w:hint="eastAsia" w:ascii="宋体" w:hAnsi="宋体" w:eastAsia="宋体" w:cs="宋体"/>
                <w:color w:val="auto"/>
                <w:szCs w:val="21"/>
              </w:rPr>
            </w:pPr>
            <w:r>
              <w:rPr>
                <w:rFonts w:hint="eastAsia" w:ascii="宋体" w:hAnsi="宋体" w:eastAsia="宋体" w:cs="宋体"/>
                <w:color w:val="auto"/>
                <w:szCs w:val="21"/>
              </w:rPr>
              <w:t>具体详见第四章评审办法。</w:t>
            </w:r>
          </w:p>
        </w:tc>
      </w:tr>
      <w:tr w14:paraId="5449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305BF72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942" w:type="dxa"/>
            <w:vAlign w:val="center"/>
          </w:tcPr>
          <w:p w14:paraId="44EE43B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1775" w:type="dxa"/>
            <w:vAlign w:val="center"/>
          </w:tcPr>
          <w:p w14:paraId="1847816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信用查询</w:t>
            </w:r>
          </w:p>
        </w:tc>
        <w:tc>
          <w:tcPr>
            <w:tcW w:w="6912" w:type="dxa"/>
            <w:vAlign w:val="center"/>
          </w:tcPr>
          <w:p w14:paraId="25F686A3">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根据《关于做好政府采购有关信用主体标识码登记及在政府采购活动中查询使用信用记录有关问题的通知》（桂财采〔2016〕37），由采购代理机构对第一成交候选人进行信用查询：</w:t>
            </w:r>
          </w:p>
          <w:p w14:paraId="1632764E">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⑴查询渠道：“信用中国”网站(www.creditchina.gov.cn)、中国政府采购网(www.ccgp.gov.cn)等；</w:t>
            </w:r>
          </w:p>
          <w:p w14:paraId="5FA72131">
            <w:pPr>
              <w:spacing w:line="440" w:lineRule="exact"/>
              <w:ind w:left="315" w:hanging="315" w:hangingChars="150"/>
              <w:rPr>
                <w:rFonts w:hint="eastAsia" w:ascii="宋体" w:hAnsi="宋体" w:eastAsia="宋体" w:cs="宋体"/>
                <w:color w:val="auto"/>
                <w:szCs w:val="21"/>
              </w:rPr>
            </w:pPr>
            <w:r>
              <w:rPr>
                <w:rFonts w:hint="eastAsia" w:ascii="宋体" w:hAnsi="宋体" w:eastAsia="宋体" w:cs="宋体"/>
                <w:color w:val="auto"/>
                <w:szCs w:val="21"/>
              </w:rPr>
              <w:t>⑵查询时间：成交通知书发出前；</w:t>
            </w:r>
          </w:p>
          <w:p w14:paraId="4340E4B4">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⑶信用信息查询记录和证据留存方式：在查询网站中直接打印查询记录，打印材料作为采购活动资料保存；</w:t>
            </w:r>
          </w:p>
          <w:p w14:paraId="7BC5D1DC">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13F4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6C96432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942" w:type="dxa"/>
            <w:vAlign w:val="center"/>
          </w:tcPr>
          <w:p w14:paraId="44A1318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1775" w:type="dxa"/>
            <w:vAlign w:val="center"/>
          </w:tcPr>
          <w:p w14:paraId="146F47B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成交结果公告</w:t>
            </w:r>
          </w:p>
          <w:p w14:paraId="2464587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及成交通知书</w:t>
            </w:r>
          </w:p>
        </w:tc>
        <w:tc>
          <w:tcPr>
            <w:tcW w:w="6912" w:type="dxa"/>
          </w:tcPr>
          <w:p w14:paraId="612949D8">
            <w:pPr>
              <w:spacing w:line="440" w:lineRule="exact"/>
              <w:rPr>
                <w:rFonts w:hint="eastAsia" w:ascii="宋体" w:hAnsi="宋体" w:eastAsia="宋体" w:cs="宋体"/>
                <w:color w:val="auto"/>
                <w:szCs w:val="21"/>
              </w:rPr>
            </w:pPr>
            <w:r>
              <w:rPr>
                <w:rFonts w:hint="eastAsia" w:ascii="宋体" w:hAnsi="宋体" w:eastAsia="宋体" w:cs="宋体"/>
                <w:color w:val="auto"/>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CDD4107">
            <w:pPr>
              <w:spacing w:line="440" w:lineRule="exact"/>
              <w:rPr>
                <w:rFonts w:hint="eastAsia" w:ascii="宋体" w:hAnsi="宋体" w:eastAsia="宋体" w:cs="宋体"/>
                <w:color w:val="auto"/>
                <w:szCs w:val="21"/>
              </w:rPr>
            </w:pPr>
            <w:r>
              <w:rPr>
                <w:rFonts w:hint="eastAsia" w:ascii="宋体" w:hAnsi="宋体" w:eastAsia="宋体" w:cs="宋体"/>
                <w:color w:val="auto"/>
                <w:szCs w:val="21"/>
              </w:rPr>
              <w:t>27.2在发布成交公告的同时，采购代理机构向成交供应商发出成交通知书。成交供应商自接到通知之日起七个工作日内，办理成交通知书领取手续。</w:t>
            </w:r>
          </w:p>
        </w:tc>
      </w:tr>
      <w:tr w14:paraId="02AF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2" w:type="dxa"/>
            <w:vAlign w:val="center"/>
          </w:tcPr>
          <w:p w14:paraId="4D6DBBC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942" w:type="dxa"/>
            <w:vAlign w:val="center"/>
          </w:tcPr>
          <w:p w14:paraId="61873662">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28</w:t>
            </w:r>
          </w:p>
        </w:tc>
        <w:tc>
          <w:tcPr>
            <w:tcW w:w="1775" w:type="dxa"/>
            <w:vAlign w:val="center"/>
          </w:tcPr>
          <w:p w14:paraId="02238E9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履约保证金</w:t>
            </w:r>
          </w:p>
        </w:tc>
        <w:tc>
          <w:tcPr>
            <w:tcW w:w="6912" w:type="dxa"/>
            <w:vAlign w:val="center"/>
          </w:tcPr>
          <w:p w14:paraId="3C7A2C36">
            <w:pPr>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无。</w:t>
            </w:r>
          </w:p>
        </w:tc>
      </w:tr>
      <w:tr w14:paraId="6AF5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7C4EAE4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942" w:type="dxa"/>
            <w:vAlign w:val="center"/>
          </w:tcPr>
          <w:p w14:paraId="6CDA902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29.1</w:t>
            </w:r>
          </w:p>
        </w:tc>
        <w:tc>
          <w:tcPr>
            <w:tcW w:w="1775" w:type="dxa"/>
            <w:vAlign w:val="center"/>
          </w:tcPr>
          <w:p w14:paraId="3B5E020F">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签订合同时间</w:t>
            </w:r>
          </w:p>
        </w:tc>
        <w:tc>
          <w:tcPr>
            <w:tcW w:w="6912" w:type="dxa"/>
          </w:tcPr>
          <w:p w14:paraId="239B6DBF">
            <w:pPr>
              <w:spacing w:line="440" w:lineRule="exact"/>
              <w:rPr>
                <w:rFonts w:hint="eastAsia" w:ascii="宋体" w:hAnsi="宋体" w:eastAsia="宋体" w:cs="宋体"/>
                <w:color w:val="auto"/>
                <w:szCs w:val="21"/>
              </w:rPr>
            </w:pPr>
            <w:r>
              <w:rPr>
                <w:rFonts w:hint="eastAsia" w:ascii="宋体" w:hAnsi="宋体" w:eastAsia="宋体" w:cs="宋体"/>
                <w:bCs/>
                <w:color w:val="auto"/>
                <w:kern w:val="0"/>
                <w:szCs w:val="21"/>
              </w:rPr>
              <w:t>成交通知书发出之日起8个工作日内签订合同</w:t>
            </w:r>
            <w:r>
              <w:rPr>
                <w:rFonts w:hint="eastAsia" w:ascii="宋体" w:hAnsi="宋体" w:eastAsia="宋体" w:cs="宋体"/>
                <w:color w:val="auto"/>
              </w:rPr>
              <w:t>。</w:t>
            </w:r>
            <w:r>
              <w:rPr>
                <w:rFonts w:hint="eastAsia" w:ascii="宋体" w:hAnsi="宋体" w:eastAsia="宋体" w:cs="宋体"/>
                <w:color w:val="auto"/>
                <w:szCs w:val="21"/>
              </w:rPr>
              <w:t>成交供应商领取成交通知书后，应按规定与采购人签订合同。</w:t>
            </w:r>
          </w:p>
        </w:tc>
      </w:tr>
      <w:tr w14:paraId="13A4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24F3A09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942" w:type="dxa"/>
            <w:vAlign w:val="center"/>
          </w:tcPr>
          <w:p w14:paraId="22D3B2E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29.3</w:t>
            </w:r>
          </w:p>
        </w:tc>
        <w:tc>
          <w:tcPr>
            <w:tcW w:w="1775" w:type="dxa"/>
            <w:vAlign w:val="center"/>
          </w:tcPr>
          <w:p w14:paraId="6AA469F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合同备案存档</w:t>
            </w:r>
          </w:p>
        </w:tc>
        <w:tc>
          <w:tcPr>
            <w:tcW w:w="6912" w:type="dxa"/>
            <w:vAlign w:val="center"/>
          </w:tcPr>
          <w:p w14:paraId="7AB4173B">
            <w:pPr>
              <w:spacing w:line="440" w:lineRule="exact"/>
              <w:rPr>
                <w:rFonts w:hint="eastAsia" w:ascii="宋体" w:hAnsi="宋体" w:eastAsia="宋体" w:cs="宋体"/>
                <w:color w:val="auto"/>
                <w:szCs w:val="21"/>
              </w:rPr>
            </w:pPr>
            <w:r>
              <w:rPr>
                <w:rFonts w:hint="eastAsia" w:ascii="宋体" w:hAnsi="宋体" w:eastAsia="宋体" w:cs="宋体"/>
                <w:color w:val="auto"/>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政府采购监督管理部门备案，一份由采购代理机构存档。</w:t>
            </w:r>
          </w:p>
        </w:tc>
      </w:tr>
      <w:tr w14:paraId="3F62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5AF8D162">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942" w:type="dxa"/>
            <w:vAlign w:val="center"/>
          </w:tcPr>
          <w:p w14:paraId="05A6450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30</w:t>
            </w:r>
          </w:p>
        </w:tc>
        <w:tc>
          <w:tcPr>
            <w:tcW w:w="1775" w:type="dxa"/>
            <w:vAlign w:val="center"/>
          </w:tcPr>
          <w:p w14:paraId="720BADC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采购代理服务费</w:t>
            </w:r>
          </w:p>
        </w:tc>
        <w:tc>
          <w:tcPr>
            <w:tcW w:w="6912" w:type="dxa"/>
          </w:tcPr>
          <w:p w14:paraId="42B1CD79">
            <w:pPr>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rPr>
              <w:t>成交人领取成交通知书前，向采购代理机构一次性付清采购代理服务费，本项目采购代理服务收费标准参照计价格[2002]1980号《招标代理服务收费管理暂行办法》服务类收费标准向成交人收取</w:t>
            </w:r>
            <w:r>
              <w:rPr>
                <w:rFonts w:hint="eastAsia" w:ascii="宋体" w:hAnsi="宋体" w:eastAsia="宋体" w:cs="宋体"/>
                <w:color w:val="auto"/>
                <w:szCs w:val="21"/>
                <w:lang w:eastAsia="zh-CN"/>
              </w:rPr>
              <w:t>。</w:t>
            </w:r>
          </w:p>
        </w:tc>
      </w:tr>
      <w:tr w14:paraId="387F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1FBA037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942" w:type="dxa"/>
            <w:vAlign w:val="center"/>
          </w:tcPr>
          <w:p w14:paraId="62AB39E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31</w:t>
            </w:r>
          </w:p>
        </w:tc>
        <w:tc>
          <w:tcPr>
            <w:tcW w:w="1775" w:type="dxa"/>
            <w:vAlign w:val="center"/>
          </w:tcPr>
          <w:p w14:paraId="463FAEF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解释权</w:t>
            </w:r>
          </w:p>
        </w:tc>
        <w:tc>
          <w:tcPr>
            <w:tcW w:w="6912" w:type="dxa"/>
          </w:tcPr>
          <w:p w14:paraId="45DA1EFC">
            <w:pPr>
              <w:spacing w:line="440" w:lineRule="exact"/>
              <w:rPr>
                <w:rFonts w:hint="eastAsia" w:ascii="宋体" w:hAnsi="宋体" w:eastAsia="宋体" w:cs="宋体"/>
                <w:color w:val="auto"/>
                <w:szCs w:val="21"/>
              </w:rPr>
            </w:pPr>
            <w:r>
              <w:rPr>
                <w:rFonts w:hint="eastAsia" w:ascii="宋体" w:hAnsi="宋体" w:eastAsia="宋体" w:cs="宋体"/>
                <w:color w:val="auto"/>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3F3F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5D42DAB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20</w:t>
            </w:r>
          </w:p>
        </w:tc>
        <w:tc>
          <w:tcPr>
            <w:tcW w:w="942" w:type="dxa"/>
            <w:vAlign w:val="center"/>
          </w:tcPr>
          <w:p w14:paraId="0FBAF9B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32</w:t>
            </w:r>
          </w:p>
        </w:tc>
        <w:tc>
          <w:tcPr>
            <w:tcW w:w="1775" w:type="dxa"/>
            <w:vAlign w:val="center"/>
          </w:tcPr>
          <w:p w14:paraId="747BF6C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监督管理机构</w:t>
            </w:r>
          </w:p>
        </w:tc>
        <w:tc>
          <w:tcPr>
            <w:tcW w:w="6912" w:type="dxa"/>
            <w:vAlign w:val="center"/>
          </w:tcPr>
          <w:p w14:paraId="66330C42">
            <w:pPr>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灵川县政府采购管理办公室    电话：0773-6812818</w:t>
            </w:r>
          </w:p>
        </w:tc>
      </w:tr>
      <w:tr w14:paraId="0AE3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3B5818B8">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942" w:type="dxa"/>
            <w:vAlign w:val="center"/>
          </w:tcPr>
          <w:p w14:paraId="66CC8C19">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33</w:t>
            </w:r>
          </w:p>
        </w:tc>
        <w:tc>
          <w:tcPr>
            <w:tcW w:w="1775" w:type="dxa"/>
            <w:vAlign w:val="center"/>
          </w:tcPr>
          <w:p w14:paraId="556E6166">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其他</w:t>
            </w:r>
          </w:p>
        </w:tc>
        <w:tc>
          <w:tcPr>
            <w:tcW w:w="6912" w:type="dxa"/>
            <w:vAlign w:val="center"/>
          </w:tcPr>
          <w:p w14:paraId="710B8D66">
            <w:pPr>
              <w:spacing w:line="360" w:lineRule="exact"/>
              <w:ind w:firstLine="422" w:firstLineChars="200"/>
              <w:jc w:val="center"/>
              <w:rPr>
                <w:rFonts w:hint="eastAsia" w:ascii="宋体" w:hAnsi="宋体" w:eastAsia="宋体" w:cs="宋体"/>
                <w:b/>
                <w:bCs/>
                <w:color w:val="auto"/>
              </w:rPr>
            </w:pPr>
            <w:r>
              <w:rPr>
                <w:rFonts w:hint="eastAsia" w:ascii="宋体" w:hAnsi="宋体" w:eastAsia="宋体" w:cs="宋体"/>
                <w:b/>
                <w:bCs/>
                <w:color w:val="auto"/>
              </w:rPr>
              <w:t>广西线上“政采贷”政策告知函</w:t>
            </w:r>
          </w:p>
          <w:p w14:paraId="7AC5E3DF">
            <w:pPr>
              <w:rPr>
                <w:rFonts w:hint="eastAsia" w:ascii="宋体" w:hAnsi="宋体" w:eastAsia="宋体" w:cs="宋体"/>
                <w:b/>
                <w:bCs/>
                <w:color w:val="auto"/>
              </w:rPr>
            </w:pPr>
            <w:r>
              <w:rPr>
                <w:rFonts w:hint="eastAsia" w:ascii="宋体" w:hAnsi="宋体" w:eastAsia="宋体" w:cs="宋体"/>
                <w:b/>
                <w:bCs/>
                <w:color w:val="auto"/>
              </w:rPr>
              <w:t>各供应商∶</w:t>
            </w:r>
          </w:p>
          <w:p w14:paraId="4AA56A5D">
            <w:pPr>
              <w:ind w:firstLine="422" w:firstLineChars="200"/>
              <w:rPr>
                <w:rFonts w:hint="eastAsia" w:ascii="宋体" w:hAnsi="宋体" w:eastAsia="宋体" w:cs="宋体"/>
                <w:b/>
                <w:bCs/>
                <w:color w:val="auto"/>
              </w:rPr>
            </w:pPr>
            <w:r>
              <w:rPr>
                <w:rFonts w:hint="eastAsia" w:ascii="宋体" w:hAnsi="宋体" w:eastAsia="宋体" w:cs="宋体"/>
                <w:b/>
                <w:bCs/>
                <w:color w:val="auto"/>
              </w:rPr>
              <w:t>欢迎贵公司参与广西政府采购活动!</w:t>
            </w:r>
          </w:p>
          <w:p w14:paraId="1702E752">
            <w:pPr>
              <w:ind w:firstLine="422" w:firstLineChars="200"/>
              <w:rPr>
                <w:rFonts w:hint="eastAsia" w:ascii="宋体" w:hAnsi="宋体" w:eastAsia="宋体" w:cs="宋体"/>
                <w:b/>
                <w:bCs/>
                <w:color w:val="auto"/>
              </w:rPr>
            </w:pPr>
            <w:r>
              <w:rPr>
                <w:rFonts w:hint="eastAsia" w:ascii="宋体" w:hAnsi="宋体" w:eastAsia="宋体" w:cs="宋体"/>
                <w:b/>
                <w:bCs/>
                <w:color w:val="auto"/>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上“政采贷”融资模式 的通知》（南宁银发〔2021〕258号 ）， 按照双方自愿的原则提供 便捷、优惠的贷款服务。</w:t>
            </w:r>
          </w:p>
          <w:p w14:paraId="199E22C7">
            <w:pPr>
              <w:spacing w:line="240" w:lineRule="exact"/>
              <w:rPr>
                <w:rFonts w:hint="eastAsia" w:ascii="宋体" w:hAnsi="宋体" w:eastAsia="宋体" w:cs="宋体"/>
                <w:color w:val="auto"/>
              </w:rPr>
            </w:pPr>
            <w:r>
              <w:rPr>
                <w:rFonts w:hint="eastAsia" w:ascii="宋体" w:hAnsi="宋体" w:eastAsia="宋体" w:cs="宋体"/>
                <w:b/>
                <w:bCs/>
                <w:color w:val="auto"/>
              </w:rPr>
              <w:t>相关金融产品和银行业金融机构联系方式，可在中征应收账 款融资服务平台查询（网址 ∶https/www.crcrfsp.com/，客服电话∶400-009-0001)。</w:t>
            </w:r>
          </w:p>
        </w:tc>
      </w:tr>
    </w:tbl>
    <w:p w14:paraId="6565DDBA">
      <w:pPr>
        <w:pStyle w:val="3"/>
        <w:pageBreakBefore/>
        <w:tabs>
          <w:tab w:val="left" w:pos="567"/>
        </w:tabs>
        <w:spacing w:line="440" w:lineRule="exact"/>
        <w:jc w:val="center"/>
        <w:rPr>
          <w:rFonts w:hint="eastAsia" w:ascii="宋体" w:hAnsi="宋体" w:eastAsia="宋体" w:cs="宋体"/>
          <w:bCs w:val="0"/>
          <w:color w:val="auto"/>
          <w:szCs w:val="28"/>
        </w:rPr>
      </w:pPr>
      <w:bookmarkStart w:id="36" w:name="_Toc27216"/>
      <w:bookmarkStart w:id="37" w:name="_Toc22792"/>
      <w:bookmarkStart w:id="38" w:name="_Toc8755"/>
      <w:bookmarkStart w:id="39" w:name="_Toc27120"/>
      <w:r>
        <w:rPr>
          <w:rFonts w:hint="eastAsia" w:ascii="宋体" w:hAnsi="宋体" w:eastAsia="宋体" w:cs="宋体"/>
          <w:bCs w:val="0"/>
          <w:color w:val="auto"/>
          <w:szCs w:val="28"/>
        </w:rPr>
        <w:t>一、总则</w:t>
      </w:r>
      <w:bookmarkEnd w:id="36"/>
      <w:bookmarkEnd w:id="37"/>
      <w:bookmarkEnd w:id="38"/>
      <w:bookmarkEnd w:id="39"/>
    </w:p>
    <w:p w14:paraId="785CF715">
      <w:pPr>
        <w:pStyle w:val="4"/>
        <w:widowControl w:val="0"/>
        <w:spacing w:before="0" w:after="0" w:line="440" w:lineRule="exact"/>
        <w:ind w:firstLine="422" w:firstLineChars="200"/>
        <w:rPr>
          <w:rFonts w:hint="eastAsia" w:ascii="宋体" w:hAnsi="宋体" w:eastAsia="宋体" w:cs="宋体"/>
          <w:color w:val="auto"/>
          <w:sz w:val="21"/>
          <w:szCs w:val="21"/>
        </w:rPr>
      </w:pPr>
      <w:bookmarkStart w:id="40" w:name="_Toc3367"/>
      <w:bookmarkStart w:id="41" w:name="_Toc6626"/>
      <w:r>
        <w:rPr>
          <w:rFonts w:hint="eastAsia" w:ascii="宋体" w:hAnsi="宋体" w:eastAsia="宋体" w:cs="宋体"/>
          <w:color w:val="auto"/>
          <w:sz w:val="21"/>
          <w:szCs w:val="21"/>
        </w:rPr>
        <w:t>1. 适应范围</w:t>
      </w:r>
      <w:bookmarkEnd w:id="40"/>
      <w:bookmarkEnd w:id="41"/>
    </w:p>
    <w:p w14:paraId="4AB0F86D">
      <w:pPr>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1.1  项目名称及项目编号：</w:t>
      </w:r>
    </w:p>
    <w:p w14:paraId="3CA145BB">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项目名称：灵川县矿产资源税费征收综合信息管理平台项目（二期）  </w:t>
      </w:r>
    </w:p>
    <w:p w14:paraId="21B1509E">
      <w:pPr>
        <w:spacing w:line="44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项目编号：</w:t>
      </w:r>
      <w:r>
        <w:rPr>
          <w:rFonts w:hint="eastAsia" w:ascii="宋体" w:hAnsi="宋体" w:eastAsia="宋体" w:cs="宋体"/>
          <w:color w:val="auto"/>
          <w:szCs w:val="21"/>
          <w:lang w:eastAsia="zh-CN"/>
        </w:rPr>
        <w:t>GLZC2025-C3-230027-GXJY</w:t>
      </w:r>
    </w:p>
    <w:p w14:paraId="1B8867CF">
      <w:pPr>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1.2本竞争性磋商文件（以下简称磋商文件）适用于本磋商项目的磋商、评审、合同履约、验收、付款等行为（法律、法规另有规定的，从其规定）。</w:t>
      </w:r>
    </w:p>
    <w:p w14:paraId="5D71BC68">
      <w:pPr>
        <w:pStyle w:val="4"/>
        <w:widowControl w:val="0"/>
        <w:spacing w:before="0" w:after="0" w:line="440" w:lineRule="exact"/>
        <w:ind w:firstLine="422" w:firstLineChars="200"/>
        <w:rPr>
          <w:rFonts w:hint="eastAsia" w:ascii="宋体" w:hAnsi="宋体" w:eastAsia="宋体" w:cs="宋体"/>
          <w:color w:val="auto"/>
          <w:sz w:val="21"/>
          <w:szCs w:val="21"/>
        </w:rPr>
      </w:pPr>
      <w:bookmarkStart w:id="42" w:name="_Toc28336"/>
      <w:bookmarkStart w:id="43" w:name="_Toc2845"/>
      <w:r>
        <w:rPr>
          <w:rFonts w:hint="eastAsia" w:ascii="宋体" w:hAnsi="宋体" w:eastAsia="宋体" w:cs="宋体"/>
          <w:color w:val="auto"/>
          <w:sz w:val="21"/>
          <w:szCs w:val="21"/>
        </w:rPr>
        <w:t>2. 定义</w:t>
      </w:r>
      <w:bookmarkEnd w:id="42"/>
      <w:bookmarkEnd w:id="43"/>
    </w:p>
    <w:p w14:paraId="2219ED5E">
      <w:pPr>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2.1“供应商”是指符合本次采购项目的供应商资格并提交响应文件、参加磋商的供应商。如果该供应商在本次磋商中成交，即成为“成交供应商”。</w:t>
      </w:r>
    </w:p>
    <w:p w14:paraId="4ECB0701">
      <w:pPr>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2.2“货物”系指按磋商文件规定，供应商须向采购人提供的一切设备、保险、税金、备品备件、工具、手册及其它有关技术资料和材料。</w:t>
      </w:r>
    </w:p>
    <w:p w14:paraId="65A29996">
      <w:pPr>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2.3“服务”系指按磋商文件规定，供应商须承担的施工、安装、调试、技术协助、校准、培训、技术指导以及其他类似的义务。</w:t>
      </w:r>
    </w:p>
    <w:p w14:paraId="30F70C08">
      <w:pPr>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2.4“工程”系指供应商按磋商文件规定向采购人提供的施工建设。</w:t>
      </w:r>
    </w:p>
    <w:p w14:paraId="6934CF7B">
      <w:pPr>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2.5“项目”系指供应商按磋商文件规定向采购人提供的货物和服务和工程。</w:t>
      </w:r>
    </w:p>
    <w:p w14:paraId="4D31F2D8">
      <w:pPr>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2.6“书面形式”包括信函、传真、电报等。</w:t>
      </w:r>
    </w:p>
    <w:p w14:paraId="09AE706D">
      <w:pPr>
        <w:pStyle w:val="4"/>
        <w:widowControl w:val="0"/>
        <w:spacing w:before="0" w:after="0" w:line="440" w:lineRule="exact"/>
        <w:ind w:firstLine="422" w:firstLineChars="200"/>
        <w:rPr>
          <w:rFonts w:hint="eastAsia" w:ascii="宋体" w:hAnsi="宋体" w:eastAsia="宋体" w:cs="宋体"/>
          <w:color w:val="auto"/>
          <w:sz w:val="21"/>
          <w:szCs w:val="21"/>
        </w:rPr>
      </w:pPr>
      <w:bookmarkStart w:id="44" w:name="_Toc13017"/>
      <w:bookmarkStart w:id="45" w:name="_Toc25441"/>
      <w:r>
        <w:rPr>
          <w:rFonts w:hint="eastAsia" w:ascii="宋体" w:hAnsi="宋体" w:eastAsia="宋体" w:cs="宋体"/>
          <w:color w:val="auto"/>
          <w:sz w:val="21"/>
          <w:szCs w:val="21"/>
        </w:rPr>
        <w:t>3. 供应商资格</w:t>
      </w:r>
      <w:bookmarkEnd w:id="44"/>
      <w:bookmarkEnd w:id="45"/>
    </w:p>
    <w:p w14:paraId="54017390">
      <w:pPr>
        <w:pStyle w:val="4"/>
        <w:widowControl w:val="0"/>
        <w:spacing w:before="0" w:after="0" w:line="440" w:lineRule="exact"/>
        <w:ind w:firstLine="420" w:firstLineChars="200"/>
        <w:rPr>
          <w:rFonts w:hint="eastAsia" w:ascii="宋体" w:hAnsi="宋体" w:eastAsia="宋体" w:cs="宋体"/>
          <w:b w:val="0"/>
          <w:bCs w:val="0"/>
          <w:color w:val="auto"/>
          <w:sz w:val="21"/>
          <w:szCs w:val="21"/>
        </w:rPr>
      </w:pPr>
      <w:bookmarkStart w:id="46" w:name="_Toc16496"/>
      <w:bookmarkStart w:id="47" w:name="_Toc9216"/>
      <w:r>
        <w:rPr>
          <w:rFonts w:hint="eastAsia" w:ascii="宋体" w:hAnsi="宋体" w:eastAsia="宋体" w:cs="宋体"/>
          <w:b w:val="0"/>
          <w:bCs w:val="0"/>
          <w:color w:val="auto"/>
          <w:sz w:val="21"/>
          <w:szCs w:val="21"/>
        </w:rPr>
        <w:t>3.1符合《中华人民共和国政府采购法》第二十二条规定；</w:t>
      </w:r>
    </w:p>
    <w:p w14:paraId="0F7666D8">
      <w:pPr>
        <w:pStyle w:val="4"/>
        <w:widowControl w:val="0"/>
        <w:spacing w:before="0" w:after="0" w:line="44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3.2落实政府采购政策需满足的资格要求：无；</w:t>
      </w:r>
    </w:p>
    <w:p w14:paraId="5C61A721">
      <w:pPr>
        <w:spacing w:line="42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3.3本项目的特定资格要求：</w:t>
      </w:r>
      <w:r>
        <w:rPr>
          <w:rFonts w:hint="eastAsia" w:ascii="宋体" w:hAnsi="宋体" w:eastAsia="宋体" w:cs="宋体"/>
          <w:b/>
          <w:bCs/>
          <w:color w:val="auto"/>
          <w:szCs w:val="21"/>
        </w:rPr>
        <w:t>无。</w:t>
      </w:r>
    </w:p>
    <w:p w14:paraId="0B0CE490">
      <w:pPr>
        <w:pStyle w:val="4"/>
        <w:widowControl w:val="0"/>
        <w:spacing w:before="0" w:after="0" w:line="44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4. 磋商费用</w:t>
      </w:r>
      <w:bookmarkEnd w:id="46"/>
      <w:bookmarkEnd w:id="47"/>
    </w:p>
    <w:p w14:paraId="35777022">
      <w:pPr>
        <w:tabs>
          <w:tab w:val="left" w:pos="1635"/>
        </w:tabs>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不论磋商结果如何，供应商均应自行承担所有与磋商有关的全部费用。</w:t>
      </w:r>
    </w:p>
    <w:p w14:paraId="6E705499">
      <w:pPr>
        <w:pStyle w:val="4"/>
        <w:widowControl w:val="0"/>
        <w:numPr>
          <w:ilvl w:val="0"/>
          <w:numId w:val="1"/>
        </w:numPr>
        <w:spacing w:before="0" w:after="0" w:line="440" w:lineRule="exact"/>
        <w:ind w:firstLine="422" w:firstLineChars="200"/>
        <w:rPr>
          <w:rFonts w:hint="eastAsia" w:ascii="宋体" w:hAnsi="宋体" w:eastAsia="宋体" w:cs="宋体"/>
          <w:color w:val="auto"/>
          <w:sz w:val="21"/>
          <w:szCs w:val="21"/>
        </w:rPr>
      </w:pPr>
      <w:bookmarkStart w:id="48" w:name="_Toc22877"/>
      <w:bookmarkStart w:id="49" w:name="_Toc31376"/>
      <w:r>
        <w:rPr>
          <w:rFonts w:hint="eastAsia" w:ascii="宋体" w:hAnsi="宋体" w:eastAsia="宋体" w:cs="宋体"/>
          <w:color w:val="auto"/>
          <w:sz w:val="21"/>
          <w:szCs w:val="21"/>
        </w:rPr>
        <w:t>联合体要求</w:t>
      </w:r>
      <w:bookmarkEnd w:id="48"/>
      <w:bookmarkEnd w:id="49"/>
    </w:p>
    <w:p w14:paraId="4CE180EF">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本项目接受联合体参与磋商</w:t>
      </w:r>
    </w:p>
    <w:p w14:paraId="19FABD2B">
      <w:pPr>
        <w:pStyle w:val="4"/>
        <w:widowControl w:val="0"/>
        <w:spacing w:before="0" w:after="0" w:line="440" w:lineRule="exact"/>
        <w:ind w:firstLine="422" w:firstLineChars="200"/>
        <w:rPr>
          <w:rFonts w:hint="eastAsia" w:ascii="宋体" w:hAnsi="宋体" w:eastAsia="宋体" w:cs="宋体"/>
          <w:color w:val="auto"/>
          <w:sz w:val="21"/>
          <w:szCs w:val="21"/>
        </w:rPr>
      </w:pPr>
      <w:bookmarkStart w:id="50" w:name="_Toc18940"/>
      <w:bookmarkStart w:id="51" w:name="_Toc4152"/>
      <w:r>
        <w:rPr>
          <w:rFonts w:hint="eastAsia" w:ascii="宋体" w:hAnsi="宋体" w:eastAsia="宋体" w:cs="宋体"/>
          <w:color w:val="auto"/>
          <w:sz w:val="21"/>
          <w:szCs w:val="21"/>
        </w:rPr>
        <w:t>6. 质疑和投诉</w:t>
      </w:r>
      <w:bookmarkEnd w:id="50"/>
      <w:bookmarkEnd w:id="51"/>
      <w:r>
        <w:rPr>
          <w:rFonts w:hint="eastAsia" w:ascii="宋体" w:hAnsi="宋体" w:eastAsia="宋体" w:cs="宋体"/>
          <w:color w:val="auto"/>
          <w:sz w:val="21"/>
          <w:szCs w:val="21"/>
        </w:rPr>
        <w:tab/>
      </w:r>
    </w:p>
    <w:p w14:paraId="5F7CAC2F">
      <w:pPr>
        <w:tabs>
          <w:tab w:val="left" w:pos="2190"/>
        </w:tabs>
        <w:spacing w:line="440" w:lineRule="exact"/>
        <w:ind w:firstLine="435"/>
        <w:rPr>
          <w:rFonts w:hint="eastAsia" w:ascii="宋体" w:hAnsi="宋体" w:eastAsia="宋体" w:cs="宋体"/>
          <w:color w:val="auto"/>
          <w:szCs w:val="21"/>
        </w:rPr>
      </w:pPr>
      <w:bookmarkStart w:id="52" w:name="_Toc8195"/>
      <w:bookmarkStart w:id="53" w:name="_Toc26087"/>
      <w:r>
        <w:rPr>
          <w:rFonts w:hint="eastAsia" w:ascii="宋体" w:hAnsi="宋体" w:eastAsia="宋体" w:cs="宋体"/>
          <w:color w:val="auto"/>
          <w:szCs w:val="21"/>
        </w:rPr>
        <w:t>6.1供应对政府采购活动事项有疑问的，可以向采购人提出询问。</w:t>
      </w:r>
    </w:p>
    <w:p w14:paraId="141C0A5F">
      <w:pPr>
        <w:tabs>
          <w:tab w:val="left" w:pos="2190"/>
        </w:tabs>
        <w:spacing w:line="390" w:lineRule="exact"/>
        <w:ind w:firstLine="435"/>
        <w:rPr>
          <w:rFonts w:hint="eastAsia" w:ascii="宋体" w:hAnsi="宋体" w:eastAsia="宋体" w:cs="宋体"/>
          <w:color w:val="auto"/>
          <w:szCs w:val="21"/>
        </w:rPr>
      </w:pPr>
      <w:r>
        <w:rPr>
          <w:rFonts w:hint="eastAsia" w:ascii="宋体" w:hAnsi="宋体" w:eastAsia="宋体" w:cs="宋体"/>
          <w:color w:val="auto"/>
          <w:szCs w:val="21"/>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14:paraId="2FD091D4">
      <w:pPr>
        <w:tabs>
          <w:tab w:val="left" w:pos="2190"/>
        </w:tabs>
        <w:spacing w:line="390" w:lineRule="exact"/>
        <w:ind w:firstLine="435"/>
        <w:rPr>
          <w:rFonts w:hint="eastAsia" w:ascii="宋体" w:hAnsi="宋体" w:eastAsia="宋体" w:cs="宋体"/>
          <w:color w:val="auto"/>
          <w:szCs w:val="21"/>
        </w:rPr>
      </w:pPr>
      <w:r>
        <w:rPr>
          <w:rFonts w:hint="eastAsia" w:ascii="宋体" w:hAnsi="宋体" w:eastAsia="宋体" w:cs="宋体"/>
          <w:color w:val="auto"/>
          <w:szCs w:val="21"/>
        </w:rPr>
        <w:t>供应商在法定质疑期内应当一次性提出针对同一采购程序环节的质疑，否则采购人有权不予受理。</w:t>
      </w:r>
    </w:p>
    <w:p w14:paraId="4D8AFCD9">
      <w:pPr>
        <w:tabs>
          <w:tab w:val="left" w:pos="2190"/>
        </w:tabs>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6.3供应商对采购代理机构的质疑答复不满意或者采购代理机构未在规定的时间内作出答复的，可以在答复期满后十五个工作日内向本级财政部门投诉。</w:t>
      </w:r>
    </w:p>
    <w:p w14:paraId="7748BF5C">
      <w:pPr>
        <w:tabs>
          <w:tab w:val="left" w:pos="2190"/>
        </w:tabs>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5FC68838">
      <w:pPr>
        <w:tabs>
          <w:tab w:val="left" w:pos="2190"/>
        </w:tabs>
        <w:spacing w:line="440" w:lineRule="exact"/>
        <w:ind w:firstLine="435"/>
        <w:rPr>
          <w:rFonts w:hint="eastAsia" w:ascii="宋体" w:hAnsi="宋体" w:eastAsia="宋体" w:cs="宋体"/>
          <w:color w:val="auto"/>
          <w:szCs w:val="21"/>
        </w:rPr>
      </w:pPr>
      <w:r>
        <w:rPr>
          <w:rFonts w:hint="eastAsia" w:ascii="宋体" w:hAnsi="宋体" w:eastAsia="宋体" w:cs="宋体"/>
          <w:color w:val="auto"/>
          <w:szCs w:val="21"/>
        </w:rPr>
        <w:t>6.5质疑联系</w:t>
      </w:r>
      <w:bookmarkEnd w:id="52"/>
      <w:bookmarkEnd w:id="53"/>
      <w:r>
        <w:rPr>
          <w:rFonts w:hint="eastAsia" w:ascii="宋体" w:hAnsi="宋体" w:eastAsia="宋体" w:cs="宋体"/>
          <w:color w:val="auto"/>
          <w:szCs w:val="21"/>
        </w:rPr>
        <w:t>方式，详见磋商公告。</w:t>
      </w:r>
    </w:p>
    <w:p w14:paraId="5856E017">
      <w:pPr>
        <w:pStyle w:val="4"/>
        <w:widowControl w:val="0"/>
        <w:spacing w:before="0" w:after="0" w:line="440" w:lineRule="exact"/>
        <w:ind w:firstLine="422" w:firstLineChars="200"/>
        <w:rPr>
          <w:rFonts w:hint="eastAsia" w:ascii="宋体" w:hAnsi="宋体" w:eastAsia="宋体" w:cs="宋体"/>
          <w:color w:val="auto"/>
          <w:sz w:val="21"/>
          <w:szCs w:val="21"/>
        </w:rPr>
      </w:pPr>
      <w:bookmarkStart w:id="54" w:name="_Toc5032"/>
      <w:bookmarkStart w:id="55" w:name="_Toc6998"/>
      <w:r>
        <w:rPr>
          <w:rFonts w:hint="eastAsia" w:ascii="宋体" w:hAnsi="宋体" w:eastAsia="宋体" w:cs="宋体"/>
          <w:color w:val="auto"/>
          <w:sz w:val="21"/>
          <w:szCs w:val="21"/>
        </w:rPr>
        <w:t>7. 转包与分包</w:t>
      </w:r>
      <w:bookmarkEnd w:id="54"/>
      <w:bookmarkEnd w:id="55"/>
    </w:p>
    <w:p w14:paraId="4D8927F0">
      <w:pPr>
        <w:tabs>
          <w:tab w:val="left" w:pos="2190"/>
        </w:tabs>
        <w:spacing w:line="440" w:lineRule="exact"/>
        <w:ind w:firstLine="420" w:firstLineChars="200"/>
        <w:rPr>
          <w:rFonts w:hint="eastAsia" w:ascii="宋体" w:hAnsi="宋体" w:eastAsia="宋体" w:cs="宋体"/>
          <w:color w:val="auto"/>
          <w:kern w:val="0"/>
          <w:szCs w:val="21"/>
          <w:shd w:val="clear" w:color="auto" w:fill="FFFFFF"/>
        </w:rPr>
      </w:pPr>
      <w:r>
        <w:rPr>
          <w:rFonts w:hint="eastAsia" w:ascii="宋体" w:hAnsi="宋体" w:eastAsia="宋体" w:cs="宋体"/>
          <w:color w:val="auto"/>
          <w:szCs w:val="21"/>
        </w:rPr>
        <w:t>7</w:t>
      </w:r>
      <w:r>
        <w:rPr>
          <w:rFonts w:hint="eastAsia" w:ascii="宋体" w:hAnsi="宋体" w:eastAsia="宋体" w:cs="宋体"/>
          <w:color w:val="auto"/>
          <w:kern w:val="0"/>
          <w:szCs w:val="21"/>
          <w:shd w:val="clear" w:color="auto" w:fill="FFFFFF"/>
        </w:rPr>
        <w:t>.1 本项目不允许转包。</w:t>
      </w:r>
    </w:p>
    <w:p w14:paraId="7B6BE1C0">
      <w:pPr>
        <w:tabs>
          <w:tab w:val="left" w:pos="2190"/>
        </w:tabs>
        <w:spacing w:line="440" w:lineRule="exact"/>
        <w:ind w:firstLine="420" w:firstLineChars="200"/>
        <w:rPr>
          <w:rFonts w:hint="eastAsia" w:ascii="宋体" w:hAnsi="宋体" w:eastAsia="宋体" w:cs="宋体"/>
          <w:color w:val="auto"/>
          <w:kern w:val="0"/>
          <w:szCs w:val="21"/>
          <w:shd w:val="clear" w:color="auto" w:fill="FFFFFF"/>
        </w:rPr>
      </w:pPr>
      <w:r>
        <w:rPr>
          <w:rFonts w:hint="eastAsia" w:ascii="宋体" w:hAnsi="宋体" w:eastAsia="宋体" w:cs="宋体"/>
          <w:color w:val="auto"/>
          <w:kern w:val="0"/>
          <w:szCs w:val="21"/>
          <w:shd w:val="clear" w:color="auto" w:fill="FFFFFF"/>
        </w:rPr>
        <w:t>7.2 本项目不可以分包。</w:t>
      </w:r>
    </w:p>
    <w:p w14:paraId="79E2416B">
      <w:pPr>
        <w:tabs>
          <w:tab w:val="left" w:pos="2190"/>
        </w:tabs>
        <w:spacing w:line="440" w:lineRule="exact"/>
        <w:ind w:firstLine="420" w:firstLineChars="200"/>
        <w:rPr>
          <w:rFonts w:hint="eastAsia" w:ascii="宋体" w:hAnsi="宋体" w:eastAsia="宋体" w:cs="宋体"/>
          <w:color w:val="auto"/>
          <w:kern w:val="0"/>
          <w:szCs w:val="21"/>
          <w:shd w:val="clear" w:color="auto" w:fill="FFFFFF"/>
        </w:rPr>
      </w:pPr>
      <w:r>
        <w:rPr>
          <w:rFonts w:hint="eastAsia" w:ascii="宋体" w:hAnsi="宋体" w:eastAsia="宋体" w:cs="宋体"/>
          <w:color w:val="auto"/>
          <w:kern w:val="0"/>
          <w:szCs w:val="21"/>
          <w:shd w:val="clear" w:color="auto" w:fill="FFFFFF"/>
        </w:rPr>
        <w:t>7.3本项目不允许挂靠。</w:t>
      </w:r>
    </w:p>
    <w:p w14:paraId="31A6C494">
      <w:pPr>
        <w:tabs>
          <w:tab w:val="left" w:pos="2190"/>
        </w:tabs>
        <w:spacing w:line="440" w:lineRule="exact"/>
        <w:ind w:firstLine="420" w:firstLineChars="200"/>
        <w:rPr>
          <w:rFonts w:hint="eastAsia" w:ascii="宋体" w:hAnsi="宋体" w:eastAsia="宋体" w:cs="宋体"/>
          <w:color w:val="auto"/>
          <w:kern w:val="0"/>
          <w:szCs w:val="21"/>
          <w:shd w:val="clear" w:color="auto" w:fill="FFFFFF"/>
        </w:rPr>
      </w:pPr>
      <w:r>
        <w:rPr>
          <w:rFonts w:hint="eastAsia" w:ascii="宋体" w:hAnsi="宋体" w:eastAsia="宋体" w:cs="宋体"/>
          <w:color w:val="auto"/>
          <w:kern w:val="0"/>
          <w:szCs w:val="21"/>
          <w:shd w:val="clear" w:color="auto" w:fill="FFFFFF"/>
        </w:rPr>
        <w:t>7.4如发现有以上行为，采购人有权终止合同，所有损失由成交供应商承担。</w:t>
      </w:r>
    </w:p>
    <w:p w14:paraId="0C896456">
      <w:pPr>
        <w:pStyle w:val="4"/>
        <w:widowControl w:val="0"/>
        <w:spacing w:before="0" w:after="0" w:line="440" w:lineRule="exact"/>
        <w:ind w:firstLine="422" w:firstLineChars="200"/>
        <w:rPr>
          <w:rFonts w:hint="eastAsia" w:ascii="宋体" w:hAnsi="宋体" w:eastAsia="宋体" w:cs="宋体"/>
          <w:color w:val="auto"/>
          <w:sz w:val="21"/>
          <w:szCs w:val="21"/>
        </w:rPr>
      </w:pPr>
      <w:bookmarkStart w:id="56" w:name="_Toc15097"/>
      <w:bookmarkStart w:id="57" w:name="_Toc3368"/>
      <w:r>
        <w:rPr>
          <w:rFonts w:hint="eastAsia" w:ascii="宋体" w:hAnsi="宋体" w:eastAsia="宋体" w:cs="宋体"/>
          <w:color w:val="auto"/>
          <w:sz w:val="21"/>
          <w:szCs w:val="21"/>
        </w:rPr>
        <w:t>8. 特别说明</w:t>
      </w:r>
      <w:bookmarkEnd w:id="56"/>
      <w:bookmarkEnd w:id="57"/>
    </w:p>
    <w:p w14:paraId="5960968F">
      <w:pPr>
        <w:tabs>
          <w:tab w:val="left" w:pos="1635"/>
        </w:tabs>
        <w:spacing w:line="44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8.1关联供应商不得参加同一合同项下政府采购活动，否则响应文件将被视为无效：</w:t>
      </w:r>
    </w:p>
    <w:p w14:paraId="0A4D3139">
      <w:pPr>
        <w:tabs>
          <w:tab w:val="left" w:pos="1635"/>
        </w:tabs>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（1）单位负责人为同一人或者存在直接控股、管理关系的，不得参加同一合同项下的政府采购活动。</w:t>
      </w:r>
    </w:p>
    <w:p w14:paraId="12AD59D4">
      <w:pPr>
        <w:tabs>
          <w:tab w:val="left" w:pos="1635"/>
        </w:tabs>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（2）为本采购项目提供整体设计、规范编制或者项目管理、监理、检测等服务的供应商，不得再参加本次采购活动。</w:t>
      </w:r>
    </w:p>
    <w:p w14:paraId="13990178">
      <w:pPr>
        <w:pStyle w:val="7"/>
        <w:spacing w:line="440" w:lineRule="exact"/>
        <w:rPr>
          <w:rFonts w:hint="eastAsia" w:ascii="宋体" w:hAnsi="宋体" w:eastAsia="宋体" w:cs="宋体"/>
          <w:color w:val="auto"/>
        </w:rPr>
      </w:pPr>
    </w:p>
    <w:p w14:paraId="384249F5">
      <w:pPr>
        <w:pStyle w:val="3"/>
        <w:tabs>
          <w:tab w:val="left" w:pos="567"/>
        </w:tabs>
        <w:spacing w:line="440" w:lineRule="exact"/>
        <w:jc w:val="center"/>
        <w:rPr>
          <w:rFonts w:hint="eastAsia" w:ascii="宋体" w:hAnsi="宋体" w:eastAsia="宋体" w:cs="宋体"/>
          <w:bCs w:val="0"/>
          <w:color w:val="auto"/>
          <w:szCs w:val="28"/>
        </w:rPr>
      </w:pPr>
      <w:bookmarkStart w:id="58" w:name="_Toc16417"/>
      <w:bookmarkStart w:id="59" w:name="_Toc13732"/>
      <w:bookmarkStart w:id="60" w:name="_Toc29496"/>
      <w:bookmarkStart w:id="61" w:name="_Toc22498"/>
      <w:r>
        <w:rPr>
          <w:rFonts w:hint="eastAsia" w:ascii="宋体" w:hAnsi="宋体" w:eastAsia="宋体" w:cs="宋体"/>
          <w:bCs w:val="0"/>
          <w:color w:val="auto"/>
          <w:szCs w:val="28"/>
        </w:rPr>
        <w:t>二、磋商文件</w:t>
      </w:r>
      <w:bookmarkEnd w:id="58"/>
      <w:bookmarkEnd w:id="59"/>
      <w:bookmarkEnd w:id="60"/>
      <w:bookmarkEnd w:id="61"/>
    </w:p>
    <w:p w14:paraId="182907E2">
      <w:pPr>
        <w:pStyle w:val="4"/>
        <w:widowControl w:val="0"/>
        <w:spacing w:before="0" w:after="0" w:line="440" w:lineRule="exact"/>
        <w:ind w:firstLine="422" w:firstLineChars="200"/>
        <w:rPr>
          <w:rFonts w:hint="eastAsia" w:ascii="宋体" w:hAnsi="宋体" w:eastAsia="宋体" w:cs="宋体"/>
          <w:color w:val="auto"/>
          <w:sz w:val="21"/>
          <w:szCs w:val="21"/>
          <w:lang w:val="pt-BR"/>
        </w:rPr>
      </w:pPr>
      <w:bookmarkStart w:id="62" w:name="_Toc18964"/>
      <w:bookmarkStart w:id="63" w:name="_Toc20057"/>
      <w:r>
        <w:rPr>
          <w:rFonts w:hint="eastAsia" w:ascii="宋体" w:hAnsi="宋体" w:eastAsia="宋体" w:cs="宋体"/>
          <w:color w:val="auto"/>
          <w:sz w:val="21"/>
          <w:szCs w:val="21"/>
          <w:lang w:val="pt-BR"/>
        </w:rPr>
        <w:t xml:space="preserve">9. </w:t>
      </w:r>
      <w:r>
        <w:rPr>
          <w:rFonts w:hint="eastAsia" w:ascii="宋体" w:hAnsi="宋体" w:eastAsia="宋体" w:cs="宋体"/>
          <w:color w:val="auto"/>
          <w:sz w:val="21"/>
          <w:szCs w:val="21"/>
        </w:rPr>
        <w:t>磋商文件的构成</w:t>
      </w:r>
      <w:bookmarkEnd w:id="62"/>
      <w:bookmarkEnd w:id="63"/>
    </w:p>
    <w:p w14:paraId="60D0B297">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（1）竞争性磋商公告；</w:t>
      </w:r>
    </w:p>
    <w:p w14:paraId="69B65FC3">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（2）供应商须知；</w:t>
      </w:r>
    </w:p>
    <w:p w14:paraId="14693F8D">
      <w:pPr>
        <w:spacing w:line="44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（3）项目需求表</w:t>
      </w:r>
      <w:r>
        <w:rPr>
          <w:rFonts w:hint="eastAsia" w:ascii="宋体" w:hAnsi="宋体" w:eastAsia="宋体" w:cs="宋体"/>
          <w:bCs/>
          <w:color w:val="auto"/>
          <w:szCs w:val="21"/>
        </w:rPr>
        <w:t>；</w:t>
      </w:r>
    </w:p>
    <w:p w14:paraId="2A07F955">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（4）评审办法；</w:t>
      </w:r>
    </w:p>
    <w:p w14:paraId="7D072FB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（5）采购合同（合同主要条款及格式）；</w:t>
      </w:r>
    </w:p>
    <w:p w14:paraId="0164CE10">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（6）响应文件（格式）</w:t>
      </w:r>
      <w:bookmarkStart w:id="64" w:name="_Toc9103"/>
      <w:r>
        <w:rPr>
          <w:rFonts w:hint="eastAsia" w:ascii="宋体" w:hAnsi="宋体" w:eastAsia="宋体" w:cs="宋体"/>
          <w:color w:val="auto"/>
          <w:szCs w:val="21"/>
        </w:rPr>
        <w:t>。</w:t>
      </w:r>
    </w:p>
    <w:p w14:paraId="5CE2B967">
      <w:pPr>
        <w:pStyle w:val="4"/>
        <w:widowControl w:val="0"/>
        <w:spacing w:before="0" w:after="0" w:line="440" w:lineRule="exact"/>
        <w:ind w:firstLine="422" w:firstLineChars="200"/>
        <w:rPr>
          <w:rFonts w:hint="eastAsia" w:ascii="宋体" w:hAnsi="宋体" w:eastAsia="宋体" w:cs="宋体"/>
          <w:color w:val="auto"/>
          <w:sz w:val="21"/>
          <w:szCs w:val="21"/>
        </w:rPr>
      </w:pPr>
      <w:bookmarkStart w:id="65" w:name="_Toc17932"/>
      <w:r>
        <w:rPr>
          <w:rFonts w:hint="eastAsia" w:ascii="宋体" w:hAnsi="宋体" w:eastAsia="宋体" w:cs="宋体"/>
          <w:color w:val="auto"/>
          <w:sz w:val="21"/>
          <w:szCs w:val="21"/>
        </w:rPr>
        <w:t>10. 磋商文件的澄清与修改</w:t>
      </w:r>
      <w:bookmarkEnd w:id="64"/>
      <w:bookmarkEnd w:id="65"/>
    </w:p>
    <w:p w14:paraId="49DF0500">
      <w:pPr>
        <w:spacing w:line="440" w:lineRule="exact"/>
        <w:ind w:left="420" w:leftChars="200"/>
        <w:jc w:val="left"/>
        <w:rPr>
          <w:rFonts w:hint="eastAsia" w:ascii="宋体" w:hAnsi="宋体" w:eastAsia="宋体" w:cs="宋体"/>
          <w:color w:val="auto"/>
          <w:szCs w:val="21"/>
        </w:rPr>
      </w:pPr>
      <w:r>
        <w:rPr>
          <w:rFonts w:hint="eastAsia" w:ascii="宋体" w:hAnsi="宋体" w:eastAsia="宋体" w:cs="宋体"/>
          <w:color w:val="auto"/>
          <w:szCs w:val="21"/>
        </w:rPr>
        <w:t>10.1 提交首次响应文件截止之日前，采购代理机构可以对已发出的磋商文件进行必要澄清、答复、</w:t>
      </w:r>
    </w:p>
    <w:p w14:paraId="716AABD7">
      <w:pPr>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修改或补充，澄清或者修改的内容可能影响响应文件编制的，澄清或者修改的内容作为磋商文件的组成部分。采购代理机构应当在提交首次响应文件递交截止时间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auto"/>
          <w:szCs w:val="21"/>
        </w:rPr>
        <w:t>五日</w:t>
      </w:r>
      <w:r>
        <w:rPr>
          <w:rFonts w:hint="eastAsia" w:ascii="宋体" w:hAnsi="宋体" w:eastAsia="宋体" w:cs="宋体"/>
          <w:color w:val="auto"/>
          <w:szCs w:val="21"/>
        </w:rPr>
        <w:t>前在本项目竞争性磋商公告发布的同一媒体上发布更正公告，不足</w:t>
      </w:r>
      <w:r>
        <w:rPr>
          <w:rFonts w:hint="eastAsia" w:ascii="宋体" w:hAnsi="宋体" w:eastAsia="宋体" w:cs="宋体"/>
          <w:b/>
          <w:bCs/>
          <w:color w:val="auto"/>
          <w:szCs w:val="21"/>
        </w:rPr>
        <w:t>五日</w:t>
      </w:r>
      <w:r>
        <w:rPr>
          <w:rFonts w:hint="eastAsia" w:ascii="宋体" w:hAnsi="宋体" w:eastAsia="宋体" w:cs="宋体"/>
          <w:color w:val="auto"/>
          <w:szCs w:val="21"/>
        </w:rPr>
        <w:t>的，应当顺延首次响应文件递交截止时间。</w:t>
      </w:r>
    </w:p>
    <w:p w14:paraId="1AC1C9A6">
      <w:pPr>
        <w:spacing w:line="440" w:lineRule="exact"/>
        <w:ind w:left="420" w:leftChars="200"/>
        <w:jc w:val="left"/>
        <w:rPr>
          <w:rFonts w:hint="eastAsia" w:ascii="宋体" w:hAnsi="宋体" w:eastAsia="宋体" w:cs="宋体"/>
          <w:b/>
          <w:bCs/>
          <w:color w:val="auto"/>
          <w:szCs w:val="21"/>
        </w:rPr>
      </w:pPr>
      <w:r>
        <w:rPr>
          <w:rFonts w:hint="eastAsia" w:ascii="宋体" w:hAnsi="宋体" w:eastAsia="宋体" w:cs="宋体"/>
          <w:color w:val="auto"/>
          <w:szCs w:val="21"/>
        </w:rPr>
        <w:t>10.2</w:t>
      </w:r>
      <w:r>
        <w:rPr>
          <w:rFonts w:hint="eastAsia" w:ascii="宋体" w:hAnsi="宋体" w:eastAsia="宋体" w:cs="宋体"/>
          <w:b/>
          <w:bCs/>
          <w:color w:val="auto"/>
          <w:szCs w:val="21"/>
        </w:rPr>
        <w:t>供应商应实时关注本项目信息公告发布媒体相关网站了解澄清、修改等与项目有关的内容，</w:t>
      </w:r>
    </w:p>
    <w:p w14:paraId="5068AC61">
      <w:pPr>
        <w:spacing w:line="440" w:lineRule="exact"/>
        <w:jc w:val="left"/>
        <w:rPr>
          <w:rFonts w:hint="eastAsia" w:ascii="宋体" w:hAnsi="宋体" w:eastAsia="宋体" w:cs="宋体"/>
          <w:b/>
          <w:bCs/>
          <w:color w:val="auto"/>
          <w:szCs w:val="21"/>
        </w:rPr>
      </w:pPr>
      <w:r>
        <w:rPr>
          <w:rFonts w:hint="eastAsia" w:ascii="宋体" w:hAnsi="宋体" w:eastAsia="宋体" w:cs="宋体"/>
          <w:b/>
          <w:bCs/>
          <w:color w:val="auto"/>
          <w:szCs w:val="21"/>
        </w:rPr>
        <w:t>如因供应商未及时登录相关网站了解澄清、修改等与项目有关的内容，从而导致响应文件无效的，由供应商自行承担责任。</w:t>
      </w:r>
    </w:p>
    <w:p w14:paraId="614BDADF">
      <w:pPr>
        <w:spacing w:line="440" w:lineRule="exact"/>
        <w:ind w:left="420" w:leftChars="200"/>
        <w:jc w:val="left"/>
        <w:rPr>
          <w:rFonts w:hint="eastAsia" w:ascii="宋体" w:hAnsi="宋体" w:eastAsia="宋体" w:cs="宋体"/>
          <w:color w:val="auto"/>
          <w:szCs w:val="21"/>
        </w:rPr>
      </w:pPr>
      <w:r>
        <w:rPr>
          <w:rFonts w:hint="eastAsia" w:ascii="宋体" w:hAnsi="宋体" w:eastAsia="宋体" w:cs="宋体"/>
          <w:color w:val="auto"/>
          <w:szCs w:val="21"/>
        </w:rPr>
        <w:t>10.3澄清或者修改的内容为磋商文件的组成部分。当澄清或者修改通知就同一内容的表述不一</w:t>
      </w:r>
    </w:p>
    <w:p w14:paraId="26F7807C">
      <w:pPr>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致时，以最后发出的文件为准。</w:t>
      </w:r>
    </w:p>
    <w:p w14:paraId="49DA64FB">
      <w:pPr>
        <w:spacing w:line="440" w:lineRule="exact"/>
        <w:ind w:left="420" w:leftChars="200"/>
        <w:jc w:val="left"/>
        <w:rPr>
          <w:rFonts w:hint="eastAsia" w:ascii="宋体" w:hAnsi="宋体" w:eastAsia="宋体" w:cs="宋体"/>
          <w:color w:val="auto"/>
          <w:szCs w:val="21"/>
        </w:rPr>
      </w:pPr>
      <w:r>
        <w:rPr>
          <w:rFonts w:hint="eastAsia" w:ascii="宋体" w:hAnsi="宋体" w:eastAsia="宋体" w:cs="宋体"/>
          <w:color w:val="auto"/>
          <w:szCs w:val="21"/>
        </w:rPr>
        <w:t>10.4 磋商文件的澄清或者修改都应该通过本项目采购代理机构以法定形式发布，采购人非通过</w:t>
      </w:r>
    </w:p>
    <w:p w14:paraId="546389BA">
      <w:pPr>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本机构，不得擅自澄清或者修改磋商文件。</w:t>
      </w:r>
    </w:p>
    <w:p w14:paraId="5AF80817">
      <w:pPr>
        <w:spacing w:line="440" w:lineRule="exact"/>
        <w:ind w:left="420" w:leftChars="200"/>
        <w:jc w:val="left"/>
        <w:rPr>
          <w:rFonts w:hint="eastAsia" w:ascii="宋体" w:hAnsi="宋体" w:eastAsia="宋体" w:cs="宋体"/>
          <w:color w:val="auto"/>
          <w:szCs w:val="21"/>
        </w:rPr>
      </w:pPr>
      <w:r>
        <w:rPr>
          <w:rFonts w:hint="eastAsia" w:ascii="宋体" w:hAnsi="宋体" w:eastAsia="宋体" w:cs="宋体"/>
          <w:color w:val="auto"/>
          <w:szCs w:val="21"/>
        </w:rPr>
        <w:t>10.5采购单位可以视采购具体情况，延长响应文件截止时间和磋商时间，在本项目竞争性磋商</w:t>
      </w:r>
    </w:p>
    <w:p w14:paraId="000E76E5">
      <w:pPr>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公告发布的同一媒体上发布变更公告。</w:t>
      </w:r>
    </w:p>
    <w:p w14:paraId="330256E6">
      <w:pPr>
        <w:pStyle w:val="23"/>
        <w:spacing w:line="440" w:lineRule="exact"/>
        <w:rPr>
          <w:rFonts w:hint="eastAsia" w:ascii="宋体" w:hAnsi="宋体" w:eastAsia="宋体" w:cs="宋体"/>
          <w:color w:val="auto"/>
        </w:rPr>
      </w:pPr>
    </w:p>
    <w:p w14:paraId="5BDE2AC3">
      <w:pPr>
        <w:pStyle w:val="3"/>
        <w:tabs>
          <w:tab w:val="left" w:pos="567"/>
        </w:tabs>
        <w:spacing w:line="440" w:lineRule="exact"/>
        <w:jc w:val="center"/>
        <w:rPr>
          <w:rFonts w:hint="eastAsia" w:ascii="宋体" w:hAnsi="宋体" w:eastAsia="宋体" w:cs="宋体"/>
          <w:bCs w:val="0"/>
          <w:color w:val="auto"/>
          <w:szCs w:val="28"/>
        </w:rPr>
      </w:pPr>
      <w:bookmarkStart w:id="66" w:name="_Toc21873"/>
      <w:bookmarkStart w:id="67" w:name="_Toc20830"/>
      <w:bookmarkStart w:id="68" w:name="_Toc29172"/>
      <w:bookmarkStart w:id="69" w:name="_Toc17820"/>
      <w:r>
        <w:rPr>
          <w:rFonts w:hint="eastAsia" w:ascii="宋体" w:hAnsi="宋体" w:eastAsia="宋体" w:cs="宋体"/>
          <w:bCs w:val="0"/>
          <w:color w:val="auto"/>
          <w:szCs w:val="28"/>
        </w:rPr>
        <w:t>三、竞争性磋商响应文件的编制</w:t>
      </w:r>
      <w:bookmarkEnd w:id="66"/>
      <w:bookmarkEnd w:id="67"/>
      <w:bookmarkEnd w:id="68"/>
      <w:bookmarkEnd w:id="69"/>
    </w:p>
    <w:p w14:paraId="620A67D0">
      <w:pPr>
        <w:pStyle w:val="4"/>
        <w:widowControl w:val="0"/>
        <w:spacing w:before="0" w:after="0" w:line="440" w:lineRule="exact"/>
        <w:ind w:firstLine="422" w:firstLineChars="200"/>
        <w:rPr>
          <w:rFonts w:hint="eastAsia" w:ascii="宋体" w:hAnsi="宋体" w:eastAsia="宋体" w:cs="宋体"/>
          <w:color w:val="auto"/>
          <w:sz w:val="21"/>
          <w:szCs w:val="21"/>
        </w:rPr>
      </w:pPr>
      <w:bookmarkStart w:id="70" w:name="_Toc19747"/>
      <w:r>
        <w:rPr>
          <w:rFonts w:hint="eastAsia" w:ascii="宋体" w:hAnsi="宋体" w:eastAsia="宋体" w:cs="宋体"/>
          <w:color w:val="auto"/>
          <w:sz w:val="21"/>
          <w:szCs w:val="21"/>
        </w:rPr>
        <w:t>11.竞争性磋商响应文件编制基本要求</w:t>
      </w:r>
      <w:bookmarkEnd w:id="70"/>
    </w:p>
    <w:p w14:paraId="127A6A72">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11.1 本项目实行电子响应，供应商应准备电子磋商响应文件：</w:t>
      </w:r>
    </w:p>
    <w:p w14:paraId="51CA8ED1">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 xml:space="preserve">11.1.1 电子响应文件按广西政府采购云平台要求及本磋商文件要求制作、加密并递交。具体操作流程可参考《政府采购项目电子交易管理操作指南-供应商》，指南可在 “http://www.ccgp-guangxi.gov.cn/PurchaseAdvisory/ImportantNotice/2866753.html”下载。 </w:t>
      </w:r>
    </w:p>
    <w:p w14:paraId="3023CC88">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11.2竞争性磋商响应文件（以下简称响应文件）的组成及要求</w:t>
      </w:r>
    </w:p>
    <w:p w14:paraId="54F13170">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11.2.1响应文件组成【格式见第六章“响应文件（格式）”】</w:t>
      </w:r>
    </w:p>
    <w:p w14:paraId="6F8203B5">
      <w:pPr>
        <w:spacing w:line="440" w:lineRule="exact"/>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11.2.1.1资格性响应证明材料：</w:t>
      </w:r>
    </w:p>
    <w:p w14:paraId="2DD318AC">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（1）响应文件封面</w:t>
      </w:r>
      <w:r>
        <w:rPr>
          <w:rFonts w:hint="eastAsia" w:ascii="宋体" w:hAnsi="宋体" w:eastAsia="宋体" w:cs="宋体"/>
          <w:b/>
          <w:bCs/>
          <w:color w:val="auto"/>
          <w:szCs w:val="21"/>
        </w:rPr>
        <w:t>（必须提供）；</w:t>
      </w:r>
    </w:p>
    <w:p w14:paraId="49F20F7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（2）供应商相应的法定代表人、负责人、自然人身份证正反两面原件或复印件扫描件</w:t>
      </w:r>
      <w:r>
        <w:rPr>
          <w:rFonts w:hint="eastAsia" w:ascii="宋体" w:hAnsi="宋体" w:eastAsia="宋体" w:cs="宋体"/>
          <w:b/>
          <w:bCs/>
          <w:color w:val="auto"/>
          <w:szCs w:val="21"/>
        </w:rPr>
        <w:t>（必须提供）</w:t>
      </w:r>
      <w:r>
        <w:rPr>
          <w:rFonts w:hint="eastAsia" w:ascii="宋体" w:hAnsi="宋体" w:eastAsia="宋体" w:cs="宋体"/>
          <w:color w:val="auto"/>
          <w:szCs w:val="21"/>
        </w:rPr>
        <w:t>；</w:t>
      </w:r>
    </w:p>
    <w:p w14:paraId="7135CE1A">
      <w:pPr>
        <w:spacing w:line="44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3）供应商的授权委托书原件、委托代理人身份证正反两面原件或复印件扫描件以及由县级以上（含县级）社会养老保险经办机构出具的供应商为委托代理人交纳的响应文件递交截止时间当月前半年内任意连续三个月或以上社保证明原件或复印件扫描件；</w:t>
      </w:r>
      <w:r>
        <w:rPr>
          <w:rFonts w:hint="eastAsia" w:ascii="宋体" w:hAnsi="宋体" w:eastAsia="宋体" w:cs="宋体"/>
          <w:b/>
          <w:bCs/>
          <w:color w:val="auto"/>
          <w:szCs w:val="21"/>
        </w:rPr>
        <w:t>（委托代理时必须提供）；</w:t>
      </w:r>
    </w:p>
    <w:p w14:paraId="3AFD0F41">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除供应商为以下三种情形的：</w:t>
      </w:r>
    </w:p>
    <w:p w14:paraId="17F1BBCE">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①如供应商为截标时间前60日以内成立的公司，可以提供供应商与委托代理人签订的劳动合同原件或复印件扫描件代替社保证明；</w:t>
      </w:r>
    </w:p>
    <w:p w14:paraId="68EB9537">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②如供应商为事业单位，可以提供事业单位机构编制管理证复印件或事业单位机构为其发放工资的工资条原件或复印件扫描件代替社保证明；</w:t>
      </w:r>
    </w:p>
    <w:p w14:paraId="51261BB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③如委托代理人为免缴纳社保人员，提供免缴纳社保的证明材料原件或复印件扫描件及供应商与委托代理人签订的劳动合同原件或复印件扫描件代替社保证明。</w:t>
      </w:r>
    </w:p>
    <w:p w14:paraId="7F476FC0">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【属自然人的应提供由县级以上（含县级）社会养老保险经办机构出具的自然人本人及委托代理人所交纳的响应文件递交截止时间当月前半年内任意连续三个月或以上社保证明原件或复印件扫描件</w:t>
      </w:r>
      <w:r>
        <w:rPr>
          <w:rFonts w:hint="eastAsia" w:ascii="宋体" w:hAnsi="宋体" w:eastAsia="宋体" w:cs="宋体"/>
          <w:color w:val="auto"/>
          <w:szCs w:val="21"/>
        </w:rPr>
        <w:t>】</w:t>
      </w:r>
      <w:r>
        <w:rPr>
          <w:rFonts w:hint="eastAsia" w:ascii="宋体" w:hAnsi="宋体" w:eastAsia="宋体" w:cs="宋体"/>
          <w:b/>
          <w:bCs/>
          <w:color w:val="auto"/>
          <w:szCs w:val="21"/>
        </w:rPr>
        <w:t>（委托代理时必须提供）</w:t>
      </w:r>
    </w:p>
    <w:p w14:paraId="52976C60">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szCs w:val="21"/>
        </w:rPr>
        <w:t>（4）供应商参加政府采购活动前3年内在经营活动中没有重大违法记录及有关信用信息的书面声明；</w:t>
      </w:r>
      <w:r>
        <w:rPr>
          <w:rFonts w:hint="eastAsia" w:ascii="宋体" w:hAnsi="宋体" w:eastAsia="宋体" w:cs="宋体"/>
          <w:b/>
          <w:bCs/>
          <w:color w:val="auto"/>
          <w:szCs w:val="21"/>
        </w:rPr>
        <w:t>（必须提供）；</w:t>
      </w:r>
    </w:p>
    <w:p w14:paraId="6C36E33D">
      <w:pPr>
        <w:spacing w:line="440" w:lineRule="exact"/>
        <w:ind w:left="420"/>
        <w:rPr>
          <w:rFonts w:hint="eastAsia" w:ascii="宋体" w:hAnsi="宋体" w:eastAsia="宋体" w:cs="宋体"/>
          <w:color w:val="auto"/>
          <w:szCs w:val="21"/>
        </w:rPr>
      </w:pPr>
      <w:r>
        <w:rPr>
          <w:rFonts w:hint="eastAsia" w:ascii="宋体" w:hAnsi="宋体" w:eastAsia="宋体" w:cs="宋体"/>
          <w:color w:val="auto"/>
          <w:szCs w:val="21"/>
        </w:rPr>
        <w:t>（5）供应商的法人或者其他组织营业执照等证明文件原件或复印件扫描件</w:t>
      </w:r>
      <w:r>
        <w:rPr>
          <w:rFonts w:hint="eastAsia" w:ascii="宋体" w:hAnsi="宋体" w:eastAsia="宋体" w:cs="宋体"/>
          <w:b/>
          <w:bCs/>
          <w:color w:val="auto"/>
          <w:szCs w:val="21"/>
        </w:rPr>
        <w:t>（必须提供，自然人除外）；</w:t>
      </w:r>
    </w:p>
    <w:p w14:paraId="3B9EFC8D">
      <w:pPr>
        <w:spacing w:line="440" w:lineRule="exact"/>
        <w:ind w:firstLine="422" w:firstLineChars="200"/>
        <w:rPr>
          <w:rFonts w:hint="eastAsia" w:ascii="宋体" w:hAnsi="宋体" w:eastAsia="宋体" w:cs="宋体"/>
          <w:color w:val="auto"/>
        </w:rPr>
      </w:pPr>
      <w:r>
        <w:rPr>
          <w:rFonts w:hint="eastAsia" w:ascii="宋体" w:hAnsi="宋体" w:eastAsia="宋体" w:cs="宋体"/>
          <w:b/>
          <w:bCs/>
          <w:color w:val="auto"/>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C4544DF">
      <w:pPr>
        <w:spacing w:line="440" w:lineRule="exact"/>
        <w:ind w:firstLine="420" w:firstLineChars="200"/>
        <w:rPr>
          <w:rFonts w:hint="eastAsia" w:ascii="宋体" w:hAnsi="宋体" w:eastAsia="宋体" w:cs="宋体"/>
          <w:b/>
          <w:bCs/>
          <w:color w:val="auto"/>
        </w:rPr>
      </w:pPr>
      <w:r>
        <w:rPr>
          <w:rFonts w:hint="eastAsia" w:ascii="宋体" w:hAnsi="宋体" w:eastAsia="宋体" w:cs="宋体"/>
          <w:color w:val="auto"/>
        </w:rPr>
        <w:t>（6）供应商财务状况良好的承诺函原件的扫描件（必须提供）</w:t>
      </w:r>
      <w:r>
        <w:rPr>
          <w:rFonts w:hint="eastAsia" w:ascii="宋体" w:hAnsi="宋体" w:eastAsia="宋体" w:cs="宋体"/>
          <w:b/>
          <w:bCs/>
          <w:color w:val="auto"/>
        </w:rPr>
        <w:t>；</w:t>
      </w:r>
    </w:p>
    <w:p w14:paraId="6076133A">
      <w:pPr>
        <w:tabs>
          <w:tab w:val="left" w:pos="1305"/>
        </w:tabs>
        <w:spacing w:line="440" w:lineRule="exact"/>
        <w:ind w:firstLine="420" w:firstLineChars="200"/>
        <w:rPr>
          <w:rFonts w:hint="eastAsia" w:ascii="宋体" w:hAnsi="宋体" w:eastAsia="宋体" w:cs="宋体"/>
          <w:b/>
          <w:bCs/>
          <w:color w:val="auto"/>
        </w:rPr>
      </w:pPr>
      <w:r>
        <w:rPr>
          <w:rFonts w:hint="eastAsia" w:ascii="宋体" w:hAnsi="宋体" w:eastAsia="宋体" w:cs="宋体"/>
          <w:color w:val="auto"/>
        </w:rPr>
        <w:t>（7）供应商近半年（竞标截止之日当月前半年）内任意一个月或任一季度依法缴纳税收的证明材料【如：增值税发票(税收完税证明)或企业所得税完税证明或税务部门出具的免税证明等税务部门出具的正常纳税的证明材料或符合国家规定要求的其他证明材料】原件或复印件扫描件</w:t>
      </w:r>
      <w:r>
        <w:rPr>
          <w:rFonts w:hint="eastAsia" w:ascii="宋体" w:hAnsi="宋体" w:eastAsia="宋体" w:cs="宋体"/>
          <w:b/>
          <w:bCs/>
          <w:color w:val="auto"/>
        </w:rPr>
        <w:t>（必须提供）；</w:t>
      </w:r>
    </w:p>
    <w:p w14:paraId="2B24FBE8">
      <w:pPr>
        <w:tabs>
          <w:tab w:val="left" w:pos="1305"/>
        </w:tabs>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（8）供应商参加本项目无围标串标行为的承诺函（</w:t>
      </w:r>
      <w:r>
        <w:rPr>
          <w:rFonts w:hint="eastAsia" w:ascii="宋体" w:hAnsi="宋体" w:eastAsia="宋体" w:cs="宋体"/>
          <w:b/>
          <w:bCs/>
          <w:color w:val="auto"/>
        </w:rPr>
        <w:t>必须提供）。</w:t>
      </w:r>
    </w:p>
    <w:p w14:paraId="5329F953">
      <w:pPr>
        <w:pStyle w:val="17"/>
        <w:spacing w:line="440" w:lineRule="exact"/>
        <w:ind w:left="0" w:leftChars="0" w:firstLine="422"/>
        <w:rPr>
          <w:rFonts w:hint="eastAsia" w:ascii="宋体" w:hAnsi="宋体" w:eastAsia="宋体" w:cs="宋体"/>
          <w:color w:val="auto"/>
        </w:rPr>
      </w:pPr>
      <w:r>
        <w:rPr>
          <w:rFonts w:hint="eastAsia" w:ascii="宋体" w:hAnsi="宋体" w:eastAsia="宋体" w:cs="宋体"/>
          <w:b/>
          <w:bCs/>
          <w:color w:val="auto"/>
          <w:szCs w:val="21"/>
        </w:rPr>
        <w:t>11.2.1.2符合性响应证明材料：</w:t>
      </w:r>
    </w:p>
    <w:p w14:paraId="2ED7E316">
      <w:pPr>
        <w:spacing w:line="440" w:lineRule="exact"/>
        <w:ind w:firstLine="420" w:firstLineChars="200"/>
        <w:rPr>
          <w:rFonts w:hint="eastAsia" w:ascii="宋体" w:hAnsi="宋体" w:eastAsia="宋体" w:cs="宋体"/>
          <w:color w:val="auto"/>
          <w:szCs w:val="21"/>
        </w:rPr>
      </w:pPr>
      <w:bookmarkStart w:id="71" w:name="_Toc16312"/>
      <w:bookmarkStart w:id="72" w:name="_Toc2809"/>
      <w:bookmarkStart w:id="73" w:name="_Toc28932"/>
      <w:r>
        <w:rPr>
          <w:rFonts w:hint="eastAsia" w:ascii="宋体" w:hAnsi="宋体" w:eastAsia="宋体" w:cs="宋体"/>
          <w:color w:val="auto"/>
          <w:szCs w:val="21"/>
        </w:rPr>
        <w:t>（1）响应函</w:t>
      </w:r>
      <w:r>
        <w:rPr>
          <w:rFonts w:hint="eastAsia" w:ascii="宋体" w:hAnsi="宋体" w:eastAsia="宋体" w:cs="宋体"/>
          <w:b/>
          <w:bCs/>
          <w:color w:val="auto"/>
          <w:szCs w:val="21"/>
        </w:rPr>
        <w:t>（必须提供）</w:t>
      </w:r>
      <w:bookmarkEnd w:id="71"/>
      <w:r>
        <w:rPr>
          <w:rFonts w:hint="eastAsia" w:ascii="宋体" w:hAnsi="宋体" w:eastAsia="宋体" w:cs="宋体"/>
          <w:color w:val="auto"/>
          <w:szCs w:val="21"/>
        </w:rPr>
        <w:t>；</w:t>
      </w:r>
      <w:bookmarkEnd w:id="72"/>
      <w:bookmarkEnd w:id="73"/>
    </w:p>
    <w:p w14:paraId="1F3FB54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（2）磋商报价</w:t>
      </w:r>
      <w:r>
        <w:rPr>
          <w:rFonts w:hint="eastAsia" w:ascii="宋体" w:hAnsi="宋体" w:eastAsia="宋体" w:cs="宋体"/>
          <w:bCs/>
          <w:color w:val="auto"/>
          <w:kern w:val="0"/>
          <w:szCs w:val="21"/>
        </w:rPr>
        <w:t>表</w:t>
      </w:r>
      <w:r>
        <w:rPr>
          <w:rFonts w:hint="eastAsia" w:ascii="宋体" w:hAnsi="宋体" w:eastAsia="宋体" w:cs="宋体"/>
          <w:b/>
          <w:bCs/>
          <w:color w:val="auto"/>
          <w:szCs w:val="21"/>
        </w:rPr>
        <w:t>（必须提供）</w:t>
      </w:r>
      <w:r>
        <w:rPr>
          <w:rFonts w:hint="eastAsia" w:ascii="宋体" w:hAnsi="宋体" w:eastAsia="宋体" w:cs="宋体"/>
          <w:color w:val="auto"/>
          <w:szCs w:val="21"/>
        </w:rPr>
        <w:t>；</w:t>
      </w:r>
    </w:p>
    <w:p w14:paraId="5089B814">
      <w:pPr>
        <w:pStyle w:val="17"/>
        <w:spacing w:line="440" w:lineRule="exact"/>
        <w:ind w:left="0" w:leftChars="0"/>
        <w:rPr>
          <w:rFonts w:hint="eastAsia" w:ascii="宋体" w:hAnsi="宋体" w:eastAsia="宋体" w:cs="宋体"/>
          <w:color w:val="auto"/>
          <w:szCs w:val="21"/>
        </w:rPr>
      </w:pPr>
      <w:r>
        <w:rPr>
          <w:rFonts w:hint="eastAsia" w:ascii="宋体" w:hAnsi="宋体" w:eastAsia="宋体" w:cs="宋体"/>
          <w:color w:val="auto"/>
          <w:szCs w:val="21"/>
        </w:rPr>
        <w:t>（3）项目需求要求响应表</w:t>
      </w:r>
      <w:r>
        <w:rPr>
          <w:rFonts w:hint="eastAsia" w:ascii="宋体" w:hAnsi="宋体" w:eastAsia="宋体" w:cs="宋体"/>
          <w:b/>
          <w:bCs/>
          <w:color w:val="auto"/>
          <w:szCs w:val="21"/>
        </w:rPr>
        <w:t>（必须提供）。</w:t>
      </w:r>
    </w:p>
    <w:p w14:paraId="3F070212">
      <w:pPr>
        <w:pStyle w:val="17"/>
        <w:spacing w:line="440" w:lineRule="exact"/>
        <w:ind w:left="0" w:leftChars="0" w:firstLine="422"/>
        <w:rPr>
          <w:rFonts w:hint="eastAsia" w:ascii="宋体" w:hAnsi="宋体" w:eastAsia="宋体" w:cs="宋体"/>
          <w:b/>
          <w:bCs/>
          <w:color w:val="auto"/>
          <w:szCs w:val="21"/>
        </w:rPr>
      </w:pPr>
      <w:r>
        <w:rPr>
          <w:rFonts w:hint="eastAsia" w:ascii="宋体" w:hAnsi="宋体" w:eastAsia="宋体" w:cs="宋体"/>
          <w:b/>
          <w:bCs/>
          <w:color w:val="auto"/>
          <w:szCs w:val="21"/>
        </w:rPr>
        <w:t>11.2.1.3其他有效证明材料</w:t>
      </w:r>
    </w:p>
    <w:p w14:paraId="020CA4C4">
      <w:pPr>
        <w:spacing w:line="44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（1）供应商符合本项目评审办法要求的业绩相关证明材料（无不良记录，以中标/成交通知书或签订的合同为准，需能清晰反映项目的名称、项目金额、项目时间，否则不予认可）</w:t>
      </w:r>
      <w:r>
        <w:rPr>
          <w:rFonts w:hint="eastAsia" w:ascii="宋体" w:hAnsi="宋体" w:eastAsia="宋体" w:cs="宋体"/>
          <w:b/>
          <w:bCs/>
          <w:color w:val="auto"/>
          <w:szCs w:val="21"/>
        </w:rPr>
        <w:t>（如有，请提供）；</w:t>
      </w:r>
    </w:p>
    <w:p w14:paraId="4662AD8D">
      <w:pPr>
        <w:spacing w:line="44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（2）项目方案</w:t>
      </w:r>
      <w:r>
        <w:rPr>
          <w:rFonts w:hint="eastAsia" w:ascii="宋体" w:hAnsi="宋体" w:eastAsia="宋体" w:cs="宋体"/>
          <w:b/>
          <w:bCs/>
          <w:color w:val="auto"/>
          <w:szCs w:val="21"/>
        </w:rPr>
        <w:t>（如有，请提供）；</w:t>
      </w:r>
    </w:p>
    <w:p w14:paraId="475E5B0D">
      <w:pPr>
        <w:spacing w:line="44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（3）商务评审证明材料</w:t>
      </w:r>
      <w:r>
        <w:rPr>
          <w:rFonts w:hint="eastAsia" w:ascii="宋体" w:hAnsi="宋体" w:eastAsia="宋体" w:cs="宋体"/>
          <w:b/>
          <w:bCs/>
          <w:color w:val="auto"/>
          <w:szCs w:val="21"/>
        </w:rPr>
        <w:t>（如有，请提供）；</w:t>
      </w:r>
    </w:p>
    <w:p w14:paraId="7060B1E2">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（4）供应商可结合本项目的评审办法视自身情况自行提交其它相关证明材料</w:t>
      </w:r>
      <w:r>
        <w:rPr>
          <w:rFonts w:hint="eastAsia" w:ascii="宋体" w:hAnsi="宋体" w:eastAsia="宋体" w:cs="宋体"/>
          <w:b/>
          <w:bCs/>
          <w:color w:val="auto"/>
        </w:rPr>
        <w:t>（如有，请提供）</w:t>
      </w:r>
      <w:r>
        <w:rPr>
          <w:rFonts w:hint="eastAsia" w:ascii="宋体" w:hAnsi="宋体" w:eastAsia="宋体" w:cs="宋体"/>
          <w:b/>
          <w:bCs/>
          <w:color w:val="auto"/>
          <w:szCs w:val="21"/>
        </w:rPr>
        <w:t>；</w:t>
      </w:r>
    </w:p>
    <w:p w14:paraId="522EF3E2">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（5）联合体协议书（</w:t>
      </w:r>
      <w:r>
        <w:rPr>
          <w:rFonts w:hint="eastAsia" w:ascii="宋体" w:hAnsi="宋体" w:eastAsia="宋体" w:cs="宋体"/>
          <w:b/>
          <w:bCs/>
          <w:color w:val="auto"/>
        </w:rPr>
        <w:t>如有，请提供</w:t>
      </w:r>
      <w:r>
        <w:rPr>
          <w:rFonts w:hint="eastAsia" w:ascii="宋体" w:hAnsi="宋体" w:eastAsia="宋体" w:cs="宋体"/>
          <w:color w:val="auto"/>
          <w:szCs w:val="21"/>
        </w:rPr>
        <w:t>）。</w:t>
      </w:r>
    </w:p>
    <w:p w14:paraId="7969B91B">
      <w:pPr>
        <w:spacing w:line="440" w:lineRule="exact"/>
        <w:ind w:firstLine="420"/>
        <w:rPr>
          <w:rFonts w:hint="eastAsia" w:ascii="宋体" w:hAnsi="宋体" w:eastAsia="宋体" w:cs="宋体"/>
          <w:b/>
          <w:bCs/>
          <w:color w:val="auto"/>
        </w:rPr>
      </w:pPr>
      <w:r>
        <w:rPr>
          <w:rFonts w:hint="eastAsia" w:ascii="宋体" w:hAnsi="宋体" w:eastAsia="宋体" w:cs="宋体"/>
          <w:b/>
          <w:bCs/>
          <w:color w:val="auto"/>
          <w:szCs w:val="21"/>
        </w:rPr>
        <w:t>供应商</w:t>
      </w:r>
      <w:r>
        <w:rPr>
          <w:rFonts w:hint="eastAsia" w:ascii="宋体" w:hAnsi="宋体" w:eastAsia="宋体" w:cs="宋体"/>
          <w:b/>
          <w:bCs/>
          <w:color w:val="auto"/>
        </w:rPr>
        <w:t>提供的以上相关证明材料属于“必须提供”的文件应加盖磋商供应商CA签章，否则响应无效。</w:t>
      </w:r>
    </w:p>
    <w:p w14:paraId="3D93291A">
      <w:pPr>
        <w:pStyle w:val="7"/>
        <w:ind w:firstLine="422" w:firstLineChars="200"/>
        <w:rPr>
          <w:rFonts w:hint="eastAsia" w:ascii="宋体" w:hAnsi="宋体" w:eastAsia="宋体" w:cs="宋体"/>
          <w:color w:val="auto"/>
        </w:rPr>
      </w:pPr>
      <w:r>
        <w:rPr>
          <w:rFonts w:hint="eastAsia" w:ascii="宋体" w:hAnsi="宋体" w:eastAsia="宋体" w:cs="宋体"/>
          <w:b/>
          <w:bCs/>
          <w:color w:val="auto"/>
          <w:szCs w:val="21"/>
        </w:rPr>
        <w:t>供应商</w:t>
      </w:r>
      <w:r>
        <w:rPr>
          <w:rFonts w:hint="eastAsia" w:ascii="宋体" w:hAnsi="宋体" w:eastAsia="宋体" w:cs="宋体"/>
          <w:b/>
          <w:bCs/>
          <w:color w:val="auto"/>
        </w:rPr>
        <w:t>提供的以上相关证明材料应当符合规定要求并且清晰明确，如提供的相关证明材料不符合规定要求或无法辨认的，不予认可。</w:t>
      </w:r>
    </w:p>
    <w:p w14:paraId="0950F310">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11.3 供应商应按竞争性磋商文件第六章“响应文件（格式）”编制响应文件。</w:t>
      </w:r>
    </w:p>
    <w:p w14:paraId="3884B1B8">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特别说明：</w:t>
      </w:r>
    </w:p>
    <w:p w14:paraId="5266F251">
      <w:pPr>
        <w:spacing w:line="440" w:lineRule="exact"/>
        <w:ind w:firstLine="422" w:firstLineChars="200"/>
        <w:rPr>
          <w:rFonts w:hint="eastAsia" w:ascii="宋体" w:hAnsi="宋体" w:eastAsia="宋体" w:cs="宋体"/>
          <w:b/>
          <w:color w:val="auto"/>
          <w:szCs w:val="21"/>
        </w:rPr>
      </w:pPr>
      <w:r>
        <w:rPr>
          <w:rFonts w:hint="eastAsia" w:ascii="宋体" w:hAnsi="宋体" w:eastAsia="宋体" w:cs="宋体"/>
          <w:b/>
          <w:bCs/>
          <w:color w:val="auto"/>
          <w:szCs w:val="21"/>
        </w:rPr>
        <w:t>（1）响</w:t>
      </w:r>
      <w:r>
        <w:rPr>
          <w:rFonts w:hint="eastAsia" w:ascii="宋体" w:hAnsi="宋体" w:eastAsia="宋体" w:cs="宋体"/>
          <w:b/>
          <w:color w:val="auto"/>
          <w:szCs w:val="21"/>
        </w:rPr>
        <w:t>应文件（电子响应文件），其中电子响应文件中所须加盖公章部分均采用CA签章。若磋商文件中有专门标注的某关联点，并要求供应商在电子响应系统中作出磋商响应的，如供应商未对关联点进行响应或者在响应文件其它内容进行描述，造成电子评审不能查询的责任由供应商自行承担。</w:t>
      </w:r>
    </w:p>
    <w:p w14:paraId="5C1853AD">
      <w:pPr>
        <w:numPr>
          <w:ilvl w:val="0"/>
          <w:numId w:val="2"/>
        </w:numPr>
        <w:spacing w:line="440" w:lineRule="exact"/>
        <w:ind w:firstLine="422" w:firstLineChars="200"/>
        <w:rPr>
          <w:rFonts w:hint="eastAsia" w:ascii="宋体" w:hAnsi="宋体" w:eastAsia="宋体" w:cs="宋体"/>
          <w:b/>
          <w:color w:val="auto"/>
          <w:szCs w:val="21"/>
        </w:rPr>
      </w:pPr>
      <w:r>
        <w:rPr>
          <w:rFonts w:hint="eastAsia" w:ascii="宋体" w:hAnsi="宋体" w:eastAsia="宋体" w:cs="宋体"/>
          <w:b/>
          <w:bCs/>
          <w:color w:val="auto"/>
          <w:szCs w:val="21"/>
        </w:rPr>
        <w:t>磋商文件要求法定代表人（负责人）或委托代理人签字的部分必须签字然后扫描或者拍照做成 pdf 格式上传（或加盖个人CA签章），无签字的视为响应无效。</w:t>
      </w:r>
    </w:p>
    <w:p w14:paraId="50E70979">
      <w:pPr>
        <w:pStyle w:val="4"/>
        <w:widowControl w:val="0"/>
        <w:spacing w:before="0" w:after="0" w:line="440" w:lineRule="exact"/>
        <w:ind w:firstLine="422" w:firstLineChars="200"/>
        <w:rPr>
          <w:rFonts w:hint="eastAsia" w:ascii="宋体" w:hAnsi="宋体" w:eastAsia="宋体" w:cs="宋体"/>
          <w:color w:val="auto"/>
          <w:sz w:val="21"/>
          <w:szCs w:val="21"/>
        </w:rPr>
      </w:pPr>
      <w:bookmarkStart w:id="74" w:name="_Toc2180"/>
      <w:bookmarkStart w:id="75" w:name="_Toc13660"/>
      <w:r>
        <w:rPr>
          <w:rFonts w:hint="eastAsia" w:ascii="宋体" w:hAnsi="宋体" w:eastAsia="宋体" w:cs="宋体"/>
          <w:color w:val="auto"/>
          <w:sz w:val="21"/>
          <w:szCs w:val="21"/>
        </w:rPr>
        <w:t>12. 响应文件的语言及计量</w:t>
      </w:r>
      <w:bookmarkEnd w:id="74"/>
      <w:bookmarkEnd w:id="75"/>
    </w:p>
    <w:p w14:paraId="4CD6ED82">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34F9F89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12.2 磋商计量单位，磋商文件已有明确规定的，使用磋商文件规定的计量单位；磋商文件没有规定的，应采用中华人民共和国法定计量单位（货币单位：人民币元），否则视同未响应。</w:t>
      </w:r>
    </w:p>
    <w:p w14:paraId="06588AD6">
      <w:pPr>
        <w:pStyle w:val="4"/>
        <w:widowControl w:val="0"/>
        <w:spacing w:before="0" w:after="0" w:line="440" w:lineRule="exact"/>
        <w:ind w:firstLine="422" w:firstLineChars="200"/>
        <w:rPr>
          <w:rFonts w:hint="eastAsia" w:ascii="宋体" w:hAnsi="宋体" w:eastAsia="宋体" w:cs="宋体"/>
          <w:color w:val="auto"/>
          <w:sz w:val="21"/>
          <w:szCs w:val="21"/>
        </w:rPr>
      </w:pPr>
      <w:bookmarkStart w:id="76" w:name="_Toc3058"/>
      <w:bookmarkStart w:id="77" w:name="_Toc10838"/>
      <w:r>
        <w:rPr>
          <w:rFonts w:hint="eastAsia" w:ascii="宋体" w:hAnsi="宋体" w:eastAsia="宋体" w:cs="宋体"/>
          <w:color w:val="auto"/>
          <w:sz w:val="21"/>
          <w:szCs w:val="21"/>
        </w:rPr>
        <w:t>13. 磋商报价及采购预算金额</w:t>
      </w:r>
      <w:bookmarkEnd w:id="76"/>
      <w:bookmarkEnd w:id="77"/>
    </w:p>
    <w:p w14:paraId="190CB8D8">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13.1供应商必须就“采购需求”中的所有内容作完整唯一报价，响应文件只允许有一个报价方案，有选择的或有条件的报价将不予接受。</w:t>
      </w:r>
    </w:p>
    <w:p w14:paraId="259C8581">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13.2</w:t>
      </w:r>
      <w:r>
        <w:rPr>
          <w:rFonts w:hint="eastAsia" w:ascii="宋体" w:hAnsi="宋体" w:eastAsia="宋体" w:cs="宋体"/>
          <w:color w:val="auto"/>
          <w:szCs w:val="21"/>
        </w:rPr>
        <w:t>采购预算金额（人民币）：14</w:t>
      </w:r>
      <w:r>
        <w:rPr>
          <w:rFonts w:hint="eastAsia" w:ascii="宋体" w:hAnsi="宋体" w:cs="宋体"/>
          <w:color w:val="auto"/>
          <w:szCs w:val="21"/>
          <w:lang w:val="en-US" w:eastAsia="zh-CN"/>
        </w:rPr>
        <w:t>8000</w:t>
      </w:r>
      <w:r>
        <w:rPr>
          <w:rFonts w:hint="eastAsia" w:ascii="宋体" w:hAnsi="宋体" w:eastAsia="宋体" w:cs="宋体"/>
          <w:color w:val="auto"/>
          <w:szCs w:val="21"/>
        </w:rPr>
        <w:t>0</w:t>
      </w:r>
      <w:r>
        <w:rPr>
          <w:rFonts w:hint="eastAsia" w:ascii="宋体" w:hAnsi="宋体" w:cs="宋体"/>
          <w:color w:val="auto"/>
          <w:szCs w:val="21"/>
          <w:lang w:val="en-US" w:eastAsia="zh-CN"/>
        </w:rPr>
        <w:t>.00元，</w:t>
      </w:r>
      <w:r>
        <w:rPr>
          <w:rFonts w:hint="eastAsia" w:ascii="宋体" w:hAnsi="宋体" w:eastAsia="宋体" w:cs="宋体"/>
          <w:color w:val="auto"/>
          <w:szCs w:val="21"/>
        </w:rPr>
        <w:t>最高限价</w:t>
      </w:r>
      <w:r>
        <w:rPr>
          <w:rFonts w:hint="eastAsia" w:ascii="宋体" w:hAnsi="宋体" w:cs="宋体"/>
          <w:color w:val="auto"/>
          <w:szCs w:val="21"/>
          <w:lang w:eastAsia="zh-CN"/>
        </w:rPr>
        <w:t>（人民币）：</w:t>
      </w:r>
      <w:r>
        <w:rPr>
          <w:rFonts w:hint="eastAsia" w:ascii="宋体" w:hAnsi="宋体" w:eastAsia="宋体" w:cs="宋体"/>
          <w:color w:val="auto"/>
          <w:szCs w:val="21"/>
        </w:rPr>
        <w:t>1479980.00元</w:t>
      </w:r>
      <w:r>
        <w:rPr>
          <w:rFonts w:hint="eastAsia" w:ascii="宋体" w:hAnsi="宋体" w:eastAsia="宋体" w:cs="宋体"/>
          <w:bCs/>
          <w:color w:val="auto"/>
          <w:szCs w:val="21"/>
        </w:rPr>
        <w:t>。报价超采购预算金额或最高限价金额的，响应文件作无效处理。</w:t>
      </w:r>
    </w:p>
    <w:p w14:paraId="72AE2F1A">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13.3供应商磋商报价应综合考虑完成本项目产生的所有成本、税金及合理利润，具体包含但不限于完成项目需求表包含的所有设备、服务、相关技术支持、售后服务、差旅、劳务、材料、培训、验收、交通、保险、各项税金及由于市场价格波动增加的费用，以及不可预见费等全部费用。</w:t>
      </w:r>
    </w:p>
    <w:p w14:paraId="00642775">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 xml:space="preserve">13.4未书面退出磋商的供应商必须在规定时间内登录广西政府采购云平台在线提交最后报价，其最后报价不得超出采购预算；磋商过程中磋商文件未作实质性变动的，最后报价不得超过首次报价。 </w:t>
      </w:r>
    </w:p>
    <w:p w14:paraId="75F77C4D">
      <w:pPr>
        <w:pStyle w:val="4"/>
        <w:widowControl w:val="0"/>
        <w:spacing w:before="0" w:after="0" w:line="440" w:lineRule="exact"/>
        <w:ind w:firstLine="422" w:firstLineChars="200"/>
        <w:rPr>
          <w:rFonts w:hint="eastAsia" w:ascii="宋体" w:hAnsi="宋体" w:eastAsia="宋体" w:cs="宋体"/>
          <w:color w:val="auto"/>
          <w:sz w:val="21"/>
          <w:szCs w:val="21"/>
        </w:rPr>
      </w:pPr>
      <w:bookmarkStart w:id="78" w:name="_Toc26881"/>
      <w:bookmarkStart w:id="79" w:name="_Toc30554"/>
      <w:r>
        <w:rPr>
          <w:rFonts w:hint="eastAsia" w:ascii="宋体" w:hAnsi="宋体" w:eastAsia="宋体" w:cs="宋体"/>
          <w:color w:val="auto"/>
          <w:sz w:val="21"/>
          <w:szCs w:val="21"/>
        </w:rPr>
        <w:t>14. 响应文件有效期</w:t>
      </w:r>
      <w:bookmarkEnd w:id="78"/>
      <w:bookmarkEnd w:id="79"/>
    </w:p>
    <w:p w14:paraId="1F19F80C">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14.1 响应文件有效期：响应文件递交截止时间之日起90天，有效期不足的响应文件将被拒绝。</w:t>
      </w:r>
    </w:p>
    <w:p w14:paraId="6D80825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14.2 出现特殊情况下，需要延长响应文件有效期的，采购代理机构书面通知供应商延长响应文件有效期。供应商同意延长的，但不能修改响应文件。供应商拒绝延长的，其响应文件无效。</w:t>
      </w:r>
    </w:p>
    <w:p w14:paraId="0809800A">
      <w:pPr>
        <w:pStyle w:val="4"/>
        <w:widowControl w:val="0"/>
        <w:spacing w:before="0" w:after="0" w:line="440" w:lineRule="exact"/>
        <w:ind w:firstLine="422" w:firstLineChars="200"/>
        <w:rPr>
          <w:rFonts w:hint="eastAsia" w:ascii="宋体" w:hAnsi="宋体" w:eastAsia="宋体" w:cs="宋体"/>
          <w:color w:val="auto"/>
          <w:sz w:val="21"/>
          <w:szCs w:val="21"/>
        </w:rPr>
      </w:pPr>
      <w:bookmarkStart w:id="80" w:name="_Toc22602"/>
      <w:bookmarkStart w:id="81" w:name="_Toc20698"/>
      <w:r>
        <w:rPr>
          <w:rFonts w:hint="eastAsia" w:ascii="宋体" w:hAnsi="宋体" w:eastAsia="宋体" w:cs="宋体"/>
          <w:color w:val="auto"/>
          <w:sz w:val="21"/>
          <w:szCs w:val="21"/>
        </w:rPr>
        <w:t>15. 保证金</w:t>
      </w:r>
      <w:bookmarkEnd w:id="80"/>
      <w:bookmarkEnd w:id="81"/>
    </w:p>
    <w:p w14:paraId="73F3CA79">
      <w:pPr>
        <w:spacing w:line="44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本项目无需缴纳磋商保证金。</w:t>
      </w:r>
    </w:p>
    <w:p w14:paraId="75AF5216">
      <w:pPr>
        <w:pStyle w:val="4"/>
        <w:widowControl w:val="0"/>
        <w:spacing w:before="0" w:after="0" w:line="440" w:lineRule="exact"/>
        <w:ind w:firstLine="422" w:firstLineChars="200"/>
        <w:rPr>
          <w:rFonts w:hint="eastAsia" w:ascii="宋体" w:hAnsi="宋体" w:eastAsia="宋体" w:cs="宋体"/>
          <w:color w:val="auto"/>
          <w:sz w:val="21"/>
          <w:szCs w:val="21"/>
        </w:rPr>
      </w:pPr>
      <w:bookmarkStart w:id="82" w:name="_Toc387"/>
      <w:bookmarkStart w:id="83" w:name="_Toc30118"/>
      <w:r>
        <w:rPr>
          <w:rFonts w:hint="eastAsia" w:ascii="宋体" w:hAnsi="宋体" w:eastAsia="宋体" w:cs="宋体"/>
          <w:color w:val="auto"/>
          <w:sz w:val="21"/>
          <w:szCs w:val="21"/>
        </w:rPr>
        <w:t>16. 竞争性磋商响应文件的</w:t>
      </w:r>
      <w:bookmarkEnd w:id="82"/>
      <w:r>
        <w:rPr>
          <w:rFonts w:hint="eastAsia" w:ascii="宋体" w:hAnsi="宋体" w:eastAsia="宋体" w:cs="宋体"/>
          <w:color w:val="auto"/>
          <w:sz w:val="21"/>
          <w:szCs w:val="21"/>
        </w:rPr>
        <w:t>制作</w:t>
      </w:r>
      <w:bookmarkEnd w:id="83"/>
    </w:p>
    <w:p w14:paraId="6EFC1E9E">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21407FD5">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14:paraId="5E92CB0B">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16.3 磋商响应文件不得涂改，若有修改错漏处，须法定代表人（负责人）或授权委托人签字（或个人CA签章）。磋商响应文件因字迹潦草或表达不清所引起的后果由供应商负责。</w:t>
      </w:r>
    </w:p>
    <w:p w14:paraId="1EB6F5FF">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16.4磋商前准备 </w:t>
      </w:r>
    </w:p>
    <w:p w14:paraId="691F6A9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16.4.1本项目实行在线磋商，采用电子磋商响应文件。若供应商参与磋商，自行承担磋商一切费用。 </w:t>
      </w:r>
    </w:p>
    <w:p w14:paraId="6B82A4A7">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14:paraId="2E8E938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16.4.3供应商将广西政府采购云平台电子交易客户端下载、安装完成后，可通过账号密码或 CA 登录客户端进行响应文件制作。客户端请至网站下载专区查看，如有问题可拨打广西政府采购云平台客户服务热线 95763 进行咨询。</w:t>
      </w:r>
    </w:p>
    <w:p w14:paraId="40F4C699">
      <w:pPr>
        <w:pStyle w:val="4"/>
        <w:widowControl w:val="0"/>
        <w:spacing w:before="0" w:after="0" w:line="440" w:lineRule="exact"/>
        <w:ind w:firstLine="422" w:firstLineChars="200"/>
        <w:rPr>
          <w:rFonts w:hint="eastAsia" w:ascii="宋体" w:hAnsi="宋体" w:eastAsia="宋体" w:cs="宋体"/>
          <w:color w:val="auto"/>
          <w:sz w:val="21"/>
          <w:szCs w:val="21"/>
        </w:rPr>
      </w:pPr>
      <w:bookmarkStart w:id="84" w:name="_Toc9738"/>
      <w:r>
        <w:rPr>
          <w:rFonts w:hint="eastAsia" w:ascii="宋体" w:hAnsi="宋体" w:eastAsia="宋体" w:cs="宋体"/>
          <w:color w:val="auto"/>
          <w:sz w:val="21"/>
          <w:szCs w:val="21"/>
        </w:rPr>
        <w:t>17. 响应文件的修改和撤回</w:t>
      </w:r>
      <w:bookmarkEnd w:id="84"/>
    </w:p>
    <w:p w14:paraId="2F04B505">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5724010C">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17.2 在响应文件递交截止时间后的响应文件有效期内，供应商不得撤回其响应文件。</w:t>
      </w:r>
    </w:p>
    <w:p w14:paraId="7658A494">
      <w:pPr>
        <w:pStyle w:val="4"/>
        <w:widowControl w:val="0"/>
        <w:spacing w:before="0" w:after="0" w:line="440" w:lineRule="exact"/>
        <w:ind w:firstLine="422" w:firstLineChars="200"/>
        <w:rPr>
          <w:rFonts w:hint="eastAsia" w:ascii="宋体" w:hAnsi="宋体" w:eastAsia="宋体" w:cs="宋体"/>
          <w:color w:val="auto"/>
          <w:sz w:val="21"/>
          <w:szCs w:val="21"/>
        </w:rPr>
      </w:pPr>
      <w:bookmarkStart w:id="85" w:name="_Toc30156"/>
      <w:bookmarkStart w:id="86" w:name="_Toc24690"/>
      <w:r>
        <w:rPr>
          <w:rFonts w:hint="eastAsia" w:ascii="宋体" w:hAnsi="宋体" w:eastAsia="宋体" w:cs="宋体"/>
          <w:color w:val="auto"/>
          <w:sz w:val="21"/>
          <w:szCs w:val="21"/>
        </w:rPr>
        <w:t>18. 响应文件的递交和解密</w:t>
      </w:r>
      <w:bookmarkEnd w:id="85"/>
      <w:bookmarkEnd w:id="86"/>
    </w:p>
    <w:p w14:paraId="38E44790">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18.1响应文件递交截止时间：于</w:t>
      </w:r>
      <w:r>
        <w:rPr>
          <w:rFonts w:hint="eastAsia" w:ascii="宋体" w:hAnsi="宋体" w:eastAsia="宋体" w:cs="宋体"/>
          <w:b/>
          <w:bCs/>
          <w:color w:val="auto"/>
          <w:szCs w:val="21"/>
          <w:u w:val="single"/>
        </w:rPr>
        <w:t>2025年</w:t>
      </w:r>
      <w:r>
        <w:rPr>
          <w:rFonts w:hint="eastAsia" w:ascii="宋体" w:hAnsi="宋体" w:eastAsia="宋体" w:cs="宋体"/>
          <w:b/>
          <w:bCs/>
          <w:color w:val="auto"/>
          <w:szCs w:val="21"/>
          <w:u w:val="single"/>
          <w:lang w:val="en-US" w:eastAsia="zh-CN"/>
        </w:rPr>
        <w:t>5</w:t>
      </w:r>
      <w:r>
        <w:rPr>
          <w:rFonts w:hint="eastAsia" w:ascii="宋体" w:hAnsi="宋体" w:eastAsia="宋体" w:cs="宋体"/>
          <w:b/>
          <w:bCs/>
          <w:color w:val="auto"/>
          <w:szCs w:val="21"/>
          <w:u w:val="single"/>
        </w:rPr>
        <w:t>月</w:t>
      </w:r>
      <w:r>
        <w:rPr>
          <w:rFonts w:hint="eastAsia" w:ascii="宋体" w:hAnsi="宋体" w:eastAsia="宋体" w:cs="宋体"/>
          <w:b/>
          <w:bCs/>
          <w:color w:val="auto"/>
          <w:szCs w:val="21"/>
          <w:u w:val="single"/>
          <w:lang w:val="en-US" w:eastAsia="zh-CN"/>
        </w:rPr>
        <w:t>9</w:t>
      </w:r>
      <w:r>
        <w:rPr>
          <w:rFonts w:hint="eastAsia" w:ascii="宋体" w:hAnsi="宋体" w:eastAsia="宋体" w:cs="宋体"/>
          <w:b/>
          <w:bCs/>
          <w:color w:val="auto"/>
          <w:szCs w:val="21"/>
          <w:u w:val="single"/>
        </w:rPr>
        <w:t>日</w:t>
      </w:r>
      <w:r>
        <w:rPr>
          <w:rFonts w:hint="eastAsia" w:ascii="宋体" w:hAnsi="宋体" w:eastAsia="宋体" w:cs="宋体"/>
          <w:b/>
          <w:bCs/>
          <w:color w:val="auto"/>
          <w:szCs w:val="21"/>
          <w:u w:val="single"/>
          <w:lang w:val="en-US" w:eastAsia="zh-CN"/>
        </w:rPr>
        <w:t>9时30</w:t>
      </w:r>
      <w:r>
        <w:rPr>
          <w:rFonts w:hint="eastAsia" w:ascii="宋体" w:hAnsi="宋体" w:eastAsia="宋体" w:cs="宋体"/>
          <w:b/>
          <w:bCs/>
          <w:color w:val="auto"/>
          <w:szCs w:val="21"/>
          <w:u w:val="single"/>
        </w:rPr>
        <w:t>分</w:t>
      </w:r>
      <w:r>
        <w:rPr>
          <w:rFonts w:hint="eastAsia" w:ascii="宋体" w:hAnsi="宋体" w:eastAsia="宋体" w:cs="宋体"/>
          <w:color w:val="auto"/>
          <w:szCs w:val="21"/>
        </w:rPr>
        <w:t>之前将电子磋商响应文件上传到广西政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95763。</w:t>
      </w:r>
    </w:p>
    <w:p w14:paraId="313ACAB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18.2磋商响应文件解密时间：截标时间后</w:t>
      </w:r>
      <w:r>
        <w:rPr>
          <w:rFonts w:hint="eastAsia" w:ascii="宋体" w:hAnsi="宋体" w:eastAsia="宋体" w:cs="宋体"/>
          <w:color w:val="auto"/>
          <w:szCs w:val="21"/>
          <w:u w:val="single"/>
        </w:rPr>
        <w:t>30</w:t>
      </w:r>
      <w:r>
        <w:rPr>
          <w:rFonts w:hint="eastAsia" w:ascii="宋体" w:hAnsi="宋体" w:eastAsia="宋体" w:cs="宋体"/>
          <w:color w:val="auto"/>
          <w:szCs w:val="21"/>
        </w:rPr>
        <w:t>分钟内磋商供应商可以登录广西政府采购云平台，用“项目采购-开标评标”功能进行解密磋商文件。若磋商供应商在规定时间内无法解密或解密失败，可以以电子备份磋商响应文件作为依据</w:t>
      </w:r>
      <w:r>
        <w:rPr>
          <w:rFonts w:hint="eastAsia" w:ascii="宋体" w:hAnsi="宋体" w:eastAsia="宋体" w:cs="宋体"/>
          <w:b/>
          <w:bCs/>
          <w:color w:val="auto"/>
          <w:szCs w:val="21"/>
        </w:rPr>
        <w:t>【</w:t>
      </w:r>
      <w:r>
        <w:rPr>
          <w:rFonts w:hint="eastAsia" w:ascii="宋体" w:hAnsi="宋体" w:eastAsia="宋体" w:cs="宋体"/>
          <w:b/>
          <w:bCs/>
          <w:color w:val="auto"/>
        </w:rPr>
        <w:t>在接到无法解密或解密失败的通知后，磋商供应商可根据自身实际情况按通知时要求的时间到桂林市公共资源交易中心</w:t>
      </w:r>
      <w:r>
        <w:rPr>
          <w:rFonts w:hint="eastAsia" w:ascii="宋体" w:hAnsi="宋体" w:eastAsia="宋体" w:cs="宋体"/>
          <w:b/>
          <w:bCs/>
          <w:color w:val="auto"/>
          <w:lang w:val="en-US" w:eastAsia="zh-CN"/>
        </w:rPr>
        <w:t>5</w:t>
      </w:r>
      <w:r>
        <w:rPr>
          <w:rFonts w:hint="eastAsia" w:ascii="宋体" w:hAnsi="宋体" w:eastAsia="宋体" w:cs="宋体"/>
          <w:b/>
          <w:bCs/>
          <w:color w:val="auto"/>
        </w:rPr>
        <w:t>号政采开标仓（广西桂林市临桂区西城中路69号创业大厦西辅楼4楼北区）现场提交或以电子邮件的形式（以通知时所告知的电子邮箱地址为准）提交电子备份磋商响应文件</w:t>
      </w:r>
      <w:r>
        <w:rPr>
          <w:rFonts w:hint="eastAsia" w:ascii="宋体" w:hAnsi="宋体" w:eastAsia="宋体" w:cs="宋体"/>
          <w:b/>
          <w:bCs/>
          <w:color w:val="auto"/>
          <w:szCs w:val="21"/>
        </w:rPr>
        <w:t>】</w:t>
      </w:r>
      <w:r>
        <w:rPr>
          <w:rFonts w:hint="eastAsia" w:ascii="宋体" w:hAnsi="宋体" w:eastAsia="宋体" w:cs="宋体"/>
          <w:color w:val="auto"/>
          <w:szCs w:val="21"/>
        </w:rPr>
        <w:t>，若磋商供应商在规定时间内无法解密或解密失败且未提供电子备份磋商响应文件的(包含提供的电子备份文件无效或无法解密的情况)，视为响应文件撤回。</w:t>
      </w:r>
    </w:p>
    <w:p w14:paraId="7AFA08F2">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18.3 除竞争性磋商文件另有规定外，供应商所递交的响应文件不予退还。</w:t>
      </w:r>
    </w:p>
    <w:p w14:paraId="512FC80E">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18.4 电子响应文件的相关说明</w:t>
      </w:r>
    </w:p>
    <w:p w14:paraId="6E7F7FD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供应商进行电子响应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19A94FF0">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szCs w:val="21"/>
        </w:rPr>
        <w:t>（2）如有特殊情况，采购代理机构延长截止时间和开标时间，采购代理机构和供应商的权利和义务将受到新的截止时间和开标时间的约束。</w:t>
      </w:r>
    </w:p>
    <w:p w14:paraId="5C7595A0">
      <w:pPr>
        <w:pStyle w:val="3"/>
        <w:tabs>
          <w:tab w:val="left" w:pos="567"/>
        </w:tabs>
        <w:spacing w:line="440" w:lineRule="exact"/>
        <w:jc w:val="center"/>
        <w:rPr>
          <w:rFonts w:hint="eastAsia" w:ascii="宋体" w:hAnsi="宋体" w:eastAsia="宋体" w:cs="宋体"/>
          <w:bCs w:val="0"/>
          <w:color w:val="auto"/>
          <w:szCs w:val="28"/>
        </w:rPr>
      </w:pPr>
      <w:bookmarkStart w:id="87" w:name="_Toc2433"/>
    </w:p>
    <w:p w14:paraId="4750FB1F">
      <w:pPr>
        <w:pStyle w:val="3"/>
        <w:tabs>
          <w:tab w:val="left" w:pos="567"/>
        </w:tabs>
        <w:spacing w:line="440" w:lineRule="exact"/>
        <w:jc w:val="center"/>
        <w:rPr>
          <w:rFonts w:hint="eastAsia" w:ascii="宋体" w:hAnsi="宋体" w:eastAsia="宋体" w:cs="宋体"/>
          <w:bCs w:val="0"/>
          <w:color w:val="auto"/>
          <w:szCs w:val="28"/>
        </w:rPr>
      </w:pPr>
      <w:bookmarkStart w:id="88" w:name="_Toc5807"/>
      <w:bookmarkStart w:id="89" w:name="_Toc24848"/>
      <w:bookmarkStart w:id="90" w:name="_Toc27502"/>
      <w:r>
        <w:rPr>
          <w:rFonts w:hint="eastAsia" w:ascii="宋体" w:hAnsi="宋体" w:eastAsia="宋体" w:cs="宋体"/>
          <w:bCs w:val="0"/>
          <w:color w:val="auto"/>
          <w:szCs w:val="28"/>
        </w:rPr>
        <w:t>四、竞争性磋商（简称磋商）与评审</w:t>
      </w:r>
      <w:bookmarkEnd w:id="87"/>
      <w:bookmarkEnd w:id="88"/>
      <w:bookmarkEnd w:id="89"/>
      <w:bookmarkEnd w:id="90"/>
    </w:p>
    <w:p w14:paraId="449000F4">
      <w:pPr>
        <w:pStyle w:val="4"/>
        <w:widowControl w:val="0"/>
        <w:spacing w:before="0" w:after="0" w:line="440" w:lineRule="exact"/>
        <w:ind w:firstLine="422" w:firstLineChars="200"/>
        <w:rPr>
          <w:rFonts w:hint="eastAsia" w:ascii="宋体" w:hAnsi="宋体" w:eastAsia="宋体" w:cs="宋体"/>
          <w:color w:val="auto"/>
          <w:sz w:val="21"/>
          <w:szCs w:val="21"/>
        </w:rPr>
      </w:pPr>
      <w:bookmarkStart w:id="91" w:name="_Toc11021"/>
      <w:bookmarkStart w:id="92" w:name="_Toc31588"/>
      <w:r>
        <w:rPr>
          <w:rFonts w:hint="eastAsia" w:ascii="宋体" w:hAnsi="宋体" w:eastAsia="宋体" w:cs="宋体"/>
          <w:color w:val="auto"/>
          <w:sz w:val="21"/>
          <w:szCs w:val="21"/>
        </w:rPr>
        <w:t>19. 磋商小组组成及磋商时间、地点、人员</w:t>
      </w:r>
      <w:bookmarkEnd w:id="91"/>
      <w:bookmarkEnd w:id="92"/>
    </w:p>
    <w:p w14:paraId="4DF8ED28">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19.1 磋商小组组成：</w:t>
      </w:r>
    </w:p>
    <w:p w14:paraId="77645112">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磋商及评审组织工作由采购代理机构负责，具体磋商、评审工作由依法组建的磋商小组负责，磋商小组由采购人代表和有关方面的专家组成。磋商小组的构成：成员人数共3人，其中采购人代表1人，技术、经济等专家2人。</w:t>
      </w:r>
    </w:p>
    <w:p w14:paraId="78CBB41C">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19.2 磋商时间、地点、人员：</w:t>
      </w:r>
    </w:p>
    <w:p w14:paraId="61B0D9EC">
      <w:pPr>
        <w:spacing w:line="440" w:lineRule="exact"/>
        <w:ind w:firstLine="420" w:firstLineChars="200"/>
        <w:rPr>
          <w:rFonts w:hint="eastAsia" w:ascii="宋体" w:hAnsi="宋体" w:eastAsia="宋体" w:cs="宋体"/>
          <w:color w:val="auto"/>
          <w:szCs w:val="21"/>
        </w:rPr>
      </w:pPr>
      <w:bookmarkStart w:id="93" w:name="_Toc9878"/>
      <w:r>
        <w:rPr>
          <w:rFonts w:hint="eastAsia" w:ascii="宋体" w:hAnsi="宋体" w:eastAsia="宋体" w:cs="宋体"/>
          <w:color w:val="auto"/>
          <w:szCs w:val="21"/>
        </w:rPr>
        <w:t>19.2.1磋商时间：响应文件递交截止时间后。</w:t>
      </w:r>
      <w:bookmarkEnd w:id="93"/>
    </w:p>
    <w:p w14:paraId="33176592">
      <w:pPr>
        <w:spacing w:line="440" w:lineRule="exact"/>
        <w:ind w:firstLine="420" w:firstLineChars="200"/>
        <w:rPr>
          <w:rFonts w:hint="eastAsia" w:ascii="宋体" w:hAnsi="宋体" w:eastAsia="宋体" w:cs="宋体"/>
          <w:color w:val="auto"/>
          <w:szCs w:val="21"/>
        </w:rPr>
      </w:pPr>
      <w:bookmarkStart w:id="94" w:name="_Toc29268"/>
      <w:r>
        <w:rPr>
          <w:rFonts w:hint="eastAsia" w:ascii="宋体" w:hAnsi="宋体" w:eastAsia="宋体" w:cs="宋体"/>
          <w:color w:val="auto"/>
          <w:szCs w:val="21"/>
        </w:rPr>
        <w:t>19.2.2磋商地点：</w:t>
      </w:r>
      <w:bookmarkEnd w:id="94"/>
      <w:r>
        <w:rPr>
          <w:rFonts w:hint="eastAsia" w:ascii="宋体" w:hAnsi="宋体" w:eastAsia="宋体" w:cs="宋体"/>
          <w:color w:val="auto"/>
          <w:szCs w:val="21"/>
        </w:rPr>
        <w:t>本项目需要磋商供应商代表在截标当天截标后，按磋商小组要求及时登陆广西政府采购云平台等候在线磋商。</w:t>
      </w:r>
    </w:p>
    <w:p w14:paraId="4D011EAF">
      <w:pPr>
        <w:spacing w:line="440" w:lineRule="exact"/>
        <w:ind w:firstLine="420" w:firstLineChars="200"/>
        <w:rPr>
          <w:rFonts w:hint="eastAsia" w:ascii="宋体" w:hAnsi="宋体" w:eastAsia="宋体" w:cs="宋体"/>
          <w:bCs/>
          <w:color w:val="auto"/>
          <w:szCs w:val="21"/>
        </w:rPr>
      </w:pPr>
      <w:bookmarkStart w:id="95" w:name="_Toc21307"/>
      <w:r>
        <w:rPr>
          <w:rFonts w:hint="eastAsia" w:ascii="宋体" w:hAnsi="宋体" w:eastAsia="宋体" w:cs="宋体"/>
          <w:color w:val="auto"/>
          <w:szCs w:val="21"/>
        </w:rPr>
        <w:t>19</w:t>
      </w:r>
      <w:r>
        <w:rPr>
          <w:rFonts w:hint="eastAsia" w:ascii="宋体" w:hAnsi="宋体" w:eastAsia="宋体" w:cs="宋体"/>
          <w:bCs/>
          <w:color w:val="auto"/>
          <w:szCs w:val="21"/>
        </w:rPr>
        <w:t>.2.3磋商参加人员：供应商法定代表人、负责人、自然人或相应的委托代理人持</w:t>
      </w:r>
      <w:r>
        <w:rPr>
          <w:rFonts w:hint="eastAsia" w:ascii="宋体" w:hAnsi="宋体" w:eastAsia="宋体" w:cs="宋体"/>
          <w:bCs/>
          <w:color w:val="auto"/>
          <w:szCs w:val="21"/>
          <w:u w:val="single"/>
        </w:rPr>
        <w:t>有效身份证原件</w:t>
      </w:r>
      <w:r>
        <w:rPr>
          <w:rFonts w:hint="eastAsia" w:ascii="宋体" w:hAnsi="宋体" w:eastAsia="宋体" w:cs="宋体"/>
          <w:bCs/>
          <w:color w:val="auto"/>
          <w:szCs w:val="21"/>
        </w:rPr>
        <w:t>和供应商</w:t>
      </w:r>
      <w:r>
        <w:rPr>
          <w:rFonts w:hint="eastAsia" w:ascii="宋体" w:hAnsi="宋体" w:eastAsia="宋体" w:cs="宋体"/>
          <w:bCs/>
          <w:color w:val="auto"/>
          <w:szCs w:val="21"/>
          <w:u w:val="single"/>
        </w:rPr>
        <w:t>广西政府采购云平台CA数字证书</w:t>
      </w:r>
      <w:r>
        <w:rPr>
          <w:rFonts w:hint="eastAsia" w:ascii="宋体" w:hAnsi="宋体" w:eastAsia="宋体" w:cs="宋体"/>
          <w:bCs/>
          <w:color w:val="auto"/>
          <w:szCs w:val="21"/>
        </w:rPr>
        <w:t>参加磋商。请供应商按时等候磋商。</w:t>
      </w:r>
      <w:bookmarkEnd w:id="95"/>
    </w:p>
    <w:p w14:paraId="4C49A0EC">
      <w:pPr>
        <w:spacing w:line="440" w:lineRule="exact"/>
        <w:ind w:firstLine="420" w:firstLineChars="200"/>
        <w:rPr>
          <w:rFonts w:hint="eastAsia" w:ascii="宋体" w:hAnsi="宋体" w:eastAsia="宋体" w:cs="宋体"/>
          <w:bCs/>
          <w:color w:val="auto"/>
          <w:szCs w:val="21"/>
        </w:rPr>
      </w:pPr>
      <w:bookmarkStart w:id="96" w:name="_Toc6288"/>
      <w:r>
        <w:rPr>
          <w:rFonts w:hint="eastAsia" w:ascii="宋体" w:hAnsi="宋体" w:eastAsia="宋体" w:cs="宋体"/>
          <w:bCs/>
          <w:color w:val="auto"/>
          <w:szCs w:val="21"/>
        </w:rPr>
        <w:t>19.2.4响应文件递交截止时间后，由磋商小组在评标室内线上开启响应文件。</w:t>
      </w:r>
      <w:bookmarkEnd w:id="96"/>
    </w:p>
    <w:p w14:paraId="6559AB61">
      <w:pPr>
        <w:pStyle w:val="4"/>
        <w:widowControl w:val="0"/>
        <w:spacing w:before="0" w:after="0" w:line="440" w:lineRule="exact"/>
        <w:ind w:firstLine="422" w:firstLineChars="200"/>
        <w:rPr>
          <w:rFonts w:hint="eastAsia" w:ascii="宋体" w:hAnsi="宋体" w:eastAsia="宋体" w:cs="宋体"/>
          <w:color w:val="auto"/>
          <w:sz w:val="21"/>
          <w:szCs w:val="21"/>
        </w:rPr>
      </w:pPr>
      <w:bookmarkStart w:id="97" w:name="_Toc25258"/>
      <w:bookmarkStart w:id="98" w:name="_Toc21088"/>
      <w:r>
        <w:rPr>
          <w:rFonts w:hint="eastAsia" w:ascii="宋体" w:hAnsi="宋体" w:eastAsia="宋体" w:cs="宋体"/>
          <w:color w:val="auto"/>
          <w:sz w:val="21"/>
          <w:szCs w:val="21"/>
        </w:rPr>
        <w:t>20. 评审原则</w:t>
      </w:r>
      <w:bookmarkEnd w:id="97"/>
      <w:bookmarkEnd w:id="98"/>
    </w:p>
    <w:p w14:paraId="10DF00B3">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20.1 磋商小组必须坚持公平、公正、科学和择优的原则。</w:t>
      </w:r>
    </w:p>
    <w:p w14:paraId="602AB20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20.2 评审办法：综合评分法，具体详见第四章评审办法。</w:t>
      </w:r>
    </w:p>
    <w:p w14:paraId="5D7A9136">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20.3 磋商小组应按磋商文件进行评审，不得擅自更改评审办法。</w:t>
      </w:r>
    </w:p>
    <w:p w14:paraId="6E1F2D9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20.4 在评审过程中，磋商小组任何人不得对某个供应商发表任何倾向性意见，不得向其他磋商小组成员明示或者暗示自己的评审意见。</w:t>
      </w:r>
    </w:p>
    <w:p w14:paraId="14EDF148">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20.5 磋商小组成员对需要共同认定的事项存在争议的，按照少数服从多数的原则作出结论。持不同意见的磋商小组成员应当在评审报告上签署不同意见并说明理由，否则视为同意。</w:t>
      </w:r>
    </w:p>
    <w:p w14:paraId="3471C3E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20.6 响应文件最后报价出现前后不一致的，除竞争性磋商文件另有规定外，按照下列规定修正：</w:t>
      </w:r>
    </w:p>
    <w:p w14:paraId="5EFD21C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 响应文件中磋商报价表内容与响应文件中相应内容不一致的，以最后磋商报价表为准；</w:t>
      </w:r>
    </w:p>
    <w:p w14:paraId="188B4066">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 大写金额和小写金额不一致的，以大写金额为准；</w:t>
      </w:r>
    </w:p>
    <w:p w14:paraId="2F40D12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 单价金额小数点或者百分比有明显错位的，以报价表的总价为准，并修改单价；</w:t>
      </w:r>
    </w:p>
    <w:p w14:paraId="5047E562">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 总价金额与按单价汇总金额不一致的，以单价金额计算结果为准。</w:t>
      </w:r>
    </w:p>
    <w:p w14:paraId="66C018B7">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578840C3">
      <w:pPr>
        <w:pStyle w:val="4"/>
        <w:widowControl w:val="0"/>
        <w:spacing w:before="0" w:after="0" w:line="440" w:lineRule="exact"/>
        <w:ind w:firstLine="422" w:firstLineChars="200"/>
        <w:rPr>
          <w:rFonts w:hint="eastAsia" w:ascii="宋体" w:hAnsi="宋体" w:eastAsia="宋体" w:cs="宋体"/>
          <w:color w:val="auto"/>
          <w:sz w:val="21"/>
          <w:szCs w:val="21"/>
        </w:rPr>
      </w:pPr>
      <w:bookmarkStart w:id="99" w:name="_Toc21012"/>
      <w:bookmarkStart w:id="100" w:name="_Toc27193"/>
      <w:r>
        <w:rPr>
          <w:rFonts w:hint="eastAsia" w:ascii="宋体" w:hAnsi="宋体" w:eastAsia="宋体" w:cs="宋体"/>
          <w:color w:val="auto"/>
          <w:sz w:val="21"/>
          <w:szCs w:val="21"/>
        </w:rPr>
        <w:t>21. 评审程序及磋商要求</w:t>
      </w:r>
      <w:bookmarkEnd w:id="99"/>
      <w:bookmarkEnd w:id="100"/>
    </w:p>
    <w:p w14:paraId="5AB7D9C0">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21.1磋商小组成员的通讯工具或相关电子设备交由桂林市公共资源交易中心统一保管后到达评标室，采购代理机构核实磋商小组成员身份，告知回避要求，宣布评审工作纪律和程序，推选磋商小组组长。</w:t>
      </w:r>
    </w:p>
    <w:p w14:paraId="5486038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0EFF6B40">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538B3128">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015AE4E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21.4.1 查询渠道：《国家企业信用信息公示系统》（网址：www.gsxt.gov.cn/index.html）</w:t>
      </w:r>
    </w:p>
    <w:p w14:paraId="7AA5A5B0">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21.4.2 审查流程：</w:t>
      </w:r>
    </w:p>
    <w:p w14:paraId="6D930B07">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（1）进入《国家企业信用信息公示系统》（网址：www.gsxt.gov.cn/index.html），输入企业名称，进入企业信息主页面；</w:t>
      </w:r>
    </w:p>
    <w:p w14:paraId="042FFA2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（2）查看主页“股东及出资信息”栏，或年报中的“股东及出资信息”栏信息；</w:t>
      </w:r>
    </w:p>
    <w:p w14:paraId="49522AC5">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（3）将各供应商的股东及出资信息进行比对，得出审查结论；</w:t>
      </w:r>
    </w:p>
    <w:p w14:paraId="4606C18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（4）将相关资料作为评审资料打印存档。</w:t>
      </w:r>
    </w:p>
    <w:p w14:paraId="727D1E2B">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21.5 磋商小组如发现供应商提供的证明文件不齐全或不符合规定格式的，应一次性告知供应商，供应商应在规定的时间内线上补正或更正。</w:t>
      </w:r>
    </w:p>
    <w:p w14:paraId="6A5A4E1E">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eastAsia="宋体" w:cs="宋体"/>
          <w:color w:val="auto"/>
        </w:rPr>
        <w:t>个人CA签章)</w:t>
      </w:r>
      <w:r>
        <w:rPr>
          <w:rFonts w:hint="eastAsia" w:ascii="宋体" w:hAnsi="宋体" w:eastAsia="宋体" w:cs="宋体"/>
          <w:color w:val="auto"/>
          <w:szCs w:val="21"/>
        </w:rPr>
        <w:t>或者加盖供应商公章(CA签章)。</w:t>
      </w:r>
    </w:p>
    <w:p w14:paraId="1E9009E7">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根据磋商文件规定的程序、评定成交的标准等事项与实质性响应竞争性磋商文件要求的供应商进行磋商。 </w:t>
      </w:r>
    </w:p>
    <w:p w14:paraId="2B58FFDF">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未实质性响应磋商文件的响应文件按无效处理，磋商小组应当告知有关供应商。 </w:t>
      </w:r>
    </w:p>
    <w:p w14:paraId="3C335765">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磋商小组所有成员应当按已确定的磋商顺序集中与单一供应商分别进行磋商，并给予所有实质性响应竞争性磋商文件要求的供应商平等的磋商机会。 </w:t>
      </w:r>
    </w:p>
    <w:p w14:paraId="27D2E9F6">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磋商中，磋商小组不得透露与磋商有关的其他供应商的技术资料、价格和其他信息。 </w:t>
      </w:r>
    </w:p>
    <w:p w14:paraId="77EB28C3">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磋商小组对磋商过程和重要磋商内容进行记录，磋商双方在记录上签字确认。 </w:t>
      </w:r>
    </w:p>
    <w:p w14:paraId="738F66F1">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szCs w:val="21"/>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F8DCD75">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3468B1E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对磋商文件作出的实质性变动是磋商文件的有效组成部分，磋商小组应当及时通过广西政府采购云平台同时通知所有参加磋商的供应商。 </w:t>
      </w:r>
    </w:p>
    <w:p w14:paraId="39B93D3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01853043">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21.9 第二轮磋商</w:t>
      </w:r>
    </w:p>
    <w:p w14:paraId="5F50A516">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磋商小组集中就重新提交的响应文件或磋商小组提出的磋商意见与单一响应供应商分别进行磋商。磋商小组对磋商过程和重要磋商内容进行记录，磋商双方在记录上签字确认（CA签章确认）。</w:t>
      </w:r>
    </w:p>
    <w:p w14:paraId="0CB298CE">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磋商后，供应商根据磋商小组统一整理的书面磋商记录要求做出书面承诺，并由其法定代表人或授权代表签字或者加盖公章（CA签章）后按时线上提交。</w:t>
      </w:r>
    </w:p>
    <w:p w14:paraId="1528CD0B">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szCs w:val="21"/>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1A8D517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21.10 在采购过程中符合竞争要求的供应商或者报价未超过采购预算的供应商不足 3 家的，采购人或者采购代理机构应当终止竞争性磋商采购活动。 </w:t>
      </w:r>
    </w:p>
    <w:p w14:paraId="0FA83773">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21.11 最后报价 </w:t>
      </w:r>
    </w:p>
    <w:p w14:paraId="6203746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21.11.1 磋商文件能够详细列明采购标的的质量要求的，磋商结束后，磋商小组应当要求所有继续参加磋商的供应商在规定时间内线上提交最后报价，提交最后报价的供应商不得少于 3 家。 </w:t>
      </w:r>
    </w:p>
    <w:p w14:paraId="60F8BA78">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21.11.2 磋商文件不能详细列明采购标的的施工要求，需经磋商由供应商提供最终设计方案或解决方案的，磋商结束后，磋商小组应当按照少数服从多数的原则投票推荐 3 家以上（含 3 家）供应商的设计方案或者解决方案，并要求其在规定时间内线上提交最后报价。 </w:t>
      </w:r>
    </w:p>
    <w:p w14:paraId="214CBFF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21.11.3</w:t>
      </w:r>
      <w:r>
        <w:rPr>
          <w:rFonts w:hint="eastAsia" w:ascii="宋体" w:hAnsi="宋体" w:eastAsia="宋体" w:cs="宋体"/>
          <w:color w:val="auto"/>
          <w:kern w:val="0"/>
          <w:szCs w:val="21"/>
        </w:rPr>
        <w:t>最后报价（应答文件）是供应商响应文件的有效组成部分：</w:t>
      </w:r>
      <w:r>
        <w:rPr>
          <w:rFonts w:hint="eastAsia" w:ascii="宋体" w:hAnsi="宋体" w:eastAsia="宋体" w:cs="宋体"/>
          <w:b/>
          <w:color w:val="auto"/>
          <w:spacing w:val="-4"/>
          <w:szCs w:val="21"/>
        </w:rPr>
        <w:t>供应商做最终报价时，如供应商维持磋商报价不变，以原磋商报价作为供应商最后报价；供应商应预先准备好调整后的完整已标价的标的清单。如供应商在磋商过程中，改变原报价且未按竞争性磋商文件要求提供调整后的磋商报价电子版（含调整后的完整已标价的标的清单）的，其报价不予认可，视供应商维持原磋商报价不变</w:t>
      </w:r>
      <w:r>
        <w:rPr>
          <w:rFonts w:hint="eastAsia" w:ascii="宋体" w:hAnsi="宋体" w:eastAsia="宋体" w:cs="宋体"/>
          <w:b/>
          <w:color w:val="auto"/>
          <w:szCs w:val="21"/>
        </w:rPr>
        <w:t>。</w:t>
      </w:r>
      <w:r>
        <w:rPr>
          <w:rFonts w:hint="eastAsia" w:ascii="宋体" w:hAnsi="宋体" w:eastAsia="宋体" w:cs="宋体"/>
          <w:color w:val="auto"/>
          <w:spacing w:val="-4"/>
          <w:szCs w:val="21"/>
        </w:rPr>
        <w:t>必须由供应商</w:t>
      </w:r>
      <w:r>
        <w:rPr>
          <w:rFonts w:hint="eastAsia" w:ascii="宋体" w:hAnsi="宋体" w:eastAsia="宋体" w:cs="宋体"/>
          <w:color w:val="auto"/>
          <w:szCs w:val="21"/>
        </w:rPr>
        <w:t>加盖公章（CA签章）</w:t>
      </w:r>
      <w:r>
        <w:rPr>
          <w:rFonts w:hint="eastAsia" w:ascii="宋体" w:hAnsi="宋体" w:eastAsia="宋体" w:cs="宋体"/>
          <w:color w:val="auto"/>
          <w:spacing w:val="-4"/>
          <w:szCs w:val="21"/>
        </w:rPr>
        <w:t>。</w:t>
      </w:r>
    </w:p>
    <w:p w14:paraId="28A7D7FF">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szCs w:val="21"/>
        </w:rPr>
        <w:t xml:space="preserve">21.11.4 根据《财政部关于政府采购竞争性磋商采购方式管理暂行办法有关问题的补充通知》(财库〔2014〕214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47A1ED86">
      <w:pPr>
        <w:spacing w:line="44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21.11.5 根据《政府采购竞争性磋商采购方式管理暂行办法》(财库〔2014〕214 号)的规定：</w:t>
      </w:r>
      <w:r>
        <w:rPr>
          <w:rFonts w:hint="eastAsia" w:ascii="宋体" w:hAnsi="宋体" w:eastAsia="宋体" w:cs="宋体"/>
          <w:b/>
          <w:bCs/>
          <w:color w:val="auto"/>
          <w:szCs w:val="21"/>
        </w:rPr>
        <w:t xml:space="preserve">最后报价是供应商响应文件的有效组成部分。 </w:t>
      </w:r>
      <w:r>
        <w:rPr>
          <w:rFonts w:hint="eastAsia" w:ascii="宋体" w:hAnsi="宋体" w:eastAsia="宋体" w:cs="宋体"/>
          <w:color w:val="auto"/>
          <w:szCs w:val="21"/>
        </w:rPr>
        <w:t>符合本办法(财库〔2014〕214号文)第三条第四项情形的，提交最后报价的供应商可以为2家。</w:t>
      </w:r>
      <w:r>
        <w:rPr>
          <w:rFonts w:hint="eastAsia" w:ascii="宋体" w:hAnsi="宋体" w:eastAsia="宋体" w:cs="宋体"/>
          <w:b/>
          <w:bCs/>
          <w:color w:val="auto"/>
          <w:szCs w:val="21"/>
        </w:rPr>
        <w:t>（财库〔2014〕214号文第三条第四项：市场竞争不充分的科研项目，以及需要扶持的科技成果转化项目。）</w:t>
      </w:r>
    </w:p>
    <w:p w14:paraId="4D36F13B">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21.12 已提交响应文件的供应商，在提交最后报价之前，可以根据磋商情况书面退出磋商。 </w:t>
      </w:r>
    </w:p>
    <w:p w14:paraId="5B6353D8">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未书面退出磋商的供应商在规定时间内线上提交最后报价，其最后报价超出采购预算导致已通过评审的响应文件无效的，按供应商在提交响应文件截止时间后撤回响应文件处理。 </w:t>
      </w:r>
    </w:p>
    <w:p w14:paraId="5DE7EFC5">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21.13 评审报告 </w:t>
      </w:r>
    </w:p>
    <w:p w14:paraId="1AE53308">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磋商小组应当从质量和服务均能满足磋商文件全部实质性响应要求的供应商中，按照最后综合得分由高到低的顺序提出 3 名以上（含 3 名）成交候选人，并编写评审报告。</w:t>
      </w:r>
    </w:p>
    <w:p w14:paraId="77705FA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143DBEB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21.15 采购代理机构发现磋商小组有明显的违规倾向或歧视现象，或不按评审办法进行，或其他不正常行为的，应当及时制止。如制止无效，应及时向政府采购监督管理机构报告。</w:t>
      </w:r>
    </w:p>
    <w:p w14:paraId="58F9B328">
      <w:pPr>
        <w:spacing w:line="440" w:lineRule="exact"/>
        <w:ind w:firstLine="420" w:firstLineChars="200"/>
        <w:rPr>
          <w:rFonts w:hint="eastAsia" w:ascii="宋体" w:hAnsi="宋体" w:eastAsia="宋体" w:cs="宋体"/>
          <w:b/>
          <w:bCs/>
          <w:color w:val="auto"/>
        </w:rPr>
      </w:pPr>
      <w:r>
        <w:rPr>
          <w:rFonts w:hint="eastAsia" w:ascii="宋体" w:hAnsi="宋体" w:eastAsia="宋体" w:cs="宋体"/>
          <w:color w:val="auto"/>
          <w:szCs w:val="21"/>
        </w:rPr>
        <w:t>21.16 本采购项目的评审依据为竞争性磋商文件和竞争性磋商响应文件，采用的评审方法为</w:t>
      </w:r>
      <w:r>
        <w:rPr>
          <w:rFonts w:hint="eastAsia" w:ascii="宋体" w:hAnsi="宋体" w:eastAsia="宋体" w:cs="宋体"/>
          <w:b/>
          <w:bCs/>
          <w:color w:val="auto"/>
          <w:szCs w:val="21"/>
        </w:rPr>
        <w:t>综合评分法。</w:t>
      </w:r>
    </w:p>
    <w:p w14:paraId="3EDE736C">
      <w:pPr>
        <w:pStyle w:val="4"/>
        <w:widowControl w:val="0"/>
        <w:spacing w:before="0" w:after="0" w:line="440" w:lineRule="exact"/>
        <w:ind w:firstLine="422" w:firstLineChars="200"/>
        <w:rPr>
          <w:rFonts w:hint="eastAsia" w:ascii="宋体" w:hAnsi="宋体" w:eastAsia="宋体" w:cs="宋体"/>
          <w:color w:val="auto"/>
          <w:sz w:val="21"/>
          <w:szCs w:val="21"/>
        </w:rPr>
      </w:pPr>
      <w:bookmarkStart w:id="101" w:name="_Toc18722"/>
      <w:bookmarkStart w:id="102" w:name="_Toc32470"/>
      <w:r>
        <w:rPr>
          <w:rFonts w:hint="eastAsia" w:ascii="宋体" w:hAnsi="宋体" w:eastAsia="宋体" w:cs="宋体"/>
          <w:color w:val="auto"/>
          <w:sz w:val="21"/>
          <w:szCs w:val="21"/>
        </w:rPr>
        <w:t>22. 确定成交供应商</w:t>
      </w:r>
      <w:bookmarkEnd w:id="101"/>
      <w:bookmarkEnd w:id="102"/>
    </w:p>
    <w:p w14:paraId="2EF4371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22.1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依次按技术分、商务分由高到低顺序排列并推荐成交候选供应商；其他情况则由采购人或磋商小组按照抽签的方式决定排列次序。</w:t>
      </w:r>
    </w:p>
    <w:p w14:paraId="6015F73C">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szCs w:val="21"/>
        </w:rPr>
        <w:t>22.2采购单位应当确定磋商小组推荐排名第一的成交候选人为成交供应商。</w:t>
      </w:r>
    </w:p>
    <w:p w14:paraId="4AE5640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14:paraId="3916B3F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22.4排名第二的成交候选人因前款规定的同样原因不能签订合同的，采购单位可以确定排名第三的成交候选人为成交供应商。</w:t>
      </w:r>
    </w:p>
    <w:p w14:paraId="66FE0FB3">
      <w:pPr>
        <w:pStyle w:val="4"/>
        <w:widowControl w:val="0"/>
        <w:spacing w:before="0" w:after="0" w:line="440" w:lineRule="exact"/>
        <w:ind w:firstLine="422" w:firstLineChars="200"/>
        <w:rPr>
          <w:rFonts w:hint="eastAsia" w:ascii="宋体" w:hAnsi="宋体" w:eastAsia="宋体" w:cs="宋体"/>
          <w:color w:val="auto"/>
          <w:sz w:val="21"/>
          <w:szCs w:val="21"/>
        </w:rPr>
      </w:pPr>
      <w:bookmarkStart w:id="103" w:name="_Toc21715"/>
      <w:bookmarkStart w:id="104" w:name="_Toc15332"/>
      <w:r>
        <w:rPr>
          <w:rFonts w:hint="eastAsia" w:ascii="宋体" w:hAnsi="宋体" w:eastAsia="宋体" w:cs="宋体"/>
          <w:color w:val="auto"/>
          <w:sz w:val="21"/>
          <w:szCs w:val="21"/>
        </w:rPr>
        <w:t>23. 属于下列情况之一者，响应文件无效</w:t>
      </w:r>
      <w:bookmarkEnd w:id="103"/>
      <w:bookmarkEnd w:id="104"/>
    </w:p>
    <w:p w14:paraId="0C92D081">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（1）未按磋商文件规定完整线上提交响应文件或未按规定要求线上签字、签章的；</w:t>
      </w:r>
    </w:p>
    <w:p w14:paraId="43554F65">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（2）不具备磋商文件规定的资格要求的；</w:t>
      </w:r>
    </w:p>
    <w:p w14:paraId="4D65A54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14:paraId="284B3391">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（4）响应文件未按磋商文件的内容和要求编制，或提供虚假材料的；</w:t>
      </w:r>
    </w:p>
    <w:p w14:paraId="61040E01">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（5）响应文件有效期、交付使用期、免费保修期、售后服务不能满足竞争性磋商文件要求的；</w:t>
      </w:r>
    </w:p>
    <w:p w14:paraId="12A6EFD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eastAsia="宋体" w:cs="宋体"/>
          <w:color w:val="auto"/>
        </w:rPr>
        <w:t>竞标</w:t>
      </w:r>
      <w:r>
        <w:rPr>
          <w:rFonts w:hint="eastAsia" w:ascii="宋体" w:hAnsi="宋体" w:eastAsia="宋体" w:cs="宋体"/>
          <w:color w:val="auto"/>
          <w:szCs w:val="21"/>
        </w:rPr>
        <w:t>人未就“项目采购需求”中的所有内容作完整唯一报价的；</w:t>
      </w:r>
    </w:p>
    <w:p w14:paraId="3E2F13F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（7）未在磋商小组规定的时间内提交响应文件(包括最后报价)的；</w:t>
      </w:r>
    </w:p>
    <w:p w14:paraId="65F966A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（8）超越了按照法律法规规定必须获得行政许可或者行政审批的经营范围的；</w:t>
      </w:r>
    </w:p>
    <w:p w14:paraId="67D94021">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（9）未满足磋商文件实质性要求的或者响应文件有采购人不能接受的附加条件的；</w:t>
      </w:r>
    </w:p>
    <w:p w14:paraId="5D79B9E2">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szCs w:val="21"/>
        </w:rPr>
        <w:t>（10）响应文件实质性要求未做变动，供应商最后报价高于第一次报价的；</w:t>
      </w:r>
    </w:p>
    <w:p w14:paraId="34DE802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（11）不符合法律、法规和磋商文件规定的其他实质性要求和条件的。</w:t>
      </w:r>
    </w:p>
    <w:p w14:paraId="72B54364">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供应商有下列情形之一的视为供应商相互串通磋商，响应文件将被视为无效</w:t>
      </w:r>
    </w:p>
    <w:p w14:paraId="54967AA2">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（1）不同供应商的响应文件由同一单位或者个人编制；或不同供应商报名的IP地址一致的；</w:t>
      </w:r>
    </w:p>
    <w:p w14:paraId="51F973D2">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（2）不同供应商委托同一单位或者个人办理磋商事宜；</w:t>
      </w:r>
    </w:p>
    <w:p w14:paraId="7FCB3FC7">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（3）不同的供应商的响应文件载明的项目管理员为同一个人；</w:t>
      </w:r>
    </w:p>
    <w:p w14:paraId="346E51F1">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（4）不同供应商的响应文件异常一致或竞标报价呈规律性差异；</w:t>
      </w:r>
    </w:p>
    <w:p w14:paraId="2ED0788C">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（5）不同供应商的响应文件相互混编。</w:t>
      </w:r>
    </w:p>
    <w:p w14:paraId="10CF9AE2">
      <w:pPr>
        <w:pStyle w:val="4"/>
        <w:widowControl w:val="0"/>
        <w:spacing w:before="0" w:after="0" w:line="440" w:lineRule="exact"/>
        <w:ind w:firstLine="422" w:firstLineChars="200"/>
        <w:rPr>
          <w:rFonts w:hint="eastAsia" w:ascii="宋体" w:hAnsi="宋体" w:eastAsia="宋体" w:cs="宋体"/>
          <w:color w:val="auto"/>
          <w:sz w:val="21"/>
          <w:szCs w:val="21"/>
        </w:rPr>
      </w:pPr>
      <w:bookmarkStart w:id="105" w:name="_Toc27786"/>
      <w:bookmarkStart w:id="106" w:name="_Toc5714"/>
      <w:r>
        <w:rPr>
          <w:rFonts w:hint="eastAsia" w:ascii="宋体" w:hAnsi="宋体" w:eastAsia="宋体" w:cs="宋体"/>
          <w:color w:val="auto"/>
          <w:sz w:val="21"/>
          <w:szCs w:val="21"/>
        </w:rPr>
        <w:t>24. 出现下列情形之一的，采购人或者采购代理机构应当终止竞争性磋商采购活动，发布项目终止公告并说明原因，重新开展采购活动</w:t>
      </w:r>
      <w:bookmarkEnd w:id="105"/>
      <w:bookmarkEnd w:id="106"/>
    </w:p>
    <w:p w14:paraId="7FE1A72B">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（1）因情况变化，不再符合规定的竞争性磋商采购方式适用情形的；</w:t>
      </w:r>
    </w:p>
    <w:p w14:paraId="6A0EC7A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（2）出现影响采购公正的违法、违规行为的； </w:t>
      </w:r>
    </w:p>
    <w:p w14:paraId="0AE0981B">
      <w:pPr>
        <w:spacing w:line="44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（3）在采购过程中符合竞争要求的供应商或者报价未超过采购预算的供应商不足3家的。</w:t>
      </w:r>
      <w:r>
        <w:rPr>
          <w:rFonts w:hint="eastAsia" w:ascii="宋体" w:hAnsi="宋体" w:eastAsia="宋体" w:cs="宋体"/>
          <w:b/>
          <w:bCs/>
          <w:color w:val="auto"/>
          <w:szCs w:val="21"/>
        </w:rPr>
        <w:t xml:space="preserve">（除财库〔2014〕214 号《政府采购竞争性磋商采购方式管理暂行办法》第二十一条第三款规定的情形外） </w:t>
      </w:r>
    </w:p>
    <w:p w14:paraId="5F7B8BC0">
      <w:pPr>
        <w:pStyle w:val="4"/>
        <w:widowControl w:val="0"/>
        <w:spacing w:before="0" w:after="0" w:line="440" w:lineRule="exact"/>
        <w:ind w:firstLine="422" w:firstLineChars="200"/>
        <w:rPr>
          <w:rFonts w:hint="eastAsia" w:ascii="宋体" w:hAnsi="宋体" w:eastAsia="宋体" w:cs="宋体"/>
          <w:color w:val="auto"/>
          <w:sz w:val="21"/>
          <w:szCs w:val="21"/>
        </w:rPr>
      </w:pPr>
      <w:bookmarkStart w:id="107" w:name="_Toc19910"/>
      <w:bookmarkStart w:id="108" w:name="_Toc19105"/>
      <w:r>
        <w:rPr>
          <w:rFonts w:hint="eastAsia" w:ascii="宋体" w:hAnsi="宋体" w:eastAsia="宋体" w:cs="宋体"/>
          <w:color w:val="auto"/>
          <w:sz w:val="21"/>
          <w:szCs w:val="21"/>
        </w:rPr>
        <w:t>25. 磋商过程的监控</w:t>
      </w:r>
      <w:bookmarkEnd w:id="107"/>
      <w:bookmarkEnd w:id="108"/>
    </w:p>
    <w:p w14:paraId="2230EA5A">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本项目磋商过程实行全程录音、录像监控，供应商在磋商过程中所进行的试图影响磋商结果的不公正活动，可能导致其磋商被拒绝。</w:t>
      </w:r>
    </w:p>
    <w:p w14:paraId="37A4C92B">
      <w:pPr>
        <w:pStyle w:val="4"/>
        <w:widowControl w:val="0"/>
        <w:numPr>
          <w:ilvl w:val="0"/>
          <w:numId w:val="3"/>
        </w:numPr>
        <w:spacing w:before="0" w:after="0" w:line="440" w:lineRule="exact"/>
        <w:ind w:firstLine="422" w:firstLineChars="200"/>
        <w:rPr>
          <w:rFonts w:hint="eastAsia" w:ascii="宋体" w:hAnsi="宋体" w:eastAsia="宋体" w:cs="宋体"/>
          <w:color w:val="auto"/>
          <w:sz w:val="21"/>
          <w:szCs w:val="21"/>
        </w:rPr>
      </w:pPr>
      <w:bookmarkStart w:id="109" w:name="_Toc26291"/>
      <w:bookmarkStart w:id="110" w:name="_Toc14787"/>
      <w:r>
        <w:rPr>
          <w:rFonts w:hint="eastAsia" w:ascii="宋体" w:hAnsi="宋体" w:eastAsia="宋体" w:cs="宋体"/>
          <w:color w:val="auto"/>
          <w:sz w:val="21"/>
          <w:szCs w:val="21"/>
        </w:rPr>
        <w:t>信用查询</w:t>
      </w:r>
      <w:bookmarkEnd w:id="109"/>
      <w:bookmarkEnd w:id="110"/>
    </w:p>
    <w:p w14:paraId="7E429D01">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根据《关于做好政府采购有关信用主体标识码登记及在政府采购活动中查询使用信用记录有关问题的通知》桂财采〔2016〕37号的通知，采购代理机构对成交人的成交资格进行信用查询：</w:t>
      </w:r>
    </w:p>
    <w:p w14:paraId="01C54EC2">
      <w:pPr>
        <w:spacing w:line="44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（1）查询渠道：“信用中国”网站(www.creditchina.gov.cn)、中国政府采购网(www.ccgp.gov.cn)等；</w:t>
      </w:r>
    </w:p>
    <w:p w14:paraId="067E0369">
      <w:pPr>
        <w:spacing w:line="44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（2）查询时间：成交通知书发出前；</w:t>
      </w:r>
    </w:p>
    <w:p w14:paraId="7A3EB640">
      <w:pPr>
        <w:spacing w:line="44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（3）信用信息查询记录和证据留存方式：在查询网站中直接打印查询记录，打印材料作为采购活动资料保存。</w:t>
      </w:r>
    </w:p>
    <w:p w14:paraId="3417F2E3">
      <w:pPr>
        <w:spacing w:line="44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5098EC8E">
      <w:pPr>
        <w:pStyle w:val="4"/>
        <w:widowControl w:val="0"/>
        <w:spacing w:before="0" w:after="0" w:line="440" w:lineRule="exact"/>
        <w:ind w:firstLine="422" w:firstLineChars="200"/>
        <w:rPr>
          <w:rFonts w:hint="eastAsia" w:ascii="宋体" w:hAnsi="宋体" w:eastAsia="宋体" w:cs="宋体"/>
          <w:color w:val="auto"/>
          <w:sz w:val="21"/>
          <w:szCs w:val="21"/>
        </w:rPr>
      </w:pPr>
      <w:bookmarkStart w:id="111" w:name="_Toc25468"/>
      <w:bookmarkStart w:id="112" w:name="_Toc9438"/>
      <w:r>
        <w:rPr>
          <w:rFonts w:hint="eastAsia" w:ascii="宋体" w:hAnsi="宋体" w:eastAsia="宋体" w:cs="宋体"/>
          <w:color w:val="auto"/>
          <w:sz w:val="21"/>
          <w:szCs w:val="21"/>
        </w:rPr>
        <w:t>27. 成交结果公告及成交通知书</w:t>
      </w:r>
      <w:bookmarkEnd w:id="111"/>
      <w:bookmarkEnd w:id="112"/>
    </w:p>
    <w:p w14:paraId="2C9A1CC7">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3A61257">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27.2 在发布成交公告的同时，采购代理机构向成交供应商发出成交通知书。成交供应商自接到通知之日起七个工作日内，办理成交通知书领取手续。</w:t>
      </w:r>
    </w:p>
    <w:p w14:paraId="7948B4F2">
      <w:pPr>
        <w:spacing w:line="440" w:lineRule="exact"/>
        <w:ind w:firstLine="420" w:firstLineChars="200"/>
        <w:rPr>
          <w:rFonts w:hint="eastAsia" w:ascii="宋体" w:hAnsi="宋体" w:eastAsia="宋体" w:cs="宋体"/>
          <w:b/>
          <w:color w:val="auto"/>
          <w:szCs w:val="28"/>
        </w:rPr>
      </w:pPr>
      <w:r>
        <w:rPr>
          <w:rFonts w:hint="eastAsia" w:ascii="宋体" w:hAnsi="宋体" w:eastAsia="宋体" w:cs="宋体"/>
          <w:color w:val="auto"/>
          <w:szCs w:val="21"/>
        </w:rPr>
        <w:t>27.3 采购代理机构无义务向未成交的供应商解释未成交原因和退还响应文件。</w:t>
      </w:r>
      <w:bookmarkStart w:id="113" w:name="_Toc25593"/>
    </w:p>
    <w:p w14:paraId="26425270">
      <w:pPr>
        <w:pStyle w:val="3"/>
        <w:tabs>
          <w:tab w:val="left" w:pos="567"/>
        </w:tabs>
        <w:spacing w:line="440" w:lineRule="exact"/>
        <w:jc w:val="center"/>
        <w:rPr>
          <w:rFonts w:hint="eastAsia" w:ascii="宋体" w:hAnsi="宋体" w:eastAsia="宋体" w:cs="宋体"/>
          <w:bCs w:val="0"/>
          <w:color w:val="auto"/>
          <w:szCs w:val="28"/>
        </w:rPr>
      </w:pPr>
      <w:bookmarkStart w:id="114" w:name="_Toc6429"/>
      <w:bookmarkStart w:id="115" w:name="_Toc20423"/>
      <w:bookmarkStart w:id="116" w:name="_Toc24102"/>
      <w:r>
        <w:rPr>
          <w:rFonts w:hint="eastAsia" w:ascii="宋体" w:hAnsi="宋体" w:eastAsia="宋体" w:cs="宋体"/>
          <w:bCs w:val="0"/>
          <w:color w:val="auto"/>
          <w:szCs w:val="28"/>
        </w:rPr>
        <w:t>五、签订合同</w:t>
      </w:r>
      <w:bookmarkEnd w:id="113"/>
      <w:bookmarkEnd w:id="114"/>
      <w:bookmarkEnd w:id="115"/>
      <w:bookmarkEnd w:id="116"/>
    </w:p>
    <w:p w14:paraId="28F54C3C">
      <w:pPr>
        <w:pStyle w:val="4"/>
        <w:widowControl w:val="0"/>
        <w:spacing w:before="0" w:after="0" w:line="440" w:lineRule="exact"/>
        <w:ind w:firstLine="422" w:firstLineChars="200"/>
        <w:rPr>
          <w:rFonts w:hint="eastAsia" w:ascii="宋体" w:hAnsi="宋体" w:eastAsia="宋体" w:cs="宋体"/>
          <w:color w:val="auto"/>
        </w:rPr>
      </w:pPr>
      <w:bookmarkStart w:id="117" w:name="_Toc1032"/>
      <w:bookmarkStart w:id="118" w:name="_Toc26520"/>
      <w:r>
        <w:rPr>
          <w:rFonts w:hint="eastAsia" w:ascii="宋体" w:hAnsi="宋体" w:eastAsia="宋体" w:cs="宋体"/>
          <w:color w:val="auto"/>
          <w:sz w:val="21"/>
          <w:szCs w:val="21"/>
        </w:rPr>
        <w:t>28. 履约保证金</w:t>
      </w:r>
      <w:bookmarkEnd w:id="117"/>
      <w:bookmarkEnd w:id="118"/>
    </w:p>
    <w:p w14:paraId="6EF063C1">
      <w:pPr>
        <w:pStyle w:val="4"/>
        <w:widowControl w:val="0"/>
        <w:spacing w:before="0" w:after="0" w:line="440" w:lineRule="exact"/>
        <w:ind w:firstLine="420" w:firstLineChars="200"/>
        <w:rPr>
          <w:rFonts w:hint="eastAsia" w:ascii="宋体" w:hAnsi="宋体" w:eastAsia="宋体" w:cs="宋体"/>
          <w:b w:val="0"/>
          <w:bCs w:val="0"/>
          <w:color w:val="auto"/>
          <w:sz w:val="21"/>
          <w:szCs w:val="21"/>
        </w:rPr>
      </w:pPr>
      <w:bookmarkStart w:id="119" w:name="_Toc4956"/>
      <w:bookmarkStart w:id="120" w:name="_Toc22004"/>
      <w:r>
        <w:rPr>
          <w:rFonts w:hint="eastAsia" w:ascii="宋体" w:hAnsi="宋体" w:eastAsia="宋体" w:cs="宋体"/>
          <w:b w:val="0"/>
          <w:bCs w:val="0"/>
          <w:color w:val="auto"/>
          <w:sz w:val="21"/>
          <w:szCs w:val="21"/>
        </w:rPr>
        <w:t>28.1 履约保证金金额按成交价的0%（人民币，四舍五入到元）缴纳(备注：如成交供应商被认定为小微企业的则无需缴纳履约保证金），由成交供应商在领取成交通知书前将履约保证金以转账、电汇、保险、保函等形式缴入采购人指定账户。</w:t>
      </w:r>
    </w:p>
    <w:p w14:paraId="791F3CF7">
      <w:pPr>
        <w:pStyle w:val="4"/>
        <w:widowControl w:val="0"/>
        <w:spacing w:before="0" w:after="0" w:line="44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成交供应商在收到成交通知书后，签订合同前向采购人足额提交履约保证金，否则采购人可以取消其成交资格。</w:t>
      </w:r>
    </w:p>
    <w:p w14:paraId="76E54E5C">
      <w:pPr>
        <w:pStyle w:val="4"/>
        <w:widowControl w:val="0"/>
        <w:spacing w:before="0" w:after="0" w:line="44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28.2如果成交供应商没能按上述第28.1款规定执行，采购人将上报本级政府采购监督管理部门，取消成交资格并有权授予第二成交候选供应商为成交供应商资格或重新组织招标。</w:t>
      </w:r>
    </w:p>
    <w:p w14:paraId="6F131629">
      <w:pPr>
        <w:pStyle w:val="4"/>
        <w:widowControl w:val="0"/>
        <w:spacing w:before="0" w:after="0" w:line="44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28.3项目验收合格后，成交供应商凭《验收报告单》和履约保证金缴纳证明材料办理履约保证金退款手续，收款方自办理退办手续后五个工作日内将履约保证金退还给成交供应商。如成交供应商不按双方签订的合同规定履约，则没收其全部履约保证金，履约保证金不足以赔偿损失的，按实际损失赔偿。</w:t>
      </w:r>
    </w:p>
    <w:p w14:paraId="40CCA2E4">
      <w:pPr>
        <w:pStyle w:val="4"/>
        <w:widowControl w:val="0"/>
        <w:spacing w:before="0" w:after="0" w:line="44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29. 签订合同</w:t>
      </w:r>
      <w:bookmarkEnd w:id="119"/>
      <w:bookmarkEnd w:id="120"/>
    </w:p>
    <w:p w14:paraId="77EA941F">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29.1 签订合同时间：成交通知书发出之日起8个工作日内签订合同。成交供应商领取成交通知书后，应按规定与采购人签订合同。</w:t>
      </w:r>
    </w:p>
    <w:p w14:paraId="4A232C4D">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72889BDF">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（1）成交后不与采购人签订合同的（不可抗力除外）；</w:t>
      </w:r>
    </w:p>
    <w:p w14:paraId="488D075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（2）将成交项目转让给他人，或者在响应文件中未说明，且未经采购人同意，将成交项目分包给他人的；</w:t>
      </w:r>
    </w:p>
    <w:p w14:paraId="4D24A699">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（3）拒绝履行合同义务的。</w:t>
      </w:r>
    </w:p>
    <w:p w14:paraId="2B3183F4">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szCs w:val="21"/>
        </w:rPr>
        <w:t>29.3 合同备案存档：</w:t>
      </w:r>
      <w:r>
        <w:rPr>
          <w:rFonts w:hint="eastAsia" w:ascii="宋体" w:hAnsi="宋体" w:eastAsia="宋体" w:cs="宋体"/>
          <w:color w:val="auto"/>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政府采购监督管理部门备案，一份由采购代理机构存档。</w:t>
      </w:r>
      <w:bookmarkStart w:id="121" w:name="_Toc16348"/>
      <w:bookmarkStart w:id="122" w:name="_Toc17898"/>
      <w:bookmarkStart w:id="123" w:name="_Toc11467"/>
    </w:p>
    <w:p w14:paraId="7D1D7DBE">
      <w:pPr>
        <w:spacing w:line="440" w:lineRule="exact"/>
        <w:ind w:firstLine="643" w:firstLineChars="200"/>
        <w:jc w:val="center"/>
        <w:rPr>
          <w:rFonts w:hint="eastAsia" w:ascii="宋体" w:hAnsi="宋体" w:eastAsia="宋体" w:cs="宋体"/>
          <w:b/>
          <w:color w:val="auto"/>
          <w:sz w:val="32"/>
          <w:szCs w:val="32"/>
        </w:rPr>
      </w:pPr>
    </w:p>
    <w:p w14:paraId="22EBC753">
      <w:pPr>
        <w:spacing w:line="440" w:lineRule="exact"/>
        <w:jc w:val="center"/>
        <w:rPr>
          <w:rFonts w:hint="eastAsia" w:ascii="宋体" w:hAnsi="宋体" w:eastAsia="宋体" w:cs="宋体"/>
          <w:b/>
          <w:color w:val="auto"/>
          <w:sz w:val="32"/>
          <w:szCs w:val="32"/>
        </w:rPr>
      </w:pPr>
    </w:p>
    <w:p w14:paraId="5D356379">
      <w:pPr>
        <w:spacing w:line="440" w:lineRule="exact"/>
        <w:jc w:val="center"/>
        <w:rPr>
          <w:rFonts w:hint="eastAsia" w:ascii="宋体" w:hAnsi="宋体" w:eastAsia="宋体" w:cs="宋体"/>
          <w:b/>
          <w:color w:val="auto"/>
          <w:sz w:val="32"/>
          <w:szCs w:val="32"/>
        </w:rPr>
      </w:pPr>
    </w:p>
    <w:p w14:paraId="614D5E67">
      <w:pPr>
        <w:spacing w:line="44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六、其他事项</w:t>
      </w:r>
      <w:bookmarkEnd w:id="121"/>
      <w:bookmarkEnd w:id="122"/>
      <w:bookmarkEnd w:id="123"/>
    </w:p>
    <w:p w14:paraId="669E8CE3">
      <w:pPr>
        <w:pStyle w:val="4"/>
        <w:widowControl w:val="0"/>
        <w:spacing w:before="0" w:after="0" w:line="440" w:lineRule="exact"/>
        <w:ind w:firstLine="422" w:firstLineChars="200"/>
        <w:rPr>
          <w:rFonts w:hint="eastAsia" w:ascii="宋体" w:hAnsi="宋体" w:eastAsia="宋体" w:cs="宋体"/>
          <w:color w:val="auto"/>
          <w:sz w:val="21"/>
          <w:szCs w:val="21"/>
        </w:rPr>
      </w:pPr>
      <w:bookmarkStart w:id="124" w:name="_Toc28647"/>
      <w:bookmarkStart w:id="125" w:name="_Toc29572"/>
      <w:r>
        <w:rPr>
          <w:rFonts w:hint="eastAsia" w:ascii="宋体" w:hAnsi="宋体" w:eastAsia="宋体" w:cs="宋体"/>
          <w:color w:val="auto"/>
          <w:sz w:val="21"/>
          <w:szCs w:val="21"/>
        </w:rPr>
        <w:t>30. 采购代理服务费</w:t>
      </w:r>
      <w:bookmarkEnd w:id="124"/>
      <w:bookmarkEnd w:id="125"/>
      <w:r>
        <w:rPr>
          <w:rFonts w:hint="eastAsia" w:ascii="宋体" w:hAnsi="宋体" w:eastAsia="宋体" w:cs="宋体"/>
          <w:color w:val="auto"/>
          <w:sz w:val="21"/>
          <w:szCs w:val="21"/>
        </w:rPr>
        <w:t>及收费标准</w:t>
      </w:r>
    </w:p>
    <w:p w14:paraId="322CC6AB">
      <w:pPr>
        <w:spacing w:line="400" w:lineRule="exact"/>
        <w:ind w:firstLine="420"/>
        <w:rPr>
          <w:rFonts w:hint="eastAsia" w:ascii="宋体" w:hAnsi="宋体" w:eastAsia="宋体" w:cs="宋体"/>
          <w:color w:val="auto"/>
        </w:rPr>
      </w:pPr>
      <w:bookmarkStart w:id="126" w:name="_Toc12374"/>
      <w:r>
        <w:rPr>
          <w:rFonts w:hint="eastAsia" w:ascii="宋体" w:hAnsi="宋体" w:eastAsia="宋体" w:cs="宋体"/>
          <w:color w:val="auto"/>
        </w:rPr>
        <w:t>30.1成交人领取成交通知书前，向采购代理机构一次性付清采购代理服务费，本项目采购代理服务收费标准参照计价格[2002]1980号《招标代理服务收费管理暂行办法》服务类收费标准向成交人收取。</w:t>
      </w:r>
    </w:p>
    <w:tbl>
      <w:tblPr>
        <w:tblStyle w:val="18"/>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14:paraId="64F5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14:paraId="773944C8">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pict>
                <v:line id="直线 99" o:spid="_x0000_s2052" o:spt="20" style="position:absolute;left:0pt;margin-left:23.35pt;margin-top:0.85pt;height:49.7pt;width:106.5pt;z-index:251660288;mso-width-relative:page;mso-height-relative:page;" coordsize="21600,21600">
                  <v:path arrowok="t"/>
                  <v:fill focussize="0,0"/>
                  <v:stroke/>
                  <v:imagedata o:title=""/>
                  <o:lock v:ext="edit"/>
                </v:line>
              </w:pict>
            </w:r>
            <w:r>
              <w:rPr>
                <w:rFonts w:hint="eastAsia" w:ascii="宋体" w:hAnsi="宋体" w:eastAsia="宋体" w:cs="宋体"/>
                <w:color w:val="auto"/>
                <w:szCs w:val="20"/>
              </w:rPr>
              <w:t>费率服务类型</w:t>
            </w:r>
          </w:p>
          <w:p w14:paraId="6511098A">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pict>
                <v:line id="直线 100" o:spid="_x0000_s2053" o:spt="20" style="position:absolute;left:0pt;margin-left:-5.35pt;margin-top:3.55pt;height:31.2pt;width:135pt;z-index:251661312;mso-width-relative:page;mso-height-relative:page;" coordsize="21600,21600">
                  <v:path arrowok="t"/>
                  <v:fill focussize="0,0"/>
                  <v:stroke/>
                  <v:imagedata o:title=""/>
                  <o:lock v:ext="edit"/>
                </v:line>
              </w:pict>
            </w:r>
          </w:p>
          <w:p w14:paraId="66967808">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t>成交金额（万元）</w:t>
            </w:r>
          </w:p>
        </w:tc>
        <w:tc>
          <w:tcPr>
            <w:tcW w:w="2002" w:type="dxa"/>
            <w:vAlign w:val="center"/>
          </w:tcPr>
          <w:p w14:paraId="68B9CA59">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货物招标</w:t>
            </w:r>
          </w:p>
        </w:tc>
        <w:tc>
          <w:tcPr>
            <w:tcW w:w="1992" w:type="dxa"/>
            <w:vAlign w:val="center"/>
          </w:tcPr>
          <w:p w14:paraId="7EF669D4">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服务招标</w:t>
            </w:r>
          </w:p>
        </w:tc>
        <w:tc>
          <w:tcPr>
            <w:tcW w:w="2293" w:type="dxa"/>
            <w:vAlign w:val="center"/>
          </w:tcPr>
          <w:p w14:paraId="0EEF0A61">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工程招标</w:t>
            </w:r>
          </w:p>
        </w:tc>
      </w:tr>
      <w:tr w14:paraId="6CE1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14:paraId="33BB8071">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t>100以下</w:t>
            </w:r>
          </w:p>
        </w:tc>
        <w:tc>
          <w:tcPr>
            <w:tcW w:w="2002" w:type="dxa"/>
          </w:tcPr>
          <w:p w14:paraId="3A1981DE">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1.5%</w:t>
            </w:r>
          </w:p>
        </w:tc>
        <w:tc>
          <w:tcPr>
            <w:tcW w:w="1992" w:type="dxa"/>
          </w:tcPr>
          <w:p w14:paraId="5B44E265">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1.5%</w:t>
            </w:r>
          </w:p>
        </w:tc>
        <w:tc>
          <w:tcPr>
            <w:tcW w:w="2293" w:type="dxa"/>
          </w:tcPr>
          <w:p w14:paraId="4EBB463A">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1.0%</w:t>
            </w:r>
          </w:p>
        </w:tc>
      </w:tr>
      <w:tr w14:paraId="3A5A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14:paraId="7CAC737E">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t>100-500</w:t>
            </w:r>
          </w:p>
        </w:tc>
        <w:tc>
          <w:tcPr>
            <w:tcW w:w="2002" w:type="dxa"/>
          </w:tcPr>
          <w:p w14:paraId="4077D9A3">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1.1%</w:t>
            </w:r>
          </w:p>
        </w:tc>
        <w:tc>
          <w:tcPr>
            <w:tcW w:w="1992" w:type="dxa"/>
          </w:tcPr>
          <w:p w14:paraId="4821278B">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0.8%</w:t>
            </w:r>
          </w:p>
        </w:tc>
        <w:tc>
          <w:tcPr>
            <w:tcW w:w="2293" w:type="dxa"/>
          </w:tcPr>
          <w:p w14:paraId="2FC05051">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0.7%</w:t>
            </w:r>
          </w:p>
        </w:tc>
      </w:tr>
      <w:tr w14:paraId="72A8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4366BEEF">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t>500-1000</w:t>
            </w:r>
          </w:p>
        </w:tc>
        <w:tc>
          <w:tcPr>
            <w:tcW w:w="2002" w:type="dxa"/>
          </w:tcPr>
          <w:p w14:paraId="6E2E0302">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0.8%</w:t>
            </w:r>
          </w:p>
        </w:tc>
        <w:tc>
          <w:tcPr>
            <w:tcW w:w="1992" w:type="dxa"/>
          </w:tcPr>
          <w:p w14:paraId="0EDF6F0B">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0.45%</w:t>
            </w:r>
          </w:p>
        </w:tc>
        <w:tc>
          <w:tcPr>
            <w:tcW w:w="2293" w:type="dxa"/>
          </w:tcPr>
          <w:p w14:paraId="5C2C22AB">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0.55%</w:t>
            </w:r>
          </w:p>
        </w:tc>
      </w:tr>
      <w:tr w14:paraId="308D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69B28DD3">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t>1000-5000</w:t>
            </w:r>
          </w:p>
        </w:tc>
        <w:tc>
          <w:tcPr>
            <w:tcW w:w="2002" w:type="dxa"/>
          </w:tcPr>
          <w:p w14:paraId="77E150E5">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0.5%</w:t>
            </w:r>
          </w:p>
        </w:tc>
        <w:tc>
          <w:tcPr>
            <w:tcW w:w="1992" w:type="dxa"/>
          </w:tcPr>
          <w:p w14:paraId="7F4921D4">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0.25%</w:t>
            </w:r>
          </w:p>
        </w:tc>
        <w:tc>
          <w:tcPr>
            <w:tcW w:w="2293" w:type="dxa"/>
          </w:tcPr>
          <w:p w14:paraId="4916ED12">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0.35%</w:t>
            </w:r>
          </w:p>
        </w:tc>
      </w:tr>
      <w:tr w14:paraId="65AE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5506565B">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t>5000-10000</w:t>
            </w:r>
          </w:p>
        </w:tc>
        <w:tc>
          <w:tcPr>
            <w:tcW w:w="2002" w:type="dxa"/>
          </w:tcPr>
          <w:p w14:paraId="67409C6F">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0.25%</w:t>
            </w:r>
          </w:p>
        </w:tc>
        <w:tc>
          <w:tcPr>
            <w:tcW w:w="1992" w:type="dxa"/>
          </w:tcPr>
          <w:p w14:paraId="651A4DB3">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0.1%</w:t>
            </w:r>
          </w:p>
        </w:tc>
        <w:tc>
          <w:tcPr>
            <w:tcW w:w="2293" w:type="dxa"/>
          </w:tcPr>
          <w:p w14:paraId="39443AC6">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0.2%</w:t>
            </w:r>
          </w:p>
        </w:tc>
      </w:tr>
      <w:tr w14:paraId="0ED2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14:paraId="25A7B9AA">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t>10000-100000</w:t>
            </w:r>
          </w:p>
        </w:tc>
        <w:tc>
          <w:tcPr>
            <w:tcW w:w="2002" w:type="dxa"/>
          </w:tcPr>
          <w:p w14:paraId="23775650">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0.05%</w:t>
            </w:r>
          </w:p>
        </w:tc>
        <w:tc>
          <w:tcPr>
            <w:tcW w:w="1992" w:type="dxa"/>
          </w:tcPr>
          <w:p w14:paraId="30059DB2">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0.05%</w:t>
            </w:r>
          </w:p>
        </w:tc>
        <w:tc>
          <w:tcPr>
            <w:tcW w:w="2293" w:type="dxa"/>
          </w:tcPr>
          <w:p w14:paraId="73348A8C">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0.05%</w:t>
            </w:r>
          </w:p>
        </w:tc>
      </w:tr>
      <w:tr w14:paraId="63F3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14:paraId="1EFAF4FF">
            <w:pPr>
              <w:spacing w:line="360" w:lineRule="exact"/>
              <w:ind w:left="25"/>
              <w:rPr>
                <w:rFonts w:hint="eastAsia" w:ascii="宋体" w:hAnsi="宋体" w:eastAsia="宋体" w:cs="宋体"/>
                <w:color w:val="auto"/>
                <w:szCs w:val="20"/>
              </w:rPr>
            </w:pPr>
            <w:r>
              <w:rPr>
                <w:rFonts w:hint="eastAsia" w:ascii="宋体" w:hAnsi="宋体" w:eastAsia="宋体" w:cs="宋体"/>
                <w:color w:val="auto"/>
                <w:szCs w:val="20"/>
              </w:rPr>
              <w:t>100000以上</w:t>
            </w:r>
          </w:p>
        </w:tc>
        <w:tc>
          <w:tcPr>
            <w:tcW w:w="2002" w:type="dxa"/>
          </w:tcPr>
          <w:p w14:paraId="3755689C">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0.01%</w:t>
            </w:r>
          </w:p>
        </w:tc>
        <w:tc>
          <w:tcPr>
            <w:tcW w:w="1992" w:type="dxa"/>
          </w:tcPr>
          <w:p w14:paraId="224DF1CF">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0.01%</w:t>
            </w:r>
          </w:p>
        </w:tc>
        <w:tc>
          <w:tcPr>
            <w:tcW w:w="2293" w:type="dxa"/>
          </w:tcPr>
          <w:p w14:paraId="1F516A98">
            <w:pPr>
              <w:spacing w:line="360" w:lineRule="exact"/>
              <w:ind w:left="25"/>
              <w:jc w:val="center"/>
              <w:rPr>
                <w:rFonts w:hint="eastAsia" w:ascii="宋体" w:hAnsi="宋体" w:eastAsia="宋体" w:cs="宋体"/>
                <w:color w:val="auto"/>
                <w:szCs w:val="20"/>
              </w:rPr>
            </w:pPr>
            <w:r>
              <w:rPr>
                <w:rFonts w:hint="eastAsia" w:ascii="宋体" w:hAnsi="宋体" w:eastAsia="宋体" w:cs="宋体"/>
                <w:color w:val="auto"/>
                <w:szCs w:val="20"/>
              </w:rPr>
              <w:t>0.01%</w:t>
            </w:r>
          </w:p>
        </w:tc>
      </w:tr>
    </w:tbl>
    <w:p w14:paraId="03692AB2">
      <w:pPr>
        <w:spacing w:line="400" w:lineRule="exact"/>
        <w:ind w:firstLine="420"/>
        <w:rPr>
          <w:rFonts w:hint="eastAsia" w:ascii="宋体" w:hAnsi="宋体" w:eastAsia="宋体" w:cs="宋体"/>
          <w:color w:val="auto"/>
        </w:rPr>
      </w:pPr>
    </w:p>
    <w:p w14:paraId="304CE8AF">
      <w:pPr>
        <w:spacing w:line="400" w:lineRule="exact"/>
        <w:ind w:firstLine="422"/>
        <w:rPr>
          <w:rFonts w:hint="eastAsia" w:ascii="宋体" w:hAnsi="宋体" w:eastAsia="宋体" w:cs="宋体"/>
          <w:bCs/>
          <w:color w:val="auto"/>
        </w:rPr>
      </w:pPr>
      <w:r>
        <w:rPr>
          <w:rFonts w:hint="eastAsia" w:ascii="宋体" w:hAnsi="宋体" w:eastAsia="宋体" w:cs="宋体"/>
          <w:bCs/>
          <w:color w:val="auto"/>
        </w:rPr>
        <w:t>30.2招标代理服务费缴纳账户：</w:t>
      </w:r>
    </w:p>
    <w:p w14:paraId="72D94B3C">
      <w:pPr>
        <w:spacing w:line="440" w:lineRule="exact"/>
        <w:ind w:firstLine="420" w:firstLineChars="200"/>
        <w:rPr>
          <w:rStyle w:val="24"/>
          <w:rFonts w:hint="eastAsia" w:ascii="宋体" w:hAnsi="宋体" w:eastAsia="宋体" w:cs="宋体"/>
          <w:b w:val="0"/>
          <w:color w:val="auto"/>
          <w:sz w:val="21"/>
          <w:szCs w:val="21"/>
        </w:rPr>
      </w:pPr>
      <w:bookmarkStart w:id="127" w:name="_Toc9779"/>
      <w:r>
        <w:rPr>
          <w:rStyle w:val="24"/>
          <w:rFonts w:hint="eastAsia" w:ascii="宋体" w:hAnsi="宋体" w:eastAsia="宋体" w:cs="宋体"/>
          <w:b w:val="0"/>
          <w:color w:val="auto"/>
          <w:sz w:val="21"/>
          <w:szCs w:val="21"/>
        </w:rPr>
        <w:t>开户名称：广西广西佳益工程项目管理咨询有限公司</w:t>
      </w:r>
    </w:p>
    <w:p w14:paraId="1852199B">
      <w:pPr>
        <w:spacing w:line="440" w:lineRule="exact"/>
        <w:ind w:firstLine="420" w:firstLineChars="200"/>
        <w:rPr>
          <w:rStyle w:val="24"/>
          <w:rFonts w:hint="eastAsia" w:ascii="宋体" w:hAnsi="宋体" w:eastAsia="宋体" w:cs="宋体"/>
          <w:b w:val="0"/>
          <w:color w:val="auto"/>
          <w:sz w:val="21"/>
          <w:szCs w:val="21"/>
        </w:rPr>
      </w:pPr>
      <w:r>
        <w:rPr>
          <w:rStyle w:val="24"/>
          <w:rFonts w:hint="eastAsia" w:ascii="宋体" w:hAnsi="宋体" w:eastAsia="宋体" w:cs="宋体"/>
          <w:b w:val="0"/>
          <w:color w:val="auto"/>
          <w:sz w:val="21"/>
          <w:szCs w:val="21"/>
        </w:rPr>
        <w:t>开户银行：桂林银行股份有限公司漓东支行</w:t>
      </w:r>
    </w:p>
    <w:p w14:paraId="27C9028A">
      <w:pPr>
        <w:spacing w:line="440" w:lineRule="exact"/>
        <w:ind w:firstLine="420" w:firstLineChars="200"/>
        <w:rPr>
          <w:rStyle w:val="24"/>
          <w:rFonts w:hint="eastAsia" w:ascii="宋体" w:hAnsi="宋体" w:eastAsia="宋体" w:cs="宋体"/>
          <w:b w:val="0"/>
          <w:color w:val="auto"/>
          <w:sz w:val="21"/>
          <w:szCs w:val="21"/>
        </w:rPr>
      </w:pPr>
      <w:r>
        <w:rPr>
          <w:rStyle w:val="24"/>
          <w:rFonts w:hint="eastAsia" w:ascii="宋体" w:hAnsi="宋体" w:eastAsia="宋体" w:cs="宋体"/>
          <w:b w:val="0"/>
          <w:color w:val="auto"/>
          <w:sz w:val="21"/>
          <w:szCs w:val="21"/>
        </w:rPr>
        <w:t>帐    号：6600 0001 7546 6000 11</w:t>
      </w:r>
    </w:p>
    <w:p w14:paraId="19693568">
      <w:pPr>
        <w:spacing w:line="440" w:lineRule="exact"/>
        <w:ind w:firstLine="422" w:firstLineChars="200"/>
        <w:rPr>
          <w:rFonts w:hint="eastAsia" w:ascii="宋体" w:hAnsi="宋体" w:eastAsia="宋体" w:cs="宋体"/>
          <w:color w:val="auto"/>
          <w:szCs w:val="21"/>
        </w:rPr>
      </w:pPr>
      <w:r>
        <w:rPr>
          <w:rStyle w:val="24"/>
          <w:rFonts w:hint="eastAsia" w:ascii="宋体" w:hAnsi="宋体" w:eastAsia="宋体" w:cs="宋体"/>
          <w:color w:val="auto"/>
          <w:sz w:val="21"/>
          <w:szCs w:val="21"/>
        </w:rPr>
        <w:t>31. 解释权</w:t>
      </w:r>
      <w:bookmarkEnd w:id="126"/>
      <w:bookmarkEnd w:id="127"/>
      <w:r>
        <w:rPr>
          <w:rFonts w:hint="eastAsia" w:ascii="宋体" w:hAnsi="宋体" w:eastAsia="宋体" w:cs="宋体"/>
          <w:color w:val="auto"/>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12F0011F">
      <w:pPr>
        <w:pStyle w:val="23"/>
        <w:ind w:firstLine="422" w:firstLineChars="200"/>
        <w:rPr>
          <w:rFonts w:hint="eastAsia" w:ascii="宋体" w:hAnsi="宋体" w:eastAsia="宋体" w:cs="宋体"/>
          <w:color w:val="auto"/>
          <w:szCs w:val="21"/>
        </w:rPr>
      </w:pPr>
      <w:bookmarkStart w:id="128" w:name="_Toc32738"/>
      <w:r>
        <w:rPr>
          <w:rStyle w:val="24"/>
          <w:rFonts w:hint="eastAsia" w:ascii="宋体" w:hAnsi="宋体" w:eastAsia="宋体" w:cs="宋体"/>
          <w:color w:val="auto"/>
          <w:sz w:val="21"/>
          <w:szCs w:val="21"/>
        </w:rPr>
        <w:t>32. 监督管理机构</w:t>
      </w:r>
      <w:bookmarkEnd w:id="128"/>
      <w:r>
        <w:rPr>
          <w:rFonts w:hint="eastAsia" w:ascii="宋体" w:hAnsi="宋体" w:eastAsia="宋体" w:cs="宋体"/>
          <w:color w:val="auto"/>
          <w:szCs w:val="21"/>
        </w:rPr>
        <w:t>：</w:t>
      </w:r>
    </w:p>
    <w:p w14:paraId="6BE98499">
      <w:pPr>
        <w:spacing w:line="400" w:lineRule="exact"/>
        <w:ind w:firstLine="422"/>
        <w:rPr>
          <w:rStyle w:val="24"/>
          <w:rFonts w:hint="eastAsia" w:ascii="宋体" w:hAnsi="宋体" w:eastAsia="宋体" w:cs="宋体"/>
          <w:b w:val="0"/>
          <w:color w:val="auto"/>
          <w:sz w:val="21"/>
          <w:szCs w:val="24"/>
        </w:rPr>
      </w:pPr>
      <w:r>
        <w:rPr>
          <w:rFonts w:hint="eastAsia" w:ascii="宋体" w:hAnsi="宋体" w:eastAsia="宋体" w:cs="宋体"/>
          <w:color w:val="auto"/>
          <w:szCs w:val="21"/>
        </w:rPr>
        <w:t>灵川县政府采购管理办公室</w:t>
      </w:r>
      <w:r>
        <w:rPr>
          <w:rFonts w:hint="eastAsia" w:ascii="宋体" w:hAnsi="宋体" w:eastAsia="宋体" w:cs="宋体"/>
          <w:bCs/>
          <w:color w:val="auto"/>
        </w:rPr>
        <w:t xml:space="preserve">   电话：0773-6812818 </w:t>
      </w:r>
    </w:p>
    <w:p w14:paraId="1C601F6E">
      <w:pPr>
        <w:spacing w:line="400" w:lineRule="exact"/>
        <w:ind w:firstLine="422" w:firstLineChars="200"/>
        <w:rPr>
          <w:rStyle w:val="24"/>
          <w:rFonts w:hint="eastAsia" w:ascii="宋体" w:hAnsi="宋体" w:eastAsia="宋体" w:cs="宋体"/>
          <w:color w:val="auto"/>
          <w:sz w:val="21"/>
          <w:szCs w:val="21"/>
        </w:rPr>
      </w:pPr>
      <w:r>
        <w:rPr>
          <w:rStyle w:val="24"/>
          <w:rFonts w:hint="eastAsia" w:ascii="宋体" w:hAnsi="宋体" w:eastAsia="宋体" w:cs="宋体"/>
          <w:color w:val="auto"/>
          <w:sz w:val="21"/>
          <w:szCs w:val="21"/>
        </w:rPr>
        <w:t>33. 广西线上“政采贷”政策告知函：</w:t>
      </w:r>
    </w:p>
    <w:p w14:paraId="4F461ACD">
      <w:pPr>
        <w:spacing w:line="400" w:lineRule="exact"/>
        <w:ind w:firstLine="422" w:firstLineChars="200"/>
        <w:rPr>
          <w:rStyle w:val="24"/>
          <w:rFonts w:hint="eastAsia" w:ascii="宋体" w:hAnsi="宋体" w:eastAsia="宋体" w:cs="宋体"/>
          <w:color w:val="auto"/>
          <w:sz w:val="21"/>
          <w:szCs w:val="21"/>
        </w:rPr>
      </w:pPr>
    </w:p>
    <w:p w14:paraId="609ED211">
      <w:pPr>
        <w:spacing w:line="400" w:lineRule="exact"/>
        <w:ind w:firstLine="422" w:firstLineChars="200"/>
        <w:rPr>
          <w:rStyle w:val="24"/>
          <w:rFonts w:hint="eastAsia" w:ascii="宋体" w:hAnsi="宋体" w:eastAsia="宋体" w:cs="宋体"/>
          <w:color w:val="auto"/>
          <w:sz w:val="21"/>
          <w:szCs w:val="21"/>
        </w:rPr>
      </w:pPr>
    </w:p>
    <w:p w14:paraId="64787C2A">
      <w:pPr>
        <w:spacing w:line="400" w:lineRule="exact"/>
        <w:ind w:firstLine="422" w:firstLineChars="200"/>
        <w:rPr>
          <w:rStyle w:val="24"/>
          <w:rFonts w:hint="eastAsia" w:ascii="宋体" w:hAnsi="宋体" w:eastAsia="宋体" w:cs="宋体"/>
          <w:color w:val="auto"/>
          <w:sz w:val="21"/>
          <w:szCs w:val="21"/>
        </w:rPr>
      </w:pPr>
    </w:p>
    <w:p w14:paraId="34ADE3C0">
      <w:pPr>
        <w:spacing w:line="400" w:lineRule="exact"/>
        <w:ind w:firstLine="422" w:firstLineChars="200"/>
        <w:rPr>
          <w:rStyle w:val="24"/>
          <w:rFonts w:hint="eastAsia" w:ascii="宋体" w:hAnsi="宋体" w:eastAsia="宋体" w:cs="宋体"/>
          <w:color w:val="auto"/>
          <w:sz w:val="21"/>
          <w:szCs w:val="21"/>
        </w:rPr>
      </w:pPr>
    </w:p>
    <w:p w14:paraId="5FBDBCAF">
      <w:pPr>
        <w:spacing w:line="400" w:lineRule="exact"/>
        <w:ind w:firstLine="422" w:firstLineChars="200"/>
        <w:rPr>
          <w:rStyle w:val="24"/>
          <w:rFonts w:hint="eastAsia" w:ascii="宋体" w:hAnsi="宋体" w:eastAsia="宋体" w:cs="宋体"/>
          <w:color w:val="auto"/>
          <w:sz w:val="21"/>
          <w:szCs w:val="21"/>
        </w:rPr>
      </w:pPr>
    </w:p>
    <w:p w14:paraId="2CAC833F">
      <w:pPr>
        <w:spacing w:line="400" w:lineRule="exact"/>
        <w:ind w:firstLine="422" w:firstLineChars="200"/>
        <w:rPr>
          <w:rStyle w:val="24"/>
          <w:rFonts w:hint="eastAsia" w:ascii="宋体" w:hAnsi="宋体" w:eastAsia="宋体" w:cs="宋体"/>
          <w:color w:val="auto"/>
          <w:sz w:val="21"/>
          <w:szCs w:val="21"/>
        </w:rPr>
      </w:pPr>
    </w:p>
    <w:p w14:paraId="024AE307">
      <w:pPr>
        <w:spacing w:line="400" w:lineRule="exact"/>
        <w:ind w:firstLine="422" w:firstLineChars="200"/>
        <w:rPr>
          <w:rStyle w:val="24"/>
          <w:rFonts w:hint="eastAsia" w:ascii="宋体" w:hAnsi="宋体" w:eastAsia="宋体" w:cs="宋体"/>
          <w:color w:val="auto"/>
          <w:sz w:val="21"/>
          <w:szCs w:val="21"/>
        </w:rPr>
      </w:pPr>
    </w:p>
    <w:p w14:paraId="1960136C">
      <w:pPr>
        <w:spacing w:line="400" w:lineRule="exact"/>
        <w:ind w:firstLine="422" w:firstLineChars="200"/>
        <w:rPr>
          <w:rStyle w:val="24"/>
          <w:rFonts w:hint="eastAsia" w:ascii="宋体" w:hAnsi="宋体" w:eastAsia="宋体" w:cs="宋体"/>
          <w:color w:val="auto"/>
          <w:sz w:val="21"/>
          <w:szCs w:val="21"/>
        </w:rPr>
      </w:pPr>
    </w:p>
    <w:p w14:paraId="23AAADCA">
      <w:pPr>
        <w:spacing w:line="400" w:lineRule="exact"/>
        <w:ind w:firstLine="422" w:firstLineChars="200"/>
        <w:rPr>
          <w:rStyle w:val="24"/>
          <w:rFonts w:hint="eastAsia" w:ascii="宋体" w:hAnsi="宋体" w:eastAsia="宋体" w:cs="宋体"/>
          <w:color w:val="auto"/>
          <w:sz w:val="21"/>
          <w:szCs w:val="21"/>
        </w:rPr>
      </w:pPr>
    </w:p>
    <w:p w14:paraId="405F52BC">
      <w:pPr>
        <w:spacing w:line="380" w:lineRule="atLeast"/>
        <w:jc w:val="center"/>
        <w:rPr>
          <w:rFonts w:hint="eastAsia" w:ascii="宋体" w:hAnsi="宋体" w:eastAsia="宋体" w:cs="宋体"/>
          <w:b/>
          <w:bCs/>
          <w:color w:val="auto"/>
        </w:rPr>
      </w:pPr>
      <w:r>
        <w:rPr>
          <w:rFonts w:hint="eastAsia" w:ascii="宋体" w:hAnsi="宋体" w:eastAsia="宋体" w:cs="宋体"/>
          <w:b/>
          <w:bCs/>
          <w:color w:val="auto"/>
          <w:sz w:val="32"/>
          <w:szCs w:val="32"/>
        </w:rPr>
        <w:t>广西线上“政采贷”政策告知函</w:t>
      </w:r>
    </w:p>
    <w:p w14:paraId="7C4EDC4E">
      <w:pPr>
        <w:spacing w:line="380" w:lineRule="atLeast"/>
        <w:rPr>
          <w:rFonts w:hint="eastAsia" w:ascii="宋体" w:hAnsi="宋体" w:eastAsia="宋体" w:cs="宋体"/>
          <w:b/>
          <w:bCs/>
          <w:color w:val="auto"/>
          <w:sz w:val="24"/>
        </w:rPr>
      </w:pPr>
      <w:r>
        <w:rPr>
          <w:rFonts w:hint="eastAsia" w:ascii="宋体" w:hAnsi="宋体" w:eastAsia="宋体" w:cs="宋体"/>
          <w:b/>
          <w:bCs/>
          <w:color w:val="auto"/>
          <w:sz w:val="24"/>
        </w:rPr>
        <w:t>各供应商∶</w:t>
      </w:r>
    </w:p>
    <w:p w14:paraId="3E808F64">
      <w:pPr>
        <w:spacing w:line="380" w:lineRule="atLeast"/>
        <w:ind w:firstLine="420"/>
        <w:rPr>
          <w:rFonts w:hint="eastAsia" w:ascii="宋体" w:hAnsi="宋体" w:eastAsia="宋体" w:cs="宋体"/>
          <w:b/>
          <w:bCs/>
          <w:color w:val="auto"/>
          <w:sz w:val="24"/>
        </w:rPr>
      </w:pPr>
      <w:r>
        <w:rPr>
          <w:rFonts w:hint="eastAsia" w:ascii="宋体" w:hAnsi="宋体" w:eastAsia="宋体" w:cs="宋体"/>
          <w:b/>
          <w:bCs/>
          <w:color w:val="auto"/>
          <w:sz w:val="24"/>
        </w:rPr>
        <w:t>欢迎贵公司参与广西政府采购活动!</w:t>
      </w:r>
    </w:p>
    <w:p w14:paraId="6C3204D9">
      <w:pPr>
        <w:spacing w:line="380" w:lineRule="atLeast"/>
        <w:ind w:firstLine="420"/>
        <w:rPr>
          <w:rFonts w:hint="eastAsia" w:ascii="宋体" w:hAnsi="宋体" w:eastAsia="宋体" w:cs="宋体"/>
          <w:b/>
          <w:bCs/>
          <w:color w:val="auto"/>
          <w:sz w:val="24"/>
        </w:rPr>
      </w:pPr>
      <w:r>
        <w:rPr>
          <w:rFonts w:hint="eastAsia" w:ascii="宋体" w:hAnsi="宋体" w:eastAsia="宋体" w:cs="宋体"/>
          <w:b/>
          <w:bCs/>
          <w:color w:val="auto"/>
          <w:sz w:val="24"/>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上“政采贷”融资模式 的通知》（南宁银发〔2021〕258号 ）， 按照双方自愿的原则提供 便捷、优惠的贷款服务。</w:t>
      </w:r>
    </w:p>
    <w:p w14:paraId="12DD4227">
      <w:pPr>
        <w:spacing w:line="380" w:lineRule="atLeast"/>
        <w:ind w:firstLine="420"/>
        <w:rPr>
          <w:rFonts w:hint="eastAsia" w:ascii="宋体" w:hAnsi="宋体" w:eastAsia="宋体" w:cs="宋体"/>
          <w:b/>
          <w:bCs/>
          <w:color w:val="auto"/>
          <w:sz w:val="24"/>
        </w:rPr>
      </w:pPr>
      <w:r>
        <w:rPr>
          <w:rFonts w:hint="eastAsia" w:ascii="宋体" w:hAnsi="宋体" w:eastAsia="宋体" w:cs="宋体"/>
          <w:b/>
          <w:bCs/>
          <w:color w:val="auto"/>
          <w:sz w:val="24"/>
        </w:rPr>
        <w:t>相关金融产品和银行业金融机构联系方式，可在中征应收账款融资服务平台查询（网址 ∶https/www.crcrfsp.com/，客服电话∶400-009-0001)。</w:t>
      </w:r>
    </w:p>
    <w:p w14:paraId="1AA097DF">
      <w:pPr>
        <w:snapToGrid w:val="0"/>
        <w:spacing w:line="440" w:lineRule="exact"/>
        <w:ind w:firstLine="420" w:firstLineChars="200"/>
        <w:rPr>
          <w:rFonts w:hint="eastAsia" w:ascii="宋体" w:hAnsi="宋体" w:eastAsia="宋体" w:cs="宋体"/>
          <w:color w:val="auto"/>
          <w:szCs w:val="21"/>
        </w:rPr>
      </w:pPr>
    </w:p>
    <w:p w14:paraId="59B47507">
      <w:pPr>
        <w:pageBreakBefore/>
        <w:snapToGrid w:val="0"/>
        <w:rPr>
          <w:rFonts w:hint="eastAsia" w:ascii="宋体" w:hAnsi="宋体" w:eastAsia="宋体" w:cs="宋体"/>
          <w:b/>
          <w:color w:val="auto"/>
          <w:kern w:val="0"/>
          <w:sz w:val="24"/>
        </w:rPr>
      </w:pPr>
      <w:r>
        <w:rPr>
          <w:rFonts w:hint="eastAsia" w:ascii="宋体" w:hAnsi="宋体" w:eastAsia="宋体" w:cs="宋体"/>
          <w:b/>
          <w:color w:val="auto"/>
          <w:kern w:val="0"/>
          <w:sz w:val="24"/>
        </w:rPr>
        <w:t>附表1：</w:t>
      </w:r>
    </w:p>
    <w:p w14:paraId="6D7F91F1">
      <w:pPr>
        <w:spacing w:line="460" w:lineRule="exact"/>
        <w:jc w:val="center"/>
        <w:rPr>
          <w:rFonts w:hint="eastAsia" w:ascii="宋体" w:hAnsi="宋体" w:eastAsia="宋体" w:cs="宋体"/>
          <w:color w:val="auto"/>
          <w:kern w:val="0"/>
          <w:sz w:val="44"/>
        </w:rPr>
      </w:pPr>
      <w:r>
        <w:rPr>
          <w:rFonts w:hint="eastAsia" w:ascii="宋体" w:hAnsi="宋体" w:eastAsia="宋体" w:cs="宋体"/>
          <w:color w:val="auto"/>
          <w:kern w:val="0"/>
          <w:sz w:val="44"/>
        </w:rPr>
        <w:t>质疑函（格式）</w:t>
      </w:r>
    </w:p>
    <w:p w14:paraId="0F28327B">
      <w:pPr>
        <w:snapToGrid w:val="0"/>
        <w:spacing w:line="360" w:lineRule="exact"/>
        <w:ind w:firstLine="422" w:firstLineChars="200"/>
        <w:rPr>
          <w:rFonts w:hint="eastAsia" w:ascii="宋体" w:hAnsi="宋体" w:eastAsia="宋体" w:cs="宋体"/>
          <w:b/>
          <w:bCs/>
          <w:color w:val="auto"/>
          <w:kern w:val="0"/>
        </w:rPr>
      </w:pPr>
      <w:r>
        <w:rPr>
          <w:rFonts w:hint="eastAsia" w:ascii="宋体" w:hAnsi="宋体" w:eastAsia="宋体" w:cs="宋体"/>
          <w:b/>
          <w:bCs/>
          <w:color w:val="auto"/>
          <w:kern w:val="0"/>
        </w:rPr>
        <w:t>一、质疑供应商基本信息：</w:t>
      </w:r>
    </w:p>
    <w:p w14:paraId="00BEAD4B">
      <w:pPr>
        <w:snapToGrid w:val="0"/>
        <w:spacing w:line="36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质疑供应商：</w:t>
      </w:r>
    </w:p>
    <w:p w14:paraId="66D52700">
      <w:pPr>
        <w:snapToGrid w:val="0"/>
        <w:spacing w:line="36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地址：邮编：</w:t>
      </w:r>
    </w:p>
    <w:p w14:paraId="59225667">
      <w:pPr>
        <w:snapToGrid w:val="0"/>
        <w:spacing w:line="36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联系人：联系电话：</w:t>
      </w:r>
    </w:p>
    <w:p w14:paraId="7928F94C">
      <w:pPr>
        <w:snapToGrid w:val="0"/>
        <w:spacing w:line="36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授权代表：</w:t>
      </w:r>
    </w:p>
    <w:p w14:paraId="4CCAF57B">
      <w:pPr>
        <w:snapToGrid w:val="0"/>
        <w:spacing w:line="36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联系电话：</w:t>
      </w:r>
    </w:p>
    <w:p w14:paraId="7C6CD2BA">
      <w:pPr>
        <w:snapToGrid w:val="0"/>
        <w:spacing w:line="36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地址：邮编：</w:t>
      </w:r>
    </w:p>
    <w:p w14:paraId="22838F57">
      <w:pPr>
        <w:snapToGrid w:val="0"/>
        <w:spacing w:line="360" w:lineRule="exact"/>
        <w:ind w:firstLine="422" w:firstLineChars="200"/>
        <w:rPr>
          <w:rFonts w:hint="eastAsia" w:ascii="宋体" w:hAnsi="宋体" w:eastAsia="宋体" w:cs="宋体"/>
          <w:b/>
          <w:bCs/>
          <w:color w:val="auto"/>
          <w:kern w:val="0"/>
        </w:rPr>
      </w:pPr>
      <w:r>
        <w:rPr>
          <w:rFonts w:hint="eastAsia" w:ascii="宋体" w:hAnsi="宋体" w:eastAsia="宋体" w:cs="宋体"/>
          <w:b/>
          <w:bCs/>
          <w:color w:val="auto"/>
          <w:kern w:val="0"/>
        </w:rPr>
        <w:t>二、质疑项目基本情况：</w:t>
      </w:r>
    </w:p>
    <w:p w14:paraId="3011AA11">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bCs/>
          <w:color w:val="auto"/>
          <w:kern w:val="0"/>
        </w:rPr>
        <w:t>质疑</w:t>
      </w:r>
      <w:r>
        <w:rPr>
          <w:rFonts w:hint="eastAsia" w:ascii="宋体" w:hAnsi="宋体" w:eastAsia="宋体" w:cs="宋体"/>
          <w:color w:val="auto"/>
          <w:kern w:val="0"/>
          <w:szCs w:val="21"/>
        </w:rPr>
        <w:t>项目的名称：</w:t>
      </w:r>
    </w:p>
    <w:p w14:paraId="172E9268">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bCs/>
          <w:color w:val="auto"/>
          <w:kern w:val="0"/>
        </w:rPr>
        <w:t>质疑</w:t>
      </w:r>
      <w:r>
        <w:rPr>
          <w:rFonts w:hint="eastAsia" w:ascii="宋体" w:hAnsi="宋体" w:eastAsia="宋体" w:cs="宋体"/>
          <w:color w:val="auto"/>
          <w:kern w:val="0"/>
          <w:szCs w:val="21"/>
        </w:rPr>
        <w:t>项目的编号：</w:t>
      </w:r>
    </w:p>
    <w:p w14:paraId="4EB46558">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采购人名称：</w:t>
      </w:r>
    </w:p>
    <w:p w14:paraId="2A42B4B0">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质疑事项：</w:t>
      </w:r>
    </w:p>
    <w:p w14:paraId="09CB7001">
      <w:pPr>
        <w:spacing w:line="360" w:lineRule="exact"/>
        <w:ind w:left="25" w:leftChars="12" w:firstLine="441" w:firstLineChars="147"/>
        <w:rPr>
          <w:rFonts w:hint="eastAsia" w:ascii="宋体" w:hAnsi="宋体" w:eastAsia="宋体" w:cs="宋体"/>
          <w:color w:val="auto"/>
          <w:kern w:val="0"/>
          <w:szCs w:val="21"/>
        </w:rPr>
      </w:pPr>
      <w:r>
        <w:rPr>
          <w:rFonts w:hint="eastAsia" w:ascii="宋体" w:hAnsi="宋体" w:eastAsia="宋体" w:cs="宋体"/>
          <w:color w:val="auto"/>
          <w:kern w:val="0"/>
          <w:sz w:val="30"/>
          <w:szCs w:val="30"/>
        </w:rPr>
        <w:t>□</w:t>
      </w:r>
      <w:r>
        <w:rPr>
          <w:rFonts w:hint="eastAsia" w:ascii="宋体" w:hAnsi="宋体" w:eastAsia="宋体" w:cs="宋体"/>
          <w:color w:val="auto"/>
          <w:kern w:val="0"/>
          <w:szCs w:val="21"/>
        </w:rPr>
        <w:t>采购文件   采购文件获取日期：</w:t>
      </w:r>
    </w:p>
    <w:p w14:paraId="42657F95">
      <w:pPr>
        <w:spacing w:line="360" w:lineRule="exact"/>
        <w:ind w:left="25" w:leftChars="12" w:firstLine="441" w:firstLineChars="147"/>
        <w:rPr>
          <w:rFonts w:hint="eastAsia" w:ascii="宋体" w:hAnsi="宋体" w:eastAsia="宋体" w:cs="宋体"/>
          <w:color w:val="auto"/>
          <w:kern w:val="0"/>
          <w:szCs w:val="21"/>
        </w:rPr>
      </w:pPr>
      <w:r>
        <w:rPr>
          <w:rFonts w:hint="eastAsia" w:ascii="宋体" w:hAnsi="宋体" w:eastAsia="宋体" w:cs="宋体"/>
          <w:color w:val="auto"/>
          <w:kern w:val="0"/>
          <w:sz w:val="30"/>
          <w:szCs w:val="30"/>
        </w:rPr>
        <w:t>□</w:t>
      </w:r>
      <w:r>
        <w:rPr>
          <w:rFonts w:hint="eastAsia" w:ascii="宋体" w:hAnsi="宋体" w:eastAsia="宋体" w:cs="宋体"/>
          <w:color w:val="auto"/>
          <w:kern w:val="0"/>
          <w:szCs w:val="21"/>
        </w:rPr>
        <w:t xml:space="preserve">采购过程   </w:t>
      </w:r>
    </w:p>
    <w:p w14:paraId="331E383D">
      <w:pPr>
        <w:spacing w:line="360" w:lineRule="exact"/>
        <w:ind w:left="25" w:leftChars="12" w:firstLine="441" w:firstLineChars="147"/>
        <w:rPr>
          <w:rFonts w:hint="eastAsia" w:ascii="宋体" w:hAnsi="宋体" w:eastAsia="宋体" w:cs="宋体"/>
          <w:bCs/>
          <w:color w:val="auto"/>
          <w:kern w:val="0"/>
          <w:u w:val="single"/>
        </w:rPr>
      </w:pPr>
      <w:r>
        <w:rPr>
          <w:rFonts w:hint="eastAsia" w:ascii="宋体" w:hAnsi="宋体" w:eastAsia="宋体" w:cs="宋体"/>
          <w:color w:val="auto"/>
          <w:kern w:val="0"/>
          <w:sz w:val="30"/>
          <w:szCs w:val="30"/>
        </w:rPr>
        <w:t>□</w:t>
      </w:r>
      <w:r>
        <w:rPr>
          <w:rFonts w:hint="eastAsia" w:ascii="宋体" w:hAnsi="宋体" w:eastAsia="宋体" w:cs="宋体"/>
          <w:color w:val="auto"/>
          <w:kern w:val="0"/>
          <w:szCs w:val="21"/>
        </w:rPr>
        <w:t xml:space="preserve">成交结果   </w:t>
      </w:r>
    </w:p>
    <w:p w14:paraId="2024FFC8">
      <w:pPr>
        <w:spacing w:line="360" w:lineRule="exact"/>
        <w:ind w:left="25" w:leftChars="12" w:firstLine="413" w:firstLineChars="196"/>
        <w:rPr>
          <w:rFonts w:hint="eastAsia" w:ascii="宋体" w:hAnsi="宋体" w:eastAsia="宋体" w:cs="宋体"/>
          <w:b/>
          <w:color w:val="auto"/>
          <w:kern w:val="0"/>
          <w:szCs w:val="21"/>
        </w:rPr>
      </w:pPr>
      <w:r>
        <w:rPr>
          <w:rFonts w:hint="eastAsia" w:ascii="宋体" w:hAnsi="宋体" w:eastAsia="宋体" w:cs="宋体"/>
          <w:b/>
          <w:color w:val="auto"/>
          <w:kern w:val="0"/>
          <w:szCs w:val="21"/>
        </w:rPr>
        <w:t>三、质疑事项具体内容</w:t>
      </w:r>
    </w:p>
    <w:p w14:paraId="5A87ECB0">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质疑事项1：</w:t>
      </w:r>
    </w:p>
    <w:p w14:paraId="6B96A6BB">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事实依据：</w:t>
      </w:r>
    </w:p>
    <w:p w14:paraId="382F0EB2">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法律依据：</w:t>
      </w:r>
    </w:p>
    <w:p w14:paraId="2BEE8F45">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质疑事项2</w:t>
      </w:r>
    </w:p>
    <w:p w14:paraId="095A7156">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w:t>
      </w:r>
    </w:p>
    <w:p w14:paraId="4B2CDF45">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四、与质疑事项相关的质疑请求：</w:t>
      </w:r>
    </w:p>
    <w:p w14:paraId="3A8BD4DF">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请求：</w:t>
      </w:r>
    </w:p>
    <w:p w14:paraId="4AA70D44">
      <w:pPr>
        <w:spacing w:line="360" w:lineRule="exact"/>
        <w:ind w:left="25" w:leftChars="12" w:firstLine="308" w:firstLineChars="147"/>
        <w:rPr>
          <w:rFonts w:hint="eastAsia" w:ascii="宋体" w:hAnsi="宋体" w:eastAsia="宋体" w:cs="宋体"/>
          <w:color w:val="auto"/>
          <w:kern w:val="0"/>
          <w:szCs w:val="21"/>
        </w:rPr>
      </w:pPr>
    </w:p>
    <w:p w14:paraId="5389EB10">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签字（签章）：                                       公章：</w:t>
      </w:r>
    </w:p>
    <w:p w14:paraId="32AEDC4F">
      <w:pPr>
        <w:spacing w:line="360" w:lineRule="exact"/>
        <w:ind w:left="25" w:leftChars="12" w:firstLine="308" w:firstLineChars="147"/>
        <w:rPr>
          <w:rFonts w:hint="eastAsia" w:ascii="宋体" w:hAnsi="宋体" w:eastAsia="宋体" w:cs="宋体"/>
          <w:color w:val="auto"/>
          <w:kern w:val="0"/>
          <w:szCs w:val="21"/>
        </w:rPr>
      </w:pPr>
    </w:p>
    <w:p w14:paraId="0606C847">
      <w:pPr>
        <w:spacing w:line="36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日期：</w:t>
      </w:r>
    </w:p>
    <w:p w14:paraId="3B6EE3CD">
      <w:pPr>
        <w:snapToGrid w:val="0"/>
        <w:spacing w:line="340" w:lineRule="exact"/>
        <w:rPr>
          <w:rFonts w:hint="eastAsia" w:ascii="宋体" w:hAnsi="宋体" w:eastAsia="宋体" w:cs="宋体"/>
          <w:b/>
          <w:color w:val="auto"/>
          <w:kern w:val="0"/>
          <w:szCs w:val="21"/>
        </w:rPr>
      </w:pPr>
    </w:p>
    <w:p w14:paraId="34C209A3">
      <w:pPr>
        <w:snapToGrid w:val="0"/>
        <w:spacing w:line="340" w:lineRule="exact"/>
        <w:rPr>
          <w:rFonts w:hint="eastAsia" w:ascii="宋体" w:hAnsi="宋体" w:eastAsia="宋体" w:cs="宋体"/>
          <w:b/>
          <w:color w:val="auto"/>
          <w:kern w:val="0"/>
          <w:szCs w:val="21"/>
        </w:rPr>
      </w:pPr>
      <w:r>
        <w:rPr>
          <w:rFonts w:hint="eastAsia" w:ascii="宋体" w:hAnsi="宋体" w:eastAsia="宋体" w:cs="宋体"/>
          <w:b/>
          <w:color w:val="auto"/>
          <w:kern w:val="0"/>
          <w:szCs w:val="21"/>
        </w:rPr>
        <w:t>说明：</w:t>
      </w:r>
    </w:p>
    <w:p w14:paraId="315F446D">
      <w:pPr>
        <w:spacing w:line="340" w:lineRule="exact"/>
        <w:ind w:left="25" w:leftChars="12" w:firstLine="310" w:firstLineChars="147"/>
        <w:rPr>
          <w:rFonts w:hint="eastAsia" w:ascii="宋体" w:hAnsi="宋体" w:eastAsia="宋体" w:cs="宋体"/>
          <w:b/>
          <w:bCs/>
          <w:color w:val="auto"/>
          <w:kern w:val="0"/>
        </w:rPr>
      </w:pPr>
      <w:r>
        <w:rPr>
          <w:rFonts w:hint="eastAsia" w:ascii="宋体" w:hAnsi="宋体" w:eastAsia="宋体" w:cs="宋体"/>
          <w:b/>
          <w:color w:val="auto"/>
          <w:kern w:val="0"/>
          <w:szCs w:val="21"/>
        </w:rPr>
        <w:t>1.供应商提出质疑时，应提交质疑函和必要的证明材料</w:t>
      </w:r>
      <w:r>
        <w:rPr>
          <w:rFonts w:hint="eastAsia" w:ascii="宋体" w:hAnsi="宋体" w:eastAsia="宋体" w:cs="宋体"/>
          <w:b/>
          <w:bCs/>
          <w:color w:val="auto"/>
          <w:kern w:val="0"/>
        </w:rPr>
        <w:t>。</w:t>
      </w:r>
    </w:p>
    <w:p w14:paraId="43D0366A">
      <w:pPr>
        <w:spacing w:line="340" w:lineRule="exact"/>
        <w:ind w:left="25" w:leftChars="12" w:firstLine="310" w:firstLineChars="147"/>
        <w:rPr>
          <w:rFonts w:hint="eastAsia" w:ascii="宋体" w:hAnsi="宋体" w:eastAsia="宋体" w:cs="宋体"/>
          <w:b/>
          <w:color w:val="auto"/>
          <w:kern w:val="0"/>
          <w:szCs w:val="21"/>
        </w:rPr>
      </w:pPr>
      <w:r>
        <w:rPr>
          <w:rFonts w:hint="eastAsia" w:ascii="宋体" w:hAnsi="宋体" w:eastAsia="宋体" w:cs="宋体"/>
          <w:b/>
          <w:color w:val="auto"/>
          <w:kern w:val="0"/>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544F55C">
      <w:pPr>
        <w:spacing w:line="340" w:lineRule="exact"/>
        <w:ind w:left="25" w:leftChars="12" w:firstLine="310" w:firstLineChars="147"/>
        <w:rPr>
          <w:rFonts w:hint="eastAsia" w:ascii="宋体" w:hAnsi="宋体" w:eastAsia="宋体" w:cs="宋体"/>
          <w:b/>
          <w:color w:val="auto"/>
          <w:kern w:val="0"/>
          <w:szCs w:val="21"/>
        </w:rPr>
      </w:pPr>
      <w:r>
        <w:rPr>
          <w:rFonts w:hint="eastAsia" w:ascii="宋体" w:hAnsi="宋体" w:eastAsia="宋体" w:cs="宋体"/>
          <w:b/>
          <w:color w:val="auto"/>
          <w:kern w:val="0"/>
          <w:szCs w:val="21"/>
        </w:rPr>
        <w:t>3.质疑函的质疑事项应具体、明确，并有必要的事实依据和法律依据。</w:t>
      </w:r>
    </w:p>
    <w:p w14:paraId="1A5FD705">
      <w:pPr>
        <w:spacing w:line="340" w:lineRule="exact"/>
        <w:ind w:left="25" w:leftChars="12" w:firstLine="310" w:firstLineChars="147"/>
        <w:rPr>
          <w:rFonts w:hint="eastAsia" w:ascii="宋体" w:hAnsi="宋体" w:eastAsia="宋体" w:cs="宋体"/>
          <w:b/>
          <w:color w:val="auto"/>
          <w:kern w:val="0"/>
          <w:szCs w:val="21"/>
        </w:rPr>
      </w:pPr>
      <w:r>
        <w:rPr>
          <w:rFonts w:hint="eastAsia" w:ascii="宋体" w:hAnsi="宋体" w:eastAsia="宋体" w:cs="宋体"/>
          <w:b/>
          <w:color w:val="auto"/>
          <w:kern w:val="0"/>
          <w:szCs w:val="21"/>
        </w:rPr>
        <w:t>4.质疑函的质疑请求应与质疑事项相关。</w:t>
      </w:r>
    </w:p>
    <w:p w14:paraId="4B0A6A7F">
      <w:pPr>
        <w:spacing w:line="340" w:lineRule="exact"/>
        <w:ind w:left="25" w:leftChars="12" w:firstLine="310" w:firstLineChars="147"/>
        <w:rPr>
          <w:rFonts w:hint="eastAsia" w:ascii="宋体" w:hAnsi="宋体" w:eastAsia="宋体" w:cs="宋体"/>
          <w:b/>
          <w:color w:val="auto"/>
          <w:szCs w:val="21"/>
        </w:rPr>
      </w:pPr>
      <w:r>
        <w:rPr>
          <w:rFonts w:hint="eastAsia" w:ascii="宋体" w:hAnsi="宋体" w:eastAsia="宋体" w:cs="宋体"/>
          <w:b/>
          <w:color w:val="auto"/>
          <w:szCs w:val="21"/>
        </w:rPr>
        <w:t>6.质疑供应商为法人或者其他组织的，质疑函应由法定代表人、主要负责人，或者其授权代表签字或者盖章，并加盖公章。</w:t>
      </w:r>
    </w:p>
    <w:p w14:paraId="6E6A0619">
      <w:pPr>
        <w:snapToGrid w:val="0"/>
        <w:rPr>
          <w:rFonts w:hint="eastAsia" w:ascii="宋体" w:hAnsi="宋体" w:eastAsia="宋体" w:cs="宋体"/>
          <w:b/>
          <w:color w:val="auto"/>
          <w:kern w:val="0"/>
          <w:sz w:val="24"/>
        </w:rPr>
      </w:pPr>
      <w:r>
        <w:rPr>
          <w:rFonts w:hint="eastAsia" w:ascii="宋体" w:hAnsi="宋体" w:eastAsia="宋体" w:cs="宋体"/>
          <w:b/>
          <w:color w:val="auto"/>
          <w:kern w:val="0"/>
          <w:sz w:val="24"/>
        </w:rPr>
        <w:t>附表2：</w:t>
      </w:r>
    </w:p>
    <w:p w14:paraId="480C3FC2">
      <w:pPr>
        <w:spacing w:line="460" w:lineRule="exact"/>
        <w:jc w:val="center"/>
        <w:rPr>
          <w:rFonts w:hint="eastAsia" w:ascii="宋体" w:hAnsi="宋体" w:eastAsia="宋体" w:cs="宋体"/>
          <w:color w:val="auto"/>
          <w:kern w:val="0"/>
          <w:sz w:val="44"/>
        </w:rPr>
      </w:pPr>
      <w:r>
        <w:rPr>
          <w:rFonts w:hint="eastAsia" w:ascii="宋体" w:hAnsi="宋体" w:eastAsia="宋体" w:cs="宋体"/>
          <w:color w:val="auto"/>
          <w:kern w:val="0"/>
          <w:sz w:val="44"/>
        </w:rPr>
        <w:t>投诉书（格式）</w:t>
      </w:r>
    </w:p>
    <w:p w14:paraId="7BBA3786">
      <w:pPr>
        <w:snapToGrid w:val="0"/>
        <w:spacing w:line="400" w:lineRule="exact"/>
        <w:ind w:firstLine="422" w:firstLineChars="200"/>
        <w:rPr>
          <w:rFonts w:hint="eastAsia" w:ascii="宋体" w:hAnsi="宋体" w:eastAsia="宋体" w:cs="宋体"/>
          <w:b/>
          <w:bCs/>
          <w:color w:val="auto"/>
          <w:kern w:val="0"/>
        </w:rPr>
      </w:pPr>
      <w:r>
        <w:rPr>
          <w:rFonts w:hint="eastAsia" w:ascii="宋体" w:hAnsi="宋体" w:eastAsia="宋体" w:cs="宋体"/>
          <w:b/>
          <w:bCs/>
          <w:color w:val="auto"/>
          <w:kern w:val="0"/>
        </w:rPr>
        <w:t>一、投诉相关主体基本情况：</w:t>
      </w:r>
    </w:p>
    <w:p w14:paraId="2DC49FB0">
      <w:pPr>
        <w:snapToGrid w:val="0"/>
        <w:spacing w:line="40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供应商：</w:t>
      </w:r>
    </w:p>
    <w:p w14:paraId="658A00ED">
      <w:pPr>
        <w:snapToGrid w:val="0"/>
        <w:spacing w:line="40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地址：邮编：</w:t>
      </w:r>
    </w:p>
    <w:p w14:paraId="37DB1B3D">
      <w:pPr>
        <w:snapToGrid w:val="0"/>
        <w:spacing w:line="40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法定代表人/主要负责人：</w:t>
      </w:r>
    </w:p>
    <w:p w14:paraId="3A49A33B">
      <w:pPr>
        <w:snapToGrid w:val="0"/>
        <w:spacing w:line="40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联系电话：</w:t>
      </w:r>
    </w:p>
    <w:p w14:paraId="42F2E2C2">
      <w:pPr>
        <w:snapToGrid w:val="0"/>
        <w:spacing w:line="40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授权代表：联系电话：</w:t>
      </w:r>
    </w:p>
    <w:p w14:paraId="66D221DC">
      <w:pPr>
        <w:snapToGrid w:val="0"/>
        <w:spacing w:line="40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地址：邮编：</w:t>
      </w:r>
    </w:p>
    <w:p w14:paraId="75150429">
      <w:pPr>
        <w:snapToGrid w:val="0"/>
        <w:spacing w:line="40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被投诉人1：</w:t>
      </w:r>
    </w:p>
    <w:p w14:paraId="29EE6D20">
      <w:pPr>
        <w:snapToGrid w:val="0"/>
        <w:spacing w:line="40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地址：邮编：</w:t>
      </w:r>
    </w:p>
    <w:p w14:paraId="5D7C3528">
      <w:pPr>
        <w:snapToGrid w:val="0"/>
        <w:spacing w:line="40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联系人：联系电话：</w:t>
      </w:r>
    </w:p>
    <w:p w14:paraId="1EC04C52">
      <w:pPr>
        <w:snapToGrid w:val="0"/>
        <w:spacing w:line="40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被投诉人2：</w:t>
      </w:r>
    </w:p>
    <w:p w14:paraId="4A2F596F">
      <w:pPr>
        <w:snapToGrid w:val="0"/>
        <w:spacing w:line="40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w:t>
      </w:r>
    </w:p>
    <w:p w14:paraId="5EE8F674">
      <w:pPr>
        <w:snapToGrid w:val="0"/>
        <w:spacing w:line="40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相关供应商：</w:t>
      </w:r>
    </w:p>
    <w:p w14:paraId="436866CC">
      <w:pPr>
        <w:snapToGrid w:val="0"/>
        <w:spacing w:line="40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地址：邮编：</w:t>
      </w:r>
    </w:p>
    <w:p w14:paraId="4935A0BA">
      <w:pPr>
        <w:snapToGrid w:val="0"/>
        <w:spacing w:line="400" w:lineRule="exact"/>
        <w:ind w:firstLine="420" w:firstLineChars="200"/>
        <w:rPr>
          <w:rFonts w:hint="eastAsia" w:ascii="宋体" w:hAnsi="宋体" w:eastAsia="宋体" w:cs="宋体"/>
          <w:bCs/>
          <w:color w:val="auto"/>
          <w:kern w:val="0"/>
        </w:rPr>
      </w:pPr>
      <w:r>
        <w:rPr>
          <w:rFonts w:hint="eastAsia" w:ascii="宋体" w:hAnsi="宋体" w:eastAsia="宋体" w:cs="宋体"/>
          <w:bCs/>
          <w:color w:val="auto"/>
          <w:kern w:val="0"/>
        </w:rPr>
        <w:t>联系人：联系电话：</w:t>
      </w:r>
    </w:p>
    <w:p w14:paraId="576189E4">
      <w:pPr>
        <w:snapToGrid w:val="0"/>
        <w:spacing w:line="400" w:lineRule="exact"/>
        <w:ind w:firstLine="422" w:firstLineChars="200"/>
        <w:rPr>
          <w:rFonts w:hint="eastAsia" w:ascii="宋体" w:hAnsi="宋体" w:eastAsia="宋体" w:cs="宋体"/>
          <w:b/>
          <w:bCs/>
          <w:color w:val="auto"/>
          <w:kern w:val="0"/>
        </w:rPr>
      </w:pPr>
      <w:r>
        <w:rPr>
          <w:rFonts w:hint="eastAsia" w:ascii="宋体" w:hAnsi="宋体" w:eastAsia="宋体" w:cs="宋体"/>
          <w:b/>
          <w:bCs/>
          <w:color w:val="auto"/>
          <w:kern w:val="0"/>
        </w:rPr>
        <w:t>二、投诉项目基本情况：</w:t>
      </w:r>
    </w:p>
    <w:p w14:paraId="7E7EB183">
      <w:pPr>
        <w:spacing w:line="40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bCs/>
          <w:color w:val="auto"/>
          <w:kern w:val="0"/>
        </w:rPr>
        <w:t>采购</w:t>
      </w:r>
      <w:r>
        <w:rPr>
          <w:rFonts w:hint="eastAsia" w:ascii="宋体" w:hAnsi="宋体" w:eastAsia="宋体" w:cs="宋体"/>
          <w:color w:val="auto"/>
          <w:kern w:val="0"/>
          <w:szCs w:val="21"/>
        </w:rPr>
        <w:t>项目的名称：</w:t>
      </w:r>
    </w:p>
    <w:p w14:paraId="36118EDA">
      <w:pPr>
        <w:spacing w:line="40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bCs/>
          <w:color w:val="auto"/>
          <w:kern w:val="0"/>
        </w:rPr>
        <w:t>采购</w:t>
      </w:r>
      <w:r>
        <w:rPr>
          <w:rFonts w:hint="eastAsia" w:ascii="宋体" w:hAnsi="宋体" w:eastAsia="宋体" w:cs="宋体"/>
          <w:color w:val="auto"/>
          <w:kern w:val="0"/>
          <w:szCs w:val="21"/>
        </w:rPr>
        <w:t>项目的编号：</w:t>
      </w:r>
    </w:p>
    <w:p w14:paraId="6442AF12">
      <w:pPr>
        <w:spacing w:line="400" w:lineRule="exact"/>
        <w:ind w:left="25" w:leftChars="12" w:firstLine="413" w:firstLineChars="197"/>
        <w:rPr>
          <w:rFonts w:hint="eastAsia" w:ascii="宋体" w:hAnsi="宋体" w:eastAsia="宋体" w:cs="宋体"/>
          <w:bCs/>
          <w:color w:val="auto"/>
          <w:kern w:val="0"/>
          <w:u w:val="single"/>
        </w:rPr>
      </w:pPr>
      <w:r>
        <w:rPr>
          <w:rFonts w:hint="eastAsia" w:ascii="宋体" w:hAnsi="宋体" w:eastAsia="宋体" w:cs="宋体"/>
          <w:color w:val="auto"/>
          <w:kern w:val="0"/>
          <w:szCs w:val="21"/>
        </w:rPr>
        <w:t>采购人名称：</w:t>
      </w:r>
    </w:p>
    <w:p w14:paraId="33D68CA6">
      <w:pPr>
        <w:spacing w:line="400" w:lineRule="exact"/>
        <w:ind w:left="25" w:leftChars="12" w:firstLine="413" w:firstLineChars="197"/>
        <w:rPr>
          <w:rFonts w:hint="eastAsia" w:ascii="宋体" w:hAnsi="宋体" w:eastAsia="宋体" w:cs="宋体"/>
          <w:bCs/>
          <w:color w:val="auto"/>
          <w:kern w:val="0"/>
          <w:u w:val="single"/>
        </w:rPr>
      </w:pPr>
      <w:r>
        <w:rPr>
          <w:rFonts w:hint="eastAsia" w:ascii="宋体" w:hAnsi="宋体" w:eastAsia="宋体" w:cs="宋体"/>
          <w:color w:val="auto"/>
          <w:kern w:val="0"/>
          <w:szCs w:val="21"/>
        </w:rPr>
        <w:t>代理机构名称：</w:t>
      </w:r>
    </w:p>
    <w:p w14:paraId="4E5534AC">
      <w:pPr>
        <w:spacing w:line="400" w:lineRule="exact"/>
        <w:ind w:left="25" w:leftChars="12" w:firstLine="413" w:firstLineChars="197"/>
        <w:rPr>
          <w:rFonts w:hint="eastAsia" w:ascii="宋体" w:hAnsi="宋体" w:eastAsia="宋体" w:cs="宋体"/>
          <w:bCs/>
          <w:color w:val="auto"/>
          <w:kern w:val="0"/>
          <w:u w:val="single"/>
        </w:rPr>
      </w:pPr>
      <w:r>
        <w:rPr>
          <w:rFonts w:hint="eastAsia" w:ascii="宋体" w:hAnsi="宋体" w:eastAsia="宋体" w:cs="宋体"/>
          <w:bCs/>
          <w:color w:val="auto"/>
          <w:kern w:val="0"/>
        </w:rPr>
        <w:t>采购文件公告：</w:t>
      </w:r>
      <w:r>
        <w:rPr>
          <w:rFonts w:hint="eastAsia" w:ascii="宋体" w:hAnsi="宋体" w:eastAsia="宋体" w:cs="宋体"/>
          <w:bCs/>
          <w:color w:val="auto"/>
          <w:kern w:val="0"/>
          <w:u w:val="single"/>
        </w:rPr>
        <w:t>是/否</w:t>
      </w:r>
      <w:r>
        <w:rPr>
          <w:rFonts w:hint="eastAsia" w:ascii="宋体" w:hAnsi="宋体" w:eastAsia="宋体" w:cs="宋体"/>
          <w:bCs/>
          <w:color w:val="auto"/>
          <w:kern w:val="0"/>
        </w:rPr>
        <w:t>公告期限：</w:t>
      </w:r>
    </w:p>
    <w:p w14:paraId="50A0EFB6">
      <w:pPr>
        <w:spacing w:line="400" w:lineRule="exact"/>
        <w:ind w:left="25" w:leftChars="12" w:firstLine="413" w:firstLineChars="197"/>
        <w:rPr>
          <w:rFonts w:hint="eastAsia" w:ascii="宋体" w:hAnsi="宋体" w:eastAsia="宋体" w:cs="宋体"/>
          <w:b/>
          <w:color w:val="auto"/>
          <w:kern w:val="0"/>
          <w:szCs w:val="21"/>
        </w:rPr>
      </w:pPr>
      <w:r>
        <w:rPr>
          <w:rFonts w:hint="eastAsia" w:ascii="宋体" w:hAnsi="宋体" w:eastAsia="宋体" w:cs="宋体"/>
          <w:bCs/>
          <w:color w:val="auto"/>
          <w:kern w:val="0"/>
        </w:rPr>
        <w:t>采购结果公告：</w:t>
      </w:r>
      <w:r>
        <w:rPr>
          <w:rFonts w:hint="eastAsia" w:ascii="宋体" w:hAnsi="宋体" w:eastAsia="宋体" w:cs="宋体"/>
          <w:bCs/>
          <w:color w:val="auto"/>
          <w:kern w:val="0"/>
          <w:u w:val="single"/>
        </w:rPr>
        <w:t>是/否</w:t>
      </w:r>
      <w:r>
        <w:rPr>
          <w:rFonts w:hint="eastAsia" w:ascii="宋体" w:hAnsi="宋体" w:eastAsia="宋体" w:cs="宋体"/>
          <w:bCs/>
          <w:color w:val="auto"/>
          <w:kern w:val="0"/>
        </w:rPr>
        <w:t>公告期限：</w:t>
      </w:r>
    </w:p>
    <w:p w14:paraId="4C024CBC">
      <w:pPr>
        <w:spacing w:line="400" w:lineRule="exact"/>
        <w:ind w:left="25" w:leftChars="12" w:firstLine="413" w:firstLineChars="196"/>
        <w:rPr>
          <w:rFonts w:hint="eastAsia" w:ascii="宋体" w:hAnsi="宋体" w:eastAsia="宋体" w:cs="宋体"/>
          <w:b/>
          <w:color w:val="auto"/>
          <w:kern w:val="0"/>
          <w:szCs w:val="21"/>
        </w:rPr>
      </w:pPr>
      <w:r>
        <w:rPr>
          <w:rFonts w:hint="eastAsia" w:ascii="宋体" w:hAnsi="宋体" w:eastAsia="宋体" w:cs="宋体"/>
          <w:b/>
          <w:color w:val="auto"/>
          <w:kern w:val="0"/>
          <w:szCs w:val="21"/>
        </w:rPr>
        <w:t>三、质疑基本情况</w:t>
      </w:r>
    </w:p>
    <w:p w14:paraId="1C9755D1">
      <w:pPr>
        <w:spacing w:line="400" w:lineRule="exact"/>
        <w:ind w:left="25" w:leftChars="12" w:firstLine="833" w:firstLineChars="397"/>
        <w:rPr>
          <w:rFonts w:hint="eastAsia" w:ascii="宋体" w:hAnsi="宋体" w:eastAsia="宋体" w:cs="宋体"/>
          <w:color w:val="auto"/>
          <w:kern w:val="0"/>
          <w:szCs w:val="21"/>
        </w:rPr>
      </w:pPr>
      <w:r>
        <w:rPr>
          <w:rFonts w:hint="eastAsia" w:ascii="宋体" w:hAnsi="宋体" w:eastAsia="宋体" w:cs="宋体"/>
          <w:color w:val="auto"/>
          <w:kern w:val="0"/>
          <w:szCs w:val="21"/>
        </w:rPr>
        <w:t>投诉人于年月日，向提出质疑，质疑事项为：</w:t>
      </w:r>
    </w:p>
    <w:p w14:paraId="3DAA0885">
      <w:pPr>
        <w:spacing w:line="400" w:lineRule="exact"/>
        <w:rPr>
          <w:rFonts w:hint="eastAsia" w:ascii="宋体" w:hAnsi="宋体" w:eastAsia="宋体" w:cs="宋体"/>
          <w:bCs/>
          <w:color w:val="auto"/>
          <w:kern w:val="0"/>
          <w:u w:val="single"/>
        </w:rPr>
      </w:pPr>
    </w:p>
    <w:p w14:paraId="2A0A5B63">
      <w:pPr>
        <w:spacing w:line="400" w:lineRule="exact"/>
        <w:rPr>
          <w:rFonts w:hint="eastAsia" w:ascii="宋体" w:hAnsi="宋体" w:eastAsia="宋体" w:cs="宋体"/>
          <w:bCs/>
          <w:color w:val="auto"/>
          <w:kern w:val="0"/>
          <w:u w:val="single"/>
        </w:rPr>
      </w:pPr>
    </w:p>
    <w:p w14:paraId="55886C50">
      <w:pPr>
        <w:spacing w:line="400" w:lineRule="exact"/>
        <w:rPr>
          <w:rFonts w:hint="eastAsia" w:ascii="宋体" w:hAnsi="宋体" w:eastAsia="宋体" w:cs="宋体"/>
          <w:color w:val="auto"/>
          <w:kern w:val="0"/>
          <w:szCs w:val="21"/>
        </w:rPr>
      </w:pPr>
      <w:r>
        <w:rPr>
          <w:rFonts w:hint="eastAsia" w:ascii="宋体" w:hAnsi="宋体" w:eastAsia="宋体" w:cs="宋体"/>
          <w:bCs/>
          <w:color w:val="auto"/>
          <w:kern w:val="0"/>
          <w:u w:val="single"/>
        </w:rPr>
        <w:t>采购人/代理机构</w:t>
      </w:r>
      <w:r>
        <w:rPr>
          <w:rFonts w:hint="eastAsia" w:ascii="宋体" w:hAnsi="宋体" w:eastAsia="宋体" w:cs="宋体"/>
          <w:bCs/>
          <w:color w:val="auto"/>
          <w:kern w:val="0"/>
        </w:rPr>
        <w:t>于</w:t>
      </w:r>
      <w:r>
        <w:rPr>
          <w:rFonts w:hint="eastAsia" w:ascii="宋体" w:hAnsi="宋体" w:eastAsia="宋体" w:cs="宋体"/>
          <w:color w:val="auto"/>
          <w:kern w:val="0"/>
          <w:szCs w:val="21"/>
        </w:rPr>
        <w:t>年月日，</w:t>
      </w:r>
      <w:r>
        <w:rPr>
          <w:rFonts w:hint="eastAsia" w:ascii="宋体" w:hAnsi="宋体" w:eastAsia="宋体" w:cs="宋体"/>
          <w:bCs/>
          <w:color w:val="auto"/>
          <w:kern w:val="0"/>
        </w:rPr>
        <w:t xml:space="preserve">就质疑事项作出了答复/没有在法定期限内作出答复。                                                                                             </w:t>
      </w:r>
    </w:p>
    <w:p w14:paraId="3DCDFF52">
      <w:pPr>
        <w:spacing w:line="400" w:lineRule="exact"/>
        <w:ind w:left="25" w:leftChars="12" w:firstLine="413" w:firstLineChars="196"/>
        <w:rPr>
          <w:rFonts w:hint="eastAsia" w:ascii="宋体" w:hAnsi="宋体" w:eastAsia="宋体" w:cs="宋体"/>
          <w:b/>
          <w:color w:val="auto"/>
          <w:kern w:val="0"/>
          <w:szCs w:val="21"/>
        </w:rPr>
      </w:pPr>
      <w:r>
        <w:rPr>
          <w:rFonts w:hint="eastAsia" w:ascii="宋体" w:hAnsi="宋体" w:eastAsia="宋体" w:cs="宋体"/>
          <w:b/>
          <w:color w:val="auto"/>
          <w:kern w:val="0"/>
          <w:szCs w:val="21"/>
        </w:rPr>
        <w:t>四、投诉事项具体内容</w:t>
      </w:r>
    </w:p>
    <w:p w14:paraId="4C774F28">
      <w:pPr>
        <w:spacing w:line="400" w:lineRule="exact"/>
        <w:ind w:left="25" w:leftChars="12" w:firstLine="413" w:firstLineChars="197"/>
        <w:rPr>
          <w:rFonts w:hint="eastAsia" w:ascii="宋体" w:hAnsi="宋体" w:eastAsia="宋体" w:cs="宋体"/>
          <w:bCs/>
          <w:color w:val="auto"/>
          <w:kern w:val="0"/>
          <w:u w:val="single"/>
        </w:rPr>
      </w:pPr>
      <w:r>
        <w:rPr>
          <w:rFonts w:hint="eastAsia" w:ascii="宋体" w:hAnsi="宋体" w:eastAsia="宋体" w:cs="宋体"/>
          <w:color w:val="auto"/>
          <w:kern w:val="0"/>
          <w:szCs w:val="21"/>
        </w:rPr>
        <w:t>投诉事项1：</w:t>
      </w:r>
    </w:p>
    <w:p w14:paraId="40C4A992">
      <w:pPr>
        <w:spacing w:line="40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事实依据：</w:t>
      </w:r>
    </w:p>
    <w:p w14:paraId="56592E5F">
      <w:pPr>
        <w:spacing w:line="400" w:lineRule="exact"/>
        <w:ind w:left="25" w:leftChars="12" w:firstLine="413" w:firstLineChars="197"/>
        <w:rPr>
          <w:rFonts w:hint="eastAsia" w:ascii="宋体" w:hAnsi="宋体" w:eastAsia="宋体" w:cs="宋体"/>
          <w:color w:val="auto"/>
          <w:kern w:val="0"/>
          <w:szCs w:val="21"/>
        </w:rPr>
      </w:pPr>
    </w:p>
    <w:p w14:paraId="1ECE4305">
      <w:pPr>
        <w:spacing w:line="400" w:lineRule="exact"/>
        <w:ind w:firstLine="420" w:firstLineChars="200"/>
        <w:rPr>
          <w:rFonts w:hint="eastAsia" w:ascii="宋体" w:hAnsi="宋体" w:eastAsia="宋体" w:cs="宋体"/>
          <w:bCs/>
          <w:color w:val="auto"/>
          <w:kern w:val="0"/>
          <w:u w:val="single"/>
        </w:rPr>
      </w:pPr>
      <w:r>
        <w:rPr>
          <w:rFonts w:hint="eastAsia" w:ascii="宋体" w:hAnsi="宋体" w:eastAsia="宋体" w:cs="宋体"/>
          <w:bCs/>
          <w:color w:val="auto"/>
          <w:kern w:val="0"/>
        </w:rPr>
        <w:t>法律依据：</w:t>
      </w:r>
    </w:p>
    <w:p w14:paraId="32AD1F01">
      <w:pPr>
        <w:spacing w:line="400" w:lineRule="exact"/>
        <w:ind w:left="25" w:leftChars="12" w:firstLine="308" w:firstLineChars="147"/>
        <w:rPr>
          <w:rFonts w:hint="eastAsia" w:ascii="宋体" w:hAnsi="宋体" w:eastAsia="宋体" w:cs="宋体"/>
          <w:bCs/>
          <w:color w:val="auto"/>
          <w:kern w:val="0"/>
          <w:u w:val="single"/>
        </w:rPr>
      </w:pPr>
    </w:p>
    <w:p w14:paraId="4C9178D5">
      <w:pPr>
        <w:spacing w:line="400" w:lineRule="exact"/>
        <w:ind w:left="25" w:leftChars="12" w:firstLine="413" w:firstLineChars="197"/>
        <w:rPr>
          <w:rFonts w:hint="eastAsia" w:ascii="宋体" w:hAnsi="宋体" w:eastAsia="宋体" w:cs="宋体"/>
          <w:bCs/>
          <w:color w:val="auto"/>
          <w:kern w:val="0"/>
        </w:rPr>
      </w:pPr>
      <w:r>
        <w:rPr>
          <w:rFonts w:hint="eastAsia" w:ascii="宋体" w:hAnsi="宋体" w:eastAsia="宋体" w:cs="宋体"/>
          <w:color w:val="auto"/>
          <w:kern w:val="0"/>
          <w:szCs w:val="21"/>
        </w:rPr>
        <w:t xml:space="preserve">投诉事项2  </w:t>
      </w:r>
    </w:p>
    <w:p w14:paraId="19150E27">
      <w:pPr>
        <w:spacing w:line="400" w:lineRule="exact"/>
        <w:ind w:left="25" w:leftChars="12" w:firstLine="413" w:firstLineChars="197"/>
        <w:rPr>
          <w:rFonts w:hint="eastAsia" w:ascii="宋体" w:hAnsi="宋体" w:eastAsia="宋体" w:cs="宋体"/>
          <w:bCs/>
          <w:color w:val="auto"/>
          <w:kern w:val="0"/>
        </w:rPr>
      </w:pPr>
      <w:r>
        <w:rPr>
          <w:rFonts w:hint="eastAsia" w:ascii="宋体" w:hAnsi="宋体" w:eastAsia="宋体" w:cs="宋体"/>
          <w:bCs/>
          <w:color w:val="auto"/>
          <w:kern w:val="0"/>
        </w:rPr>
        <w:t>……</w:t>
      </w:r>
    </w:p>
    <w:p w14:paraId="7D572D7A">
      <w:pPr>
        <w:spacing w:line="400" w:lineRule="exact"/>
        <w:ind w:left="25" w:leftChars="12" w:firstLine="413" w:firstLineChars="196"/>
        <w:rPr>
          <w:rFonts w:hint="eastAsia" w:ascii="宋体" w:hAnsi="宋体" w:eastAsia="宋体" w:cs="宋体"/>
          <w:b/>
          <w:color w:val="auto"/>
          <w:kern w:val="0"/>
          <w:szCs w:val="21"/>
        </w:rPr>
      </w:pPr>
      <w:r>
        <w:rPr>
          <w:rFonts w:hint="eastAsia" w:ascii="宋体" w:hAnsi="宋体" w:eastAsia="宋体" w:cs="宋体"/>
          <w:b/>
          <w:color w:val="auto"/>
          <w:kern w:val="0"/>
          <w:szCs w:val="21"/>
        </w:rPr>
        <w:t>五、与投诉事项相关的投诉请求：</w:t>
      </w:r>
    </w:p>
    <w:p w14:paraId="41DAAA42">
      <w:pPr>
        <w:spacing w:line="40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请求：</w:t>
      </w:r>
    </w:p>
    <w:p w14:paraId="03E91309">
      <w:pPr>
        <w:spacing w:line="400" w:lineRule="exact"/>
        <w:ind w:left="25" w:leftChars="12" w:firstLine="308" w:firstLineChars="147"/>
        <w:rPr>
          <w:rFonts w:hint="eastAsia" w:ascii="宋体" w:hAnsi="宋体" w:eastAsia="宋体" w:cs="宋体"/>
          <w:color w:val="auto"/>
          <w:kern w:val="0"/>
          <w:szCs w:val="21"/>
        </w:rPr>
      </w:pPr>
    </w:p>
    <w:p w14:paraId="793111F3">
      <w:pPr>
        <w:spacing w:line="40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签字（签章）：                                       公章：</w:t>
      </w:r>
    </w:p>
    <w:p w14:paraId="36384DA4">
      <w:pPr>
        <w:spacing w:line="400" w:lineRule="exact"/>
        <w:ind w:left="25" w:leftChars="12" w:firstLine="308" w:firstLineChars="147"/>
        <w:rPr>
          <w:rFonts w:hint="eastAsia" w:ascii="宋体" w:hAnsi="宋体" w:eastAsia="宋体" w:cs="宋体"/>
          <w:color w:val="auto"/>
          <w:kern w:val="0"/>
          <w:szCs w:val="21"/>
        </w:rPr>
      </w:pPr>
    </w:p>
    <w:p w14:paraId="76B873E3">
      <w:pPr>
        <w:spacing w:line="400" w:lineRule="exact"/>
        <w:ind w:left="25" w:leftChars="12" w:firstLine="413" w:firstLineChars="197"/>
        <w:rPr>
          <w:rFonts w:hint="eastAsia" w:ascii="宋体" w:hAnsi="宋体" w:eastAsia="宋体" w:cs="宋体"/>
          <w:color w:val="auto"/>
          <w:kern w:val="0"/>
          <w:szCs w:val="21"/>
        </w:rPr>
      </w:pPr>
      <w:r>
        <w:rPr>
          <w:rFonts w:hint="eastAsia" w:ascii="宋体" w:hAnsi="宋体" w:eastAsia="宋体" w:cs="宋体"/>
          <w:color w:val="auto"/>
          <w:kern w:val="0"/>
          <w:szCs w:val="21"/>
        </w:rPr>
        <w:t>日期：</w:t>
      </w:r>
    </w:p>
    <w:p w14:paraId="68099789">
      <w:pPr>
        <w:spacing w:line="360" w:lineRule="exact"/>
        <w:ind w:left="25" w:leftChars="12" w:firstLine="413" w:firstLineChars="197"/>
        <w:rPr>
          <w:rFonts w:hint="eastAsia" w:ascii="宋体" w:hAnsi="宋体" w:eastAsia="宋体" w:cs="宋体"/>
          <w:color w:val="auto"/>
          <w:kern w:val="0"/>
          <w:szCs w:val="21"/>
        </w:rPr>
      </w:pPr>
    </w:p>
    <w:p w14:paraId="5B253EE0">
      <w:pPr>
        <w:snapToGrid w:val="0"/>
        <w:spacing w:line="340" w:lineRule="exact"/>
        <w:rPr>
          <w:rFonts w:hint="eastAsia" w:ascii="宋体" w:hAnsi="宋体" w:eastAsia="宋体" w:cs="宋体"/>
          <w:b/>
          <w:color w:val="auto"/>
          <w:kern w:val="0"/>
          <w:szCs w:val="21"/>
        </w:rPr>
      </w:pPr>
    </w:p>
    <w:p w14:paraId="1B9FC0BA">
      <w:pPr>
        <w:snapToGrid w:val="0"/>
        <w:spacing w:line="340" w:lineRule="exact"/>
        <w:rPr>
          <w:rFonts w:hint="eastAsia" w:ascii="宋体" w:hAnsi="宋体" w:eastAsia="宋体" w:cs="宋体"/>
          <w:b/>
          <w:color w:val="auto"/>
          <w:kern w:val="0"/>
          <w:szCs w:val="21"/>
        </w:rPr>
      </w:pPr>
      <w:r>
        <w:rPr>
          <w:rFonts w:hint="eastAsia" w:ascii="宋体" w:hAnsi="宋体" w:eastAsia="宋体" w:cs="宋体"/>
          <w:b/>
          <w:color w:val="auto"/>
          <w:kern w:val="0"/>
          <w:szCs w:val="21"/>
        </w:rPr>
        <w:t>说明：</w:t>
      </w:r>
    </w:p>
    <w:p w14:paraId="6751CAE4">
      <w:pPr>
        <w:spacing w:line="340" w:lineRule="exact"/>
        <w:ind w:left="25" w:leftChars="12" w:firstLine="310" w:firstLineChars="147"/>
        <w:rPr>
          <w:rFonts w:hint="eastAsia" w:ascii="宋体" w:hAnsi="宋体" w:eastAsia="宋体" w:cs="宋体"/>
          <w:b/>
          <w:bCs/>
          <w:color w:val="auto"/>
          <w:kern w:val="0"/>
        </w:rPr>
      </w:pPr>
      <w:r>
        <w:rPr>
          <w:rFonts w:hint="eastAsia" w:ascii="宋体" w:hAnsi="宋体" w:eastAsia="宋体" w:cs="宋体"/>
          <w:b/>
          <w:color w:val="auto"/>
          <w:kern w:val="0"/>
          <w:szCs w:val="21"/>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rPr>
        <w:t>。</w:t>
      </w:r>
    </w:p>
    <w:p w14:paraId="4907C39D">
      <w:pPr>
        <w:spacing w:line="340" w:lineRule="exact"/>
        <w:ind w:left="25" w:leftChars="12" w:firstLine="310" w:firstLineChars="147"/>
        <w:rPr>
          <w:rFonts w:hint="eastAsia" w:ascii="宋体" w:hAnsi="宋体" w:eastAsia="宋体" w:cs="宋体"/>
          <w:b/>
          <w:color w:val="auto"/>
          <w:kern w:val="0"/>
          <w:szCs w:val="21"/>
        </w:rPr>
      </w:pPr>
      <w:r>
        <w:rPr>
          <w:rFonts w:hint="eastAsia" w:ascii="宋体" w:hAnsi="宋体" w:eastAsia="宋体" w:cs="宋体"/>
          <w:b/>
          <w:color w:val="auto"/>
          <w:kern w:val="0"/>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F7B4B91">
      <w:pPr>
        <w:spacing w:line="340" w:lineRule="exact"/>
        <w:ind w:left="25" w:leftChars="12" w:firstLine="310" w:firstLineChars="147"/>
        <w:rPr>
          <w:rFonts w:hint="eastAsia" w:ascii="宋体" w:hAnsi="宋体" w:eastAsia="宋体" w:cs="宋体"/>
          <w:b/>
          <w:color w:val="auto"/>
          <w:kern w:val="0"/>
          <w:szCs w:val="21"/>
        </w:rPr>
      </w:pPr>
      <w:r>
        <w:rPr>
          <w:rFonts w:hint="eastAsia" w:ascii="宋体" w:hAnsi="宋体" w:eastAsia="宋体" w:cs="宋体"/>
          <w:b/>
          <w:color w:val="auto"/>
          <w:kern w:val="0"/>
          <w:szCs w:val="21"/>
        </w:rPr>
        <w:t>3.投诉书应简要列明质疑事项，质疑函、质疑答复等作为附件材料提供。</w:t>
      </w:r>
    </w:p>
    <w:p w14:paraId="7B155A2B">
      <w:pPr>
        <w:spacing w:line="340" w:lineRule="exact"/>
        <w:ind w:left="25" w:leftChars="12" w:firstLine="310" w:firstLineChars="147"/>
        <w:rPr>
          <w:rFonts w:hint="eastAsia" w:ascii="宋体" w:hAnsi="宋体" w:eastAsia="宋体" w:cs="宋体"/>
          <w:b/>
          <w:color w:val="auto"/>
          <w:kern w:val="0"/>
          <w:szCs w:val="21"/>
        </w:rPr>
      </w:pPr>
      <w:r>
        <w:rPr>
          <w:rFonts w:hint="eastAsia" w:ascii="宋体" w:hAnsi="宋体" w:eastAsia="宋体" w:cs="宋体"/>
          <w:b/>
          <w:color w:val="auto"/>
          <w:kern w:val="0"/>
          <w:szCs w:val="21"/>
        </w:rPr>
        <w:t>4.投诉书的投诉事项应具体、明确，并有必要的事实依据和法律依据。</w:t>
      </w:r>
    </w:p>
    <w:p w14:paraId="29FFF66E">
      <w:pPr>
        <w:spacing w:line="340" w:lineRule="exact"/>
        <w:ind w:left="25" w:leftChars="12" w:firstLine="310" w:firstLineChars="147"/>
        <w:rPr>
          <w:rFonts w:hint="eastAsia" w:ascii="宋体" w:hAnsi="宋体" w:eastAsia="宋体" w:cs="宋体"/>
          <w:b/>
          <w:color w:val="auto"/>
          <w:kern w:val="0"/>
          <w:szCs w:val="21"/>
        </w:rPr>
      </w:pPr>
      <w:r>
        <w:rPr>
          <w:rFonts w:hint="eastAsia" w:ascii="宋体" w:hAnsi="宋体" w:eastAsia="宋体" w:cs="宋体"/>
          <w:b/>
          <w:color w:val="auto"/>
          <w:kern w:val="0"/>
          <w:szCs w:val="21"/>
        </w:rPr>
        <w:t>5.投诉书的投诉请求应与投诉事项相关。</w:t>
      </w:r>
    </w:p>
    <w:p w14:paraId="4F94977E">
      <w:pPr>
        <w:spacing w:line="340" w:lineRule="exact"/>
        <w:ind w:left="25" w:leftChars="12" w:firstLine="310" w:firstLineChars="147"/>
        <w:rPr>
          <w:rFonts w:hint="eastAsia" w:ascii="宋体" w:hAnsi="宋体" w:eastAsia="宋体" w:cs="宋体"/>
          <w:b/>
          <w:color w:val="auto"/>
          <w:szCs w:val="21"/>
        </w:rPr>
      </w:pPr>
      <w:r>
        <w:rPr>
          <w:rFonts w:hint="eastAsia" w:ascii="宋体" w:hAnsi="宋体" w:eastAsia="宋体" w:cs="宋体"/>
          <w:b/>
          <w:color w:val="auto"/>
          <w:kern w:val="0"/>
          <w:szCs w:val="21"/>
        </w:rPr>
        <w:t>6.</w:t>
      </w:r>
      <w:r>
        <w:rPr>
          <w:rFonts w:hint="eastAsia" w:ascii="宋体" w:hAnsi="宋体" w:eastAsia="宋体" w:cs="宋体"/>
          <w:b/>
          <w:color w:val="auto"/>
          <w:szCs w:val="21"/>
        </w:rPr>
        <w:t>投诉人为法人或者其他组织的，投诉书应由法定代表人、主要负责人，或者其授权代表签字或者盖章，并加盖公章。</w:t>
      </w:r>
    </w:p>
    <w:p w14:paraId="05463512">
      <w:pPr>
        <w:spacing w:line="340" w:lineRule="exact"/>
        <w:ind w:left="25" w:leftChars="12" w:firstLine="310" w:firstLineChars="147"/>
        <w:rPr>
          <w:rFonts w:hint="eastAsia" w:ascii="宋体" w:hAnsi="宋体" w:eastAsia="宋体" w:cs="宋体"/>
          <w:b/>
          <w:color w:val="auto"/>
          <w:kern w:val="0"/>
          <w:szCs w:val="21"/>
        </w:rPr>
      </w:pPr>
    </w:p>
    <w:p w14:paraId="4F99F250">
      <w:pPr>
        <w:rPr>
          <w:rFonts w:hint="eastAsia" w:ascii="宋体" w:hAnsi="宋体" w:eastAsia="宋体" w:cs="宋体"/>
          <w:color w:val="auto"/>
        </w:rPr>
      </w:pPr>
    </w:p>
    <w:p w14:paraId="0335DD9D">
      <w:pPr>
        <w:pStyle w:val="7"/>
        <w:rPr>
          <w:rFonts w:hint="eastAsia" w:ascii="宋体" w:hAnsi="宋体" w:eastAsia="宋体" w:cs="宋体"/>
          <w:color w:val="auto"/>
        </w:rPr>
      </w:pPr>
    </w:p>
    <w:p w14:paraId="17386E5C">
      <w:pPr>
        <w:rPr>
          <w:rFonts w:hint="eastAsia" w:ascii="宋体" w:hAnsi="宋体" w:eastAsia="宋体" w:cs="宋体"/>
          <w:color w:val="auto"/>
        </w:rPr>
      </w:pPr>
    </w:p>
    <w:p w14:paraId="2117001E">
      <w:pPr>
        <w:pStyle w:val="2"/>
        <w:pageBreakBefore/>
        <w:spacing w:before="0" w:after="0" w:line="240" w:lineRule="auto"/>
        <w:jc w:val="center"/>
        <w:rPr>
          <w:rFonts w:hint="eastAsia" w:ascii="宋体" w:hAnsi="宋体" w:eastAsia="宋体" w:cs="宋体"/>
          <w:color w:val="auto"/>
          <w:sz w:val="32"/>
          <w:szCs w:val="32"/>
        </w:rPr>
      </w:pPr>
      <w:bookmarkStart w:id="129" w:name="_Toc31755"/>
      <w:bookmarkStart w:id="130" w:name="_Toc5872"/>
      <w:bookmarkStart w:id="131" w:name="_Toc28939"/>
      <w:bookmarkStart w:id="132" w:name="_Toc2989"/>
      <w:r>
        <w:rPr>
          <w:rFonts w:hint="eastAsia" w:ascii="宋体" w:hAnsi="宋体" w:eastAsia="宋体" w:cs="宋体"/>
          <w:color w:val="auto"/>
          <w:sz w:val="32"/>
          <w:szCs w:val="32"/>
        </w:rPr>
        <w:t xml:space="preserve">第三章  </w:t>
      </w:r>
      <w:bookmarkEnd w:id="129"/>
      <w:bookmarkEnd w:id="130"/>
      <w:bookmarkEnd w:id="131"/>
      <w:r>
        <w:rPr>
          <w:rFonts w:hint="eastAsia" w:ascii="宋体" w:hAnsi="宋体" w:eastAsia="宋体" w:cs="宋体"/>
          <w:color w:val="auto"/>
          <w:sz w:val="32"/>
          <w:szCs w:val="32"/>
        </w:rPr>
        <w:t>项目需求表</w:t>
      </w:r>
    </w:p>
    <w:p w14:paraId="76E87773">
      <w:pPr>
        <w:widowControl/>
        <w:snapToGrid w:val="0"/>
        <w:spacing w:line="360" w:lineRule="exact"/>
        <w:ind w:firstLine="422" w:firstLineChars="200"/>
        <w:jc w:val="left"/>
        <w:rPr>
          <w:rFonts w:hint="eastAsia" w:ascii="宋体" w:hAnsi="宋体" w:eastAsia="宋体" w:cs="宋体"/>
          <w:b/>
          <w:color w:val="auto"/>
          <w:szCs w:val="21"/>
        </w:rPr>
      </w:pPr>
    </w:p>
    <w:p w14:paraId="33ADD3F5">
      <w:pPr>
        <w:widowControl/>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说明： </w:t>
      </w:r>
    </w:p>
    <w:p w14:paraId="0F28C4D3">
      <w:pPr>
        <w:pStyle w:val="25"/>
        <w:widowControl/>
        <w:spacing w:line="440" w:lineRule="atLeast"/>
        <w:ind w:left="63" w:right="63" w:firstLine="422" w:firstLineChars="20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一、本项目所要执行的政府采购政策：</w:t>
      </w:r>
    </w:p>
    <w:p w14:paraId="34948324">
      <w:pPr>
        <w:pStyle w:val="25"/>
        <w:widowControl/>
        <w:spacing w:line="440" w:lineRule="atLeast"/>
        <w:ind w:left="63" w:right="63"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一）根据《政府采购促进中小企业发展管理办法》（财库[2020]46号）、《广西壮族自治区财政厅关于持续优化政府采购营商环境推动高质量发展的通知》（桂财采〔2024〕55号）等有关规定，供应商提供的货物全部由符合政策要求的小型、微型企业制造或供应商提供的服务全部由符合政策要求的小型、微型企业承接的，响应文件中提供符合要求的《中小企业声明函》的，供应商的磋商报价给予20%的扣除。</w:t>
      </w:r>
    </w:p>
    <w:p w14:paraId="68417D05">
      <w:pPr>
        <w:pStyle w:val="25"/>
        <w:widowControl/>
        <w:spacing w:line="440" w:lineRule="atLeast"/>
        <w:ind w:left="63" w:right="63"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二）根据财政部、司法部关于政府采购支持监狱企业发展有关问题的通知（财库[2014]68号），监狱企业视同小型、微型企业，享受预留份额、评审中价格扣除等政府采购政策。监狱企业属于小型、微型企业的，不重复享受政策。</w:t>
      </w:r>
    </w:p>
    <w:p w14:paraId="4C3AB532">
      <w:pPr>
        <w:pStyle w:val="25"/>
        <w:widowControl/>
        <w:spacing w:line="440" w:lineRule="atLeast"/>
        <w:ind w:left="63" w:right="63"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三）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56F6C5CF">
      <w:pPr>
        <w:pStyle w:val="25"/>
        <w:widowControl/>
        <w:spacing w:line="440" w:lineRule="atLeast"/>
        <w:ind w:left="63" w:right="63" w:firstLine="422" w:firstLineChars="200"/>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二、供应商必须自行为其竞标产品侵犯他人的知识产权或者专利成果或其他合法权益的行为承担相应法律责任。</w:t>
      </w:r>
    </w:p>
    <w:p w14:paraId="1B9CCF18">
      <w:pPr>
        <w:pStyle w:val="25"/>
        <w:widowControl/>
        <w:spacing w:line="440" w:lineRule="atLeast"/>
        <w:ind w:left="63" w:right="63" w:firstLine="422" w:firstLineChars="200"/>
        <w:jc w:val="left"/>
        <w:rPr>
          <w:rFonts w:hint="eastAsia" w:ascii="宋体" w:hAnsi="宋体" w:eastAsia="宋体" w:cs="宋体"/>
          <w:b/>
          <w:bCs/>
          <w:color w:val="auto"/>
          <w:sz w:val="21"/>
          <w:szCs w:val="21"/>
          <w:u w:val="thick"/>
        </w:rPr>
      </w:pPr>
      <w:r>
        <w:rPr>
          <w:rFonts w:hint="eastAsia" w:ascii="宋体" w:hAnsi="宋体" w:eastAsia="宋体" w:cs="宋体"/>
          <w:b/>
          <w:bCs/>
          <w:color w:val="auto"/>
          <w:sz w:val="21"/>
          <w:szCs w:val="21"/>
        </w:rPr>
        <w:t>三、中小企业划分标准是指国务院有关部门根据企业从业人员、营业收入、资产总额等指标制定的中小企业划型标准，详见《关于印发中小企业划型标准规定的通知》（工信部联企业〔2011〕300号）。</w:t>
      </w:r>
    </w:p>
    <w:p w14:paraId="06EF01C4">
      <w:pPr>
        <w:pStyle w:val="25"/>
        <w:widowControl/>
        <w:spacing w:line="440" w:lineRule="atLeast"/>
        <w:ind w:left="63" w:right="63" w:firstLine="422" w:firstLineChars="20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四、供应商应注意下列内容：</w:t>
      </w:r>
    </w:p>
    <w:p w14:paraId="2AEBB88F">
      <w:pPr>
        <w:pStyle w:val="25"/>
        <w:widowControl/>
        <w:spacing w:line="440" w:lineRule="atLeast"/>
        <w:ind w:left="63" w:right="63"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供应商须在响应文件中填写/应答项目要求，当响应文件中填写/应答内容与本项目采购需求表“项目具体内容及要求”有偏离时，须在“偏离”栏内如实注明是偏离情况，“正偏离”指供应商响应内容优于本项目采购需求表要求，“负偏离”指供应商响应内容低于本项目采购需求表要求，“无偏离”指供应商响应内容与本项目采购需求表标准要求一致。供应商响应内容或其它内容有“正偏离”的，供应商须对“正偏离”的情况单独作出说明。若有任意一项为负偏离，响应文件无效处理。</w:t>
      </w:r>
    </w:p>
    <w:p w14:paraId="581DD86A">
      <w:pPr>
        <w:pStyle w:val="25"/>
        <w:widowControl/>
        <w:spacing w:line="440" w:lineRule="atLeast"/>
        <w:ind w:left="63" w:right="63" w:firstLine="420" w:firstLineChars="200"/>
        <w:jc w:val="left"/>
        <w:rPr>
          <w:rFonts w:hint="eastAsia" w:ascii="宋体" w:hAnsi="宋体" w:eastAsia="宋体" w:cs="宋体"/>
          <w:color w:val="auto"/>
          <w:sz w:val="21"/>
          <w:szCs w:val="21"/>
        </w:rPr>
      </w:pPr>
    </w:p>
    <w:p w14:paraId="3AF8AB6E">
      <w:pPr>
        <w:pStyle w:val="25"/>
        <w:widowControl/>
        <w:spacing w:line="440" w:lineRule="atLeast"/>
        <w:ind w:left="63" w:right="63" w:firstLine="420" w:firstLineChars="200"/>
        <w:jc w:val="left"/>
        <w:rPr>
          <w:rFonts w:hint="eastAsia" w:ascii="宋体" w:hAnsi="宋体" w:eastAsia="宋体" w:cs="宋体"/>
          <w:color w:val="auto"/>
          <w:sz w:val="21"/>
          <w:szCs w:val="21"/>
        </w:rPr>
      </w:pPr>
    </w:p>
    <w:p w14:paraId="39E96E0C">
      <w:pPr>
        <w:pStyle w:val="25"/>
        <w:widowControl/>
        <w:spacing w:line="440" w:lineRule="atLeast"/>
        <w:ind w:left="63" w:right="63" w:firstLine="420" w:firstLineChars="200"/>
        <w:jc w:val="left"/>
        <w:rPr>
          <w:rFonts w:hint="eastAsia" w:ascii="宋体" w:hAnsi="宋体" w:eastAsia="宋体" w:cs="宋体"/>
          <w:color w:val="auto"/>
          <w:sz w:val="21"/>
          <w:szCs w:val="21"/>
        </w:rPr>
      </w:pPr>
    </w:p>
    <w:p w14:paraId="5426954C">
      <w:pPr>
        <w:pStyle w:val="25"/>
        <w:widowControl/>
        <w:spacing w:line="440" w:lineRule="atLeast"/>
        <w:ind w:left="63" w:right="63" w:firstLine="420" w:firstLineChars="200"/>
        <w:jc w:val="left"/>
        <w:rPr>
          <w:rFonts w:hint="eastAsia" w:ascii="宋体" w:hAnsi="宋体" w:eastAsia="宋体" w:cs="宋体"/>
          <w:color w:val="auto"/>
          <w:sz w:val="21"/>
          <w:szCs w:val="21"/>
        </w:rPr>
      </w:pPr>
    </w:p>
    <w:tbl>
      <w:tblPr>
        <w:tblStyle w:val="18"/>
        <w:tblW w:w="5000" w:type="pct"/>
        <w:jc w:val="center"/>
        <w:tblLayout w:type="fixed"/>
        <w:tblCellMar>
          <w:top w:w="0" w:type="dxa"/>
          <w:left w:w="108" w:type="dxa"/>
          <w:bottom w:w="0" w:type="dxa"/>
          <w:right w:w="108" w:type="dxa"/>
        </w:tblCellMar>
      </w:tblPr>
      <w:tblGrid>
        <w:gridCol w:w="1012"/>
        <w:gridCol w:w="1106"/>
        <w:gridCol w:w="4823"/>
        <w:gridCol w:w="487"/>
        <w:gridCol w:w="483"/>
        <w:gridCol w:w="1381"/>
      </w:tblGrid>
      <w:tr w14:paraId="4F662AB7">
        <w:tblPrEx>
          <w:tblCellMar>
            <w:top w:w="0" w:type="dxa"/>
            <w:left w:w="108" w:type="dxa"/>
            <w:bottom w:w="0" w:type="dxa"/>
            <w:right w:w="108" w:type="dxa"/>
          </w:tblCellMar>
        </w:tblPrEx>
        <w:trPr>
          <w:trHeight w:val="465" w:hRule="atLeast"/>
          <w:jc w:val="center"/>
        </w:trPr>
        <w:tc>
          <w:tcPr>
            <w:tcW w:w="4257" w:type="pct"/>
            <w:gridSpan w:val="5"/>
            <w:tcBorders>
              <w:top w:val="single" w:color="auto" w:sz="4" w:space="0"/>
              <w:left w:val="single" w:color="auto" w:sz="4" w:space="0"/>
              <w:bottom w:val="single" w:color="auto" w:sz="4" w:space="0"/>
              <w:right w:val="single" w:color="auto" w:sz="4" w:space="0"/>
            </w:tcBorders>
            <w:noWrap/>
            <w:vAlign w:val="center"/>
          </w:tcPr>
          <w:p w14:paraId="742B4CAB">
            <w:pPr>
              <w:widowControl/>
              <w:adjustRightInd w:val="0"/>
              <w:snapToGrid w:val="0"/>
              <w:spacing w:line="240" w:lineRule="atLeast"/>
              <w:jc w:val="left"/>
              <w:rPr>
                <w:rFonts w:hint="eastAsia" w:ascii="宋体" w:hAnsi="宋体" w:eastAsia="宋体" w:cs="宋体"/>
                <w:b/>
                <w:bCs/>
                <w:color w:val="auto"/>
                <w:kern w:val="0"/>
                <w:szCs w:val="21"/>
              </w:rPr>
            </w:pPr>
            <w:r>
              <w:rPr>
                <w:rFonts w:hint="eastAsia" w:ascii="宋体" w:hAnsi="宋体" w:eastAsia="宋体" w:cs="宋体"/>
                <w:b/>
                <w:color w:val="auto"/>
                <w:szCs w:val="21"/>
              </w:rPr>
              <w:t>一、绿博矿山</w:t>
            </w:r>
          </w:p>
        </w:tc>
        <w:tc>
          <w:tcPr>
            <w:tcW w:w="742" w:type="pct"/>
            <w:tcBorders>
              <w:top w:val="single" w:color="auto" w:sz="4" w:space="0"/>
              <w:left w:val="single" w:color="auto" w:sz="4" w:space="0"/>
              <w:bottom w:val="single" w:color="auto" w:sz="4" w:space="0"/>
              <w:right w:val="single" w:color="auto" w:sz="4" w:space="0"/>
            </w:tcBorders>
            <w:noWrap/>
            <w:vAlign w:val="center"/>
          </w:tcPr>
          <w:p w14:paraId="11932822">
            <w:pPr>
              <w:widowControl/>
              <w:adjustRightInd w:val="0"/>
              <w:snapToGrid w:val="0"/>
              <w:spacing w:line="240" w:lineRule="atLeast"/>
              <w:jc w:val="left"/>
              <w:rPr>
                <w:rFonts w:hint="eastAsia" w:ascii="宋体" w:hAnsi="宋体" w:eastAsia="宋体" w:cs="宋体"/>
                <w:b/>
                <w:color w:val="auto"/>
                <w:szCs w:val="21"/>
              </w:rPr>
            </w:pPr>
          </w:p>
        </w:tc>
      </w:tr>
      <w:tr w14:paraId="65A916FC">
        <w:tblPrEx>
          <w:tblCellMar>
            <w:top w:w="0" w:type="dxa"/>
            <w:left w:w="108" w:type="dxa"/>
            <w:bottom w:w="0" w:type="dxa"/>
            <w:right w:w="108" w:type="dxa"/>
          </w:tblCellMar>
        </w:tblPrEx>
        <w:trPr>
          <w:trHeight w:val="465" w:hRule="atLeast"/>
          <w:jc w:val="center"/>
        </w:trPr>
        <w:tc>
          <w:tcPr>
            <w:tcW w:w="545" w:type="pct"/>
            <w:tcBorders>
              <w:top w:val="single" w:color="auto" w:sz="4" w:space="0"/>
              <w:left w:val="single" w:color="auto" w:sz="4" w:space="0"/>
              <w:bottom w:val="single" w:color="auto" w:sz="4" w:space="0"/>
              <w:right w:val="single" w:color="auto" w:sz="4" w:space="0"/>
            </w:tcBorders>
            <w:noWrap/>
            <w:vAlign w:val="center"/>
          </w:tcPr>
          <w:p w14:paraId="6E445D1C">
            <w:pPr>
              <w:widowControl/>
              <w:adjustRightInd w:val="0"/>
              <w:snapToGrid w:val="0"/>
              <w:spacing w:line="240" w:lineRule="atLeast"/>
              <w:jc w:val="left"/>
              <w:rPr>
                <w:rFonts w:hint="eastAsia" w:ascii="宋体" w:hAnsi="宋体" w:eastAsia="宋体" w:cs="宋体"/>
                <w:b/>
                <w:bCs/>
                <w:color w:val="auto"/>
                <w:kern w:val="0"/>
                <w:szCs w:val="21"/>
              </w:rPr>
            </w:pPr>
            <w:r>
              <w:rPr>
                <w:rFonts w:hint="eastAsia" w:ascii="宋体" w:hAnsi="宋体" w:eastAsia="宋体" w:cs="宋体"/>
                <w:b/>
                <w:bCs/>
                <w:color w:val="auto"/>
                <w:kern w:val="0"/>
                <w:szCs w:val="21"/>
              </w:rPr>
              <w:t>序号</w:t>
            </w:r>
          </w:p>
        </w:tc>
        <w:tc>
          <w:tcPr>
            <w:tcW w:w="595" w:type="pct"/>
            <w:tcBorders>
              <w:top w:val="single" w:color="auto" w:sz="4" w:space="0"/>
              <w:left w:val="single" w:color="auto" w:sz="4" w:space="0"/>
              <w:bottom w:val="single" w:color="auto" w:sz="4" w:space="0"/>
              <w:right w:val="single" w:color="auto" w:sz="4" w:space="0"/>
            </w:tcBorders>
            <w:vAlign w:val="center"/>
          </w:tcPr>
          <w:p w14:paraId="3AC64121">
            <w:pPr>
              <w:widowControl/>
              <w:adjustRightInd w:val="0"/>
              <w:snapToGrid w:val="0"/>
              <w:spacing w:line="240" w:lineRule="atLeast"/>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服务名称</w:t>
            </w:r>
          </w:p>
        </w:tc>
        <w:tc>
          <w:tcPr>
            <w:tcW w:w="2595" w:type="pct"/>
            <w:tcBorders>
              <w:top w:val="single" w:color="auto" w:sz="4" w:space="0"/>
              <w:left w:val="single" w:color="auto" w:sz="4" w:space="0"/>
              <w:bottom w:val="single" w:color="auto" w:sz="4" w:space="0"/>
              <w:right w:val="single" w:color="auto" w:sz="4" w:space="0"/>
            </w:tcBorders>
            <w:vAlign w:val="center"/>
          </w:tcPr>
          <w:p w14:paraId="7E3E6AB5">
            <w:pPr>
              <w:widowControl/>
              <w:adjustRightInd w:val="0"/>
              <w:snapToGrid w:val="0"/>
              <w:spacing w:line="240" w:lineRule="atLeast"/>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服务内容及要求</w:t>
            </w:r>
          </w:p>
        </w:tc>
        <w:tc>
          <w:tcPr>
            <w:tcW w:w="262" w:type="pct"/>
            <w:tcBorders>
              <w:top w:val="single" w:color="auto" w:sz="4" w:space="0"/>
              <w:left w:val="single" w:color="auto" w:sz="4" w:space="0"/>
              <w:bottom w:val="single" w:color="auto" w:sz="4" w:space="0"/>
              <w:right w:val="single" w:color="auto" w:sz="4" w:space="0"/>
            </w:tcBorders>
            <w:vAlign w:val="center"/>
          </w:tcPr>
          <w:p w14:paraId="5FA8E740">
            <w:pPr>
              <w:widowControl/>
              <w:adjustRightInd w:val="0"/>
              <w:snapToGrid w:val="0"/>
              <w:spacing w:line="240" w:lineRule="atLeast"/>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单位</w:t>
            </w:r>
          </w:p>
        </w:tc>
        <w:tc>
          <w:tcPr>
            <w:tcW w:w="259" w:type="pct"/>
            <w:tcBorders>
              <w:top w:val="single" w:color="auto" w:sz="4" w:space="0"/>
              <w:left w:val="single" w:color="auto" w:sz="4" w:space="0"/>
              <w:bottom w:val="single" w:color="auto" w:sz="4" w:space="0"/>
              <w:right w:val="single" w:color="auto" w:sz="4" w:space="0"/>
            </w:tcBorders>
            <w:vAlign w:val="center"/>
          </w:tcPr>
          <w:p w14:paraId="6B58C539">
            <w:pPr>
              <w:widowControl/>
              <w:adjustRightInd w:val="0"/>
              <w:snapToGrid w:val="0"/>
              <w:spacing w:line="240" w:lineRule="atLeast"/>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数量</w:t>
            </w:r>
          </w:p>
        </w:tc>
        <w:tc>
          <w:tcPr>
            <w:tcW w:w="742" w:type="pct"/>
            <w:tcBorders>
              <w:top w:val="single" w:color="auto" w:sz="4" w:space="0"/>
              <w:left w:val="single" w:color="auto" w:sz="4" w:space="0"/>
              <w:bottom w:val="single" w:color="auto" w:sz="4" w:space="0"/>
              <w:right w:val="single" w:color="auto" w:sz="4" w:space="0"/>
            </w:tcBorders>
            <w:vAlign w:val="center"/>
          </w:tcPr>
          <w:p w14:paraId="6A81078A">
            <w:pPr>
              <w:widowControl/>
              <w:adjustRightInd w:val="0"/>
              <w:snapToGrid w:val="0"/>
              <w:spacing w:line="240" w:lineRule="atLeast"/>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参考价格</w:t>
            </w:r>
          </w:p>
        </w:tc>
      </w:tr>
      <w:tr w14:paraId="05A711B0">
        <w:tblPrEx>
          <w:tblCellMar>
            <w:top w:w="0" w:type="dxa"/>
            <w:left w:w="108" w:type="dxa"/>
            <w:bottom w:w="0" w:type="dxa"/>
            <w:right w:w="108" w:type="dxa"/>
          </w:tblCellMar>
        </w:tblPrEx>
        <w:trPr>
          <w:trHeight w:val="567" w:hRule="atLeast"/>
          <w:jc w:val="center"/>
        </w:trPr>
        <w:tc>
          <w:tcPr>
            <w:tcW w:w="545" w:type="pct"/>
            <w:tcBorders>
              <w:top w:val="single" w:color="auto" w:sz="4" w:space="0"/>
              <w:left w:val="single" w:color="auto" w:sz="4" w:space="0"/>
              <w:bottom w:val="single" w:color="auto" w:sz="4" w:space="0"/>
              <w:right w:val="single" w:color="auto" w:sz="4" w:space="0"/>
            </w:tcBorders>
            <w:noWrap/>
            <w:vAlign w:val="center"/>
          </w:tcPr>
          <w:p w14:paraId="4A52E915">
            <w:pPr>
              <w:widowControl/>
              <w:adjustRightInd w:val="0"/>
              <w:snapToGrid w:val="0"/>
              <w:spacing w:line="240"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595" w:type="pct"/>
            <w:tcBorders>
              <w:top w:val="single" w:color="auto" w:sz="4" w:space="0"/>
              <w:left w:val="single" w:color="auto" w:sz="4" w:space="0"/>
              <w:bottom w:val="single" w:color="auto" w:sz="4" w:space="0"/>
              <w:right w:val="single" w:color="auto" w:sz="4" w:space="0"/>
            </w:tcBorders>
            <w:vAlign w:val="center"/>
          </w:tcPr>
          <w:p w14:paraId="672D5049">
            <w:pPr>
              <w:widowControl/>
              <w:adjustRightInd w:val="0"/>
              <w:snapToGrid w:val="0"/>
              <w:spacing w:line="240" w:lineRule="atLeas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销售监管前端</w:t>
            </w:r>
            <w:r>
              <w:rPr>
                <w:rFonts w:hint="eastAsia" w:ascii="宋体" w:hAnsi="宋体" w:eastAsia="宋体" w:cs="宋体"/>
                <w:color w:val="auto"/>
                <w:kern w:val="0"/>
                <w:sz w:val="21"/>
                <w:szCs w:val="21"/>
              </w:rPr>
              <w:t>服务</w:t>
            </w:r>
          </w:p>
        </w:tc>
        <w:tc>
          <w:tcPr>
            <w:tcW w:w="2595" w:type="pct"/>
            <w:tcBorders>
              <w:top w:val="single" w:color="auto" w:sz="4" w:space="0"/>
              <w:left w:val="single" w:color="auto" w:sz="4" w:space="0"/>
              <w:bottom w:val="single" w:color="auto" w:sz="4" w:space="0"/>
              <w:right w:val="single" w:color="auto" w:sz="4" w:space="0"/>
            </w:tcBorders>
            <w:vAlign w:val="center"/>
          </w:tcPr>
          <w:p w14:paraId="65958C6B">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一、服务要求：</w:t>
            </w:r>
            <w:r>
              <w:rPr>
                <w:rFonts w:hint="eastAsia" w:ascii="宋体" w:hAnsi="宋体" w:eastAsia="宋体" w:cs="宋体"/>
                <w:color w:val="auto"/>
                <w:sz w:val="21"/>
                <w:szCs w:val="21"/>
              </w:rPr>
              <w:t>在矿山地磅处部署提供矿业监管服务，包括：称台数据采集、车辆身份识别、车牌识别、车辆视频图片取证、货物视频图片取证、称台防称重作弊、设备自检、故障告警等服务，并把相关信息实时回传至云平台。</w:t>
            </w:r>
          </w:p>
          <w:p w14:paraId="0A6E7E00">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二、功能要求：运输车辆空车进入企业时，车辆上地磅称重，系统自动检测车辆上磅，提示磅房管理员车辆上称台称重，通过车牌摄像机识别车辆身份，通过多次采集的地磅数据和称重防作弊触发装置判定地磅数据的稳定性和车辆是否完全上称台，获取相应地磅实时数据，分析确认称量类型（皮重），车辆的实时皮重数据上传中心；运输车辆完成装载出企业时，车辆再次上地磅称重，系统自动检测车辆上磅，提示磅房管理员车辆上称台称重，通过车牌摄像机或车辆身份识别装置识别车辆身份，通过多次采集的地磅数据和称重防作弊触发装置判定地磅数据的稳定性和车辆是否完全上称台，获取相应地磅实时数据，选择称重矿产品类型，分析确认称量类型（毛重），系统计算车辆净重，生成销售数据：销售企业、销售时间、销售种类、销售量、运输车辆，销售数据上传中心。</w:t>
            </w:r>
          </w:p>
          <w:p w14:paraId="43F660D9">
            <w:pPr>
              <w:widowControl/>
              <w:adjustRightInd w:val="0"/>
              <w:snapToGrid w:val="0"/>
              <w:spacing w:line="240" w:lineRule="atLeast"/>
              <w:jc w:val="left"/>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三、服务技术指标：</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（一）销售控制模块（远程监控终端）</w:t>
            </w:r>
            <w:r>
              <w:rPr>
                <w:rFonts w:hint="eastAsia" w:ascii="宋体" w:hAnsi="宋体" w:eastAsia="宋体" w:cs="宋体"/>
                <w:b/>
                <w:bCs/>
                <w:color w:val="auto"/>
                <w:kern w:val="0"/>
                <w:sz w:val="21"/>
                <w:szCs w:val="21"/>
              </w:rPr>
              <w:t>（4个点位）</w:t>
            </w:r>
          </w:p>
          <w:p w14:paraId="727A0FD7">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1、断电续航时间大于24小时；（市电掉电后能正常持续工作24小时以上）</w:t>
            </w:r>
          </w:p>
          <w:p w14:paraId="209CAC91">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2、存储容量大于200万条；</w:t>
            </w:r>
          </w:p>
          <w:p w14:paraId="435E9716">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3、配备非接触射频读写模块、7寸全真彩触控显示模块、视频模块、防浪涌保护模块、漏电保护模块、信号磁隔离模块、硬件看门狗模块、RTC实时时钟模块、实时工作状态检测和告警模块（柜门状态、供电状态、网络状态）；</w:t>
            </w:r>
          </w:p>
          <w:p w14:paraId="7AA14632">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4、支持硬件加密、异常复位、有线通讯；支持RFID车辆身份识别、称台数据接入、语音操作提示、称台车辆定位装置接入、道闸控制、红绿灯控制、补光灯控制；</w:t>
            </w:r>
          </w:p>
          <w:p w14:paraId="74A4E731">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5、绝缘电阻≥10MΩ，电器强度能承受1500V电压，泄露电流&lt;3.5mA，接地电阻&lt;0.1Ω。</w:t>
            </w:r>
            <w:bookmarkStart w:id="133" w:name="OLE_LINK1"/>
          </w:p>
          <w:p w14:paraId="2D2339D1">
            <w:pPr>
              <w:widowControl/>
              <w:adjustRightInd w:val="0"/>
              <w:snapToGrid w:val="0"/>
              <w:spacing w:line="240" w:lineRule="atLeast"/>
              <w:jc w:val="left"/>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（二）车辆身份识别模块</w:t>
            </w:r>
            <w:r>
              <w:rPr>
                <w:rFonts w:hint="eastAsia" w:ascii="宋体" w:hAnsi="宋体" w:eastAsia="宋体" w:cs="宋体"/>
                <w:b/>
                <w:bCs/>
                <w:color w:val="auto"/>
                <w:kern w:val="0"/>
                <w:sz w:val="21"/>
                <w:szCs w:val="21"/>
              </w:rPr>
              <w:t>（4个点位）</w:t>
            </w:r>
          </w:p>
          <w:p w14:paraId="5F851446">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1、工作频率920～925MHz，用于识别车辆身份；</w:t>
            </w:r>
          </w:p>
          <w:p w14:paraId="67EB17DB">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2、读距 0～15 米；</w:t>
            </w:r>
          </w:p>
          <w:p w14:paraId="2C8985F9">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3、支持协议：ISO18000-6B，ISO18000-6C（EPC GEN2）；</w:t>
            </w:r>
          </w:p>
          <w:p w14:paraId="3C8BEA76">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4、具有多协议兼容、读取速率快、多标签识读、防水型外观设计。</w:t>
            </w:r>
            <w:bookmarkEnd w:id="133"/>
          </w:p>
          <w:p w14:paraId="57D6A520">
            <w:pPr>
              <w:widowControl/>
              <w:adjustRightInd w:val="0"/>
              <w:snapToGrid w:val="0"/>
              <w:spacing w:line="240" w:lineRule="atLeast"/>
              <w:jc w:val="left"/>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（三）车牌识别模块（智能出入口摄像机）</w:t>
            </w:r>
            <w:r>
              <w:rPr>
                <w:rFonts w:hint="eastAsia" w:ascii="宋体" w:hAnsi="宋体" w:eastAsia="宋体" w:cs="宋体"/>
                <w:b/>
                <w:bCs/>
                <w:color w:val="auto"/>
                <w:kern w:val="0"/>
                <w:sz w:val="21"/>
                <w:szCs w:val="21"/>
              </w:rPr>
              <w:t>（4个点位）</w:t>
            </w:r>
          </w:p>
          <w:p w14:paraId="02C924DF">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1、400万像素1/1.8"CMOS传感器；最大分辨率2688×1520；</w:t>
            </w:r>
          </w:p>
          <w:p w14:paraId="68AC702E">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2、快门速度：1/25s~1/10000s（可手动或自动调节）；</w:t>
            </w:r>
          </w:p>
          <w:p w14:paraId="3CCB0F59">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3、支持LED补光；</w:t>
            </w:r>
          </w:p>
          <w:p w14:paraId="3255DA98">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4</w:t>
            </w:r>
            <w:r>
              <w:rPr>
                <w:rFonts w:hint="eastAsia" w:ascii="宋体" w:hAnsi="宋体" w:eastAsia="宋体" w:cs="宋体"/>
                <w:color w:val="auto"/>
                <w:kern w:val="0"/>
                <w:sz w:val="21"/>
                <w:szCs w:val="21"/>
              </w:rPr>
              <w:t>、支持车牌识别功能，车牌识别率≥99%；</w:t>
            </w:r>
          </w:p>
          <w:p w14:paraId="453DCB57">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5、车型、车标、车系、车身颜色、车脸特征、无牌车等识别率≥95；</w:t>
            </w:r>
          </w:p>
          <w:p w14:paraId="45838A63">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6、支持视频结构化；</w:t>
            </w:r>
          </w:p>
          <w:p w14:paraId="43E4854B">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7、IP66防尘防水等级；</w:t>
            </w:r>
          </w:p>
          <w:p w14:paraId="3A9046B6">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8、支持本地TF卡存储，最大支持128G；</w:t>
            </w:r>
          </w:p>
          <w:p w14:paraId="7FFE79F2">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9、支持抓拍时间和抓拍地点图片显示叠加；支持抓拍图片命名规则自定义；支持RS485接口指令触发抓拍。</w:t>
            </w:r>
          </w:p>
          <w:p w14:paraId="0D0598A4">
            <w:pPr>
              <w:widowControl/>
              <w:adjustRightInd w:val="0"/>
              <w:snapToGrid w:val="0"/>
              <w:spacing w:line="240" w:lineRule="atLeast"/>
              <w:jc w:val="left"/>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（四）货物识别模块（网络摄像机）</w:t>
            </w:r>
            <w:r>
              <w:rPr>
                <w:rFonts w:hint="eastAsia" w:ascii="宋体" w:hAnsi="宋体" w:eastAsia="宋体" w:cs="宋体"/>
                <w:b/>
                <w:bCs/>
                <w:color w:val="auto"/>
                <w:kern w:val="0"/>
                <w:sz w:val="21"/>
                <w:szCs w:val="21"/>
              </w:rPr>
              <w:t>（4个点位）</w:t>
            </w:r>
          </w:p>
          <w:p w14:paraId="059E9DA2">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1、视频流高于400万像素，最大分辨率2688×1520；</w:t>
            </w:r>
          </w:p>
          <w:p w14:paraId="742D7DD2">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2、最低照度：彩色0.002 lux，黑白0.0002 lux；</w:t>
            </w:r>
          </w:p>
          <w:p w14:paraId="6E90EB48">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3、红外补光距离不小于60米，暖光补光距离不小于30米；</w:t>
            </w:r>
          </w:p>
          <w:p w14:paraId="5BDC7846">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4、快门速度：1/3s~1/100000s；</w:t>
            </w:r>
          </w:p>
          <w:p w14:paraId="5E724863">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5、支持2.7mm～13.5mm变焦；</w:t>
            </w:r>
          </w:p>
          <w:p w14:paraId="2AC1A276">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6、支持H.265、H.264、MJPEG视频编码格式；</w:t>
            </w:r>
          </w:p>
          <w:p w14:paraId="48B72BD6">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7、IP67防尘防水等级；</w:t>
            </w:r>
          </w:p>
          <w:p w14:paraId="03188F3B">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8、支持本地Micro SD卡存储，最大支持512G；</w:t>
            </w:r>
          </w:p>
          <w:p w14:paraId="3B5C55CF">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9、支持抓拍时间和抓拍地点图片显示叠加；支持抓拍图片命名规则自定义；支持RS485接口指令触发抓拍。</w:t>
            </w:r>
          </w:p>
          <w:p w14:paraId="264741BA">
            <w:pPr>
              <w:widowControl/>
              <w:adjustRightInd w:val="0"/>
              <w:snapToGrid w:val="0"/>
              <w:spacing w:line="240" w:lineRule="atLeast"/>
              <w:jc w:val="left"/>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（五）室内监控模块</w:t>
            </w:r>
            <w:r>
              <w:rPr>
                <w:rFonts w:hint="eastAsia" w:ascii="宋体" w:hAnsi="宋体" w:eastAsia="宋体" w:cs="宋体"/>
                <w:b/>
                <w:bCs/>
                <w:color w:val="auto"/>
                <w:kern w:val="0"/>
                <w:sz w:val="21"/>
                <w:szCs w:val="21"/>
              </w:rPr>
              <w:t>（1个点位）</w:t>
            </w:r>
          </w:p>
          <w:p w14:paraId="1D974D04">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1、400万像素1/3"CMOS传感器；最大分辨率2688×1520；</w:t>
            </w:r>
          </w:p>
          <w:p w14:paraId="42C3F92B">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2、最低照度彩色：0.002 lx，黑白：0.0002 lx；</w:t>
            </w:r>
          </w:p>
          <w:p w14:paraId="430382E7">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3、红外补光距离不小于30米；</w:t>
            </w:r>
          </w:p>
          <w:p w14:paraId="63E2E3BD">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4、支持H.264、H.265、MJPEG视频编码格式；</w:t>
            </w:r>
          </w:p>
          <w:p w14:paraId="3F04FD7C">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5、IP67防尘防水等级；</w:t>
            </w:r>
          </w:p>
          <w:p w14:paraId="1EA1AB7E">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6、支持本地Micro SD卡存储,最大支持256G。</w:t>
            </w:r>
          </w:p>
          <w:p w14:paraId="4D863459">
            <w:pPr>
              <w:widowControl/>
              <w:adjustRightInd w:val="0"/>
              <w:snapToGrid w:val="0"/>
              <w:spacing w:line="240" w:lineRule="atLeast"/>
              <w:jc w:val="left"/>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（六）称台防作弊触发装置</w:t>
            </w:r>
            <w:r>
              <w:rPr>
                <w:rFonts w:hint="eastAsia" w:ascii="宋体" w:hAnsi="宋体" w:eastAsia="宋体" w:cs="宋体"/>
                <w:b/>
                <w:bCs/>
                <w:color w:val="auto"/>
                <w:kern w:val="0"/>
                <w:sz w:val="21"/>
                <w:szCs w:val="21"/>
              </w:rPr>
              <w:t>（16个点位）</w:t>
            </w:r>
          </w:p>
          <w:p w14:paraId="23420358">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1、材质：铁板、渡锌、喷漆，漆为全段红白相间，做警示用，铁板厚度3mm，立柱形，单边长120mm。</w:t>
            </w:r>
          </w:p>
          <w:p w14:paraId="58FE61DB">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抗强光达50，000LUX，内置自动调节强光过滤系统，避免受强光或汽车灯光的影响；当遇到浓雾或天气恶劣时探测器会自动增强灵敏度（AGC电路）；内置光学瞄准镜，便于调试；精密光学聚焦镜技术以及总线控制技术；具有高水准的抗RFI/EMI能力；</w:t>
            </w:r>
          </w:p>
          <w:p w14:paraId="50C5D499">
            <w:pPr>
              <w:widowControl/>
              <w:adjustRightInd w:val="0"/>
              <w:snapToGrid w:val="0"/>
              <w:spacing w:line="240" w:lineRule="atLeas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3、防雷击电路设计；专业抗干扰光学罩</w:t>
            </w:r>
            <w:r>
              <w:rPr>
                <w:rFonts w:hint="eastAsia" w:ascii="宋体" w:hAnsi="宋体" w:eastAsia="宋体" w:cs="宋体"/>
                <w:color w:val="auto"/>
                <w:kern w:val="0"/>
                <w:sz w:val="21"/>
                <w:szCs w:val="21"/>
                <w:lang w:eastAsia="zh-CN"/>
              </w:rPr>
              <w:t>；</w:t>
            </w:r>
          </w:p>
          <w:p w14:paraId="63030402">
            <w:pPr>
              <w:widowControl/>
              <w:adjustRightInd w:val="0"/>
              <w:snapToGrid w:val="0"/>
              <w:spacing w:line="240" w:lineRule="atLeas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4、车辆身份盘，50张。</w:t>
            </w:r>
          </w:p>
        </w:tc>
        <w:tc>
          <w:tcPr>
            <w:tcW w:w="262" w:type="pct"/>
            <w:tcBorders>
              <w:top w:val="single" w:color="auto" w:sz="4" w:space="0"/>
              <w:left w:val="single" w:color="auto" w:sz="4" w:space="0"/>
              <w:bottom w:val="single" w:color="auto" w:sz="4" w:space="0"/>
              <w:right w:val="single" w:color="auto" w:sz="4" w:space="0"/>
            </w:tcBorders>
            <w:vAlign w:val="center"/>
          </w:tcPr>
          <w:p w14:paraId="704A98E2">
            <w:pPr>
              <w:widowControl/>
              <w:adjustRightInd w:val="0"/>
              <w:snapToGrid w:val="0"/>
              <w:spacing w:line="240"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w:t>
            </w:r>
          </w:p>
        </w:tc>
        <w:tc>
          <w:tcPr>
            <w:tcW w:w="259" w:type="pct"/>
            <w:tcBorders>
              <w:top w:val="single" w:color="auto" w:sz="4" w:space="0"/>
              <w:left w:val="single" w:color="auto" w:sz="4" w:space="0"/>
              <w:bottom w:val="single" w:color="auto" w:sz="4" w:space="0"/>
              <w:right w:val="single" w:color="auto" w:sz="4" w:space="0"/>
            </w:tcBorders>
            <w:noWrap/>
            <w:vAlign w:val="center"/>
          </w:tcPr>
          <w:p w14:paraId="6901C054">
            <w:pPr>
              <w:widowControl/>
              <w:adjustRightInd w:val="0"/>
              <w:snapToGrid w:val="0"/>
              <w:spacing w:line="240"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42" w:type="pct"/>
            <w:tcBorders>
              <w:top w:val="single" w:color="auto" w:sz="4" w:space="0"/>
              <w:left w:val="single" w:color="auto" w:sz="4" w:space="0"/>
              <w:bottom w:val="single" w:color="auto" w:sz="4" w:space="0"/>
              <w:right w:val="single" w:color="auto" w:sz="4" w:space="0"/>
            </w:tcBorders>
            <w:noWrap/>
            <w:vAlign w:val="center"/>
          </w:tcPr>
          <w:p w14:paraId="54082F42">
            <w:pPr>
              <w:widowControl/>
              <w:adjustRightInd w:val="0"/>
              <w:snapToGrid w:val="0"/>
              <w:spacing w:line="240"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872870</w:t>
            </w:r>
          </w:p>
        </w:tc>
      </w:tr>
      <w:tr w14:paraId="0DDB9088">
        <w:tblPrEx>
          <w:tblCellMar>
            <w:top w:w="0" w:type="dxa"/>
            <w:left w:w="108" w:type="dxa"/>
            <w:bottom w:w="0" w:type="dxa"/>
            <w:right w:w="108" w:type="dxa"/>
          </w:tblCellMar>
        </w:tblPrEx>
        <w:trPr>
          <w:jc w:val="center"/>
        </w:trPr>
        <w:tc>
          <w:tcPr>
            <w:tcW w:w="545" w:type="pct"/>
            <w:tcBorders>
              <w:top w:val="single" w:color="auto" w:sz="4" w:space="0"/>
              <w:left w:val="single" w:color="auto" w:sz="4" w:space="0"/>
              <w:bottom w:val="single" w:color="auto" w:sz="4" w:space="0"/>
              <w:right w:val="single" w:color="auto" w:sz="4" w:space="0"/>
            </w:tcBorders>
            <w:noWrap/>
            <w:vAlign w:val="center"/>
          </w:tcPr>
          <w:p w14:paraId="3E3F81CE">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595" w:type="pct"/>
            <w:tcBorders>
              <w:top w:val="single" w:color="auto" w:sz="4" w:space="0"/>
              <w:left w:val="nil"/>
              <w:bottom w:val="single" w:color="auto" w:sz="4" w:space="0"/>
              <w:right w:val="single" w:color="auto" w:sz="4" w:space="0"/>
            </w:tcBorders>
            <w:vAlign w:val="center"/>
          </w:tcPr>
          <w:p w14:paraId="3579B7C8">
            <w:pPr>
              <w:widowControl/>
              <w:adjustRightInd w:val="0"/>
              <w:snapToGrid w:val="0"/>
              <w:spacing w:line="240" w:lineRule="atLeas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防逃逸监管前端服务</w:t>
            </w:r>
          </w:p>
        </w:tc>
        <w:tc>
          <w:tcPr>
            <w:tcW w:w="2595" w:type="pct"/>
            <w:tcBorders>
              <w:top w:val="single" w:color="auto" w:sz="4" w:space="0"/>
              <w:left w:val="nil"/>
              <w:bottom w:val="single" w:color="auto" w:sz="4" w:space="0"/>
              <w:right w:val="single" w:color="auto" w:sz="4" w:space="0"/>
            </w:tcBorders>
            <w:vAlign w:val="center"/>
          </w:tcPr>
          <w:p w14:paraId="736EDD6F">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一、服务要求：</w:t>
            </w:r>
            <w:r>
              <w:rPr>
                <w:rFonts w:hint="eastAsia" w:ascii="宋体" w:hAnsi="宋体" w:eastAsia="宋体" w:cs="宋体"/>
                <w:color w:val="auto"/>
                <w:sz w:val="21"/>
                <w:szCs w:val="21"/>
              </w:rPr>
              <w:t>在矿山企业的进出必经道路提供车辆通过检测、</w:t>
            </w:r>
            <w:r>
              <w:rPr>
                <w:rFonts w:hint="eastAsia" w:ascii="宋体" w:hAnsi="宋体" w:eastAsia="宋体" w:cs="宋体"/>
                <w:color w:val="auto"/>
                <w:kern w:val="0"/>
                <w:sz w:val="21"/>
                <w:szCs w:val="21"/>
              </w:rPr>
              <w:t>车辆行驶方向判断、车辆车型判断、逃逸数据分析、设备工作状态自检等</w:t>
            </w:r>
            <w:r>
              <w:rPr>
                <w:rFonts w:hint="eastAsia" w:ascii="宋体" w:hAnsi="宋体" w:eastAsia="宋体" w:cs="宋体"/>
                <w:color w:val="auto"/>
                <w:sz w:val="21"/>
                <w:szCs w:val="21"/>
              </w:rPr>
              <w:t>服务，并把相关信息实时回传至云平台。</w:t>
            </w:r>
          </w:p>
          <w:p w14:paraId="189EE9F3">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二、功能要求：通过防逃逸触发装置检测车辆通过，判断车辆行驶方向和车型，仅对出企业的大型运输车辆生效，通过抓拍摄像机或车辆身份识别装置识别运输车辆身份，抓拍车头照片，分析运输车辆是否在出企业时正常称重，对出矿山未正常称重的承运车辆进行告警，生成逃逸数据：逃逸时间、逃逸地点、逃逸车辆、逃逸照片，逃逸数据上传中心。</w:t>
            </w:r>
          </w:p>
          <w:p w14:paraId="70749684">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三、服务技术指标：</w:t>
            </w:r>
          </w:p>
          <w:p w14:paraId="59E49BE7">
            <w:pPr>
              <w:widowControl/>
              <w:adjustRightInd w:val="0"/>
              <w:snapToGrid w:val="0"/>
              <w:spacing w:line="240" w:lineRule="atLeast"/>
              <w:jc w:val="left"/>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（一）防逃逸控制系统（偷逃遁监控装置）</w:t>
            </w:r>
            <w:r>
              <w:rPr>
                <w:rFonts w:hint="eastAsia" w:ascii="宋体" w:hAnsi="宋体" w:eastAsia="宋体" w:cs="宋体"/>
                <w:b/>
                <w:bCs/>
                <w:color w:val="auto"/>
                <w:kern w:val="0"/>
                <w:sz w:val="21"/>
                <w:szCs w:val="21"/>
              </w:rPr>
              <w:t>（1个点位）</w:t>
            </w:r>
          </w:p>
          <w:p w14:paraId="7F680142">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1、配备视频模块、车辆身份识别模块、车辆检测模块、夜视补光模块、RTC实时时钟模块；</w:t>
            </w:r>
          </w:p>
          <w:p w14:paraId="1138387C">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2、电压：AC140V-260V；工作温度：﹣10℃～+60℃；</w:t>
            </w:r>
          </w:p>
          <w:p w14:paraId="5D16655C">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3、冷却方式：强制空气循环；</w:t>
            </w:r>
          </w:p>
          <w:p w14:paraId="4FBA53A7">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4、断电续航时间大于48小时；</w:t>
            </w:r>
          </w:p>
          <w:p w14:paraId="11384926">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5、存储容量大于200万条；</w:t>
            </w:r>
          </w:p>
          <w:p w14:paraId="1ADF56F5">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6、绝缘电阻≥50MΩ；泄漏电流&lt;0.75mA，接地电阻&lt;0.1Ω。</w:t>
            </w:r>
          </w:p>
          <w:p w14:paraId="09C40AF8">
            <w:pPr>
              <w:widowControl/>
              <w:adjustRightInd w:val="0"/>
              <w:snapToGrid w:val="0"/>
              <w:spacing w:line="240" w:lineRule="atLeast"/>
              <w:jc w:val="left"/>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（二）车辆身份识别模块</w:t>
            </w:r>
            <w:r>
              <w:rPr>
                <w:rFonts w:hint="eastAsia" w:ascii="宋体" w:hAnsi="宋体" w:eastAsia="宋体" w:cs="宋体"/>
                <w:b/>
                <w:bCs/>
                <w:color w:val="auto"/>
                <w:kern w:val="0"/>
                <w:sz w:val="21"/>
                <w:szCs w:val="21"/>
              </w:rPr>
              <w:t>（1个点位）</w:t>
            </w:r>
          </w:p>
          <w:p w14:paraId="1D7A81BD">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1、工作频率920～925MHz，用于识别车辆身份；</w:t>
            </w:r>
          </w:p>
          <w:p w14:paraId="770BE93B">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2、读距 0～15 米；</w:t>
            </w:r>
          </w:p>
          <w:p w14:paraId="39CBC646">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3、支持协议：ISO18000-6B，ISO18000-6C（EPC GEN2）；</w:t>
            </w:r>
          </w:p>
          <w:p w14:paraId="355D552B">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4、具有多协议兼容、读取速率快、多标签识读、防水型外观设计。</w:t>
            </w:r>
          </w:p>
          <w:p w14:paraId="737D6617">
            <w:pPr>
              <w:widowControl/>
              <w:adjustRightInd w:val="0"/>
              <w:snapToGrid w:val="0"/>
              <w:spacing w:line="240" w:lineRule="atLeast"/>
              <w:jc w:val="left"/>
              <w:rPr>
                <w:rFonts w:hint="eastAsia" w:ascii="宋体" w:hAnsi="宋体" w:eastAsia="宋体" w:cs="宋体"/>
                <w:b/>
                <w:bCs/>
                <w:color w:val="auto"/>
                <w:sz w:val="21"/>
                <w:szCs w:val="21"/>
              </w:rPr>
            </w:pPr>
            <w:r>
              <w:rPr>
                <w:rFonts w:hint="eastAsia" w:ascii="宋体" w:hAnsi="宋体" w:eastAsia="宋体" w:cs="宋体"/>
                <w:color w:val="auto"/>
                <w:sz w:val="21"/>
                <w:szCs w:val="21"/>
              </w:rPr>
              <w:t>（三）抓拍识别服务（一体化抓拍单元）</w:t>
            </w:r>
            <w:r>
              <w:rPr>
                <w:rFonts w:hint="eastAsia" w:ascii="宋体" w:hAnsi="宋体" w:eastAsia="宋体" w:cs="宋体"/>
                <w:b/>
                <w:bCs/>
                <w:color w:val="auto"/>
                <w:sz w:val="21"/>
                <w:szCs w:val="21"/>
              </w:rPr>
              <w:t>（1点位）</w:t>
            </w:r>
          </w:p>
          <w:p w14:paraId="09776D4D">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1、900万像素高清摄像机，满足GB35114-A级加密标准；</w:t>
            </w:r>
          </w:p>
          <w:p w14:paraId="3CB6FF7E">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2、包含高清一体化嵌入式摄像机、高清镜头、室外防护罩、网络信号防雷器、电源适配器等；</w:t>
            </w:r>
          </w:p>
          <w:p w14:paraId="157BB55B">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3、图像传感器：1英寸GS-CMOS传感器；最大分辨率4096×2160；</w:t>
            </w:r>
          </w:p>
          <w:p w14:paraId="1926B751">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4、最低照度彩色：0.001 lx，黑白:0.0001 lx；</w:t>
            </w:r>
          </w:p>
          <w:p w14:paraId="0283E8CA">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5、1/25s~1/25s~1/100000s（可手动或自动调节），支持单快门、双快门、三快门模式；</w:t>
            </w:r>
          </w:p>
          <w:p w14:paraId="2543963F">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6、支持H.265、H.264、MJPEG视频编码格式；</w:t>
            </w:r>
          </w:p>
          <w:p w14:paraId="0B683DB6">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7、支持人脸检测，主副驾驶人脸抠图；</w:t>
            </w:r>
          </w:p>
          <w:p w14:paraId="6D6478D8">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8、支持机动车驾驶员、非机动车驾驶员、行人人脸检测，人脸抠图；支持车牌识别功能，车牌识别率≥99%；支持车辆类型识别；支持车辆颜色识别；支持机动车违法抓拍，非机动车违法抓拍；支持支持车流量统计；支持视频结构化；</w:t>
            </w:r>
          </w:p>
          <w:p w14:paraId="6813E546">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9、IP66防尘防水等级；</w:t>
            </w:r>
          </w:p>
          <w:p w14:paraId="28B5DB9C">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10、支持本地TF SD存储，最大支持256G；</w:t>
            </w:r>
          </w:p>
          <w:p w14:paraId="7B6A8DCF">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11、支持RS485接口指令触发抓拍；支持抓拍时间和抓拍地点图片显示叠加；支持抓拍图片命名规则自定义。</w:t>
            </w:r>
          </w:p>
          <w:p w14:paraId="757A8DAD">
            <w:pPr>
              <w:widowControl/>
              <w:adjustRightInd w:val="0"/>
              <w:snapToGrid w:val="0"/>
              <w:spacing w:line="240" w:lineRule="atLeast"/>
              <w:jc w:val="left"/>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（四）防逃逸触发装置</w:t>
            </w:r>
            <w:r>
              <w:rPr>
                <w:rFonts w:hint="eastAsia" w:ascii="宋体" w:hAnsi="宋体" w:eastAsia="宋体" w:cs="宋体"/>
                <w:b/>
                <w:bCs/>
                <w:color w:val="auto"/>
                <w:kern w:val="0"/>
                <w:sz w:val="21"/>
                <w:szCs w:val="21"/>
              </w:rPr>
              <w:t>（2个点位）</w:t>
            </w:r>
          </w:p>
          <w:p w14:paraId="7D781941">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1、2.5米T型；</w:t>
            </w:r>
          </w:p>
          <w:p w14:paraId="5F9F0CA7">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2、材质：铁板、渡锌、喷漆，漆为全段红白相间，做警示用，铁板厚度3mm，立柱形，单边长120mm。</w:t>
            </w:r>
          </w:p>
          <w:p w14:paraId="6DF4DBD6">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3、具备自检功能；抗强光达50，000LUX，内置自动调节强光过滤系统，避免受强光或汽车灯光的影响；当遇到浓雾或天气恶劣时探测器会自动增强灵敏度（AGC电路）；内置光学瞄准镜，便于调试；精密光学聚焦镜技术以及总线控制技术；具有高水准的抗RFI/EMI能力。</w:t>
            </w:r>
          </w:p>
        </w:tc>
        <w:tc>
          <w:tcPr>
            <w:tcW w:w="262" w:type="pct"/>
            <w:tcBorders>
              <w:top w:val="single" w:color="auto" w:sz="4" w:space="0"/>
              <w:left w:val="nil"/>
              <w:bottom w:val="single" w:color="auto" w:sz="4" w:space="0"/>
              <w:right w:val="single" w:color="auto" w:sz="4" w:space="0"/>
            </w:tcBorders>
            <w:vAlign w:val="center"/>
          </w:tcPr>
          <w:p w14:paraId="579671CF">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项</w:t>
            </w:r>
          </w:p>
        </w:tc>
        <w:tc>
          <w:tcPr>
            <w:tcW w:w="259" w:type="pct"/>
            <w:tcBorders>
              <w:top w:val="single" w:color="auto" w:sz="4" w:space="0"/>
              <w:left w:val="nil"/>
              <w:bottom w:val="single" w:color="auto" w:sz="4" w:space="0"/>
              <w:right w:val="single" w:color="auto" w:sz="4" w:space="0"/>
            </w:tcBorders>
            <w:noWrap/>
            <w:vAlign w:val="center"/>
          </w:tcPr>
          <w:p w14:paraId="49F94B8B">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742" w:type="pct"/>
            <w:tcBorders>
              <w:top w:val="single" w:color="auto" w:sz="4" w:space="0"/>
              <w:left w:val="nil"/>
              <w:bottom w:val="single" w:color="auto" w:sz="4" w:space="0"/>
              <w:right w:val="single" w:color="auto" w:sz="4" w:space="0"/>
            </w:tcBorders>
            <w:noWrap/>
            <w:vAlign w:val="center"/>
          </w:tcPr>
          <w:p w14:paraId="1FE569D3">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16722</w:t>
            </w:r>
          </w:p>
        </w:tc>
      </w:tr>
      <w:tr w14:paraId="36F25D9F">
        <w:tblPrEx>
          <w:tblCellMar>
            <w:top w:w="0" w:type="dxa"/>
            <w:left w:w="108" w:type="dxa"/>
            <w:bottom w:w="0" w:type="dxa"/>
            <w:right w:w="108" w:type="dxa"/>
          </w:tblCellMar>
        </w:tblPrEx>
        <w:trPr>
          <w:jc w:val="center"/>
        </w:trPr>
        <w:tc>
          <w:tcPr>
            <w:tcW w:w="545" w:type="pct"/>
            <w:tcBorders>
              <w:top w:val="single" w:color="auto" w:sz="4" w:space="0"/>
              <w:left w:val="single" w:color="auto" w:sz="4" w:space="0"/>
              <w:bottom w:val="single" w:color="auto" w:sz="4" w:space="0"/>
              <w:right w:val="single" w:color="auto" w:sz="4" w:space="0"/>
            </w:tcBorders>
            <w:noWrap/>
            <w:vAlign w:val="center"/>
          </w:tcPr>
          <w:p w14:paraId="1B6EC4CF">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c>
          <w:tcPr>
            <w:tcW w:w="595" w:type="pct"/>
            <w:tcBorders>
              <w:top w:val="single" w:color="auto" w:sz="4" w:space="0"/>
              <w:left w:val="single" w:color="auto" w:sz="4" w:space="0"/>
              <w:bottom w:val="single" w:color="auto" w:sz="4" w:space="0"/>
              <w:right w:val="single" w:color="auto" w:sz="4" w:space="0"/>
            </w:tcBorders>
            <w:vAlign w:val="center"/>
          </w:tcPr>
          <w:p w14:paraId="6B6139DF">
            <w:pPr>
              <w:adjustRightInd w:val="0"/>
              <w:snapToGrid w:val="0"/>
              <w:spacing w:line="240" w:lineRule="atLeast"/>
              <w:rPr>
                <w:rFonts w:hint="eastAsia" w:ascii="宋体" w:hAnsi="宋体" w:eastAsia="宋体" w:cs="宋体"/>
                <w:color w:val="auto"/>
                <w:kern w:val="0"/>
                <w:sz w:val="21"/>
                <w:szCs w:val="21"/>
              </w:rPr>
            </w:pPr>
            <w:r>
              <w:rPr>
                <w:rFonts w:hint="eastAsia" w:ascii="宋体" w:hAnsi="宋体" w:eastAsia="宋体" w:cs="宋体"/>
                <w:color w:val="auto"/>
                <w:sz w:val="21"/>
                <w:szCs w:val="21"/>
              </w:rPr>
              <w:t>信息汇集综合分析服务</w:t>
            </w:r>
          </w:p>
        </w:tc>
        <w:tc>
          <w:tcPr>
            <w:tcW w:w="2595" w:type="pct"/>
            <w:tcBorders>
              <w:top w:val="single" w:color="auto" w:sz="4" w:space="0"/>
              <w:left w:val="single" w:color="auto" w:sz="4" w:space="0"/>
              <w:bottom w:val="single" w:color="auto" w:sz="4" w:space="0"/>
              <w:right w:val="single" w:color="auto" w:sz="4" w:space="0"/>
            </w:tcBorders>
            <w:vAlign w:val="center"/>
          </w:tcPr>
          <w:p w14:paraId="5E29E7EA">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一、服务要求：</w:t>
            </w:r>
            <w:r>
              <w:rPr>
                <w:rFonts w:hint="eastAsia" w:ascii="宋体" w:hAnsi="宋体" w:eastAsia="宋体" w:cs="宋体"/>
                <w:color w:val="auto"/>
                <w:sz w:val="21"/>
                <w:szCs w:val="21"/>
              </w:rPr>
              <w:t>提供基于云架构</w:t>
            </w:r>
            <w:r>
              <w:rPr>
                <w:rFonts w:hint="eastAsia" w:ascii="宋体" w:hAnsi="宋体" w:eastAsia="宋体" w:cs="宋体"/>
                <w:color w:val="auto"/>
                <w:kern w:val="0"/>
                <w:sz w:val="21"/>
                <w:szCs w:val="21"/>
              </w:rPr>
              <w:t>综合指挥平台服务</w:t>
            </w:r>
            <w:r>
              <w:rPr>
                <w:rFonts w:hint="eastAsia" w:ascii="宋体" w:hAnsi="宋体" w:eastAsia="宋体" w:cs="宋体"/>
                <w:color w:val="auto"/>
                <w:sz w:val="21"/>
                <w:szCs w:val="21"/>
              </w:rPr>
              <w:t>，监测矿山企业销售数据，防止虚报、漏报。将企业申报数据与监管部门采集的实际数据进行比对，识别异常并触发预警。对矿山企业的进出运货车辆信息进行综合分析管控。</w:t>
            </w:r>
          </w:p>
          <w:p w14:paraId="41BC80D7">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二、功能要求：</w:t>
            </w:r>
          </w:p>
          <w:p w14:paraId="5CC12846">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信息展示能力：综合指挥平台采用全球卫星定位、地理信息、视音频融合技术，将系统内管理的矿山企业、主要设备、用户中心在GIS地图上进行标注呈现，将各功能子模块生成的业务数据、视频数据、告警数据、设备运行数据进行多源融合、交叉印证，以“一张图”的形式直观呈现。同时具有各子模块快速切入的功能，保证监管效率，降低操作难度，将复杂的操作简单化，分散的功能集中化，实现可视化综合展示。</w:t>
            </w:r>
          </w:p>
          <w:p w14:paraId="7277A8EF">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sz w:val="21"/>
                <w:szCs w:val="21"/>
              </w:rPr>
              <w:t>基础数据管理能力：对企业、矿场、设备、运输车辆、矿种、阈值、用户、权限、角色等数据进行登记注册，并依据权限进行添加、修改、删除等操作。</w:t>
            </w:r>
          </w:p>
          <w:p w14:paraId="67D605CC">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3、报表输出能力：依据选定条件，查询符合条件的业务数据，支持模糊查询，并可导出数据报表。</w:t>
            </w:r>
          </w:p>
        </w:tc>
        <w:tc>
          <w:tcPr>
            <w:tcW w:w="262" w:type="pct"/>
            <w:tcBorders>
              <w:top w:val="single" w:color="auto" w:sz="4" w:space="0"/>
              <w:left w:val="single" w:color="auto" w:sz="4" w:space="0"/>
              <w:bottom w:val="single" w:color="auto" w:sz="4" w:space="0"/>
              <w:right w:val="single" w:color="auto" w:sz="4" w:space="0"/>
            </w:tcBorders>
            <w:vAlign w:val="center"/>
          </w:tcPr>
          <w:p w14:paraId="4FC40CCD">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项</w:t>
            </w:r>
          </w:p>
        </w:tc>
        <w:tc>
          <w:tcPr>
            <w:tcW w:w="259" w:type="pct"/>
            <w:tcBorders>
              <w:top w:val="single" w:color="auto" w:sz="4" w:space="0"/>
              <w:left w:val="single" w:color="auto" w:sz="4" w:space="0"/>
              <w:bottom w:val="single" w:color="auto" w:sz="4" w:space="0"/>
              <w:right w:val="single" w:color="auto" w:sz="4" w:space="0"/>
            </w:tcBorders>
            <w:noWrap/>
            <w:vAlign w:val="center"/>
          </w:tcPr>
          <w:p w14:paraId="3DBCAEE7">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742" w:type="pct"/>
            <w:tcBorders>
              <w:top w:val="single" w:color="auto" w:sz="4" w:space="0"/>
              <w:left w:val="single" w:color="auto" w:sz="4" w:space="0"/>
              <w:bottom w:val="single" w:color="auto" w:sz="4" w:space="0"/>
              <w:right w:val="single" w:color="auto" w:sz="4" w:space="0"/>
            </w:tcBorders>
            <w:noWrap/>
            <w:vAlign w:val="center"/>
          </w:tcPr>
          <w:p w14:paraId="43CD7A64">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w:t>
            </w:r>
          </w:p>
        </w:tc>
      </w:tr>
      <w:tr w14:paraId="4B38C583">
        <w:tblPrEx>
          <w:tblCellMar>
            <w:top w:w="0" w:type="dxa"/>
            <w:left w:w="108" w:type="dxa"/>
            <w:bottom w:w="0" w:type="dxa"/>
            <w:right w:w="108" w:type="dxa"/>
          </w:tblCellMar>
        </w:tblPrEx>
        <w:trPr>
          <w:jc w:val="center"/>
        </w:trPr>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56FBE9">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4</w:t>
            </w:r>
          </w:p>
        </w:tc>
        <w:tc>
          <w:tcPr>
            <w:tcW w:w="595" w:type="pct"/>
            <w:tcBorders>
              <w:top w:val="single" w:color="auto" w:sz="4" w:space="0"/>
              <w:left w:val="single" w:color="auto" w:sz="4" w:space="0"/>
              <w:bottom w:val="single" w:color="auto" w:sz="4" w:space="0"/>
              <w:right w:val="single" w:color="auto" w:sz="4" w:space="0"/>
            </w:tcBorders>
            <w:shd w:val="clear" w:color="auto" w:fill="auto"/>
            <w:vAlign w:val="center"/>
          </w:tcPr>
          <w:p w14:paraId="555EC20D">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rPr>
              <w:t>网络传输服务</w:t>
            </w:r>
          </w:p>
        </w:tc>
        <w:tc>
          <w:tcPr>
            <w:tcW w:w="2595" w:type="pct"/>
            <w:tcBorders>
              <w:top w:val="single" w:color="auto" w:sz="4" w:space="0"/>
              <w:left w:val="single" w:color="auto" w:sz="4" w:space="0"/>
              <w:bottom w:val="single" w:color="auto" w:sz="4" w:space="0"/>
              <w:right w:val="single" w:color="auto" w:sz="4" w:space="0"/>
            </w:tcBorders>
            <w:shd w:val="clear" w:color="auto" w:fill="auto"/>
            <w:vAlign w:val="center"/>
          </w:tcPr>
          <w:p w14:paraId="51F16CAC">
            <w:pPr>
              <w:widowControl/>
              <w:adjustRightInd w:val="0"/>
              <w:snapToGrid w:val="0"/>
              <w:spacing w:line="240" w:lineRule="atLeast"/>
              <w:rPr>
                <w:rFonts w:hint="eastAsia" w:ascii="宋体" w:hAnsi="宋体" w:eastAsia="宋体" w:cs="宋体"/>
                <w:color w:val="auto"/>
              </w:rPr>
            </w:pPr>
            <w:r>
              <w:rPr>
                <w:rFonts w:hint="eastAsia" w:ascii="宋体" w:hAnsi="宋体" w:eastAsia="宋体" w:cs="宋体"/>
                <w:color w:val="auto"/>
              </w:rPr>
              <w:t>一、服务内容：提供基于5G网络的无线接入服务及网络汇聚服务，覆盖中心枢纽、矿区及其他需联网场景的网络接入需求，实现多节点通信数据传输与业务承载。</w:t>
            </w:r>
          </w:p>
          <w:p w14:paraId="20CDDB14">
            <w:pPr>
              <w:widowControl/>
              <w:adjustRightInd w:val="0"/>
              <w:snapToGrid w:val="0"/>
              <w:spacing w:line="240" w:lineRule="atLeast"/>
              <w:rPr>
                <w:rFonts w:hint="eastAsia" w:ascii="宋体" w:hAnsi="宋体" w:eastAsia="宋体" w:cs="宋体"/>
                <w:color w:val="auto"/>
              </w:rPr>
            </w:pPr>
            <w:r>
              <w:rPr>
                <w:rFonts w:hint="eastAsia" w:ascii="宋体" w:hAnsi="宋体" w:eastAsia="宋体" w:cs="宋体"/>
                <w:color w:val="auto"/>
              </w:rPr>
              <w:t>二、技术要求</w:t>
            </w:r>
          </w:p>
          <w:p w14:paraId="57D654B8">
            <w:pPr>
              <w:widowControl/>
              <w:adjustRightInd w:val="0"/>
              <w:snapToGrid w:val="0"/>
              <w:spacing w:line="240" w:lineRule="atLeast"/>
              <w:rPr>
                <w:rFonts w:hint="eastAsia" w:ascii="宋体" w:hAnsi="宋体" w:eastAsia="宋体" w:cs="宋体"/>
                <w:color w:val="auto"/>
              </w:rPr>
            </w:pPr>
            <w:r>
              <w:rPr>
                <w:rFonts w:hint="eastAsia" w:ascii="宋体" w:hAnsi="宋体" w:eastAsia="宋体" w:cs="宋体"/>
                <w:color w:val="auto"/>
              </w:rPr>
              <w:t>1、网络可靠性：系统可用性≥99.9%建立7×24小时运维机制，故障发生后1小时内启动应急响应流程，常规故障8小时内修复，重大故障实施不间断抢修直至业务恢复。</w:t>
            </w:r>
          </w:p>
          <w:p w14:paraId="76EA5171">
            <w:pPr>
              <w:widowControl/>
              <w:adjustRightInd w:val="0"/>
              <w:snapToGrid w:val="0"/>
              <w:spacing w:line="240" w:lineRule="atLeast"/>
              <w:rPr>
                <w:rFonts w:hint="eastAsia" w:ascii="宋体" w:hAnsi="宋体" w:eastAsia="宋体" w:cs="宋体"/>
                <w:color w:val="auto"/>
              </w:rPr>
            </w:pPr>
            <w:r>
              <w:rPr>
                <w:rFonts w:hint="eastAsia" w:ascii="宋体" w:hAnsi="宋体" w:eastAsia="宋体" w:cs="宋体"/>
                <w:color w:val="auto"/>
              </w:rPr>
              <w:t>2、传输性能指标端到端传输时延≤25ms；时延抖动≤7ms；单用户上行速率≥90Mbps，下行速率≥100Mbps。</w:t>
            </w:r>
          </w:p>
          <w:p w14:paraId="5D0075D1">
            <w:pPr>
              <w:widowControl/>
              <w:adjustRightInd w:val="0"/>
              <w:snapToGrid w:val="0"/>
              <w:spacing w:line="240" w:lineRule="atLeast"/>
              <w:rPr>
                <w:rFonts w:hint="eastAsia" w:ascii="宋体" w:hAnsi="宋体" w:eastAsia="宋体" w:cs="宋体"/>
                <w:color w:val="auto"/>
                <w:kern w:val="0"/>
                <w:szCs w:val="21"/>
              </w:rPr>
            </w:pPr>
            <w:r>
              <w:rPr>
                <w:rFonts w:hint="eastAsia" w:ascii="宋体" w:hAnsi="宋体" w:eastAsia="宋体" w:cs="宋体"/>
                <w:color w:val="auto"/>
              </w:rPr>
              <w:t>3、服务周期项目服务期自验收通过起持续36个月，服务期内提供完整的网络运维保障方案，包含定期巡检、性能优化及设备维护服务。</w:t>
            </w:r>
          </w:p>
        </w:tc>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14:paraId="11CDD1B3">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项</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59D7FC">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7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DDC47E">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50000</w:t>
            </w:r>
          </w:p>
        </w:tc>
      </w:tr>
      <w:tr w14:paraId="3D3F94B7">
        <w:tblPrEx>
          <w:tblCellMar>
            <w:top w:w="0" w:type="dxa"/>
            <w:left w:w="108" w:type="dxa"/>
            <w:bottom w:w="0" w:type="dxa"/>
            <w:right w:w="108" w:type="dxa"/>
          </w:tblCellMar>
        </w:tblPrEx>
        <w:trPr>
          <w:trHeight w:val="338" w:hRule="atLeast"/>
          <w:jc w:val="center"/>
        </w:trPr>
        <w:tc>
          <w:tcPr>
            <w:tcW w:w="4257"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EFD14DF">
            <w:pPr>
              <w:widowControl/>
              <w:adjustRightInd w:val="0"/>
              <w:snapToGrid w:val="0"/>
              <w:spacing w:line="240" w:lineRule="atLeast"/>
              <w:jc w:val="left"/>
              <w:rPr>
                <w:rFonts w:hint="eastAsia" w:ascii="宋体" w:hAnsi="宋体" w:eastAsia="宋体" w:cs="宋体"/>
                <w:color w:val="auto"/>
                <w:kern w:val="0"/>
                <w:szCs w:val="21"/>
              </w:rPr>
            </w:pPr>
            <w:r>
              <w:rPr>
                <w:rFonts w:hint="eastAsia" w:ascii="宋体" w:hAnsi="宋体" w:eastAsia="宋体" w:cs="宋体"/>
                <w:b/>
                <w:bCs/>
                <w:color w:val="auto"/>
                <w:kern w:val="0"/>
                <w:szCs w:val="21"/>
              </w:rPr>
              <w:t>二、益拓矿山</w:t>
            </w:r>
          </w:p>
        </w:tc>
        <w:tc>
          <w:tcPr>
            <w:tcW w:w="7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DFD007">
            <w:pPr>
              <w:widowControl/>
              <w:adjustRightInd w:val="0"/>
              <w:snapToGrid w:val="0"/>
              <w:spacing w:line="240" w:lineRule="atLeast"/>
              <w:jc w:val="left"/>
              <w:rPr>
                <w:rFonts w:hint="eastAsia" w:ascii="宋体" w:hAnsi="宋体" w:eastAsia="宋体" w:cs="宋体"/>
                <w:color w:val="auto"/>
                <w:kern w:val="0"/>
                <w:szCs w:val="21"/>
              </w:rPr>
            </w:pPr>
          </w:p>
        </w:tc>
      </w:tr>
      <w:tr w14:paraId="21832ACC">
        <w:tblPrEx>
          <w:tblCellMar>
            <w:top w:w="0" w:type="dxa"/>
            <w:left w:w="108" w:type="dxa"/>
            <w:bottom w:w="0" w:type="dxa"/>
            <w:right w:w="108" w:type="dxa"/>
          </w:tblCellMar>
        </w:tblPrEx>
        <w:trPr>
          <w:jc w:val="center"/>
        </w:trPr>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2DDE6F">
            <w:pPr>
              <w:widowControl/>
              <w:adjustRightInd w:val="0"/>
              <w:snapToGrid w:val="0"/>
              <w:spacing w:line="240" w:lineRule="atLeast"/>
              <w:jc w:val="left"/>
              <w:rPr>
                <w:rFonts w:hint="eastAsia" w:ascii="宋体" w:hAnsi="宋体" w:eastAsia="宋体" w:cs="宋体"/>
                <w:b/>
                <w:bCs/>
                <w:color w:val="auto"/>
                <w:kern w:val="0"/>
                <w:szCs w:val="21"/>
              </w:rPr>
            </w:pPr>
            <w:r>
              <w:rPr>
                <w:rFonts w:hint="eastAsia" w:ascii="宋体" w:hAnsi="宋体" w:eastAsia="宋体" w:cs="宋体"/>
                <w:b/>
                <w:bCs/>
                <w:color w:val="auto"/>
                <w:kern w:val="0"/>
                <w:szCs w:val="21"/>
              </w:rPr>
              <w:t>序号</w:t>
            </w:r>
          </w:p>
        </w:tc>
        <w:tc>
          <w:tcPr>
            <w:tcW w:w="595" w:type="pct"/>
            <w:tcBorders>
              <w:top w:val="single" w:color="auto" w:sz="4" w:space="0"/>
              <w:left w:val="nil"/>
              <w:bottom w:val="single" w:color="auto" w:sz="4" w:space="0"/>
              <w:right w:val="single" w:color="auto" w:sz="4" w:space="0"/>
            </w:tcBorders>
            <w:shd w:val="clear" w:color="auto" w:fill="auto"/>
            <w:vAlign w:val="center"/>
          </w:tcPr>
          <w:p w14:paraId="64EDB7DF">
            <w:pPr>
              <w:widowControl/>
              <w:adjustRightInd w:val="0"/>
              <w:snapToGrid w:val="0"/>
              <w:spacing w:line="240" w:lineRule="atLeast"/>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服务名称</w:t>
            </w:r>
          </w:p>
        </w:tc>
        <w:tc>
          <w:tcPr>
            <w:tcW w:w="2595" w:type="pct"/>
            <w:tcBorders>
              <w:top w:val="single" w:color="auto" w:sz="4" w:space="0"/>
              <w:left w:val="nil"/>
              <w:bottom w:val="single" w:color="auto" w:sz="4" w:space="0"/>
              <w:right w:val="single" w:color="auto" w:sz="4" w:space="0"/>
            </w:tcBorders>
            <w:shd w:val="clear" w:color="auto" w:fill="auto"/>
            <w:vAlign w:val="center"/>
          </w:tcPr>
          <w:p w14:paraId="71F9888B">
            <w:pPr>
              <w:widowControl/>
              <w:adjustRightInd w:val="0"/>
              <w:snapToGrid w:val="0"/>
              <w:spacing w:line="240" w:lineRule="atLeast"/>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服务内容及要求</w:t>
            </w:r>
          </w:p>
        </w:tc>
        <w:tc>
          <w:tcPr>
            <w:tcW w:w="262" w:type="pct"/>
            <w:tcBorders>
              <w:top w:val="nil"/>
              <w:left w:val="nil"/>
              <w:bottom w:val="single" w:color="auto" w:sz="4" w:space="0"/>
              <w:right w:val="single" w:color="auto" w:sz="4" w:space="0"/>
            </w:tcBorders>
            <w:shd w:val="clear" w:color="auto" w:fill="auto"/>
            <w:vAlign w:val="center"/>
          </w:tcPr>
          <w:p w14:paraId="37167993">
            <w:pPr>
              <w:widowControl/>
              <w:adjustRightInd w:val="0"/>
              <w:snapToGrid w:val="0"/>
              <w:spacing w:line="240" w:lineRule="atLeast"/>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单位</w:t>
            </w:r>
          </w:p>
        </w:tc>
        <w:tc>
          <w:tcPr>
            <w:tcW w:w="259" w:type="pct"/>
            <w:tcBorders>
              <w:top w:val="nil"/>
              <w:left w:val="nil"/>
              <w:bottom w:val="single" w:color="auto" w:sz="4" w:space="0"/>
              <w:right w:val="single" w:color="auto" w:sz="4" w:space="0"/>
            </w:tcBorders>
            <w:shd w:val="clear" w:color="auto" w:fill="auto"/>
            <w:noWrap/>
            <w:vAlign w:val="center"/>
          </w:tcPr>
          <w:p w14:paraId="49728AE1">
            <w:pPr>
              <w:widowControl/>
              <w:adjustRightInd w:val="0"/>
              <w:snapToGrid w:val="0"/>
              <w:spacing w:line="240" w:lineRule="atLeast"/>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数量</w:t>
            </w:r>
          </w:p>
        </w:tc>
        <w:tc>
          <w:tcPr>
            <w:tcW w:w="742" w:type="pct"/>
            <w:tcBorders>
              <w:top w:val="nil"/>
              <w:left w:val="nil"/>
              <w:bottom w:val="single" w:color="auto" w:sz="4" w:space="0"/>
              <w:right w:val="single" w:color="auto" w:sz="4" w:space="0"/>
            </w:tcBorders>
            <w:shd w:val="clear" w:color="auto" w:fill="auto"/>
            <w:noWrap/>
            <w:vAlign w:val="center"/>
          </w:tcPr>
          <w:p w14:paraId="2B46A275">
            <w:pPr>
              <w:widowControl/>
              <w:adjustRightInd w:val="0"/>
              <w:snapToGrid w:val="0"/>
              <w:spacing w:line="240" w:lineRule="atLeast"/>
              <w:jc w:val="center"/>
              <w:rPr>
                <w:rFonts w:hint="eastAsia" w:ascii="宋体" w:hAnsi="宋体" w:eastAsia="宋体" w:cs="宋体"/>
                <w:b/>
                <w:bCs/>
                <w:color w:val="auto"/>
                <w:kern w:val="0"/>
                <w:szCs w:val="21"/>
              </w:rPr>
            </w:pPr>
          </w:p>
        </w:tc>
      </w:tr>
      <w:tr w14:paraId="460E7EC6">
        <w:tblPrEx>
          <w:tblCellMar>
            <w:top w:w="0" w:type="dxa"/>
            <w:left w:w="108" w:type="dxa"/>
            <w:bottom w:w="0" w:type="dxa"/>
            <w:right w:w="108" w:type="dxa"/>
          </w:tblCellMar>
        </w:tblPrEx>
        <w:trPr>
          <w:jc w:val="center"/>
        </w:trPr>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D674B0">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595" w:type="pct"/>
            <w:tcBorders>
              <w:top w:val="single" w:color="auto" w:sz="4" w:space="0"/>
              <w:left w:val="nil"/>
              <w:bottom w:val="single" w:color="auto" w:sz="4" w:space="0"/>
              <w:right w:val="single" w:color="auto" w:sz="4" w:space="0"/>
            </w:tcBorders>
            <w:shd w:val="clear" w:color="auto" w:fill="auto"/>
            <w:vAlign w:val="center"/>
          </w:tcPr>
          <w:p w14:paraId="49A902FF">
            <w:pPr>
              <w:widowControl/>
              <w:adjustRightInd w:val="0"/>
              <w:snapToGrid w:val="0"/>
              <w:spacing w:line="240" w:lineRule="atLeas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销售监管前端</w:t>
            </w:r>
            <w:r>
              <w:rPr>
                <w:rFonts w:hint="eastAsia" w:ascii="宋体" w:hAnsi="宋体" w:eastAsia="宋体" w:cs="宋体"/>
                <w:color w:val="auto"/>
                <w:kern w:val="0"/>
                <w:sz w:val="21"/>
                <w:szCs w:val="21"/>
              </w:rPr>
              <w:t>服务</w:t>
            </w:r>
          </w:p>
        </w:tc>
        <w:tc>
          <w:tcPr>
            <w:tcW w:w="2595" w:type="pct"/>
            <w:tcBorders>
              <w:top w:val="single" w:color="auto" w:sz="4" w:space="0"/>
              <w:left w:val="single" w:color="auto" w:sz="4" w:space="0"/>
              <w:bottom w:val="single" w:color="auto" w:sz="4" w:space="0"/>
              <w:right w:val="single" w:color="auto" w:sz="4" w:space="0"/>
            </w:tcBorders>
            <w:vAlign w:val="center"/>
          </w:tcPr>
          <w:p w14:paraId="27F61C95">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一、服务要求：</w:t>
            </w:r>
            <w:r>
              <w:rPr>
                <w:rFonts w:hint="eastAsia" w:ascii="宋体" w:hAnsi="宋体" w:eastAsia="宋体" w:cs="宋体"/>
                <w:color w:val="auto"/>
                <w:sz w:val="21"/>
                <w:szCs w:val="21"/>
              </w:rPr>
              <w:t>在矿山地磅处部署提供矿业监管服务，包括：称台数据采集、车辆身份识别、车牌识别、车辆视频图片取证、货物视频图片取证、称台防称重作弊、设备自检、故障告警等服务，并把相关信息实时回传至云平台。</w:t>
            </w:r>
          </w:p>
          <w:p w14:paraId="0BD0B59A">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二、功能要求：运输车辆空车进入企业时，车辆上地磅称重，系统自动检测车辆上磅，提示磅房管理员车辆上称台称重，通过车牌摄像机识别车辆身份，通过多次采集的地磅数据和称重防作弊触发装置判定地磅数据的稳定性和车辆是否完全上称台，获取相应地磅实时数据，分析确认称量类型（皮重），车辆的实时皮重数据上传中心；运输车辆完成装载出企业时，车辆再次上地磅称重，系统自动检测车辆上磅，提示磅房管理员车辆上称台称重，通过车牌摄像机或车辆身份识别装置识别车辆身份，通过多次采集的地磅数据和称重防作弊触发装置判定地磅数据的稳定性和车辆是否完全上称台，获取相应地磅实时数据，选择称重矿产品类型，分析确认称量类型（毛重），系统计算车辆净重，生成销售数据：销售企业、销售时间、销售种类、销售量、运输车辆，销售数据上传中心。</w:t>
            </w:r>
          </w:p>
          <w:p w14:paraId="6E1DEE91">
            <w:pPr>
              <w:widowControl/>
              <w:adjustRightInd w:val="0"/>
              <w:snapToGrid w:val="0"/>
              <w:spacing w:line="240" w:lineRule="atLeast"/>
              <w:jc w:val="left"/>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三、服务技术指标：</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（一）销售控制模块（远程监控终端）</w:t>
            </w:r>
            <w:r>
              <w:rPr>
                <w:rFonts w:hint="eastAsia" w:ascii="宋体" w:hAnsi="宋体" w:eastAsia="宋体" w:cs="宋体"/>
                <w:b/>
                <w:bCs/>
                <w:color w:val="auto"/>
                <w:kern w:val="0"/>
                <w:sz w:val="21"/>
                <w:szCs w:val="21"/>
              </w:rPr>
              <w:t>（2个点位）</w:t>
            </w:r>
          </w:p>
          <w:p w14:paraId="583759A1">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1、断电续航时间大于24小时；（市电掉电后能正常持续工作24小时以上）</w:t>
            </w:r>
          </w:p>
          <w:p w14:paraId="4E7F11DF">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2、存储容量大于200万条；</w:t>
            </w:r>
          </w:p>
          <w:p w14:paraId="5AAC6DA5">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3、配备非接触射频读写模块、7寸全真彩触控显示模块、视频模块、防浪涌保护模块、漏电保护模块、信号磁隔离模块、硬件看门狗模块、RTC实时时钟模块、实时工作状态检测和告警模块（柜门状态、供电状态、网络状态）；</w:t>
            </w:r>
          </w:p>
          <w:p w14:paraId="61DC529E">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4、支持硬件加密、异常复位、有线通讯；支持RFID车辆身份识别、称台数据接入、语音操作提示、称台车辆定位装置接入、道闸控制、红绿灯控制、补光灯控制；</w:t>
            </w:r>
          </w:p>
          <w:p w14:paraId="3C5EBF14">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5、绝缘电阻≥10MΩ，电器强度能承受1500V电压，泄露电流&lt;3.5mA，接地电阻&lt;0.1Ω。</w:t>
            </w:r>
          </w:p>
          <w:p w14:paraId="3CE7A4D5">
            <w:pPr>
              <w:widowControl/>
              <w:adjustRightInd w:val="0"/>
              <w:snapToGrid w:val="0"/>
              <w:spacing w:line="240" w:lineRule="atLeast"/>
              <w:jc w:val="left"/>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（二）车辆身份识别模块</w:t>
            </w:r>
            <w:r>
              <w:rPr>
                <w:rFonts w:hint="eastAsia" w:ascii="宋体" w:hAnsi="宋体" w:eastAsia="宋体" w:cs="宋体"/>
                <w:b/>
                <w:bCs/>
                <w:color w:val="auto"/>
                <w:kern w:val="0"/>
                <w:sz w:val="21"/>
                <w:szCs w:val="21"/>
              </w:rPr>
              <w:t>（2个点位）</w:t>
            </w:r>
          </w:p>
          <w:p w14:paraId="75D298F1">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1、工作频率920～925MHz，用于识别车辆身份；</w:t>
            </w:r>
          </w:p>
          <w:p w14:paraId="0A5615CE">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2、读距 0～15 米；</w:t>
            </w:r>
          </w:p>
          <w:p w14:paraId="2E4D389A">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3、支持协议：ISO18000-6B，ISO18000-6C（EPC GEN2）；</w:t>
            </w:r>
          </w:p>
          <w:p w14:paraId="3634E4A0">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4、具有多协议兼容、读取速率快、多标签识读、防水型外观设计。</w:t>
            </w:r>
          </w:p>
          <w:p w14:paraId="7C402FDF">
            <w:pPr>
              <w:widowControl/>
              <w:adjustRightInd w:val="0"/>
              <w:snapToGrid w:val="0"/>
              <w:spacing w:line="240" w:lineRule="atLeast"/>
              <w:jc w:val="left"/>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（三）车牌识别模块（智能出入口摄像机）</w:t>
            </w:r>
            <w:r>
              <w:rPr>
                <w:rFonts w:hint="eastAsia" w:ascii="宋体" w:hAnsi="宋体" w:eastAsia="宋体" w:cs="宋体"/>
                <w:b/>
                <w:bCs/>
                <w:color w:val="auto"/>
                <w:kern w:val="0"/>
                <w:sz w:val="21"/>
                <w:szCs w:val="21"/>
              </w:rPr>
              <w:t>（2个点位）</w:t>
            </w:r>
          </w:p>
          <w:p w14:paraId="32F440EA">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1、400万像素1/1.8"CMOS传感器；最大分辨率2688×1520；</w:t>
            </w:r>
          </w:p>
          <w:p w14:paraId="797B8069">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2、快门速度：1/25s~1/10000s（可手动或自动调节）；</w:t>
            </w:r>
          </w:p>
          <w:p w14:paraId="11A4C3C8">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3、支持LED补光；</w:t>
            </w:r>
          </w:p>
          <w:p w14:paraId="30F15511">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4</w:t>
            </w:r>
            <w:r>
              <w:rPr>
                <w:rFonts w:hint="eastAsia" w:ascii="宋体" w:hAnsi="宋体" w:eastAsia="宋体" w:cs="宋体"/>
                <w:color w:val="auto"/>
                <w:kern w:val="0"/>
                <w:sz w:val="21"/>
                <w:szCs w:val="21"/>
              </w:rPr>
              <w:t>、支持车牌识别功能，车牌识别率≥99%；</w:t>
            </w:r>
          </w:p>
          <w:p w14:paraId="2184358E">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5、车型、车标、车系、车身颜色、车脸特征、无牌车等识别率≥95；</w:t>
            </w:r>
          </w:p>
          <w:p w14:paraId="65A35F18">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6、支持视频结构化；</w:t>
            </w:r>
          </w:p>
          <w:p w14:paraId="038584C3">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7、IP66防尘防水等级；</w:t>
            </w:r>
          </w:p>
          <w:p w14:paraId="3F182BEE">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8、支持本地TF卡存储，最大支持128G；</w:t>
            </w:r>
          </w:p>
          <w:p w14:paraId="0F27C5B8">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9、支持抓拍时间和抓拍地点图片显示叠加；支持抓拍图片命名规则自定义；支持RS485接口指令触发抓拍。</w:t>
            </w:r>
          </w:p>
          <w:p w14:paraId="3E5DB109">
            <w:pPr>
              <w:widowControl/>
              <w:adjustRightInd w:val="0"/>
              <w:snapToGrid w:val="0"/>
              <w:spacing w:line="240" w:lineRule="atLeast"/>
              <w:jc w:val="left"/>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（四）货物识别模块（网络摄像机）</w:t>
            </w:r>
            <w:r>
              <w:rPr>
                <w:rFonts w:hint="eastAsia" w:ascii="宋体" w:hAnsi="宋体" w:eastAsia="宋体" w:cs="宋体"/>
                <w:b/>
                <w:bCs/>
                <w:color w:val="auto"/>
                <w:kern w:val="0"/>
                <w:sz w:val="21"/>
                <w:szCs w:val="21"/>
              </w:rPr>
              <w:t>（2个点位）</w:t>
            </w:r>
          </w:p>
          <w:p w14:paraId="099D7FD0">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1、视频流高于400万像素，最大分辨率2688×1520；</w:t>
            </w:r>
          </w:p>
          <w:p w14:paraId="7269E5FF">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2、最低照度：彩色0.002 lux，黑白0.0002 lux；</w:t>
            </w:r>
          </w:p>
          <w:p w14:paraId="758FAD8C">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3、红外补光距离不小于60米，暖光补光距离不小于30米；</w:t>
            </w:r>
          </w:p>
          <w:p w14:paraId="5D573CAE">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4、快门速度：1/3s~1/100000s；</w:t>
            </w:r>
          </w:p>
          <w:p w14:paraId="76FBA8AC">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5、支持2.7mm～13.5mm变焦；</w:t>
            </w:r>
          </w:p>
          <w:p w14:paraId="73B5F62C">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6、支持H.265、H.264、MJPEG视频编码格式；</w:t>
            </w:r>
          </w:p>
          <w:p w14:paraId="307AEF22">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7、IP67防尘防水等级；</w:t>
            </w:r>
          </w:p>
          <w:p w14:paraId="7E48BA60">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8、支持本地Micro SD卡存储，最大支持512G；</w:t>
            </w:r>
          </w:p>
          <w:p w14:paraId="2B2E3EB9">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9、支持抓拍时间和抓拍地点图片显示叠加；支持抓拍图片命名规则自定义；支持RS485接口指令触发抓拍。</w:t>
            </w:r>
          </w:p>
          <w:p w14:paraId="1FAF5034">
            <w:pPr>
              <w:widowControl/>
              <w:adjustRightInd w:val="0"/>
              <w:snapToGrid w:val="0"/>
              <w:spacing w:line="240" w:lineRule="atLeast"/>
              <w:jc w:val="left"/>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（五）室内监控模块</w:t>
            </w:r>
            <w:r>
              <w:rPr>
                <w:rFonts w:hint="eastAsia" w:ascii="宋体" w:hAnsi="宋体" w:eastAsia="宋体" w:cs="宋体"/>
                <w:b/>
                <w:bCs/>
                <w:color w:val="auto"/>
                <w:kern w:val="0"/>
                <w:sz w:val="21"/>
                <w:szCs w:val="21"/>
              </w:rPr>
              <w:t>（1个点位）</w:t>
            </w:r>
          </w:p>
          <w:p w14:paraId="14B400FD">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1、400万像素1/3"CMOS传感器；最大分辨率2688×1520；</w:t>
            </w:r>
          </w:p>
          <w:p w14:paraId="4B6D7372">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2、最低照度彩色：0.002 lx，黑白：0.0002 lx；</w:t>
            </w:r>
          </w:p>
          <w:p w14:paraId="3280E70C">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3、红外补光距离不小于30米；</w:t>
            </w:r>
          </w:p>
          <w:p w14:paraId="354FEC4E">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4、支持H.264、H.265、MJPEG视频编码格式；</w:t>
            </w:r>
          </w:p>
          <w:p w14:paraId="4A0653A9">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5、IP67防尘防水等级；</w:t>
            </w:r>
          </w:p>
          <w:p w14:paraId="63E1914E">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6、支持本地Micro SD卡存储,最大支持256G。</w:t>
            </w:r>
          </w:p>
          <w:p w14:paraId="19D3142C">
            <w:pPr>
              <w:widowControl/>
              <w:adjustRightInd w:val="0"/>
              <w:snapToGrid w:val="0"/>
              <w:spacing w:line="240" w:lineRule="atLeast"/>
              <w:jc w:val="left"/>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（六）称台防作弊触发装置</w:t>
            </w:r>
            <w:r>
              <w:rPr>
                <w:rFonts w:hint="eastAsia" w:ascii="宋体" w:hAnsi="宋体" w:eastAsia="宋体" w:cs="宋体"/>
                <w:b/>
                <w:bCs/>
                <w:color w:val="auto"/>
                <w:kern w:val="0"/>
                <w:sz w:val="21"/>
                <w:szCs w:val="21"/>
              </w:rPr>
              <w:t>（8个点位）</w:t>
            </w:r>
          </w:p>
          <w:p w14:paraId="17B5DFB9">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1、材质：铁板、渡锌、喷漆，漆为全段红白相间，做警示用，铁板厚度3mm，立柱形，单边长120mm。</w:t>
            </w:r>
          </w:p>
          <w:p w14:paraId="31D3F7D2">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抗强光达50，000LUX，内置自动调节强光过滤系统，避免受强光或汽车灯光的影响；当遇到浓雾或天气恶劣时探测器会自动增强灵敏度（AGC电路）；内置光学瞄准镜，便于调试；精密光学聚焦镜技术以及总线控制技术；具有高水准的抗RFI/EMI能力；</w:t>
            </w:r>
          </w:p>
          <w:p w14:paraId="3CAACB99">
            <w:pPr>
              <w:widowControl/>
              <w:adjustRightInd w:val="0"/>
              <w:snapToGrid w:val="0"/>
              <w:spacing w:line="240" w:lineRule="atLeas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3、防雷击电路设计；专业抗干扰光学罩</w:t>
            </w:r>
            <w:r>
              <w:rPr>
                <w:rFonts w:hint="eastAsia" w:ascii="宋体" w:hAnsi="宋体" w:eastAsia="宋体" w:cs="宋体"/>
                <w:color w:val="auto"/>
                <w:kern w:val="0"/>
                <w:sz w:val="21"/>
                <w:szCs w:val="21"/>
                <w:lang w:eastAsia="zh-CN"/>
              </w:rPr>
              <w:t>；</w:t>
            </w:r>
          </w:p>
          <w:p w14:paraId="36562613">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4、车辆身份盘，50张。</w:t>
            </w:r>
          </w:p>
        </w:tc>
        <w:tc>
          <w:tcPr>
            <w:tcW w:w="262" w:type="pct"/>
            <w:tcBorders>
              <w:top w:val="single" w:color="auto" w:sz="4" w:space="0"/>
              <w:left w:val="single" w:color="auto" w:sz="4" w:space="0"/>
              <w:bottom w:val="single" w:color="auto" w:sz="4" w:space="0"/>
              <w:right w:val="single" w:color="auto" w:sz="4" w:space="0"/>
            </w:tcBorders>
            <w:vAlign w:val="center"/>
          </w:tcPr>
          <w:p w14:paraId="687CAADD">
            <w:pPr>
              <w:widowControl/>
              <w:adjustRightInd w:val="0"/>
              <w:snapToGrid w:val="0"/>
              <w:spacing w:line="240" w:lineRule="atLeast"/>
              <w:rPr>
                <w:rFonts w:hint="eastAsia" w:ascii="宋体" w:hAnsi="宋体" w:eastAsia="宋体" w:cs="宋体"/>
                <w:color w:val="auto"/>
                <w:kern w:val="0"/>
                <w:szCs w:val="21"/>
              </w:rPr>
            </w:pPr>
            <w:r>
              <w:rPr>
                <w:rFonts w:hint="eastAsia" w:ascii="宋体" w:hAnsi="宋体" w:eastAsia="宋体" w:cs="宋体"/>
                <w:color w:val="auto"/>
                <w:kern w:val="0"/>
                <w:szCs w:val="21"/>
              </w:rPr>
              <w:t>项</w:t>
            </w:r>
          </w:p>
        </w:tc>
        <w:tc>
          <w:tcPr>
            <w:tcW w:w="259" w:type="pct"/>
            <w:tcBorders>
              <w:top w:val="single" w:color="auto" w:sz="4" w:space="0"/>
              <w:left w:val="single" w:color="auto" w:sz="4" w:space="0"/>
              <w:bottom w:val="single" w:color="auto" w:sz="4" w:space="0"/>
              <w:right w:val="single" w:color="auto" w:sz="4" w:space="0"/>
            </w:tcBorders>
            <w:noWrap/>
            <w:vAlign w:val="center"/>
          </w:tcPr>
          <w:p w14:paraId="60A89C07">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742" w:type="pct"/>
            <w:tcBorders>
              <w:top w:val="single" w:color="auto" w:sz="4" w:space="0"/>
              <w:left w:val="single" w:color="auto" w:sz="4" w:space="0"/>
              <w:bottom w:val="single" w:color="auto" w:sz="4" w:space="0"/>
              <w:right w:val="single" w:color="auto" w:sz="4" w:space="0"/>
            </w:tcBorders>
            <w:noWrap/>
            <w:vAlign w:val="center"/>
          </w:tcPr>
          <w:p w14:paraId="24C15DB2">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468550</w:t>
            </w:r>
          </w:p>
        </w:tc>
      </w:tr>
      <w:tr w14:paraId="4B8B2288">
        <w:tblPrEx>
          <w:tblCellMar>
            <w:top w:w="0" w:type="dxa"/>
            <w:left w:w="108" w:type="dxa"/>
            <w:bottom w:w="0" w:type="dxa"/>
            <w:right w:w="108" w:type="dxa"/>
          </w:tblCellMar>
        </w:tblPrEx>
        <w:trPr>
          <w:jc w:val="center"/>
        </w:trPr>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CC7057">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595" w:type="pct"/>
            <w:tcBorders>
              <w:top w:val="single" w:color="auto" w:sz="4" w:space="0"/>
              <w:left w:val="nil"/>
              <w:bottom w:val="single" w:color="auto" w:sz="4" w:space="0"/>
              <w:right w:val="single" w:color="auto" w:sz="4" w:space="0"/>
            </w:tcBorders>
            <w:shd w:val="clear" w:color="auto" w:fill="auto"/>
            <w:vAlign w:val="center"/>
          </w:tcPr>
          <w:p w14:paraId="6CF6412D">
            <w:pPr>
              <w:widowControl/>
              <w:adjustRightInd w:val="0"/>
              <w:snapToGrid w:val="0"/>
              <w:spacing w:line="240" w:lineRule="atLeas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防逃逸监管前端服务</w:t>
            </w:r>
          </w:p>
        </w:tc>
        <w:tc>
          <w:tcPr>
            <w:tcW w:w="2595" w:type="pct"/>
            <w:tcBorders>
              <w:top w:val="single" w:color="auto" w:sz="4" w:space="0"/>
              <w:left w:val="single" w:color="auto" w:sz="4" w:space="0"/>
              <w:bottom w:val="single" w:color="auto" w:sz="4" w:space="0"/>
              <w:right w:val="single" w:color="auto" w:sz="4" w:space="0"/>
            </w:tcBorders>
            <w:vAlign w:val="center"/>
          </w:tcPr>
          <w:p w14:paraId="3C8ED1F8">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一、服务要求：</w:t>
            </w:r>
            <w:r>
              <w:rPr>
                <w:rFonts w:hint="eastAsia" w:ascii="宋体" w:hAnsi="宋体" w:eastAsia="宋体" w:cs="宋体"/>
                <w:color w:val="auto"/>
                <w:sz w:val="21"/>
                <w:szCs w:val="21"/>
              </w:rPr>
              <w:t>在矿山企业的进出必经道路提供车辆通过检测、</w:t>
            </w:r>
            <w:r>
              <w:rPr>
                <w:rFonts w:hint="eastAsia" w:ascii="宋体" w:hAnsi="宋体" w:eastAsia="宋体" w:cs="宋体"/>
                <w:color w:val="auto"/>
                <w:kern w:val="0"/>
                <w:sz w:val="21"/>
                <w:szCs w:val="21"/>
              </w:rPr>
              <w:t>车辆行驶方向判断、车辆车型判断、逃逸数据分析、设备工作状态自检等</w:t>
            </w:r>
            <w:r>
              <w:rPr>
                <w:rFonts w:hint="eastAsia" w:ascii="宋体" w:hAnsi="宋体" w:eastAsia="宋体" w:cs="宋体"/>
                <w:color w:val="auto"/>
                <w:sz w:val="21"/>
                <w:szCs w:val="21"/>
              </w:rPr>
              <w:t>服务，并把相关信息实时回传至云平台。</w:t>
            </w:r>
          </w:p>
          <w:p w14:paraId="350A29DD">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二、功能要求：通过防逃逸触发装置检测车辆通过，判断车辆行驶方向和车型，仅对出企业的大型运输车辆生效，通过抓拍摄像机或车辆身份识别装置识别运输车辆身份，抓拍车头照片，分析运输车辆是否在出企业时正常称重，对出矿山未正常称重的承运车辆进行告警，生成逃逸数据：逃逸时间、逃逸地点、逃逸车辆、逃逸照片，逃逸数据上传中心。</w:t>
            </w:r>
          </w:p>
          <w:p w14:paraId="66F43DF8">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三、服务技术指标：</w:t>
            </w:r>
          </w:p>
          <w:p w14:paraId="048346BE">
            <w:pPr>
              <w:widowControl/>
              <w:adjustRightInd w:val="0"/>
              <w:snapToGrid w:val="0"/>
              <w:spacing w:line="240" w:lineRule="atLeast"/>
              <w:jc w:val="left"/>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（一）防逃逸控制系统（偷逃遁监控装置）</w:t>
            </w:r>
            <w:r>
              <w:rPr>
                <w:rFonts w:hint="eastAsia" w:ascii="宋体" w:hAnsi="宋体" w:eastAsia="宋体" w:cs="宋体"/>
                <w:b/>
                <w:bCs/>
                <w:color w:val="auto"/>
                <w:kern w:val="0"/>
                <w:sz w:val="21"/>
                <w:szCs w:val="21"/>
              </w:rPr>
              <w:t>（1个点位）</w:t>
            </w:r>
          </w:p>
          <w:p w14:paraId="78EE5E99">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1、配备视频模块、车辆身份识别模块、车辆检测模块、夜视补光模块、RTC实时时钟模块；</w:t>
            </w:r>
          </w:p>
          <w:p w14:paraId="6DAA0E1B">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2、电压：AC140V-260V；工作温度：﹣10℃～+60℃；</w:t>
            </w:r>
          </w:p>
          <w:p w14:paraId="0235EB15">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3、冷却方式：强制空气循环；</w:t>
            </w:r>
          </w:p>
          <w:p w14:paraId="4690910F">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4、断电续航时间大于48小时；</w:t>
            </w:r>
          </w:p>
          <w:p w14:paraId="1D0A6F0C">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5、存储容量大于200万条；</w:t>
            </w:r>
          </w:p>
          <w:p w14:paraId="578398C0">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6、绝缘电阻≥50MΩ；泄漏电流&lt;0.75mA，接地电阻&lt;0.1Ω。</w:t>
            </w:r>
          </w:p>
          <w:p w14:paraId="77500CCD">
            <w:pPr>
              <w:widowControl/>
              <w:adjustRightInd w:val="0"/>
              <w:snapToGrid w:val="0"/>
              <w:spacing w:line="240" w:lineRule="atLeast"/>
              <w:jc w:val="left"/>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（二）车辆身份识别模块</w:t>
            </w:r>
            <w:r>
              <w:rPr>
                <w:rFonts w:hint="eastAsia" w:ascii="宋体" w:hAnsi="宋体" w:eastAsia="宋体" w:cs="宋体"/>
                <w:b/>
                <w:bCs/>
                <w:color w:val="auto"/>
                <w:kern w:val="0"/>
                <w:sz w:val="21"/>
                <w:szCs w:val="21"/>
              </w:rPr>
              <w:t>（1个点位）</w:t>
            </w:r>
          </w:p>
          <w:p w14:paraId="7D9A1223">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1、工作频率920～925MHz，用于识别车辆身份；</w:t>
            </w:r>
          </w:p>
          <w:p w14:paraId="6A16CCA9">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2、读距 0～15 米；</w:t>
            </w:r>
          </w:p>
          <w:p w14:paraId="144442A2">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3、支持协议：ISO18000-6B，ISO18000-6C（EPC GEN2）；</w:t>
            </w:r>
          </w:p>
          <w:p w14:paraId="16869D63">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4、具有多协议兼容、读取速率快、多标签识读、防水型外观设计。</w:t>
            </w:r>
          </w:p>
          <w:p w14:paraId="00D4A106">
            <w:pPr>
              <w:widowControl/>
              <w:adjustRightInd w:val="0"/>
              <w:snapToGrid w:val="0"/>
              <w:spacing w:line="240" w:lineRule="atLeast"/>
              <w:jc w:val="left"/>
              <w:rPr>
                <w:rFonts w:hint="eastAsia" w:ascii="宋体" w:hAnsi="宋体" w:eastAsia="宋体" w:cs="宋体"/>
                <w:b/>
                <w:bCs/>
                <w:color w:val="auto"/>
                <w:sz w:val="21"/>
                <w:szCs w:val="21"/>
              </w:rPr>
            </w:pPr>
            <w:r>
              <w:rPr>
                <w:rFonts w:hint="eastAsia" w:ascii="宋体" w:hAnsi="宋体" w:eastAsia="宋体" w:cs="宋体"/>
                <w:color w:val="auto"/>
                <w:sz w:val="21"/>
                <w:szCs w:val="21"/>
              </w:rPr>
              <w:t>（三）抓拍识别服务（一体化抓拍单元）</w:t>
            </w:r>
            <w:r>
              <w:rPr>
                <w:rFonts w:hint="eastAsia" w:ascii="宋体" w:hAnsi="宋体" w:eastAsia="宋体" w:cs="宋体"/>
                <w:b/>
                <w:bCs/>
                <w:color w:val="auto"/>
                <w:sz w:val="21"/>
                <w:szCs w:val="21"/>
              </w:rPr>
              <w:t>（1点位）</w:t>
            </w:r>
          </w:p>
          <w:p w14:paraId="356F3E75">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1、900万像素高清摄像机，满足GB35114-A级加密标准；</w:t>
            </w:r>
          </w:p>
          <w:p w14:paraId="00E18F0A">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2、包含高清一体化嵌入式摄像机、高清镜头、室外防护罩、网络信号防雷器、电源适配器等；</w:t>
            </w:r>
          </w:p>
          <w:p w14:paraId="226E1E3A">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3、图像传感器：1英寸GS-CMOS传感器；最大分辨率4096×2160；</w:t>
            </w:r>
          </w:p>
          <w:p w14:paraId="0AECF9F4">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4、最低照度彩色：0.001 lx，黑白:0.0001 lx；</w:t>
            </w:r>
          </w:p>
          <w:p w14:paraId="601EDC7F">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5、1/25s~1/25s~1/100000s（可手动或自动调节），支持单快门、双快门、三快门模式；</w:t>
            </w:r>
          </w:p>
          <w:p w14:paraId="7DC4AF4B">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6、支持H.265、H.264、MJPEG视频编码格式；</w:t>
            </w:r>
          </w:p>
          <w:p w14:paraId="2A828746">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7、支持人脸检测，主副驾驶人脸抠图；</w:t>
            </w:r>
          </w:p>
          <w:p w14:paraId="77DE53E6">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8、支持机动车驾驶员、非机动车驾驶员、行人人脸检测，人脸抠图；支持车牌识别功能，车牌识别率≥99%；支持车辆类型识别；支持车辆颜色识别；支持机动车违法抓拍，非机动车违法抓拍；支持支持车流量统计；支持视频结构化；</w:t>
            </w:r>
          </w:p>
          <w:p w14:paraId="2008DFCD">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9、IP66防尘防水等级；10、支持本地TF存储，最大支持256G；11、支持RS485接口指令触发抓拍；支持抓拍时间和抓拍地点图片显示叠加；支持抓拍图片命名规则自定义。</w:t>
            </w:r>
          </w:p>
          <w:p w14:paraId="48B11235">
            <w:pPr>
              <w:widowControl/>
              <w:adjustRightInd w:val="0"/>
              <w:snapToGrid w:val="0"/>
              <w:spacing w:line="240" w:lineRule="atLeast"/>
              <w:jc w:val="left"/>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（四）防逃逸触发装置</w:t>
            </w:r>
            <w:r>
              <w:rPr>
                <w:rFonts w:hint="eastAsia" w:ascii="宋体" w:hAnsi="宋体" w:eastAsia="宋体" w:cs="宋体"/>
                <w:b/>
                <w:bCs/>
                <w:color w:val="auto"/>
                <w:kern w:val="0"/>
                <w:sz w:val="21"/>
                <w:szCs w:val="21"/>
              </w:rPr>
              <w:t>（2个点位）</w:t>
            </w:r>
          </w:p>
          <w:p w14:paraId="1B60F9C0">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1、2.5米T型；</w:t>
            </w:r>
          </w:p>
          <w:p w14:paraId="24F53E79">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2、材质：铁板、渡锌、喷漆，漆为全段红白相间，做警示用，铁板厚度3mm，立柱形，单边长120mm。</w:t>
            </w:r>
          </w:p>
          <w:p w14:paraId="4BEAB5EB">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3、具备自检功能；抗强光达50，000LUX，内置自动调节强光过滤系统，避免受强光或汽车灯光的影响；当遇到浓雾或天气恶劣时探测器会自动增强灵敏度（AGC电路）；内置光学瞄准镜，便于调试；精密光学聚焦镜技术以及总线控制技术；具有高水准的抗RFI/EMI能力。</w:t>
            </w:r>
          </w:p>
        </w:tc>
        <w:tc>
          <w:tcPr>
            <w:tcW w:w="262" w:type="pct"/>
            <w:tcBorders>
              <w:top w:val="single" w:color="auto" w:sz="4" w:space="0"/>
              <w:left w:val="single" w:color="auto" w:sz="4" w:space="0"/>
              <w:bottom w:val="single" w:color="auto" w:sz="4" w:space="0"/>
              <w:right w:val="single" w:color="auto" w:sz="4" w:space="0"/>
            </w:tcBorders>
            <w:vAlign w:val="center"/>
          </w:tcPr>
          <w:p w14:paraId="52ACBA6A">
            <w:pPr>
              <w:widowControl/>
              <w:adjustRightInd w:val="0"/>
              <w:snapToGrid w:val="0"/>
              <w:spacing w:line="240" w:lineRule="atLeast"/>
              <w:rPr>
                <w:rFonts w:hint="eastAsia" w:ascii="宋体" w:hAnsi="宋体" w:eastAsia="宋体" w:cs="宋体"/>
                <w:color w:val="auto"/>
                <w:kern w:val="0"/>
                <w:szCs w:val="21"/>
              </w:rPr>
            </w:pPr>
            <w:r>
              <w:rPr>
                <w:rFonts w:hint="eastAsia" w:ascii="宋体" w:hAnsi="宋体" w:eastAsia="宋体" w:cs="宋体"/>
                <w:color w:val="auto"/>
                <w:kern w:val="0"/>
                <w:szCs w:val="21"/>
              </w:rPr>
              <w:t>项</w:t>
            </w:r>
          </w:p>
        </w:tc>
        <w:tc>
          <w:tcPr>
            <w:tcW w:w="259" w:type="pct"/>
            <w:tcBorders>
              <w:top w:val="single" w:color="auto" w:sz="4" w:space="0"/>
              <w:left w:val="single" w:color="auto" w:sz="4" w:space="0"/>
              <w:bottom w:val="single" w:color="auto" w:sz="4" w:space="0"/>
              <w:right w:val="single" w:color="auto" w:sz="4" w:space="0"/>
            </w:tcBorders>
            <w:noWrap/>
            <w:vAlign w:val="center"/>
          </w:tcPr>
          <w:p w14:paraId="1D657C01">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742" w:type="pct"/>
            <w:tcBorders>
              <w:top w:val="single" w:color="auto" w:sz="4" w:space="0"/>
              <w:left w:val="single" w:color="auto" w:sz="4" w:space="0"/>
              <w:bottom w:val="single" w:color="auto" w:sz="4" w:space="0"/>
              <w:right w:val="single" w:color="auto" w:sz="4" w:space="0"/>
            </w:tcBorders>
            <w:noWrap/>
            <w:vAlign w:val="center"/>
          </w:tcPr>
          <w:p w14:paraId="3242679A">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11838</w:t>
            </w:r>
          </w:p>
        </w:tc>
      </w:tr>
      <w:tr w14:paraId="59F82830">
        <w:tblPrEx>
          <w:tblCellMar>
            <w:top w:w="0" w:type="dxa"/>
            <w:left w:w="108" w:type="dxa"/>
            <w:bottom w:w="0" w:type="dxa"/>
            <w:right w:w="108" w:type="dxa"/>
          </w:tblCellMar>
        </w:tblPrEx>
        <w:trPr>
          <w:jc w:val="center"/>
        </w:trPr>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0767CD">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c>
          <w:tcPr>
            <w:tcW w:w="595" w:type="pct"/>
            <w:tcBorders>
              <w:top w:val="single" w:color="auto" w:sz="4" w:space="0"/>
              <w:left w:val="nil"/>
              <w:bottom w:val="single" w:color="auto" w:sz="4" w:space="0"/>
              <w:right w:val="single" w:color="auto" w:sz="4" w:space="0"/>
            </w:tcBorders>
            <w:shd w:val="clear" w:color="auto" w:fill="auto"/>
            <w:vAlign w:val="center"/>
          </w:tcPr>
          <w:p w14:paraId="65AAF3A5">
            <w:pPr>
              <w:adjustRightInd w:val="0"/>
              <w:snapToGrid w:val="0"/>
              <w:spacing w:line="240" w:lineRule="atLeast"/>
              <w:rPr>
                <w:rFonts w:hint="eastAsia" w:ascii="宋体" w:hAnsi="宋体" w:eastAsia="宋体" w:cs="宋体"/>
                <w:color w:val="auto"/>
                <w:kern w:val="0"/>
                <w:sz w:val="21"/>
                <w:szCs w:val="21"/>
              </w:rPr>
            </w:pPr>
            <w:r>
              <w:rPr>
                <w:rFonts w:hint="eastAsia" w:ascii="宋体" w:hAnsi="宋体" w:eastAsia="宋体" w:cs="宋体"/>
                <w:color w:val="auto"/>
                <w:sz w:val="21"/>
                <w:szCs w:val="21"/>
              </w:rPr>
              <w:t>信息汇集综合分析服务</w:t>
            </w:r>
          </w:p>
        </w:tc>
        <w:tc>
          <w:tcPr>
            <w:tcW w:w="2595" w:type="pct"/>
            <w:tcBorders>
              <w:top w:val="single" w:color="auto" w:sz="4" w:space="0"/>
              <w:left w:val="single" w:color="auto" w:sz="4" w:space="0"/>
              <w:bottom w:val="single" w:color="auto" w:sz="4" w:space="0"/>
              <w:right w:val="single" w:color="auto" w:sz="4" w:space="0"/>
            </w:tcBorders>
            <w:vAlign w:val="center"/>
          </w:tcPr>
          <w:p w14:paraId="59F6DFE8">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一、服务要求：</w:t>
            </w:r>
            <w:r>
              <w:rPr>
                <w:rFonts w:hint="eastAsia" w:ascii="宋体" w:hAnsi="宋体" w:eastAsia="宋体" w:cs="宋体"/>
                <w:color w:val="auto"/>
                <w:sz w:val="21"/>
                <w:szCs w:val="21"/>
              </w:rPr>
              <w:t>提供基于云架构</w:t>
            </w:r>
            <w:r>
              <w:rPr>
                <w:rFonts w:hint="eastAsia" w:ascii="宋体" w:hAnsi="宋体" w:eastAsia="宋体" w:cs="宋体"/>
                <w:color w:val="auto"/>
                <w:kern w:val="0"/>
                <w:sz w:val="21"/>
                <w:szCs w:val="21"/>
              </w:rPr>
              <w:t>综合指挥平台服务</w:t>
            </w:r>
            <w:r>
              <w:rPr>
                <w:rFonts w:hint="eastAsia" w:ascii="宋体" w:hAnsi="宋体" w:eastAsia="宋体" w:cs="宋体"/>
                <w:color w:val="auto"/>
                <w:sz w:val="21"/>
                <w:szCs w:val="21"/>
              </w:rPr>
              <w:t>，监测矿山企业销售数据，防止虚报、漏报。将企业申报数据与监管部门采集的实际数据进行比对，识别异常并触发预警。对矿山企业的进出运货车辆信息进行综合分析管控。</w:t>
            </w:r>
          </w:p>
          <w:p w14:paraId="7ED24229">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二、功能要求：</w:t>
            </w:r>
          </w:p>
          <w:p w14:paraId="3FA1D74B">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信息展示能力：综合指挥平台采用全球卫星定位、地理信息、视音频融合技术，将系统内管理的矿山企业、主要设备、用户中心在GIS地图上进行标注呈现，将各功能子模块生成的业务数据、视频数据、告警数据、设备运行数据进行多源融合、交叉印证，以“一张图”的形式直观呈现。同时具有各子模块快速切入的功能，保证监管效率，降低操作难度，将复杂的操作简单化，分散的功能集中化，实现可视化综合展示。</w:t>
            </w:r>
          </w:p>
          <w:p w14:paraId="5316B707">
            <w:pPr>
              <w:widowControl/>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sz w:val="21"/>
                <w:szCs w:val="21"/>
              </w:rPr>
              <w:t>基础数据管理能力：对企业、矿场、设备、运输车辆、矿种、阈值、用户、权限、角色等数据进行登记注册，并依据权限进行添加、修改、删除等操作。</w:t>
            </w:r>
          </w:p>
          <w:p w14:paraId="591398ED">
            <w:pPr>
              <w:widowControl/>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3、报表输出能力：依据选定条件，查询符合条件的业务数据，支持模糊查询，并可导出数据报表。</w:t>
            </w:r>
          </w:p>
        </w:tc>
        <w:tc>
          <w:tcPr>
            <w:tcW w:w="262" w:type="pct"/>
            <w:tcBorders>
              <w:top w:val="single" w:color="auto" w:sz="4" w:space="0"/>
              <w:left w:val="single" w:color="auto" w:sz="4" w:space="0"/>
              <w:bottom w:val="single" w:color="auto" w:sz="4" w:space="0"/>
              <w:right w:val="single" w:color="auto" w:sz="4" w:space="0"/>
            </w:tcBorders>
            <w:vAlign w:val="center"/>
          </w:tcPr>
          <w:p w14:paraId="19CA04F8">
            <w:pPr>
              <w:widowControl/>
              <w:adjustRightInd w:val="0"/>
              <w:snapToGrid w:val="0"/>
              <w:spacing w:line="240" w:lineRule="atLeast"/>
              <w:rPr>
                <w:rFonts w:hint="eastAsia" w:ascii="宋体" w:hAnsi="宋体" w:eastAsia="宋体" w:cs="宋体"/>
                <w:color w:val="auto"/>
                <w:kern w:val="0"/>
                <w:szCs w:val="21"/>
              </w:rPr>
            </w:pPr>
            <w:r>
              <w:rPr>
                <w:rFonts w:hint="eastAsia" w:ascii="宋体" w:hAnsi="宋体" w:eastAsia="宋体" w:cs="宋体"/>
                <w:color w:val="auto"/>
                <w:kern w:val="0"/>
                <w:szCs w:val="21"/>
              </w:rPr>
              <w:t>项</w:t>
            </w:r>
          </w:p>
        </w:tc>
        <w:tc>
          <w:tcPr>
            <w:tcW w:w="259" w:type="pct"/>
            <w:tcBorders>
              <w:top w:val="single" w:color="auto" w:sz="4" w:space="0"/>
              <w:left w:val="single" w:color="auto" w:sz="4" w:space="0"/>
              <w:bottom w:val="single" w:color="auto" w:sz="4" w:space="0"/>
              <w:right w:val="single" w:color="auto" w:sz="4" w:space="0"/>
            </w:tcBorders>
            <w:noWrap/>
            <w:vAlign w:val="center"/>
          </w:tcPr>
          <w:p w14:paraId="2ECD63D3">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742" w:type="pct"/>
            <w:tcBorders>
              <w:top w:val="single" w:color="auto" w:sz="4" w:space="0"/>
              <w:left w:val="single" w:color="auto" w:sz="4" w:space="0"/>
              <w:bottom w:val="single" w:color="auto" w:sz="4" w:space="0"/>
              <w:right w:val="single" w:color="auto" w:sz="4" w:space="0"/>
            </w:tcBorders>
            <w:noWrap/>
            <w:vAlign w:val="center"/>
          </w:tcPr>
          <w:p w14:paraId="554135F2">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w:t>
            </w:r>
          </w:p>
        </w:tc>
      </w:tr>
      <w:tr w14:paraId="0B4A3287">
        <w:tblPrEx>
          <w:tblCellMar>
            <w:top w:w="0" w:type="dxa"/>
            <w:left w:w="108" w:type="dxa"/>
            <w:bottom w:w="0" w:type="dxa"/>
            <w:right w:w="108" w:type="dxa"/>
          </w:tblCellMar>
        </w:tblPrEx>
        <w:trPr>
          <w:jc w:val="center"/>
        </w:trPr>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2F03CC">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4</w:t>
            </w:r>
          </w:p>
        </w:tc>
        <w:tc>
          <w:tcPr>
            <w:tcW w:w="595" w:type="pct"/>
            <w:tcBorders>
              <w:top w:val="single" w:color="auto" w:sz="4" w:space="0"/>
              <w:left w:val="nil"/>
              <w:bottom w:val="single" w:color="auto" w:sz="4" w:space="0"/>
              <w:right w:val="single" w:color="auto" w:sz="4" w:space="0"/>
            </w:tcBorders>
            <w:shd w:val="clear" w:color="auto" w:fill="auto"/>
            <w:vAlign w:val="center"/>
          </w:tcPr>
          <w:p w14:paraId="5A931886">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rPr>
              <w:t>网络传输服务</w:t>
            </w:r>
          </w:p>
        </w:tc>
        <w:tc>
          <w:tcPr>
            <w:tcW w:w="2595" w:type="pct"/>
            <w:tcBorders>
              <w:top w:val="single" w:color="auto" w:sz="4" w:space="0"/>
              <w:left w:val="single" w:color="auto" w:sz="4" w:space="0"/>
              <w:bottom w:val="single" w:color="auto" w:sz="4" w:space="0"/>
              <w:right w:val="single" w:color="auto" w:sz="4" w:space="0"/>
            </w:tcBorders>
            <w:vAlign w:val="center"/>
          </w:tcPr>
          <w:p w14:paraId="64396BB5">
            <w:pPr>
              <w:widowControl/>
              <w:adjustRightInd w:val="0"/>
              <w:snapToGrid w:val="0"/>
              <w:spacing w:line="240" w:lineRule="atLeast"/>
              <w:rPr>
                <w:rFonts w:hint="eastAsia" w:ascii="宋体" w:hAnsi="宋体" w:eastAsia="宋体" w:cs="宋体"/>
                <w:color w:val="auto"/>
              </w:rPr>
            </w:pPr>
            <w:r>
              <w:rPr>
                <w:rFonts w:hint="eastAsia" w:ascii="宋体" w:hAnsi="宋体" w:eastAsia="宋体" w:cs="宋体"/>
                <w:color w:val="auto"/>
              </w:rPr>
              <w:t>一、服务内容：提供基于5G网络的无线接入服务及网络汇聚服务，覆盖中心枢纽、矿区及其他需联网场景的网络接入需求，实现多节点通信数据传输与业务承载。</w:t>
            </w:r>
          </w:p>
          <w:p w14:paraId="31790722">
            <w:pPr>
              <w:widowControl/>
              <w:adjustRightInd w:val="0"/>
              <w:snapToGrid w:val="0"/>
              <w:spacing w:line="240" w:lineRule="atLeast"/>
              <w:rPr>
                <w:rFonts w:hint="eastAsia" w:ascii="宋体" w:hAnsi="宋体" w:eastAsia="宋体" w:cs="宋体"/>
                <w:color w:val="auto"/>
              </w:rPr>
            </w:pPr>
            <w:r>
              <w:rPr>
                <w:rFonts w:hint="eastAsia" w:ascii="宋体" w:hAnsi="宋体" w:eastAsia="宋体" w:cs="宋体"/>
                <w:color w:val="auto"/>
              </w:rPr>
              <w:t>二、技术要求</w:t>
            </w:r>
          </w:p>
          <w:p w14:paraId="3D3FDDAA">
            <w:pPr>
              <w:widowControl/>
              <w:adjustRightInd w:val="0"/>
              <w:snapToGrid w:val="0"/>
              <w:spacing w:line="240" w:lineRule="atLeast"/>
              <w:rPr>
                <w:rFonts w:hint="eastAsia" w:ascii="宋体" w:hAnsi="宋体" w:eastAsia="宋体" w:cs="宋体"/>
                <w:color w:val="auto"/>
              </w:rPr>
            </w:pPr>
            <w:r>
              <w:rPr>
                <w:rFonts w:hint="eastAsia" w:ascii="宋体" w:hAnsi="宋体" w:eastAsia="宋体" w:cs="宋体"/>
                <w:color w:val="auto"/>
              </w:rPr>
              <w:t>1、网络可靠性：系统可用性≥99.9%建立7×24小时运维机制，故障发生后1小时内启动应急响应流程，常规故障8小时内修复，重大故障实施不间断抢修直至业务恢复。</w:t>
            </w:r>
          </w:p>
          <w:p w14:paraId="1D375516">
            <w:pPr>
              <w:widowControl/>
              <w:adjustRightInd w:val="0"/>
              <w:snapToGrid w:val="0"/>
              <w:spacing w:line="240" w:lineRule="atLeast"/>
              <w:rPr>
                <w:rFonts w:hint="eastAsia" w:ascii="宋体" w:hAnsi="宋体" w:eastAsia="宋体" w:cs="宋体"/>
                <w:color w:val="auto"/>
              </w:rPr>
            </w:pPr>
            <w:r>
              <w:rPr>
                <w:rFonts w:hint="eastAsia" w:ascii="宋体" w:hAnsi="宋体" w:eastAsia="宋体" w:cs="宋体"/>
                <w:color w:val="auto"/>
              </w:rPr>
              <w:t>2、传输性能指标端到端传输时延≤25ms；时延抖动≤7ms；单用户上行速率≥90Mbps，下行速率≥100Mbps。</w:t>
            </w:r>
          </w:p>
          <w:p w14:paraId="52EDE177">
            <w:pPr>
              <w:widowControl/>
              <w:adjustRightInd w:val="0"/>
              <w:snapToGrid w:val="0"/>
              <w:spacing w:line="240" w:lineRule="atLeast"/>
              <w:rPr>
                <w:rFonts w:hint="eastAsia" w:ascii="宋体" w:hAnsi="宋体" w:eastAsia="宋体" w:cs="宋体"/>
                <w:color w:val="auto"/>
              </w:rPr>
            </w:pPr>
            <w:r>
              <w:rPr>
                <w:rFonts w:hint="eastAsia" w:ascii="宋体" w:hAnsi="宋体" w:eastAsia="宋体" w:cs="宋体"/>
                <w:color w:val="auto"/>
              </w:rPr>
              <w:t>3、服务周期项目服务期自验收通过起持续36个月，服务期内提供完整的网络运维保障方案，包含定期巡检、性能优化及设备维护服务。</w:t>
            </w:r>
          </w:p>
        </w:tc>
        <w:tc>
          <w:tcPr>
            <w:tcW w:w="262" w:type="pct"/>
            <w:tcBorders>
              <w:top w:val="single" w:color="auto" w:sz="4" w:space="0"/>
              <w:left w:val="single" w:color="auto" w:sz="4" w:space="0"/>
              <w:bottom w:val="single" w:color="auto" w:sz="4" w:space="0"/>
              <w:right w:val="single" w:color="auto" w:sz="4" w:space="0"/>
            </w:tcBorders>
            <w:vAlign w:val="center"/>
          </w:tcPr>
          <w:p w14:paraId="1A42AE8A">
            <w:pPr>
              <w:widowControl/>
              <w:adjustRightInd w:val="0"/>
              <w:snapToGrid w:val="0"/>
              <w:spacing w:line="240" w:lineRule="atLeast"/>
              <w:rPr>
                <w:rFonts w:hint="eastAsia" w:ascii="宋体" w:hAnsi="宋体" w:eastAsia="宋体" w:cs="宋体"/>
                <w:color w:val="auto"/>
                <w:kern w:val="0"/>
                <w:szCs w:val="21"/>
              </w:rPr>
            </w:pPr>
            <w:r>
              <w:rPr>
                <w:rFonts w:hint="eastAsia" w:ascii="宋体" w:hAnsi="宋体" w:eastAsia="宋体" w:cs="宋体"/>
                <w:color w:val="auto"/>
                <w:kern w:val="0"/>
                <w:szCs w:val="21"/>
              </w:rPr>
              <w:t>项</w:t>
            </w:r>
          </w:p>
        </w:tc>
        <w:tc>
          <w:tcPr>
            <w:tcW w:w="259" w:type="pct"/>
            <w:tcBorders>
              <w:top w:val="single" w:color="auto" w:sz="4" w:space="0"/>
              <w:left w:val="single" w:color="auto" w:sz="4" w:space="0"/>
              <w:bottom w:val="single" w:color="auto" w:sz="4" w:space="0"/>
              <w:right w:val="single" w:color="auto" w:sz="4" w:space="0"/>
            </w:tcBorders>
            <w:noWrap/>
            <w:vAlign w:val="center"/>
          </w:tcPr>
          <w:p w14:paraId="1CCE5DB6">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742" w:type="pct"/>
            <w:tcBorders>
              <w:top w:val="single" w:color="auto" w:sz="4" w:space="0"/>
              <w:left w:val="single" w:color="auto" w:sz="4" w:space="0"/>
              <w:bottom w:val="single" w:color="auto" w:sz="4" w:space="0"/>
              <w:right w:val="single" w:color="auto" w:sz="4" w:space="0"/>
            </w:tcBorders>
            <w:noWrap/>
            <w:vAlign w:val="center"/>
          </w:tcPr>
          <w:p w14:paraId="160E2D0C">
            <w:pPr>
              <w:widowControl/>
              <w:adjustRightInd w:val="0"/>
              <w:snapToGrid w:val="0"/>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50000</w:t>
            </w:r>
          </w:p>
        </w:tc>
      </w:tr>
      <w:tr w14:paraId="5CCAE6FF">
        <w:tblPrEx>
          <w:tblCellMar>
            <w:top w:w="0" w:type="dxa"/>
            <w:left w:w="108" w:type="dxa"/>
            <w:bottom w:w="0" w:type="dxa"/>
            <w:right w:w="108" w:type="dxa"/>
          </w:tblCellMar>
        </w:tblPrEx>
        <w:trPr>
          <w:jc w:val="center"/>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6096F566">
            <w:pPr>
              <w:adjustRightInd w:val="0"/>
              <w:spacing w:line="360" w:lineRule="auto"/>
              <w:rPr>
                <w:rFonts w:hint="eastAsia" w:ascii="宋体" w:hAnsi="宋体" w:eastAsia="宋体" w:cs="宋体"/>
                <w:bCs/>
                <w:color w:val="auto"/>
              </w:rPr>
            </w:pPr>
            <w:r>
              <w:rPr>
                <w:rFonts w:hint="eastAsia" w:ascii="宋体" w:hAnsi="宋体" w:eastAsia="宋体" w:cs="宋体"/>
                <w:bCs/>
                <w:color w:val="auto"/>
              </w:rPr>
              <w:t>售后服务要求：</w:t>
            </w:r>
          </w:p>
          <w:p w14:paraId="51A1724C">
            <w:pPr>
              <w:adjustRightInd w:val="0"/>
              <w:spacing w:line="360" w:lineRule="auto"/>
              <w:rPr>
                <w:rFonts w:hint="eastAsia" w:ascii="宋体" w:hAnsi="宋体" w:eastAsia="宋体" w:cs="宋体"/>
                <w:bCs/>
                <w:color w:val="auto"/>
              </w:rPr>
            </w:pPr>
            <w:r>
              <w:rPr>
                <w:rFonts w:hint="eastAsia" w:ascii="宋体" w:hAnsi="宋体" w:eastAsia="宋体" w:cs="宋体"/>
                <w:color w:val="auto"/>
                <w:kern w:val="0"/>
                <w:sz w:val="20"/>
                <w:szCs w:val="20"/>
              </w:rPr>
              <w:t>★</w:t>
            </w:r>
            <w:r>
              <w:rPr>
                <w:rFonts w:hint="eastAsia" w:ascii="宋体" w:hAnsi="宋体" w:eastAsia="宋体" w:cs="宋体"/>
                <w:bCs/>
                <w:color w:val="auto"/>
              </w:rPr>
              <w:t>1、售后服务要求及免费保修期：</w:t>
            </w:r>
          </w:p>
          <w:p w14:paraId="4B82B4E9">
            <w:pPr>
              <w:adjustRightInd w:val="0"/>
              <w:spacing w:line="360" w:lineRule="auto"/>
              <w:ind w:firstLine="431"/>
              <w:rPr>
                <w:rFonts w:hint="eastAsia" w:ascii="宋体" w:hAnsi="宋体" w:eastAsia="宋体" w:cs="宋体"/>
                <w:bCs/>
                <w:color w:val="auto"/>
              </w:rPr>
            </w:pPr>
            <w:r>
              <w:rPr>
                <w:rFonts w:hint="eastAsia" w:ascii="宋体" w:hAnsi="宋体" w:eastAsia="宋体" w:cs="宋体"/>
                <w:bCs/>
                <w:color w:val="auto"/>
              </w:rPr>
              <w:t>按国家有关产品“三包”规定执行；除采购需求单独要求的以外统一保修期不少于1年（含一年），30分钟内电话响应，一般问题在2小时内通过远程方式解决；遇到大的问题，在接到报修通知后24小时内派技术人员到达现场维修；保修期内免费维修服务，所更换的所有零配件全部使用原厂配件。保修期以外一律按优惠价收费，终身上门维护服务，保质保量按时提供货物，并免费提供市内运输装卸，免费送货上门，免费安装、调试，免费培训技术人员，直至基本熟悉操作。</w:t>
            </w:r>
          </w:p>
          <w:p w14:paraId="139FAA91">
            <w:pPr>
              <w:adjustRightInd w:val="0"/>
              <w:spacing w:line="360" w:lineRule="auto"/>
              <w:ind w:firstLine="200"/>
              <w:rPr>
                <w:rFonts w:hint="eastAsia" w:ascii="宋体" w:hAnsi="宋体" w:eastAsia="宋体" w:cs="宋体"/>
                <w:bCs/>
                <w:color w:val="auto"/>
              </w:rPr>
            </w:pPr>
            <w:r>
              <w:rPr>
                <w:rFonts w:hint="eastAsia" w:ascii="宋体" w:hAnsi="宋体" w:eastAsia="宋体" w:cs="宋体"/>
                <w:color w:val="auto"/>
                <w:kern w:val="0"/>
                <w:sz w:val="20"/>
                <w:szCs w:val="20"/>
              </w:rPr>
              <w:t>★</w:t>
            </w:r>
            <w:r>
              <w:rPr>
                <w:rFonts w:hint="eastAsia" w:ascii="宋体" w:hAnsi="宋体" w:eastAsia="宋体" w:cs="宋体"/>
                <w:bCs/>
                <w:color w:val="auto"/>
              </w:rPr>
              <w:t>2、使用时间及地点</w:t>
            </w:r>
          </w:p>
          <w:p w14:paraId="3BC8C228">
            <w:pPr>
              <w:adjustRightInd w:val="0"/>
              <w:spacing w:line="360" w:lineRule="auto"/>
              <w:ind w:firstLine="431"/>
              <w:rPr>
                <w:rFonts w:hint="eastAsia" w:ascii="宋体" w:hAnsi="宋体" w:eastAsia="宋体" w:cs="宋体"/>
                <w:bCs/>
                <w:color w:val="auto"/>
              </w:rPr>
            </w:pPr>
            <w:r>
              <w:rPr>
                <w:rFonts w:hint="eastAsia" w:ascii="宋体" w:hAnsi="宋体" w:eastAsia="宋体" w:cs="宋体"/>
                <w:bCs/>
                <w:color w:val="auto"/>
              </w:rPr>
              <w:t>1）时间：签订合同后，接到采购人书面通知</w:t>
            </w:r>
            <w:r>
              <w:rPr>
                <w:rFonts w:hint="eastAsia" w:ascii="宋体" w:hAnsi="宋体" w:eastAsia="宋体" w:cs="宋体"/>
                <w:bCs/>
                <w:color w:val="auto"/>
                <w:lang w:val="en-US" w:eastAsia="zh-CN"/>
              </w:rPr>
              <w:t>7日内进场</w:t>
            </w:r>
            <w:r>
              <w:rPr>
                <w:rFonts w:hint="eastAsia" w:ascii="宋体" w:hAnsi="宋体" w:eastAsia="宋体" w:cs="宋体"/>
                <w:bCs/>
                <w:color w:val="auto"/>
              </w:rPr>
              <w:t>；</w:t>
            </w:r>
          </w:p>
          <w:p w14:paraId="46F0134A">
            <w:pPr>
              <w:adjustRightInd w:val="0"/>
              <w:spacing w:line="360" w:lineRule="auto"/>
              <w:ind w:firstLine="431"/>
              <w:rPr>
                <w:rFonts w:hint="eastAsia" w:ascii="宋体" w:hAnsi="宋体" w:eastAsia="宋体" w:cs="宋体"/>
                <w:bCs/>
                <w:color w:val="auto"/>
              </w:rPr>
            </w:pPr>
            <w:r>
              <w:rPr>
                <w:rFonts w:hint="eastAsia" w:ascii="宋体" w:hAnsi="宋体" w:eastAsia="宋体" w:cs="宋体"/>
                <w:bCs/>
                <w:color w:val="auto"/>
              </w:rPr>
              <w:t>2）地点：桂林市（采购人指定）。</w:t>
            </w:r>
          </w:p>
          <w:p w14:paraId="328153F4">
            <w:pPr>
              <w:adjustRightInd w:val="0"/>
              <w:spacing w:line="360" w:lineRule="auto"/>
              <w:ind w:firstLine="431"/>
              <w:rPr>
                <w:rFonts w:hint="eastAsia" w:ascii="宋体" w:hAnsi="宋体" w:eastAsia="宋体" w:cs="宋体"/>
                <w:bCs/>
                <w:color w:val="auto"/>
              </w:rPr>
            </w:pPr>
            <w:r>
              <w:rPr>
                <w:rFonts w:hint="eastAsia" w:ascii="宋体" w:hAnsi="宋体" w:eastAsia="宋体" w:cs="宋体"/>
                <w:bCs/>
                <w:color w:val="auto"/>
              </w:rPr>
              <w:t>3）</w:t>
            </w:r>
            <w:r>
              <w:rPr>
                <w:rFonts w:hint="eastAsia" w:ascii="宋体" w:hAnsi="宋体" w:eastAsia="宋体" w:cs="宋体"/>
                <w:bCs/>
                <w:color w:val="auto"/>
                <w:lang w:val="en-US" w:eastAsia="zh-CN"/>
              </w:rPr>
              <w:t>交付</w:t>
            </w:r>
            <w:r>
              <w:rPr>
                <w:rFonts w:hint="eastAsia" w:ascii="宋体" w:hAnsi="宋体" w:eastAsia="宋体" w:cs="宋体"/>
                <w:bCs/>
                <w:color w:val="auto"/>
              </w:rPr>
              <w:t>方式由成交人免费运送至采购人指定地点，并进行免费安装调试、安装所需要的材料、培训及清理因施工产生的垃圾和清洁污损，已包含在合同价款内，不再另外产生费用。</w:t>
            </w:r>
          </w:p>
          <w:p w14:paraId="47496154">
            <w:pPr>
              <w:tabs>
                <w:tab w:val="left" w:pos="420"/>
                <w:tab w:val="left" w:pos="840"/>
                <w:tab w:val="left" w:pos="1260"/>
                <w:tab w:val="left" w:pos="1680"/>
                <w:tab w:val="left" w:pos="3150"/>
              </w:tabs>
              <w:adjustRightInd w:val="0"/>
              <w:spacing w:line="360" w:lineRule="auto"/>
              <w:ind w:firstLine="431"/>
              <w:rPr>
                <w:rFonts w:hint="eastAsia" w:ascii="宋体" w:hAnsi="宋体" w:eastAsia="宋体" w:cs="宋体"/>
                <w:bCs/>
                <w:color w:val="auto"/>
              </w:rPr>
            </w:pPr>
            <w:r>
              <w:rPr>
                <w:rFonts w:hint="eastAsia" w:ascii="宋体" w:hAnsi="宋体" w:eastAsia="宋体" w:cs="宋体"/>
                <w:color w:val="auto"/>
                <w:kern w:val="0"/>
                <w:sz w:val="20"/>
                <w:szCs w:val="20"/>
              </w:rPr>
              <w:t>★</w:t>
            </w:r>
            <w:r>
              <w:rPr>
                <w:rFonts w:hint="eastAsia" w:ascii="宋体" w:hAnsi="宋体" w:eastAsia="宋体" w:cs="宋体"/>
                <w:bCs/>
                <w:color w:val="auto"/>
              </w:rPr>
              <w:t>3、付款方式：</w:t>
            </w:r>
            <w:r>
              <w:rPr>
                <w:rFonts w:hint="eastAsia" w:ascii="宋体" w:hAnsi="宋体" w:eastAsia="宋体" w:cs="宋体"/>
                <w:bCs/>
                <w:color w:val="auto"/>
              </w:rPr>
              <w:tab/>
            </w:r>
          </w:p>
          <w:p w14:paraId="2B8CB971">
            <w:pPr>
              <w:adjustRightInd w:val="0"/>
              <w:spacing w:line="360" w:lineRule="auto"/>
              <w:ind w:firstLine="431"/>
              <w:rPr>
                <w:rFonts w:hint="eastAsia" w:ascii="宋体" w:hAnsi="宋体" w:eastAsia="宋体" w:cs="宋体"/>
                <w:bCs/>
                <w:color w:val="auto"/>
              </w:rPr>
            </w:pPr>
            <w:r>
              <w:rPr>
                <w:rFonts w:hint="eastAsia" w:ascii="宋体" w:hAnsi="宋体" w:eastAsia="宋体" w:cs="宋体"/>
                <w:bCs/>
                <w:color w:val="auto"/>
              </w:rPr>
              <w:t>分两次支付，第一次于</w:t>
            </w:r>
            <w:r>
              <w:rPr>
                <w:rFonts w:hint="eastAsia" w:ascii="宋体" w:hAnsi="宋体" w:eastAsia="宋体" w:cs="宋体"/>
                <w:bCs/>
                <w:color w:val="auto"/>
                <w:lang w:val="en-US" w:eastAsia="zh-CN"/>
              </w:rPr>
              <w:t>交付验收完成</w:t>
            </w:r>
            <w:r>
              <w:rPr>
                <w:rFonts w:hint="eastAsia" w:ascii="宋体" w:hAnsi="宋体" w:eastAsia="宋体" w:cs="宋体"/>
                <w:bCs/>
                <w:color w:val="auto"/>
              </w:rPr>
              <w:t>经使用单位验收合格后10日内支付合同总金额的70%，第二次于保修期截止后10日内支付余款。</w:t>
            </w:r>
          </w:p>
          <w:p w14:paraId="425D96DB">
            <w:pPr>
              <w:adjustRightInd w:val="0"/>
              <w:spacing w:line="360" w:lineRule="auto"/>
              <w:ind w:firstLine="431"/>
              <w:rPr>
                <w:rFonts w:hint="eastAsia" w:ascii="宋体" w:hAnsi="宋体" w:eastAsia="宋体" w:cs="宋体"/>
                <w:bCs/>
                <w:color w:val="auto"/>
              </w:rPr>
            </w:pPr>
            <w:r>
              <w:rPr>
                <w:rFonts w:hint="eastAsia" w:ascii="宋体" w:hAnsi="宋体" w:eastAsia="宋体" w:cs="宋体"/>
                <w:color w:val="auto"/>
                <w:kern w:val="0"/>
                <w:sz w:val="20"/>
                <w:szCs w:val="20"/>
              </w:rPr>
              <w:t>★</w:t>
            </w:r>
            <w:r>
              <w:rPr>
                <w:rFonts w:hint="eastAsia" w:ascii="宋体" w:hAnsi="宋体" w:eastAsia="宋体" w:cs="宋体"/>
                <w:bCs/>
                <w:color w:val="auto"/>
              </w:rPr>
              <w:t>4、其他要求</w:t>
            </w:r>
          </w:p>
          <w:p w14:paraId="158A623A">
            <w:pPr>
              <w:adjustRightInd w:val="0"/>
              <w:spacing w:line="360" w:lineRule="auto"/>
              <w:ind w:firstLine="431"/>
              <w:rPr>
                <w:rFonts w:hint="eastAsia" w:ascii="宋体" w:hAnsi="宋体" w:eastAsia="宋体" w:cs="宋体"/>
                <w:bCs/>
                <w:color w:val="auto"/>
              </w:rPr>
            </w:pPr>
            <w:r>
              <w:rPr>
                <w:rFonts w:hint="eastAsia" w:ascii="宋体" w:hAnsi="宋体" w:eastAsia="宋体" w:cs="宋体"/>
                <w:bCs/>
                <w:color w:val="auto"/>
              </w:rPr>
              <w:t>1）本项目政府采购预算金额为人民币：壹佰肆拾捌万元整（¥</w:t>
            </w:r>
            <w:r>
              <w:rPr>
                <w:rFonts w:hint="eastAsia" w:ascii="宋体" w:hAnsi="宋体" w:cs="宋体"/>
                <w:bCs/>
                <w:color w:val="auto"/>
                <w:lang w:val="en-US" w:eastAsia="zh-CN"/>
              </w:rPr>
              <w:t>1</w:t>
            </w:r>
            <w:r>
              <w:rPr>
                <w:rFonts w:hint="eastAsia" w:ascii="宋体" w:hAnsi="宋体" w:eastAsia="宋体" w:cs="宋体"/>
                <w:color w:val="auto"/>
                <w:szCs w:val="21"/>
              </w:rPr>
              <w:t>4</w:t>
            </w:r>
            <w:r>
              <w:rPr>
                <w:rFonts w:hint="eastAsia" w:ascii="宋体" w:hAnsi="宋体" w:cs="宋体"/>
                <w:color w:val="auto"/>
                <w:szCs w:val="21"/>
                <w:lang w:val="en-US" w:eastAsia="zh-CN"/>
              </w:rPr>
              <w:t>8000</w:t>
            </w:r>
            <w:r>
              <w:rPr>
                <w:rFonts w:hint="eastAsia" w:ascii="宋体" w:hAnsi="宋体" w:eastAsia="宋体" w:cs="宋体"/>
                <w:color w:val="auto"/>
                <w:szCs w:val="21"/>
              </w:rPr>
              <w:t>0</w:t>
            </w:r>
            <w:r>
              <w:rPr>
                <w:rFonts w:hint="eastAsia" w:ascii="宋体" w:hAnsi="宋体" w:cs="宋体"/>
                <w:color w:val="auto"/>
                <w:szCs w:val="21"/>
                <w:lang w:val="en-US" w:eastAsia="zh-CN"/>
              </w:rPr>
              <w:t>.00</w:t>
            </w:r>
            <w:r>
              <w:rPr>
                <w:rFonts w:hint="eastAsia" w:ascii="宋体" w:hAnsi="宋体" w:eastAsia="宋体" w:cs="宋体"/>
                <w:bCs/>
                <w:color w:val="auto"/>
              </w:rPr>
              <w:t>），</w:t>
            </w:r>
            <w:r>
              <w:rPr>
                <w:rFonts w:hint="eastAsia" w:ascii="宋体" w:hAnsi="宋体" w:eastAsia="宋体" w:cs="宋体"/>
                <w:color w:val="auto"/>
                <w:szCs w:val="21"/>
              </w:rPr>
              <w:t>最高限价</w:t>
            </w:r>
            <w:r>
              <w:rPr>
                <w:rFonts w:hint="eastAsia" w:ascii="宋体" w:hAnsi="宋体" w:eastAsia="宋体" w:cs="宋体"/>
                <w:bCs/>
                <w:color w:val="auto"/>
              </w:rPr>
              <w:t>为人民币：</w:t>
            </w:r>
            <w:r>
              <w:rPr>
                <w:rFonts w:hint="eastAsia" w:ascii="宋体" w:hAnsi="宋体" w:cs="宋体"/>
                <w:bCs/>
                <w:color w:val="auto"/>
                <w:lang w:eastAsia="zh-CN"/>
              </w:rPr>
              <w:t>壹佰肆拾柒万玖仟玖佰捌拾元整（</w:t>
            </w:r>
            <w:r>
              <w:rPr>
                <w:rFonts w:hint="eastAsia" w:ascii="宋体" w:hAnsi="宋体" w:eastAsia="宋体" w:cs="宋体"/>
                <w:bCs/>
                <w:color w:val="auto"/>
              </w:rPr>
              <w:t>¥</w:t>
            </w:r>
            <w:r>
              <w:rPr>
                <w:rFonts w:hint="eastAsia" w:ascii="宋体" w:hAnsi="宋体" w:eastAsia="宋体" w:cs="宋体"/>
                <w:color w:val="auto"/>
                <w:szCs w:val="21"/>
              </w:rPr>
              <w:t>1479980.00</w:t>
            </w:r>
            <w:r>
              <w:rPr>
                <w:rFonts w:hint="eastAsia" w:ascii="宋体" w:hAnsi="宋体" w:cs="宋体"/>
                <w:color w:val="auto"/>
                <w:szCs w:val="21"/>
                <w:lang w:eastAsia="zh-CN"/>
              </w:rPr>
              <w:t>），</w:t>
            </w:r>
            <w:r>
              <w:rPr>
                <w:rFonts w:hint="eastAsia" w:ascii="宋体" w:hAnsi="宋体" w:eastAsia="宋体" w:cs="宋体"/>
                <w:bCs/>
                <w:color w:val="auto"/>
              </w:rPr>
              <w:t>投标报价超出采购预算金额</w:t>
            </w:r>
            <w:r>
              <w:rPr>
                <w:rFonts w:hint="eastAsia" w:ascii="宋体" w:hAnsi="宋体" w:eastAsia="宋体" w:cs="宋体"/>
                <w:bCs/>
                <w:color w:val="auto"/>
                <w:szCs w:val="21"/>
              </w:rPr>
              <w:t>或最高限价金额</w:t>
            </w:r>
            <w:r>
              <w:rPr>
                <w:rFonts w:hint="eastAsia" w:ascii="宋体" w:hAnsi="宋体" w:eastAsia="宋体" w:cs="宋体"/>
                <w:bCs/>
                <w:color w:val="auto"/>
              </w:rPr>
              <w:t>的将被视为无效投标。</w:t>
            </w:r>
          </w:p>
          <w:p w14:paraId="2B445D85">
            <w:pPr>
              <w:widowControl/>
              <w:adjustRightInd w:val="0"/>
              <w:snapToGrid w:val="0"/>
              <w:spacing w:line="240" w:lineRule="atLeast"/>
              <w:jc w:val="left"/>
              <w:rPr>
                <w:rFonts w:hint="eastAsia" w:ascii="宋体" w:hAnsi="宋体" w:eastAsia="宋体" w:cs="宋体"/>
                <w:color w:val="auto"/>
                <w:kern w:val="0"/>
                <w:szCs w:val="21"/>
              </w:rPr>
            </w:pPr>
            <w:r>
              <w:rPr>
                <w:rFonts w:hint="eastAsia" w:ascii="宋体" w:hAnsi="宋体" w:eastAsia="宋体" w:cs="宋体"/>
                <w:bCs/>
                <w:color w:val="auto"/>
              </w:rPr>
              <w:t>2）投标报价应包括本次招标采购范围内货物价款、货物随配标准附件、包装、运输、装卸、保险、税金、利润、货到位以及安装、安装所需辅材、调试、售后服务、培训、保修及其他所有成本费用的总和；投标人综合考虑在报价中。</w:t>
            </w:r>
          </w:p>
        </w:tc>
      </w:tr>
    </w:tbl>
    <w:p w14:paraId="66BDD64D">
      <w:pPr>
        <w:pStyle w:val="25"/>
        <w:widowControl/>
        <w:spacing w:line="440" w:lineRule="atLeast"/>
        <w:ind w:left="63" w:right="63" w:firstLine="422" w:firstLineChars="200"/>
        <w:jc w:val="left"/>
        <w:rPr>
          <w:rFonts w:hint="eastAsia" w:ascii="宋体" w:hAnsi="宋体" w:eastAsia="宋体" w:cs="宋体"/>
          <w:b/>
          <w:bCs/>
          <w:color w:val="auto"/>
          <w:sz w:val="21"/>
          <w:szCs w:val="21"/>
        </w:rPr>
      </w:pPr>
    </w:p>
    <w:p w14:paraId="1938A977">
      <w:pPr>
        <w:pStyle w:val="16"/>
        <w:ind w:firstLine="0"/>
        <w:rPr>
          <w:rFonts w:hint="eastAsia" w:ascii="宋体" w:hAnsi="宋体" w:eastAsia="宋体" w:cs="宋体"/>
          <w:color w:val="auto"/>
        </w:rPr>
      </w:pPr>
      <w:bookmarkStart w:id="134" w:name="_Toc7872"/>
      <w:bookmarkStart w:id="135" w:name="_Toc27023"/>
      <w:bookmarkStart w:id="136" w:name="_Toc26783"/>
      <w:bookmarkStart w:id="137" w:name="_Toc28985"/>
      <w:r>
        <w:rPr>
          <w:rFonts w:hint="eastAsia" w:ascii="宋体" w:hAnsi="宋体" w:eastAsia="宋体" w:cs="宋体"/>
          <w:color w:val="auto"/>
        </w:rPr>
        <w:br w:type="page"/>
      </w:r>
      <w:r>
        <w:rPr>
          <w:rFonts w:hint="eastAsia" w:ascii="宋体" w:hAnsi="宋体" w:eastAsia="宋体" w:cs="宋体"/>
          <w:color w:val="auto"/>
        </w:rPr>
        <w:t>第</w:t>
      </w:r>
      <w:r>
        <w:rPr>
          <w:rStyle w:val="26"/>
          <w:rFonts w:hint="eastAsia" w:ascii="宋体" w:hAnsi="宋体" w:eastAsia="宋体" w:cs="宋体"/>
          <w:b/>
          <w:bCs/>
          <w:color w:val="auto"/>
        </w:rPr>
        <w:t>四章 评标办法</w:t>
      </w:r>
      <w:bookmarkEnd w:id="134"/>
    </w:p>
    <w:bookmarkEnd w:id="132"/>
    <w:bookmarkEnd w:id="135"/>
    <w:bookmarkEnd w:id="136"/>
    <w:bookmarkEnd w:id="137"/>
    <w:p w14:paraId="6C04F3D5">
      <w:pPr>
        <w:spacing w:line="360" w:lineRule="auto"/>
        <w:ind w:firstLine="487" w:firstLineChars="202"/>
        <w:jc w:val="left"/>
        <w:rPr>
          <w:rFonts w:hint="eastAsia" w:ascii="宋体" w:hAnsi="宋体" w:eastAsia="宋体" w:cs="宋体"/>
          <w:b/>
          <w:color w:val="auto"/>
          <w:sz w:val="24"/>
        </w:rPr>
      </w:pPr>
      <w:bookmarkStart w:id="138" w:name="_Toc28109"/>
      <w:bookmarkStart w:id="139" w:name="_Toc3626"/>
      <w:bookmarkStart w:id="140" w:name="_Toc8466"/>
      <w:bookmarkStart w:id="141" w:name="_Toc1007"/>
      <w:bookmarkStart w:id="142" w:name="_Toc25717"/>
      <w:bookmarkStart w:id="143" w:name="_Toc4774"/>
      <w:r>
        <w:rPr>
          <w:rFonts w:hint="eastAsia" w:ascii="宋体" w:hAnsi="宋体" w:eastAsia="宋体" w:cs="宋体"/>
          <w:b/>
          <w:color w:val="auto"/>
          <w:sz w:val="24"/>
        </w:rPr>
        <w:t>一、评标原则</w:t>
      </w:r>
    </w:p>
    <w:p w14:paraId="64C1596E">
      <w:pPr>
        <w:pStyle w:val="10"/>
        <w:adjustRightInd w:val="0"/>
        <w:spacing w:line="360" w:lineRule="auto"/>
        <w:ind w:firstLine="420" w:firstLineChars="200"/>
        <w:contextualSpacing/>
        <w:rPr>
          <w:rFonts w:hint="eastAsia" w:ascii="宋体" w:hAnsi="宋体" w:eastAsia="宋体" w:cs="宋体"/>
          <w:bCs/>
          <w:color w:val="auto"/>
          <w:szCs w:val="21"/>
        </w:rPr>
      </w:pPr>
      <w:r>
        <w:rPr>
          <w:rFonts w:hint="eastAsia" w:ascii="宋体" w:hAnsi="宋体" w:eastAsia="宋体" w:cs="宋体"/>
          <w:bCs/>
          <w:color w:val="auto"/>
          <w:szCs w:val="21"/>
        </w:rPr>
        <w:t>（一）评委会组成：本招标采购项目的评标委员会由采购人代表、技术和经济等方面的专家组成。其中，专家评委不得少于成员总数的三分之二。</w:t>
      </w:r>
    </w:p>
    <w:p w14:paraId="58DD98FB">
      <w:pPr>
        <w:pStyle w:val="10"/>
        <w:adjustRightInd w:val="0"/>
        <w:spacing w:line="360" w:lineRule="auto"/>
        <w:ind w:firstLine="420" w:firstLineChars="200"/>
        <w:contextualSpacing/>
        <w:rPr>
          <w:rFonts w:hint="eastAsia" w:ascii="宋体" w:hAnsi="宋体" w:eastAsia="宋体" w:cs="宋体"/>
          <w:bCs/>
          <w:color w:val="auto"/>
          <w:szCs w:val="21"/>
        </w:rPr>
      </w:pPr>
      <w:r>
        <w:rPr>
          <w:rFonts w:hint="eastAsia" w:ascii="宋体" w:hAnsi="宋体" w:eastAsia="宋体" w:cs="宋体"/>
          <w:bCs/>
          <w:color w:val="auto"/>
          <w:szCs w:val="21"/>
        </w:rPr>
        <w:t>（二）评标依据：评委将以招投标文件为评标依据，对供应商的竞标</w:t>
      </w:r>
      <w:r>
        <w:rPr>
          <w:rFonts w:hint="eastAsia" w:ascii="宋体" w:hAnsi="宋体" w:eastAsia="宋体" w:cs="宋体"/>
          <w:color w:val="auto"/>
          <w:szCs w:val="21"/>
        </w:rPr>
        <w:t>报价、技术性能、履约能力、售后服务及政策功能等方面内容按百分制打分。</w:t>
      </w:r>
    </w:p>
    <w:p w14:paraId="7D26C109">
      <w:pPr>
        <w:pStyle w:val="10"/>
        <w:adjustRightInd w:val="0"/>
        <w:spacing w:line="360" w:lineRule="auto"/>
        <w:ind w:firstLine="420" w:firstLineChars="200"/>
        <w:contextualSpacing/>
        <w:rPr>
          <w:rFonts w:hint="eastAsia" w:ascii="宋体" w:hAnsi="宋体" w:eastAsia="宋体" w:cs="宋体"/>
          <w:bCs/>
          <w:color w:val="auto"/>
          <w:szCs w:val="21"/>
        </w:rPr>
      </w:pPr>
      <w:r>
        <w:rPr>
          <w:rFonts w:hint="eastAsia" w:ascii="宋体" w:hAnsi="宋体" w:eastAsia="宋体" w:cs="宋体"/>
          <w:bCs/>
          <w:color w:val="auto"/>
          <w:szCs w:val="21"/>
        </w:rPr>
        <w:t>（三）评标方式：以封闭方式进行。</w:t>
      </w:r>
    </w:p>
    <w:p w14:paraId="185EED16">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（四）采购人和采购代理机构、评标委员会成员要严格遵守政府采购相关法律制度，依法履行各自职责，公正、客观、审慎地组织和参与评审工作。</w:t>
      </w:r>
    </w:p>
    <w:p w14:paraId="2329B4C0">
      <w:pPr>
        <w:spacing w:line="360" w:lineRule="auto"/>
        <w:ind w:firstLine="487" w:firstLineChars="202"/>
        <w:jc w:val="left"/>
        <w:rPr>
          <w:rFonts w:hint="eastAsia" w:ascii="宋体" w:hAnsi="宋体" w:eastAsia="宋体" w:cs="宋体"/>
          <w:b/>
          <w:color w:val="auto"/>
          <w:sz w:val="24"/>
        </w:rPr>
      </w:pPr>
      <w:r>
        <w:rPr>
          <w:rFonts w:hint="eastAsia" w:ascii="宋体" w:hAnsi="宋体" w:eastAsia="宋体" w:cs="宋体"/>
          <w:b/>
          <w:color w:val="auto"/>
          <w:sz w:val="24"/>
        </w:rPr>
        <w:t>二、评定方法</w:t>
      </w:r>
    </w:p>
    <w:p w14:paraId="09B297E8">
      <w:pPr>
        <w:pStyle w:val="10"/>
        <w:adjustRightInd w:val="0"/>
        <w:spacing w:line="360" w:lineRule="auto"/>
        <w:ind w:firstLine="420" w:firstLineChars="200"/>
        <w:contextualSpacing/>
        <w:rPr>
          <w:rFonts w:hint="eastAsia" w:ascii="宋体" w:hAnsi="宋体" w:eastAsia="宋体" w:cs="宋体"/>
          <w:bCs/>
          <w:color w:val="auto"/>
          <w:szCs w:val="21"/>
        </w:rPr>
      </w:pPr>
      <w:r>
        <w:rPr>
          <w:rFonts w:hint="eastAsia" w:ascii="宋体" w:hAnsi="宋体" w:eastAsia="宋体" w:cs="宋体"/>
          <w:bCs/>
          <w:color w:val="auto"/>
          <w:szCs w:val="21"/>
        </w:rPr>
        <w:t>（一）对进入详评的，采用百分制综合评分法。</w:t>
      </w:r>
    </w:p>
    <w:p w14:paraId="1AEF1A27">
      <w:pPr>
        <w:pStyle w:val="10"/>
        <w:adjustRightInd w:val="0"/>
        <w:spacing w:line="360" w:lineRule="auto"/>
        <w:ind w:firstLine="420" w:firstLineChars="200"/>
        <w:contextualSpacing/>
        <w:rPr>
          <w:rFonts w:hint="eastAsia" w:ascii="宋体" w:hAnsi="宋体" w:eastAsia="宋体" w:cs="宋体"/>
          <w:bCs/>
          <w:color w:val="auto"/>
          <w:szCs w:val="21"/>
        </w:rPr>
      </w:pPr>
      <w:r>
        <w:rPr>
          <w:rFonts w:hint="eastAsia" w:ascii="宋体" w:hAnsi="宋体" w:eastAsia="宋体" w:cs="宋体"/>
          <w:bCs/>
          <w:color w:val="auto"/>
          <w:szCs w:val="21"/>
        </w:rPr>
        <w:t>（二）计分办法（按四舍五入取至百分位）：</w:t>
      </w:r>
    </w:p>
    <w:p w14:paraId="78628DFF">
      <w:pPr>
        <w:pStyle w:val="10"/>
        <w:spacing w:line="360" w:lineRule="auto"/>
        <w:rPr>
          <w:rFonts w:hint="eastAsia" w:ascii="宋体" w:hAnsi="宋体" w:eastAsia="宋体" w:cs="宋体"/>
          <w:b/>
          <w:bCs/>
          <w:color w:val="auto"/>
          <w:kern w:val="0"/>
          <w:szCs w:val="21"/>
        </w:rPr>
      </w:pPr>
      <w:bookmarkStart w:id="144" w:name="_Toc7653"/>
      <w:r>
        <w:rPr>
          <w:rFonts w:hint="eastAsia" w:ascii="宋体" w:hAnsi="宋体" w:eastAsia="宋体" w:cs="宋体"/>
          <w:b/>
          <w:bCs/>
          <w:color w:val="auto"/>
          <w:kern w:val="0"/>
          <w:szCs w:val="21"/>
        </w:rPr>
        <w:t>1、价格分…………………………………………………………………………（满分20分</w:t>
      </w:r>
      <w:bookmarkEnd w:id="144"/>
      <w:r>
        <w:rPr>
          <w:rFonts w:hint="eastAsia" w:ascii="宋体" w:hAnsi="宋体" w:eastAsia="宋体" w:cs="宋体"/>
          <w:b/>
          <w:bCs/>
          <w:color w:val="auto"/>
          <w:kern w:val="0"/>
          <w:szCs w:val="21"/>
        </w:rPr>
        <w:t>）</w:t>
      </w:r>
    </w:p>
    <w:p w14:paraId="10E2808E">
      <w:pPr>
        <w:pStyle w:val="10"/>
        <w:spacing w:line="360" w:lineRule="auto"/>
        <w:ind w:firstLine="420" w:firstLineChars="200"/>
        <w:rPr>
          <w:rFonts w:hint="eastAsia" w:ascii="宋体" w:hAnsi="宋体" w:eastAsia="宋体" w:cs="宋体"/>
          <w:color w:val="auto"/>
          <w:szCs w:val="21"/>
        </w:rPr>
      </w:pPr>
      <w:r>
        <w:rPr>
          <w:rFonts w:hint="eastAsia" w:ascii="宋体" w:hAnsi="宋体" w:eastAsia="宋体" w:cs="宋体"/>
          <w:bCs/>
          <w:color w:val="auto"/>
          <w:szCs w:val="21"/>
        </w:rPr>
        <w:t>（1）根据《广西壮族自治区财政厅关于进一步发挥政府采购政策功能促进企业发展的通知》（桂财采〔2022〕30号），凡符合《政府采购促进中小企业发展管理办法》（财库〔2020〕46号）规定条件且按该办法中规定的格式提供了《中小企业声明函》的小型和微型企业，对其投标价给予20%的扣除，扣除后的价格为评标价，即评标价=投标价×（1-20%）。</w:t>
      </w:r>
    </w:p>
    <w:p w14:paraId="000067FF">
      <w:pPr>
        <w:pStyle w:val="10"/>
        <w:spacing w:line="360" w:lineRule="auto"/>
        <w:ind w:firstLine="420"/>
        <w:rPr>
          <w:rFonts w:hint="eastAsia" w:ascii="宋体" w:hAnsi="宋体" w:eastAsia="宋体" w:cs="宋体"/>
          <w:color w:val="auto"/>
          <w:szCs w:val="21"/>
        </w:rPr>
      </w:pPr>
      <w:r>
        <w:rPr>
          <w:rFonts w:hint="eastAsia" w:ascii="宋体" w:hAnsi="宋体" w:eastAsia="宋体" w:cs="宋体"/>
          <w:b/>
          <w:color w:val="auto"/>
          <w:szCs w:val="21"/>
        </w:rPr>
        <w:t>注：中小微型企业划分标准按照《国家统计局关于印发〈统计上大中小微型企业划分办法〉〔2017〕的通知》（国统字〔2017〕213号）执行，具体划分标准见附表《统计上大中小微型企业划分标准》。</w:t>
      </w:r>
    </w:p>
    <w:p w14:paraId="16B2610B">
      <w:pPr>
        <w:pStyle w:val="10"/>
        <w:numPr>
          <w:ilvl w:val="0"/>
          <w:numId w:val="4"/>
        </w:numPr>
        <w:spacing w:line="36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14:paraId="4BE7BAE5">
      <w:pPr>
        <w:pStyle w:val="10"/>
        <w:numPr>
          <w:ilvl w:val="0"/>
          <w:numId w:val="4"/>
        </w:num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14:paraId="29DB4008">
      <w:pPr>
        <w:pStyle w:val="1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对于不属于以上情形的</w:t>
      </w:r>
      <w:r>
        <w:rPr>
          <w:rFonts w:hint="eastAsia" w:ascii="宋体" w:hAnsi="宋体" w:eastAsia="宋体" w:cs="宋体"/>
          <w:bCs/>
          <w:color w:val="auto"/>
          <w:szCs w:val="21"/>
        </w:rPr>
        <w:t>供应商</w:t>
      </w:r>
      <w:r>
        <w:rPr>
          <w:rFonts w:hint="eastAsia" w:ascii="宋体" w:hAnsi="宋体" w:eastAsia="宋体" w:cs="宋体"/>
          <w:color w:val="auto"/>
          <w:szCs w:val="21"/>
        </w:rPr>
        <w:t>，其投标报价即为评标价。</w:t>
      </w:r>
    </w:p>
    <w:p w14:paraId="0593957A">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rPr>
        <w:t>（4）本项目属于政务信息系统，执行《政务信息系统政府采购管理暂行办法》财库〔2017〕210号</w:t>
      </w:r>
      <w:r>
        <w:rPr>
          <w:rFonts w:hint="eastAsia" w:ascii="宋体" w:hAnsi="宋体" w:eastAsia="宋体" w:cs="宋体"/>
          <w:color w:val="auto"/>
        </w:rPr>
        <w:t>文件要求</w:t>
      </w:r>
      <w:r>
        <w:rPr>
          <w:rFonts w:hint="eastAsia" w:ascii="宋体" w:hAnsi="宋体" w:eastAsia="宋体" w:cs="宋体"/>
          <w:color w:val="auto"/>
          <w:szCs w:val="21"/>
        </w:rPr>
        <w:t>。</w:t>
      </w:r>
    </w:p>
    <w:p w14:paraId="279197CC">
      <w:pPr>
        <w:pStyle w:val="10"/>
        <w:spacing w:line="36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（5）价格分采用低价优先法计算，即满足招标文件要求且评标报价最低的评标报价为评标基准价，其价格分为20分。</w:t>
      </w:r>
    </w:p>
    <w:p w14:paraId="7AC440B3">
      <w:pPr>
        <w:pStyle w:val="10"/>
        <w:spacing w:line="36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（6）价格分计算公式：</w:t>
      </w:r>
    </w:p>
    <w:p w14:paraId="6A1EC800">
      <w:pPr>
        <w:rPr>
          <w:rFonts w:hint="eastAsia" w:ascii="宋体" w:hAnsi="宋体" w:eastAsia="宋体" w:cs="宋体"/>
          <w:color w:val="auto"/>
        </w:rPr>
      </w:pPr>
    </w:p>
    <w:p w14:paraId="01BD6325">
      <w:pPr>
        <w:rPr>
          <w:rFonts w:hint="eastAsia" w:ascii="宋体" w:hAnsi="宋体" w:eastAsia="宋体" w:cs="宋体"/>
          <w:color w:val="auto"/>
        </w:rPr>
      </w:pPr>
    </w:p>
    <w:p w14:paraId="6CAC9DD0">
      <w:pPr>
        <w:ind w:firstLine="3360" w:firstLineChars="1600"/>
        <w:rPr>
          <w:rFonts w:hint="eastAsia" w:ascii="宋体" w:hAnsi="宋体" w:eastAsia="宋体" w:cs="宋体"/>
          <w:color w:val="auto"/>
          <w:szCs w:val="20"/>
        </w:rPr>
      </w:pPr>
      <w:r>
        <w:rPr>
          <w:rFonts w:hint="eastAsia" w:ascii="宋体" w:hAnsi="宋体" w:eastAsia="宋体" w:cs="宋体"/>
          <w:color w:val="auto"/>
          <w:szCs w:val="20"/>
        </w:rPr>
        <w:t>最低投标人评标报价金额</w:t>
      </w:r>
    </w:p>
    <w:p w14:paraId="51CA3B39">
      <w:pPr>
        <w:pStyle w:val="32"/>
        <w:ind w:left="420" w:firstLine="0" w:firstLineChars="0"/>
        <w:rPr>
          <w:rFonts w:hint="eastAsia" w:ascii="宋体" w:hAnsi="宋体" w:eastAsia="宋体" w:cs="宋体"/>
          <w:color w:val="auto"/>
          <w:szCs w:val="20"/>
        </w:rPr>
      </w:pPr>
      <w:r>
        <w:rPr>
          <w:rFonts w:hint="eastAsia" w:ascii="宋体" w:hAnsi="宋体" w:eastAsia="宋体" w:cs="宋体"/>
          <w:color w:val="auto"/>
        </w:rPr>
        <w:pict>
          <v:line id="直接连接符 1" o:spid="_x0000_s2056" o:spt="20" style="position:absolute;left:0pt;margin-left:144pt;margin-top:8.85pt;height:0pt;width:173.15pt;z-index:251662336;mso-width-relative:page;mso-height-relative:page;" coordsize="21600,21600" o:gfxdata="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7puNW1wAAAAkBAAAPAAAAAAAAAAEAIAAAACIAAABkcnMvZG93bnJldi54bWxQSwECFAAUAAAA&#10;CACHTuJArMYshO8BAADmAwAADgAAAAAAAAABACAAAAAmAQAAZHJzL2Uyb0RvYy54bWxQSwUGAAAA&#10;AAYABgBZAQAAhwUAAAAA&#10;">
            <v:path arrowok="t"/>
            <v:fill focussize="0,0"/>
            <v:stroke/>
            <v:imagedata o:title=""/>
            <o:lock v:ext="edit"/>
          </v:line>
        </w:pict>
      </w:r>
      <w:r>
        <w:rPr>
          <w:rFonts w:hint="eastAsia" w:ascii="宋体" w:hAnsi="宋体" w:eastAsia="宋体" w:cs="宋体"/>
          <w:color w:val="auto"/>
          <w:szCs w:val="20"/>
        </w:rPr>
        <w:t>供应商价格分 =                                  　　        ×20分</w:t>
      </w:r>
    </w:p>
    <w:p w14:paraId="744778B5">
      <w:pPr>
        <w:ind w:firstLine="535" w:firstLineChars="255"/>
        <w:rPr>
          <w:rFonts w:hint="eastAsia" w:ascii="宋体" w:hAnsi="宋体" w:eastAsia="宋体" w:cs="宋体"/>
          <w:color w:val="auto"/>
          <w:szCs w:val="21"/>
        </w:rPr>
      </w:pPr>
      <w:r>
        <w:rPr>
          <w:rFonts w:hint="eastAsia" w:ascii="宋体" w:hAnsi="宋体" w:eastAsia="宋体" w:cs="宋体"/>
          <w:color w:val="auto"/>
          <w:szCs w:val="20"/>
        </w:rPr>
        <w:t xml:space="preserve">                              供应商评审报价金额  </w:t>
      </w:r>
    </w:p>
    <w:p w14:paraId="4354100A">
      <w:pPr>
        <w:rPr>
          <w:rFonts w:hint="eastAsia" w:ascii="宋体" w:hAnsi="宋体" w:eastAsia="宋体" w:cs="宋体"/>
          <w:color w:val="auto"/>
        </w:rPr>
      </w:pPr>
    </w:p>
    <w:bookmarkEnd w:id="138"/>
    <w:p w14:paraId="3FF192C0">
      <w:pPr>
        <w:spacing w:line="360" w:lineRule="auto"/>
        <w:jc w:val="left"/>
        <w:rPr>
          <w:rFonts w:hint="eastAsia" w:ascii="宋体" w:hAnsi="宋体" w:eastAsia="宋体" w:cs="宋体"/>
          <w:b/>
          <w:bCs/>
          <w:color w:val="auto"/>
        </w:rPr>
      </w:pPr>
      <w:r>
        <w:rPr>
          <w:rFonts w:hint="eastAsia" w:ascii="宋体" w:hAnsi="宋体" w:eastAsia="宋体" w:cs="宋体"/>
          <w:b/>
          <w:bCs/>
          <w:color w:val="auto"/>
        </w:rPr>
        <w:t>2、技术分…………………………………………………………………………（满分50分）</w:t>
      </w:r>
    </w:p>
    <w:p w14:paraId="44C3331D">
      <w:pPr>
        <w:spacing w:line="360" w:lineRule="auto"/>
        <w:jc w:val="left"/>
        <w:rPr>
          <w:rFonts w:hint="eastAsia" w:ascii="宋体" w:hAnsi="宋体" w:eastAsia="宋体" w:cs="宋体"/>
          <w:color w:val="auto"/>
        </w:rPr>
      </w:pPr>
      <w:r>
        <w:rPr>
          <w:rFonts w:hint="eastAsia" w:ascii="宋体" w:hAnsi="宋体" w:eastAsia="宋体" w:cs="宋体"/>
          <w:color w:val="auto"/>
        </w:rPr>
        <w:t>（1）服务指标及功能分（满分40分）</w:t>
      </w:r>
    </w:p>
    <w:p w14:paraId="7F08452B">
      <w:pPr>
        <w:spacing w:line="360" w:lineRule="auto"/>
        <w:jc w:val="left"/>
        <w:rPr>
          <w:rFonts w:hint="eastAsia" w:ascii="宋体" w:hAnsi="宋体" w:eastAsia="宋体" w:cs="宋体"/>
          <w:color w:val="auto"/>
        </w:rPr>
      </w:pPr>
      <w:r>
        <w:rPr>
          <w:rFonts w:hint="eastAsia" w:ascii="宋体" w:hAnsi="宋体" w:eastAsia="宋体" w:cs="宋体"/>
          <w:color w:val="auto"/>
        </w:rPr>
        <w:t>投标人或投标产品的制造商提供由第三方检测（验）机构出具的，符合下列条款的检测（验）报告复印件，每提供一项检测（验）内容得2分，本项最高不超过分40分，所提供的检测（验）报告必须是通过计量认证（CMA 标识）机构出具的方为有效：</w:t>
      </w:r>
    </w:p>
    <w:p w14:paraId="04E10169">
      <w:pPr>
        <w:spacing w:line="360" w:lineRule="auto"/>
        <w:jc w:val="left"/>
        <w:rPr>
          <w:rFonts w:hint="eastAsia" w:ascii="宋体" w:hAnsi="宋体" w:eastAsia="宋体" w:cs="宋体"/>
          <w:color w:val="auto"/>
        </w:rPr>
      </w:pPr>
      <w:r>
        <w:rPr>
          <w:rFonts w:hint="eastAsia" w:ascii="宋体" w:hAnsi="宋体" w:eastAsia="宋体" w:cs="宋体"/>
          <w:color w:val="auto"/>
        </w:rPr>
        <w:t>1）投标人所提供的“销售控制模块（远程监控终端）”的检测（验）报告包括：①具有自检功能；②具有市电掉电、称台故障的文字提示告警功能；</w:t>
      </w:r>
      <w:bookmarkStart w:id="145" w:name="OLE_LINK2"/>
      <w:r>
        <w:rPr>
          <w:rFonts w:hint="eastAsia" w:ascii="宋体" w:hAnsi="宋体" w:eastAsia="宋体" w:cs="宋体"/>
          <w:color w:val="auto"/>
        </w:rPr>
        <w:t>③</w:t>
      </w:r>
      <w:bookmarkEnd w:id="145"/>
      <w:r>
        <w:rPr>
          <w:rFonts w:hint="eastAsia" w:ascii="宋体" w:hAnsi="宋体" w:eastAsia="宋体" w:cs="宋体"/>
          <w:color w:val="auto"/>
        </w:rPr>
        <w:t>支持数据中心对本终端的远程控制功能：补光灯控制、风扇控制、设备锁定控制、电源重启控制；④支持称台防称重作弊功能；具有通过串口采集称台数据的功能；⑤具有电源自动切换功能：当市电掉电后设备能自动切换至备用电源，市电恢复后能自动切换回市电供电，并自动对UPS充电；⑥UPS后备电源功能：当市电掉电后产品能正常继续工作24小时以上。</w:t>
      </w:r>
    </w:p>
    <w:p w14:paraId="124725BE">
      <w:pPr>
        <w:spacing w:line="360" w:lineRule="auto"/>
        <w:jc w:val="left"/>
        <w:rPr>
          <w:rFonts w:hint="eastAsia" w:ascii="宋体" w:hAnsi="宋体" w:eastAsia="宋体" w:cs="宋体"/>
          <w:color w:val="auto"/>
        </w:rPr>
      </w:pPr>
      <w:r>
        <w:rPr>
          <w:rFonts w:hint="eastAsia" w:ascii="宋体" w:hAnsi="宋体" w:eastAsia="宋体" w:cs="宋体"/>
          <w:color w:val="auto"/>
        </w:rPr>
        <w:t>2）投标人所提供的“车牌识别模块（智能出入口摄像机）”的检测（验）报告包括：①防起雾功能:支持根据相机内部温度及设定阈值，自动开启玻璃加热；②车辆识别:支持车型、车标、车系、车身颜色、车脸特征、车牌、无牌车识别，车牌识别率≥99.9%。</w:t>
      </w:r>
    </w:p>
    <w:p w14:paraId="2AB2319A">
      <w:pPr>
        <w:spacing w:line="360" w:lineRule="auto"/>
        <w:jc w:val="left"/>
        <w:rPr>
          <w:rFonts w:hint="eastAsia" w:ascii="宋体" w:hAnsi="宋体" w:eastAsia="宋体" w:cs="宋体"/>
          <w:color w:val="auto"/>
        </w:rPr>
      </w:pPr>
      <w:r>
        <w:rPr>
          <w:rFonts w:hint="eastAsia" w:ascii="宋体" w:hAnsi="宋体" w:eastAsia="宋体" w:cs="宋体"/>
          <w:color w:val="auto"/>
        </w:rPr>
        <w:t>3）投标人所提供的“货物识别模块（网络摄像机）”的检测（验）报告包括：①设备支持自动防闪烁功能,开启该功能后,可以消除闪烁条纹；②设备具有精准搜索功能，开启后可检测分析画面中人体各类特征后形成结构化数据上传后端；③设备支持一键诊断网络工况、运行工况;支持网络抓包、运行日志导出。</w:t>
      </w:r>
    </w:p>
    <w:p w14:paraId="412C5ED3">
      <w:pPr>
        <w:spacing w:line="360" w:lineRule="auto"/>
        <w:jc w:val="left"/>
        <w:rPr>
          <w:rFonts w:hint="eastAsia" w:ascii="宋体" w:hAnsi="宋体" w:eastAsia="宋体" w:cs="宋体"/>
          <w:color w:val="auto"/>
        </w:rPr>
      </w:pPr>
      <w:r>
        <w:rPr>
          <w:rFonts w:hint="eastAsia" w:ascii="宋体" w:hAnsi="宋体" w:eastAsia="宋体" w:cs="宋体"/>
          <w:color w:val="auto"/>
        </w:rPr>
        <w:t>4）投标人所提供的“防逃逸控制系统（偷逃遁监控装置）”的监测（验）报告包括：①可通过市电、蓄电池、太阳能三种方式供电；②车辆通过监测；③车辆行驶方向自动判断；</w:t>
      </w:r>
      <w:bookmarkStart w:id="146" w:name="OLE_LINK3"/>
      <w:r>
        <w:rPr>
          <w:rFonts w:hint="eastAsia" w:ascii="宋体" w:hAnsi="宋体" w:eastAsia="宋体" w:cs="宋体"/>
          <w:color w:val="auto"/>
        </w:rPr>
        <w:t>④</w:t>
      </w:r>
      <w:bookmarkEnd w:id="146"/>
      <w:r>
        <w:rPr>
          <w:rFonts w:hint="eastAsia" w:ascii="宋体" w:hAnsi="宋体" w:eastAsia="宋体" w:cs="宋体"/>
          <w:color w:val="auto"/>
        </w:rPr>
        <w:t>车辆类型自动判断；⑤车辆身份自动识别；⑥设备工作状态自动感知。</w:t>
      </w:r>
    </w:p>
    <w:p w14:paraId="314C0402">
      <w:pPr>
        <w:spacing w:line="360" w:lineRule="auto"/>
        <w:jc w:val="left"/>
        <w:rPr>
          <w:rFonts w:hint="eastAsia" w:ascii="宋体" w:hAnsi="宋体" w:eastAsia="宋体" w:cs="宋体"/>
          <w:color w:val="auto"/>
        </w:rPr>
      </w:pPr>
      <w:r>
        <w:rPr>
          <w:rFonts w:hint="eastAsia" w:ascii="宋体" w:hAnsi="宋体" w:eastAsia="宋体" w:cs="宋体"/>
          <w:color w:val="auto"/>
        </w:rPr>
        <w:t>5）投标人所提供的“抓拍识别服务（一体化抓拍单元）”的检测（验）报告包括：①支持绘线显示功能，可在相机视频预览界面显示目前画线配置情况并标注每条线的名称；②支持根据11个结果选择进行数据展示界面的自定义设置，包括序号、抓拍时间、事件类型、车道、车牌、车牌颜色、车速（km/h）、车身颜色、车辆类型、车标、全部；③支持图片预览界面单张或四宫格形式对抓拍图片进行展示；④支持图片预览界面对抓拍图片进行放大、旋转、平移等操作。</w:t>
      </w:r>
    </w:p>
    <w:p w14:paraId="0DEF3E68">
      <w:pPr>
        <w:spacing w:line="360" w:lineRule="auto"/>
        <w:jc w:val="left"/>
        <w:rPr>
          <w:rFonts w:hint="eastAsia" w:ascii="宋体" w:hAnsi="宋体" w:eastAsia="宋体" w:cs="宋体"/>
          <w:color w:val="auto"/>
        </w:rPr>
      </w:pPr>
      <w:r>
        <w:rPr>
          <w:rFonts w:hint="eastAsia" w:ascii="宋体" w:hAnsi="宋体" w:eastAsia="宋体" w:cs="宋体"/>
          <w:color w:val="auto"/>
        </w:rPr>
        <w:t>(2)质量保证分（满分10分）</w:t>
      </w:r>
    </w:p>
    <w:p w14:paraId="3F4D760D">
      <w:pPr>
        <w:spacing w:line="360" w:lineRule="auto"/>
        <w:jc w:val="left"/>
        <w:rPr>
          <w:rFonts w:hint="eastAsia" w:ascii="宋体" w:hAnsi="宋体" w:eastAsia="宋体" w:cs="宋体"/>
          <w:color w:val="auto"/>
        </w:rPr>
      </w:pPr>
      <w:r>
        <w:rPr>
          <w:rFonts w:hint="eastAsia" w:ascii="宋体" w:hAnsi="宋体" w:eastAsia="宋体" w:cs="宋体"/>
          <w:color w:val="auto"/>
        </w:rPr>
        <w:t>1）为确保本次服务采购与现有管理系统的兼容性，投标人获得本项目现有管理系统软件（信息汇集综合分析服务）开发商</w:t>
      </w:r>
      <w:r>
        <w:rPr>
          <w:rFonts w:hint="eastAsia" w:ascii="宋体" w:hAnsi="宋体" w:eastAsia="宋体" w:cs="宋体"/>
          <w:color w:val="auto"/>
          <w:lang w:val="en-US" w:eastAsia="zh-CN"/>
        </w:rPr>
        <w:t>加盖公章的</w:t>
      </w:r>
      <w:r>
        <w:rPr>
          <w:rFonts w:hint="eastAsia" w:ascii="宋体" w:hAnsi="宋体" w:eastAsia="宋体" w:cs="宋体"/>
          <w:color w:val="auto"/>
        </w:rPr>
        <w:t>授权书，提供开发商</w:t>
      </w:r>
      <w:r>
        <w:rPr>
          <w:rFonts w:hint="eastAsia" w:ascii="宋体" w:hAnsi="宋体" w:eastAsia="宋体" w:cs="宋体"/>
          <w:color w:val="auto"/>
          <w:lang w:val="en-US" w:eastAsia="zh-CN"/>
        </w:rPr>
        <w:t>加盖公章的</w:t>
      </w:r>
      <w:r>
        <w:rPr>
          <w:rFonts w:hint="eastAsia" w:ascii="宋体" w:hAnsi="宋体" w:eastAsia="宋体" w:cs="宋体"/>
          <w:color w:val="auto"/>
        </w:rPr>
        <w:t>授权书</w:t>
      </w:r>
      <w:r>
        <w:rPr>
          <w:rFonts w:hint="eastAsia" w:ascii="宋体" w:hAnsi="宋体" w:eastAsia="宋体" w:cs="宋体"/>
          <w:color w:val="auto"/>
          <w:lang w:val="en-US" w:eastAsia="zh-CN"/>
        </w:rPr>
        <w:t>扫描件</w:t>
      </w:r>
      <w:r>
        <w:rPr>
          <w:rFonts w:hint="eastAsia" w:ascii="宋体" w:hAnsi="宋体" w:eastAsia="宋体" w:cs="宋体"/>
          <w:color w:val="auto"/>
        </w:rPr>
        <w:t>的得5分，未提供的不得分。</w:t>
      </w:r>
    </w:p>
    <w:p w14:paraId="382FE561">
      <w:pPr>
        <w:spacing w:line="360" w:lineRule="auto"/>
        <w:jc w:val="left"/>
        <w:rPr>
          <w:rFonts w:hint="eastAsia" w:ascii="宋体" w:hAnsi="宋体" w:eastAsia="宋体" w:cs="宋体"/>
          <w:color w:val="auto"/>
        </w:rPr>
      </w:pPr>
      <w:r>
        <w:rPr>
          <w:rFonts w:hint="eastAsia" w:ascii="宋体" w:hAnsi="宋体" w:eastAsia="宋体" w:cs="宋体"/>
          <w:color w:val="auto"/>
        </w:rPr>
        <w:t>2）为确保本次服务采购的质量，投标人提供的本项目主要服务模块（</w:t>
      </w:r>
      <w:r>
        <w:rPr>
          <w:rFonts w:hint="eastAsia" w:ascii="宋体" w:hAnsi="宋体" w:eastAsia="宋体" w:cs="宋体"/>
          <w:color w:val="auto"/>
          <w:kern w:val="0"/>
          <w:szCs w:val="21"/>
        </w:rPr>
        <w:t>销售控制模块、车牌识别模块、货物识别模块、防逃逸控制系统、</w:t>
      </w:r>
      <w:r>
        <w:rPr>
          <w:rFonts w:hint="eastAsia" w:ascii="宋体" w:hAnsi="宋体" w:eastAsia="宋体" w:cs="宋体"/>
          <w:color w:val="auto"/>
          <w:szCs w:val="21"/>
        </w:rPr>
        <w:t>抓拍识别服务</w:t>
      </w:r>
      <w:r>
        <w:rPr>
          <w:rFonts w:hint="eastAsia" w:ascii="宋体" w:hAnsi="宋体" w:eastAsia="宋体" w:cs="宋体"/>
          <w:color w:val="auto"/>
        </w:rPr>
        <w:t>）备品备件均为制造商原厂配件，提供制造商</w:t>
      </w:r>
      <w:r>
        <w:rPr>
          <w:rFonts w:hint="eastAsia" w:ascii="宋体" w:hAnsi="宋体" w:eastAsia="宋体" w:cs="宋体"/>
          <w:color w:val="auto"/>
          <w:lang w:val="en-US" w:eastAsia="zh-CN"/>
        </w:rPr>
        <w:t>加盖公章的</w:t>
      </w:r>
      <w:r>
        <w:rPr>
          <w:rFonts w:hint="eastAsia" w:ascii="宋体" w:hAnsi="宋体" w:eastAsia="宋体" w:cs="宋体"/>
          <w:color w:val="auto"/>
        </w:rPr>
        <w:t>售后服务承诺书</w:t>
      </w:r>
      <w:r>
        <w:rPr>
          <w:rFonts w:hint="eastAsia" w:ascii="宋体" w:hAnsi="宋体" w:eastAsia="宋体" w:cs="宋体"/>
          <w:color w:val="auto"/>
          <w:lang w:val="en-US" w:eastAsia="zh-CN"/>
        </w:rPr>
        <w:t>扫描件</w:t>
      </w:r>
      <w:r>
        <w:rPr>
          <w:rFonts w:hint="eastAsia" w:ascii="宋体" w:hAnsi="宋体" w:eastAsia="宋体" w:cs="宋体"/>
          <w:color w:val="auto"/>
        </w:rPr>
        <w:t>的得5分，未提供的不得分。</w:t>
      </w:r>
    </w:p>
    <w:p w14:paraId="7A7EAF34">
      <w:pPr>
        <w:spacing w:line="360" w:lineRule="auto"/>
        <w:jc w:val="left"/>
        <w:rPr>
          <w:rFonts w:hint="eastAsia" w:ascii="宋体" w:hAnsi="宋体" w:eastAsia="宋体" w:cs="宋体"/>
          <w:color w:val="auto"/>
        </w:rPr>
      </w:pPr>
    </w:p>
    <w:p w14:paraId="1695C588">
      <w:pPr>
        <w:spacing w:line="360" w:lineRule="auto"/>
        <w:jc w:val="left"/>
        <w:rPr>
          <w:rFonts w:hint="eastAsia" w:ascii="宋体" w:hAnsi="宋体" w:eastAsia="宋体" w:cs="宋体"/>
          <w:b/>
          <w:bCs/>
          <w:color w:val="auto"/>
        </w:rPr>
      </w:pPr>
      <w:r>
        <w:rPr>
          <w:rFonts w:hint="eastAsia" w:ascii="宋体" w:hAnsi="宋体" w:eastAsia="宋体" w:cs="宋体"/>
          <w:b/>
          <w:bCs/>
          <w:color w:val="auto"/>
        </w:rPr>
        <w:t>3、履约能力分………………………………………………………………………（满分30分）</w:t>
      </w:r>
    </w:p>
    <w:p w14:paraId="4F8EB5AE">
      <w:pPr>
        <w:spacing w:line="360" w:lineRule="auto"/>
        <w:jc w:val="left"/>
        <w:rPr>
          <w:rFonts w:hint="eastAsia" w:ascii="宋体" w:hAnsi="宋体" w:eastAsia="宋体" w:cs="宋体"/>
          <w:color w:val="auto"/>
        </w:rPr>
      </w:pPr>
      <w:r>
        <w:rPr>
          <w:rFonts w:hint="eastAsia" w:ascii="宋体" w:hAnsi="宋体" w:eastAsia="宋体" w:cs="宋体"/>
          <w:color w:val="auto"/>
        </w:rPr>
        <w:t>（1）投标人2022年以来具有信息化系统服务类（或建设类）实施经验，每提供一个类似案例合同复印件得2分，最多得10分。</w:t>
      </w:r>
    </w:p>
    <w:p w14:paraId="6D4D354D">
      <w:pPr>
        <w:spacing w:line="360" w:lineRule="auto"/>
        <w:jc w:val="left"/>
        <w:rPr>
          <w:rFonts w:hint="eastAsia" w:ascii="宋体" w:hAnsi="宋体" w:eastAsia="宋体" w:cs="宋体"/>
          <w:color w:val="auto"/>
        </w:rPr>
      </w:pPr>
      <w:r>
        <w:rPr>
          <w:rFonts w:hint="eastAsia" w:ascii="宋体" w:hAnsi="宋体" w:eastAsia="宋体" w:cs="宋体"/>
          <w:color w:val="auto"/>
        </w:rPr>
        <w:t>（2）提供项目的技术方案（包括但不限于：总体框架构，系统的建设思路、网络拓扑、典型设计、数据库设计、系统功能、业务模式等）。根据技术方案的实用性、合理性、完整性进行评分，清楚详实响应招文件要求。（满分10分）</w:t>
      </w:r>
    </w:p>
    <w:p w14:paraId="48F35D34">
      <w:pPr>
        <w:spacing w:line="360" w:lineRule="auto"/>
        <w:jc w:val="left"/>
        <w:rPr>
          <w:rFonts w:hint="eastAsia" w:ascii="宋体" w:hAnsi="宋体" w:eastAsia="宋体" w:cs="宋体"/>
          <w:color w:val="auto"/>
        </w:rPr>
      </w:pPr>
      <w:r>
        <w:rPr>
          <w:rFonts w:hint="eastAsia" w:ascii="宋体" w:hAnsi="宋体" w:eastAsia="宋体" w:cs="宋体"/>
          <w:color w:val="auto"/>
        </w:rPr>
        <w:t>一档：实用性、合理性、完整性评定为差的，得0分；</w:t>
      </w:r>
    </w:p>
    <w:p w14:paraId="139D44BB">
      <w:pPr>
        <w:spacing w:line="360" w:lineRule="auto"/>
        <w:jc w:val="left"/>
        <w:rPr>
          <w:rFonts w:hint="eastAsia" w:ascii="宋体" w:hAnsi="宋体" w:eastAsia="宋体" w:cs="宋体"/>
          <w:color w:val="auto"/>
        </w:rPr>
      </w:pPr>
      <w:r>
        <w:rPr>
          <w:rFonts w:hint="eastAsia" w:ascii="宋体" w:hAnsi="宋体" w:eastAsia="宋体" w:cs="宋体"/>
          <w:color w:val="auto"/>
        </w:rPr>
        <w:t>二档：实用性、合理性、完整性评定为一般的，得4分；</w:t>
      </w:r>
    </w:p>
    <w:p w14:paraId="0ECFB7D0">
      <w:pPr>
        <w:spacing w:line="360" w:lineRule="auto"/>
        <w:jc w:val="left"/>
        <w:rPr>
          <w:rFonts w:hint="eastAsia" w:ascii="宋体" w:hAnsi="宋体" w:eastAsia="宋体" w:cs="宋体"/>
          <w:color w:val="auto"/>
        </w:rPr>
      </w:pPr>
      <w:r>
        <w:rPr>
          <w:rFonts w:hint="eastAsia" w:ascii="宋体" w:hAnsi="宋体" w:eastAsia="宋体" w:cs="宋体"/>
          <w:color w:val="auto"/>
        </w:rPr>
        <w:t>三档：实用性、合理性、完整性评定为良好的，得7分；</w:t>
      </w:r>
    </w:p>
    <w:p w14:paraId="05317055">
      <w:pPr>
        <w:spacing w:line="360" w:lineRule="auto"/>
        <w:jc w:val="left"/>
        <w:rPr>
          <w:rFonts w:hint="eastAsia" w:ascii="宋体" w:hAnsi="宋体" w:eastAsia="宋体" w:cs="宋体"/>
          <w:color w:val="auto"/>
        </w:rPr>
      </w:pPr>
      <w:r>
        <w:rPr>
          <w:rFonts w:hint="eastAsia" w:ascii="宋体" w:hAnsi="宋体" w:eastAsia="宋体" w:cs="宋体"/>
          <w:color w:val="auto"/>
        </w:rPr>
        <w:t>四档：实用性、合理性、完整性评定为优秀的，得10分。</w:t>
      </w:r>
    </w:p>
    <w:p w14:paraId="1C019EF2">
      <w:pPr>
        <w:spacing w:line="360" w:lineRule="auto"/>
        <w:jc w:val="left"/>
        <w:rPr>
          <w:rFonts w:hint="eastAsia" w:ascii="宋体" w:hAnsi="宋体" w:eastAsia="宋体" w:cs="宋体"/>
          <w:color w:val="auto"/>
        </w:rPr>
      </w:pPr>
      <w:r>
        <w:rPr>
          <w:rFonts w:hint="eastAsia" w:ascii="宋体" w:hAnsi="宋体" w:eastAsia="宋体" w:cs="宋体"/>
          <w:color w:val="auto"/>
        </w:rPr>
        <w:t>（3）投标人提供完善的项目售后服务方案，包括但不限于：运维服务机构设置、运维服务机构名称及联系方式、运维服务管理方案、运维服务投诉、改进、满意度、培训管理方案，服务响应及服务保障措施等，根据投标人提供方案的完整性及合理性等进行综合比较。（满分10分）</w:t>
      </w:r>
    </w:p>
    <w:p w14:paraId="3F336CE9">
      <w:pPr>
        <w:spacing w:line="360" w:lineRule="auto"/>
        <w:jc w:val="left"/>
        <w:rPr>
          <w:rFonts w:hint="eastAsia" w:ascii="宋体" w:hAnsi="宋体" w:eastAsia="宋体" w:cs="宋体"/>
          <w:color w:val="auto"/>
        </w:rPr>
      </w:pPr>
      <w:r>
        <w:rPr>
          <w:rFonts w:hint="eastAsia" w:ascii="宋体" w:hAnsi="宋体" w:eastAsia="宋体" w:cs="宋体"/>
          <w:color w:val="auto"/>
        </w:rPr>
        <w:t>一档：完整性及合理性评定为差的，得0分；</w:t>
      </w:r>
    </w:p>
    <w:p w14:paraId="41717A15">
      <w:pPr>
        <w:spacing w:line="360" w:lineRule="auto"/>
        <w:jc w:val="left"/>
        <w:rPr>
          <w:rFonts w:hint="eastAsia" w:ascii="宋体" w:hAnsi="宋体" w:eastAsia="宋体" w:cs="宋体"/>
          <w:color w:val="auto"/>
        </w:rPr>
      </w:pPr>
      <w:r>
        <w:rPr>
          <w:rFonts w:hint="eastAsia" w:ascii="宋体" w:hAnsi="宋体" w:eastAsia="宋体" w:cs="宋体"/>
          <w:color w:val="auto"/>
        </w:rPr>
        <w:t>二档：完整性及合理性评定为一般的，得4分；</w:t>
      </w:r>
    </w:p>
    <w:p w14:paraId="384D3F02">
      <w:pPr>
        <w:spacing w:line="360" w:lineRule="auto"/>
        <w:jc w:val="left"/>
        <w:rPr>
          <w:rFonts w:hint="eastAsia" w:ascii="宋体" w:hAnsi="宋体" w:eastAsia="宋体" w:cs="宋体"/>
          <w:color w:val="auto"/>
        </w:rPr>
      </w:pPr>
      <w:r>
        <w:rPr>
          <w:rFonts w:hint="eastAsia" w:ascii="宋体" w:hAnsi="宋体" w:eastAsia="宋体" w:cs="宋体"/>
          <w:color w:val="auto"/>
        </w:rPr>
        <w:t>三档：完整性及合理性评定为良好的，得7分；</w:t>
      </w:r>
    </w:p>
    <w:p w14:paraId="56456F1F">
      <w:pPr>
        <w:spacing w:line="360" w:lineRule="auto"/>
        <w:jc w:val="left"/>
        <w:rPr>
          <w:rFonts w:hint="eastAsia" w:ascii="宋体" w:hAnsi="宋体" w:eastAsia="宋体" w:cs="宋体"/>
          <w:color w:val="auto"/>
        </w:rPr>
      </w:pPr>
      <w:r>
        <w:rPr>
          <w:rFonts w:hint="eastAsia" w:ascii="宋体" w:hAnsi="宋体" w:eastAsia="宋体" w:cs="宋体"/>
          <w:color w:val="auto"/>
        </w:rPr>
        <w:t>四档：完整性及合理性评定为优秀的，得10分。</w:t>
      </w:r>
    </w:p>
    <w:p w14:paraId="6067678E">
      <w:pPr>
        <w:spacing w:line="360" w:lineRule="auto"/>
        <w:ind w:firstLine="420" w:firstLineChars="199"/>
        <w:rPr>
          <w:rFonts w:hint="eastAsia" w:ascii="宋体" w:hAnsi="宋体" w:eastAsia="宋体" w:cs="宋体"/>
          <w:b/>
          <w:color w:val="auto"/>
          <w:w w:val="150"/>
          <w:szCs w:val="20"/>
        </w:rPr>
      </w:pPr>
      <w:r>
        <w:rPr>
          <w:rFonts w:hint="eastAsia" w:ascii="宋体" w:hAnsi="宋体" w:eastAsia="宋体" w:cs="宋体"/>
          <w:b/>
          <w:color w:val="auto"/>
          <w:szCs w:val="20"/>
        </w:rPr>
        <w:t>8. 综合得分＝</w:t>
      </w:r>
      <w:r>
        <w:rPr>
          <w:rFonts w:hint="eastAsia" w:ascii="宋体" w:hAnsi="宋体" w:eastAsia="宋体" w:cs="宋体"/>
          <w:b/>
          <w:color w:val="auto"/>
          <w:w w:val="150"/>
          <w:szCs w:val="20"/>
        </w:rPr>
        <w:t>1+2+3</w:t>
      </w:r>
    </w:p>
    <w:p w14:paraId="2870DEB8">
      <w:pPr>
        <w:pStyle w:val="10"/>
        <w:tabs>
          <w:tab w:val="left" w:pos="4214"/>
        </w:tabs>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三、推荐及确定中标候选供应商原则</w:t>
      </w:r>
    </w:p>
    <w:p w14:paraId="2E8BA287">
      <w:pPr>
        <w:pStyle w:val="10"/>
        <w:tabs>
          <w:tab w:val="left" w:pos="4214"/>
        </w:tabs>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（1）评标委员会根据综合得分由高到低排列次序，若得分相同时，按评标价由低到高顺序排列；得分相同且评标价也相同的由评标委员会按照抽签的方式决定排次次序。</w:t>
      </w:r>
    </w:p>
    <w:p w14:paraId="47D19EAB">
      <w:pPr>
        <w:pStyle w:val="10"/>
        <w:tabs>
          <w:tab w:val="left" w:pos="4214"/>
        </w:tabs>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（2）评标委员会可推荐前三名为中标候选人，采购人应当确定评标委员会推荐排名第一的中标候选人为成交人。</w:t>
      </w:r>
    </w:p>
    <w:p w14:paraId="7AC02878">
      <w:pPr>
        <w:pStyle w:val="10"/>
        <w:tabs>
          <w:tab w:val="left" w:pos="4214"/>
        </w:tabs>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成交人，并依此类推。</w:t>
      </w:r>
    </w:p>
    <w:p w14:paraId="4E6A94F5">
      <w:pPr>
        <w:spacing w:line="360" w:lineRule="auto"/>
        <w:ind w:firstLine="426" w:firstLineChars="202"/>
        <w:jc w:val="left"/>
        <w:rPr>
          <w:rFonts w:hint="eastAsia" w:ascii="宋体" w:hAnsi="宋体" w:eastAsia="宋体" w:cs="宋体"/>
          <w:b/>
          <w:color w:val="auto"/>
          <w:szCs w:val="21"/>
        </w:rPr>
      </w:pPr>
      <w:r>
        <w:rPr>
          <w:rFonts w:hint="eastAsia" w:ascii="宋体" w:hAnsi="宋体" w:eastAsia="宋体" w:cs="宋体"/>
          <w:b/>
          <w:color w:val="auto"/>
          <w:szCs w:val="21"/>
        </w:rPr>
        <w:t>四、特别说明</w:t>
      </w:r>
    </w:p>
    <w:p w14:paraId="5D8E234C">
      <w:pPr>
        <w:spacing w:line="340" w:lineRule="exact"/>
        <w:ind w:firstLine="422" w:firstLineChars="200"/>
        <w:rPr>
          <w:rFonts w:hint="eastAsia" w:ascii="宋体" w:hAnsi="宋体" w:eastAsia="宋体" w:cs="宋体"/>
          <w:color w:val="auto"/>
        </w:rPr>
      </w:pPr>
      <w:r>
        <w:rPr>
          <w:rFonts w:hint="eastAsia" w:ascii="宋体" w:hAnsi="宋体" w:eastAsia="宋体" w:cs="宋体"/>
          <w:b/>
          <w:bCs/>
          <w:color w:val="auto"/>
          <w:szCs w:val="21"/>
          <w:u w:val="double"/>
        </w:rPr>
        <w:t>评审时，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E4EC3D6">
      <w:pPr>
        <w:rPr>
          <w:rFonts w:hint="eastAsia" w:ascii="宋体" w:hAnsi="宋体" w:eastAsia="宋体" w:cs="宋体"/>
          <w:color w:val="auto"/>
        </w:rPr>
      </w:pPr>
    </w:p>
    <w:p w14:paraId="329B4EBE">
      <w:pPr>
        <w:pStyle w:val="2"/>
        <w:pageBreakBefore/>
        <w:tabs>
          <w:tab w:val="left" w:pos="0"/>
        </w:tabs>
        <w:autoSpaceDE w:val="0"/>
        <w:autoSpaceDN w:val="0"/>
        <w:adjustRightInd w:val="0"/>
        <w:spacing w:before="0" w:after="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第五章 采购合同（合同主要条款及格式）</w:t>
      </w:r>
      <w:bookmarkEnd w:id="139"/>
      <w:bookmarkEnd w:id="140"/>
      <w:bookmarkEnd w:id="141"/>
      <w:bookmarkEnd w:id="142"/>
      <w:bookmarkEnd w:id="143"/>
    </w:p>
    <w:p w14:paraId="42D2D242">
      <w:pPr>
        <w:spacing w:line="400" w:lineRule="exact"/>
        <w:rPr>
          <w:rFonts w:hint="eastAsia" w:ascii="宋体" w:hAnsi="宋体" w:eastAsia="宋体" w:cs="宋体"/>
          <w:color w:val="auto"/>
        </w:rPr>
      </w:pPr>
      <w:bookmarkStart w:id="147" w:name="_Toc10014"/>
      <w:bookmarkStart w:id="148" w:name="_Toc24269"/>
      <w:r>
        <w:rPr>
          <w:rFonts w:hint="eastAsia" w:ascii="宋体" w:hAnsi="宋体" w:eastAsia="宋体" w:cs="宋体"/>
          <w:color w:val="auto"/>
        </w:rPr>
        <w:t>合同编号：</w:t>
      </w:r>
    </w:p>
    <w:p w14:paraId="63A9A577">
      <w:pPr>
        <w:spacing w:line="400" w:lineRule="exact"/>
        <w:rPr>
          <w:rFonts w:hint="eastAsia" w:ascii="宋体" w:hAnsi="宋体" w:eastAsia="宋体" w:cs="宋体"/>
          <w:color w:val="auto"/>
        </w:rPr>
      </w:pPr>
      <w:r>
        <w:rPr>
          <w:rFonts w:hint="eastAsia" w:ascii="宋体" w:hAnsi="宋体" w:eastAsia="宋体" w:cs="宋体"/>
          <w:color w:val="auto"/>
        </w:rPr>
        <w:t>项目名称：</w:t>
      </w:r>
    </w:p>
    <w:p w14:paraId="13095CB9">
      <w:pPr>
        <w:spacing w:line="400" w:lineRule="exact"/>
        <w:rPr>
          <w:rFonts w:hint="eastAsia" w:ascii="宋体" w:hAnsi="宋体" w:eastAsia="宋体" w:cs="宋体"/>
          <w:color w:val="auto"/>
        </w:rPr>
      </w:pPr>
      <w:r>
        <w:rPr>
          <w:rFonts w:hint="eastAsia" w:ascii="宋体" w:hAnsi="宋体" w:eastAsia="宋体" w:cs="宋体"/>
          <w:color w:val="auto"/>
        </w:rPr>
        <w:t>项目编号：</w:t>
      </w:r>
    </w:p>
    <w:p w14:paraId="573C6A73">
      <w:pPr>
        <w:spacing w:line="400" w:lineRule="exact"/>
        <w:rPr>
          <w:rFonts w:hint="eastAsia" w:ascii="宋体" w:hAnsi="宋体" w:eastAsia="宋体" w:cs="宋体"/>
          <w:color w:val="auto"/>
          <w:u w:val="single"/>
        </w:rPr>
      </w:pPr>
      <w:r>
        <w:rPr>
          <w:rFonts w:hint="eastAsia" w:ascii="宋体" w:hAnsi="宋体" w:eastAsia="宋体" w:cs="宋体"/>
          <w:color w:val="auto"/>
        </w:rPr>
        <w:t>甲方：（采购人）</w:t>
      </w:r>
    </w:p>
    <w:p w14:paraId="3A5D6698">
      <w:pPr>
        <w:spacing w:line="400" w:lineRule="exact"/>
        <w:rPr>
          <w:rFonts w:hint="eastAsia" w:ascii="宋体" w:hAnsi="宋体" w:eastAsia="宋体" w:cs="宋体"/>
          <w:color w:val="auto"/>
        </w:rPr>
      </w:pPr>
      <w:r>
        <w:rPr>
          <w:rFonts w:hint="eastAsia" w:ascii="宋体" w:hAnsi="宋体" w:eastAsia="宋体" w:cs="宋体"/>
          <w:color w:val="auto"/>
        </w:rPr>
        <w:t>乙方：（中标供应商）</w:t>
      </w:r>
    </w:p>
    <w:p w14:paraId="48688698">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根据《中华人民共和国政府采购法》、《中华人民共和国政府采购法实施条例》、《中华人民共和国民法典》等法律、法规规定，按照竞争性磋商文件规定条款和成交供应商承诺，甲乙双方签订本采购合同。</w:t>
      </w:r>
    </w:p>
    <w:p w14:paraId="22E581CA">
      <w:pPr>
        <w:spacing w:line="400" w:lineRule="exact"/>
        <w:ind w:firstLine="413" w:firstLineChars="196"/>
        <w:outlineLvl w:val="1"/>
        <w:rPr>
          <w:rFonts w:hint="eastAsia" w:ascii="宋体" w:hAnsi="宋体" w:eastAsia="宋体" w:cs="宋体"/>
          <w:color w:val="auto"/>
        </w:rPr>
      </w:pPr>
      <w:bookmarkStart w:id="149" w:name="_Toc1450"/>
      <w:bookmarkStart w:id="150" w:name="_Toc5941"/>
      <w:bookmarkStart w:id="151" w:name="_Toc10106"/>
      <w:bookmarkStart w:id="152" w:name="_Toc22481"/>
      <w:bookmarkStart w:id="153" w:name="_Toc7911"/>
      <w:bookmarkStart w:id="154" w:name="_Toc28010"/>
      <w:bookmarkStart w:id="155" w:name="_Toc495841768"/>
      <w:bookmarkStart w:id="156" w:name="_Toc10962"/>
      <w:bookmarkStart w:id="157" w:name="_Toc9219"/>
      <w:r>
        <w:rPr>
          <w:rFonts w:hint="eastAsia" w:ascii="宋体" w:hAnsi="宋体" w:eastAsia="宋体" w:cs="宋体"/>
          <w:b/>
          <w:color w:val="auto"/>
          <w:szCs w:val="21"/>
        </w:rPr>
        <w:t>第一条  合同标的及合同金额</w:t>
      </w:r>
      <w:bookmarkEnd w:id="149"/>
      <w:bookmarkEnd w:id="150"/>
      <w:bookmarkEnd w:id="151"/>
      <w:bookmarkEnd w:id="152"/>
      <w:bookmarkEnd w:id="153"/>
      <w:bookmarkEnd w:id="154"/>
      <w:bookmarkEnd w:id="155"/>
      <w:bookmarkEnd w:id="156"/>
      <w:bookmarkEnd w:id="157"/>
    </w:p>
    <w:tbl>
      <w:tblPr>
        <w:tblStyle w:val="18"/>
        <w:tblW w:w="8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073"/>
        <w:gridCol w:w="714"/>
        <w:gridCol w:w="1545"/>
        <w:gridCol w:w="1575"/>
      </w:tblGrid>
      <w:tr w14:paraId="56D5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shd w:val="clear" w:color="auto" w:fill="8DB3E2"/>
            <w:vAlign w:val="center"/>
          </w:tcPr>
          <w:p w14:paraId="6996DFC7">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项号</w:t>
            </w:r>
          </w:p>
        </w:tc>
        <w:tc>
          <w:tcPr>
            <w:tcW w:w="1232" w:type="dxa"/>
            <w:shd w:val="clear" w:color="auto" w:fill="8DB3E2"/>
            <w:vAlign w:val="center"/>
          </w:tcPr>
          <w:p w14:paraId="6DB98BA4">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服务名称</w:t>
            </w:r>
          </w:p>
        </w:tc>
        <w:tc>
          <w:tcPr>
            <w:tcW w:w="1445" w:type="dxa"/>
            <w:shd w:val="clear" w:color="auto" w:fill="8DB3E2"/>
            <w:vAlign w:val="center"/>
          </w:tcPr>
          <w:p w14:paraId="2D856662">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30"/>
              </w:rPr>
              <w:t>服务内容</w:t>
            </w:r>
          </w:p>
        </w:tc>
        <w:tc>
          <w:tcPr>
            <w:tcW w:w="1073" w:type="dxa"/>
            <w:shd w:val="clear" w:color="auto" w:fill="8DB3E2"/>
            <w:vAlign w:val="center"/>
          </w:tcPr>
          <w:p w14:paraId="60B316D1">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数量</w:t>
            </w:r>
          </w:p>
          <w:p w14:paraId="7E68D1BC">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①</w:t>
            </w:r>
          </w:p>
        </w:tc>
        <w:tc>
          <w:tcPr>
            <w:tcW w:w="714" w:type="dxa"/>
            <w:shd w:val="clear" w:color="auto" w:fill="8DB3E2"/>
            <w:vAlign w:val="center"/>
          </w:tcPr>
          <w:p w14:paraId="3293A0F1">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单位</w:t>
            </w:r>
          </w:p>
        </w:tc>
        <w:tc>
          <w:tcPr>
            <w:tcW w:w="1545" w:type="dxa"/>
            <w:shd w:val="clear" w:color="auto" w:fill="8DB3E2"/>
            <w:vAlign w:val="center"/>
          </w:tcPr>
          <w:p w14:paraId="1887BD12">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单价（元）</w:t>
            </w:r>
          </w:p>
          <w:p w14:paraId="6C6C7AFB">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②</w:t>
            </w:r>
          </w:p>
        </w:tc>
        <w:tc>
          <w:tcPr>
            <w:tcW w:w="1575" w:type="dxa"/>
            <w:shd w:val="clear" w:color="auto" w:fill="8DB3E2"/>
            <w:vAlign w:val="center"/>
          </w:tcPr>
          <w:p w14:paraId="43C21AB3">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单项合计金额（元）</w:t>
            </w:r>
          </w:p>
          <w:p w14:paraId="145DF683">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③＝①×②</w:t>
            </w:r>
          </w:p>
        </w:tc>
      </w:tr>
      <w:tr w14:paraId="0B33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75F35468">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232" w:type="dxa"/>
            <w:vAlign w:val="center"/>
          </w:tcPr>
          <w:p w14:paraId="3C1ADE94">
            <w:pPr>
              <w:snapToGrid w:val="0"/>
              <w:spacing w:line="400" w:lineRule="exact"/>
              <w:jc w:val="center"/>
              <w:rPr>
                <w:rFonts w:hint="eastAsia" w:ascii="宋体" w:hAnsi="宋体" w:eastAsia="宋体" w:cs="宋体"/>
                <w:color w:val="auto"/>
                <w:szCs w:val="21"/>
              </w:rPr>
            </w:pPr>
          </w:p>
        </w:tc>
        <w:tc>
          <w:tcPr>
            <w:tcW w:w="1445" w:type="dxa"/>
            <w:vAlign w:val="center"/>
          </w:tcPr>
          <w:p w14:paraId="3AC28138">
            <w:pPr>
              <w:snapToGrid w:val="0"/>
              <w:spacing w:line="400" w:lineRule="exact"/>
              <w:jc w:val="center"/>
              <w:rPr>
                <w:rFonts w:hint="eastAsia" w:ascii="宋体" w:hAnsi="宋体" w:eastAsia="宋体" w:cs="宋体"/>
                <w:color w:val="auto"/>
                <w:szCs w:val="21"/>
              </w:rPr>
            </w:pPr>
          </w:p>
        </w:tc>
        <w:tc>
          <w:tcPr>
            <w:tcW w:w="1073" w:type="dxa"/>
            <w:vAlign w:val="center"/>
          </w:tcPr>
          <w:p w14:paraId="35688A4C">
            <w:pPr>
              <w:snapToGrid w:val="0"/>
              <w:spacing w:line="400" w:lineRule="exact"/>
              <w:jc w:val="center"/>
              <w:rPr>
                <w:rFonts w:hint="eastAsia" w:ascii="宋体" w:hAnsi="宋体" w:eastAsia="宋体" w:cs="宋体"/>
                <w:color w:val="auto"/>
                <w:szCs w:val="21"/>
              </w:rPr>
            </w:pPr>
          </w:p>
        </w:tc>
        <w:tc>
          <w:tcPr>
            <w:tcW w:w="714" w:type="dxa"/>
            <w:vAlign w:val="center"/>
          </w:tcPr>
          <w:p w14:paraId="31CD1D8F">
            <w:pPr>
              <w:snapToGrid w:val="0"/>
              <w:spacing w:line="400" w:lineRule="exact"/>
              <w:jc w:val="center"/>
              <w:rPr>
                <w:rFonts w:hint="eastAsia" w:ascii="宋体" w:hAnsi="宋体" w:eastAsia="宋体" w:cs="宋体"/>
                <w:color w:val="auto"/>
                <w:szCs w:val="21"/>
              </w:rPr>
            </w:pPr>
          </w:p>
        </w:tc>
        <w:tc>
          <w:tcPr>
            <w:tcW w:w="1545" w:type="dxa"/>
            <w:vAlign w:val="center"/>
          </w:tcPr>
          <w:p w14:paraId="5B622E93">
            <w:pPr>
              <w:snapToGrid w:val="0"/>
              <w:spacing w:line="400" w:lineRule="exact"/>
              <w:jc w:val="center"/>
              <w:rPr>
                <w:rFonts w:hint="eastAsia" w:ascii="宋体" w:hAnsi="宋体" w:eastAsia="宋体" w:cs="宋体"/>
                <w:color w:val="auto"/>
                <w:szCs w:val="21"/>
              </w:rPr>
            </w:pPr>
          </w:p>
        </w:tc>
        <w:tc>
          <w:tcPr>
            <w:tcW w:w="1575" w:type="dxa"/>
            <w:vAlign w:val="center"/>
          </w:tcPr>
          <w:p w14:paraId="51A4541D">
            <w:pPr>
              <w:snapToGrid w:val="0"/>
              <w:spacing w:line="400" w:lineRule="exact"/>
              <w:jc w:val="center"/>
              <w:rPr>
                <w:rFonts w:hint="eastAsia" w:ascii="宋体" w:hAnsi="宋体" w:eastAsia="宋体" w:cs="宋体"/>
                <w:color w:val="auto"/>
                <w:szCs w:val="21"/>
              </w:rPr>
            </w:pPr>
          </w:p>
        </w:tc>
      </w:tr>
      <w:tr w14:paraId="04F7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73A60E96">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232" w:type="dxa"/>
            <w:vAlign w:val="center"/>
          </w:tcPr>
          <w:p w14:paraId="3E2C2F7C">
            <w:pPr>
              <w:snapToGrid w:val="0"/>
              <w:spacing w:line="400" w:lineRule="exact"/>
              <w:jc w:val="center"/>
              <w:rPr>
                <w:rFonts w:hint="eastAsia" w:ascii="宋体" w:hAnsi="宋体" w:eastAsia="宋体" w:cs="宋体"/>
                <w:color w:val="auto"/>
                <w:szCs w:val="21"/>
              </w:rPr>
            </w:pPr>
          </w:p>
        </w:tc>
        <w:tc>
          <w:tcPr>
            <w:tcW w:w="1445" w:type="dxa"/>
            <w:vAlign w:val="center"/>
          </w:tcPr>
          <w:p w14:paraId="63CD0464">
            <w:pPr>
              <w:snapToGrid w:val="0"/>
              <w:spacing w:line="400" w:lineRule="exact"/>
              <w:jc w:val="center"/>
              <w:rPr>
                <w:rFonts w:hint="eastAsia" w:ascii="宋体" w:hAnsi="宋体" w:eastAsia="宋体" w:cs="宋体"/>
                <w:color w:val="auto"/>
                <w:szCs w:val="21"/>
              </w:rPr>
            </w:pPr>
          </w:p>
        </w:tc>
        <w:tc>
          <w:tcPr>
            <w:tcW w:w="1073" w:type="dxa"/>
            <w:vAlign w:val="center"/>
          </w:tcPr>
          <w:p w14:paraId="00FC1477">
            <w:pPr>
              <w:snapToGrid w:val="0"/>
              <w:spacing w:line="400" w:lineRule="exact"/>
              <w:jc w:val="center"/>
              <w:rPr>
                <w:rFonts w:hint="eastAsia" w:ascii="宋体" w:hAnsi="宋体" w:eastAsia="宋体" w:cs="宋体"/>
                <w:color w:val="auto"/>
                <w:szCs w:val="21"/>
              </w:rPr>
            </w:pPr>
          </w:p>
        </w:tc>
        <w:tc>
          <w:tcPr>
            <w:tcW w:w="714" w:type="dxa"/>
            <w:vAlign w:val="center"/>
          </w:tcPr>
          <w:p w14:paraId="21A393A7">
            <w:pPr>
              <w:snapToGrid w:val="0"/>
              <w:spacing w:line="400" w:lineRule="exact"/>
              <w:jc w:val="center"/>
              <w:rPr>
                <w:rFonts w:hint="eastAsia" w:ascii="宋体" w:hAnsi="宋体" w:eastAsia="宋体" w:cs="宋体"/>
                <w:color w:val="auto"/>
                <w:szCs w:val="21"/>
              </w:rPr>
            </w:pPr>
          </w:p>
        </w:tc>
        <w:tc>
          <w:tcPr>
            <w:tcW w:w="1545" w:type="dxa"/>
            <w:vAlign w:val="center"/>
          </w:tcPr>
          <w:p w14:paraId="6B171481">
            <w:pPr>
              <w:snapToGrid w:val="0"/>
              <w:spacing w:line="400" w:lineRule="exact"/>
              <w:jc w:val="center"/>
              <w:rPr>
                <w:rFonts w:hint="eastAsia" w:ascii="宋体" w:hAnsi="宋体" w:eastAsia="宋体" w:cs="宋体"/>
                <w:color w:val="auto"/>
                <w:szCs w:val="21"/>
              </w:rPr>
            </w:pPr>
          </w:p>
        </w:tc>
        <w:tc>
          <w:tcPr>
            <w:tcW w:w="1575" w:type="dxa"/>
            <w:vAlign w:val="center"/>
          </w:tcPr>
          <w:p w14:paraId="5A908A4E">
            <w:pPr>
              <w:snapToGrid w:val="0"/>
              <w:spacing w:line="400" w:lineRule="exact"/>
              <w:jc w:val="center"/>
              <w:rPr>
                <w:rFonts w:hint="eastAsia" w:ascii="宋体" w:hAnsi="宋体" w:eastAsia="宋体" w:cs="宋体"/>
                <w:color w:val="auto"/>
                <w:szCs w:val="21"/>
              </w:rPr>
            </w:pPr>
          </w:p>
        </w:tc>
      </w:tr>
      <w:tr w14:paraId="4ED4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74B1E6E3">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232" w:type="dxa"/>
            <w:vAlign w:val="center"/>
          </w:tcPr>
          <w:p w14:paraId="3426FE01">
            <w:pPr>
              <w:snapToGrid w:val="0"/>
              <w:spacing w:line="400" w:lineRule="exact"/>
              <w:jc w:val="center"/>
              <w:rPr>
                <w:rFonts w:hint="eastAsia" w:ascii="宋体" w:hAnsi="宋体" w:eastAsia="宋体" w:cs="宋体"/>
                <w:color w:val="auto"/>
                <w:szCs w:val="21"/>
              </w:rPr>
            </w:pPr>
          </w:p>
        </w:tc>
        <w:tc>
          <w:tcPr>
            <w:tcW w:w="1445" w:type="dxa"/>
            <w:vAlign w:val="center"/>
          </w:tcPr>
          <w:p w14:paraId="15620CE9">
            <w:pPr>
              <w:snapToGrid w:val="0"/>
              <w:spacing w:line="400" w:lineRule="exact"/>
              <w:jc w:val="center"/>
              <w:rPr>
                <w:rFonts w:hint="eastAsia" w:ascii="宋体" w:hAnsi="宋体" w:eastAsia="宋体" w:cs="宋体"/>
                <w:color w:val="auto"/>
                <w:szCs w:val="21"/>
              </w:rPr>
            </w:pPr>
          </w:p>
        </w:tc>
        <w:tc>
          <w:tcPr>
            <w:tcW w:w="1073" w:type="dxa"/>
            <w:vAlign w:val="center"/>
          </w:tcPr>
          <w:p w14:paraId="0D0CA4D0">
            <w:pPr>
              <w:snapToGrid w:val="0"/>
              <w:spacing w:line="400" w:lineRule="exact"/>
              <w:jc w:val="center"/>
              <w:rPr>
                <w:rFonts w:hint="eastAsia" w:ascii="宋体" w:hAnsi="宋体" w:eastAsia="宋体" w:cs="宋体"/>
                <w:color w:val="auto"/>
                <w:szCs w:val="21"/>
              </w:rPr>
            </w:pPr>
          </w:p>
        </w:tc>
        <w:tc>
          <w:tcPr>
            <w:tcW w:w="714" w:type="dxa"/>
            <w:vAlign w:val="center"/>
          </w:tcPr>
          <w:p w14:paraId="7EFC481E">
            <w:pPr>
              <w:snapToGrid w:val="0"/>
              <w:spacing w:line="400" w:lineRule="exact"/>
              <w:jc w:val="center"/>
              <w:rPr>
                <w:rFonts w:hint="eastAsia" w:ascii="宋体" w:hAnsi="宋体" w:eastAsia="宋体" w:cs="宋体"/>
                <w:color w:val="auto"/>
                <w:szCs w:val="21"/>
              </w:rPr>
            </w:pPr>
          </w:p>
        </w:tc>
        <w:tc>
          <w:tcPr>
            <w:tcW w:w="1545" w:type="dxa"/>
            <w:vAlign w:val="center"/>
          </w:tcPr>
          <w:p w14:paraId="52D95576">
            <w:pPr>
              <w:snapToGrid w:val="0"/>
              <w:spacing w:line="400" w:lineRule="exact"/>
              <w:jc w:val="center"/>
              <w:rPr>
                <w:rFonts w:hint="eastAsia" w:ascii="宋体" w:hAnsi="宋体" w:eastAsia="宋体" w:cs="宋体"/>
                <w:color w:val="auto"/>
                <w:szCs w:val="21"/>
              </w:rPr>
            </w:pPr>
          </w:p>
        </w:tc>
        <w:tc>
          <w:tcPr>
            <w:tcW w:w="1575" w:type="dxa"/>
            <w:vAlign w:val="center"/>
          </w:tcPr>
          <w:p w14:paraId="003079B1">
            <w:pPr>
              <w:snapToGrid w:val="0"/>
              <w:spacing w:line="400" w:lineRule="exact"/>
              <w:jc w:val="center"/>
              <w:rPr>
                <w:rFonts w:hint="eastAsia" w:ascii="宋体" w:hAnsi="宋体" w:eastAsia="宋体" w:cs="宋体"/>
                <w:color w:val="auto"/>
                <w:szCs w:val="21"/>
              </w:rPr>
            </w:pPr>
          </w:p>
        </w:tc>
      </w:tr>
      <w:tr w14:paraId="3F19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718" w:type="dxa"/>
            <w:gridSpan w:val="6"/>
            <w:vAlign w:val="center"/>
          </w:tcPr>
          <w:p w14:paraId="22FFBC79">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合计</w:t>
            </w:r>
          </w:p>
        </w:tc>
        <w:tc>
          <w:tcPr>
            <w:tcW w:w="1575" w:type="dxa"/>
            <w:vAlign w:val="center"/>
          </w:tcPr>
          <w:p w14:paraId="61F8CE69">
            <w:pPr>
              <w:snapToGrid w:val="0"/>
              <w:spacing w:line="400" w:lineRule="exact"/>
              <w:jc w:val="center"/>
              <w:rPr>
                <w:rFonts w:hint="eastAsia" w:ascii="宋体" w:hAnsi="宋体" w:eastAsia="宋体" w:cs="宋体"/>
                <w:color w:val="auto"/>
                <w:szCs w:val="21"/>
              </w:rPr>
            </w:pPr>
          </w:p>
        </w:tc>
      </w:tr>
    </w:tbl>
    <w:p w14:paraId="23F1EAE2">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根据《成交通知书》的中标内容，合同的总金额为人民币：（大写）         （¥         元）</w:t>
      </w:r>
    </w:p>
    <w:p w14:paraId="4F5F403B">
      <w:pPr>
        <w:spacing w:line="400" w:lineRule="exact"/>
        <w:ind w:firstLine="413" w:firstLineChars="196"/>
        <w:outlineLvl w:val="1"/>
        <w:rPr>
          <w:rFonts w:hint="eastAsia" w:ascii="宋体" w:hAnsi="宋体" w:eastAsia="宋体" w:cs="宋体"/>
          <w:b/>
          <w:color w:val="auto"/>
          <w:szCs w:val="21"/>
        </w:rPr>
      </w:pPr>
      <w:bookmarkStart w:id="158" w:name="_Toc495841769"/>
      <w:bookmarkStart w:id="159" w:name="_Toc10620"/>
      <w:bookmarkStart w:id="160" w:name="_Toc15939"/>
      <w:bookmarkStart w:id="161" w:name="_Toc12718"/>
      <w:bookmarkStart w:id="162" w:name="_Toc3661"/>
      <w:bookmarkStart w:id="163" w:name="_Toc29920"/>
      <w:bookmarkStart w:id="164" w:name="_Toc27905"/>
      <w:bookmarkStart w:id="165" w:name="_Toc31728"/>
      <w:bookmarkStart w:id="166" w:name="_Toc11402"/>
      <w:r>
        <w:rPr>
          <w:rFonts w:hint="eastAsia" w:ascii="宋体" w:hAnsi="宋体" w:eastAsia="宋体" w:cs="宋体"/>
          <w:b/>
          <w:color w:val="auto"/>
          <w:szCs w:val="21"/>
        </w:rPr>
        <w:t>第二条  质量保证</w:t>
      </w:r>
      <w:bookmarkEnd w:id="158"/>
      <w:bookmarkEnd w:id="159"/>
      <w:bookmarkEnd w:id="160"/>
      <w:bookmarkEnd w:id="161"/>
      <w:bookmarkEnd w:id="162"/>
      <w:bookmarkEnd w:id="163"/>
      <w:bookmarkEnd w:id="164"/>
      <w:bookmarkEnd w:id="165"/>
      <w:bookmarkEnd w:id="166"/>
    </w:p>
    <w:p w14:paraId="6C71FC01">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1.乙方应按响应文件承诺的货物规格型号、技术参数、质量标准等向甲方提供未经使用的全新原装产品，且在正常安装使用和保养条件下，其使用寿命期内各项指标均达到质量标准。</w:t>
      </w:r>
    </w:p>
    <w:p w14:paraId="1AE24B9D">
      <w:pPr>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2.乙方提供货物在保修期内因货物本身的质量问题发生故障，乙方应负责免费修理和更换零部件。对达不到技术要求者，根据实际情况，经双方协商，可按以下第（1）款办法处理：</w:t>
      </w:r>
    </w:p>
    <w:p w14:paraId="34C0089A">
      <w:pPr>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（1）更换：由乙方承担所有发生的全部费用。</w:t>
      </w:r>
    </w:p>
    <w:p w14:paraId="128CC09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（2）贬值处理：由甲乙双方合议定价。</w:t>
      </w:r>
    </w:p>
    <w:p w14:paraId="5E7F00C9">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（3）退货处理：乙方应退还甲方支付的合同款，同时应承担该货物的直接费用（运输、保险、检验、贷款利息及银行手续费等）。</w:t>
      </w:r>
    </w:p>
    <w:p w14:paraId="25275AB5">
      <w:pPr>
        <w:spacing w:line="400" w:lineRule="exact"/>
        <w:ind w:firstLine="413" w:firstLineChars="196"/>
        <w:outlineLvl w:val="1"/>
        <w:rPr>
          <w:rFonts w:hint="eastAsia" w:ascii="宋体" w:hAnsi="宋体" w:eastAsia="宋体" w:cs="宋体"/>
          <w:b/>
          <w:color w:val="auto"/>
          <w:szCs w:val="21"/>
        </w:rPr>
      </w:pPr>
      <w:bookmarkStart w:id="167" w:name="_Toc1491"/>
      <w:bookmarkStart w:id="168" w:name="_Toc4260"/>
      <w:bookmarkStart w:id="169" w:name="_Toc17900"/>
      <w:bookmarkStart w:id="170" w:name="_Toc16323"/>
      <w:bookmarkStart w:id="171" w:name="_Toc495841770"/>
      <w:bookmarkStart w:id="172" w:name="_Toc13307"/>
      <w:bookmarkStart w:id="173" w:name="_Toc22527"/>
      <w:bookmarkStart w:id="174" w:name="_Toc28745"/>
      <w:bookmarkStart w:id="175" w:name="_Toc32452"/>
      <w:r>
        <w:rPr>
          <w:rFonts w:hint="eastAsia" w:ascii="宋体" w:hAnsi="宋体" w:eastAsia="宋体" w:cs="宋体"/>
          <w:b/>
          <w:color w:val="auto"/>
          <w:szCs w:val="21"/>
        </w:rPr>
        <w:t>第三条  权利保证</w:t>
      </w:r>
      <w:bookmarkEnd w:id="167"/>
      <w:bookmarkEnd w:id="168"/>
      <w:bookmarkEnd w:id="169"/>
      <w:bookmarkEnd w:id="170"/>
      <w:bookmarkEnd w:id="171"/>
      <w:bookmarkEnd w:id="172"/>
      <w:bookmarkEnd w:id="173"/>
      <w:bookmarkEnd w:id="174"/>
      <w:bookmarkEnd w:id="175"/>
    </w:p>
    <w:p w14:paraId="6750B7DC">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1.乙方应保证所提供产品或服务在使用时不会侵犯任何第三方的专利权、商标权、工业设计权或其他权利。</w:t>
      </w:r>
    </w:p>
    <w:p w14:paraId="16729765">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2.乙方应按竞争性磋商文件规定的时间向甲方提供使用产品或服务的有关技术资料。</w:t>
      </w:r>
    </w:p>
    <w:p w14:paraId="2D37E9A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3.乙方保证所交付的产品或服务的所有权完全属于乙方且无任何抵押、质押、查封等产权瑕疵。</w:t>
      </w:r>
    </w:p>
    <w:p w14:paraId="0A6E8555">
      <w:pPr>
        <w:spacing w:line="400" w:lineRule="exact"/>
        <w:ind w:firstLine="413" w:firstLineChars="196"/>
        <w:outlineLvl w:val="1"/>
        <w:rPr>
          <w:rFonts w:hint="eastAsia" w:ascii="宋体" w:hAnsi="宋体" w:eastAsia="宋体" w:cs="宋体"/>
          <w:b/>
          <w:color w:val="auto"/>
          <w:szCs w:val="21"/>
        </w:rPr>
      </w:pPr>
      <w:bookmarkStart w:id="176" w:name="_Toc8652"/>
      <w:bookmarkStart w:id="177" w:name="_Toc495841771"/>
      <w:bookmarkStart w:id="178" w:name="_Toc4700"/>
      <w:bookmarkStart w:id="179" w:name="_Toc26015"/>
      <w:bookmarkStart w:id="180" w:name="_Toc2590"/>
      <w:bookmarkStart w:id="181" w:name="_Toc14010"/>
      <w:bookmarkStart w:id="182" w:name="_Toc24662"/>
      <w:bookmarkStart w:id="183" w:name="_Toc7117"/>
      <w:bookmarkStart w:id="184" w:name="_Toc11614"/>
      <w:r>
        <w:rPr>
          <w:rFonts w:hint="eastAsia" w:ascii="宋体" w:hAnsi="宋体" w:eastAsia="宋体" w:cs="宋体"/>
          <w:b/>
          <w:color w:val="auto"/>
          <w:szCs w:val="21"/>
        </w:rPr>
        <w:t>第四条  货物包装、运输</w:t>
      </w:r>
      <w:bookmarkEnd w:id="176"/>
      <w:bookmarkEnd w:id="177"/>
      <w:bookmarkEnd w:id="178"/>
      <w:bookmarkEnd w:id="179"/>
      <w:bookmarkEnd w:id="180"/>
      <w:bookmarkEnd w:id="181"/>
      <w:bookmarkEnd w:id="182"/>
      <w:bookmarkEnd w:id="183"/>
      <w:bookmarkEnd w:id="184"/>
    </w:p>
    <w:p w14:paraId="342EE1A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1.乙方应在货物发运前对其进行满足运输距离、防潮、防震、防锈和防破损装卸等要求包装，以保证货物安全运达甲方指定地点。</w:t>
      </w:r>
    </w:p>
    <w:p w14:paraId="5D0E6B0D">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2.使用中文说明书（货物属于进口产品的，供货时应同时附上中文使用说明书）、质量检验证明书、随配附件和工具以及清单一并附于货物内。</w:t>
      </w:r>
    </w:p>
    <w:p w14:paraId="1F4531CF">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3.乙方在货物发运手续办理完毕后二十四小时内或货到甲方四十八小时前通知甲方，以准备接货。</w:t>
      </w:r>
    </w:p>
    <w:p w14:paraId="6F5A5F35">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4.货物在交付甲方前发生的风险均由乙方负责。</w:t>
      </w:r>
    </w:p>
    <w:p w14:paraId="49F204DB">
      <w:pPr>
        <w:spacing w:line="400" w:lineRule="exact"/>
        <w:ind w:firstLine="413" w:firstLineChars="196"/>
        <w:outlineLvl w:val="1"/>
        <w:rPr>
          <w:rFonts w:hint="eastAsia" w:ascii="宋体" w:hAnsi="宋体" w:eastAsia="宋体" w:cs="宋体"/>
          <w:b/>
          <w:color w:val="auto"/>
          <w:szCs w:val="21"/>
        </w:rPr>
      </w:pPr>
      <w:bookmarkStart w:id="185" w:name="_Toc15890"/>
      <w:bookmarkStart w:id="186" w:name="_Toc13391"/>
      <w:bookmarkStart w:id="187" w:name="_Toc3794"/>
      <w:bookmarkStart w:id="188" w:name="_Toc12078"/>
      <w:bookmarkStart w:id="189" w:name="_Toc6786"/>
      <w:bookmarkStart w:id="190" w:name="_Toc278"/>
      <w:bookmarkStart w:id="191" w:name="_Toc495841772"/>
      <w:bookmarkStart w:id="192" w:name="_Toc6813"/>
      <w:r>
        <w:rPr>
          <w:rFonts w:hint="eastAsia" w:ascii="宋体" w:hAnsi="宋体" w:eastAsia="宋体" w:cs="宋体"/>
          <w:b/>
          <w:color w:val="auto"/>
          <w:szCs w:val="21"/>
        </w:rPr>
        <w:t>第五条  交付</w:t>
      </w:r>
      <w:bookmarkEnd w:id="185"/>
      <w:bookmarkEnd w:id="186"/>
      <w:bookmarkEnd w:id="187"/>
      <w:bookmarkEnd w:id="188"/>
      <w:bookmarkEnd w:id="189"/>
      <w:bookmarkEnd w:id="190"/>
      <w:bookmarkEnd w:id="191"/>
      <w:bookmarkEnd w:id="192"/>
    </w:p>
    <w:p w14:paraId="35D15662">
      <w:pPr>
        <w:ind w:firstLine="420" w:firstLineChars="200"/>
        <w:jc w:val="left"/>
        <w:rPr>
          <w:rFonts w:hint="eastAsia" w:ascii="宋体" w:hAnsi="宋体" w:eastAsia="宋体" w:cs="宋体"/>
          <w:color w:val="auto"/>
          <w:szCs w:val="21"/>
        </w:rPr>
      </w:pPr>
      <w:bookmarkStart w:id="193" w:name="_Toc3460"/>
      <w:bookmarkStart w:id="194" w:name="_Toc4431"/>
      <w:bookmarkStart w:id="195" w:name="_Toc2860"/>
      <w:bookmarkStart w:id="196" w:name="_Toc495841773"/>
      <w:bookmarkStart w:id="197" w:name="_Toc14073"/>
      <w:bookmarkStart w:id="198" w:name="_Toc31348"/>
      <w:bookmarkStart w:id="199" w:name="_Toc19921"/>
      <w:bookmarkStart w:id="200" w:name="_Toc23920"/>
      <w:r>
        <w:rPr>
          <w:rFonts w:hint="eastAsia" w:ascii="宋体" w:hAnsi="宋体" w:eastAsia="宋体" w:cs="宋体"/>
          <w:color w:val="auto"/>
          <w:szCs w:val="21"/>
        </w:rPr>
        <w:t>1、交付使用时间：</w:t>
      </w:r>
      <w:r>
        <w:rPr>
          <w:rFonts w:hint="eastAsia" w:ascii="宋体" w:hAnsi="宋体" w:eastAsia="宋体" w:cs="宋体"/>
          <w:color w:val="auto"/>
          <w:szCs w:val="21"/>
          <w:u w:val="single"/>
        </w:rPr>
        <w:t>详见项目采购需求表内容。</w:t>
      </w:r>
    </w:p>
    <w:p w14:paraId="42706704">
      <w:pPr>
        <w:spacing w:line="400" w:lineRule="exact"/>
        <w:ind w:firstLine="411" w:firstLineChars="196"/>
        <w:outlineLvl w:val="1"/>
        <w:rPr>
          <w:rFonts w:hint="eastAsia" w:ascii="宋体" w:hAnsi="宋体" w:eastAsia="宋体" w:cs="宋体"/>
          <w:color w:val="auto"/>
          <w:szCs w:val="21"/>
        </w:rPr>
      </w:pPr>
      <w:bookmarkStart w:id="201" w:name="_Toc24179"/>
      <w:r>
        <w:rPr>
          <w:rFonts w:hint="eastAsia" w:ascii="宋体" w:hAnsi="宋体" w:eastAsia="宋体" w:cs="宋体"/>
          <w:color w:val="auto"/>
          <w:szCs w:val="21"/>
        </w:rPr>
        <w:t>2、交货地点：广西桂林市灵川县采购人指定地点。</w:t>
      </w:r>
      <w:bookmarkEnd w:id="201"/>
    </w:p>
    <w:p w14:paraId="614A7CCA">
      <w:pPr>
        <w:spacing w:line="400" w:lineRule="exact"/>
        <w:ind w:firstLine="413" w:firstLineChars="196"/>
        <w:outlineLvl w:val="1"/>
        <w:rPr>
          <w:rFonts w:hint="eastAsia" w:ascii="宋体" w:hAnsi="宋体" w:eastAsia="宋体" w:cs="宋体"/>
          <w:b/>
          <w:color w:val="auto"/>
          <w:szCs w:val="21"/>
        </w:rPr>
      </w:pPr>
      <w:bookmarkStart w:id="202" w:name="_Toc13635"/>
      <w:r>
        <w:rPr>
          <w:rFonts w:hint="eastAsia" w:ascii="宋体" w:hAnsi="宋体" w:eastAsia="宋体" w:cs="宋体"/>
          <w:b/>
          <w:color w:val="auto"/>
          <w:szCs w:val="21"/>
        </w:rPr>
        <w:t>第六条  调试和验收</w:t>
      </w:r>
      <w:bookmarkEnd w:id="193"/>
      <w:bookmarkEnd w:id="194"/>
      <w:bookmarkEnd w:id="195"/>
      <w:bookmarkEnd w:id="196"/>
      <w:bookmarkEnd w:id="197"/>
      <w:bookmarkEnd w:id="198"/>
      <w:bookmarkEnd w:id="199"/>
      <w:bookmarkEnd w:id="200"/>
      <w:bookmarkEnd w:id="202"/>
    </w:p>
    <w:p w14:paraId="718F6C2E">
      <w:pPr>
        <w:spacing w:line="400" w:lineRule="exact"/>
        <w:ind w:firstLine="411" w:firstLineChars="196"/>
        <w:rPr>
          <w:rFonts w:hint="eastAsia" w:ascii="宋体" w:hAnsi="宋体" w:eastAsia="宋体" w:cs="宋体"/>
          <w:color w:val="auto"/>
          <w:szCs w:val="21"/>
        </w:rPr>
      </w:pPr>
      <w:bookmarkStart w:id="203" w:name="_Toc495841774"/>
      <w:bookmarkStart w:id="204" w:name="_Toc724"/>
      <w:r>
        <w:rPr>
          <w:rFonts w:hint="eastAsia" w:ascii="宋体" w:hAnsi="宋体" w:eastAsia="宋体" w:cs="宋体"/>
          <w:color w:val="auto"/>
          <w:szCs w:val="21"/>
        </w:rPr>
        <w:t>1.采购人将组织相关人员或专家对采购项目进行验收，验收意见作为验收书的参考资料存档备查，验收将严格按照竞争性磋商文件的规定和响应文件的响应及承诺执行，验收不合格的将根据合同有关条款进行处理。</w:t>
      </w:r>
    </w:p>
    <w:p w14:paraId="174F6F5A">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2.验收依据：按照竞争性磋商文件要求及成交供应商的响应文件。</w:t>
      </w:r>
    </w:p>
    <w:p w14:paraId="326C81BF">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3.成交供应商必须提供原装正品的、全新的、符合有关质量标准的产品和按要求提供资料。交货时，采购人现场根据竞争性磋商文件要求及响应文件承诺逐条对应进行核验，若发现产品不符合采购文件和响应文件承诺要求的，采购人不予验收，同时报相关监督管理部门处理，由此造成采购人经济损失的由成交供应商负责承担全部赔偿责任。</w:t>
      </w:r>
    </w:p>
    <w:p w14:paraId="3A3CAAC4">
      <w:pPr>
        <w:spacing w:line="400" w:lineRule="exact"/>
        <w:ind w:firstLine="413" w:firstLineChars="196"/>
        <w:outlineLvl w:val="1"/>
        <w:rPr>
          <w:rFonts w:hint="eastAsia" w:ascii="宋体" w:hAnsi="宋体" w:eastAsia="宋体" w:cs="宋体"/>
          <w:b/>
          <w:color w:val="auto"/>
          <w:szCs w:val="21"/>
        </w:rPr>
      </w:pPr>
      <w:bookmarkStart w:id="205" w:name="_Toc2732"/>
      <w:bookmarkStart w:id="206" w:name="_Toc23579"/>
      <w:bookmarkStart w:id="207" w:name="_Toc585"/>
      <w:bookmarkStart w:id="208" w:name="_Toc24290"/>
      <w:bookmarkStart w:id="209" w:name="_Toc31365"/>
      <w:bookmarkStart w:id="210" w:name="_Toc29211"/>
      <w:bookmarkStart w:id="211" w:name="_Toc1608"/>
      <w:r>
        <w:rPr>
          <w:rFonts w:hint="eastAsia" w:ascii="宋体" w:hAnsi="宋体" w:eastAsia="宋体" w:cs="宋体"/>
          <w:b/>
          <w:color w:val="auto"/>
          <w:szCs w:val="21"/>
        </w:rPr>
        <w:t>第七条  安装和培训</w:t>
      </w:r>
      <w:bookmarkEnd w:id="203"/>
      <w:bookmarkEnd w:id="204"/>
      <w:bookmarkEnd w:id="205"/>
      <w:bookmarkEnd w:id="206"/>
      <w:bookmarkEnd w:id="207"/>
      <w:bookmarkEnd w:id="208"/>
      <w:bookmarkEnd w:id="209"/>
      <w:bookmarkEnd w:id="210"/>
      <w:bookmarkEnd w:id="211"/>
    </w:p>
    <w:p w14:paraId="0DEEF414">
      <w:pPr>
        <w:tabs>
          <w:tab w:val="left" w:pos="0"/>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1.甲方应提供必要安装条件（如场地、电源、水源等）。</w:t>
      </w:r>
    </w:p>
    <w:p w14:paraId="5A167F41">
      <w:pPr>
        <w:tabs>
          <w:tab w:val="left" w:pos="0"/>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2.乙方负责甲方有关人员的培训。培训时间、地点：</w:t>
      </w:r>
      <w:r>
        <w:rPr>
          <w:rFonts w:hint="eastAsia" w:ascii="宋体" w:hAnsi="宋体" w:eastAsia="宋体" w:cs="宋体"/>
          <w:bCs/>
          <w:color w:val="auto"/>
          <w:kern w:val="0"/>
          <w:szCs w:val="21"/>
        </w:rPr>
        <w:t>采购人指定地点。</w:t>
      </w:r>
    </w:p>
    <w:p w14:paraId="71B246A6">
      <w:pPr>
        <w:spacing w:line="400" w:lineRule="exact"/>
        <w:ind w:firstLine="413" w:firstLineChars="196"/>
        <w:outlineLvl w:val="1"/>
        <w:rPr>
          <w:rFonts w:hint="eastAsia" w:ascii="宋体" w:hAnsi="宋体" w:eastAsia="宋体" w:cs="宋体"/>
          <w:b/>
          <w:color w:val="auto"/>
          <w:szCs w:val="21"/>
        </w:rPr>
      </w:pPr>
      <w:bookmarkStart w:id="212" w:name="_Toc15751"/>
      <w:bookmarkStart w:id="213" w:name="_Toc495841775"/>
      <w:bookmarkStart w:id="214" w:name="_Toc8911"/>
      <w:bookmarkStart w:id="215" w:name="_Toc24952"/>
      <w:bookmarkStart w:id="216" w:name="_Toc8071"/>
      <w:bookmarkStart w:id="217" w:name="_Toc31439"/>
      <w:bookmarkStart w:id="218" w:name="_Toc10885"/>
      <w:bookmarkStart w:id="219" w:name="_Toc29939"/>
      <w:bookmarkStart w:id="220" w:name="_Toc3482"/>
      <w:r>
        <w:rPr>
          <w:rFonts w:hint="eastAsia" w:ascii="宋体" w:hAnsi="宋体" w:eastAsia="宋体" w:cs="宋体"/>
          <w:b/>
          <w:color w:val="auto"/>
          <w:szCs w:val="21"/>
        </w:rPr>
        <w:t>第八条  售后服务、保修期</w:t>
      </w:r>
      <w:bookmarkEnd w:id="212"/>
      <w:bookmarkEnd w:id="213"/>
      <w:bookmarkEnd w:id="214"/>
      <w:bookmarkEnd w:id="215"/>
      <w:bookmarkEnd w:id="216"/>
      <w:bookmarkEnd w:id="217"/>
      <w:bookmarkEnd w:id="218"/>
      <w:bookmarkEnd w:id="219"/>
      <w:bookmarkEnd w:id="220"/>
    </w:p>
    <w:p w14:paraId="1410A0A7">
      <w:pPr>
        <w:spacing w:line="400" w:lineRule="exact"/>
        <w:ind w:firstLine="411" w:firstLineChars="196"/>
        <w:rPr>
          <w:rFonts w:hint="eastAsia" w:ascii="宋体" w:hAnsi="宋体" w:eastAsia="宋体" w:cs="宋体"/>
          <w:color w:val="auto"/>
          <w:szCs w:val="21"/>
        </w:rPr>
      </w:pPr>
      <w:bookmarkStart w:id="221" w:name="_Toc495841776"/>
      <w:bookmarkStart w:id="222" w:name="_Toc12595"/>
      <w:r>
        <w:rPr>
          <w:rFonts w:hint="eastAsia" w:ascii="宋体" w:hAnsi="宋体" w:eastAsia="宋体" w:cs="宋体"/>
          <w:color w:val="auto"/>
          <w:szCs w:val="21"/>
        </w:rPr>
        <w:t>1、免费保修期：按项目采购需求表要求及响应文件承诺执行。</w:t>
      </w:r>
    </w:p>
    <w:p w14:paraId="4932136C">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2、免费保修期内上门维修维护免收维修维护费、元器件费和上门费，并提供终身维修维护服务。免费保修期结束后零配件若损坏，乙方只收取成本费用；软件产品免费升级。</w:t>
      </w:r>
    </w:p>
    <w:p w14:paraId="0CE45745">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3、包装和运输：乙方应在货物发运前对其进行满足运输距离、防潮、防震、防锈和防破损装卸等要求包装，以保证货物安全运达采购人指定地点，免费送货上门。</w:t>
      </w:r>
    </w:p>
    <w:p w14:paraId="1BB49568">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4、免费安装、免费调试，免费提供现场技术培训，保证使用人员正常操作设备（系统）的各种功能；其余按乙方承诺进行。</w:t>
      </w:r>
    </w:p>
    <w:p w14:paraId="236D3935">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5、免费保修期内，如果需要更换配件的，要求更换的配件应跟被更换的品牌、类型相一致或者是同类同档次的替代品，后者需征得采购人管理人员同意。</w:t>
      </w:r>
    </w:p>
    <w:p w14:paraId="771B0CB4">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6、免费保修期、升级期内服务方式为免费上门、电话咨询、网络远程支持，乙方在接到采购人售后服务要求时，售后服务响应时间为60分钟内作出响应，4小时内到达现场，24小时内解决问题，未能在规定时间内排除故障的，必须在48小时内提供同档次的备用机并提交故障解决处理方案。乙方在电话咨询、网络远程支持不能解决的故障时，必须再提供免费上门服务。</w:t>
      </w:r>
    </w:p>
    <w:p w14:paraId="43B29711">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7、在保修期内，如果乙方和制造商的产品技术升级，乙方应及时通知采购人，如采购人有相应要求，乙方和制造商应对采购人购买的产品进行升级服务。</w:t>
      </w:r>
    </w:p>
    <w:p w14:paraId="5605882C">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8、乙方须完成项目的安装调试并保障采购人信息系统不存在安全隐患。</w:t>
      </w:r>
    </w:p>
    <w:p w14:paraId="6C3F3F3E">
      <w:pPr>
        <w:spacing w:line="400" w:lineRule="exact"/>
        <w:ind w:firstLine="413" w:firstLineChars="196"/>
        <w:outlineLvl w:val="1"/>
        <w:rPr>
          <w:rFonts w:hint="eastAsia" w:ascii="宋体" w:hAnsi="宋体" w:eastAsia="宋体" w:cs="宋体"/>
          <w:b/>
          <w:color w:val="auto"/>
          <w:szCs w:val="21"/>
        </w:rPr>
      </w:pPr>
      <w:bookmarkStart w:id="223" w:name="_Toc583"/>
      <w:bookmarkStart w:id="224" w:name="_Toc8402"/>
      <w:bookmarkStart w:id="225" w:name="_Toc29668"/>
      <w:bookmarkStart w:id="226" w:name="_Toc21668"/>
      <w:bookmarkStart w:id="227" w:name="_Toc31142"/>
      <w:bookmarkStart w:id="228" w:name="_Toc17327"/>
      <w:bookmarkStart w:id="229" w:name="_Toc29160"/>
      <w:r>
        <w:rPr>
          <w:rFonts w:hint="eastAsia" w:ascii="宋体" w:hAnsi="宋体" w:eastAsia="宋体" w:cs="宋体"/>
          <w:b/>
          <w:color w:val="auto"/>
          <w:szCs w:val="21"/>
        </w:rPr>
        <w:t>第九条  税费</w:t>
      </w:r>
      <w:bookmarkEnd w:id="221"/>
      <w:bookmarkEnd w:id="222"/>
      <w:bookmarkEnd w:id="223"/>
      <w:bookmarkEnd w:id="224"/>
      <w:bookmarkEnd w:id="225"/>
      <w:bookmarkEnd w:id="226"/>
      <w:bookmarkEnd w:id="227"/>
      <w:bookmarkEnd w:id="228"/>
      <w:bookmarkEnd w:id="229"/>
    </w:p>
    <w:p w14:paraId="06B49443">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本合同执行中相关的一切税费均由乙方负担。</w:t>
      </w:r>
    </w:p>
    <w:p w14:paraId="1892A172">
      <w:pPr>
        <w:numPr>
          <w:ilvl w:val="0"/>
          <w:numId w:val="5"/>
        </w:numPr>
        <w:spacing w:line="400" w:lineRule="exact"/>
        <w:ind w:firstLine="413" w:firstLineChars="196"/>
        <w:outlineLvl w:val="1"/>
        <w:rPr>
          <w:rFonts w:hint="eastAsia" w:ascii="宋体" w:hAnsi="宋体" w:eastAsia="宋体" w:cs="宋体"/>
          <w:b/>
          <w:color w:val="auto"/>
          <w:szCs w:val="21"/>
        </w:rPr>
      </w:pPr>
      <w:bookmarkStart w:id="230" w:name="_Toc21427"/>
      <w:bookmarkStart w:id="231" w:name="_Toc21389"/>
      <w:bookmarkStart w:id="232" w:name="_Toc26754"/>
      <w:bookmarkStart w:id="233" w:name="_Toc1040"/>
      <w:bookmarkStart w:id="234" w:name="_Toc17890"/>
      <w:bookmarkStart w:id="235" w:name="_Toc8263"/>
      <w:bookmarkStart w:id="236" w:name="_Toc2130"/>
      <w:bookmarkStart w:id="237" w:name="_Toc19042"/>
      <w:bookmarkStart w:id="238" w:name="_Toc495841778"/>
      <w:r>
        <w:rPr>
          <w:rFonts w:hint="eastAsia" w:ascii="宋体" w:hAnsi="宋体" w:eastAsia="宋体" w:cs="宋体"/>
          <w:b/>
          <w:color w:val="auto"/>
          <w:szCs w:val="21"/>
        </w:rPr>
        <w:t>付款方式</w:t>
      </w:r>
      <w:bookmarkEnd w:id="230"/>
      <w:bookmarkEnd w:id="231"/>
      <w:bookmarkEnd w:id="232"/>
      <w:bookmarkEnd w:id="233"/>
      <w:bookmarkEnd w:id="234"/>
      <w:bookmarkEnd w:id="235"/>
      <w:bookmarkEnd w:id="236"/>
    </w:p>
    <w:p w14:paraId="7EA56EB0">
      <w:pPr>
        <w:spacing w:line="400" w:lineRule="exact"/>
        <w:ind w:firstLine="411" w:firstLineChars="196"/>
        <w:outlineLvl w:val="1"/>
        <w:rPr>
          <w:rFonts w:hint="eastAsia" w:ascii="宋体" w:hAnsi="宋体" w:eastAsia="宋体" w:cs="宋体"/>
          <w:color w:val="auto"/>
          <w:szCs w:val="21"/>
        </w:rPr>
      </w:pPr>
      <w:bookmarkStart w:id="239" w:name="_Toc22640"/>
      <w:bookmarkStart w:id="240" w:name="_Toc17476"/>
      <w:bookmarkStart w:id="241" w:name="_Toc15032"/>
      <w:bookmarkStart w:id="242" w:name="_Toc3268"/>
      <w:bookmarkStart w:id="243" w:name="_Toc22076"/>
      <w:bookmarkStart w:id="244" w:name="_Toc13828"/>
      <w:r>
        <w:rPr>
          <w:rFonts w:hint="eastAsia" w:ascii="宋体" w:hAnsi="宋体" w:eastAsia="宋体" w:cs="宋体"/>
          <w:color w:val="auto"/>
          <w:szCs w:val="21"/>
        </w:rPr>
        <w:t>按项目采购需求表要求及响应文件承诺执行。</w:t>
      </w:r>
    </w:p>
    <w:p w14:paraId="47C2F51C">
      <w:pPr>
        <w:spacing w:line="400" w:lineRule="exact"/>
        <w:ind w:firstLine="413" w:firstLineChars="196"/>
        <w:outlineLvl w:val="1"/>
        <w:rPr>
          <w:rFonts w:hint="eastAsia" w:ascii="宋体" w:hAnsi="宋体" w:eastAsia="宋体" w:cs="宋体"/>
          <w:b/>
          <w:color w:val="auto"/>
          <w:szCs w:val="21"/>
        </w:rPr>
      </w:pPr>
      <w:bookmarkStart w:id="245" w:name="_Toc233"/>
      <w:r>
        <w:rPr>
          <w:rFonts w:hint="eastAsia" w:ascii="宋体" w:hAnsi="宋体" w:eastAsia="宋体" w:cs="宋体"/>
          <w:b/>
          <w:color w:val="auto"/>
          <w:szCs w:val="21"/>
        </w:rPr>
        <w:t>第十一条  违不低于责任</w:t>
      </w:r>
      <w:bookmarkEnd w:id="237"/>
      <w:bookmarkEnd w:id="238"/>
      <w:bookmarkEnd w:id="239"/>
      <w:bookmarkEnd w:id="240"/>
      <w:bookmarkEnd w:id="241"/>
      <w:bookmarkEnd w:id="242"/>
      <w:bookmarkEnd w:id="243"/>
      <w:bookmarkEnd w:id="244"/>
      <w:bookmarkEnd w:id="245"/>
    </w:p>
    <w:p w14:paraId="6A0AD12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 乙方所提供的货物规格、技术标准、材料等质量不合格的，应及时更换，更换不及时的按逾期交货处罚，乙方应向甲方支付合同金额%违不低于金并赔偿甲方经济损失。</w:t>
      </w:r>
    </w:p>
    <w:p w14:paraId="442D8DB5">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 乙方提供的货物如果侵犯了第三方合法权益而引发的任何纠纷或诉讼，均由乙方负责交涉并承担全部责任。</w:t>
      </w:r>
    </w:p>
    <w:p w14:paraId="5274E1B8">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3. 因包装、运输引起的货物损坏，按质量不合格处理。</w:t>
      </w:r>
    </w:p>
    <w:p w14:paraId="54C19410">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4. 甲方无故延期接收货物、乙方逾期交货的，每天向对方偿付违不低于货款额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违不低于金，但违不低于金累计不得超过违不低于货款额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，超过天对方有权解除合同，违不低于方承担因此给对方造成经济损失；甲方延期付货款的，每天向乙方偿付延期货款额‰滞纳金，但滞纳金累计不得超过延期货款额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413BDFE1">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5. 乙方未按本合同和响应文件中规定的服务承诺提供售后服务的，乙方应按本合同合同金额%向甲方支付违不低于金。</w:t>
      </w:r>
    </w:p>
    <w:p w14:paraId="7F11933D">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6. 乙方提供的货物在保修期内，因设计、工艺或材料的缺陷和其他质量原因造成的问题，由乙方负责。</w:t>
      </w:r>
    </w:p>
    <w:p w14:paraId="2BE5EF12">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7. 其他违不低于行为按违不低于货款额%收取违不低于金并赔偿经济损失。</w:t>
      </w:r>
    </w:p>
    <w:p w14:paraId="2282FC59">
      <w:pPr>
        <w:spacing w:line="400" w:lineRule="exact"/>
        <w:ind w:firstLine="413" w:firstLineChars="196"/>
        <w:outlineLvl w:val="1"/>
        <w:rPr>
          <w:rFonts w:hint="eastAsia" w:ascii="宋体" w:hAnsi="宋体" w:eastAsia="宋体" w:cs="宋体"/>
          <w:b/>
          <w:color w:val="auto"/>
          <w:szCs w:val="21"/>
        </w:rPr>
      </w:pPr>
      <w:bookmarkStart w:id="246" w:name="_Toc495841779"/>
      <w:bookmarkStart w:id="247" w:name="_Toc16401"/>
      <w:bookmarkStart w:id="248" w:name="_Toc11208"/>
      <w:bookmarkStart w:id="249" w:name="_Toc21745"/>
      <w:bookmarkStart w:id="250" w:name="_Toc29856"/>
      <w:bookmarkStart w:id="251" w:name="_Toc2348"/>
      <w:bookmarkStart w:id="252" w:name="_Toc23500"/>
      <w:bookmarkStart w:id="253" w:name="_Toc5808"/>
      <w:bookmarkStart w:id="254" w:name="_Toc21401"/>
      <w:r>
        <w:rPr>
          <w:rFonts w:hint="eastAsia" w:ascii="宋体" w:hAnsi="宋体" w:eastAsia="宋体" w:cs="宋体"/>
          <w:b/>
          <w:color w:val="auto"/>
          <w:szCs w:val="21"/>
        </w:rPr>
        <w:t>第十二条  不可抗力事件处理</w:t>
      </w:r>
      <w:bookmarkEnd w:id="246"/>
      <w:bookmarkEnd w:id="247"/>
      <w:bookmarkEnd w:id="248"/>
      <w:bookmarkEnd w:id="249"/>
      <w:bookmarkEnd w:id="250"/>
      <w:bookmarkEnd w:id="251"/>
      <w:bookmarkEnd w:id="252"/>
      <w:bookmarkEnd w:id="253"/>
      <w:bookmarkEnd w:id="254"/>
    </w:p>
    <w:p w14:paraId="3B1AC01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1.在合同有效期内，乙方因不可抗力事件导致不能履行合同，则合同履行期可延长，其延长期与不可抗力影响期相同。</w:t>
      </w:r>
    </w:p>
    <w:p w14:paraId="79761F45">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2.不可抗力事件发生后，应立即通知对方，并寄送有关权威机构出具的证明。</w:t>
      </w:r>
    </w:p>
    <w:p w14:paraId="11B0D36F">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3.不可抗力事件延续一百二十天以上，双方应通过友好协商，确定是否继续履行合同。</w:t>
      </w:r>
    </w:p>
    <w:p w14:paraId="0FC2FE7D">
      <w:pPr>
        <w:spacing w:line="400" w:lineRule="exact"/>
        <w:ind w:firstLine="413" w:firstLineChars="196"/>
        <w:outlineLvl w:val="1"/>
        <w:rPr>
          <w:rFonts w:hint="eastAsia" w:ascii="宋体" w:hAnsi="宋体" w:eastAsia="宋体" w:cs="宋体"/>
          <w:b/>
          <w:color w:val="auto"/>
          <w:szCs w:val="21"/>
        </w:rPr>
      </w:pPr>
      <w:bookmarkStart w:id="255" w:name="_Toc9"/>
      <w:bookmarkStart w:id="256" w:name="_Toc27101"/>
      <w:bookmarkStart w:id="257" w:name="_Toc28244"/>
      <w:bookmarkStart w:id="258" w:name="_Toc11277"/>
      <w:bookmarkStart w:id="259" w:name="_Toc9657"/>
      <w:bookmarkStart w:id="260" w:name="_Toc27845"/>
      <w:bookmarkStart w:id="261" w:name="_Toc20271"/>
      <w:bookmarkStart w:id="262" w:name="_Toc495841780"/>
      <w:bookmarkStart w:id="263" w:name="_Toc16148"/>
      <w:r>
        <w:rPr>
          <w:rFonts w:hint="eastAsia" w:ascii="宋体" w:hAnsi="宋体" w:eastAsia="宋体" w:cs="宋体"/>
          <w:b/>
          <w:color w:val="auto"/>
          <w:szCs w:val="21"/>
        </w:rPr>
        <w:t>第十三条  合同争议解决</w:t>
      </w:r>
      <w:bookmarkEnd w:id="255"/>
      <w:bookmarkEnd w:id="256"/>
      <w:bookmarkEnd w:id="257"/>
      <w:bookmarkEnd w:id="258"/>
      <w:bookmarkEnd w:id="259"/>
      <w:bookmarkEnd w:id="260"/>
      <w:bookmarkEnd w:id="261"/>
      <w:bookmarkEnd w:id="262"/>
      <w:bookmarkEnd w:id="263"/>
    </w:p>
    <w:p w14:paraId="5A60AF40">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1.因货物质量问题发生争议的，应邀请国家认可的质量检测机构对货物质量进行鉴定。货物符合标准的，鉴定费由甲方承担；货物不符合标准的，鉴定费由乙方承担。</w:t>
      </w:r>
    </w:p>
    <w:p w14:paraId="56016B6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2.因履行本合同引起的或与本合同有关的争议，甲乙双方应首先通过友好协商解决，如果协商不能解决，可向</w:t>
      </w:r>
      <w:r>
        <w:rPr>
          <w:rFonts w:hint="eastAsia" w:ascii="宋体" w:hAnsi="宋体" w:eastAsia="宋体" w:cs="宋体"/>
          <w:color w:val="auto"/>
          <w:szCs w:val="21"/>
          <w:lang w:val="en-US" w:eastAsia="zh-CN"/>
        </w:rPr>
        <w:t>灵川县</w:t>
      </w:r>
      <w:r>
        <w:rPr>
          <w:rFonts w:hint="eastAsia" w:ascii="宋体" w:hAnsi="宋体" w:eastAsia="宋体" w:cs="宋体"/>
          <w:color w:val="auto"/>
          <w:szCs w:val="21"/>
        </w:rPr>
        <w:t>人民法院提起诉讼。</w:t>
      </w:r>
    </w:p>
    <w:p w14:paraId="25123BB5">
      <w:pPr>
        <w:spacing w:line="400" w:lineRule="exact"/>
        <w:ind w:left="435"/>
        <w:rPr>
          <w:rFonts w:hint="eastAsia" w:ascii="宋体" w:hAnsi="宋体" w:eastAsia="宋体" w:cs="宋体"/>
          <w:color w:val="auto"/>
          <w:szCs w:val="21"/>
        </w:rPr>
      </w:pPr>
      <w:r>
        <w:rPr>
          <w:rFonts w:hint="eastAsia" w:ascii="宋体" w:hAnsi="宋体" w:eastAsia="宋体" w:cs="宋体"/>
          <w:color w:val="auto"/>
          <w:szCs w:val="21"/>
        </w:rPr>
        <w:t>3.诉讼期间，本合同继续履行。</w:t>
      </w:r>
    </w:p>
    <w:p w14:paraId="507905B8">
      <w:pPr>
        <w:spacing w:line="400" w:lineRule="exact"/>
        <w:ind w:firstLine="413" w:firstLineChars="196"/>
        <w:outlineLvl w:val="1"/>
        <w:rPr>
          <w:rFonts w:hint="eastAsia" w:ascii="宋体" w:hAnsi="宋体" w:eastAsia="宋体" w:cs="宋体"/>
          <w:b/>
          <w:color w:val="auto"/>
          <w:szCs w:val="21"/>
        </w:rPr>
      </w:pPr>
      <w:bookmarkStart w:id="264" w:name="_Toc26915"/>
      <w:bookmarkStart w:id="265" w:name="_Toc8139"/>
      <w:bookmarkStart w:id="266" w:name="_Toc3675"/>
      <w:bookmarkStart w:id="267" w:name="_Toc14308"/>
      <w:bookmarkStart w:id="268" w:name="_Toc13582"/>
      <w:bookmarkStart w:id="269" w:name="_Toc495841781"/>
      <w:bookmarkStart w:id="270" w:name="_Toc4158"/>
      <w:bookmarkStart w:id="271" w:name="_Toc14658"/>
      <w:bookmarkStart w:id="272" w:name="_Toc19613"/>
      <w:r>
        <w:rPr>
          <w:rFonts w:hint="eastAsia" w:ascii="宋体" w:hAnsi="宋体" w:eastAsia="宋体" w:cs="宋体"/>
          <w:b/>
          <w:color w:val="auto"/>
          <w:szCs w:val="21"/>
        </w:rPr>
        <w:t>第十四条  合同生效及其它</w:t>
      </w:r>
      <w:bookmarkEnd w:id="264"/>
      <w:bookmarkEnd w:id="265"/>
      <w:bookmarkEnd w:id="266"/>
      <w:bookmarkEnd w:id="267"/>
      <w:bookmarkEnd w:id="268"/>
      <w:bookmarkEnd w:id="269"/>
      <w:bookmarkEnd w:id="270"/>
      <w:bookmarkEnd w:id="271"/>
      <w:bookmarkEnd w:id="272"/>
    </w:p>
    <w:p w14:paraId="7EBBAC1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1.合同经甲乙双方法定代表人、负责人、自然人或相应的授权代表签字并加盖供应商公章后生效。</w:t>
      </w:r>
    </w:p>
    <w:p w14:paraId="1D8E349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2.合同执行中涉及采购资金和采购内容修改或补充的，需经同级财政部门审批，并签订书面补充协议报同级财政部门备案，方可作为主合同不可分割的一部分。</w:t>
      </w:r>
    </w:p>
    <w:p w14:paraId="0845D4BA">
      <w:pPr>
        <w:spacing w:line="400" w:lineRule="exact"/>
        <w:ind w:left="435"/>
        <w:rPr>
          <w:rFonts w:hint="eastAsia" w:ascii="宋体" w:hAnsi="宋体" w:eastAsia="宋体" w:cs="宋体"/>
          <w:color w:val="auto"/>
          <w:szCs w:val="21"/>
        </w:rPr>
      </w:pPr>
      <w:r>
        <w:rPr>
          <w:rFonts w:hint="eastAsia" w:ascii="宋体" w:hAnsi="宋体" w:eastAsia="宋体" w:cs="宋体"/>
          <w:color w:val="auto"/>
          <w:szCs w:val="21"/>
        </w:rPr>
        <w:t>3.本合同未尽事宜，遵照《中华人民共和国民法典》有关条文执行。</w:t>
      </w:r>
    </w:p>
    <w:p w14:paraId="78140A88">
      <w:pPr>
        <w:spacing w:line="400" w:lineRule="exact"/>
        <w:ind w:firstLine="413" w:firstLineChars="196"/>
        <w:outlineLvl w:val="1"/>
        <w:rPr>
          <w:rFonts w:hint="eastAsia" w:ascii="宋体" w:hAnsi="宋体" w:eastAsia="宋体" w:cs="宋体"/>
          <w:b/>
          <w:color w:val="auto"/>
          <w:szCs w:val="21"/>
        </w:rPr>
      </w:pPr>
      <w:bookmarkStart w:id="273" w:name="_Toc18549"/>
      <w:bookmarkStart w:id="274" w:name="_Toc495841782"/>
      <w:bookmarkStart w:id="275" w:name="_Toc14678"/>
      <w:bookmarkStart w:id="276" w:name="_Toc7151"/>
      <w:bookmarkStart w:id="277" w:name="_Toc10756"/>
      <w:bookmarkStart w:id="278" w:name="_Toc14239"/>
      <w:bookmarkStart w:id="279" w:name="_Toc2062"/>
      <w:bookmarkStart w:id="280" w:name="_Toc22623"/>
      <w:bookmarkStart w:id="281" w:name="_Toc20115"/>
      <w:r>
        <w:rPr>
          <w:rFonts w:hint="eastAsia" w:ascii="宋体" w:hAnsi="宋体" w:eastAsia="宋体" w:cs="宋体"/>
          <w:b/>
          <w:color w:val="auto"/>
          <w:szCs w:val="21"/>
        </w:rPr>
        <w:t>第十五条  合同的变更、终止与转让</w:t>
      </w:r>
      <w:bookmarkEnd w:id="273"/>
      <w:bookmarkEnd w:id="274"/>
      <w:bookmarkEnd w:id="275"/>
      <w:bookmarkEnd w:id="276"/>
      <w:bookmarkEnd w:id="277"/>
      <w:bookmarkEnd w:id="278"/>
      <w:bookmarkEnd w:id="279"/>
      <w:bookmarkEnd w:id="280"/>
      <w:bookmarkEnd w:id="281"/>
    </w:p>
    <w:p w14:paraId="532F28A5">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1.除《中华人民共和国政府采购法》第五十条规定的情形外，本合同一经签订，甲乙双方不得擅自变更，中止或终止。</w:t>
      </w:r>
    </w:p>
    <w:p w14:paraId="6970BE39">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2.乙方不得擅自转让(无进口资格的供应商委托进口货物除外)其应履行的合同义务。</w:t>
      </w:r>
    </w:p>
    <w:p w14:paraId="389D240C">
      <w:pPr>
        <w:spacing w:line="400" w:lineRule="exact"/>
        <w:ind w:firstLine="413" w:firstLineChars="196"/>
        <w:outlineLvl w:val="1"/>
        <w:rPr>
          <w:rFonts w:hint="eastAsia" w:ascii="宋体" w:hAnsi="宋体" w:eastAsia="宋体" w:cs="宋体"/>
          <w:b/>
          <w:color w:val="auto"/>
          <w:szCs w:val="21"/>
        </w:rPr>
      </w:pPr>
      <w:bookmarkStart w:id="282" w:name="_Toc11254"/>
      <w:bookmarkStart w:id="283" w:name="_Toc9172"/>
      <w:bookmarkStart w:id="284" w:name="_Toc12225"/>
      <w:bookmarkStart w:id="285" w:name="_Toc8166"/>
      <w:bookmarkStart w:id="286" w:name="_Toc495841783"/>
      <w:bookmarkStart w:id="287" w:name="_Toc29906"/>
      <w:bookmarkStart w:id="288" w:name="_Toc10546"/>
      <w:bookmarkStart w:id="289" w:name="_Toc3498"/>
      <w:bookmarkStart w:id="290" w:name="_Toc19322"/>
      <w:r>
        <w:rPr>
          <w:rFonts w:hint="eastAsia" w:ascii="宋体" w:hAnsi="宋体" w:eastAsia="宋体" w:cs="宋体"/>
          <w:b/>
          <w:color w:val="auto"/>
          <w:szCs w:val="21"/>
        </w:rPr>
        <w:t>第十六条  签订本合同依据</w:t>
      </w:r>
      <w:bookmarkEnd w:id="282"/>
      <w:bookmarkEnd w:id="283"/>
      <w:bookmarkEnd w:id="284"/>
      <w:bookmarkEnd w:id="285"/>
      <w:bookmarkEnd w:id="286"/>
      <w:bookmarkEnd w:id="287"/>
      <w:bookmarkEnd w:id="288"/>
      <w:bookmarkEnd w:id="289"/>
      <w:bookmarkEnd w:id="290"/>
    </w:p>
    <w:p w14:paraId="4307AB2E">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1.竞争性磋商文件；</w:t>
      </w:r>
    </w:p>
    <w:p w14:paraId="2EB66BA4">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2.乙方提供的响应（或应答）文件；</w:t>
      </w:r>
    </w:p>
    <w:p w14:paraId="7B2764CC">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3.项目需求要求响应表；</w:t>
      </w:r>
    </w:p>
    <w:p w14:paraId="52EF433F">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4.成交通知书。</w:t>
      </w:r>
    </w:p>
    <w:p w14:paraId="12FB8BB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政府采购合同双方自签订之日起将自动存档于“广西政府采购云平台”平台上备案。</w:t>
      </w:r>
    </w:p>
    <w:p w14:paraId="68DA35C5">
      <w:pPr>
        <w:spacing w:line="400" w:lineRule="exact"/>
        <w:ind w:firstLine="420" w:firstLineChars="200"/>
        <w:rPr>
          <w:rFonts w:hint="eastAsia" w:ascii="宋体" w:hAnsi="宋体" w:eastAsia="宋体" w:cs="宋体"/>
          <w:color w:val="auto"/>
          <w:szCs w:val="21"/>
        </w:rPr>
      </w:pPr>
    </w:p>
    <w:p w14:paraId="7837DF04">
      <w:pPr>
        <w:pBdr>
          <w:top w:val="single" w:color="auto" w:sz="4" w:space="0"/>
          <w:left w:val="single" w:color="auto" w:sz="4" w:space="0"/>
          <w:bottom w:val="single" w:color="auto" w:sz="4" w:space="0"/>
          <w:right w:val="single" w:color="auto" w:sz="4" w:space="0"/>
        </w:pBdr>
        <w:spacing w:line="400" w:lineRule="exact"/>
        <w:rPr>
          <w:rFonts w:hint="eastAsia" w:ascii="宋体" w:hAnsi="宋体" w:eastAsia="宋体" w:cs="宋体"/>
          <w:color w:val="auto"/>
          <w:szCs w:val="21"/>
        </w:rPr>
      </w:pPr>
      <w:r>
        <w:rPr>
          <w:rFonts w:hint="eastAsia" w:ascii="宋体" w:hAnsi="宋体" w:eastAsia="宋体" w:cs="宋体"/>
          <w:color w:val="auto"/>
          <w:szCs w:val="21"/>
        </w:rPr>
        <w:t xml:space="preserve">甲方（公章）：                              乙方（公章，自然人除外）：                        </w:t>
      </w:r>
    </w:p>
    <w:p w14:paraId="7DA45E43">
      <w:pPr>
        <w:pBdr>
          <w:top w:val="single" w:color="auto" w:sz="4" w:space="0"/>
          <w:left w:val="single" w:color="auto" w:sz="4" w:space="0"/>
          <w:bottom w:val="single" w:color="auto" w:sz="4" w:space="0"/>
          <w:right w:val="single" w:color="auto" w:sz="4" w:space="0"/>
        </w:pBdr>
        <w:spacing w:line="400" w:lineRule="exact"/>
        <w:ind w:left="4620" w:hanging="4620" w:hangingChars="2200"/>
        <w:rPr>
          <w:rFonts w:hint="eastAsia" w:ascii="宋体" w:hAnsi="宋体" w:eastAsia="宋体" w:cs="宋体"/>
          <w:color w:val="auto"/>
          <w:szCs w:val="21"/>
        </w:rPr>
      </w:pPr>
      <w:r>
        <w:rPr>
          <w:rFonts w:hint="eastAsia" w:ascii="宋体" w:hAnsi="宋体" w:eastAsia="宋体" w:cs="宋体"/>
          <w:color w:val="auto"/>
          <w:szCs w:val="21"/>
        </w:rPr>
        <w:t xml:space="preserve">法定代表人签字：                            </w:t>
      </w:r>
      <w:r>
        <w:rPr>
          <w:rFonts w:hint="eastAsia" w:ascii="宋体" w:hAnsi="宋体" w:eastAsia="宋体" w:cs="宋体"/>
          <w:color w:val="auto"/>
        </w:rPr>
        <w:t>法定代表人（负责人、自然人）签字（属自然人的应在签名处加盖大拇指指印）</w:t>
      </w:r>
      <w:r>
        <w:rPr>
          <w:rFonts w:hint="eastAsia" w:ascii="宋体" w:hAnsi="宋体" w:eastAsia="宋体" w:cs="宋体"/>
          <w:color w:val="auto"/>
          <w:szCs w:val="21"/>
        </w:rPr>
        <w:t xml:space="preserve">：                          </w:t>
      </w:r>
    </w:p>
    <w:p w14:paraId="397B0348">
      <w:pPr>
        <w:pBdr>
          <w:top w:val="single" w:color="auto" w:sz="4" w:space="0"/>
          <w:left w:val="single" w:color="auto" w:sz="4" w:space="0"/>
          <w:bottom w:val="single" w:color="auto" w:sz="4" w:space="0"/>
          <w:right w:val="single" w:color="auto" w:sz="4" w:space="0"/>
        </w:pBdr>
        <w:tabs>
          <w:tab w:val="left" w:pos="4680"/>
        </w:tabs>
        <w:spacing w:line="400" w:lineRule="exact"/>
        <w:rPr>
          <w:rFonts w:hint="eastAsia" w:ascii="宋体" w:hAnsi="宋体" w:eastAsia="宋体" w:cs="宋体"/>
          <w:color w:val="auto"/>
          <w:szCs w:val="21"/>
        </w:rPr>
      </w:pPr>
      <w:r>
        <w:rPr>
          <w:rFonts w:hint="eastAsia" w:ascii="宋体" w:hAnsi="宋体" w:eastAsia="宋体" w:cs="宋体"/>
          <w:color w:val="auto"/>
          <w:szCs w:val="21"/>
        </w:rPr>
        <w:t xml:space="preserve">委托代理人：                                委托代理人：                                     </w:t>
      </w:r>
    </w:p>
    <w:p w14:paraId="0B2158DD">
      <w:pPr>
        <w:pBdr>
          <w:top w:val="single" w:color="auto" w:sz="4" w:space="0"/>
          <w:left w:val="single" w:color="auto" w:sz="4" w:space="0"/>
          <w:bottom w:val="single" w:color="auto" w:sz="4" w:space="0"/>
          <w:right w:val="single" w:color="auto" w:sz="4" w:space="0"/>
        </w:pBdr>
        <w:tabs>
          <w:tab w:val="left" w:pos="5040"/>
        </w:tabs>
        <w:spacing w:line="400" w:lineRule="exact"/>
        <w:rPr>
          <w:rFonts w:hint="eastAsia" w:ascii="宋体" w:hAnsi="宋体" w:eastAsia="宋体" w:cs="宋体"/>
          <w:color w:val="auto"/>
          <w:szCs w:val="21"/>
        </w:rPr>
      </w:pPr>
      <w:r>
        <w:rPr>
          <w:rFonts w:hint="eastAsia" w:ascii="宋体" w:hAnsi="宋体" w:eastAsia="宋体" w:cs="宋体"/>
          <w:color w:val="auto"/>
          <w:szCs w:val="21"/>
        </w:rPr>
        <w:t xml:space="preserve">电  话：                                    电   话：                                        </w:t>
      </w:r>
    </w:p>
    <w:p w14:paraId="440BD1CF">
      <w:pPr>
        <w:pBdr>
          <w:top w:val="single" w:color="auto" w:sz="4" w:space="0"/>
          <w:left w:val="single" w:color="auto" w:sz="4" w:space="0"/>
          <w:bottom w:val="single" w:color="auto" w:sz="4" w:space="0"/>
          <w:right w:val="single" w:color="auto" w:sz="4" w:space="0"/>
        </w:pBdr>
        <w:tabs>
          <w:tab w:val="left" w:pos="5040"/>
        </w:tabs>
        <w:spacing w:line="400" w:lineRule="exact"/>
        <w:rPr>
          <w:rFonts w:hint="eastAsia" w:ascii="宋体" w:hAnsi="宋体" w:eastAsia="宋体" w:cs="宋体"/>
          <w:color w:val="auto"/>
          <w:szCs w:val="21"/>
        </w:rPr>
      </w:pPr>
      <w:r>
        <w:rPr>
          <w:rFonts w:hint="eastAsia" w:ascii="宋体" w:hAnsi="宋体" w:eastAsia="宋体" w:cs="宋体"/>
          <w:color w:val="auto"/>
          <w:szCs w:val="21"/>
        </w:rPr>
        <w:t xml:space="preserve">开户名称：                                  开户名称：                                       </w:t>
      </w:r>
    </w:p>
    <w:p w14:paraId="2B096688">
      <w:pPr>
        <w:pBdr>
          <w:top w:val="single" w:color="auto" w:sz="4" w:space="0"/>
          <w:left w:val="single" w:color="auto" w:sz="4" w:space="0"/>
          <w:bottom w:val="single" w:color="auto" w:sz="4" w:space="0"/>
          <w:right w:val="single" w:color="auto" w:sz="4" w:space="0"/>
        </w:pBdr>
        <w:tabs>
          <w:tab w:val="left" w:pos="5040"/>
        </w:tabs>
        <w:spacing w:line="400" w:lineRule="exact"/>
        <w:rPr>
          <w:rFonts w:hint="eastAsia" w:ascii="宋体" w:hAnsi="宋体" w:eastAsia="宋体" w:cs="宋体"/>
          <w:color w:val="auto"/>
          <w:szCs w:val="21"/>
        </w:rPr>
      </w:pPr>
      <w:r>
        <w:rPr>
          <w:rFonts w:hint="eastAsia" w:ascii="宋体" w:hAnsi="宋体" w:eastAsia="宋体" w:cs="宋体"/>
          <w:color w:val="auto"/>
          <w:szCs w:val="21"/>
        </w:rPr>
        <w:t xml:space="preserve">开户银行：                                  开户银行：                                       </w:t>
      </w:r>
    </w:p>
    <w:p w14:paraId="7A9B397F">
      <w:pPr>
        <w:pBdr>
          <w:top w:val="single" w:color="auto" w:sz="4" w:space="0"/>
          <w:left w:val="single" w:color="auto" w:sz="4" w:space="0"/>
          <w:bottom w:val="single" w:color="auto" w:sz="4" w:space="0"/>
          <w:right w:val="single" w:color="auto" w:sz="4" w:space="0"/>
        </w:pBdr>
        <w:tabs>
          <w:tab w:val="left" w:pos="5040"/>
        </w:tabs>
        <w:spacing w:line="400" w:lineRule="exact"/>
        <w:rPr>
          <w:rFonts w:hint="eastAsia" w:ascii="宋体" w:hAnsi="宋体" w:eastAsia="宋体" w:cs="宋体"/>
          <w:color w:val="auto"/>
          <w:szCs w:val="21"/>
        </w:rPr>
      </w:pPr>
      <w:r>
        <w:rPr>
          <w:rFonts w:hint="eastAsia" w:ascii="宋体" w:hAnsi="宋体" w:eastAsia="宋体" w:cs="宋体"/>
          <w:color w:val="auto"/>
          <w:szCs w:val="21"/>
        </w:rPr>
        <w:t xml:space="preserve">银行账号：                                  银行账号：                                       </w:t>
      </w:r>
    </w:p>
    <w:p w14:paraId="7C43A48E">
      <w:pPr>
        <w:pBdr>
          <w:top w:val="single" w:color="auto" w:sz="4" w:space="0"/>
          <w:left w:val="single" w:color="auto" w:sz="4" w:space="0"/>
          <w:bottom w:val="single" w:color="auto" w:sz="4" w:space="0"/>
          <w:right w:val="single" w:color="auto" w:sz="4" w:space="0"/>
        </w:pBdr>
        <w:tabs>
          <w:tab w:val="left" w:pos="5040"/>
        </w:tabs>
        <w:spacing w:line="400" w:lineRule="exact"/>
        <w:rPr>
          <w:rFonts w:hint="eastAsia" w:ascii="宋体" w:hAnsi="宋体" w:eastAsia="宋体" w:cs="宋体"/>
          <w:color w:val="auto"/>
        </w:rPr>
      </w:pPr>
      <w:r>
        <w:rPr>
          <w:rFonts w:hint="eastAsia" w:ascii="宋体" w:hAnsi="宋体" w:eastAsia="宋体" w:cs="宋体"/>
          <w:color w:val="auto"/>
          <w:szCs w:val="21"/>
        </w:rPr>
        <w:t>日    期：                                  日    期：</w:t>
      </w:r>
    </w:p>
    <w:p w14:paraId="64EC2523">
      <w:pPr>
        <w:outlineLvl w:val="0"/>
        <w:rPr>
          <w:rFonts w:hint="eastAsia" w:ascii="宋体" w:hAnsi="宋体" w:eastAsia="宋体" w:cs="宋体"/>
          <w:b/>
          <w:bCs/>
          <w:color w:val="auto"/>
          <w:kern w:val="44"/>
          <w:sz w:val="32"/>
          <w:szCs w:val="32"/>
        </w:rPr>
      </w:pPr>
    </w:p>
    <w:p w14:paraId="33551FEC">
      <w:pPr>
        <w:spacing w:line="480" w:lineRule="auto"/>
        <w:rPr>
          <w:rFonts w:hint="eastAsia" w:ascii="宋体" w:hAnsi="宋体" w:eastAsia="宋体" w:cs="宋体"/>
          <w:color w:val="auto"/>
        </w:rPr>
      </w:pPr>
    </w:p>
    <w:p w14:paraId="35E505ED">
      <w:pPr>
        <w:pStyle w:val="2"/>
        <w:pageBreakBefore/>
        <w:tabs>
          <w:tab w:val="left" w:pos="567"/>
        </w:tabs>
        <w:spacing w:line="416" w:lineRule="auto"/>
        <w:jc w:val="center"/>
        <w:rPr>
          <w:rFonts w:hint="eastAsia" w:ascii="宋体" w:hAnsi="宋体" w:eastAsia="宋体" w:cs="宋体"/>
          <w:color w:val="auto"/>
        </w:rPr>
      </w:pPr>
      <w:bookmarkStart w:id="291" w:name="_Toc13301"/>
      <w:bookmarkStart w:id="292" w:name="_Toc9947"/>
      <w:bookmarkStart w:id="293" w:name="_Toc2274"/>
      <w:r>
        <w:rPr>
          <w:rFonts w:hint="eastAsia" w:ascii="宋体" w:hAnsi="宋体" w:eastAsia="宋体" w:cs="宋体"/>
          <w:color w:val="auto"/>
          <w:sz w:val="32"/>
          <w:szCs w:val="32"/>
        </w:rPr>
        <w:t xml:space="preserve">第六章  </w:t>
      </w:r>
      <w:bookmarkEnd w:id="147"/>
      <w:bookmarkEnd w:id="148"/>
      <w:bookmarkStart w:id="294" w:name="_Toc13185"/>
      <w:r>
        <w:rPr>
          <w:rFonts w:hint="eastAsia" w:ascii="宋体" w:hAnsi="宋体" w:eastAsia="宋体" w:cs="宋体"/>
          <w:color w:val="auto"/>
          <w:sz w:val="32"/>
          <w:szCs w:val="32"/>
        </w:rPr>
        <w:t>响应文件（格式）</w:t>
      </w:r>
      <w:bookmarkEnd w:id="291"/>
      <w:bookmarkEnd w:id="292"/>
      <w:bookmarkEnd w:id="293"/>
      <w:bookmarkEnd w:id="294"/>
    </w:p>
    <w:p w14:paraId="56BBC865">
      <w:pPr>
        <w:rPr>
          <w:rFonts w:hint="eastAsia" w:ascii="宋体" w:hAnsi="宋体" w:eastAsia="宋体" w:cs="宋体"/>
          <w:color w:val="auto"/>
        </w:rPr>
      </w:pPr>
    </w:p>
    <w:p w14:paraId="7043C9D1">
      <w:pPr>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响应文件组成：</w:t>
      </w:r>
    </w:p>
    <w:p w14:paraId="37BBCEC2">
      <w:pPr>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一、资格性审查要求证明材料</w:t>
      </w:r>
    </w:p>
    <w:p w14:paraId="1EF05BD1">
      <w:pPr>
        <w:spacing w:line="400" w:lineRule="exact"/>
        <w:rPr>
          <w:rFonts w:hint="eastAsia" w:ascii="宋体" w:hAnsi="宋体" w:eastAsia="宋体" w:cs="宋体"/>
          <w:b/>
          <w:color w:val="auto"/>
          <w:sz w:val="24"/>
        </w:rPr>
      </w:pPr>
    </w:p>
    <w:p w14:paraId="78D0F7E0">
      <w:pPr>
        <w:spacing w:line="400" w:lineRule="exact"/>
        <w:rPr>
          <w:rFonts w:hint="eastAsia" w:ascii="宋体" w:hAnsi="宋体" w:eastAsia="宋体" w:cs="宋体"/>
          <w:b/>
          <w:color w:val="auto"/>
          <w:sz w:val="24"/>
        </w:rPr>
      </w:pPr>
      <w:r>
        <w:rPr>
          <w:rFonts w:hint="eastAsia" w:ascii="宋体" w:hAnsi="宋体" w:eastAsia="宋体" w:cs="宋体"/>
          <w:b/>
          <w:color w:val="auto"/>
          <w:sz w:val="24"/>
        </w:rPr>
        <w:t>1.响应文件封面（必须提供）</w:t>
      </w:r>
    </w:p>
    <w:p w14:paraId="632C1591">
      <w:pPr>
        <w:snapToGrid w:val="0"/>
        <w:spacing w:beforeLines="50" w:after="50"/>
        <w:jc w:val="center"/>
        <w:rPr>
          <w:rFonts w:hint="eastAsia" w:ascii="宋体" w:hAnsi="宋体" w:eastAsia="宋体" w:cs="宋体"/>
          <w:bCs/>
          <w:color w:val="auto"/>
          <w:sz w:val="32"/>
          <w:szCs w:val="32"/>
        </w:rPr>
      </w:pPr>
    </w:p>
    <w:p w14:paraId="42D58D6C">
      <w:pPr>
        <w:snapToGrid w:val="0"/>
        <w:spacing w:beforeLines="50" w:after="5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响 应 文 件（格式）</w:t>
      </w:r>
    </w:p>
    <w:p w14:paraId="2BBF55A4">
      <w:pPr>
        <w:snapToGrid w:val="0"/>
        <w:spacing w:beforeLines="50" w:after="50"/>
        <w:rPr>
          <w:rFonts w:hint="eastAsia" w:ascii="宋体" w:hAnsi="宋体" w:eastAsia="宋体" w:cs="宋体"/>
          <w:bCs/>
          <w:color w:val="auto"/>
          <w:sz w:val="24"/>
          <w:szCs w:val="20"/>
        </w:rPr>
      </w:pPr>
    </w:p>
    <w:p w14:paraId="5BAA0383">
      <w:pPr>
        <w:snapToGrid w:val="0"/>
        <w:spacing w:beforeLines="50" w:after="50"/>
        <w:ind w:firstLine="361" w:firstLineChars="150"/>
        <w:rPr>
          <w:rFonts w:hint="eastAsia" w:ascii="宋体" w:hAnsi="宋体" w:eastAsia="宋体" w:cs="宋体"/>
          <w:b/>
          <w:color w:val="auto"/>
          <w:sz w:val="24"/>
          <w:szCs w:val="20"/>
        </w:rPr>
      </w:pPr>
      <w:r>
        <w:rPr>
          <w:rFonts w:hint="eastAsia" w:ascii="宋体" w:hAnsi="宋体" w:eastAsia="宋体" w:cs="宋体"/>
          <w:b/>
          <w:color w:val="auto"/>
          <w:sz w:val="24"/>
          <w:szCs w:val="20"/>
        </w:rPr>
        <w:t>项目名称：灵川县矿产资源税费征收综合信息管理平台项目（二期）</w:t>
      </w:r>
    </w:p>
    <w:p w14:paraId="2D290F9D">
      <w:pPr>
        <w:snapToGrid w:val="0"/>
        <w:spacing w:beforeLines="50" w:after="50"/>
        <w:ind w:firstLine="361" w:firstLineChars="150"/>
        <w:rPr>
          <w:rFonts w:hint="eastAsia" w:ascii="宋体" w:hAnsi="宋体" w:eastAsia="宋体" w:cs="宋体"/>
          <w:b/>
          <w:color w:val="auto"/>
          <w:sz w:val="24"/>
          <w:szCs w:val="20"/>
        </w:rPr>
      </w:pPr>
    </w:p>
    <w:p w14:paraId="20B003CB">
      <w:pPr>
        <w:snapToGrid w:val="0"/>
        <w:spacing w:beforeLines="50" w:after="50"/>
        <w:ind w:firstLine="361" w:firstLineChars="150"/>
        <w:rPr>
          <w:rFonts w:hint="eastAsia" w:ascii="宋体" w:hAnsi="宋体" w:eastAsia="宋体" w:cs="宋体"/>
          <w:b/>
          <w:color w:val="auto"/>
          <w:sz w:val="24"/>
          <w:szCs w:val="20"/>
          <w:lang w:eastAsia="zh-CN"/>
        </w:rPr>
      </w:pPr>
      <w:r>
        <w:rPr>
          <w:rFonts w:hint="eastAsia" w:ascii="宋体" w:hAnsi="宋体" w:eastAsia="宋体" w:cs="宋体"/>
          <w:b/>
          <w:color w:val="auto"/>
          <w:sz w:val="24"/>
          <w:szCs w:val="20"/>
        </w:rPr>
        <w:t>项目编号：</w:t>
      </w:r>
      <w:r>
        <w:rPr>
          <w:rFonts w:hint="eastAsia" w:ascii="宋体" w:hAnsi="宋体" w:eastAsia="宋体" w:cs="宋体"/>
          <w:b/>
          <w:color w:val="auto"/>
          <w:sz w:val="24"/>
          <w:szCs w:val="20"/>
          <w:lang w:val="en-US" w:eastAsia="zh-CN"/>
        </w:rPr>
        <w:t xml:space="preserve"> GLZC2025-C3-230025-GXJY</w:t>
      </w:r>
    </w:p>
    <w:p w14:paraId="4BEB4A33">
      <w:pPr>
        <w:spacing w:line="400" w:lineRule="exact"/>
        <w:rPr>
          <w:rFonts w:hint="eastAsia" w:ascii="宋体" w:hAnsi="宋体" w:eastAsia="宋体" w:cs="宋体"/>
          <w:b/>
          <w:color w:val="auto"/>
          <w:szCs w:val="21"/>
        </w:rPr>
      </w:pPr>
    </w:p>
    <w:p w14:paraId="29C918B6">
      <w:pPr>
        <w:snapToGrid w:val="0"/>
        <w:spacing w:beforeLines="50" w:after="50"/>
        <w:ind w:firstLine="361" w:firstLineChars="150"/>
        <w:rPr>
          <w:rFonts w:hint="eastAsia" w:ascii="宋体" w:hAnsi="宋体" w:eastAsia="宋体" w:cs="宋体"/>
          <w:b/>
          <w:color w:val="auto"/>
          <w:sz w:val="24"/>
        </w:rPr>
      </w:pPr>
      <w:r>
        <w:rPr>
          <w:rFonts w:hint="eastAsia" w:ascii="宋体" w:hAnsi="宋体" w:eastAsia="宋体" w:cs="宋体"/>
          <w:b/>
          <w:color w:val="auto"/>
          <w:sz w:val="24"/>
        </w:rPr>
        <w:t>采购人：灵川县自然资源局</w:t>
      </w:r>
    </w:p>
    <w:p w14:paraId="599317C9">
      <w:pPr>
        <w:snapToGrid w:val="0"/>
        <w:spacing w:beforeLines="50" w:after="50"/>
        <w:ind w:firstLine="361" w:firstLineChars="150"/>
        <w:rPr>
          <w:rFonts w:hint="eastAsia" w:ascii="宋体" w:hAnsi="宋体" w:eastAsia="宋体" w:cs="宋体"/>
          <w:b/>
          <w:color w:val="auto"/>
          <w:sz w:val="24"/>
        </w:rPr>
      </w:pPr>
    </w:p>
    <w:p w14:paraId="64A88B81">
      <w:pPr>
        <w:snapToGrid w:val="0"/>
        <w:spacing w:beforeLines="50" w:after="50"/>
        <w:ind w:firstLine="361" w:firstLineChars="150"/>
        <w:rPr>
          <w:rFonts w:hint="eastAsia" w:ascii="宋体" w:hAnsi="宋体" w:eastAsia="宋体" w:cs="宋体"/>
          <w:b/>
          <w:color w:val="auto"/>
          <w:sz w:val="24"/>
        </w:rPr>
      </w:pPr>
      <w:r>
        <w:rPr>
          <w:rFonts w:hint="eastAsia" w:ascii="宋体" w:hAnsi="宋体" w:eastAsia="宋体" w:cs="宋体"/>
          <w:b/>
          <w:color w:val="auto"/>
          <w:sz w:val="24"/>
        </w:rPr>
        <w:t>采购代理机构：广西佳益工程项目管理咨询有限公司</w:t>
      </w:r>
    </w:p>
    <w:p w14:paraId="50BF3D19">
      <w:pPr>
        <w:snapToGrid w:val="0"/>
        <w:spacing w:beforeLines="50" w:after="50"/>
        <w:ind w:firstLine="361" w:firstLineChars="150"/>
        <w:rPr>
          <w:rFonts w:hint="eastAsia" w:ascii="宋体" w:hAnsi="宋体" w:eastAsia="宋体" w:cs="宋体"/>
          <w:b/>
          <w:color w:val="auto"/>
          <w:sz w:val="24"/>
        </w:rPr>
      </w:pPr>
    </w:p>
    <w:p w14:paraId="3775979A">
      <w:pPr>
        <w:snapToGrid w:val="0"/>
        <w:spacing w:beforeLines="50" w:after="50"/>
        <w:ind w:firstLine="361" w:firstLineChars="150"/>
        <w:rPr>
          <w:rFonts w:hint="eastAsia" w:ascii="宋体" w:hAnsi="宋体" w:eastAsia="宋体" w:cs="宋体"/>
          <w:b/>
          <w:color w:val="auto"/>
          <w:sz w:val="24"/>
        </w:rPr>
      </w:pPr>
    </w:p>
    <w:p w14:paraId="5FA5A9D1">
      <w:pPr>
        <w:snapToGrid w:val="0"/>
        <w:spacing w:beforeLines="50" w:after="50"/>
        <w:ind w:firstLine="361" w:firstLineChars="150"/>
        <w:rPr>
          <w:rFonts w:hint="eastAsia" w:ascii="宋体" w:hAnsi="宋体" w:eastAsia="宋体" w:cs="宋体"/>
          <w:b/>
          <w:color w:val="auto"/>
          <w:sz w:val="24"/>
        </w:rPr>
      </w:pPr>
      <w:bookmarkStart w:id="295" w:name="_Toc4932_WPSOffice_Level2"/>
      <w:bookmarkStart w:id="296" w:name="_Toc20319_WPSOffice_Level2"/>
      <w:r>
        <w:rPr>
          <w:rFonts w:hint="eastAsia" w:ascii="宋体" w:hAnsi="宋体" w:eastAsia="宋体" w:cs="宋体"/>
          <w:b/>
          <w:color w:val="auto"/>
          <w:sz w:val="24"/>
        </w:rPr>
        <w:t>供应商[公章(CA签章)、属自然人的应签名并加盖大拇指指印或个人CA签章]：</w:t>
      </w:r>
      <w:r>
        <w:rPr>
          <w:rFonts w:hint="eastAsia" w:ascii="宋体" w:hAnsi="宋体" w:eastAsia="宋体" w:cs="宋体"/>
          <w:color w:val="auto"/>
          <w:szCs w:val="21"/>
          <w:u w:val="single"/>
        </w:rPr>
        <w:t xml:space="preserve">　 </w:t>
      </w:r>
      <w:bookmarkEnd w:id="295"/>
      <w:bookmarkEnd w:id="296"/>
    </w:p>
    <w:p w14:paraId="4C258156">
      <w:pPr>
        <w:snapToGrid w:val="0"/>
        <w:spacing w:beforeLines="50" w:after="50"/>
        <w:ind w:firstLine="361" w:firstLineChars="150"/>
        <w:rPr>
          <w:rFonts w:hint="eastAsia" w:ascii="宋体" w:hAnsi="宋体" w:eastAsia="宋体" w:cs="宋体"/>
          <w:b/>
          <w:color w:val="auto"/>
          <w:sz w:val="24"/>
        </w:rPr>
      </w:pPr>
      <w:bookmarkStart w:id="297" w:name="_Toc9622_WPSOffice_Level2"/>
      <w:bookmarkStart w:id="298" w:name="_Toc32056_WPSOffice_Level2"/>
      <w:r>
        <w:rPr>
          <w:rFonts w:hint="eastAsia" w:ascii="宋体" w:hAnsi="宋体" w:eastAsia="宋体" w:cs="宋体"/>
          <w:b/>
          <w:color w:val="auto"/>
          <w:sz w:val="24"/>
        </w:rPr>
        <w:t>法定代表人、负责人、自然人或相应的委托代理人签字[或盖个人章(CA签章)]</w:t>
      </w:r>
    </w:p>
    <w:p w14:paraId="2E93F59B">
      <w:pPr>
        <w:snapToGrid w:val="0"/>
        <w:spacing w:beforeLines="50" w:after="50"/>
        <w:ind w:firstLine="361" w:firstLineChars="150"/>
        <w:rPr>
          <w:rFonts w:hint="eastAsia" w:ascii="宋体" w:hAnsi="宋体" w:eastAsia="宋体" w:cs="宋体"/>
          <w:b/>
          <w:color w:val="auto"/>
          <w:sz w:val="24"/>
          <w:u w:val="single"/>
        </w:rPr>
      </w:pPr>
      <w:r>
        <w:rPr>
          <w:rFonts w:hint="eastAsia" w:ascii="宋体" w:hAnsi="宋体" w:eastAsia="宋体" w:cs="宋体"/>
          <w:b/>
          <w:color w:val="auto"/>
          <w:sz w:val="24"/>
        </w:rPr>
        <w:t>（属自然人的应在签名处加盖大拇指指印或个人CA签章）：</w:t>
      </w:r>
      <w:r>
        <w:rPr>
          <w:rFonts w:hint="eastAsia" w:ascii="宋体" w:hAnsi="宋体" w:eastAsia="宋体" w:cs="宋体"/>
          <w:color w:val="auto"/>
          <w:szCs w:val="21"/>
          <w:u w:val="single"/>
        </w:rPr>
        <w:t>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14:paraId="59374998">
      <w:pPr>
        <w:snapToGrid w:val="0"/>
        <w:spacing w:beforeLines="50" w:after="50"/>
        <w:ind w:firstLine="361" w:firstLineChars="150"/>
        <w:rPr>
          <w:rFonts w:hint="eastAsia" w:ascii="宋体" w:hAnsi="宋体" w:eastAsia="宋体" w:cs="宋体"/>
          <w:b/>
          <w:color w:val="auto"/>
          <w:sz w:val="24"/>
          <w:u w:val="single"/>
        </w:rPr>
      </w:pPr>
      <w:r>
        <w:rPr>
          <w:rFonts w:hint="eastAsia" w:ascii="宋体" w:hAnsi="宋体" w:eastAsia="宋体" w:cs="宋体"/>
          <w:b/>
          <w:color w:val="auto"/>
          <w:sz w:val="24"/>
        </w:rPr>
        <w:t>联系电话：</w:t>
      </w:r>
      <w:bookmarkEnd w:id="297"/>
      <w:bookmarkEnd w:id="298"/>
      <w:r>
        <w:rPr>
          <w:rFonts w:hint="eastAsia" w:ascii="宋体" w:hAnsi="宋体" w:eastAsia="宋体" w:cs="宋体"/>
          <w:color w:val="auto"/>
          <w:szCs w:val="21"/>
          <w:u w:val="single"/>
        </w:rPr>
        <w:t>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14:paraId="26FFF14F">
      <w:pPr>
        <w:snapToGrid w:val="0"/>
        <w:spacing w:beforeLines="50" w:after="50"/>
        <w:ind w:firstLine="361" w:firstLineChars="150"/>
        <w:rPr>
          <w:rFonts w:hint="eastAsia" w:ascii="宋体" w:hAnsi="宋体" w:eastAsia="宋体" w:cs="宋体"/>
          <w:bCs/>
          <w:color w:val="auto"/>
          <w:szCs w:val="21"/>
        </w:rPr>
      </w:pPr>
      <w:bookmarkStart w:id="299" w:name="_Toc26465_WPSOffice_Level2"/>
      <w:bookmarkStart w:id="300" w:name="_Toc15933_WPSOffice_Level2"/>
      <w:r>
        <w:rPr>
          <w:rFonts w:hint="eastAsia" w:ascii="宋体" w:hAnsi="宋体" w:eastAsia="宋体" w:cs="宋体"/>
          <w:b/>
          <w:color w:val="auto"/>
          <w:sz w:val="24"/>
        </w:rPr>
        <w:t>日期：年 月日</w:t>
      </w:r>
      <w:bookmarkEnd w:id="299"/>
      <w:bookmarkEnd w:id="300"/>
      <w:r>
        <w:rPr>
          <w:rFonts w:hint="eastAsia" w:ascii="宋体" w:hAnsi="宋体" w:eastAsia="宋体" w:cs="宋体"/>
          <w:bCs/>
          <w:color w:val="auto"/>
          <w:szCs w:val="21"/>
        </w:rPr>
        <w:t>（备注：此处由供应商自行填写项目竞标日期）</w:t>
      </w:r>
    </w:p>
    <w:p w14:paraId="5F21B700">
      <w:pPr>
        <w:pStyle w:val="23"/>
        <w:rPr>
          <w:rFonts w:hint="eastAsia" w:ascii="宋体" w:hAnsi="宋体" w:eastAsia="宋体" w:cs="宋体"/>
          <w:color w:val="auto"/>
        </w:rPr>
      </w:pPr>
    </w:p>
    <w:p w14:paraId="2EA91CE1">
      <w:pPr>
        <w:tabs>
          <w:tab w:val="left" w:pos="5040"/>
        </w:tabs>
        <w:spacing w:line="400" w:lineRule="exact"/>
        <w:rPr>
          <w:rFonts w:hint="eastAsia" w:ascii="宋体" w:hAnsi="宋体" w:eastAsia="宋体" w:cs="宋体"/>
          <w:color w:val="auto"/>
          <w:szCs w:val="21"/>
        </w:rPr>
      </w:pPr>
    </w:p>
    <w:p w14:paraId="6756D4B1">
      <w:pPr>
        <w:pStyle w:val="7"/>
        <w:rPr>
          <w:rFonts w:hint="eastAsia" w:ascii="宋体" w:hAnsi="宋体" w:eastAsia="宋体" w:cs="宋体"/>
          <w:color w:val="auto"/>
          <w:szCs w:val="21"/>
        </w:rPr>
      </w:pPr>
    </w:p>
    <w:p w14:paraId="3DED379F">
      <w:pPr>
        <w:pStyle w:val="7"/>
        <w:rPr>
          <w:rFonts w:hint="eastAsia" w:ascii="宋体" w:hAnsi="宋体" w:eastAsia="宋体" w:cs="宋体"/>
          <w:color w:val="auto"/>
          <w:szCs w:val="21"/>
        </w:rPr>
      </w:pPr>
    </w:p>
    <w:p w14:paraId="708BDDF4">
      <w:pPr>
        <w:pStyle w:val="7"/>
        <w:rPr>
          <w:rFonts w:hint="eastAsia" w:ascii="宋体" w:hAnsi="宋体" w:eastAsia="宋体" w:cs="宋体"/>
          <w:color w:val="auto"/>
          <w:szCs w:val="21"/>
        </w:rPr>
      </w:pPr>
    </w:p>
    <w:p w14:paraId="4703A4FE">
      <w:pPr>
        <w:pStyle w:val="7"/>
        <w:rPr>
          <w:rFonts w:hint="eastAsia" w:ascii="宋体" w:hAnsi="宋体" w:eastAsia="宋体" w:cs="宋体"/>
          <w:color w:val="auto"/>
          <w:szCs w:val="21"/>
        </w:rPr>
      </w:pPr>
    </w:p>
    <w:p w14:paraId="5BD5B107">
      <w:pPr>
        <w:rPr>
          <w:rFonts w:hint="eastAsia" w:ascii="宋体" w:hAnsi="宋体" w:eastAsia="宋体" w:cs="宋体"/>
          <w:color w:val="auto"/>
        </w:rPr>
      </w:pPr>
    </w:p>
    <w:p w14:paraId="4EF8D134">
      <w:pPr>
        <w:rPr>
          <w:rFonts w:hint="eastAsia" w:ascii="宋体" w:hAnsi="宋体" w:eastAsia="宋体" w:cs="宋体"/>
          <w:color w:val="auto"/>
          <w:szCs w:val="21"/>
        </w:rPr>
      </w:pPr>
    </w:p>
    <w:p w14:paraId="0FC1A59C">
      <w:pPr>
        <w:pStyle w:val="23"/>
        <w:rPr>
          <w:rFonts w:hint="eastAsia" w:ascii="宋体" w:hAnsi="宋体" w:eastAsia="宋体" w:cs="宋体"/>
          <w:color w:val="auto"/>
          <w:szCs w:val="21"/>
        </w:rPr>
      </w:pPr>
    </w:p>
    <w:p w14:paraId="7080AB1C">
      <w:pPr>
        <w:spacing w:line="440" w:lineRule="atLeast"/>
        <w:rPr>
          <w:rFonts w:hint="eastAsia" w:ascii="宋体" w:hAnsi="宋体" w:eastAsia="宋体" w:cs="宋体"/>
          <w:b/>
          <w:color w:val="auto"/>
          <w:sz w:val="28"/>
          <w:szCs w:val="28"/>
        </w:rPr>
      </w:pPr>
      <w:r>
        <w:rPr>
          <w:rFonts w:hint="eastAsia" w:ascii="宋体" w:hAnsi="宋体" w:eastAsia="宋体" w:cs="宋体"/>
          <w:b/>
          <w:color w:val="auto"/>
          <w:sz w:val="28"/>
          <w:szCs w:val="28"/>
        </w:rPr>
        <w:t>2.供应商相应的法定代表人、负责人、自然人身份证正反两面原件或复印件扫描件（必须提供）；</w:t>
      </w:r>
    </w:p>
    <w:p w14:paraId="01E2FE51">
      <w:pPr>
        <w:rPr>
          <w:rFonts w:hint="eastAsia" w:ascii="宋体" w:hAnsi="宋体" w:eastAsia="宋体" w:cs="宋体"/>
          <w:color w:val="auto"/>
        </w:rPr>
      </w:pPr>
    </w:p>
    <w:p w14:paraId="0065A616">
      <w:pPr>
        <w:rPr>
          <w:rFonts w:hint="eastAsia" w:ascii="宋体" w:hAnsi="宋体" w:eastAsia="宋体" w:cs="宋体"/>
          <w:color w:val="auto"/>
        </w:rPr>
      </w:pPr>
    </w:p>
    <w:p w14:paraId="5F3B2763">
      <w:pPr>
        <w:spacing w:line="440" w:lineRule="atLeast"/>
        <w:rPr>
          <w:rFonts w:hint="eastAsia" w:ascii="宋体" w:hAnsi="宋体" w:eastAsia="宋体" w:cs="宋体"/>
          <w:b/>
          <w:color w:val="auto"/>
          <w:sz w:val="28"/>
          <w:szCs w:val="28"/>
        </w:rPr>
      </w:pPr>
    </w:p>
    <w:p w14:paraId="2D9B46B8">
      <w:pPr>
        <w:spacing w:line="440" w:lineRule="atLeast"/>
        <w:rPr>
          <w:rFonts w:hint="eastAsia" w:ascii="宋体" w:hAnsi="宋体" w:eastAsia="宋体" w:cs="宋体"/>
          <w:b/>
          <w:color w:val="auto"/>
          <w:sz w:val="28"/>
          <w:szCs w:val="28"/>
        </w:rPr>
      </w:pPr>
    </w:p>
    <w:p w14:paraId="5F8B658E">
      <w:pPr>
        <w:spacing w:line="440" w:lineRule="atLeast"/>
        <w:rPr>
          <w:rFonts w:hint="eastAsia" w:ascii="宋体" w:hAnsi="宋体" w:eastAsia="宋体" w:cs="宋体"/>
          <w:b/>
          <w:color w:val="auto"/>
          <w:sz w:val="28"/>
          <w:szCs w:val="28"/>
        </w:rPr>
      </w:pPr>
    </w:p>
    <w:p w14:paraId="59F25039">
      <w:pPr>
        <w:spacing w:line="440" w:lineRule="atLeast"/>
        <w:rPr>
          <w:rFonts w:hint="eastAsia" w:ascii="宋体" w:hAnsi="宋体" w:eastAsia="宋体" w:cs="宋体"/>
          <w:b/>
          <w:color w:val="auto"/>
          <w:sz w:val="28"/>
          <w:szCs w:val="28"/>
        </w:rPr>
      </w:pPr>
    </w:p>
    <w:p w14:paraId="31A5D4CE">
      <w:pPr>
        <w:spacing w:line="440" w:lineRule="atLeast"/>
        <w:rPr>
          <w:rFonts w:hint="eastAsia" w:ascii="宋体" w:hAnsi="宋体" w:eastAsia="宋体" w:cs="宋体"/>
          <w:b/>
          <w:color w:val="auto"/>
          <w:sz w:val="28"/>
          <w:szCs w:val="28"/>
        </w:rPr>
      </w:pPr>
    </w:p>
    <w:p w14:paraId="1DCC9F5E">
      <w:pPr>
        <w:spacing w:line="440" w:lineRule="atLeast"/>
        <w:rPr>
          <w:rFonts w:hint="eastAsia" w:ascii="宋体" w:hAnsi="宋体" w:eastAsia="宋体" w:cs="宋体"/>
          <w:b/>
          <w:color w:val="auto"/>
          <w:sz w:val="28"/>
          <w:szCs w:val="28"/>
        </w:rPr>
      </w:pPr>
    </w:p>
    <w:p w14:paraId="6DA852F6">
      <w:pPr>
        <w:spacing w:line="440" w:lineRule="atLeast"/>
        <w:rPr>
          <w:rFonts w:hint="eastAsia" w:ascii="宋体" w:hAnsi="宋体" w:eastAsia="宋体" w:cs="宋体"/>
          <w:b/>
          <w:color w:val="auto"/>
          <w:sz w:val="28"/>
          <w:szCs w:val="28"/>
        </w:rPr>
      </w:pPr>
    </w:p>
    <w:p w14:paraId="72CD4720">
      <w:pPr>
        <w:spacing w:line="440" w:lineRule="atLeast"/>
        <w:rPr>
          <w:rFonts w:hint="eastAsia" w:ascii="宋体" w:hAnsi="宋体" w:eastAsia="宋体" w:cs="宋体"/>
          <w:b/>
          <w:color w:val="auto"/>
          <w:sz w:val="28"/>
          <w:szCs w:val="28"/>
        </w:rPr>
      </w:pPr>
    </w:p>
    <w:p w14:paraId="20143140">
      <w:pPr>
        <w:spacing w:line="440" w:lineRule="atLeast"/>
        <w:rPr>
          <w:rFonts w:hint="eastAsia" w:ascii="宋体" w:hAnsi="宋体" w:eastAsia="宋体" w:cs="宋体"/>
          <w:b/>
          <w:color w:val="auto"/>
          <w:sz w:val="28"/>
          <w:szCs w:val="28"/>
        </w:rPr>
      </w:pPr>
    </w:p>
    <w:p w14:paraId="60E83024">
      <w:pPr>
        <w:spacing w:line="440" w:lineRule="atLeast"/>
        <w:rPr>
          <w:rFonts w:hint="eastAsia" w:ascii="宋体" w:hAnsi="宋体" w:eastAsia="宋体" w:cs="宋体"/>
          <w:b/>
          <w:color w:val="auto"/>
          <w:sz w:val="28"/>
          <w:szCs w:val="28"/>
        </w:rPr>
      </w:pPr>
    </w:p>
    <w:p w14:paraId="3271FF73">
      <w:pPr>
        <w:spacing w:line="440" w:lineRule="atLeast"/>
        <w:rPr>
          <w:rFonts w:hint="eastAsia" w:ascii="宋体" w:hAnsi="宋体" w:eastAsia="宋体" w:cs="宋体"/>
          <w:b/>
          <w:color w:val="auto"/>
          <w:sz w:val="28"/>
          <w:szCs w:val="28"/>
        </w:rPr>
      </w:pPr>
    </w:p>
    <w:p w14:paraId="01A246F9">
      <w:pPr>
        <w:spacing w:line="440" w:lineRule="atLeast"/>
        <w:rPr>
          <w:rFonts w:hint="eastAsia" w:ascii="宋体" w:hAnsi="宋体" w:eastAsia="宋体" w:cs="宋体"/>
          <w:b/>
          <w:color w:val="auto"/>
          <w:sz w:val="28"/>
          <w:szCs w:val="28"/>
        </w:rPr>
      </w:pPr>
    </w:p>
    <w:p w14:paraId="51A4F037">
      <w:pPr>
        <w:spacing w:line="440" w:lineRule="atLeast"/>
        <w:rPr>
          <w:rFonts w:hint="eastAsia" w:ascii="宋体" w:hAnsi="宋体" w:eastAsia="宋体" w:cs="宋体"/>
          <w:b/>
          <w:color w:val="auto"/>
          <w:sz w:val="28"/>
          <w:szCs w:val="28"/>
        </w:rPr>
      </w:pPr>
    </w:p>
    <w:p w14:paraId="3C295A48">
      <w:pPr>
        <w:spacing w:line="440" w:lineRule="atLeast"/>
        <w:rPr>
          <w:rFonts w:hint="eastAsia" w:ascii="宋体" w:hAnsi="宋体" w:eastAsia="宋体" w:cs="宋体"/>
          <w:b/>
          <w:color w:val="auto"/>
          <w:sz w:val="28"/>
          <w:szCs w:val="28"/>
        </w:rPr>
      </w:pPr>
    </w:p>
    <w:p w14:paraId="124590B6">
      <w:pPr>
        <w:spacing w:line="440" w:lineRule="atLeast"/>
        <w:rPr>
          <w:rFonts w:hint="eastAsia" w:ascii="宋体" w:hAnsi="宋体" w:eastAsia="宋体" w:cs="宋体"/>
          <w:b/>
          <w:color w:val="auto"/>
          <w:sz w:val="28"/>
          <w:szCs w:val="28"/>
        </w:rPr>
      </w:pPr>
    </w:p>
    <w:p w14:paraId="0FE8B3EE">
      <w:pPr>
        <w:spacing w:line="440" w:lineRule="atLeast"/>
        <w:rPr>
          <w:rFonts w:hint="eastAsia" w:ascii="宋体" w:hAnsi="宋体" w:eastAsia="宋体" w:cs="宋体"/>
          <w:b/>
          <w:color w:val="auto"/>
          <w:sz w:val="28"/>
          <w:szCs w:val="28"/>
        </w:rPr>
      </w:pPr>
      <w:r>
        <w:rPr>
          <w:rFonts w:hint="eastAsia" w:ascii="宋体" w:hAnsi="宋体" w:eastAsia="宋体" w:cs="宋体"/>
          <w:b/>
          <w:color w:val="auto"/>
          <w:sz w:val="28"/>
          <w:szCs w:val="28"/>
        </w:rPr>
        <w:t>3.供应商的授权委托书原件、委托代理人身份证正反两面原件或复印件扫描件以及由县级以上（含县级）社会养老保险经办机构出具的供应商为委托代理人交纳的响应文件递交截止时间当月前半年内任意连续三个月或以上社保证明原件或复印件扫描件（委托代理时必须提供）。</w:t>
      </w:r>
    </w:p>
    <w:p w14:paraId="33B7EEEE">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除供应商为以下三种情形的：</w:t>
      </w:r>
    </w:p>
    <w:p w14:paraId="0902A75D">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（1） 如供应商为截标时间前60日以内成立的公司，可以提供供应商与委托代理人签订的劳动合同原件或复印件扫描件代替社保证明；</w:t>
      </w:r>
    </w:p>
    <w:p w14:paraId="77EF8FBD">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（2）如供应商为事业单位，可以提供事业单位机构编制管理证复印件或事业单位机构为其发放工资的工资条原件或复印件扫描件代替社保证明；</w:t>
      </w:r>
    </w:p>
    <w:p w14:paraId="191CC8BF">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（3）如委托代理人为免缴纳社保人员，提供免缴纳社保的证明材料原件或复印件扫描件及供应商与委托代理人签订的劳动合同原件或复印件扫描件代替社保证明。</w:t>
      </w:r>
    </w:p>
    <w:p w14:paraId="7C03EA9D">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【属自然人的应提供由县级以上（含县级）社会养老保险经办机构出具的自然人本人及委托代理人所交纳的响应文件递交截止时间当月前半年内任意连续三个月或以上社保证明原件或复印件扫描件】</w:t>
      </w:r>
    </w:p>
    <w:p w14:paraId="03329F05">
      <w:pPr>
        <w:pStyle w:val="10"/>
        <w:rPr>
          <w:rFonts w:hint="eastAsia" w:ascii="宋体" w:hAnsi="宋体" w:eastAsia="宋体" w:cs="宋体"/>
          <w:b/>
          <w:color w:val="auto"/>
          <w:sz w:val="32"/>
        </w:rPr>
      </w:pPr>
    </w:p>
    <w:p w14:paraId="54850A44">
      <w:pPr>
        <w:pStyle w:val="10"/>
        <w:rPr>
          <w:rFonts w:hint="eastAsia" w:ascii="宋体" w:hAnsi="宋体" w:eastAsia="宋体" w:cs="宋体"/>
          <w:b/>
          <w:color w:val="auto"/>
          <w:sz w:val="32"/>
        </w:rPr>
      </w:pPr>
      <w:r>
        <w:rPr>
          <w:rFonts w:hint="eastAsia" w:ascii="宋体" w:hAnsi="宋体" w:eastAsia="宋体" w:cs="宋体"/>
          <w:b/>
          <w:color w:val="auto"/>
          <w:sz w:val="32"/>
        </w:rPr>
        <w:t xml:space="preserve">附件：            </w:t>
      </w:r>
    </w:p>
    <w:p w14:paraId="6421804B">
      <w:pPr>
        <w:pStyle w:val="10"/>
        <w:ind w:firstLine="630" w:firstLineChars="196"/>
        <w:jc w:val="center"/>
        <w:rPr>
          <w:rFonts w:hint="eastAsia" w:ascii="宋体" w:hAnsi="宋体" w:eastAsia="宋体" w:cs="宋体"/>
          <w:b/>
          <w:color w:val="auto"/>
          <w:sz w:val="32"/>
        </w:rPr>
      </w:pPr>
      <w:bookmarkStart w:id="301" w:name="_Toc5420_WPSOffice_Level1"/>
      <w:bookmarkStart w:id="302" w:name="_Toc964_WPSOffice_Level1"/>
      <w:r>
        <w:rPr>
          <w:rFonts w:hint="eastAsia" w:ascii="宋体" w:hAnsi="宋体" w:eastAsia="宋体" w:cs="宋体"/>
          <w:b/>
          <w:color w:val="auto"/>
          <w:sz w:val="32"/>
        </w:rPr>
        <w:t>授权委托书（格式一）</w:t>
      </w:r>
      <w:bookmarkEnd w:id="301"/>
      <w:bookmarkEnd w:id="302"/>
    </w:p>
    <w:p w14:paraId="19ACC55F">
      <w:pPr>
        <w:pStyle w:val="10"/>
        <w:rPr>
          <w:rFonts w:hint="eastAsia" w:ascii="宋体" w:hAnsi="宋体" w:eastAsia="宋体" w:cs="宋体"/>
          <w:color w:val="auto"/>
        </w:rPr>
      </w:pPr>
    </w:p>
    <w:p w14:paraId="4E9A13E6">
      <w:pPr>
        <w:spacing w:line="400" w:lineRule="exact"/>
        <w:rPr>
          <w:rFonts w:hint="eastAsia" w:ascii="宋体" w:hAnsi="宋体" w:eastAsia="宋体" w:cs="宋体"/>
          <w:color w:val="auto"/>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 灵川县自然资源局、广西广西佳益工程项目管理咨询有限公司 </w:t>
      </w:r>
    </w:p>
    <w:p w14:paraId="79C2B61E">
      <w:pPr>
        <w:spacing w:line="400" w:lineRule="exact"/>
        <w:rPr>
          <w:rFonts w:hint="eastAsia" w:ascii="宋体" w:hAnsi="宋体" w:eastAsia="宋体" w:cs="宋体"/>
          <w:color w:val="auto"/>
          <w:szCs w:val="21"/>
        </w:rPr>
      </w:pPr>
    </w:p>
    <w:p w14:paraId="302D7DB0">
      <w:pPr>
        <w:pStyle w:val="10"/>
        <w:spacing w:line="400" w:lineRule="exact"/>
        <w:ind w:firstLine="420" w:firstLineChars="200"/>
        <w:rPr>
          <w:rFonts w:hint="eastAsia" w:ascii="宋体" w:hAnsi="宋体" w:eastAsia="宋体" w:cs="宋体"/>
          <w:color w:val="auto"/>
        </w:rPr>
      </w:pPr>
      <w:r>
        <w:rPr>
          <w:rFonts w:hint="eastAsia" w:ascii="宋体" w:hAnsi="宋体" w:eastAsia="宋体" w:cs="宋体"/>
          <w:color w:val="auto"/>
          <w:kern w:val="0"/>
        </w:rPr>
        <w:t>我（姓名）系（供应商名称）的法定代表人（负责人），现授权委托本单位在职职工（姓 名）以我公司名义参加</w:t>
      </w:r>
      <w:r>
        <w:rPr>
          <w:rFonts w:hint="eastAsia" w:ascii="宋体" w:hAnsi="宋体" w:eastAsia="宋体" w:cs="宋体"/>
          <w:color w:val="auto"/>
          <w:u w:val="single"/>
        </w:rPr>
        <w:t xml:space="preserve">（项目名称及项目编号）        </w:t>
      </w:r>
      <w:r>
        <w:rPr>
          <w:rFonts w:hint="eastAsia" w:ascii="宋体" w:hAnsi="宋体" w:eastAsia="宋体" w:cs="宋体"/>
          <w:color w:val="auto"/>
        </w:rPr>
        <w:t>项目的磋商活动，并代表我方全权办理针对上述项目的磋商、签约等具体事务和签署相关文件。</w:t>
      </w:r>
    </w:p>
    <w:p w14:paraId="6958CA12">
      <w:pPr>
        <w:pStyle w:val="10"/>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我方对被授权人的签字事项负全部责任。</w:t>
      </w:r>
    </w:p>
    <w:p w14:paraId="047B9F23">
      <w:pPr>
        <w:pStyle w:val="10"/>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授权委托代理期限：自提交本项目响应文件之日起至本项目全部结束后（自递交本项目响应文件之日起不低于90日）。</w:t>
      </w:r>
    </w:p>
    <w:p w14:paraId="459ABE66">
      <w:pPr>
        <w:pStyle w:val="10"/>
        <w:spacing w:line="400" w:lineRule="exact"/>
        <w:ind w:firstLine="420" w:firstLineChars="200"/>
        <w:rPr>
          <w:rFonts w:hint="eastAsia" w:ascii="宋体" w:hAnsi="宋体" w:eastAsia="宋体" w:cs="宋体"/>
          <w:color w:val="auto"/>
          <w:u w:val="single"/>
        </w:rPr>
      </w:pPr>
    </w:p>
    <w:p w14:paraId="718CDBB6">
      <w:pPr>
        <w:pStyle w:val="10"/>
        <w:spacing w:line="400" w:lineRule="exact"/>
        <w:rPr>
          <w:rFonts w:hint="eastAsia" w:ascii="宋体" w:hAnsi="宋体" w:eastAsia="宋体" w:cs="宋体"/>
          <w:color w:val="auto"/>
          <w:u w:val="single"/>
        </w:rPr>
      </w:pPr>
    </w:p>
    <w:p w14:paraId="691425CA">
      <w:pPr>
        <w:spacing w:line="40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 xml:space="preserve">代理人无转委托权,特此委托。 </w:t>
      </w:r>
    </w:p>
    <w:p w14:paraId="22609B71">
      <w:pPr>
        <w:spacing w:line="400" w:lineRule="exact"/>
        <w:ind w:firstLine="420" w:firstLineChars="200"/>
        <w:rPr>
          <w:rFonts w:hint="eastAsia" w:ascii="宋体" w:hAnsi="宋体" w:eastAsia="宋体" w:cs="宋体"/>
          <w:color w:val="auto"/>
          <w:kern w:val="0"/>
        </w:rPr>
      </w:pPr>
    </w:p>
    <w:p w14:paraId="6794A805">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我已在下面签字，以资证明。</w:t>
      </w:r>
    </w:p>
    <w:p w14:paraId="14E3CD5E">
      <w:pPr>
        <w:spacing w:line="400" w:lineRule="exact"/>
        <w:ind w:firstLine="420" w:firstLineChars="200"/>
        <w:rPr>
          <w:rFonts w:hint="eastAsia" w:ascii="宋体" w:hAnsi="宋体" w:eastAsia="宋体" w:cs="宋体"/>
          <w:color w:val="auto"/>
          <w:szCs w:val="21"/>
        </w:rPr>
      </w:pPr>
    </w:p>
    <w:p w14:paraId="2A1496F7">
      <w:pPr>
        <w:spacing w:line="400" w:lineRule="exact"/>
        <w:ind w:firstLine="420" w:firstLineChars="200"/>
        <w:rPr>
          <w:rFonts w:hint="eastAsia" w:ascii="宋体" w:hAnsi="宋体" w:eastAsia="宋体" w:cs="宋体"/>
          <w:color w:val="auto"/>
          <w:szCs w:val="21"/>
        </w:rPr>
      </w:pPr>
    </w:p>
    <w:p w14:paraId="10A4D9B6">
      <w:pPr>
        <w:snapToGrid w:val="0"/>
        <w:spacing w:line="400" w:lineRule="exact"/>
        <w:ind w:firstLine="420"/>
        <w:rPr>
          <w:rFonts w:hint="eastAsia" w:ascii="宋体" w:hAnsi="宋体" w:eastAsia="宋体" w:cs="宋体"/>
          <w:color w:val="auto"/>
          <w:szCs w:val="21"/>
          <w:u w:val="single"/>
        </w:rPr>
      </w:pPr>
      <w:r>
        <w:rPr>
          <w:rFonts w:hint="eastAsia" w:ascii="宋体" w:hAnsi="宋体" w:eastAsia="宋体" w:cs="宋体"/>
          <w:color w:val="auto"/>
          <w:szCs w:val="21"/>
        </w:rPr>
        <w:t>磋商供应商[公章（CA签章），属自然人的应签名并加盖大拇指指印或个人CA签章]：</w:t>
      </w:r>
      <w:r>
        <w:rPr>
          <w:rFonts w:hint="eastAsia" w:ascii="宋体" w:hAnsi="宋体" w:eastAsia="宋体" w:cs="宋体"/>
          <w:color w:val="auto"/>
          <w:szCs w:val="21"/>
          <w:u w:val="single"/>
        </w:rPr>
        <w:t xml:space="preserve">　                                    </w:t>
      </w:r>
    </w:p>
    <w:p w14:paraId="075AA06B">
      <w:pPr>
        <w:snapToGrid w:val="0"/>
        <w:spacing w:line="400" w:lineRule="exact"/>
        <w:ind w:firstLine="420"/>
        <w:rPr>
          <w:rFonts w:hint="eastAsia" w:ascii="宋体" w:hAnsi="宋体" w:eastAsia="宋体" w:cs="宋体"/>
          <w:color w:val="auto"/>
          <w:szCs w:val="21"/>
        </w:rPr>
      </w:pPr>
    </w:p>
    <w:p w14:paraId="4DBA1DC4">
      <w:pPr>
        <w:snapToGrid w:val="0"/>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 xml:space="preserve">法定代表人（负责人）签字（或个人CA签章）：     　　 </w:t>
      </w:r>
    </w:p>
    <w:p w14:paraId="1496BEF8">
      <w:pPr>
        <w:snapToGrid w:val="0"/>
        <w:spacing w:line="400" w:lineRule="exact"/>
        <w:ind w:firstLine="420"/>
        <w:rPr>
          <w:rFonts w:hint="eastAsia" w:ascii="宋体" w:hAnsi="宋体" w:eastAsia="宋体" w:cs="宋体"/>
          <w:color w:val="auto"/>
          <w:szCs w:val="21"/>
        </w:rPr>
      </w:pPr>
    </w:p>
    <w:p w14:paraId="6F42DA7B">
      <w:pPr>
        <w:snapToGrid w:val="0"/>
        <w:spacing w:line="400" w:lineRule="exact"/>
        <w:ind w:firstLine="1680" w:firstLineChars="800"/>
        <w:rPr>
          <w:rFonts w:hint="eastAsia" w:ascii="宋体" w:hAnsi="宋体" w:eastAsia="宋体" w:cs="宋体"/>
          <w:color w:val="auto"/>
          <w:szCs w:val="21"/>
        </w:rPr>
      </w:pPr>
      <w:r>
        <w:rPr>
          <w:rFonts w:hint="eastAsia" w:ascii="宋体" w:hAnsi="宋体" w:eastAsia="宋体" w:cs="宋体"/>
          <w:color w:val="auto"/>
          <w:szCs w:val="21"/>
        </w:rPr>
        <w:t>年</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日</w:t>
      </w:r>
    </w:p>
    <w:p w14:paraId="00358199">
      <w:pPr>
        <w:pStyle w:val="7"/>
        <w:rPr>
          <w:rFonts w:hint="eastAsia" w:ascii="宋体" w:hAnsi="宋体" w:eastAsia="宋体" w:cs="宋体"/>
          <w:color w:val="auto"/>
        </w:rPr>
      </w:pPr>
    </w:p>
    <w:p w14:paraId="2D9E34E7">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附：供应商的授权委托书原件、委托代理人身份证正反两面原件或复印件扫描件以及由县级以上（含县级）社会养老保险经办机构出具的供应商为委托代理人交纳的响应文件递交截止时间当月前半年内任意连续三个月或以上社保证明原件或复印件扫描件，除供应商为以下三种情形的：</w:t>
      </w:r>
    </w:p>
    <w:p w14:paraId="3514991F">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（1） 如供应商为截标时间前60日以内成立的公司，可以提供供应商与委托代理人签订的劳动合同原件或复印件扫描件代替社保证明；</w:t>
      </w:r>
    </w:p>
    <w:p w14:paraId="1AA42B55">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（2）如供应商为事业单位，可以提供事业单位机构编制管理证复印件或事业单位机构为其发放工资的工资条原件或复印件扫描件代替社保证明；</w:t>
      </w:r>
    </w:p>
    <w:p w14:paraId="1C94EB9B">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（3）如委托代理人为免缴纳社保人员，提供免缴纳社保的证明材料原件或复印件扫描件及供应商与委托代理人签订的劳动合同原件或复印件扫描件代替社保证明。</w:t>
      </w:r>
    </w:p>
    <w:p w14:paraId="4B008C7F">
      <w:pPr>
        <w:pStyle w:val="10"/>
        <w:jc w:val="center"/>
        <w:rPr>
          <w:rFonts w:hint="eastAsia" w:ascii="宋体" w:hAnsi="宋体" w:eastAsia="宋体" w:cs="宋体"/>
          <w:b/>
          <w:color w:val="auto"/>
          <w:sz w:val="32"/>
        </w:rPr>
      </w:pPr>
      <w:bookmarkStart w:id="303" w:name="_Toc6975_WPSOffice_Level1"/>
      <w:bookmarkStart w:id="304" w:name="_Toc21370_WPSOffice_Level1"/>
      <w:r>
        <w:rPr>
          <w:rFonts w:hint="eastAsia" w:ascii="宋体" w:hAnsi="宋体" w:eastAsia="宋体" w:cs="宋体"/>
          <w:b/>
          <w:color w:val="auto"/>
          <w:sz w:val="32"/>
        </w:rPr>
        <w:t>授权委托书（格式二）</w:t>
      </w:r>
      <w:bookmarkEnd w:id="303"/>
      <w:bookmarkEnd w:id="304"/>
    </w:p>
    <w:p w14:paraId="7406787A">
      <w:pPr>
        <w:pStyle w:val="10"/>
        <w:rPr>
          <w:rFonts w:hint="eastAsia" w:ascii="宋体" w:hAnsi="宋体" w:eastAsia="宋体" w:cs="宋体"/>
          <w:b/>
          <w:color w:val="auto"/>
          <w:sz w:val="32"/>
        </w:rPr>
      </w:pPr>
    </w:p>
    <w:p w14:paraId="5BF8B905">
      <w:pPr>
        <w:pStyle w:val="10"/>
        <w:rPr>
          <w:rFonts w:hint="eastAsia" w:ascii="宋体" w:hAnsi="宋体" w:eastAsia="宋体" w:cs="宋体"/>
          <w:color w:val="auto"/>
          <w:szCs w:val="21"/>
          <w:u w:val="single"/>
        </w:rPr>
      </w:pPr>
      <w:r>
        <w:rPr>
          <w:rFonts w:hint="eastAsia" w:ascii="宋体" w:hAnsi="宋体" w:eastAsia="宋体" w:cs="宋体"/>
          <w:b/>
          <w:color w:val="auto"/>
          <w:szCs w:val="21"/>
        </w:rPr>
        <w:t>致</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灵川县自然资源局、广西广西佳益工程项目管理咨询有限公司 </w:t>
      </w:r>
    </w:p>
    <w:p w14:paraId="247706BB">
      <w:pPr>
        <w:rPr>
          <w:rFonts w:hint="eastAsia" w:ascii="宋体" w:hAnsi="宋体" w:eastAsia="宋体" w:cs="宋体"/>
          <w:color w:val="auto"/>
        </w:rPr>
      </w:pPr>
    </w:p>
    <w:p w14:paraId="6520A8E0">
      <w:pPr>
        <w:pStyle w:val="10"/>
        <w:spacing w:line="340" w:lineRule="exact"/>
        <w:ind w:firstLine="420" w:firstLineChars="200"/>
        <w:rPr>
          <w:rFonts w:hint="eastAsia" w:ascii="宋体" w:hAnsi="宋体" w:eastAsia="宋体" w:cs="宋体"/>
          <w:color w:val="auto"/>
        </w:rPr>
      </w:pPr>
      <w:r>
        <w:rPr>
          <w:rFonts w:hint="eastAsia" w:ascii="宋体" w:hAnsi="宋体" w:eastAsia="宋体" w:cs="宋体"/>
          <w:color w:val="auto"/>
          <w:kern w:val="0"/>
        </w:rPr>
        <w:t>我（姓名）系自然人，现授权委托（姓 名）以本人名义参加</w:t>
      </w:r>
      <w:r>
        <w:rPr>
          <w:rFonts w:hint="eastAsia" w:ascii="宋体" w:hAnsi="宋体" w:eastAsia="宋体" w:cs="宋体"/>
          <w:color w:val="auto"/>
          <w:u w:val="single"/>
        </w:rPr>
        <w:t xml:space="preserve">（项目名称及项目编号）        </w:t>
      </w:r>
      <w:r>
        <w:rPr>
          <w:rFonts w:hint="eastAsia" w:ascii="宋体" w:hAnsi="宋体" w:eastAsia="宋体" w:cs="宋体"/>
          <w:color w:val="auto"/>
        </w:rPr>
        <w:t>项目的磋商活动，并代表本人全权办理针对上述项目的磋商、签约等具体事务和签署相关文件。</w:t>
      </w:r>
    </w:p>
    <w:p w14:paraId="015B7A17">
      <w:pPr>
        <w:pStyle w:val="10"/>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本人对被授权人的签字事项负全部责任。</w:t>
      </w:r>
    </w:p>
    <w:p w14:paraId="2B2FF1D3">
      <w:pPr>
        <w:pStyle w:val="10"/>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授权委托代理期限：自提交本项目竞标响应文件之日起至本项目全部结束后（自提交本项目竞标响应文件之日起不低于90日）。</w:t>
      </w:r>
    </w:p>
    <w:p w14:paraId="73FA5D13">
      <w:pPr>
        <w:pStyle w:val="10"/>
        <w:spacing w:line="340" w:lineRule="exact"/>
        <w:ind w:firstLine="420" w:firstLineChars="200"/>
        <w:rPr>
          <w:rFonts w:hint="eastAsia" w:ascii="宋体" w:hAnsi="宋体" w:eastAsia="宋体" w:cs="宋体"/>
          <w:color w:val="auto"/>
          <w:u w:val="single"/>
        </w:rPr>
      </w:pPr>
    </w:p>
    <w:p w14:paraId="391C5CC8">
      <w:pPr>
        <w:pStyle w:val="10"/>
        <w:spacing w:line="340" w:lineRule="exact"/>
        <w:rPr>
          <w:rFonts w:hint="eastAsia" w:ascii="宋体" w:hAnsi="宋体" w:eastAsia="宋体" w:cs="宋体"/>
          <w:color w:val="auto"/>
          <w:u w:val="single"/>
        </w:rPr>
      </w:pPr>
    </w:p>
    <w:p w14:paraId="3720CCA5">
      <w:pPr>
        <w:spacing w:line="34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 xml:space="preserve">代理人无转委托权,特此委托。 </w:t>
      </w:r>
    </w:p>
    <w:p w14:paraId="07FC6D4E">
      <w:pPr>
        <w:spacing w:line="340" w:lineRule="exact"/>
        <w:ind w:firstLine="420" w:firstLineChars="200"/>
        <w:rPr>
          <w:rFonts w:hint="eastAsia" w:ascii="宋体" w:hAnsi="宋体" w:eastAsia="宋体" w:cs="宋体"/>
          <w:color w:val="auto"/>
          <w:kern w:val="0"/>
        </w:rPr>
      </w:pPr>
    </w:p>
    <w:p w14:paraId="69B21647">
      <w:pPr>
        <w:spacing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我已在下面签字，以资证明。</w:t>
      </w:r>
    </w:p>
    <w:p w14:paraId="59823DEC">
      <w:pPr>
        <w:spacing w:line="340" w:lineRule="exact"/>
        <w:ind w:firstLine="420" w:firstLineChars="200"/>
        <w:rPr>
          <w:rFonts w:hint="eastAsia" w:ascii="宋体" w:hAnsi="宋体" w:eastAsia="宋体" w:cs="宋体"/>
          <w:color w:val="auto"/>
          <w:szCs w:val="21"/>
        </w:rPr>
      </w:pPr>
    </w:p>
    <w:p w14:paraId="1065E74D">
      <w:pPr>
        <w:snapToGrid w:val="0"/>
        <w:spacing w:line="340" w:lineRule="exact"/>
        <w:ind w:firstLine="420"/>
        <w:rPr>
          <w:rFonts w:hint="eastAsia" w:ascii="宋体" w:hAnsi="宋体" w:eastAsia="宋体" w:cs="宋体"/>
          <w:color w:val="auto"/>
          <w:szCs w:val="21"/>
        </w:rPr>
      </w:pPr>
      <w:r>
        <w:rPr>
          <w:rFonts w:hint="eastAsia" w:ascii="宋体" w:hAnsi="宋体" w:eastAsia="宋体" w:cs="宋体"/>
          <w:color w:val="auto"/>
          <w:szCs w:val="21"/>
        </w:rPr>
        <w:t>自然人签字并在签名处加盖大拇指指印或个人CA签章：</w:t>
      </w:r>
      <w:r>
        <w:rPr>
          <w:rFonts w:hint="eastAsia" w:ascii="宋体" w:hAnsi="宋体" w:eastAsia="宋体" w:cs="宋体"/>
          <w:color w:val="auto"/>
          <w:szCs w:val="21"/>
          <w:u w:val="single"/>
        </w:rPr>
        <w:t xml:space="preserve">　              </w:t>
      </w:r>
    </w:p>
    <w:p w14:paraId="232919B0">
      <w:pPr>
        <w:snapToGrid w:val="0"/>
        <w:spacing w:line="340" w:lineRule="exact"/>
        <w:ind w:firstLine="420"/>
        <w:rPr>
          <w:rFonts w:hint="eastAsia" w:ascii="宋体" w:hAnsi="宋体" w:eastAsia="宋体" w:cs="宋体"/>
          <w:color w:val="auto"/>
          <w:szCs w:val="21"/>
          <w:u w:val="single"/>
        </w:rPr>
      </w:pPr>
    </w:p>
    <w:p w14:paraId="2B1B8148">
      <w:pPr>
        <w:snapToGrid w:val="0"/>
        <w:spacing w:line="340" w:lineRule="exact"/>
        <w:ind w:firstLine="420"/>
        <w:rPr>
          <w:rFonts w:hint="eastAsia" w:ascii="宋体" w:hAnsi="宋体" w:eastAsia="宋体" w:cs="宋体"/>
          <w:color w:val="auto"/>
          <w:szCs w:val="21"/>
        </w:rPr>
      </w:pPr>
      <w:r>
        <w:rPr>
          <w:rFonts w:hint="eastAsia" w:ascii="宋体" w:hAnsi="宋体" w:eastAsia="宋体" w:cs="宋体"/>
          <w:color w:val="auto"/>
          <w:szCs w:val="21"/>
        </w:rPr>
        <w:t>年月日</w:t>
      </w:r>
    </w:p>
    <w:p w14:paraId="2C17863F">
      <w:pPr>
        <w:pStyle w:val="10"/>
        <w:spacing w:line="400" w:lineRule="exact"/>
        <w:ind w:left="420" w:leftChars="200"/>
        <w:rPr>
          <w:rFonts w:hint="eastAsia" w:ascii="宋体" w:hAnsi="宋体" w:eastAsia="宋体" w:cs="宋体"/>
          <w:color w:val="auto"/>
          <w:szCs w:val="21"/>
        </w:rPr>
      </w:pPr>
    </w:p>
    <w:p w14:paraId="74951368">
      <w:pPr>
        <w:pStyle w:val="10"/>
        <w:spacing w:line="400" w:lineRule="exact"/>
        <w:rPr>
          <w:rFonts w:hint="eastAsia" w:ascii="宋体" w:hAnsi="宋体" w:eastAsia="宋体" w:cs="宋体"/>
          <w:b/>
          <w:color w:val="auto"/>
          <w:szCs w:val="21"/>
        </w:rPr>
      </w:pPr>
      <w:r>
        <w:rPr>
          <w:rFonts w:hint="eastAsia" w:ascii="宋体" w:hAnsi="宋体" w:eastAsia="宋体" w:cs="宋体"/>
          <w:b/>
          <w:color w:val="auto"/>
          <w:szCs w:val="21"/>
        </w:rPr>
        <w:t>附：委托代理人身份证正反两面原件或复印件扫描件</w:t>
      </w:r>
    </w:p>
    <w:p w14:paraId="3267082D">
      <w:pPr>
        <w:rPr>
          <w:rFonts w:hint="eastAsia" w:ascii="宋体" w:hAnsi="宋体" w:eastAsia="宋体" w:cs="宋体"/>
          <w:b/>
          <w:color w:val="auto"/>
          <w:szCs w:val="21"/>
        </w:rPr>
      </w:pPr>
    </w:p>
    <w:p w14:paraId="0E56CA13">
      <w:pPr>
        <w:pStyle w:val="7"/>
        <w:rPr>
          <w:rFonts w:hint="eastAsia" w:ascii="宋体" w:hAnsi="宋体" w:eastAsia="宋体" w:cs="宋体"/>
          <w:b/>
          <w:color w:val="auto"/>
          <w:szCs w:val="21"/>
        </w:rPr>
      </w:pPr>
    </w:p>
    <w:p w14:paraId="0556CD3B">
      <w:pPr>
        <w:pStyle w:val="7"/>
        <w:rPr>
          <w:rFonts w:hint="eastAsia" w:ascii="宋体" w:hAnsi="宋体" w:eastAsia="宋体" w:cs="宋体"/>
          <w:b/>
          <w:color w:val="auto"/>
          <w:szCs w:val="21"/>
        </w:rPr>
      </w:pPr>
    </w:p>
    <w:p w14:paraId="1594647E">
      <w:pPr>
        <w:pStyle w:val="7"/>
        <w:rPr>
          <w:rFonts w:hint="eastAsia" w:ascii="宋体" w:hAnsi="宋体" w:eastAsia="宋体" w:cs="宋体"/>
          <w:b/>
          <w:color w:val="auto"/>
          <w:szCs w:val="21"/>
        </w:rPr>
      </w:pPr>
    </w:p>
    <w:p w14:paraId="38697BC1">
      <w:pPr>
        <w:pStyle w:val="7"/>
        <w:rPr>
          <w:rFonts w:hint="eastAsia" w:ascii="宋体" w:hAnsi="宋体" w:eastAsia="宋体" w:cs="宋体"/>
          <w:b/>
          <w:color w:val="auto"/>
          <w:szCs w:val="21"/>
        </w:rPr>
      </w:pPr>
    </w:p>
    <w:p w14:paraId="71F2D338">
      <w:pPr>
        <w:pStyle w:val="7"/>
        <w:rPr>
          <w:rFonts w:hint="eastAsia" w:ascii="宋体" w:hAnsi="宋体" w:eastAsia="宋体" w:cs="宋体"/>
          <w:b/>
          <w:color w:val="auto"/>
          <w:szCs w:val="21"/>
        </w:rPr>
      </w:pPr>
    </w:p>
    <w:p w14:paraId="7F7AED4D">
      <w:pPr>
        <w:pStyle w:val="7"/>
        <w:rPr>
          <w:rFonts w:hint="eastAsia" w:ascii="宋体" w:hAnsi="宋体" w:eastAsia="宋体" w:cs="宋体"/>
          <w:b/>
          <w:color w:val="auto"/>
          <w:szCs w:val="21"/>
        </w:rPr>
      </w:pPr>
    </w:p>
    <w:p w14:paraId="1E346C9A">
      <w:pPr>
        <w:pStyle w:val="7"/>
        <w:rPr>
          <w:rFonts w:hint="eastAsia" w:ascii="宋体" w:hAnsi="宋体" w:eastAsia="宋体" w:cs="宋体"/>
          <w:b/>
          <w:color w:val="auto"/>
          <w:szCs w:val="21"/>
        </w:rPr>
      </w:pPr>
    </w:p>
    <w:p w14:paraId="2603C0C3">
      <w:pPr>
        <w:pStyle w:val="7"/>
        <w:rPr>
          <w:rFonts w:hint="eastAsia" w:ascii="宋体" w:hAnsi="宋体" w:eastAsia="宋体" w:cs="宋体"/>
          <w:b/>
          <w:color w:val="auto"/>
          <w:szCs w:val="21"/>
        </w:rPr>
      </w:pPr>
    </w:p>
    <w:p w14:paraId="30804775">
      <w:pPr>
        <w:pStyle w:val="7"/>
        <w:rPr>
          <w:rFonts w:hint="eastAsia" w:ascii="宋体" w:hAnsi="宋体" w:eastAsia="宋体" w:cs="宋体"/>
          <w:b/>
          <w:color w:val="auto"/>
          <w:szCs w:val="21"/>
        </w:rPr>
      </w:pPr>
    </w:p>
    <w:p w14:paraId="46FD163B">
      <w:pPr>
        <w:pStyle w:val="7"/>
        <w:rPr>
          <w:rFonts w:hint="eastAsia" w:ascii="宋体" w:hAnsi="宋体" w:eastAsia="宋体" w:cs="宋体"/>
          <w:b/>
          <w:color w:val="auto"/>
          <w:szCs w:val="21"/>
        </w:rPr>
      </w:pPr>
    </w:p>
    <w:p w14:paraId="5F175FD7">
      <w:pPr>
        <w:pStyle w:val="7"/>
        <w:rPr>
          <w:rFonts w:hint="eastAsia" w:ascii="宋体" w:hAnsi="宋体" w:eastAsia="宋体" w:cs="宋体"/>
          <w:b/>
          <w:color w:val="auto"/>
          <w:szCs w:val="21"/>
        </w:rPr>
      </w:pPr>
    </w:p>
    <w:p w14:paraId="26D7827D">
      <w:pPr>
        <w:pStyle w:val="7"/>
        <w:rPr>
          <w:rFonts w:hint="eastAsia" w:ascii="宋体" w:hAnsi="宋体" w:eastAsia="宋体" w:cs="宋体"/>
          <w:b/>
          <w:color w:val="auto"/>
          <w:szCs w:val="21"/>
        </w:rPr>
      </w:pPr>
    </w:p>
    <w:p w14:paraId="09B2401C">
      <w:pPr>
        <w:pStyle w:val="7"/>
        <w:rPr>
          <w:rFonts w:hint="eastAsia" w:ascii="宋体" w:hAnsi="宋体" w:eastAsia="宋体" w:cs="宋体"/>
          <w:b/>
          <w:color w:val="auto"/>
          <w:szCs w:val="21"/>
        </w:rPr>
      </w:pPr>
    </w:p>
    <w:p w14:paraId="34570C03">
      <w:pPr>
        <w:pStyle w:val="7"/>
        <w:rPr>
          <w:rFonts w:hint="eastAsia" w:ascii="宋体" w:hAnsi="宋体" w:eastAsia="宋体" w:cs="宋体"/>
          <w:b/>
          <w:color w:val="auto"/>
          <w:szCs w:val="21"/>
        </w:rPr>
      </w:pPr>
    </w:p>
    <w:p w14:paraId="0706FA38">
      <w:pPr>
        <w:pStyle w:val="7"/>
        <w:rPr>
          <w:rFonts w:hint="eastAsia" w:ascii="宋体" w:hAnsi="宋体" w:eastAsia="宋体" w:cs="宋体"/>
          <w:b/>
          <w:color w:val="auto"/>
          <w:szCs w:val="21"/>
        </w:rPr>
      </w:pPr>
    </w:p>
    <w:p w14:paraId="1E588E40">
      <w:pPr>
        <w:pStyle w:val="7"/>
        <w:rPr>
          <w:rFonts w:hint="eastAsia" w:ascii="宋体" w:hAnsi="宋体" w:eastAsia="宋体" w:cs="宋体"/>
          <w:b/>
          <w:color w:val="auto"/>
          <w:szCs w:val="21"/>
        </w:rPr>
      </w:pPr>
    </w:p>
    <w:p w14:paraId="4595663B">
      <w:pPr>
        <w:pStyle w:val="7"/>
        <w:rPr>
          <w:rFonts w:hint="eastAsia" w:ascii="宋体" w:hAnsi="宋体" w:eastAsia="宋体" w:cs="宋体"/>
          <w:b/>
          <w:color w:val="auto"/>
          <w:szCs w:val="21"/>
        </w:rPr>
      </w:pPr>
    </w:p>
    <w:p w14:paraId="2B0FE0A0">
      <w:pPr>
        <w:spacing w:line="440" w:lineRule="atLeast"/>
        <w:rPr>
          <w:rFonts w:hint="eastAsia" w:ascii="宋体" w:hAnsi="宋体" w:eastAsia="宋体" w:cs="宋体"/>
          <w:b/>
          <w:color w:val="auto"/>
          <w:sz w:val="28"/>
          <w:szCs w:val="28"/>
        </w:rPr>
      </w:pPr>
      <w:r>
        <w:rPr>
          <w:rFonts w:hint="eastAsia" w:ascii="宋体" w:hAnsi="宋体" w:eastAsia="宋体" w:cs="宋体"/>
          <w:b/>
          <w:color w:val="auto"/>
          <w:sz w:val="28"/>
          <w:szCs w:val="28"/>
        </w:rPr>
        <w:t>4.供应商参加政府采购活动前3年内在经营活动中没有重大违法记录及有关信用信息的书面声明（必须提供）；</w:t>
      </w:r>
    </w:p>
    <w:p w14:paraId="71A75A66">
      <w:pPr>
        <w:pStyle w:val="10"/>
        <w:spacing w:line="400" w:lineRule="exact"/>
        <w:ind w:left="420" w:leftChars="200" w:firstLine="157" w:firstLineChars="49"/>
        <w:rPr>
          <w:rFonts w:hint="eastAsia" w:ascii="宋体" w:hAnsi="宋体" w:eastAsia="宋体" w:cs="宋体"/>
          <w:b/>
          <w:color w:val="auto"/>
          <w:sz w:val="32"/>
          <w:szCs w:val="32"/>
        </w:rPr>
      </w:pPr>
    </w:p>
    <w:p w14:paraId="5756FFC5">
      <w:pPr>
        <w:pStyle w:val="10"/>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附件：</w:t>
      </w:r>
    </w:p>
    <w:p w14:paraId="6E41F80B">
      <w:pPr>
        <w:pStyle w:val="10"/>
        <w:spacing w:line="400" w:lineRule="exact"/>
        <w:jc w:val="center"/>
        <w:rPr>
          <w:rFonts w:hint="eastAsia" w:ascii="宋体" w:hAnsi="宋体" w:eastAsia="宋体" w:cs="宋体"/>
          <w:b/>
          <w:color w:val="auto"/>
          <w:sz w:val="32"/>
          <w:szCs w:val="32"/>
        </w:rPr>
      </w:pPr>
      <w:bookmarkStart w:id="305" w:name="_Toc30304_WPSOffice_Level1"/>
      <w:bookmarkStart w:id="306" w:name="_Toc30890_WPSOffice_Level1"/>
      <w:r>
        <w:rPr>
          <w:rFonts w:hint="eastAsia" w:ascii="宋体" w:hAnsi="宋体" w:eastAsia="宋体" w:cs="宋体"/>
          <w:b/>
          <w:color w:val="auto"/>
          <w:sz w:val="32"/>
          <w:szCs w:val="32"/>
        </w:rPr>
        <w:t>声   明</w:t>
      </w:r>
      <w:bookmarkEnd w:id="305"/>
      <w:bookmarkEnd w:id="306"/>
      <w:r>
        <w:rPr>
          <w:rFonts w:hint="eastAsia" w:ascii="宋体" w:hAnsi="宋体" w:eastAsia="宋体" w:cs="宋体"/>
          <w:b/>
          <w:color w:val="auto"/>
          <w:sz w:val="32"/>
          <w:szCs w:val="32"/>
        </w:rPr>
        <w:t>（格式）</w:t>
      </w:r>
    </w:p>
    <w:p w14:paraId="283DBFC9">
      <w:pPr>
        <w:pStyle w:val="10"/>
        <w:spacing w:line="400" w:lineRule="exact"/>
        <w:rPr>
          <w:rFonts w:hint="eastAsia" w:ascii="宋体" w:hAnsi="宋体" w:eastAsia="宋体" w:cs="宋体"/>
          <w:b/>
          <w:color w:val="auto"/>
          <w:sz w:val="32"/>
          <w:szCs w:val="32"/>
        </w:rPr>
      </w:pPr>
    </w:p>
    <w:p w14:paraId="4C8F5B45">
      <w:pPr>
        <w:spacing w:line="420" w:lineRule="exact"/>
        <w:rPr>
          <w:rFonts w:hint="eastAsia" w:ascii="宋体" w:hAnsi="宋体" w:eastAsia="宋体" w:cs="宋体"/>
          <w:b/>
          <w:color w:val="auto"/>
          <w:kern w:val="0"/>
          <w:szCs w:val="21"/>
          <w:u w:val="single"/>
        </w:rPr>
      </w:pPr>
      <w:r>
        <w:rPr>
          <w:rFonts w:hint="eastAsia" w:ascii="宋体" w:hAnsi="宋体" w:eastAsia="宋体" w:cs="宋体"/>
          <w:b/>
          <w:bCs/>
          <w:color w:val="auto"/>
          <w:kern w:val="0"/>
          <w:szCs w:val="21"/>
        </w:rPr>
        <w:t>致：</w:t>
      </w:r>
      <w:r>
        <w:rPr>
          <w:rFonts w:hint="eastAsia" w:ascii="宋体" w:hAnsi="宋体" w:eastAsia="宋体" w:cs="宋体"/>
          <w:color w:val="auto"/>
          <w:szCs w:val="21"/>
          <w:u w:val="single"/>
        </w:rPr>
        <w:t>灵川县自然资源局、广西广西佳益工程项目管理咨询有限公司</w:t>
      </w:r>
    </w:p>
    <w:p w14:paraId="4B411691">
      <w:pPr>
        <w:rPr>
          <w:rFonts w:hint="eastAsia" w:ascii="宋体" w:hAnsi="宋体" w:eastAsia="宋体" w:cs="宋体"/>
          <w:color w:val="auto"/>
          <w:szCs w:val="21"/>
          <w:u w:val="single"/>
        </w:rPr>
      </w:pPr>
    </w:p>
    <w:p w14:paraId="12F463D9">
      <w:pPr>
        <w:pStyle w:val="7"/>
        <w:rPr>
          <w:rFonts w:hint="eastAsia" w:ascii="宋体" w:hAnsi="宋体" w:eastAsia="宋体" w:cs="宋体"/>
          <w:color w:val="auto"/>
        </w:rPr>
      </w:pPr>
    </w:p>
    <w:p w14:paraId="05AF86AF">
      <w:pPr>
        <w:pStyle w:val="10"/>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4777A7A">
      <w:pPr>
        <w:rPr>
          <w:rFonts w:hint="eastAsia" w:ascii="宋体" w:hAnsi="宋体" w:eastAsia="宋体" w:cs="宋体"/>
          <w:color w:val="auto"/>
        </w:rPr>
      </w:pPr>
    </w:p>
    <w:p w14:paraId="4F76AA0F">
      <w:pPr>
        <w:snapToGrid w:val="0"/>
        <w:spacing w:line="400" w:lineRule="exact"/>
        <w:rPr>
          <w:rFonts w:hint="eastAsia" w:ascii="宋体" w:hAnsi="宋体" w:eastAsia="宋体" w:cs="宋体"/>
          <w:color w:val="auto"/>
        </w:rPr>
      </w:pPr>
      <w:r>
        <w:rPr>
          <w:rFonts w:hint="eastAsia" w:ascii="宋体" w:hAnsi="宋体" w:eastAsia="宋体" w:cs="宋体"/>
          <w:color w:val="auto"/>
          <w:szCs w:val="21"/>
        </w:rPr>
        <w:t>磋商供应商[公章(CA签章)，属自然人的应签名并加盖大拇指指印或个人CA签章]：</w:t>
      </w:r>
      <w:r>
        <w:rPr>
          <w:rFonts w:hint="eastAsia" w:ascii="宋体" w:hAnsi="宋体" w:eastAsia="宋体" w:cs="宋体"/>
          <w:color w:val="auto"/>
          <w:szCs w:val="21"/>
          <w:u w:val="single"/>
        </w:rPr>
        <w:t xml:space="preserve">　                                          </w:t>
      </w:r>
    </w:p>
    <w:p w14:paraId="2BF5C41B">
      <w:pPr>
        <w:pStyle w:val="10"/>
        <w:ind w:firstLine="3990" w:firstLineChars="1900"/>
        <w:rPr>
          <w:rFonts w:hint="eastAsia" w:ascii="宋体" w:hAnsi="宋体" w:eastAsia="宋体" w:cs="宋体"/>
          <w:color w:val="auto"/>
        </w:rPr>
      </w:pPr>
    </w:p>
    <w:p w14:paraId="57D8C48A">
      <w:pPr>
        <w:pStyle w:val="10"/>
        <w:ind w:firstLine="3990" w:firstLineChars="1900"/>
        <w:rPr>
          <w:rFonts w:hint="eastAsia" w:ascii="宋体" w:hAnsi="宋体" w:eastAsia="宋体" w:cs="宋体"/>
          <w:color w:val="auto"/>
          <w:u w:val="single"/>
        </w:rPr>
      </w:pPr>
      <w:r>
        <w:rPr>
          <w:rFonts w:hint="eastAsia" w:ascii="宋体" w:hAnsi="宋体" w:eastAsia="宋体" w:cs="宋体"/>
          <w:color w:val="auto"/>
        </w:rPr>
        <w:t>日          期：</w:t>
      </w:r>
      <w:r>
        <w:rPr>
          <w:rFonts w:hint="eastAsia" w:ascii="宋体" w:hAnsi="宋体" w:eastAsia="宋体" w:cs="宋体"/>
          <w:color w:val="auto"/>
          <w:szCs w:val="21"/>
          <w:u w:val="single"/>
        </w:rPr>
        <w:t xml:space="preserve">                                   　 </w:t>
      </w:r>
    </w:p>
    <w:p w14:paraId="259AEBF1">
      <w:pPr>
        <w:pStyle w:val="10"/>
        <w:spacing w:line="340" w:lineRule="exact"/>
        <w:rPr>
          <w:rFonts w:hint="eastAsia" w:ascii="宋体" w:hAnsi="宋体" w:eastAsia="宋体" w:cs="宋体"/>
          <w:b/>
          <w:color w:val="auto"/>
          <w:sz w:val="28"/>
          <w:szCs w:val="28"/>
        </w:rPr>
      </w:pPr>
    </w:p>
    <w:p w14:paraId="5AD22882">
      <w:pPr>
        <w:pStyle w:val="10"/>
        <w:spacing w:line="340" w:lineRule="exact"/>
        <w:rPr>
          <w:rFonts w:hint="eastAsia" w:ascii="宋体" w:hAnsi="宋体" w:eastAsia="宋体" w:cs="宋体"/>
          <w:b/>
          <w:color w:val="auto"/>
          <w:sz w:val="28"/>
          <w:szCs w:val="28"/>
        </w:rPr>
      </w:pPr>
    </w:p>
    <w:p w14:paraId="02A672A0">
      <w:pPr>
        <w:pStyle w:val="10"/>
        <w:spacing w:line="340" w:lineRule="exact"/>
        <w:rPr>
          <w:rFonts w:hint="eastAsia" w:ascii="宋体" w:hAnsi="宋体" w:eastAsia="宋体" w:cs="宋体"/>
          <w:b/>
          <w:color w:val="auto"/>
          <w:sz w:val="28"/>
          <w:szCs w:val="28"/>
        </w:rPr>
      </w:pPr>
    </w:p>
    <w:p w14:paraId="2D87A4C4">
      <w:pPr>
        <w:pStyle w:val="10"/>
        <w:spacing w:line="34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5.供应商的法人或者其他组织营业执照等证明文件原件或复印件扫描件（必须提供，自然人除外）；</w:t>
      </w:r>
    </w:p>
    <w:p w14:paraId="3D1751F2">
      <w:pPr>
        <w:tabs>
          <w:tab w:val="left" w:pos="1305"/>
        </w:tabs>
        <w:spacing w:line="340" w:lineRule="exact"/>
        <w:rPr>
          <w:rFonts w:hint="eastAsia" w:ascii="宋体" w:hAnsi="宋体" w:eastAsia="宋体" w:cs="宋体"/>
          <w:b/>
          <w:color w:val="auto"/>
          <w:szCs w:val="21"/>
        </w:rPr>
      </w:pPr>
    </w:p>
    <w:p w14:paraId="1B10F1C3">
      <w:pPr>
        <w:tabs>
          <w:tab w:val="left" w:pos="1305"/>
        </w:tabs>
        <w:spacing w:line="400" w:lineRule="exact"/>
        <w:rPr>
          <w:rFonts w:hint="eastAsia" w:ascii="宋体" w:hAnsi="宋体" w:eastAsia="宋体" w:cs="宋体"/>
          <w:b/>
          <w:color w:val="auto"/>
          <w:szCs w:val="21"/>
        </w:rPr>
      </w:pPr>
      <w:r>
        <w:rPr>
          <w:rFonts w:hint="eastAsia" w:ascii="宋体" w:hAnsi="宋体" w:eastAsia="宋体" w:cs="宋体"/>
          <w:b/>
          <w:color w:val="auto"/>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A46AC00">
      <w:pPr>
        <w:rPr>
          <w:rFonts w:hint="eastAsia" w:ascii="宋体" w:hAnsi="宋体" w:eastAsia="宋体" w:cs="宋体"/>
          <w:b/>
          <w:bCs/>
          <w:color w:val="auto"/>
          <w:sz w:val="28"/>
          <w:szCs w:val="28"/>
        </w:rPr>
      </w:pPr>
    </w:p>
    <w:p w14:paraId="070739F8">
      <w:pPr>
        <w:pStyle w:val="10"/>
        <w:spacing w:line="340" w:lineRule="exact"/>
        <w:rPr>
          <w:rFonts w:hint="eastAsia" w:ascii="宋体" w:hAnsi="宋体" w:eastAsia="宋体" w:cs="宋体"/>
          <w:b/>
          <w:color w:val="auto"/>
          <w:sz w:val="28"/>
          <w:szCs w:val="28"/>
        </w:rPr>
      </w:pPr>
    </w:p>
    <w:p w14:paraId="11A60DC4">
      <w:pPr>
        <w:pStyle w:val="5"/>
        <w:rPr>
          <w:rFonts w:hint="eastAsia" w:ascii="宋体" w:hAnsi="宋体" w:eastAsia="宋体" w:cs="宋体"/>
          <w:b/>
          <w:color w:val="auto"/>
          <w:sz w:val="28"/>
          <w:szCs w:val="28"/>
        </w:rPr>
      </w:pPr>
    </w:p>
    <w:p w14:paraId="7681EBFB">
      <w:pPr>
        <w:rPr>
          <w:rFonts w:hint="eastAsia" w:ascii="宋体" w:hAnsi="宋体" w:eastAsia="宋体" w:cs="宋体"/>
          <w:b/>
          <w:color w:val="auto"/>
          <w:sz w:val="28"/>
          <w:szCs w:val="28"/>
        </w:rPr>
      </w:pPr>
    </w:p>
    <w:p w14:paraId="3CF3CC6C">
      <w:pPr>
        <w:rPr>
          <w:rFonts w:hint="eastAsia" w:ascii="宋体" w:hAnsi="宋体" w:eastAsia="宋体" w:cs="宋体"/>
          <w:b/>
          <w:color w:val="auto"/>
          <w:sz w:val="28"/>
          <w:szCs w:val="28"/>
        </w:rPr>
      </w:pPr>
    </w:p>
    <w:p w14:paraId="0F41E1E2">
      <w:pPr>
        <w:rPr>
          <w:rFonts w:hint="eastAsia" w:ascii="宋体" w:hAnsi="宋体" w:eastAsia="宋体" w:cs="宋体"/>
          <w:b/>
          <w:color w:val="auto"/>
          <w:sz w:val="28"/>
          <w:szCs w:val="28"/>
        </w:rPr>
      </w:pPr>
    </w:p>
    <w:p w14:paraId="6F63D288">
      <w:pPr>
        <w:rPr>
          <w:rFonts w:hint="eastAsia" w:ascii="宋体" w:hAnsi="宋体" w:eastAsia="宋体" w:cs="宋体"/>
          <w:b/>
          <w:color w:val="auto"/>
          <w:sz w:val="28"/>
          <w:szCs w:val="28"/>
        </w:rPr>
      </w:pPr>
    </w:p>
    <w:p w14:paraId="6E8E0A26">
      <w:pPr>
        <w:rPr>
          <w:rFonts w:hint="eastAsia" w:ascii="宋体" w:hAnsi="宋体" w:eastAsia="宋体" w:cs="宋体"/>
          <w:b/>
          <w:color w:val="auto"/>
          <w:sz w:val="28"/>
          <w:szCs w:val="28"/>
        </w:rPr>
      </w:pPr>
    </w:p>
    <w:p w14:paraId="3DCE3063">
      <w:pPr>
        <w:jc w:val="left"/>
        <w:rPr>
          <w:rFonts w:hint="eastAsia" w:ascii="宋体" w:hAnsi="宋体" w:eastAsia="宋体" w:cs="宋体"/>
          <w:b/>
          <w:bCs/>
          <w:color w:val="auto"/>
          <w:szCs w:val="21"/>
        </w:rPr>
      </w:pPr>
      <w:bookmarkStart w:id="307" w:name="_Toc20297"/>
    </w:p>
    <w:bookmarkEnd w:id="307"/>
    <w:p w14:paraId="635A53AE">
      <w:pPr>
        <w:pStyle w:val="10"/>
        <w:spacing w:line="340" w:lineRule="exact"/>
        <w:rPr>
          <w:rFonts w:hint="eastAsia" w:ascii="宋体" w:hAnsi="宋体" w:eastAsia="宋体" w:cs="宋体"/>
          <w:b/>
          <w:color w:val="auto"/>
          <w:sz w:val="28"/>
          <w:szCs w:val="28"/>
        </w:rPr>
      </w:pPr>
      <w:r>
        <w:rPr>
          <w:rFonts w:hint="eastAsia" w:ascii="宋体" w:hAnsi="宋体" w:eastAsia="宋体" w:cs="宋体"/>
          <w:b/>
          <w:bCs/>
          <w:color w:val="auto"/>
          <w:sz w:val="24"/>
        </w:rPr>
        <w:t>6</w:t>
      </w:r>
      <w:r>
        <w:rPr>
          <w:rFonts w:hint="eastAsia" w:ascii="宋体" w:hAnsi="宋体" w:eastAsia="宋体" w:cs="宋体"/>
          <w:b/>
          <w:color w:val="auto"/>
          <w:sz w:val="28"/>
          <w:szCs w:val="28"/>
        </w:rPr>
        <w:t>.供应商财务状况良好的承诺函原件的扫描件（必须提供）；</w:t>
      </w:r>
    </w:p>
    <w:p w14:paraId="446CE96C">
      <w:pPr>
        <w:pStyle w:val="5"/>
        <w:ind w:left="0" w:leftChars="0"/>
        <w:rPr>
          <w:rFonts w:hint="eastAsia" w:ascii="宋体" w:hAnsi="宋体" w:eastAsia="宋体" w:cs="宋体"/>
          <w:b/>
          <w:color w:val="auto"/>
          <w:sz w:val="28"/>
          <w:szCs w:val="28"/>
        </w:rPr>
      </w:pPr>
    </w:p>
    <w:p w14:paraId="3A0A9DFA">
      <w:pPr>
        <w:pStyle w:val="10"/>
        <w:spacing w:line="3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附件：</w:t>
      </w:r>
    </w:p>
    <w:p w14:paraId="57F36B17">
      <w:pPr>
        <w:pStyle w:val="10"/>
        <w:spacing w:line="3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财务状况良好的承诺函（格式）</w:t>
      </w:r>
    </w:p>
    <w:p w14:paraId="762F2085">
      <w:pPr>
        <w:kinsoku w:val="0"/>
        <w:snapToGrid w:val="0"/>
        <w:outlineLvl w:val="4"/>
        <w:rPr>
          <w:rFonts w:hint="eastAsia" w:ascii="宋体" w:hAnsi="宋体" w:eastAsia="宋体" w:cs="宋体"/>
          <w:b/>
          <w:color w:val="auto"/>
          <w:szCs w:val="21"/>
        </w:rPr>
      </w:pPr>
    </w:p>
    <w:p w14:paraId="301CCDC1">
      <w:pPr>
        <w:kinsoku w:val="0"/>
        <w:snapToGrid w:val="0"/>
        <w:outlineLvl w:val="4"/>
        <w:rPr>
          <w:rFonts w:hint="eastAsia" w:ascii="宋体" w:hAnsi="宋体" w:eastAsia="宋体" w:cs="宋体"/>
          <w:color w:val="auto"/>
          <w:szCs w:val="21"/>
          <w:u w:val="single"/>
        </w:rPr>
      </w:pPr>
      <w:r>
        <w:rPr>
          <w:rFonts w:hint="eastAsia" w:ascii="宋体" w:hAnsi="宋体" w:eastAsia="宋体" w:cs="宋体"/>
          <w:b/>
          <w:color w:val="auto"/>
          <w:szCs w:val="21"/>
        </w:rPr>
        <w:t>致</w:t>
      </w:r>
      <w:r>
        <w:rPr>
          <w:rFonts w:hint="eastAsia" w:ascii="宋体" w:hAnsi="宋体" w:eastAsia="宋体" w:cs="宋体"/>
          <w:color w:val="auto"/>
          <w:szCs w:val="21"/>
        </w:rPr>
        <w:t>：</w:t>
      </w:r>
      <w:r>
        <w:rPr>
          <w:rFonts w:hint="eastAsia" w:ascii="宋体" w:hAnsi="宋体" w:eastAsia="宋体" w:cs="宋体"/>
          <w:color w:val="auto"/>
          <w:szCs w:val="21"/>
          <w:u w:val="single"/>
        </w:rPr>
        <w:t>灵川县自然资源局、广西广西佳益工程项目管理咨询有限公司</w:t>
      </w:r>
    </w:p>
    <w:p w14:paraId="32BFA90C">
      <w:pPr>
        <w:pStyle w:val="10"/>
        <w:kinsoku w:val="0"/>
        <w:ind w:firstLine="420" w:firstLineChars="200"/>
        <w:rPr>
          <w:rFonts w:hint="eastAsia" w:ascii="宋体" w:hAnsi="宋体" w:eastAsia="宋体" w:cs="宋体"/>
          <w:color w:val="auto"/>
          <w:szCs w:val="21"/>
        </w:rPr>
      </w:pPr>
    </w:p>
    <w:p w14:paraId="63272563">
      <w:pPr>
        <w:pStyle w:val="10"/>
        <w:kinsoku w:val="0"/>
        <w:ind w:firstLine="420" w:firstLineChars="200"/>
        <w:rPr>
          <w:rFonts w:hint="eastAsia" w:ascii="宋体" w:hAnsi="宋体" w:eastAsia="宋体" w:cs="宋体"/>
          <w:color w:val="auto"/>
          <w:szCs w:val="21"/>
        </w:rPr>
      </w:pPr>
      <w:r>
        <w:rPr>
          <w:rFonts w:hint="eastAsia" w:ascii="宋体" w:hAnsi="宋体" w:eastAsia="宋体" w:cs="宋体"/>
          <w:color w:val="auto"/>
          <w:szCs w:val="21"/>
        </w:rPr>
        <w:t>我（公司）郑重声明，我（公司）财务状况良好，符合中华人民共和国政府采购第二十二条规定要求的财务状况，具备顺利完成本项目的财务能力。</w:t>
      </w:r>
    </w:p>
    <w:p w14:paraId="01D98BBD">
      <w:pPr>
        <w:pStyle w:val="5"/>
        <w:ind w:left="2940"/>
        <w:rPr>
          <w:rFonts w:hint="eastAsia" w:ascii="宋体" w:hAnsi="宋体" w:eastAsia="宋体" w:cs="宋体"/>
          <w:color w:val="auto"/>
          <w:szCs w:val="21"/>
        </w:rPr>
      </w:pPr>
    </w:p>
    <w:p w14:paraId="7CBC4098">
      <w:pPr>
        <w:rPr>
          <w:rFonts w:hint="eastAsia" w:ascii="宋体" w:hAnsi="宋体" w:eastAsia="宋体" w:cs="宋体"/>
          <w:color w:val="auto"/>
          <w:szCs w:val="21"/>
        </w:rPr>
      </w:pPr>
    </w:p>
    <w:p w14:paraId="568E1415">
      <w:pPr>
        <w:rPr>
          <w:rFonts w:hint="eastAsia" w:ascii="宋体" w:hAnsi="宋体" w:eastAsia="宋体" w:cs="宋体"/>
          <w:color w:val="auto"/>
          <w:szCs w:val="21"/>
        </w:rPr>
      </w:pPr>
    </w:p>
    <w:p w14:paraId="14F7CD01">
      <w:pPr>
        <w:rPr>
          <w:rFonts w:hint="eastAsia" w:ascii="宋体" w:hAnsi="宋体" w:eastAsia="宋体" w:cs="宋体"/>
          <w:color w:val="auto"/>
          <w:szCs w:val="21"/>
        </w:rPr>
      </w:pPr>
    </w:p>
    <w:p w14:paraId="5FB34A1C">
      <w:pPr>
        <w:rPr>
          <w:rFonts w:hint="eastAsia" w:ascii="宋体" w:hAnsi="宋体" w:eastAsia="宋体" w:cs="宋体"/>
          <w:color w:val="auto"/>
          <w:szCs w:val="21"/>
        </w:rPr>
      </w:pPr>
    </w:p>
    <w:p w14:paraId="628C4295">
      <w:pPr>
        <w:rPr>
          <w:rFonts w:hint="eastAsia" w:ascii="宋体" w:hAnsi="宋体" w:eastAsia="宋体" w:cs="宋体"/>
          <w:color w:val="auto"/>
          <w:szCs w:val="21"/>
        </w:rPr>
      </w:pPr>
    </w:p>
    <w:p w14:paraId="59BDE7A9">
      <w:pPr>
        <w:kinsoku w:val="0"/>
        <w:snapToGrid w:val="0"/>
        <w:ind w:firstLine="420"/>
        <w:outlineLvl w:val="4"/>
        <w:rPr>
          <w:rFonts w:hint="eastAsia" w:ascii="宋体" w:hAnsi="宋体" w:eastAsia="宋体" w:cs="宋体"/>
          <w:color w:val="auto"/>
          <w:szCs w:val="21"/>
        </w:rPr>
      </w:pPr>
    </w:p>
    <w:p w14:paraId="1438006F">
      <w:pPr>
        <w:rPr>
          <w:rFonts w:hint="eastAsia" w:ascii="宋体" w:hAnsi="宋体" w:eastAsia="宋体" w:cs="宋体"/>
          <w:color w:val="auto"/>
          <w:szCs w:val="21"/>
        </w:rPr>
      </w:pPr>
      <w:r>
        <w:rPr>
          <w:rFonts w:hint="eastAsia" w:ascii="宋体" w:hAnsi="宋体" w:eastAsia="宋体" w:cs="宋体"/>
          <w:color w:val="auto"/>
          <w:szCs w:val="21"/>
        </w:rPr>
        <w:t xml:space="preserve">供应商[公章(CA签章)，属自然人的应签名并加盖大拇指指印或个人CA签章]： </w:t>
      </w:r>
    </w:p>
    <w:p w14:paraId="1501146D">
      <w:pPr>
        <w:rPr>
          <w:rFonts w:hint="eastAsia" w:ascii="宋体" w:hAnsi="宋体" w:eastAsia="宋体" w:cs="宋体"/>
          <w:color w:val="auto"/>
          <w:szCs w:val="21"/>
        </w:rPr>
      </w:pPr>
    </w:p>
    <w:p w14:paraId="4AA39906">
      <w:pPr>
        <w:ind w:firstLine="2520" w:firstLineChars="1200"/>
        <w:rPr>
          <w:rFonts w:hint="eastAsia" w:ascii="宋体" w:hAnsi="宋体" w:eastAsia="宋体" w:cs="宋体"/>
          <w:color w:val="auto"/>
          <w:szCs w:val="21"/>
        </w:rPr>
      </w:pPr>
      <w:r>
        <w:rPr>
          <w:rFonts w:hint="eastAsia" w:ascii="宋体" w:hAnsi="宋体" w:eastAsia="宋体" w:cs="宋体"/>
          <w:color w:val="auto"/>
          <w:szCs w:val="21"/>
        </w:rPr>
        <w:t>日          期：</w:t>
      </w:r>
    </w:p>
    <w:p w14:paraId="3C425714">
      <w:pPr>
        <w:rPr>
          <w:rFonts w:hint="eastAsia" w:ascii="宋体" w:hAnsi="宋体" w:eastAsia="宋体" w:cs="宋体"/>
          <w:b/>
          <w:color w:val="auto"/>
          <w:sz w:val="28"/>
          <w:szCs w:val="28"/>
        </w:rPr>
      </w:pPr>
    </w:p>
    <w:p w14:paraId="6042224C">
      <w:pPr>
        <w:pStyle w:val="7"/>
        <w:rPr>
          <w:rFonts w:hint="eastAsia" w:ascii="宋体" w:hAnsi="宋体" w:eastAsia="宋体" w:cs="宋体"/>
          <w:b/>
          <w:color w:val="auto"/>
          <w:sz w:val="28"/>
          <w:szCs w:val="28"/>
        </w:rPr>
      </w:pPr>
    </w:p>
    <w:p w14:paraId="214FA961">
      <w:pPr>
        <w:pStyle w:val="5"/>
        <w:ind w:left="0" w:leftChars="0"/>
        <w:rPr>
          <w:rFonts w:hint="eastAsia" w:ascii="宋体" w:hAnsi="宋体" w:eastAsia="宋体" w:cs="宋体"/>
          <w:b/>
          <w:color w:val="auto"/>
          <w:sz w:val="28"/>
          <w:szCs w:val="28"/>
        </w:rPr>
      </w:pPr>
    </w:p>
    <w:p w14:paraId="3F8E797A">
      <w:pPr>
        <w:rPr>
          <w:rFonts w:hint="eastAsia" w:ascii="宋体" w:hAnsi="宋体" w:eastAsia="宋体" w:cs="宋体"/>
          <w:color w:val="auto"/>
        </w:rPr>
      </w:pPr>
    </w:p>
    <w:p w14:paraId="4DB69D50">
      <w:pPr>
        <w:rPr>
          <w:rFonts w:hint="eastAsia" w:ascii="宋体" w:hAnsi="宋体" w:eastAsia="宋体" w:cs="宋体"/>
          <w:color w:val="auto"/>
        </w:rPr>
      </w:pPr>
    </w:p>
    <w:p w14:paraId="42CB017F">
      <w:pPr>
        <w:pStyle w:val="5"/>
        <w:ind w:left="0" w:leftChars="0"/>
        <w:rPr>
          <w:rFonts w:hint="eastAsia" w:ascii="宋体" w:hAnsi="宋体" w:eastAsia="宋体" w:cs="宋体"/>
          <w:b/>
          <w:color w:val="auto"/>
          <w:sz w:val="28"/>
          <w:szCs w:val="28"/>
        </w:rPr>
      </w:pPr>
      <w:r>
        <w:rPr>
          <w:rFonts w:hint="eastAsia" w:ascii="宋体" w:hAnsi="宋体" w:eastAsia="宋体" w:cs="宋体"/>
          <w:b/>
          <w:color w:val="auto"/>
          <w:sz w:val="28"/>
          <w:szCs w:val="28"/>
        </w:rPr>
        <w:t>7.供应商近半年（竞标截止之日当月前半年）内任意一个月或任一季度依法缴纳税收的证明材料【如：增值税发票(税收完税证明)或企业所得税完税证明或税务部门出具的免税证明等税务部门出具的正常纳税的证明材料或符合国家规定要求的其他证明材料】原件或复印件的扫描件（必须提供）；</w:t>
      </w:r>
    </w:p>
    <w:p w14:paraId="6CF88FAC">
      <w:pPr>
        <w:ind w:left="420"/>
        <w:jc w:val="center"/>
        <w:rPr>
          <w:rFonts w:hint="eastAsia" w:ascii="宋体" w:hAnsi="宋体" w:eastAsia="宋体" w:cs="宋体"/>
          <w:b/>
          <w:bCs/>
          <w:color w:val="auto"/>
          <w:sz w:val="32"/>
          <w:szCs w:val="32"/>
        </w:rPr>
      </w:pPr>
    </w:p>
    <w:p w14:paraId="13ED4B5C">
      <w:pPr>
        <w:ind w:left="420"/>
        <w:jc w:val="center"/>
        <w:rPr>
          <w:rFonts w:hint="eastAsia" w:ascii="宋体" w:hAnsi="宋体" w:eastAsia="宋体" w:cs="宋体"/>
          <w:b/>
          <w:bCs/>
          <w:color w:val="auto"/>
          <w:sz w:val="32"/>
          <w:szCs w:val="32"/>
        </w:rPr>
      </w:pPr>
    </w:p>
    <w:p w14:paraId="064E561D">
      <w:pPr>
        <w:jc w:val="both"/>
        <w:rPr>
          <w:rFonts w:hint="eastAsia" w:ascii="宋体" w:hAnsi="宋体" w:eastAsia="宋体" w:cs="宋体"/>
          <w:b/>
          <w:bCs/>
          <w:color w:val="auto"/>
          <w:sz w:val="32"/>
          <w:szCs w:val="32"/>
        </w:rPr>
      </w:pPr>
    </w:p>
    <w:p w14:paraId="2CD4B4B4">
      <w:pPr>
        <w:ind w:left="420"/>
        <w:jc w:val="center"/>
        <w:rPr>
          <w:rFonts w:hint="eastAsia" w:ascii="宋体" w:hAnsi="宋体" w:eastAsia="宋体" w:cs="宋体"/>
          <w:b/>
          <w:bCs/>
          <w:color w:val="auto"/>
          <w:sz w:val="32"/>
          <w:szCs w:val="32"/>
        </w:rPr>
      </w:pPr>
    </w:p>
    <w:p w14:paraId="03BD6C1F">
      <w:pPr>
        <w:ind w:left="420"/>
        <w:jc w:val="center"/>
        <w:rPr>
          <w:rFonts w:hint="eastAsia" w:ascii="宋体" w:hAnsi="宋体" w:eastAsia="宋体" w:cs="宋体"/>
          <w:b/>
          <w:bCs/>
          <w:color w:val="auto"/>
          <w:sz w:val="32"/>
          <w:szCs w:val="32"/>
        </w:rPr>
      </w:pPr>
    </w:p>
    <w:p w14:paraId="46D33CBE">
      <w:pPr>
        <w:ind w:left="420"/>
        <w:jc w:val="center"/>
        <w:rPr>
          <w:rFonts w:hint="eastAsia" w:ascii="宋体" w:hAnsi="宋体" w:eastAsia="宋体" w:cs="宋体"/>
          <w:b/>
          <w:bCs/>
          <w:color w:val="auto"/>
          <w:sz w:val="32"/>
          <w:szCs w:val="32"/>
        </w:rPr>
      </w:pPr>
    </w:p>
    <w:p w14:paraId="35F7A851">
      <w:pPr>
        <w:ind w:left="420"/>
        <w:jc w:val="center"/>
        <w:rPr>
          <w:rFonts w:hint="eastAsia" w:ascii="宋体" w:hAnsi="宋体" w:eastAsia="宋体" w:cs="宋体"/>
          <w:b/>
          <w:bCs/>
          <w:color w:val="auto"/>
          <w:sz w:val="32"/>
          <w:szCs w:val="32"/>
        </w:rPr>
      </w:pPr>
    </w:p>
    <w:p w14:paraId="14EEE5FC">
      <w:pPr>
        <w:ind w:left="420"/>
        <w:jc w:val="center"/>
        <w:rPr>
          <w:rFonts w:hint="eastAsia" w:ascii="宋体" w:hAnsi="宋体" w:eastAsia="宋体" w:cs="宋体"/>
          <w:b/>
          <w:bCs/>
          <w:color w:val="auto"/>
          <w:sz w:val="32"/>
          <w:szCs w:val="32"/>
        </w:rPr>
      </w:pPr>
    </w:p>
    <w:p w14:paraId="026D02BC">
      <w:pPr>
        <w:ind w:left="420"/>
        <w:jc w:val="center"/>
        <w:rPr>
          <w:rFonts w:hint="eastAsia" w:ascii="宋体" w:hAnsi="宋体" w:eastAsia="宋体" w:cs="宋体"/>
          <w:b/>
          <w:bCs/>
          <w:color w:val="auto"/>
          <w:sz w:val="32"/>
          <w:szCs w:val="32"/>
        </w:rPr>
      </w:pPr>
    </w:p>
    <w:p w14:paraId="6FE4D66A">
      <w:pPr>
        <w:ind w:left="420"/>
        <w:jc w:val="center"/>
        <w:rPr>
          <w:rFonts w:hint="eastAsia" w:ascii="宋体" w:hAnsi="宋体" w:eastAsia="宋体" w:cs="宋体"/>
          <w:b/>
          <w:bCs/>
          <w:color w:val="auto"/>
          <w:sz w:val="32"/>
          <w:szCs w:val="32"/>
        </w:rPr>
      </w:pPr>
    </w:p>
    <w:p w14:paraId="0467D0EE">
      <w:pPr>
        <w:ind w:left="420"/>
        <w:jc w:val="center"/>
        <w:rPr>
          <w:rFonts w:hint="eastAsia" w:ascii="宋体" w:hAnsi="宋体" w:eastAsia="宋体" w:cs="宋体"/>
          <w:b/>
          <w:bCs/>
          <w:color w:val="auto"/>
          <w:sz w:val="32"/>
          <w:szCs w:val="32"/>
        </w:rPr>
      </w:pPr>
    </w:p>
    <w:p w14:paraId="28D42A2A">
      <w:pPr>
        <w:ind w:left="420"/>
        <w:jc w:val="center"/>
        <w:rPr>
          <w:rFonts w:hint="eastAsia" w:ascii="宋体" w:hAnsi="宋体" w:eastAsia="宋体" w:cs="宋体"/>
          <w:b/>
          <w:bCs/>
          <w:color w:val="auto"/>
          <w:sz w:val="32"/>
          <w:szCs w:val="32"/>
        </w:rPr>
      </w:pPr>
    </w:p>
    <w:p w14:paraId="76B7C439">
      <w:pPr>
        <w:rPr>
          <w:rFonts w:hint="eastAsia" w:ascii="宋体" w:hAnsi="宋体" w:eastAsia="宋体" w:cs="宋体"/>
          <w:color w:val="auto"/>
        </w:rPr>
      </w:pPr>
    </w:p>
    <w:p w14:paraId="680AD768">
      <w:pPr>
        <w:pStyle w:val="5"/>
        <w:ind w:left="0" w:leftChars="0"/>
        <w:rPr>
          <w:rFonts w:hint="eastAsia" w:ascii="宋体" w:hAnsi="宋体" w:eastAsia="宋体" w:cs="宋体"/>
          <w:b/>
          <w:color w:val="auto"/>
          <w:sz w:val="28"/>
          <w:szCs w:val="28"/>
        </w:rPr>
      </w:pPr>
      <w:r>
        <w:rPr>
          <w:rFonts w:hint="eastAsia" w:ascii="宋体" w:hAnsi="宋体" w:eastAsia="宋体" w:cs="宋体"/>
          <w:b/>
          <w:color w:val="auto"/>
          <w:sz w:val="28"/>
          <w:szCs w:val="28"/>
        </w:rPr>
        <w:t>8.供应商参加本项目无围标串标行为的承诺函（必须提供）。</w:t>
      </w:r>
    </w:p>
    <w:p w14:paraId="7E8E4EE6">
      <w:pPr>
        <w:ind w:left="420"/>
        <w:jc w:val="center"/>
        <w:rPr>
          <w:rFonts w:hint="eastAsia" w:ascii="宋体" w:hAnsi="宋体" w:eastAsia="宋体" w:cs="宋体"/>
          <w:b/>
          <w:bCs/>
          <w:color w:val="auto"/>
          <w:sz w:val="32"/>
          <w:szCs w:val="32"/>
        </w:rPr>
      </w:pPr>
    </w:p>
    <w:p w14:paraId="52B23A9A">
      <w:pPr>
        <w:spacing w:line="400" w:lineRule="exact"/>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供应商参加本项目无围标串标行为的承诺函（格式）</w:t>
      </w:r>
    </w:p>
    <w:p w14:paraId="61A4878D">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一、我（公司）承诺无下列相互串通的情形：</w:t>
      </w:r>
    </w:p>
    <w:p w14:paraId="017226D2">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1.不同供应商的响应文件由同一单位或者个人编制；</w:t>
      </w:r>
    </w:p>
    <w:p w14:paraId="576C4D18">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2.不同供应商委托同一单位或者个人办理磋商事宜；</w:t>
      </w:r>
    </w:p>
    <w:p w14:paraId="03ED1780">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3.不同的供应商的响应文件载明的项目管理员为同一个人；</w:t>
      </w:r>
    </w:p>
    <w:p w14:paraId="1193441B">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4.不同供应商的响应文件异常一致或磋商报价呈规律性差异；</w:t>
      </w:r>
    </w:p>
    <w:p w14:paraId="362D07C2">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5.不同供应商的响应文件相互混装；</w:t>
      </w:r>
    </w:p>
    <w:p w14:paraId="7C1621B3">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二、我（公司）承诺无下列恶意串通的情形：</w:t>
      </w:r>
    </w:p>
    <w:p w14:paraId="1E0CE1FB">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1.供应商直接或者间接从采购人或者采购代理机构处获得其他供应商的相关信息并修改其响应文件或者响应文件；</w:t>
      </w:r>
    </w:p>
    <w:p w14:paraId="60A943F0">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2.供应商按照采购人或者采购代理机构的授意撤换、修改响应文件或者响应文件；</w:t>
      </w:r>
    </w:p>
    <w:p w14:paraId="644B2A18">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3.供应商之间协商报价、技术方案等响应文件或者响应文件的实质性内容；</w:t>
      </w:r>
    </w:p>
    <w:p w14:paraId="13A599C3">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4.属于同一集团、协会、商会等组织成员的供应商按照该组织要求协同参加政府采购活动；</w:t>
      </w:r>
    </w:p>
    <w:p w14:paraId="2279741F">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5.供应商之间事先约定一致抬高或者压低磋商报价,或者在采购项目中事先约定轮流以高价位或者低价位成交，或者事先约定由某一特定供应商成交，然后再参加采购；</w:t>
      </w:r>
    </w:p>
    <w:p w14:paraId="4642E6FD">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6.供应商之间商定部分供应商放弃参加政府采购活动或者放弃成交；</w:t>
      </w:r>
    </w:p>
    <w:p w14:paraId="14A55F75">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7.供应商与采购人或者采购代理机构之间、供应商相互之间，为谋求特定供应商成交或者排斥其他供应商的其他串通行为。</w:t>
      </w:r>
    </w:p>
    <w:p w14:paraId="7A918A9F">
      <w:pPr>
        <w:spacing w:line="400" w:lineRule="exact"/>
        <w:ind w:firstLine="420"/>
        <w:rPr>
          <w:rFonts w:hint="eastAsia" w:ascii="宋体" w:hAnsi="宋体" w:eastAsia="宋体" w:cs="宋体"/>
          <w:color w:val="auto"/>
          <w:kern w:val="0"/>
          <w:szCs w:val="20"/>
        </w:rPr>
      </w:pPr>
      <w:r>
        <w:rPr>
          <w:rFonts w:hint="eastAsia" w:ascii="宋体" w:hAnsi="宋体" w:eastAsia="宋体" w:cs="宋体"/>
          <w:color w:val="auto"/>
          <w:kern w:val="0"/>
          <w:szCs w:val="20"/>
        </w:rPr>
        <w:t>以上情形一经核查属实，我方愿意承担一切后果，并不再寻求任何旨在减轻或免除法律责任的辩解。</w:t>
      </w:r>
    </w:p>
    <w:p w14:paraId="08206A1E">
      <w:pPr>
        <w:rPr>
          <w:rFonts w:hint="eastAsia" w:ascii="宋体" w:hAnsi="宋体" w:eastAsia="宋体" w:cs="宋体"/>
          <w:color w:val="auto"/>
          <w:szCs w:val="21"/>
        </w:rPr>
      </w:pPr>
    </w:p>
    <w:p w14:paraId="2A594189">
      <w:pPr>
        <w:rPr>
          <w:rFonts w:hint="eastAsia" w:ascii="宋体" w:hAnsi="宋体" w:eastAsia="宋体" w:cs="宋体"/>
          <w:color w:val="auto"/>
          <w:szCs w:val="21"/>
        </w:rPr>
      </w:pPr>
    </w:p>
    <w:p w14:paraId="785A3173">
      <w:pPr>
        <w:rPr>
          <w:rFonts w:hint="eastAsia" w:ascii="宋体" w:hAnsi="宋体" w:eastAsia="宋体" w:cs="宋体"/>
          <w:color w:val="auto"/>
          <w:szCs w:val="21"/>
        </w:rPr>
      </w:pPr>
      <w:r>
        <w:rPr>
          <w:rFonts w:hint="eastAsia" w:ascii="宋体" w:hAnsi="宋体" w:eastAsia="宋体" w:cs="宋体"/>
          <w:color w:val="auto"/>
          <w:szCs w:val="21"/>
        </w:rPr>
        <w:t xml:space="preserve">供应商[公章(CA签章)，属自然人的应签名并加盖大拇指指印或个人CA签章]： </w:t>
      </w:r>
    </w:p>
    <w:p w14:paraId="244E169F">
      <w:pPr>
        <w:rPr>
          <w:rFonts w:hint="eastAsia" w:ascii="宋体" w:hAnsi="宋体" w:eastAsia="宋体" w:cs="宋体"/>
          <w:color w:val="auto"/>
          <w:szCs w:val="21"/>
        </w:rPr>
      </w:pPr>
    </w:p>
    <w:p w14:paraId="1BE69ECA">
      <w:pPr>
        <w:ind w:left="420"/>
        <w:jc w:val="center"/>
        <w:rPr>
          <w:rFonts w:hint="eastAsia" w:ascii="宋体" w:hAnsi="宋体" w:eastAsia="宋体" w:cs="宋体"/>
          <w:b/>
          <w:bCs/>
          <w:color w:val="auto"/>
          <w:sz w:val="32"/>
          <w:szCs w:val="32"/>
        </w:rPr>
      </w:pPr>
      <w:r>
        <w:rPr>
          <w:rFonts w:hint="eastAsia" w:ascii="宋体" w:hAnsi="宋体" w:eastAsia="宋体" w:cs="宋体"/>
          <w:color w:val="auto"/>
          <w:szCs w:val="21"/>
        </w:rPr>
        <w:t>日          期：</w:t>
      </w:r>
    </w:p>
    <w:p w14:paraId="0BD50AC0">
      <w:pPr>
        <w:keepNext/>
        <w:pageBreakBefore/>
        <w:numPr>
          <w:ilvl w:val="0"/>
          <w:numId w:val="6"/>
        </w:numPr>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符合性审查要求证明材料</w:t>
      </w:r>
    </w:p>
    <w:p w14:paraId="78B9CC4A">
      <w:pPr>
        <w:pStyle w:val="23"/>
        <w:rPr>
          <w:rFonts w:hint="eastAsia" w:ascii="宋体" w:hAnsi="宋体" w:eastAsia="宋体" w:cs="宋体"/>
          <w:color w:val="auto"/>
        </w:rPr>
      </w:pPr>
    </w:p>
    <w:p w14:paraId="278F8B26">
      <w:pPr>
        <w:spacing w:line="400" w:lineRule="exact"/>
        <w:rPr>
          <w:rFonts w:hint="eastAsia" w:ascii="宋体" w:hAnsi="宋体" w:eastAsia="宋体" w:cs="宋体"/>
          <w:b/>
          <w:bCs/>
          <w:color w:val="auto"/>
          <w:sz w:val="28"/>
          <w:szCs w:val="28"/>
        </w:rPr>
      </w:pPr>
      <w:bookmarkStart w:id="308" w:name="_Toc17617"/>
      <w:bookmarkStart w:id="309" w:name="_Toc12920"/>
      <w:bookmarkStart w:id="310" w:name="_Toc497927072"/>
      <w:r>
        <w:rPr>
          <w:rFonts w:hint="eastAsia" w:ascii="宋体" w:hAnsi="宋体" w:eastAsia="宋体" w:cs="宋体"/>
          <w:b/>
          <w:bCs/>
          <w:color w:val="auto"/>
          <w:sz w:val="28"/>
          <w:szCs w:val="28"/>
        </w:rPr>
        <w:t>1.响应函（格式见附件）（必须提供）</w:t>
      </w:r>
      <w:bookmarkEnd w:id="308"/>
      <w:bookmarkEnd w:id="309"/>
      <w:bookmarkEnd w:id="310"/>
    </w:p>
    <w:p w14:paraId="3E037B11">
      <w:pPr>
        <w:pStyle w:val="23"/>
        <w:rPr>
          <w:rFonts w:hint="eastAsia" w:ascii="宋体" w:hAnsi="宋体" w:eastAsia="宋体" w:cs="宋体"/>
          <w:color w:val="auto"/>
        </w:rPr>
      </w:pPr>
    </w:p>
    <w:p w14:paraId="7CC6DFFA">
      <w:pPr>
        <w:pStyle w:val="10"/>
        <w:rPr>
          <w:rFonts w:hint="eastAsia" w:ascii="宋体" w:hAnsi="宋体" w:eastAsia="宋体" w:cs="宋体"/>
          <w:b/>
          <w:color w:val="auto"/>
          <w:sz w:val="32"/>
        </w:rPr>
      </w:pPr>
      <w:r>
        <w:rPr>
          <w:rFonts w:hint="eastAsia" w:ascii="宋体" w:hAnsi="宋体" w:eastAsia="宋体" w:cs="宋体"/>
          <w:b/>
          <w:color w:val="auto"/>
          <w:sz w:val="32"/>
        </w:rPr>
        <w:t>附件：</w:t>
      </w:r>
    </w:p>
    <w:p w14:paraId="57C35EA4">
      <w:pPr>
        <w:pStyle w:val="10"/>
        <w:ind w:firstLine="803" w:firstLineChars="250"/>
        <w:jc w:val="center"/>
        <w:rPr>
          <w:rFonts w:hint="eastAsia" w:ascii="宋体" w:hAnsi="宋体" w:eastAsia="宋体" w:cs="宋体"/>
          <w:b/>
          <w:color w:val="auto"/>
          <w:sz w:val="32"/>
        </w:rPr>
      </w:pPr>
      <w:bookmarkStart w:id="311" w:name="_Toc17832_WPSOffice_Level1"/>
      <w:bookmarkStart w:id="312" w:name="_Toc7273_WPSOffice_Level1"/>
      <w:r>
        <w:rPr>
          <w:rFonts w:hint="eastAsia" w:ascii="宋体" w:hAnsi="宋体" w:eastAsia="宋体" w:cs="宋体"/>
          <w:b/>
          <w:color w:val="auto"/>
          <w:sz w:val="32"/>
        </w:rPr>
        <w:t>响 应 函 （格 式）</w:t>
      </w:r>
      <w:bookmarkEnd w:id="311"/>
      <w:bookmarkEnd w:id="312"/>
    </w:p>
    <w:p w14:paraId="55C5C741">
      <w:pPr>
        <w:spacing w:line="240" w:lineRule="exact"/>
        <w:jc w:val="center"/>
        <w:rPr>
          <w:rFonts w:hint="eastAsia" w:ascii="宋体" w:hAnsi="宋体" w:eastAsia="宋体" w:cs="宋体"/>
          <w:color w:val="auto"/>
          <w:sz w:val="32"/>
        </w:rPr>
      </w:pPr>
    </w:p>
    <w:p w14:paraId="5BE1E976">
      <w:pPr>
        <w:spacing w:line="400" w:lineRule="exact"/>
        <w:rPr>
          <w:rFonts w:hint="eastAsia"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：灵川县自然资源局、广西广西佳益工程项目管理咨询有限公司</w:t>
      </w:r>
    </w:p>
    <w:p w14:paraId="161F6368">
      <w:pPr>
        <w:pStyle w:val="10"/>
        <w:spacing w:line="360" w:lineRule="exact"/>
        <w:ind w:firstLine="420"/>
        <w:rPr>
          <w:rFonts w:hint="eastAsia" w:ascii="宋体" w:hAnsi="宋体" w:eastAsia="宋体" w:cs="宋体"/>
          <w:color w:val="auto"/>
        </w:rPr>
      </w:pPr>
      <w:r>
        <w:rPr>
          <w:rFonts w:hint="eastAsia" w:ascii="宋体" w:hAnsi="宋体" w:eastAsia="宋体" w:cs="宋体"/>
          <w:color w:val="auto"/>
        </w:rPr>
        <w:t>根据贵方</w:t>
      </w:r>
      <w:r>
        <w:rPr>
          <w:rFonts w:hint="eastAsia" w:ascii="宋体" w:hAnsi="宋体" w:eastAsia="宋体" w:cs="宋体"/>
          <w:color w:val="auto"/>
          <w:u w:val="single"/>
        </w:rPr>
        <w:t xml:space="preserve">  （项目名称） </w:t>
      </w:r>
      <w:r>
        <w:rPr>
          <w:rFonts w:hint="eastAsia" w:ascii="宋体" w:hAnsi="宋体" w:eastAsia="宋体" w:cs="宋体"/>
          <w:color w:val="auto"/>
        </w:rPr>
        <w:t>项目竞争性磋商文件，项目编号：</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t>，签字代表</w:t>
      </w:r>
      <w:r>
        <w:rPr>
          <w:rFonts w:hint="eastAsia" w:ascii="宋体" w:hAnsi="宋体" w:eastAsia="宋体" w:cs="宋体"/>
          <w:color w:val="auto"/>
        </w:rPr>
        <w:t xml:space="preserve">（姓名）经正式授权并代表供应商 </w:t>
      </w:r>
      <w:r>
        <w:rPr>
          <w:rFonts w:hint="eastAsia" w:ascii="宋体" w:hAnsi="宋体" w:eastAsia="宋体" w:cs="宋体"/>
          <w:color w:val="auto"/>
          <w:u w:val="single"/>
        </w:rPr>
        <w:t xml:space="preserve">                                   （</w:t>
      </w:r>
      <w:r>
        <w:rPr>
          <w:rFonts w:hint="eastAsia" w:ascii="宋体" w:hAnsi="宋体" w:eastAsia="宋体" w:cs="宋体"/>
          <w:color w:val="auto"/>
        </w:rPr>
        <w:t>供应商单位名称），提交电子响应文件。</w:t>
      </w:r>
    </w:p>
    <w:p w14:paraId="4D990005">
      <w:pPr>
        <w:pStyle w:val="10"/>
        <w:spacing w:line="360" w:lineRule="exact"/>
        <w:ind w:firstLine="420"/>
        <w:rPr>
          <w:rFonts w:hint="eastAsia" w:ascii="宋体" w:hAnsi="宋体" w:eastAsia="宋体" w:cs="宋体"/>
          <w:color w:val="auto"/>
        </w:rPr>
      </w:pPr>
      <w:r>
        <w:rPr>
          <w:rFonts w:hint="eastAsia" w:ascii="宋体" w:hAnsi="宋体" w:eastAsia="宋体" w:cs="宋体"/>
          <w:color w:val="auto"/>
        </w:rPr>
        <w:t>据此函，签字代表宣布同意如下：</w:t>
      </w:r>
    </w:p>
    <w:p w14:paraId="2F60B8F6">
      <w:pPr>
        <w:pStyle w:val="10"/>
        <w:spacing w:line="360" w:lineRule="exact"/>
        <w:ind w:firstLine="420"/>
        <w:rPr>
          <w:rFonts w:hint="eastAsia" w:ascii="宋体" w:hAnsi="宋体" w:eastAsia="宋体" w:cs="宋体"/>
          <w:color w:val="auto"/>
        </w:rPr>
      </w:pPr>
      <w:r>
        <w:rPr>
          <w:rFonts w:hint="eastAsia" w:ascii="宋体" w:hAnsi="宋体" w:eastAsia="宋体" w:cs="宋体"/>
          <w:color w:val="auto"/>
        </w:rPr>
        <w:t>1.我方承诺已具备磋商文件规定的供应商资格条件。</w:t>
      </w:r>
    </w:p>
    <w:p w14:paraId="21268082">
      <w:pPr>
        <w:pStyle w:val="10"/>
        <w:spacing w:line="360" w:lineRule="exact"/>
        <w:ind w:firstLine="420"/>
        <w:rPr>
          <w:rFonts w:hint="eastAsia" w:ascii="宋体" w:hAnsi="宋体" w:eastAsia="宋体" w:cs="宋体"/>
          <w:color w:val="auto"/>
        </w:rPr>
      </w:pPr>
      <w:r>
        <w:rPr>
          <w:rFonts w:hint="eastAsia" w:ascii="宋体" w:hAnsi="宋体" w:eastAsia="宋体" w:cs="宋体"/>
          <w:color w:val="auto"/>
        </w:rPr>
        <w:t>2.我方已详细审核磋商文件，包括修改文件（如有的话）和有关附件，将自行承担因对全部磋商文件理解不正确或误解而产生的相应后果。</w:t>
      </w:r>
    </w:p>
    <w:p w14:paraId="491B4CB0">
      <w:pPr>
        <w:pStyle w:val="10"/>
        <w:spacing w:line="360" w:lineRule="exact"/>
        <w:ind w:firstLine="420"/>
        <w:rPr>
          <w:rFonts w:hint="eastAsia" w:ascii="宋体" w:hAnsi="宋体" w:eastAsia="宋体" w:cs="宋体"/>
          <w:color w:val="auto"/>
        </w:rPr>
      </w:pPr>
      <w:r>
        <w:rPr>
          <w:rFonts w:hint="eastAsia" w:ascii="宋体" w:hAnsi="宋体" w:eastAsia="宋体" w:cs="宋体"/>
          <w:color w:val="auto"/>
        </w:rPr>
        <w:t>3. 响应文件有效期为</w:t>
      </w:r>
      <w:r>
        <w:rPr>
          <w:rFonts w:hint="eastAsia" w:ascii="宋体" w:hAnsi="宋体" w:eastAsia="宋体" w:cs="宋体"/>
          <w:color w:val="auto"/>
          <w:szCs w:val="21"/>
        </w:rPr>
        <w:t>响应文件递交截止时间之日起90天。</w:t>
      </w:r>
    </w:p>
    <w:p w14:paraId="773E49EF">
      <w:pPr>
        <w:pStyle w:val="10"/>
        <w:spacing w:line="360" w:lineRule="exact"/>
        <w:ind w:firstLine="420"/>
        <w:rPr>
          <w:rFonts w:hint="eastAsia" w:ascii="宋体" w:hAnsi="宋体" w:eastAsia="宋体" w:cs="宋体"/>
          <w:color w:val="auto"/>
        </w:rPr>
      </w:pPr>
      <w:r>
        <w:rPr>
          <w:rFonts w:hint="eastAsia" w:ascii="宋体" w:hAnsi="宋体" w:eastAsia="宋体" w:cs="宋体"/>
          <w:color w:val="auto"/>
        </w:rPr>
        <w:t>4. 如我方成交：</w:t>
      </w:r>
    </w:p>
    <w:p w14:paraId="4AA144FB">
      <w:pPr>
        <w:pStyle w:val="10"/>
        <w:spacing w:line="360" w:lineRule="exact"/>
        <w:ind w:firstLine="420"/>
        <w:rPr>
          <w:rFonts w:hint="eastAsia" w:ascii="宋体" w:hAnsi="宋体" w:eastAsia="宋体" w:cs="宋体"/>
          <w:color w:val="auto"/>
        </w:rPr>
      </w:pPr>
      <w:r>
        <w:rPr>
          <w:rFonts w:hint="eastAsia" w:ascii="宋体" w:hAnsi="宋体" w:eastAsia="宋体" w:cs="宋体"/>
          <w:color w:val="auto"/>
        </w:rPr>
        <w:t>（1）我方承诺在收到成交通知书后，在成交通知书规定的期限内与采购人签订合同。</w:t>
      </w:r>
    </w:p>
    <w:p w14:paraId="1521DA6D">
      <w:pPr>
        <w:pStyle w:val="1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（2）我方承诺按照磋商文件规定递交履约担保。</w:t>
      </w:r>
    </w:p>
    <w:p w14:paraId="61427A62">
      <w:pPr>
        <w:pStyle w:val="1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（3）我方承诺本响应文件至本项目合同履行完毕止均保持有效，按磋商文件及政府采购法律、法规的规定履行合同责任和义务。</w:t>
      </w:r>
    </w:p>
    <w:p w14:paraId="6D0CA93F">
      <w:pPr>
        <w:pStyle w:val="1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与本项目有关的正式通讯地址为：</w:t>
      </w:r>
    </w:p>
    <w:p w14:paraId="28444F1B">
      <w:pPr>
        <w:rPr>
          <w:rFonts w:hint="eastAsia" w:ascii="宋体" w:hAnsi="宋体" w:eastAsia="宋体" w:cs="宋体"/>
          <w:color w:val="auto"/>
          <w:szCs w:val="21"/>
        </w:rPr>
      </w:pPr>
    </w:p>
    <w:p w14:paraId="6568AB2A">
      <w:pPr>
        <w:pStyle w:val="10"/>
        <w:spacing w:line="320" w:lineRule="exact"/>
        <w:ind w:firstLine="420"/>
        <w:rPr>
          <w:rFonts w:hint="eastAsia" w:ascii="宋体" w:hAnsi="宋体" w:eastAsia="宋体" w:cs="宋体"/>
          <w:color w:val="auto"/>
          <w:szCs w:val="21"/>
          <w:u w:val="single"/>
        </w:rPr>
      </w:pP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p>
    <w:p w14:paraId="69434C20">
      <w:pPr>
        <w:pStyle w:val="10"/>
        <w:spacing w:line="320" w:lineRule="exact"/>
        <w:ind w:firstLine="420"/>
        <w:rPr>
          <w:rFonts w:hint="eastAsia" w:ascii="宋体" w:hAnsi="宋体" w:eastAsia="宋体" w:cs="宋体"/>
          <w:color w:val="auto"/>
          <w:szCs w:val="21"/>
          <w:u w:val="single"/>
        </w:rPr>
      </w:pPr>
      <w:r>
        <w:rPr>
          <w:rFonts w:hint="eastAsia" w:ascii="宋体" w:hAnsi="宋体" w:eastAsia="宋体" w:cs="宋体"/>
          <w:color w:val="auto"/>
          <w:szCs w:val="21"/>
        </w:rPr>
        <w:t>电话、传真：</w:t>
      </w:r>
      <w:r>
        <w:rPr>
          <w:rFonts w:hint="eastAsia" w:ascii="宋体" w:hAnsi="宋体" w:eastAsia="宋体" w:cs="宋体"/>
          <w:color w:val="auto"/>
          <w:szCs w:val="21"/>
          <w:u w:val="single"/>
        </w:rPr>
        <w:t xml:space="preserve">                                   　                              </w:t>
      </w:r>
    </w:p>
    <w:p w14:paraId="3E1A2DDF">
      <w:pPr>
        <w:pStyle w:val="10"/>
        <w:spacing w:line="320" w:lineRule="exact"/>
        <w:ind w:firstLine="420"/>
        <w:rPr>
          <w:rFonts w:hint="eastAsia" w:ascii="宋体" w:hAnsi="宋体" w:eastAsia="宋体" w:cs="宋体"/>
          <w:color w:val="auto"/>
          <w:szCs w:val="21"/>
        </w:rPr>
      </w:pPr>
      <w:r>
        <w:rPr>
          <w:rFonts w:hint="eastAsia" w:ascii="宋体" w:hAnsi="宋体" w:eastAsia="宋体" w:cs="宋体"/>
          <w:color w:val="auto"/>
          <w:szCs w:val="21"/>
        </w:rPr>
        <w:t>开户名称：</w:t>
      </w:r>
      <w:r>
        <w:rPr>
          <w:rFonts w:hint="eastAsia" w:ascii="宋体" w:hAnsi="宋体" w:eastAsia="宋体" w:cs="宋体"/>
          <w:color w:val="auto"/>
          <w:szCs w:val="21"/>
          <w:u w:val="single"/>
        </w:rPr>
        <w:t xml:space="preserve">                                   　                                         </w:t>
      </w:r>
    </w:p>
    <w:p w14:paraId="5CB9FDFD">
      <w:pPr>
        <w:pStyle w:val="10"/>
        <w:spacing w:line="320" w:lineRule="exact"/>
        <w:ind w:firstLine="420"/>
        <w:rPr>
          <w:rFonts w:hint="eastAsia" w:ascii="宋体" w:hAnsi="宋体" w:eastAsia="宋体" w:cs="宋体"/>
          <w:color w:val="auto"/>
          <w:szCs w:val="21"/>
        </w:rPr>
      </w:pPr>
      <w:r>
        <w:rPr>
          <w:rFonts w:hint="eastAsia" w:ascii="宋体" w:hAnsi="宋体" w:eastAsia="宋体" w:cs="宋体"/>
          <w:color w:val="auto"/>
          <w:szCs w:val="21"/>
        </w:rPr>
        <w:t>开户银行：</w:t>
      </w:r>
      <w:r>
        <w:rPr>
          <w:rFonts w:hint="eastAsia" w:ascii="宋体" w:hAnsi="宋体" w:eastAsia="宋体" w:cs="宋体"/>
          <w:color w:val="auto"/>
          <w:szCs w:val="21"/>
          <w:u w:val="single"/>
        </w:rPr>
        <w:t xml:space="preserve">                                   　       </w:t>
      </w:r>
    </w:p>
    <w:p w14:paraId="174489DD">
      <w:pPr>
        <w:pStyle w:val="10"/>
        <w:spacing w:line="320" w:lineRule="exact"/>
        <w:ind w:firstLine="420"/>
        <w:rPr>
          <w:rFonts w:hint="eastAsia" w:ascii="宋体" w:hAnsi="宋体" w:eastAsia="宋体" w:cs="宋体"/>
          <w:color w:val="auto"/>
          <w:szCs w:val="21"/>
        </w:rPr>
      </w:pPr>
      <w:r>
        <w:rPr>
          <w:rFonts w:hint="eastAsia" w:ascii="宋体" w:hAnsi="宋体" w:eastAsia="宋体" w:cs="宋体"/>
          <w:color w:val="auto"/>
          <w:szCs w:val="21"/>
        </w:rPr>
        <w:t>账号：</w:t>
      </w:r>
      <w:r>
        <w:rPr>
          <w:rFonts w:hint="eastAsia" w:ascii="宋体" w:hAnsi="宋体" w:eastAsia="宋体" w:cs="宋体"/>
          <w:color w:val="auto"/>
          <w:szCs w:val="21"/>
          <w:u w:val="single"/>
        </w:rPr>
        <w:t xml:space="preserve">                                      　　　   </w:t>
      </w:r>
    </w:p>
    <w:p w14:paraId="3B43D1C8">
      <w:pPr>
        <w:pStyle w:val="10"/>
        <w:spacing w:line="320" w:lineRule="exact"/>
        <w:ind w:firstLine="420"/>
        <w:rPr>
          <w:rFonts w:hint="eastAsia" w:ascii="宋体" w:hAnsi="宋体" w:eastAsia="宋体" w:cs="宋体"/>
          <w:bCs/>
          <w:color w:val="auto"/>
          <w:szCs w:val="21"/>
          <w:u w:val="single"/>
        </w:rPr>
      </w:pPr>
      <w:r>
        <w:rPr>
          <w:rFonts w:hint="eastAsia" w:ascii="宋体" w:hAnsi="宋体" w:eastAsia="宋体" w:cs="宋体"/>
          <w:bCs/>
          <w:color w:val="auto"/>
          <w:szCs w:val="21"/>
        </w:rPr>
        <w:t>供应商[公章(CA签章)、属自然人的应签名并加盖大拇指指印或个人CA签章]：</w:t>
      </w:r>
      <w:r>
        <w:rPr>
          <w:rFonts w:hint="eastAsia" w:ascii="宋体" w:hAnsi="宋体" w:eastAsia="宋体" w:cs="宋体"/>
          <w:color w:val="auto"/>
          <w:szCs w:val="21"/>
          <w:u w:val="single"/>
        </w:rPr>
        <w:t xml:space="preserve">                                   　　　 </w:t>
      </w:r>
    </w:p>
    <w:p w14:paraId="7CFEE782">
      <w:pPr>
        <w:pStyle w:val="10"/>
        <w:spacing w:line="320" w:lineRule="exact"/>
        <w:ind w:firstLine="420"/>
        <w:rPr>
          <w:rFonts w:hint="eastAsia" w:ascii="宋体" w:hAnsi="宋体" w:eastAsia="宋体" w:cs="宋体"/>
          <w:color w:val="auto"/>
          <w:szCs w:val="21"/>
          <w:u w:val="single"/>
        </w:rPr>
      </w:pPr>
      <w:r>
        <w:rPr>
          <w:rFonts w:hint="eastAsia" w:ascii="宋体" w:hAnsi="宋体" w:eastAsia="宋体" w:cs="宋体"/>
          <w:color w:val="auto"/>
          <w:szCs w:val="21"/>
        </w:rPr>
        <w:t>法定代表人、负责人、自然人或相应的委托代理人签字[或盖章(CA签章)]（属自然人的应在签名处加盖大拇指指印或个人CA签章）：</w:t>
      </w:r>
      <w:r>
        <w:rPr>
          <w:rFonts w:hint="eastAsia" w:ascii="宋体" w:hAnsi="宋体" w:eastAsia="宋体" w:cs="宋体"/>
          <w:color w:val="auto"/>
          <w:szCs w:val="21"/>
          <w:u w:val="single"/>
        </w:rPr>
        <w:t xml:space="preserve">                                   　               </w:t>
      </w:r>
    </w:p>
    <w:p w14:paraId="1C808DB2">
      <w:pPr>
        <w:pStyle w:val="10"/>
        <w:spacing w:line="320" w:lineRule="exact"/>
        <w:ind w:firstLine="420"/>
        <w:rPr>
          <w:rFonts w:hint="eastAsia" w:ascii="宋体" w:hAnsi="宋体" w:eastAsia="宋体" w:cs="宋体"/>
          <w:color w:val="auto"/>
          <w:szCs w:val="21"/>
          <w:u w:val="single"/>
        </w:rPr>
      </w:pPr>
      <w:r>
        <w:rPr>
          <w:rFonts w:hint="eastAsia" w:ascii="宋体" w:hAnsi="宋体" w:eastAsia="宋体" w:cs="宋体"/>
          <w:bCs/>
          <w:color w:val="auto"/>
          <w:szCs w:val="21"/>
        </w:rPr>
        <w:t>响应</w:t>
      </w: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p>
    <w:p w14:paraId="617239CB">
      <w:pPr>
        <w:pStyle w:val="5"/>
        <w:ind w:left="2940"/>
        <w:rPr>
          <w:rFonts w:hint="eastAsia" w:ascii="宋体" w:hAnsi="宋体" w:eastAsia="宋体" w:cs="宋体"/>
          <w:color w:val="auto"/>
          <w:szCs w:val="21"/>
          <w:u w:val="single"/>
        </w:rPr>
      </w:pPr>
    </w:p>
    <w:p w14:paraId="007BEB0C">
      <w:pPr>
        <w:rPr>
          <w:rFonts w:hint="eastAsia" w:ascii="宋体" w:hAnsi="宋体" w:eastAsia="宋体" w:cs="宋体"/>
          <w:color w:val="auto"/>
          <w:szCs w:val="21"/>
          <w:u w:val="single"/>
        </w:rPr>
      </w:pPr>
    </w:p>
    <w:p w14:paraId="1533E766">
      <w:pPr>
        <w:pStyle w:val="10"/>
        <w:spacing w:line="340" w:lineRule="exact"/>
        <w:rPr>
          <w:rFonts w:hint="eastAsia" w:ascii="宋体" w:hAnsi="宋体" w:eastAsia="宋体" w:cs="宋体"/>
          <w:b/>
          <w:color w:val="auto"/>
          <w:sz w:val="28"/>
          <w:szCs w:val="28"/>
        </w:rPr>
      </w:pPr>
    </w:p>
    <w:p w14:paraId="0E73555A">
      <w:pPr>
        <w:pStyle w:val="10"/>
        <w:spacing w:line="340" w:lineRule="exact"/>
        <w:rPr>
          <w:rFonts w:hint="eastAsia" w:ascii="宋体" w:hAnsi="宋体" w:eastAsia="宋体" w:cs="宋体"/>
          <w:b/>
          <w:color w:val="auto"/>
          <w:sz w:val="28"/>
          <w:szCs w:val="28"/>
        </w:rPr>
      </w:pPr>
    </w:p>
    <w:p w14:paraId="736B1BC3">
      <w:pPr>
        <w:pStyle w:val="10"/>
        <w:spacing w:line="340" w:lineRule="exact"/>
        <w:rPr>
          <w:rFonts w:hint="eastAsia" w:ascii="宋体" w:hAnsi="宋体" w:eastAsia="宋体" w:cs="宋体"/>
          <w:b/>
          <w:color w:val="auto"/>
          <w:sz w:val="28"/>
          <w:szCs w:val="28"/>
        </w:rPr>
      </w:pPr>
    </w:p>
    <w:p w14:paraId="489D731B">
      <w:pPr>
        <w:pStyle w:val="10"/>
        <w:spacing w:line="340" w:lineRule="exact"/>
        <w:jc w:val="center"/>
        <w:rPr>
          <w:rFonts w:hint="eastAsia" w:ascii="宋体" w:hAnsi="宋体" w:eastAsia="宋体" w:cs="宋体"/>
          <w:b/>
          <w:color w:val="auto"/>
          <w:sz w:val="28"/>
          <w:szCs w:val="28"/>
        </w:rPr>
      </w:pPr>
    </w:p>
    <w:p w14:paraId="4DDF7712">
      <w:pPr>
        <w:pStyle w:val="5"/>
        <w:ind w:left="2940"/>
        <w:rPr>
          <w:rFonts w:hint="eastAsia" w:ascii="宋体" w:hAnsi="宋体" w:eastAsia="宋体" w:cs="宋体"/>
          <w:color w:val="auto"/>
        </w:rPr>
      </w:pPr>
    </w:p>
    <w:p w14:paraId="6FD0ABE1">
      <w:pPr>
        <w:pStyle w:val="10"/>
        <w:spacing w:line="340" w:lineRule="exact"/>
        <w:rPr>
          <w:rFonts w:hint="eastAsia" w:ascii="宋体" w:hAnsi="宋体" w:eastAsia="宋体" w:cs="宋体"/>
          <w:b/>
          <w:color w:val="auto"/>
          <w:sz w:val="28"/>
          <w:szCs w:val="28"/>
        </w:rPr>
      </w:pPr>
    </w:p>
    <w:p w14:paraId="0F4D4DC0">
      <w:pPr>
        <w:pStyle w:val="10"/>
        <w:spacing w:line="340" w:lineRule="exact"/>
        <w:rPr>
          <w:rFonts w:hint="eastAsia" w:ascii="宋体" w:hAnsi="宋体" w:eastAsia="宋体" w:cs="宋体"/>
          <w:b/>
          <w:color w:val="auto"/>
          <w:sz w:val="28"/>
          <w:szCs w:val="28"/>
        </w:rPr>
      </w:pPr>
    </w:p>
    <w:p w14:paraId="3BF758D1">
      <w:pPr>
        <w:pStyle w:val="10"/>
        <w:spacing w:line="340" w:lineRule="exact"/>
        <w:rPr>
          <w:rFonts w:hint="eastAsia" w:ascii="宋体" w:hAnsi="宋体" w:eastAsia="宋体" w:cs="宋体"/>
          <w:color w:val="auto"/>
        </w:rPr>
      </w:pPr>
      <w:r>
        <w:rPr>
          <w:rFonts w:hint="eastAsia" w:ascii="宋体" w:hAnsi="宋体" w:eastAsia="宋体" w:cs="宋体"/>
          <w:b/>
          <w:color w:val="auto"/>
          <w:sz w:val="28"/>
          <w:szCs w:val="28"/>
        </w:rPr>
        <w:t>2.磋商报价表（必须提供）；</w:t>
      </w:r>
    </w:p>
    <w:p w14:paraId="2DFF884D">
      <w:pPr>
        <w:pStyle w:val="10"/>
        <w:spacing w:line="320" w:lineRule="exact"/>
        <w:jc w:val="left"/>
        <w:rPr>
          <w:rFonts w:hint="eastAsia" w:ascii="宋体" w:hAnsi="宋体" w:eastAsia="宋体" w:cs="宋体"/>
          <w:b/>
          <w:color w:val="auto"/>
          <w:sz w:val="28"/>
          <w:szCs w:val="28"/>
        </w:rPr>
      </w:pPr>
    </w:p>
    <w:p w14:paraId="32EC9BFC">
      <w:pPr>
        <w:widowControl/>
        <w:jc w:val="center"/>
        <w:rPr>
          <w:rFonts w:hint="eastAsia" w:ascii="宋体" w:hAnsi="宋体" w:eastAsia="宋体" w:cs="宋体"/>
          <w:b/>
          <w:color w:val="auto"/>
          <w:kern w:val="0"/>
          <w:sz w:val="24"/>
        </w:rPr>
      </w:pPr>
      <w:r>
        <w:rPr>
          <w:rFonts w:hint="eastAsia" w:ascii="宋体" w:hAnsi="宋体" w:eastAsia="宋体" w:cs="宋体"/>
          <w:b/>
          <w:color w:val="auto"/>
          <w:kern w:val="0"/>
          <w:sz w:val="24"/>
        </w:rPr>
        <w:t>磋商报价表（格式）</w:t>
      </w:r>
    </w:p>
    <w:p w14:paraId="39FD3124">
      <w:pPr>
        <w:widowControl/>
        <w:jc w:val="center"/>
        <w:rPr>
          <w:rFonts w:hint="eastAsia" w:ascii="宋体" w:hAnsi="宋体" w:eastAsia="宋体" w:cs="宋体"/>
          <w:color w:val="auto"/>
          <w:kern w:val="0"/>
          <w:sz w:val="24"/>
        </w:rPr>
      </w:pPr>
    </w:p>
    <w:tbl>
      <w:tblPr>
        <w:tblStyle w:val="18"/>
        <w:tblW w:w="98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7"/>
        <w:gridCol w:w="1056"/>
        <w:gridCol w:w="3571"/>
        <w:gridCol w:w="747"/>
        <w:gridCol w:w="495"/>
        <w:gridCol w:w="846"/>
        <w:gridCol w:w="1251"/>
        <w:gridCol w:w="1251"/>
      </w:tblGrid>
      <w:tr w14:paraId="1A9CE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637" w:type="dxa"/>
            <w:tcBorders>
              <w:top w:val="single" w:color="auto" w:sz="4" w:space="0"/>
              <w:left w:val="single" w:color="auto" w:sz="4" w:space="0"/>
              <w:bottom w:val="single" w:color="auto" w:sz="4" w:space="0"/>
              <w:right w:val="single" w:color="auto" w:sz="4" w:space="0"/>
            </w:tcBorders>
            <w:vAlign w:val="center"/>
          </w:tcPr>
          <w:p w14:paraId="4E793333">
            <w:pPr>
              <w:spacing w:line="260" w:lineRule="exact"/>
              <w:jc w:val="center"/>
              <w:rPr>
                <w:rFonts w:hint="eastAsia" w:ascii="宋体" w:hAnsi="宋体" w:eastAsia="宋体" w:cs="宋体"/>
                <w:b/>
                <w:bCs/>
                <w:color w:val="auto"/>
              </w:rPr>
            </w:pPr>
            <w:r>
              <w:rPr>
                <w:rFonts w:hint="eastAsia" w:ascii="宋体" w:hAnsi="宋体" w:eastAsia="宋体" w:cs="宋体"/>
                <w:b/>
                <w:bCs/>
                <w:color w:val="auto"/>
              </w:rPr>
              <w:t>项号</w:t>
            </w:r>
          </w:p>
        </w:tc>
        <w:tc>
          <w:tcPr>
            <w:tcW w:w="1056" w:type="dxa"/>
            <w:tcBorders>
              <w:top w:val="single" w:color="auto" w:sz="4" w:space="0"/>
              <w:left w:val="single" w:color="auto" w:sz="4" w:space="0"/>
              <w:bottom w:val="single" w:color="auto" w:sz="4" w:space="0"/>
              <w:right w:val="single" w:color="auto" w:sz="4" w:space="0"/>
            </w:tcBorders>
            <w:vAlign w:val="center"/>
          </w:tcPr>
          <w:p w14:paraId="13A8BC05">
            <w:pPr>
              <w:spacing w:line="260" w:lineRule="exact"/>
              <w:jc w:val="center"/>
              <w:rPr>
                <w:rFonts w:hint="eastAsia" w:ascii="宋体" w:hAnsi="宋体" w:eastAsia="宋体" w:cs="宋体"/>
                <w:b/>
                <w:bCs/>
                <w:color w:val="auto"/>
              </w:rPr>
            </w:pPr>
            <w:r>
              <w:rPr>
                <w:rFonts w:hint="eastAsia" w:ascii="宋体" w:hAnsi="宋体" w:eastAsia="宋体" w:cs="宋体"/>
                <w:b/>
                <w:bCs/>
                <w:color w:val="auto"/>
              </w:rPr>
              <w:t>服务名称</w:t>
            </w:r>
          </w:p>
        </w:tc>
        <w:tc>
          <w:tcPr>
            <w:tcW w:w="3571" w:type="dxa"/>
            <w:tcBorders>
              <w:top w:val="single" w:color="auto" w:sz="4" w:space="0"/>
              <w:left w:val="single" w:color="auto" w:sz="4" w:space="0"/>
              <w:bottom w:val="single" w:color="auto" w:sz="4" w:space="0"/>
              <w:right w:val="single" w:color="auto" w:sz="4" w:space="0"/>
            </w:tcBorders>
            <w:vAlign w:val="center"/>
          </w:tcPr>
          <w:p w14:paraId="20ED3CEB">
            <w:pPr>
              <w:spacing w:line="260" w:lineRule="exact"/>
              <w:jc w:val="center"/>
              <w:rPr>
                <w:rFonts w:hint="eastAsia" w:ascii="宋体" w:hAnsi="宋体" w:eastAsia="宋体" w:cs="宋体"/>
                <w:b/>
                <w:bCs/>
                <w:color w:val="auto"/>
              </w:rPr>
            </w:pPr>
            <w:r>
              <w:rPr>
                <w:rFonts w:hint="eastAsia" w:ascii="宋体" w:hAnsi="宋体" w:eastAsia="宋体" w:cs="宋体"/>
                <w:b/>
                <w:bCs/>
                <w:color w:val="auto"/>
              </w:rPr>
              <w:t>服务内容</w:t>
            </w:r>
          </w:p>
        </w:tc>
        <w:tc>
          <w:tcPr>
            <w:tcW w:w="747" w:type="dxa"/>
            <w:tcBorders>
              <w:top w:val="single" w:color="auto" w:sz="4" w:space="0"/>
              <w:left w:val="single" w:color="auto" w:sz="4" w:space="0"/>
              <w:bottom w:val="single" w:color="auto" w:sz="4" w:space="0"/>
              <w:right w:val="single" w:color="auto" w:sz="4" w:space="0"/>
            </w:tcBorders>
            <w:vAlign w:val="center"/>
          </w:tcPr>
          <w:p w14:paraId="7415DEEB">
            <w:pPr>
              <w:spacing w:line="260" w:lineRule="exact"/>
              <w:jc w:val="center"/>
              <w:rPr>
                <w:rFonts w:hint="eastAsia" w:ascii="宋体" w:hAnsi="宋体" w:eastAsia="宋体" w:cs="宋体"/>
                <w:b/>
                <w:bCs/>
                <w:color w:val="auto"/>
              </w:rPr>
            </w:pPr>
            <w:r>
              <w:rPr>
                <w:rFonts w:hint="eastAsia" w:ascii="宋体" w:hAnsi="宋体" w:eastAsia="宋体" w:cs="宋体"/>
                <w:b/>
                <w:bCs/>
                <w:color w:val="auto"/>
              </w:rPr>
              <w:t>数量</w:t>
            </w:r>
          </w:p>
          <w:p w14:paraId="3C2C1BDE">
            <w:pPr>
              <w:spacing w:line="260" w:lineRule="exact"/>
              <w:jc w:val="center"/>
              <w:rPr>
                <w:rFonts w:hint="eastAsia" w:ascii="宋体" w:hAnsi="宋体" w:eastAsia="宋体" w:cs="宋体"/>
                <w:b/>
                <w:bCs/>
                <w:color w:val="auto"/>
              </w:rPr>
            </w:pPr>
            <w:r>
              <w:rPr>
                <w:rFonts w:hint="eastAsia" w:ascii="宋体" w:hAnsi="宋体" w:eastAsia="宋体" w:cs="宋体"/>
                <w:b/>
                <w:bCs/>
                <w:color w:val="auto"/>
                <w:szCs w:val="21"/>
              </w:rPr>
              <w:t>①</w:t>
            </w:r>
          </w:p>
        </w:tc>
        <w:tc>
          <w:tcPr>
            <w:tcW w:w="495" w:type="dxa"/>
            <w:tcBorders>
              <w:top w:val="single" w:color="auto" w:sz="4" w:space="0"/>
              <w:left w:val="single" w:color="auto" w:sz="4" w:space="0"/>
              <w:bottom w:val="single" w:color="auto" w:sz="4" w:space="0"/>
              <w:right w:val="single" w:color="auto" w:sz="4" w:space="0"/>
            </w:tcBorders>
            <w:vAlign w:val="center"/>
          </w:tcPr>
          <w:p w14:paraId="4C1CDB9E">
            <w:pPr>
              <w:spacing w:line="260" w:lineRule="exact"/>
              <w:jc w:val="center"/>
              <w:rPr>
                <w:rFonts w:hint="eastAsia" w:ascii="宋体" w:hAnsi="宋体" w:eastAsia="宋体" w:cs="宋体"/>
                <w:b/>
                <w:bCs/>
                <w:color w:val="auto"/>
              </w:rPr>
            </w:pPr>
            <w:r>
              <w:rPr>
                <w:rFonts w:hint="eastAsia" w:ascii="宋体" w:hAnsi="宋体" w:eastAsia="宋体" w:cs="宋体"/>
                <w:b/>
                <w:bCs/>
                <w:color w:val="auto"/>
              </w:rPr>
              <w:t>单位</w:t>
            </w:r>
          </w:p>
        </w:tc>
        <w:tc>
          <w:tcPr>
            <w:tcW w:w="846" w:type="dxa"/>
            <w:tcBorders>
              <w:top w:val="single" w:color="auto" w:sz="4" w:space="0"/>
              <w:left w:val="single" w:color="auto" w:sz="4" w:space="0"/>
              <w:bottom w:val="single" w:color="auto" w:sz="4" w:space="0"/>
              <w:right w:val="single" w:color="auto" w:sz="4" w:space="0"/>
            </w:tcBorders>
            <w:vAlign w:val="center"/>
          </w:tcPr>
          <w:p w14:paraId="2AA5B56D">
            <w:pPr>
              <w:spacing w:line="260" w:lineRule="exact"/>
              <w:jc w:val="center"/>
              <w:rPr>
                <w:rFonts w:hint="eastAsia" w:ascii="宋体" w:hAnsi="宋体" w:eastAsia="宋体" w:cs="宋体"/>
                <w:b/>
                <w:bCs/>
                <w:color w:val="auto"/>
              </w:rPr>
            </w:pPr>
            <w:r>
              <w:rPr>
                <w:rFonts w:hint="eastAsia" w:ascii="宋体" w:hAnsi="宋体" w:eastAsia="宋体" w:cs="宋体"/>
                <w:b/>
                <w:bCs/>
                <w:color w:val="auto"/>
              </w:rPr>
              <w:t>单价（元）</w:t>
            </w:r>
          </w:p>
          <w:p w14:paraId="7B79340C">
            <w:pPr>
              <w:spacing w:line="260" w:lineRule="exact"/>
              <w:jc w:val="center"/>
              <w:rPr>
                <w:rFonts w:hint="eastAsia" w:ascii="宋体" w:hAnsi="宋体" w:eastAsia="宋体" w:cs="宋体"/>
                <w:b/>
                <w:bCs/>
                <w:color w:val="auto"/>
              </w:rPr>
            </w:pPr>
            <w:r>
              <w:rPr>
                <w:rFonts w:hint="eastAsia" w:ascii="宋体" w:hAnsi="宋体" w:eastAsia="宋体" w:cs="宋体"/>
                <w:b/>
                <w:bCs/>
                <w:color w:val="auto"/>
                <w:szCs w:val="21"/>
              </w:rPr>
              <w:t>②</w:t>
            </w:r>
          </w:p>
        </w:tc>
        <w:tc>
          <w:tcPr>
            <w:tcW w:w="1251" w:type="dxa"/>
            <w:tcBorders>
              <w:top w:val="single" w:color="auto" w:sz="4" w:space="0"/>
              <w:left w:val="single" w:color="auto" w:sz="4" w:space="0"/>
              <w:bottom w:val="single" w:color="auto" w:sz="4" w:space="0"/>
            </w:tcBorders>
            <w:vAlign w:val="center"/>
          </w:tcPr>
          <w:p w14:paraId="5EC2CC5F">
            <w:pPr>
              <w:spacing w:line="260" w:lineRule="exact"/>
              <w:jc w:val="center"/>
              <w:rPr>
                <w:rFonts w:hint="eastAsia" w:ascii="宋体" w:hAnsi="宋体" w:eastAsia="宋体" w:cs="宋体"/>
                <w:b/>
                <w:bCs/>
                <w:color w:val="auto"/>
              </w:rPr>
            </w:pPr>
            <w:r>
              <w:rPr>
                <w:rFonts w:hint="eastAsia" w:ascii="宋体" w:hAnsi="宋体" w:eastAsia="宋体" w:cs="宋体"/>
                <w:b/>
                <w:bCs/>
                <w:color w:val="auto"/>
              </w:rPr>
              <w:t>单项合计=数量×单价</w:t>
            </w:r>
          </w:p>
          <w:p w14:paraId="7F1FE228">
            <w:pPr>
              <w:spacing w:line="260" w:lineRule="exact"/>
              <w:jc w:val="center"/>
              <w:rPr>
                <w:rFonts w:hint="eastAsia" w:ascii="宋体" w:hAnsi="宋体" w:eastAsia="宋体" w:cs="宋体"/>
                <w:b/>
                <w:bCs/>
                <w:color w:val="auto"/>
              </w:rPr>
            </w:pPr>
            <w:r>
              <w:rPr>
                <w:rFonts w:hint="eastAsia" w:ascii="宋体" w:hAnsi="宋体" w:eastAsia="宋体" w:cs="宋体"/>
                <w:b/>
                <w:bCs/>
                <w:color w:val="auto"/>
                <w:szCs w:val="21"/>
              </w:rPr>
              <w:t>③＝①×②</w:t>
            </w:r>
          </w:p>
        </w:tc>
        <w:tc>
          <w:tcPr>
            <w:tcW w:w="1251" w:type="dxa"/>
            <w:tcBorders>
              <w:top w:val="single" w:color="auto" w:sz="4" w:space="0"/>
              <w:left w:val="single" w:color="auto" w:sz="4" w:space="0"/>
              <w:bottom w:val="single" w:color="auto" w:sz="4" w:space="0"/>
            </w:tcBorders>
            <w:vAlign w:val="center"/>
          </w:tcPr>
          <w:p w14:paraId="371F2427">
            <w:pPr>
              <w:spacing w:line="260" w:lineRule="exact"/>
              <w:jc w:val="center"/>
              <w:rPr>
                <w:rFonts w:hint="eastAsia" w:ascii="宋体" w:hAnsi="宋体" w:eastAsia="宋体" w:cs="宋体"/>
                <w:b/>
                <w:bCs/>
                <w:color w:val="auto"/>
              </w:rPr>
            </w:pPr>
            <w:r>
              <w:rPr>
                <w:rFonts w:hint="eastAsia" w:ascii="宋体" w:hAnsi="宋体" w:eastAsia="宋体" w:cs="宋体"/>
                <w:b/>
                <w:bCs/>
                <w:color w:val="auto"/>
              </w:rPr>
              <w:t>备注</w:t>
            </w:r>
          </w:p>
        </w:tc>
      </w:tr>
      <w:tr w14:paraId="7ADFD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9" w:hRule="atLeast"/>
        </w:trPr>
        <w:tc>
          <w:tcPr>
            <w:tcW w:w="637" w:type="dxa"/>
            <w:tcBorders>
              <w:top w:val="single" w:color="auto" w:sz="4" w:space="0"/>
              <w:left w:val="single" w:color="auto" w:sz="4" w:space="0"/>
              <w:right w:val="single" w:color="auto" w:sz="4" w:space="0"/>
            </w:tcBorders>
            <w:vAlign w:val="center"/>
          </w:tcPr>
          <w:p w14:paraId="673A8D8F">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056" w:type="dxa"/>
            <w:tcBorders>
              <w:top w:val="single" w:color="auto" w:sz="4" w:space="0"/>
              <w:left w:val="single" w:color="auto" w:sz="4" w:space="0"/>
              <w:bottom w:val="single" w:color="auto" w:sz="4" w:space="0"/>
              <w:right w:val="single" w:color="auto" w:sz="4" w:space="0"/>
            </w:tcBorders>
            <w:vAlign w:val="center"/>
          </w:tcPr>
          <w:p w14:paraId="273F91C1">
            <w:pPr>
              <w:spacing w:line="440" w:lineRule="exact"/>
              <w:jc w:val="center"/>
              <w:rPr>
                <w:rFonts w:hint="eastAsia" w:ascii="宋体" w:hAnsi="宋体" w:eastAsia="宋体" w:cs="宋体"/>
                <w:color w:val="auto"/>
              </w:rPr>
            </w:pPr>
          </w:p>
        </w:tc>
        <w:tc>
          <w:tcPr>
            <w:tcW w:w="3571" w:type="dxa"/>
            <w:tcBorders>
              <w:top w:val="single" w:color="auto" w:sz="4" w:space="0"/>
              <w:left w:val="single" w:color="auto" w:sz="4" w:space="0"/>
              <w:bottom w:val="single" w:color="auto" w:sz="4" w:space="0"/>
              <w:right w:val="single" w:color="auto" w:sz="4" w:space="0"/>
            </w:tcBorders>
            <w:vAlign w:val="center"/>
          </w:tcPr>
          <w:p w14:paraId="760EA06B">
            <w:pPr>
              <w:spacing w:line="440" w:lineRule="exact"/>
              <w:jc w:val="center"/>
              <w:rPr>
                <w:rFonts w:hint="eastAsia" w:ascii="宋体" w:hAnsi="宋体" w:eastAsia="宋体" w:cs="宋体"/>
                <w:color w:val="auto"/>
              </w:rPr>
            </w:pPr>
          </w:p>
          <w:p w14:paraId="41B8F8E8">
            <w:pPr>
              <w:spacing w:line="440" w:lineRule="exact"/>
              <w:jc w:val="center"/>
              <w:rPr>
                <w:rFonts w:hint="eastAsia" w:ascii="宋体" w:hAnsi="宋体" w:eastAsia="宋体" w:cs="宋体"/>
                <w:color w:val="auto"/>
              </w:rPr>
            </w:pPr>
          </w:p>
          <w:p w14:paraId="2DA98267">
            <w:pPr>
              <w:spacing w:line="440" w:lineRule="exact"/>
              <w:jc w:val="center"/>
              <w:rPr>
                <w:rFonts w:hint="eastAsia" w:ascii="宋体" w:hAnsi="宋体" w:eastAsia="宋体" w:cs="宋体"/>
                <w:color w:val="auto"/>
              </w:rPr>
            </w:pPr>
          </w:p>
        </w:tc>
        <w:tc>
          <w:tcPr>
            <w:tcW w:w="747" w:type="dxa"/>
            <w:tcBorders>
              <w:top w:val="single" w:color="auto" w:sz="4" w:space="0"/>
              <w:left w:val="single" w:color="auto" w:sz="4" w:space="0"/>
              <w:bottom w:val="single" w:color="auto" w:sz="4" w:space="0"/>
              <w:right w:val="single" w:color="auto" w:sz="4" w:space="0"/>
            </w:tcBorders>
            <w:vAlign w:val="center"/>
          </w:tcPr>
          <w:p w14:paraId="4A607B4B">
            <w:pPr>
              <w:spacing w:line="440" w:lineRule="exact"/>
              <w:jc w:val="center"/>
              <w:rPr>
                <w:rFonts w:hint="eastAsia" w:ascii="宋体" w:hAnsi="宋体" w:eastAsia="宋体" w:cs="宋体"/>
                <w:color w:val="auto"/>
                <w:szCs w:val="21"/>
              </w:rPr>
            </w:pPr>
          </w:p>
        </w:tc>
        <w:tc>
          <w:tcPr>
            <w:tcW w:w="495" w:type="dxa"/>
            <w:tcBorders>
              <w:top w:val="single" w:color="auto" w:sz="4" w:space="0"/>
              <w:left w:val="single" w:color="auto" w:sz="4" w:space="0"/>
              <w:bottom w:val="single" w:color="auto" w:sz="4" w:space="0"/>
              <w:right w:val="single" w:color="auto" w:sz="4" w:space="0"/>
            </w:tcBorders>
            <w:vAlign w:val="center"/>
          </w:tcPr>
          <w:p w14:paraId="196714E1">
            <w:pPr>
              <w:spacing w:line="440" w:lineRule="exact"/>
              <w:jc w:val="center"/>
              <w:rPr>
                <w:rFonts w:hint="eastAsia" w:ascii="宋体" w:hAnsi="宋体" w:eastAsia="宋体" w:cs="宋体"/>
                <w:color w:val="auto"/>
                <w:szCs w:val="21"/>
              </w:rPr>
            </w:pPr>
          </w:p>
        </w:tc>
        <w:tc>
          <w:tcPr>
            <w:tcW w:w="846" w:type="dxa"/>
            <w:tcBorders>
              <w:top w:val="single" w:color="auto" w:sz="4" w:space="0"/>
              <w:left w:val="single" w:color="auto" w:sz="4" w:space="0"/>
              <w:bottom w:val="single" w:color="auto" w:sz="4" w:space="0"/>
              <w:right w:val="single" w:color="auto" w:sz="4" w:space="0"/>
            </w:tcBorders>
            <w:vAlign w:val="center"/>
          </w:tcPr>
          <w:p w14:paraId="7BE590C1">
            <w:pPr>
              <w:spacing w:line="440" w:lineRule="exact"/>
              <w:jc w:val="center"/>
              <w:rPr>
                <w:rFonts w:hint="eastAsia" w:ascii="宋体" w:hAnsi="宋体" w:eastAsia="宋体" w:cs="宋体"/>
                <w:b/>
                <w:bCs/>
                <w:color w:val="auto"/>
              </w:rPr>
            </w:pPr>
          </w:p>
        </w:tc>
        <w:tc>
          <w:tcPr>
            <w:tcW w:w="1251" w:type="dxa"/>
            <w:tcBorders>
              <w:top w:val="single" w:color="auto" w:sz="4" w:space="0"/>
              <w:left w:val="single" w:color="auto" w:sz="4" w:space="0"/>
              <w:bottom w:val="single" w:color="auto" w:sz="4" w:space="0"/>
            </w:tcBorders>
            <w:vAlign w:val="center"/>
          </w:tcPr>
          <w:p w14:paraId="38F773FE">
            <w:pPr>
              <w:spacing w:line="440" w:lineRule="exact"/>
              <w:jc w:val="center"/>
              <w:rPr>
                <w:rFonts w:hint="eastAsia" w:ascii="宋体" w:hAnsi="宋体" w:eastAsia="宋体" w:cs="宋体"/>
                <w:b/>
                <w:bCs/>
                <w:color w:val="auto"/>
              </w:rPr>
            </w:pPr>
          </w:p>
        </w:tc>
        <w:tc>
          <w:tcPr>
            <w:tcW w:w="1251" w:type="dxa"/>
            <w:tcBorders>
              <w:top w:val="single" w:color="auto" w:sz="4" w:space="0"/>
              <w:left w:val="single" w:color="auto" w:sz="4" w:space="0"/>
              <w:bottom w:val="single" w:color="auto" w:sz="4" w:space="0"/>
            </w:tcBorders>
            <w:vAlign w:val="center"/>
          </w:tcPr>
          <w:p w14:paraId="3029A540">
            <w:pPr>
              <w:spacing w:line="440" w:lineRule="exact"/>
              <w:jc w:val="center"/>
              <w:rPr>
                <w:rFonts w:hint="eastAsia" w:ascii="宋体" w:hAnsi="宋体" w:eastAsia="宋体" w:cs="宋体"/>
                <w:bCs/>
                <w:color w:val="auto"/>
              </w:rPr>
            </w:pPr>
          </w:p>
        </w:tc>
      </w:tr>
      <w:tr w14:paraId="03672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637" w:type="dxa"/>
            <w:tcBorders>
              <w:top w:val="single" w:color="auto" w:sz="4" w:space="0"/>
              <w:left w:val="single" w:color="auto" w:sz="4" w:space="0"/>
              <w:right w:val="single" w:color="auto" w:sz="4" w:space="0"/>
            </w:tcBorders>
            <w:vAlign w:val="center"/>
          </w:tcPr>
          <w:p w14:paraId="38E1BE6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056" w:type="dxa"/>
            <w:tcBorders>
              <w:top w:val="single" w:color="auto" w:sz="4" w:space="0"/>
              <w:left w:val="single" w:color="auto" w:sz="4" w:space="0"/>
              <w:bottom w:val="single" w:color="auto" w:sz="4" w:space="0"/>
              <w:right w:val="single" w:color="auto" w:sz="4" w:space="0"/>
            </w:tcBorders>
            <w:vAlign w:val="center"/>
          </w:tcPr>
          <w:p w14:paraId="6A8DFC1A">
            <w:pPr>
              <w:spacing w:line="440" w:lineRule="exact"/>
              <w:jc w:val="center"/>
              <w:rPr>
                <w:rFonts w:hint="eastAsia" w:ascii="宋体" w:hAnsi="宋体" w:eastAsia="宋体" w:cs="宋体"/>
                <w:color w:val="auto"/>
              </w:rPr>
            </w:pPr>
            <w:r>
              <w:rPr>
                <w:rFonts w:hint="eastAsia" w:ascii="宋体" w:hAnsi="宋体" w:eastAsia="宋体" w:cs="宋体"/>
                <w:color w:val="auto"/>
                <w:szCs w:val="21"/>
              </w:rPr>
              <w:t>……</w:t>
            </w:r>
          </w:p>
        </w:tc>
        <w:tc>
          <w:tcPr>
            <w:tcW w:w="3571" w:type="dxa"/>
            <w:tcBorders>
              <w:top w:val="single" w:color="auto" w:sz="4" w:space="0"/>
              <w:left w:val="single" w:color="auto" w:sz="4" w:space="0"/>
              <w:bottom w:val="single" w:color="auto" w:sz="4" w:space="0"/>
              <w:right w:val="single" w:color="auto" w:sz="4" w:space="0"/>
            </w:tcBorders>
            <w:vAlign w:val="center"/>
          </w:tcPr>
          <w:p w14:paraId="2E2CFA68">
            <w:pPr>
              <w:spacing w:line="440" w:lineRule="exact"/>
              <w:jc w:val="center"/>
              <w:rPr>
                <w:rFonts w:hint="eastAsia" w:ascii="宋体" w:hAnsi="宋体" w:eastAsia="宋体" w:cs="宋体"/>
                <w:color w:val="auto"/>
              </w:rPr>
            </w:pPr>
            <w:r>
              <w:rPr>
                <w:rFonts w:hint="eastAsia" w:ascii="宋体" w:hAnsi="宋体" w:eastAsia="宋体" w:cs="宋体"/>
                <w:color w:val="auto"/>
                <w:szCs w:val="21"/>
              </w:rPr>
              <w:t>……</w:t>
            </w:r>
          </w:p>
        </w:tc>
        <w:tc>
          <w:tcPr>
            <w:tcW w:w="747" w:type="dxa"/>
            <w:tcBorders>
              <w:top w:val="single" w:color="auto" w:sz="4" w:space="0"/>
              <w:left w:val="single" w:color="auto" w:sz="4" w:space="0"/>
              <w:bottom w:val="single" w:color="auto" w:sz="4" w:space="0"/>
              <w:right w:val="single" w:color="auto" w:sz="4" w:space="0"/>
            </w:tcBorders>
            <w:vAlign w:val="center"/>
          </w:tcPr>
          <w:p w14:paraId="63BB770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495" w:type="dxa"/>
            <w:tcBorders>
              <w:top w:val="single" w:color="auto" w:sz="4" w:space="0"/>
              <w:left w:val="single" w:color="auto" w:sz="4" w:space="0"/>
              <w:bottom w:val="single" w:color="auto" w:sz="4" w:space="0"/>
              <w:right w:val="single" w:color="auto" w:sz="4" w:space="0"/>
            </w:tcBorders>
            <w:vAlign w:val="center"/>
          </w:tcPr>
          <w:p w14:paraId="07F6B6A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846" w:type="dxa"/>
            <w:tcBorders>
              <w:top w:val="single" w:color="auto" w:sz="4" w:space="0"/>
              <w:left w:val="single" w:color="auto" w:sz="4" w:space="0"/>
              <w:bottom w:val="single" w:color="auto" w:sz="4" w:space="0"/>
              <w:right w:val="single" w:color="auto" w:sz="4" w:space="0"/>
            </w:tcBorders>
            <w:vAlign w:val="center"/>
          </w:tcPr>
          <w:p w14:paraId="7E4C50FB">
            <w:pPr>
              <w:spacing w:line="440" w:lineRule="exact"/>
              <w:jc w:val="center"/>
              <w:rPr>
                <w:rFonts w:hint="eastAsia" w:ascii="宋体" w:hAnsi="宋体" w:eastAsia="宋体" w:cs="宋体"/>
                <w:b/>
                <w:bCs/>
                <w:color w:val="auto"/>
              </w:rPr>
            </w:pPr>
            <w:r>
              <w:rPr>
                <w:rFonts w:hint="eastAsia" w:ascii="宋体" w:hAnsi="宋体" w:eastAsia="宋体" w:cs="宋体"/>
                <w:color w:val="auto"/>
                <w:szCs w:val="21"/>
              </w:rPr>
              <w:t>……</w:t>
            </w:r>
          </w:p>
        </w:tc>
        <w:tc>
          <w:tcPr>
            <w:tcW w:w="1251" w:type="dxa"/>
            <w:tcBorders>
              <w:top w:val="single" w:color="auto" w:sz="4" w:space="0"/>
              <w:left w:val="single" w:color="auto" w:sz="4" w:space="0"/>
              <w:bottom w:val="single" w:color="auto" w:sz="4" w:space="0"/>
            </w:tcBorders>
            <w:vAlign w:val="center"/>
          </w:tcPr>
          <w:p w14:paraId="56EA88D6">
            <w:pPr>
              <w:spacing w:line="440" w:lineRule="exact"/>
              <w:jc w:val="center"/>
              <w:rPr>
                <w:rFonts w:hint="eastAsia" w:ascii="宋体" w:hAnsi="宋体" w:eastAsia="宋体" w:cs="宋体"/>
                <w:b/>
                <w:bCs/>
                <w:color w:val="auto"/>
              </w:rPr>
            </w:pPr>
            <w:r>
              <w:rPr>
                <w:rFonts w:hint="eastAsia" w:ascii="宋体" w:hAnsi="宋体" w:eastAsia="宋体" w:cs="宋体"/>
                <w:color w:val="auto"/>
                <w:szCs w:val="21"/>
              </w:rPr>
              <w:t>……</w:t>
            </w:r>
          </w:p>
        </w:tc>
        <w:tc>
          <w:tcPr>
            <w:tcW w:w="1251" w:type="dxa"/>
            <w:tcBorders>
              <w:top w:val="single" w:color="auto" w:sz="4" w:space="0"/>
              <w:left w:val="single" w:color="auto" w:sz="4" w:space="0"/>
              <w:bottom w:val="single" w:color="auto" w:sz="4" w:space="0"/>
            </w:tcBorders>
            <w:vAlign w:val="center"/>
          </w:tcPr>
          <w:p w14:paraId="5B10B42D">
            <w:pPr>
              <w:spacing w:line="440" w:lineRule="exact"/>
              <w:jc w:val="center"/>
              <w:rPr>
                <w:rFonts w:hint="eastAsia" w:ascii="宋体" w:hAnsi="宋体" w:eastAsia="宋体" w:cs="宋体"/>
                <w:b/>
                <w:bCs/>
                <w:color w:val="auto"/>
              </w:rPr>
            </w:pPr>
            <w:r>
              <w:rPr>
                <w:rFonts w:hint="eastAsia" w:ascii="宋体" w:hAnsi="宋体" w:eastAsia="宋体" w:cs="宋体"/>
                <w:color w:val="auto"/>
                <w:szCs w:val="21"/>
              </w:rPr>
              <w:t>……</w:t>
            </w:r>
          </w:p>
        </w:tc>
      </w:tr>
      <w:tr w14:paraId="69DB7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854" w:type="dxa"/>
            <w:gridSpan w:val="8"/>
            <w:tcBorders>
              <w:top w:val="single" w:color="auto" w:sz="4" w:space="0"/>
              <w:left w:val="single" w:color="auto" w:sz="4" w:space="0"/>
              <w:bottom w:val="single" w:color="auto" w:sz="4" w:space="0"/>
            </w:tcBorders>
            <w:vAlign w:val="center"/>
          </w:tcPr>
          <w:p w14:paraId="039E1C9C">
            <w:pPr>
              <w:spacing w:line="440" w:lineRule="exact"/>
              <w:rPr>
                <w:rFonts w:hint="eastAsia" w:ascii="宋体" w:hAnsi="宋体" w:eastAsia="宋体" w:cs="宋体"/>
                <w:color w:val="auto"/>
                <w:spacing w:val="-6"/>
              </w:rPr>
            </w:pPr>
            <w:r>
              <w:rPr>
                <w:rFonts w:hint="eastAsia" w:ascii="宋体" w:hAnsi="宋体" w:eastAsia="宋体" w:cs="宋体"/>
                <w:color w:val="auto"/>
                <w:spacing w:val="-6"/>
              </w:rPr>
              <w:t>磋商报价人民币：（大写） （￥ ）</w:t>
            </w:r>
          </w:p>
        </w:tc>
      </w:tr>
      <w:tr w14:paraId="59614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854" w:type="dxa"/>
            <w:gridSpan w:val="8"/>
            <w:tcBorders>
              <w:top w:val="single" w:color="auto" w:sz="4" w:space="0"/>
              <w:left w:val="single" w:color="auto" w:sz="4" w:space="0"/>
              <w:bottom w:val="single" w:color="auto" w:sz="4" w:space="0"/>
            </w:tcBorders>
            <w:vAlign w:val="center"/>
          </w:tcPr>
          <w:p w14:paraId="5901F240">
            <w:pPr>
              <w:spacing w:line="300" w:lineRule="exact"/>
              <w:rPr>
                <w:rFonts w:hint="eastAsia" w:ascii="宋体" w:hAnsi="宋体" w:eastAsia="宋体" w:cs="宋体"/>
                <w:color w:val="auto"/>
                <w:spacing w:val="-6"/>
                <w:szCs w:val="21"/>
              </w:rPr>
            </w:pPr>
            <w:r>
              <w:rPr>
                <w:rFonts w:hint="eastAsia" w:ascii="宋体" w:hAnsi="宋体" w:eastAsia="宋体" w:cs="宋体"/>
                <w:color w:val="auto"/>
                <w:spacing w:val="-6"/>
                <w:szCs w:val="21"/>
              </w:rPr>
              <w:t>其中：</w:t>
            </w:r>
          </w:p>
          <w:p w14:paraId="4F00FF3B">
            <w:pPr>
              <w:spacing w:line="300" w:lineRule="exact"/>
              <w:rPr>
                <w:rFonts w:hint="eastAsia" w:ascii="宋体" w:hAnsi="宋体" w:eastAsia="宋体" w:cs="宋体"/>
                <w:color w:val="auto"/>
                <w:spacing w:val="-6"/>
                <w:szCs w:val="21"/>
              </w:rPr>
            </w:pPr>
            <w:r>
              <w:rPr>
                <w:rFonts w:hint="eastAsia" w:ascii="宋体" w:hAnsi="宋体" w:eastAsia="宋体" w:cs="宋体"/>
                <w:color w:val="auto"/>
                <w:spacing w:val="-6"/>
                <w:szCs w:val="21"/>
              </w:rPr>
              <w:t>属于财政部</w:t>
            </w:r>
            <w:r>
              <w:rPr>
                <w:rFonts w:hint="eastAsia" w:ascii="宋体" w:hAnsi="宋体" w:eastAsia="宋体" w:cs="宋体"/>
                <w:bCs/>
                <w:color w:val="auto"/>
              </w:rPr>
              <w:t>《节能产品政府采购品目清单》</w:t>
            </w:r>
            <w:r>
              <w:rPr>
                <w:rFonts w:hint="eastAsia" w:ascii="宋体" w:hAnsi="宋体" w:eastAsia="宋体" w:cs="宋体"/>
                <w:color w:val="auto"/>
                <w:spacing w:val="-6"/>
                <w:szCs w:val="21"/>
              </w:rPr>
              <w:t>内产品的总金额为人民币（大写）： 元（￥）；</w:t>
            </w:r>
          </w:p>
          <w:p w14:paraId="097C37FA">
            <w:pPr>
              <w:spacing w:line="300" w:lineRule="exact"/>
              <w:rPr>
                <w:rFonts w:hint="eastAsia" w:ascii="宋体" w:hAnsi="宋体" w:eastAsia="宋体" w:cs="宋体"/>
                <w:color w:val="auto"/>
                <w:spacing w:val="-6"/>
                <w:szCs w:val="21"/>
              </w:rPr>
            </w:pPr>
            <w:r>
              <w:rPr>
                <w:rFonts w:hint="eastAsia" w:ascii="宋体" w:hAnsi="宋体" w:eastAsia="宋体" w:cs="宋体"/>
                <w:color w:val="auto"/>
                <w:spacing w:val="-6"/>
                <w:szCs w:val="21"/>
              </w:rPr>
              <w:t>属于财政部</w:t>
            </w:r>
            <w:r>
              <w:rPr>
                <w:rFonts w:hint="eastAsia" w:ascii="宋体" w:hAnsi="宋体" w:eastAsia="宋体" w:cs="宋体"/>
                <w:bCs/>
                <w:color w:val="auto"/>
              </w:rPr>
              <w:t>《环境标志产品政府采购品目清单》</w:t>
            </w:r>
            <w:r>
              <w:rPr>
                <w:rFonts w:hint="eastAsia" w:ascii="宋体" w:hAnsi="宋体" w:eastAsia="宋体" w:cs="宋体"/>
                <w:color w:val="auto"/>
                <w:spacing w:val="-6"/>
                <w:szCs w:val="21"/>
              </w:rPr>
              <w:t>内产品的总金额为人民币（大写）：元（</w:t>
            </w:r>
            <w:r>
              <w:rPr>
                <w:rFonts w:hint="eastAsia" w:ascii="宋体" w:hAnsi="宋体" w:eastAsia="宋体" w:cs="宋体"/>
                <w:color w:val="auto"/>
                <w:spacing w:val="-6"/>
              </w:rPr>
              <w:t>￥</w:t>
            </w:r>
            <w:r>
              <w:rPr>
                <w:rFonts w:hint="eastAsia" w:ascii="宋体" w:hAnsi="宋体" w:eastAsia="宋体" w:cs="宋体"/>
                <w:color w:val="auto"/>
                <w:spacing w:val="-6"/>
                <w:szCs w:val="21"/>
              </w:rPr>
              <w:t>）。</w:t>
            </w:r>
          </w:p>
          <w:p w14:paraId="5DC3A546">
            <w:pPr>
              <w:spacing w:line="300" w:lineRule="exact"/>
              <w:rPr>
                <w:rFonts w:hint="eastAsia" w:ascii="宋体" w:hAnsi="宋体" w:eastAsia="宋体" w:cs="宋体"/>
                <w:color w:val="auto"/>
                <w:spacing w:val="-6"/>
                <w:szCs w:val="21"/>
              </w:rPr>
            </w:pPr>
            <w:r>
              <w:rPr>
                <w:rFonts w:hint="eastAsia" w:ascii="宋体" w:hAnsi="宋体" w:eastAsia="宋体" w:cs="宋体"/>
                <w:b/>
                <w:color w:val="auto"/>
                <w:spacing w:val="-6"/>
                <w:szCs w:val="21"/>
              </w:rPr>
              <w:t>备注：若不属于财政部《节能产品政府采购品目清单》及《环境标志产品政府采购品目清单》内产品的，则该处填写“无”字样。</w:t>
            </w:r>
          </w:p>
        </w:tc>
      </w:tr>
      <w:tr w14:paraId="7B428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854" w:type="dxa"/>
            <w:gridSpan w:val="8"/>
            <w:tcBorders>
              <w:top w:val="single" w:color="auto" w:sz="4" w:space="0"/>
              <w:left w:val="single" w:color="auto" w:sz="4" w:space="0"/>
              <w:bottom w:val="single" w:color="auto" w:sz="4" w:space="0"/>
            </w:tcBorders>
            <w:vAlign w:val="center"/>
          </w:tcPr>
          <w:p w14:paraId="53F3C94E">
            <w:pPr>
              <w:spacing w:line="300" w:lineRule="exact"/>
              <w:rPr>
                <w:rFonts w:hint="eastAsia" w:ascii="宋体" w:hAnsi="宋体" w:eastAsia="宋体" w:cs="宋体"/>
                <w:b/>
                <w:color w:val="auto"/>
              </w:rPr>
            </w:pPr>
            <w:r>
              <w:rPr>
                <w:rFonts w:hint="eastAsia" w:ascii="宋体" w:hAnsi="宋体" w:eastAsia="宋体" w:cs="宋体"/>
                <w:b/>
                <w:color w:val="auto"/>
              </w:rPr>
              <w:t>说明：</w:t>
            </w:r>
          </w:p>
          <w:p w14:paraId="2D8338BE">
            <w:pPr>
              <w:tabs>
                <w:tab w:val="left" w:pos="1305"/>
              </w:tabs>
              <w:spacing w:line="300" w:lineRule="exact"/>
              <w:rPr>
                <w:rFonts w:hint="eastAsia" w:ascii="宋体" w:hAnsi="宋体" w:eastAsia="宋体" w:cs="宋体"/>
                <w:color w:val="auto"/>
                <w:szCs w:val="21"/>
              </w:rPr>
            </w:pPr>
            <w:r>
              <w:rPr>
                <w:rFonts w:hint="eastAsia" w:ascii="宋体" w:hAnsi="宋体" w:eastAsia="宋体" w:cs="宋体"/>
                <w:color w:val="auto"/>
                <w:szCs w:val="21"/>
              </w:rPr>
              <w:t>1.磋商报价：磋商报价应包括本次招标采购范围内供应商须向采购人提供的一切设备、保险、税金、备品备件、工具、手册及其它有关技术资料和材料、人工、运输车辆、管理、验收全过程、税金、保险、利润、及其他一切项目实施涉及的不可预见的成本等所有费用的总和，采购人不再支付其他费用，供应商应综合考虑报价。</w:t>
            </w:r>
          </w:p>
          <w:p w14:paraId="63C45CF0">
            <w:pPr>
              <w:spacing w:line="300" w:lineRule="exact"/>
              <w:rPr>
                <w:rFonts w:hint="eastAsia" w:ascii="宋体" w:hAnsi="宋体" w:eastAsia="宋体" w:cs="宋体"/>
                <w:b/>
                <w:color w:val="auto"/>
              </w:rPr>
            </w:pPr>
            <w:r>
              <w:rPr>
                <w:rFonts w:hint="eastAsia" w:ascii="宋体" w:hAnsi="宋体" w:eastAsia="宋体" w:cs="宋体"/>
                <w:color w:val="auto"/>
                <w:kern w:val="0"/>
                <w:szCs w:val="21"/>
              </w:rPr>
              <w:t>2.供应商</w:t>
            </w:r>
            <w:r>
              <w:rPr>
                <w:rFonts w:hint="eastAsia" w:ascii="宋体" w:hAnsi="宋体" w:eastAsia="宋体" w:cs="宋体"/>
                <w:color w:val="auto"/>
                <w:szCs w:val="21"/>
              </w:rPr>
              <w:t>磋商</w:t>
            </w:r>
            <w:r>
              <w:rPr>
                <w:rFonts w:hint="eastAsia" w:ascii="宋体" w:hAnsi="宋体" w:eastAsia="宋体" w:cs="宋体"/>
                <w:color w:val="auto"/>
                <w:kern w:val="0"/>
                <w:szCs w:val="21"/>
              </w:rPr>
              <w:t>报价超出采购预算金额或最高限价的，响应文件按无效处理。</w:t>
            </w:r>
          </w:p>
        </w:tc>
      </w:tr>
    </w:tbl>
    <w:p w14:paraId="7DC393DA">
      <w:pPr>
        <w:spacing w:line="340" w:lineRule="exact"/>
        <w:rPr>
          <w:rFonts w:hint="eastAsia" w:ascii="宋体" w:hAnsi="宋体" w:eastAsia="宋体" w:cs="宋体"/>
          <w:color w:val="auto"/>
          <w:szCs w:val="21"/>
        </w:rPr>
      </w:pPr>
    </w:p>
    <w:p w14:paraId="31E93C5E">
      <w:pPr>
        <w:spacing w:line="340" w:lineRule="exact"/>
        <w:rPr>
          <w:rFonts w:hint="eastAsia" w:ascii="宋体" w:hAnsi="宋体" w:eastAsia="宋体" w:cs="宋体"/>
          <w:color w:val="auto"/>
          <w:szCs w:val="21"/>
        </w:rPr>
      </w:pPr>
    </w:p>
    <w:p w14:paraId="14179EC5">
      <w:pPr>
        <w:spacing w:line="340" w:lineRule="exact"/>
        <w:rPr>
          <w:rFonts w:hint="eastAsia" w:ascii="宋体" w:hAnsi="宋体" w:eastAsia="宋体" w:cs="宋体"/>
          <w:color w:val="auto"/>
          <w:szCs w:val="21"/>
          <w:u w:val="single"/>
        </w:rPr>
      </w:pPr>
      <w:r>
        <w:rPr>
          <w:rFonts w:hint="eastAsia" w:ascii="宋体" w:hAnsi="宋体" w:eastAsia="宋体" w:cs="宋体"/>
          <w:color w:val="auto"/>
          <w:szCs w:val="21"/>
        </w:rPr>
        <w:t>磋商供应商（CA签章，属自然人的应签名并加盖大拇指指印或个人CA签章）：</w:t>
      </w:r>
      <w:r>
        <w:rPr>
          <w:rFonts w:hint="eastAsia" w:ascii="宋体" w:hAnsi="宋体" w:eastAsia="宋体" w:cs="宋体"/>
          <w:color w:val="auto"/>
          <w:szCs w:val="21"/>
          <w:u w:val="single"/>
        </w:rPr>
        <w:t xml:space="preserve">                                   　　　</w:t>
      </w:r>
    </w:p>
    <w:p w14:paraId="525FEB20">
      <w:pPr>
        <w:tabs>
          <w:tab w:val="left" w:pos="1305"/>
        </w:tabs>
        <w:spacing w:line="340" w:lineRule="exact"/>
        <w:rPr>
          <w:rFonts w:hint="eastAsia" w:ascii="宋体" w:hAnsi="宋体" w:eastAsia="宋体" w:cs="宋体"/>
          <w:color w:val="auto"/>
          <w:szCs w:val="21"/>
        </w:rPr>
      </w:pPr>
    </w:p>
    <w:p w14:paraId="147CAE38">
      <w:pPr>
        <w:tabs>
          <w:tab w:val="left" w:pos="1305"/>
        </w:tabs>
        <w:spacing w:line="340" w:lineRule="exact"/>
        <w:rPr>
          <w:rFonts w:hint="eastAsia" w:ascii="宋体" w:hAnsi="宋体" w:eastAsia="宋体" w:cs="宋体"/>
          <w:bCs/>
          <w:color w:val="auto"/>
          <w:szCs w:val="21"/>
        </w:rPr>
      </w:pPr>
      <w:r>
        <w:rPr>
          <w:rFonts w:hint="eastAsia" w:ascii="宋体" w:hAnsi="宋体" w:eastAsia="宋体" w:cs="宋体"/>
          <w:color w:val="auto"/>
          <w:szCs w:val="21"/>
        </w:rPr>
        <w:t>响应日期：</w:t>
      </w:r>
      <w:r>
        <w:rPr>
          <w:rFonts w:hint="eastAsia" w:ascii="宋体" w:hAnsi="宋体" w:eastAsia="宋体" w:cs="宋体"/>
          <w:color w:val="auto"/>
          <w:szCs w:val="21"/>
          <w:u w:val="single"/>
        </w:rPr>
        <w:t xml:space="preserve">                                   　　               　 </w:t>
      </w:r>
    </w:p>
    <w:p w14:paraId="05184FEA">
      <w:pPr>
        <w:pStyle w:val="10"/>
        <w:spacing w:line="340" w:lineRule="exact"/>
        <w:rPr>
          <w:rFonts w:hint="eastAsia" w:ascii="宋体" w:hAnsi="宋体" w:eastAsia="宋体" w:cs="宋体"/>
          <w:b/>
          <w:color w:val="auto"/>
          <w:sz w:val="28"/>
          <w:szCs w:val="28"/>
        </w:rPr>
      </w:pPr>
    </w:p>
    <w:p w14:paraId="7F44FD7B">
      <w:pPr>
        <w:spacing w:line="400" w:lineRule="exact"/>
        <w:rPr>
          <w:rFonts w:hint="eastAsia" w:ascii="宋体" w:hAnsi="宋体" w:eastAsia="宋体" w:cs="宋体"/>
          <w:b/>
          <w:bCs/>
          <w:color w:val="auto"/>
          <w:szCs w:val="21"/>
        </w:rPr>
      </w:pPr>
      <w:r>
        <w:rPr>
          <w:rFonts w:hint="eastAsia" w:ascii="宋体" w:hAnsi="宋体" w:eastAsia="宋体" w:cs="宋体"/>
          <w:b/>
          <w:bCs/>
          <w:color w:val="auto"/>
          <w:szCs w:val="21"/>
        </w:rPr>
        <w:t>注：当本表由多页构成时，需逐页加盖供应商公章（CA签章）（属自然人的须逐页签字或个人CA签章）</w:t>
      </w:r>
      <w:r>
        <w:rPr>
          <w:rFonts w:hint="eastAsia" w:ascii="宋体" w:hAnsi="宋体" w:eastAsia="宋体" w:cs="宋体"/>
          <w:b/>
          <w:color w:val="auto"/>
          <w:szCs w:val="21"/>
        </w:rPr>
        <w:t>。</w:t>
      </w:r>
    </w:p>
    <w:p w14:paraId="00A8D692">
      <w:pPr>
        <w:pStyle w:val="10"/>
        <w:spacing w:line="340" w:lineRule="exact"/>
        <w:rPr>
          <w:rFonts w:hint="eastAsia" w:ascii="宋体" w:hAnsi="宋体" w:eastAsia="宋体" w:cs="宋体"/>
          <w:b/>
          <w:color w:val="auto"/>
          <w:sz w:val="28"/>
          <w:szCs w:val="28"/>
        </w:rPr>
      </w:pPr>
    </w:p>
    <w:p w14:paraId="01841150">
      <w:pPr>
        <w:pStyle w:val="10"/>
        <w:spacing w:line="340" w:lineRule="exact"/>
        <w:rPr>
          <w:rFonts w:hint="eastAsia" w:ascii="宋体" w:hAnsi="宋体" w:eastAsia="宋体" w:cs="宋体"/>
          <w:b/>
          <w:color w:val="auto"/>
          <w:sz w:val="28"/>
          <w:szCs w:val="28"/>
        </w:rPr>
      </w:pPr>
    </w:p>
    <w:p w14:paraId="3FE8CDAC">
      <w:pPr>
        <w:pStyle w:val="5"/>
        <w:ind w:left="2940"/>
        <w:rPr>
          <w:rFonts w:hint="eastAsia" w:ascii="宋体" w:hAnsi="宋体" w:eastAsia="宋体" w:cs="宋体"/>
          <w:color w:val="auto"/>
        </w:rPr>
      </w:pPr>
    </w:p>
    <w:p w14:paraId="162A8D1E">
      <w:pPr>
        <w:rPr>
          <w:rFonts w:hint="eastAsia" w:ascii="宋体" w:hAnsi="宋体" w:eastAsia="宋体" w:cs="宋体"/>
          <w:color w:val="auto"/>
        </w:rPr>
      </w:pPr>
    </w:p>
    <w:p w14:paraId="040F875B">
      <w:pPr>
        <w:rPr>
          <w:rFonts w:hint="eastAsia" w:ascii="宋体" w:hAnsi="宋体" w:eastAsia="宋体" w:cs="宋体"/>
          <w:color w:val="auto"/>
        </w:rPr>
      </w:pPr>
    </w:p>
    <w:p w14:paraId="6C941C5F">
      <w:pPr>
        <w:rPr>
          <w:rFonts w:hint="eastAsia" w:ascii="宋体" w:hAnsi="宋体" w:eastAsia="宋体" w:cs="宋体"/>
          <w:color w:val="auto"/>
        </w:rPr>
      </w:pPr>
    </w:p>
    <w:p w14:paraId="640C2861">
      <w:pPr>
        <w:rPr>
          <w:rFonts w:hint="eastAsia" w:ascii="宋体" w:hAnsi="宋体" w:eastAsia="宋体" w:cs="宋体"/>
          <w:color w:val="auto"/>
        </w:rPr>
      </w:pPr>
    </w:p>
    <w:p w14:paraId="577ECD94">
      <w:pPr>
        <w:rPr>
          <w:rFonts w:hint="eastAsia" w:ascii="宋体" w:hAnsi="宋体" w:eastAsia="宋体" w:cs="宋体"/>
          <w:color w:val="auto"/>
        </w:rPr>
      </w:pPr>
    </w:p>
    <w:p w14:paraId="2D406661">
      <w:pPr>
        <w:pStyle w:val="10"/>
        <w:spacing w:line="34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3.项目需求要求响应表（必须提供）</w:t>
      </w:r>
    </w:p>
    <w:p w14:paraId="66CFD3F6">
      <w:pPr>
        <w:spacing w:line="340" w:lineRule="exact"/>
        <w:ind w:left="420"/>
        <w:jc w:val="center"/>
        <w:rPr>
          <w:rFonts w:hint="eastAsia" w:ascii="宋体" w:hAnsi="宋体" w:eastAsia="宋体" w:cs="宋体"/>
          <w:b/>
          <w:bCs/>
          <w:color w:val="auto"/>
          <w:sz w:val="32"/>
          <w:szCs w:val="32"/>
        </w:rPr>
      </w:pPr>
      <w:bookmarkStart w:id="313" w:name="_Toc28672"/>
      <w:bookmarkStart w:id="314" w:name="_Toc9339"/>
      <w:bookmarkStart w:id="315" w:name="_Toc497927084"/>
    </w:p>
    <w:p w14:paraId="1A1D9523">
      <w:pPr>
        <w:spacing w:line="340" w:lineRule="exact"/>
        <w:ind w:left="42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项目需求要求响应表（格式）</w:t>
      </w:r>
    </w:p>
    <w:tbl>
      <w:tblPr>
        <w:tblStyle w:val="18"/>
        <w:tblW w:w="959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76"/>
        <w:gridCol w:w="3169"/>
        <w:gridCol w:w="3210"/>
        <w:gridCol w:w="1193"/>
      </w:tblGrid>
      <w:tr w14:paraId="3C2C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747" w:type="dxa"/>
            <w:vAlign w:val="center"/>
          </w:tcPr>
          <w:p w14:paraId="2F542926">
            <w:pPr>
              <w:pStyle w:val="10"/>
              <w:spacing w:line="400" w:lineRule="exact"/>
              <w:jc w:val="center"/>
              <w:rPr>
                <w:rFonts w:hint="eastAsia" w:ascii="宋体" w:hAnsi="宋体" w:eastAsia="宋体" w:cs="宋体"/>
                <w:color w:val="auto"/>
              </w:rPr>
            </w:pPr>
            <w:r>
              <w:rPr>
                <w:rFonts w:hint="eastAsia" w:ascii="宋体" w:hAnsi="宋体" w:eastAsia="宋体" w:cs="宋体"/>
                <w:color w:val="auto"/>
              </w:rPr>
              <w:t>项号</w:t>
            </w:r>
          </w:p>
        </w:tc>
        <w:tc>
          <w:tcPr>
            <w:tcW w:w="1276" w:type="dxa"/>
            <w:vAlign w:val="center"/>
          </w:tcPr>
          <w:p w14:paraId="1672439E">
            <w:pPr>
              <w:pStyle w:val="10"/>
              <w:spacing w:line="400" w:lineRule="exact"/>
              <w:jc w:val="center"/>
              <w:rPr>
                <w:rFonts w:hint="eastAsia" w:ascii="宋体" w:hAnsi="宋体" w:eastAsia="宋体" w:cs="宋体"/>
                <w:color w:val="auto"/>
              </w:rPr>
            </w:pPr>
            <w:r>
              <w:rPr>
                <w:rFonts w:hint="eastAsia" w:ascii="宋体" w:hAnsi="宋体" w:eastAsia="宋体" w:cs="宋体"/>
                <w:color w:val="auto"/>
              </w:rPr>
              <w:t>服务内容</w:t>
            </w:r>
          </w:p>
        </w:tc>
        <w:tc>
          <w:tcPr>
            <w:tcW w:w="3169" w:type="dxa"/>
            <w:vAlign w:val="center"/>
          </w:tcPr>
          <w:p w14:paraId="3308C619">
            <w:pPr>
              <w:pStyle w:val="10"/>
              <w:spacing w:line="400" w:lineRule="exact"/>
              <w:jc w:val="center"/>
              <w:rPr>
                <w:rFonts w:hint="eastAsia" w:ascii="宋体" w:hAnsi="宋体" w:eastAsia="宋体" w:cs="宋体"/>
                <w:color w:val="auto"/>
              </w:rPr>
            </w:pPr>
            <w:r>
              <w:rPr>
                <w:rFonts w:hint="eastAsia" w:ascii="宋体" w:hAnsi="宋体" w:eastAsia="宋体" w:cs="宋体"/>
                <w:color w:val="auto"/>
              </w:rPr>
              <w:t>竞争性磋商文件项目需求表的“技术要求”及“商务要求”要求内容</w:t>
            </w:r>
          </w:p>
        </w:tc>
        <w:tc>
          <w:tcPr>
            <w:tcW w:w="3210" w:type="dxa"/>
            <w:vAlign w:val="center"/>
          </w:tcPr>
          <w:p w14:paraId="668572D7">
            <w:pPr>
              <w:pStyle w:val="10"/>
              <w:spacing w:line="400" w:lineRule="exact"/>
              <w:jc w:val="center"/>
              <w:rPr>
                <w:rFonts w:hint="eastAsia" w:ascii="宋体" w:hAnsi="宋体" w:eastAsia="宋体" w:cs="宋体"/>
                <w:color w:val="auto"/>
              </w:rPr>
            </w:pPr>
            <w:r>
              <w:rPr>
                <w:rFonts w:hint="eastAsia" w:ascii="宋体" w:hAnsi="宋体" w:eastAsia="宋体" w:cs="宋体"/>
                <w:color w:val="auto"/>
              </w:rPr>
              <w:t>对应竞争性磋商文件项目需求表的“技术要求”及“商务要求”要求内容，供应商的逐条响应情况</w:t>
            </w:r>
          </w:p>
        </w:tc>
        <w:tc>
          <w:tcPr>
            <w:tcW w:w="1193" w:type="dxa"/>
            <w:vAlign w:val="center"/>
          </w:tcPr>
          <w:p w14:paraId="7B97DD7A">
            <w:pPr>
              <w:pStyle w:val="10"/>
              <w:spacing w:line="400" w:lineRule="exact"/>
              <w:jc w:val="center"/>
              <w:rPr>
                <w:rFonts w:hint="eastAsia" w:ascii="宋体" w:hAnsi="宋体" w:eastAsia="宋体" w:cs="宋体"/>
                <w:color w:val="auto"/>
              </w:rPr>
            </w:pPr>
            <w:bookmarkStart w:id="316" w:name="_Toc254970560"/>
            <w:bookmarkStart w:id="317" w:name="_Toc254970701"/>
            <w:r>
              <w:rPr>
                <w:rFonts w:hint="eastAsia" w:ascii="宋体" w:hAnsi="宋体" w:eastAsia="宋体" w:cs="宋体"/>
                <w:color w:val="auto"/>
              </w:rPr>
              <w:t>偏离情况</w:t>
            </w:r>
            <w:bookmarkEnd w:id="316"/>
            <w:bookmarkEnd w:id="317"/>
            <w:r>
              <w:rPr>
                <w:rFonts w:hint="eastAsia" w:ascii="宋体" w:hAnsi="宋体" w:eastAsia="宋体" w:cs="宋体"/>
                <w:color w:val="auto"/>
              </w:rPr>
              <w:t>说明</w:t>
            </w:r>
          </w:p>
        </w:tc>
      </w:tr>
      <w:tr w14:paraId="4B53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47" w:type="dxa"/>
            <w:vAlign w:val="center"/>
          </w:tcPr>
          <w:p w14:paraId="6359A19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276" w:type="dxa"/>
            <w:vAlign w:val="center"/>
          </w:tcPr>
          <w:p w14:paraId="2F496E90">
            <w:pPr>
              <w:spacing w:line="440" w:lineRule="exact"/>
              <w:jc w:val="center"/>
              <w:rPr>
                <w:rFonts w:hint="eastAsia" w:ascii="宋体" w:hAnsi="宋体" w:eastAsia="宋体" w:cs="宋体"/>
                <w:color w:val="auto"/>
                <w:szCs w:val="21"/>
              </w:rPr>
            </w:pPr>
          </w:p>
        </w:tc>
        <w:tc>
          <w:tcPr>
            <w:tcW w:w="3169" w:type="dxa"/>
            <w:vAlign w:val="center"/>
          </w:tcPr>
          <w:p w14:paraId="5DB67DD8">
            <w:pPr>
              <w:spacing w:line="440" w:lineRule="exact"/>
              <w:jc w:val="center"/>
              <w:rPr>
                <w:rFonts w:hint="eastAsia" w:ascii="宋体" w:hAnsi="宋体" w:eastAsia="宋体" w:cs="宋体"/>
                <w:color w:val="auto"/>
                <w:szCs w:val="21"/>
              </w:rPr>
            </w:pPr>
          </w:p>
        </w:tc>
        <w:tc>
          <w:tcPr>
            <w:tcW w:w="3210" w:type="dxa"/>
            <w:vAlign w:val="center"/>
          </w:tcPr>
          <w:p w14:paraId="6F036396">
            <w:pPr>
              <w:spacing w:line="440" w:lineRule="exact"/>
              <w:jc w:val="center"/>
              <w:rPr>
                <w:rFonts w:hint="eastAsia" w:ascii="宋体" w:hAnsi="宋体" w:eastAsia="宋体" w:cs="宋体"/>
                <w:color w:val="auto"/>
                <w:szCs w:val="21"/>
              </w:rPr>
            </w:pPr>
          </w:p>
        </w:tc>
        <w:tc>
          <w:tcPr>
            <w:tcW w:w="1193" w:type="dxa"/>
            <w:vAlign w:val="center"/>
          </w:tcPr>
          <w:p w14:paraId="11255BE9">
            <w:pPr>
              <w:spacing w:line="440" w:lineRule="exact"/>
              <w:jc w:val="center"/>
              <w:rPr>
                <w:rFonts w:hint="eastAsia" w:ascii="宋体" w:hAnsi="宋体" w:eastAsia="宋体" w:cs="宋体"/>
                <w:color w:val="auto"/>
                <w:szCs w:val="21"/>
              </w:rPr>
            </w:pPr>
          </w:p>
        </w:tc>
      </w:tr>
      <w:tr w14:paraId="424C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47" w:type="dxa"/>
            <w:vAlign w:val="center"/>
          </w:tcPr>
          <w:p w14:paraId="5788024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276" w:type="dxa"/>
            <w:vAlign w:val="center"/>
          </w:tcPr>
          <w:p w14:paraId="09D2B4BE">
            <w:pPr>
              <w:spacing w:line="440" w:lineRule="exact"/>
              <w:jc w:val="center"/>
              <w:rPr>
                <w:rFonts w:hint="eastAsia" w:ascii="宋体" w:hAnsi="宋体" w:eastAsia="宋体" w:cs="宋体"/>
                <w:color w:val="auto"/>
                <w:szCs w:val="21"/>
              </w:rPr>
            </w:pPr>
          </w:p>
        </w:tc>
        <w:tc>
          <w:tcPr>
            <w:tcW w:w="3169" w:type="dxa"/>
            <w:vAlign w:val="center"/>
          </w:tcPr>
          <w:p w14:paraId="4C59366E">
            <w:pPr>
              <w:spacing w:line="440" w:lineRule="exact"/>
              <w:jc w:val="center"/>
              <w:rPr>
                <w:rFonts w:hint="eastAsia" w:ascii="宋体" w:hAnsi="宋体" w:eastAsia="宋体" w:cs="宋体"/>
                <w:color w:val="auto"/>
                <w:szCs w:val="21"/>
              </w:rPr>
            </w:pPr>
          </w:p>
        </w:tc>
        <w:tc>
          <w:tcPr>
            <w:tcW w:w="3210" w:type="dxa"/>
            <w:vAlign w:val="center"/>
          </w:tcPr>
          <w:p w14:paraId="672ABE8A">
            <w:pPr>
              <w:spacing w:line="440" w:lineRule="exact"/>
              <w:jc w:val="center"/>
              <w:rPr>
                <w:rFonts w:hint="eastAsia" w:ascii="宋体" w:hAnsi="宋体" w:eastAsia="宋体" w:cs="宋体"/>
                <w:color w:val="auto"/>
                <w:szCs w:val="21"/>
              </w:rPr>
            </w:pPr>
          </w:p>
        </w:tc>
        <w:tc>
          <w:tcPr>
            <w:tcW w:w="1193" w:type="dxa"/>
            <w:vAlign w:val="center"/>
          </w:tcPr>
          <w:p w14:paraId="563B4253">
            <w:pPr>
              <w:spacing w:line="440" w:lineRule="exact"/>
              <w:jc w:val="center"/>
              <w:rPr>
                <w:rFonts w:hint="eastAsia" w:ascii="宋体" w:hAnsi="宋体" w:eastAsia="宋体" w:cs="宋体"/>
                <w:color w:val="auto"/>
                <w:szCs w:val="21"/>
              </w:rPr>
            </w:pPr>
          </w:p>
        </w:tc>
      </w:tr>
    </w:tbl>
    <w:p w14:paraId="5FEA83DC">
      <w:pPr>
        <w:pStyle w:val="9"/>
        <w:rPr>
          <w:rFonts w:hint="eastAsia" w:ascii="宋体" w:hAnsi="宋体" w:eastAsia="宋体" w:cs="宋体"/>
          <w:color w:val="auto"/>
        </w:rPr>
      </w:pPr>
    </w:p>
    <w:p w14:paraId="7C2DE4C0">
      <w:pPr>
        <w:tabs>
          <w:tab w:val="left" w:pos="1305"/>
        </w:tabs>
        <w:spacing w:line="400" w:lineRule="exact"/>
        <w:ind w:firstLine="422" w:firstLineChars="200"/>
        <w:rPr>
          <w:rFonts w:hint="eastAsia" w:ascii="宋体" w:hAnsi="宋体" w:eastAsia="宋体" w:cs="宋体"/>
          <w:b/>
          <w:color w:val="auto"/>
        </w:rPr>
      </w:pPr>
      <w:r>
        <w:rPr>
          <w:rFonts w:hint="eastAsia" w:ascii="宋体" w:hAnsi="宋体" w:eastAsia="宋体" w:cs="宋体"/>
          <w:b/>
          <w:color w:val="auto"/>
        </w:rPr>
        <w:t>注：1. 说明：供应商应对照竞争性磋商文件项目需求表的“技术要求”及“商务要求”要求内容逐条作出明确响应，并作出偏离说明，供应商应对照竞争性磋商文件项目需求表的“技术要求”及“商务要求”要求内容及自身响应情况在“偏离情况说明”栏注明“正偏离”、“负偏离”或“无偏离”。</w:t>
      </w:r>
    </w:p>
    <w:p w14:paraId="174BD018">
      <w:pPr>
        <w:tabs>
          <w:tab w:val="left" w:pos="1305"/>
        </w:tabs>
        <w:spacing w:line="400" w:lineRule="exact"/>
        <w:ind w:firstLine="422" w:firstLineChars="200"/>
        <w:rPr>
          <w:rFonts w:hint="eastAsia" w:ascii="宋体" w:hAnsi="宋体" w:eastAsia="宋体" w:cs="宋体"/>
          <w:b/>
          <w:bCs/>
          <w:color w:val="auto"/>
        </w:rPr>
      </w:pPr>
      <w:r>
        <w:rPr>
          <w:rFonts w:hint="eastAsia" w:ascii="宋体" w:hAnsi="宋体" w:eastAsia="宋体" w:cs="宋体"/>
          <w:b/>
          <w:color w:val="auto"/>
        </w:rPr>
        <w:t>2. 后附项目要求中要求提供的相关有效证明材料（如有）。</w:t>
      </w:r>
    </w:p>
    <w:p w14:paraId="7A0B105D">
      <w:pPr>
        <w:snapToGrid w:val="0"/>
        <w:spacing w:line="400" w:lineRule="exact"/>
        <w:ind w:firstLine="422" w:firstLineChars="200"/>
        <w:rPr>
          <w:rFonts w:hint="eastAsia" w:ascii="宋体" w:hAnsi="宋体" w:eastAsia="宋体" w:cs="宋体"/>
          <w:b/>
          <w:bCs/>
          <w:color w:val="auto"/>
        </w:rPr>
      </w:pPr>
      <w:r>
        <w:rPr>
          <w:rFonts w:hint="eastAsia" w:ascii="宋体" w:hAnsi="宋体" w:eastAsia="宋体" w:cs="宋体"/>
          <w:b/>
          <w:bCs/>
          <w:color w:val="auto"/>
        </w:rPr>
        <w:t>3.当本表由多页构成时，需逐页加盖供应商公章（CA签章）（属自然人的须逐页签字或个人CA签章）。</w:t>
      </w:r>
    </w:p>
    <w:p w14:paraId="53A6F681">
      <w:pPr>
        <w:pStyle w:val="9"/>
        <w:rPr>
          <w:rFonts w:hint="eastAsia" w:ascii="宋体" w:hAnsi="宋体" w:eastAsia="宋体" w:cs="宋体"/>
          <w:color w:val="auto"/>
        </w:rPr>
      </w:pPr>
    </w:p>
    <w:p w14:paraId="08BAB672">
      <w:pPr>
        <w:spacing w:line="340" w:lineRule="exact"/>
        <w:rPr>
          <w:rFonts w:hint="eastAsia" w:ascii="宋体" w:hAnsi="宋体" w:eastAsia="宋体" w:cs="宋体"/>
          <w:color w:val="auto"/>
          <w:szCs w:val="21"/>
          <w:u w:val="single"/>
        </w:rPr>
      </w:pPr>
      <w:r>
        <w:rPr>
          <w:rFonts w:hint="eastAsia" w:ascii="宋体" w:hAnsi="宋体" w:eastAsia="宋体" w:cs="宋体"/>
          <w:color w:val="auto"/>
          <w:szCs w:val="21"/>
        </w:rPr>
        <w:t>磋商供应商（CA签章，属自然人的应签名并加盖大拇指指印或个人CA签章）：</w:t>
      </w:r>
      <w:r>
        <w:rPr>
          <w:rFonts w:hint="eastAsia" w:ascii="宋体" w:hAnsi="宋体" w:eastAsia="宋体" w:cs="宋体"/>
          <w:color w:val="auto"/>
          <w:szCs w:val="21"/>
          <w:u w:val="single"/>
        </w:rPr>
        <w:t xml:space="preserve">                                   　　　</w:t>
      </w:r>
    </w:p>
    <w:p w14:paraId="5CBFBCD6">
      <w:pPr>
        <w:tabs>
          <w:tab w:val="left" w:pos="1305"/>
        </w:tabs>
        <w:spacing w:line="340" w:lineRule="exact"/>
        <w:rPr>
          <w:rFonts w:hint="eastAsia" w:ascii="宋体" w:hAnsi="宋体" w:eastAsia="宋体" w:cs="宋体"/>
          <w:color w:val="auto"/>
          <w:szCs w:val="21"/>
        </w:rPr>
      </w:pPr>
    </w:p>
    <w:p w14:paraId="3981B2A1">
      <w:pPr>
        <w:tabs>
          <w:tab w:val="left" w:pos="1305"/>
        </w:tabs>
        <w:spacing w:line="340" w:lineRule="exact"/>
        <w:rPr>
          <w:rFonts w:hint="eastAsia" w:ascii="宋体" w:hAnsi="宋体" w:eastAsia="宋体" w:cs="宋体"/>
          <w:bCs/>
          <w:color w:val="auto"/>
          <w:szCs w:val="21"/>
        </w:rPr>
      </w:pPr>
      <w:r>
        <w:rPr>
          <w:rFonts w:hint="eastAsia" w:ascii="宋体" w:hAnsi="宋体" w:eastAsia="宋体" w:cs="宋体"/>
          <w:color w:val="auto"/>
          <w:szCs w:val="21"/>
        </w:rPr>
        <w:t>响应日期：</w:t>
      </w:r>
      <w:r>
        <w:rPr>
          <w:rFonts w:hint="eastAsia" w:ascii="宋体" w:hAnsi="宋体" w:eastAsia="宋体" w:cs="宋体"/>
          <w:color w:val="auto"/>
          <w:szCs w:val="21"/>
          <w:u w:val="single"/>
        </w:rPr>
        <w:t xml:space="preserve">                                   　　               　 </w:t>
      </w:r>
    </w:p>
    <w:p w14:paraId="661B0BDD">
      <w:pPr>
        <w:pStyle w:val="9"/>
        <w:rPr>
          <w:rFonts w:hint="eastAsia" w:ascii="宋体" w:hAnsi="宋体" w:eastAsia="宋体" w:cs="宋体"/>
          <w:color w:val="auto"/>
        </w:rPr>
      </w:pPr>
    </w:p>
    <w:p w14:paraId="2329AAF1">
      <w:pPr>
        <w:pageBreakBefore/>
        <w:spacing w:line="340" w:lineRule="exact"/>
        <w:rPr>
          <w:rFonts w:hint="eastAsia" w:ascii="宋体" w:hAnsi="宋体" w:eastAsia="宋体" w:cs="宋体"/>
          <w:color w:val="auto"/>
          <w:szCs w:val="21"/>
        </w:rPr>
      </w:pPr>
      <w:r>
        <w:rPr>
          <w:rFonts w:hint="eastAsia" w:ascii="宋体" w:hAnsi="宋体" w:eastAsia="宋体" w:cs="宋体"/>
          <w:b/>
          <w:bCs/>
          <w:color w:val="auto"/>
          <w:sz w:val="32"/>
          <w:szCs w:val="32"/>
        </w:rPr>
        <w:t>三、其他有效证明材料</w:t>
      </w:r>
      <w:bookmarkEnd w:id="313"/>
      <w:bookmarkEnd w:id="314"/>
      <w:bookmarkEnd w:id="315"/>
    </w:p>
    <w:p w14:paraId="67DD1A1A">
      <w:pPr>
        <w:rPr>
          <w:rFonts w:hint="eastAsia" w:ascii="宋体" w:hAnsi="宋体" w:eastAsia="宋体" w:cs="宋体"/>
          <w:b/>
          <w:bCs/>
          <w:iCs/>
          <w:color w:val="auto"/>
          <w:sz w:val="28"/>
          <w:szCs w:val="28"/>
        </w:rPr>
      </w:pPr>
    </w:p>
    <w:p w14:paraId="0A4CCD64">
      <w:pPr>
        <w:rPr>
          <w:rFonts w:hint="eastAsia" w:ascii="宋体" w:hAnsi="宋体" w:eastAsia="宋体" w:cs="宋体"/>
          <w:b/>
          <w:bCs/>
          <w:iCs/>
          <w:color w:val="auto"/>
          <w:sz w:val="28"/>
          <w:szCs w:val="28"/>
        </w:rPr>
      </w:pPr>
      <w:r>
        <w:rPr>
          <w:rFonts w:hint="eastAsia" w:ascii="宋体" w:hAnsi="宋体" w:eastAsia="宋体" w:cs="宋体"/>
          <w:b/>
          <w:bCs/>
          <w:iCs/>
          <w:color w:val="auto"/>
          <w:sz w:val="28"/>
          <w:szCs w:val="28"/>
        </w:rPr>
        <w:t>1.供应商符合本项目评审办法要求的业绩相关证明材料（无不良记录，以中标/成交通知书或签订的合同为准，需能清晰反映项目的名称、项目金额、项目时间，否则不予认可）（如有，请提供）；</w:t>
      </w:r>
    </w:p>
    <w:p w14:paraId="2808A554">
      <w:pPr>
        <w:rPr>
          <w:rFonts w:hint="eastAsia" w:ascii="宋体" w:hAnsi="宋体" w:eastAsia="宋体" w:cs="宋体"/>
          <w:b/>
          <w:bCs/>
          <w:iCs/>
          <w:color w:val="auto"/>
          <w:sz w:val="28"/>
          <w:szCs w:val="28"/>
        </w:rPr>
      </w:pPr>
    </w:p>
    <w:p w14:paraId="276F3D8D">
      <w:pPr>
        <w:pStyle w:val="9"/>
        <w:rPr>
          <w:rFonts w:hint="eastAsia" w:ascii="宋体" w:hAnsi="宋体" w:eastAsia="宋体" w:cs="宋体"/>
          <w:color w:val="auto"/>
        </w:rPr>
      </w:pPr>
    </w:p>
    <w:p w14:paraId="47817051">
      <w:pPr>
        <w:rPr>
          <w:rFonts w:hint="eastAsia" w:ascii="宋体" w:hAnsi="宋体" w:eastAsia="宋体" w:cs="宋体"/>
          <w:b/>
          <w:bCs/>
          <w:iCs/>
          <w:color w:val="auto"/>
          <w:sz w:val="28"/>
          <w:szCs w:val="28"/>
        </w:rPr>
      </w:pPr>
      <w:r>
        <w:rPr>
          <w:rFonts w:hint="eastAsia" w:ascii="宋体" w:hAnsi="宋体" w:eastAsia="宋体" w:cs="宋体"/>
          <w:b/>
          <w:bCs/>
          <w:iCs/>
          <w:color w:val="auto"/>
          <w:sz w:val="28"/>
          <w:szCs w:val="28"/>
        </w:rPr>
        <w:t>2.项目方案（如有，请提供）；</w:t>
      </w:r>
    </w:p>
    <w:p w14:paraId="6B067A71">
      <w:pPr>
        <w:widowControl/>
        <w:jc w:val="center"/>
        <w:rPr>
          <w:rFonts w:hint="eastAsia" w:ascii="宋体" w:hAnsi="宋体" w:eastAsia="宋体" w:cs="宋体"/>
          <w:b/>
          <w:color w:val="auto"/>
          <w:sz w:val="32"/>
          <w:szCs w:val="32"/>
        </w:rPr>
      </w:pPr>
    </w:p>
    <w:p w14:paraId="1830BFBC">
      <w:pPr>
        <w:widowControl/>
        <w:jc w:val="center"/>
        <w:rPr>
          <w:rFonts w:hint="eastAsia" w:ascii="宋体" w:hAnsi="宋体" w:eastAsia="宋体" w:cs="宋体"/>
          <w:b/>
          <w:color w:val="auto"/>
          <w:kern w:val="0"/>
          <w:sz w:val="28"/>
          <w:szCs w:val="28"/>
        </w:rPr>
      </w:pPr>
      <w:r>
        <w:rPr>
          <w:rFonts w:hint="eastAsia" w:ascii="宋体" w:hAnsi="宋体" w:eastAsia="宋体" w:cs="宋体"/>
          <w:b/>
          <w:color w:val="auto"/>
          <w:sz w:val="28"/>
          <w:szCs w:val="28"/>
        </w:rPr>
        <w:t>项目方案 （格式）</w:t>
      </w:r>
    </w:p>
    <w:p w14:paraId="712888D8">
      <w:pPr>
        <w:widowControl/>
        <w:jc w:val="center"/>
        <w:rPr>
          <w:rFonts w:hint="eastAsia" w:ascii="宋体" w:hAnsi="宋体" w:eastAsia="宋体" w:cs="宋体"/>
          <w:b/>
          <w:color w:val="auto"/>
          <w:kern w:val="0"/>
          <w:sz w:val="28"/>
          <w:szCs w:val="28"/>
        </w:rPr>
      </w:pPr>
    </w:p>
    <w:p w14:paraId="0800F77E">
      <w:pPr>
        <w:widowControl/>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（项目</w:t>
      </w:r>
      <w:r>
        <w:rPr>
          <w:rFonts w:hint="eastAsia" w:ascii="宋体" w:hAnsi="宋体" w:eastAsia="宋体" w:cs="宋体"/>
          <w:b/>
          <w:color w:val="auto"/>
          <w:kern w:val="0"/>
          <w:sz w:val="28"/>
          <w:szCs w:val="28"/>
          <w:lang w:val="zh-TW"/>
        </w:rPr>
        <w:t>方案</w:t>
      </w:r>
      <w:r>
        <w:rPr>
          <w:rFonts w:hint="eastAsia" w:ascii="宋体" w:hAnsi="宋体" w:eastAsia="宋体" w:cs="宋体"/>
          <w:b/>
          <w:color w:val="auto"/>
          <w:kern w:val="0"/>
          <w:sz w:val="28"/>
          <w:szCs w:val="28"/>
        </w:rPr>
        <w:t>包括本项目评审办法内容中的所有评审方案，具体内容由供应商根据评审要求及自身情况自行编制）</w:t>
      </w:r>
    </w:p>
    <w:p w14:paraId="142C520A">
      <w:pPr>
        <w:spacing w:line="340" w:lineRule="exact"/>
        <w:rPr>
          <w:rFonts w:hint="eastAsia" w:ascii="宋体" w:hAnsi="宋体" w:eastAsia="宋体" w:cs="宋体"/>
          <w:color w:val="auto"/>
          <w:szCs w:val="21"/>
        </w:rPr>
      </w:pPr>
    </w:p>
    <w:p w14:paraId="31ABC0C7">
      <w:pPr>
        <w:spacing w:line="340" w:lineRule="exact"/>
        <w:rPr>
          <w:rFonts w:hint="eastAsia" w:ascii="宋体" w:hAnsi="宋体" w:eastAsia="宋体" w:cs="宋体"/>
          <w:color w:val="auto"/>
          <w:szCs w:val="21"/>
        </w:rPr>
      </w:pPr>
    </w:p>
    <w:p w14:paraId="439A9ECA">
      <w:pPr>
        <w:spacing w:line="340" w:lineRule="exact"/>
        <w:rPr>
          <w:rFonts w:hint="eastAsia" w:ascii="宋体" w:hAnsi="宋体" w:eastAsia="宋体" w:cs="宋体"/>
          <w:color w:val="auto"/>
          <w:szCs w:val="21"/>
          <w:u w:val="single"/>
        </w:rPr>
      </w:pPr>
      <w:r>
        <w:rPr>
          <w:rFonts w:hint="eastAsia" w:ascii="宋体" w:hAnsi="宋体" w:eastAsia="宋体" w:cs="宋体"/>
          <w:color w:val="auto"/>
          <w:szCs w:val="21"/>
        </w:rPr>
        <w:t>磋商供应商（CA签章，属自然人的应签名并加盖大拇指指印或个人CA签章）：</w:t>
      </w:r>
      <w:r>
        <w:rPr>
          <w:rFonts w:hint="eastAsia" w:ascii="宋体" w:hAnsi="宋体" w:eastAsia="宋体" w:cs="宋体"/>
          <w:color w:val="auto"/>
          <w:szCs w:val="21"/>
          <w:u w:val="single"/>
        </w:rPr>
        <w:t xml:space="preserve">                                   　　　</w:t>
      </w:r>
    </w:p>
    <w:p w14:paraId="7EF5AB1F">
      <w:pPr>
        <w:tabs>
          <w:tab w:val="left" w:pos="1305"/>
        </w:tabs>
        <w:spacing w:line="340" w:lineRule="exact"/>
        <w:rPr>
          <w:rFonts w:hint="eastAsia" w:ascii="宋体" w:hAnsi="宋体" w:eastAsia="宋体" w:cs="宋体"/>
          <w:color w:val="auto"/>
          <w:szCs w:val="21"/>
        </w:rPr>
      </w:pPr>
    </w:p>
    <w:p w14:paraId="0393FFCC">
      <w:pPr>
        <w:tabs>
          <w:tab w:val="left" w:pos="1305"/>
        </w:tabs>
        <w:spacing w:line="340" w:lineRule="exact"/>
        <w:rPr>
          <w:rFonts w:hint="eastAsia" w:ascii="宋体" w:hAnsi="宋体" w:eastAsia="宋体" w:cs="宋体"/>
          <w:bCs/>
          <w:color w:val="auto"/>
          <w:szCs w:val="21"/>
        </w:rPr>
      </w:pPr>
      <w:r>
        <w:rPr>
          <w:rFonts w:hint="eastAsia" w:ascii="宋体" w:hAnsi="宋体" w:eastAsia="宋体" w:cs="宋体"/>
          <w:color w:val="auto"/>
          <w:szCs w:val="21"/>
        </w:rPr>
        <w:t>响应日期：</w:t>
      </w:r>
      <w:r>
        <w:rPr>
          <w:rFonts w:hint="eastAsia" w:ascii="宋体" w:hAnsi="宋体" w:eastAsia="宋体" w:cs="宋体"/>
          <w:color w:val="auto"/>
          <w:szCs w:val="21"/>
          <w:u w:val="single"/>
        </w:rPr>
        <w:t xml:space="preserve">                                   　　               　 </w:t>
      </w:r>
    </w:p>
    <w:p w14:paraId="23568659">
      <w:pPr>
        <w:rPr>
          <w:rFonts w:hint="eastAsia" w:ascii="宋体" w:hAnsi="宋体" w:eastAsia="宋体" w:cs="宋体"/>
          <w:b/>
          <w:bCs/>
          <w:iCs/>
          <w:color w:val="auto"/>
          <w:sz w:val="28"/>
          <w:szCs w:val="28"/>
        </w:rPr>
      </w:pPr>
    </w:p>
    <w:p w14:paraId="2D865B78">
      <w:pPr>
        <w:pStyle w:val="9"/>
        <w:rPr>
          <w:rFonts w:hint="eastAsia" w:ascii="宋体" w:hAnsi="宋体" w:eastAsia="宋体" w:cs="宋体"/>
          <w:color w:val="auto"/>
        </w:rPr>
      </w:pPr>
    </w:p>
    <w:p w14:paraId="12F6EEA3">
      <w:pPr>
        <w:rPr>
          <w:rFonts w:hint="eastAsia" w:ascii="宋体" w:hAnsi="宋体" w:eastAsia="宋体" w:cs="宋体"/>
          <w:b/>
          <w:bCs/>
          <w:iCs/>
          <w:color w:val="auto"/>
          <w:sz w:val="28"/>
          <w:szCs w:val="28"/>
        </w:rPr>
      </w:pPr>
      <w:r>
        <w:rPr>
          <w:rFonts w:hint="eastAsia" w:ascii="宋体" w:hAnsi="宋体" w:eastAsia="宋体" w:cs="宋体"/>
          <w:b/>
          <w:bCs/>
          <w:iCs/>
          <w:color w:val="auto"/>
          <w:sz w:val="28"/>
          <w:szCs w:val="28"/>
        </w:rPr>
        <w:t>3.商务评审证明材料（如有，请提供）；</w:t>
      </w:r>
    </w:p>
    <w:p w14:paraId="1C91146C">
      <w:pPr>
        <w:widowControl/>
        <w:jc w:val="center"/>
        <w:rPr>
          <w:rFonts w:hint="eastAsia" w:ascii="宋体" w:hAnsi="宋体" w:eastAsia="宋体" w:cs="宋体"/>
          <w:b/>
          <w:color w:val="auto"/>
          <w:kern w:val="0"/>
          <w:sz w:val="28"/>
          <w:szCs w:val="28"/>
        </w:rPr>
      </w:pPr>
    </w:p>
    <w:p w14:paraId="179A6E2C">
      <w:pPr>
        <w:widowControl/>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说明：商务评审证明材料包括但不限于本项目评审办法内容中的所有商务部分评审的相应有效证明材料，具体内容由供应商根据评审要求及自身情况自行编制。</w:t>
      </w:r>
    </w:p>
    <w:p w14:paraId="1136631F">
      <w:pPr>
        <w:tabs>
          <w:tab w:val="left" w:pos="1305"/>
        </w:tabs>
        <w:spacing w:line="360" w:lineRule="exact"/>
        <w:rPr>
          <w:rFonts w:hint="eastAsia" w:ascii="宋体" w:hAnsi="宋体" w:eastAsia="宋体" w:cs="宋体"/>
          <w:bCs/>
          <w:color w:val="auto"/>
          <w:kern w:val="0"/>
          <w:sz w:val="28"/>
          <w:szCs w:val="28"/>
        </w:rPr>
      </w:pPr>
    </w:p>
    <w:p w14:paraId="6BBF03D4">
      <w:pPr>
        <w:pStyle w:val="9"/>
        <w:rPr>
          <w:rFonts w:hint="eastAsia" w:ascii="宋体" w:hAnsi="宋体" w:eastAsia="宋体" w:cs="宋体"/>
          <w:color w:val="auto"/>
        </w:rPr>
      </w:pPr>
    </w:p>
    <w:p w14:paraId="319E2821">
      <w:pPr>
        <w:rPr>
          <w:rFonts w:hint="eastAsia" w:ascii="宋体" w:hAnsi="宋体" w:eastAsia="宋体" w:cs="宋体"/>
          <w:b/>
          <w:bCs/>
          <w:iCs/>
          <w:color w:val="auto"/>
          <w:sz w:val="28"/>
          <w:szCs w:val="28"/>
        </w:rPr>
      </w:pPr>
      <w:r>
        <w:rPr>
          <w:rFonts w:hint="eastAsia" w:ascii="宋体" w:hAnsi="宋体" w:eastAsia="宋体" w:cs="宋体"/>
          <w:b/>
          <w:bCs/>
          <w:iCs/>
          <w:color w:val="auto"/>
          <w:sz w:val="28"/>
          <w:szCs w:val="28"/>
        </w:rPr>
        <w:t>4.供应商根据本项目自身情况自行提交其它相关证明材料（如有，请提供）。</w:t>
      </w:r>
    </w:p>
    <w:p w14:paraId="3AAFCA73">
      <w:pPr>
        <w:rPr>
          <w:rFonts w:hint="eastAsia" w:ascii="宋体" w:hAnsi="宋体" w:eastAsia="宋体" w:cs="宋体"/>
          <w:color w:val="auto"/>
        </w:rPr>
      </w:pPr>
    </w:p>
    <w:p w14:paraId="690D7FFC">
      <w:pPr>
        <w:jc w:val="left"/>
        <w:rPr>
          <w:rFonts w:hint="eastAsia" w:ascii="宋体" w:hAnsi="宋体" w:eastAsia="宋体" w:cs="宋体"/>
          <w:b/>
          <w:bCs/>
          <w:color w:val="auto"/>
          <w:szCs w:val="21"/>
        </w:rPr>
      </w:pPr>
      <w:r>
        <w:rPr>
          <w:rFonts w:hint="eastAsia" w:ascii="宋体" w:hAnsi="宋体" w:eastAsia="宋体" w:cs="宋体"/>
          <w:b/>
          <w:bCs/>
          <w:color w:val="auto"/>
          <w:szCs w:val="21"/>
        </w:rPr>
        <w:t>备注：其它相关证明材料包括但不限于以下附件内容，具体由供应商根据本项目需求和评审因素要求及自身情况提供的有利于项目实施的证明材料。</w:t>
      </w:r>
    </w:p>
    <w:p w14:paraId="0577E01D">
      <w:pPr>
        <w:numPr>
          <w:ilvl w:val="0"/>
          <w:numId w:val="7"/>
        </w:numPr>
        <w:jc w:val="left"/>
        <w:rPr>
          <w:rFonts w:hint="eastAsia" w:ascii="宋体" w:hAnsi="宋体" w:eastAsia="宋体" w:cs="宋体"/>
          <w:b/>
          <w:bCs/>
          <w:color w:val="auto"/>
          <w:szCs w:val="21"/>
        </w:rPr>
      </w:pPr>
      <w:r>
        <w:rPr>
          <w:rFonts w:hint="eastAsia" w:ascii="宋体" w:hAnsi="宋体" w:eastAsia="宋体" w:cs="宋体"/>
          <w:b/>
          <w:bCs/>
          <w:color w:val="auto"/>
          <w:szCs w:val="21"/>
        </w:rPr>
        <w:t>根据《财政部、司法部关于政府采购支持监狱企业发展有关问题的通知》（财库[2014]68号）及《关于促进残疾人就业政府采购政策的通知》（财库〔2017〕141号）规定，监狱企业、残疾人福利性单位视同小型、微型企业。</w:t>
      </w:r>
    </w:p>
    <w:p w14:paraId="794C1ED1">
      <w:pPr>
        <w:jc w:val="left"/>
        <w:rPr>
          <w:rStyle w:val="27"/>
          <w:rFonts w:hint="eastAsia" w:ascii="宋体" w:hAnsi="宋体" w:eastAsia="宋体" w:cs="宋体"/>
          <w:b/>
          <w:bCs/>
          <w:color w:val="auto"/>
          <w:kern w:val="0"/>
          <w:szCs w:val="21"/>
        </w:rPr>
      </w:pPr>
      <w:r>
        <w:rPr>
          <w:rFonts w:hint="eastAsia" w:ascii="宋体" w:hAnsi="宋体" w:eastAsia="宋体" w:cs="宋体"/>
          <w:b/>
          <w:color w:val="auto"/>
          <w:szCs w:val="21"/>
        </w:rPr>
        <w:t>（2）供应商应按照企业划分标准进行如实申明，如提供虚假申明应依法承担相应法律责任；成交结果将同时公告成交人的《中小企业声明函》，接受社会监督。</w:t>
      </w:r>
    </w:p>
    <w:p w14:paraId="00F7BF42">
      <w:pPr>
        <w:jc w:val="center"/>
        <w:rPr>
          <w:rStyle w:val="27"/>
          <w:rFonts w:hint="eastAsia" w:ascii="宋体" w:hAnsi="宋体" w:eastAsia="宋体" w:cs="宋体"/>
          <w:b/>
          <w:bCs/>
          <w:color w:val="auto"/>
          <w:kern w:val="0"/>
          <w:sz w:val="24"/>
        </w:rPr>
      </w:pPr>
    </w:p>
    <w:p w14:paraId="4AF3F8F0">
      <w:pPr>
        <w:ind w:right="438"/>
        <w:jc w:val="left"/>
        <w:rPr>
          <w:rFonts w:hint="eastAsia" w:ascii="宋体" w:hAnsi="宋体" w:eastAsia="宋体" w:cs="宋体"/>
          <w:b/>
          <w:bCs/>
          <w:color w:val="auto"/>
          <w:sz w:val="32"/>
          <w:szCs w:val="32"/>
        </w:rPr>
      </w:pPr>
    </w:p>
    <w:p w14:paraId="3639FFFE">
      <w:pPr>
        <w:ind w:right="438"/>
        <w:jc w:val="left"/>
        <w:rPr>
          <w:rFonts w:hint="eastAsia" w:ascii="宋体" w:hAnsi="宋体" w:eastAsia="宋体" w:cs="宋体"/>
          <w:b/>
          <w:bCs/>
          <w:color w:val="auto"/>
          <w:sz w:val="32"/>
          <w:szCs w:val="32"/>
        </w:rPr>
      </w:pPr>
    </w:p>
    <w:p w14:paraId="76E955FA">
      <w:pPr>
        <w:ind w:right="438"/>
        <w:jc w:val="left"/>
        <w:rPr>
          <w:rFonts w:hint="eastAsia" w:ascii="宋体" w:hAnsi="宋体" w:eastAsia="宋体" w:cs="宋体"/>
          <w:b/>
          <w:bCs/>
          <w:color w:val="auto"/>
          <w:sz w:val="32"/>
          <w:szCs w:val="32"/>
        </w:rPr>
      </w:pPr>
    </w:p>
    <w:p w14:paraId="15170842">
      <w:pPr>
        <w:ind w:right="438"/>
        <w:jc w:val="left"/>
        <w:rPr>
          <w:rFonts w:hint="eastAsia" w:ascii="宋体" w:hAnsi="宋体" w:eastAsia="宋体" w:cs="宋体"/>
          <w:b/>
          <w:bCs/>
          <w:color w:val="auto"/>
          <w:sz w:val="32"/>
          <w:szCs w:val="32"/>
        </w:rPr>
      </w:pPr>
    </w:p>
    <w:p w14:paraId="7DAE072C">
      <w:pPr>
        <w:ind w:right="438"/>
        <w:jc w:val="left"/>
        <w:rPr>
          <w:rFonts w:hint="eastAsia" w:ascii="宋体" w:hAnsi="宋体" w:eastAsia="宋体" w:cs="宋体"/>
          <w:b/>
          <w:bCs/>
          <w:color w:val="auto"/>
          <w:sz w:val="32"/>
          <w:szCs w:val="32"/>
        </w:rPr>
      </w:pPr>
    </w:p>
    <w:p w14:paraId="493FB60F">
      <w:pPr>
        <w:ind w:right="438"/>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附件：</w:t>
      </w:r>
    </w:p>
    <w:p w14:paraId="5B999359">
      <w:pPr>
        <w:ind w:left="2768" w:right="438"/>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中小企业声明函（格式）</w:t>
      </w:r>
    </w:p>
    <w:p w14:paraId="30B8C17E">
      <w:pPr>
        <w:ind w:firstLine="552"/>
        <w:rPr>
          <w:rFonts w:hint="eastAsia" w:ascii="宋体" w:hAnsi="宋体" w:eastAsia="宋体" w:cs="宋体"/>
          <w:color w:val="auto"/>
          <w:kern w:val="0"/>
          <w:szCs w:val="21"/>
        </w:rPr>
      </w:pPr>
    </w:p>
    <w:p w14:paraId="2CF1D44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本公司（联合体）郑重声明，根据《政府采购促进中小企业发展管理办法》（财库﹝2020﹞46 号）的规定，本公司（联合体）参加</w:t>
      </w:r>
      <w:r>
        <w:rPr>
          <w:rFonts w:hint="eastAsia" w:ascii="宋体" w:hAnsi="宋体" w:eastAsia="宋体" w:cs="宋体"/>
          <w:color w:val="auto"/>
          <w:szCs w:val="21"/>
          <w:u w:val="single"/>
        </w:rPr>
        <w:t>（单位名称）</w:t>
      </w:r>
      <w:r>
        <w:rPr>
          <w:rFonts w:hint="eastAsia" w:ascii="宋体" w:hAnsi="宋体" w:eastAsia="宋体" w:cs="宋体"/>
          <w:color w:val="auto"/>
          <w:szCs w:val="21"/>
        </w:rPr>
        <w:t>的</w:t>
      </w:r>
      <w:r>
        <w:rPr>
          <w:rFonts w:hint="eastAsia" w:ascii="宋体" w:hAnsi="宋体" w:eastAsia="宋体" w:cs="宋体"/>
          <w:color w:val="auto"/>
          <w:szCs w:val="21"/>
          <w:u w:val="single"/>
        </w:rPr>
        <w:t>（项目名称）</w:t>
      </w:r>
      <w:r>
        <w:rPr>
          <w:rFonts w:hint="eastAsia" w:ascii="宋体" w:hAnsi="宋体" w:eastAsia="宋体" w:cs="宋体"/>
          <w:color w:val="auto"/>
          <w:szCs w:val="21"/>
        </w:rPr>
        <w:t>采购活动，提供的货物全部由符合政策要求的中小企业制造。相关企业（含联合体中的中小企业、签订分包意向协议的中小企业）的具体情况如下：</w:t>
      </w:r>
    </w:p>
    <w:p w14:paraId="57FF9D4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 </w:t>
      </w:r>
      <w:r>
        <w:rPr>
          <w:rFonts w:hint="eastAsia" w:ascii="宋体" w:hAnsi="宋体" w:eastAsia="宋体" w:cs="宋体"/>
          <w:color w:val="auto"/>
          <w:szCs w:val="21"/>
          <w:u w:val="single"/>
        </w:rPr>
        <w:t xml:space="preserve">（标的名称） </w:t>
      </w:r>
      <w:r>
        <w:rPr>
          <w:rFonts w:hint="eastAsia" w:ascii="宋体" w:hAnsi="宋体" w:eastAsia="宋体" w:cs="宋体"/>
          <w:color w:val="auto"/>
          <w:szCs w:val="21"/>
        </w:rPr>
        <w:t>，属于</w:t>
      </w:r>
      <w:r>
        <w:rPr>
          <w:rFonts w:hint="eastAsia" w:ascii="宋体" w:hAnsi="宋体" w:eastAsia="宋体" w:cs="宋体"/>
          <w:color w:val="auto"/>
          <w:szCs w:val="21"/>
          <w:u w:val="single"/>
        </w:rPr>
        <w:t>（采购文件中明确的所属行业）</w:t>
      </w:r>
      <w:r>
        <w:rPr>
          <w:rFonts w:hint="eastAsia" w:ascii="宋体" w:hAnsi="宋体" w:eastAsia="宋体" w:cs="宋体"/>
          <w:color w:val="auto"/>
          <w:szCs w:val="21"/>
        </w:rPr>
        <w:t>行业；制造商为</w:t>
      </w:r>
      <w:r>
        <w:rPr>
          <w:rFonts w:hint="eastAsia" w:ascii="宋体" w:hAnsi="宋体" w:eastAsia="宋体" w:cs="宋体"/>
          <w:color w:val="auto"/>
          <w:szCs w:val="21"/>
          <w:u w:val="single"/>
        </w:rPr>
        <w:t>（企业名称）</w:t>
      </w:r>
      <w:r>
        <w:rPr>
          <w:rFonts w:hint="eastAsia" w:ascii="宋体" w:hAnsi="宋体" w:eastAsia="宋体" w:cs="宋体"/>
          <w:color w:val="auto"/>
          <w:szCs w:val="21"/>
        </w:rPr>
        <w:t>，从业人员人，营业收入为万元，资产总额为万元，属于（中型企业、小型企业、微型企业）；</w:t>
      </w:r>
    </w:p>
    <w:p w14:paraId="119AAC9C">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 </w:t>
      </w:r>
      <w:r>
        <w:rPr>
          <w:rFonts w:hint="eastAsia" w:ascii="宋体" w:hAnsi="宋体" w:eastAsia="宋体" w:cs="宋体"/>
          <w:color w:val="auto"/>
          <w:szCs w:val="21"/>
          <w:u w:val="single"/>
        </w:rPr>
        <w:t xml:space="preserve">（标的名称） </w:t>
      </w:r>
      <w:r>
        <w:rPr>
          <w:rFonts w:hint="eastAsia" w:ascii="宋体" w:hAnsi="宋体" w:eastAsia="宋体" w:cs="宋体"/>
          <w:color w:val="auto"/>
          <w:szCs w:val="21"/>
        </w:rPr>
        <w:t>，属于</w:t>
      </w:r>
      <w:r>
        <w:rPr>
          <w:rFonts w:hint="eastAsia" w:ascii="宋体" w:hAnsi="宋体" w:eastAsia="宋体" w:cs="宋体"/>
          <w:color w:val="auto"/>
          <w:szCs w:val="21"/>
          <w:u w:val="single"/>
        </w:rPr>
        <w:t>（采购文件中明确的所属行业）</w:t>
      </w:r>
      <w:r>
        <w:rPr>
          <w:rFonts w:hint="eastAsia" w:ascii="宋体" w:hAnsi="宋体" w:eastAsia="宋体" w:cs="宋体"/>
          <w:color w:val="auto"/>
          <w:szCs w:val="21"/>
        </w:rPr>
        <w:t>行业；制造商为</w:t>
      </w:r>
      <w:r>
        <w:rPr>
          <w:rFonts w:hint="eastAsia" w:ascii="宋体" w:hAnsi="宋体" w:eastAsia="宋体" w:cs="宋体"/>
          <w:color w:val="auto"/>
          <w:szCs w:val="21"/>
          <w:u w:val="single"/>
        </w:rPr>
        <w:t>（企业名称）</w:t>
      </w:r>
      <w:r>
        <w:rPr>
          <w:rFonts w:hint="eastAsia" w:ascii="宋体" w:hAnsi="宋体" w:eastAsia="宋体" w:cs="宋体"/>
          <w:color w:val="auto"/>
          <w:szCs w:val="21"/>
        </w:rPr>
        <w:t>，从业人员人，营业收入为万元，资产总额为万元，属于（中型企业、小型企业、微型企业）；</w:t>
      </w:r>
    </w:p>
    <w:p w14:paraId="0160C72C">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p>
    <w:p w14:paraId="0AE5524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以上企业，不属于大企业的分支机构，不存在控股股东为大企业的情形，也不存在与大企业的负责人为同一人的情形。</w:t>
      </w:r>
    </w:p>
    <w:p w14:paraId="705C9E9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本企业对上述声明内容的真实性负责。如有虚假，将依法承担相应责任。</w:t>
      </w:r>
    </w:p>
    <w:p w14:paraId="4100FB63">
      <w:pPr>
        <w:ind w:firstLine="3544"/>
        <w:rPr>
          <w:rFonts w:hint="eastAsia" w:ascii="宋体" w:hAnsi="宋体" w:eastAsia="宋体" w:cs="宋体"/>
          <w:color w:val="auto"/>
          <w:kern w:val="0"/>
          <w:szCs w:val="21"/>
        </w:rPr>
      </w:pPr>
    </w:p>
    <w:p w14:paraId="21134B25">
      <w:pPr>
        <w:rPr>
          <w:rFonts w:hint="eastAsia" w:ascii="宋体" w:hAnsi="宋体" w:eastAsia="宋体" w:cs="宋体"/>
          <w:color w:val="auto"/>
          <w:kern w:val="0"/>
          <w:szCs w:val="21"/>
        </w:rPr>
      </w:pPr>
      <w:r>
        <w:rPr>
          <w:rFonts w:hint="eastAsia" w:ascii="宋体" w:hAnsi="宋体" w:eastAsia="宋体" w:cs="宋体"/>
          <w:color w:val="auto"/>
          <w:kern w:val="0"/>
          <w:szCs w:val="21"/>
        </w:rPr>
        <w:t>企业名称</w:t>
      </w:r>
      <w:r>
        <w:rPr>
          <w:rFonts w:hint="eastAsia" w:ascii="宋体" w:hAnsi="宋体" w:eastAsia="宋体" w:cs="宋体"/>
          <w:color w:val="auto"/>
          <w:szCs w:val="21"/>
        </w:rPr>
        <w:t>[公章(CA签章)，属自然人的应签名并加盖大拇指指印或个人CA签章]</w:t>
      </w:r>
      <w:r>
        <w:rPr>
          <w:rFonts w:hint="eastAsia" w:ascii="宋体" w:hAnsi="宋体" w:eastAsia="宋体" w:cs="宋体"/>
          <w:color w:val="auto"/>
          <w:kern w:val="0"/>
          <w:szCs w:val="21"/>
        </w:rPr>
        <w:t>：</w:t>
      </w:r>
      <w:r>
        <w:rPr>
          <w:rFonts w:hint="eastAsia" w:ascii="宋体" w:hAnsi="宋体" w:eastAsia="宋体" w:cs="宋体"/>
          <w:color w:val="auto"/>
          <w:szCs w:val="21"/>
          <w:u w:val="single"/>
        </w:rPr>
        <w:t xml:space="preserve">　 </w:t>
      </w:r>
    </w:p>
    <w:p w14:paraId="3D4FEEDF">
      <w:pPr>
        <w:ind w:firstLine="3544"/>
        <w:rPr>
          <w:rFonts w:hint="eastAsia" w:ascii="宋体" w:hAnsi="宋体" w:eastAsia="宋体" w:cs="宋体"/>
          <w:color w:val="auto"/>
          <w:kern w:val="0"/>
          <w:szCs w:val="21"/>
          <w:u w:val="single"/>
        </w:rPr>
      </w:pPr>
      <w:r>
        <w:rPr>
          <w:rFonts w:hint="eastAsia" w:ascii="宋体" w:hAnsi="宋体" w:eastAsia="宋体" w:cs="宋体"/>
          <w:color w:val="auto"/>
          <w:kern w:val="0"/>
          <w:szCs w:val="21"/>
        </w:rPr>
        <w:t>日 期：</w:t>
      </w:r>
    </w:p>
    <w:p w14:paraId="1041A13C">
      <w:pPr>
        <w:ind w:firstLine="552"/>
        <w:rPr>
          <w:rFonts w:hint="eastAsia" w:ascii="宋体" w:hAnsi="宋体" w:eastAsia="宋体" w:cs="宋体"/>
          <w:color w:val="auto"/>
          <w:kern w:val="0"/>
          <w:szCs w:val="21"/>
        </w:rPr>
      </w:pPr>
    </w:p>
    <w:p w14:paraId="4E40B25F">
      <w:pPr>
        <w:pStyle w:val="10"/>
        <w:spacing w:line="340" w:lineRule="exact"/>
        <w:rPr>
          <w:rFonts w:hint="eastAsia" w:ascii="宋体" w:hAnsi="宋体" w:eastAsia="宋体" w:cs="宋体"/>
          <w:b/>
          <w:color w:val="auto"/>
          <w:szCs w:val="21"/>
        </w:rPr>
      </w:pPr>
      <w:r>
        <w:rPr>
          <w:rFonts w:hint="eastAsia" w:ascii="宋体" w:hAnsi="宋体" w:eastAsia="宋体" w:cs="宋体"/>
          <w:color w:val="auto"/>
          <w:kern w:val="0"/>
          <w:szCs w:val="21"/>
        </w:rPr>
        <w:t>从业人员、营业收入、资产总额填报上一年度数据，无上一年度数据的新成立企业可不填报。</w:t>
      </w:r>
    </w:p>
    <w:p w14:paraId="04175FB0">
      <w:pPr>
        <w:pStyle w:val="10"/>
        <w:spacing w:line="440" w:lineRule="exact"/>
        <w:jc w:val="center"/>
        <w:rPr>
          <w:rFonts w:hint="eastAsia" w:ascii="宋体" w:hAnsi="宋体" w:eastAsia="宋体" w:cs="宋体"/>
          <w:b/>
          <w:bCs/>
          <w:color w:val="auto"/>
          <w:sz w:val="28"/>
          <w:szCs w:val="28"/>
        </w:rPr>
      </w:pPr>
    </w:p>
    <w:p w14:paraId="49B8BF7D">
      <w:pPr>
        <w:pStyle w:val="10"/>
        <w:spacing w:line="340" w:lineRule="exact"/>
        <w:rPr>
          <w:rFonts w:hint="eastAsia" w:ascii="宋体" w:hAnsi="宋体" w:eastAsia="宋体" w:cs="宋体"/>
          <w:b/>
          <w:color w:val="auto"/>
          <w:sz w:val="24"/>
          <w:szCs w:val="24"/>
        </w:rPr>
      </w:pPr>
    </w:p>
    <w:p w14:paraId="54595D03">
      <w:pPr>
        <w:spacing w:line="588" w:lineRule="exact"/>
        <w:jc w:val="center"/>
        <w:rPr>
          <w:rFonts w:hint="eastAsia" w:ascii="宋体" w:hAnsi="宋体" w:eastAsia="宋体" w:cs="宋体"/>
          <w:b/>
          <w:color w:val="auto"/>
          <w:spacing w:val="6"/>
          <w:sz w:val="30"/>
          <w:szCs w:val="30"/>
        </w:rPr>
      </w:pPr>
      <w:r>
        <w:rPr>
          <w:rFonts w:hint="eastAsia" w:ascii="宋体" w:hAnsi="宋体" w:eastAsia="宋体" w:cs="宋体"/>
          <w:b/>
          <w:color w:val="auto"/>
          <w:spacing w:val="6"/>
          <w:sz w:val="32"/>
          <w:szCs w:val="32"/>
        </w:rPr>
        <w:t>残疾人福利性单位声明函（格式）</w:t>
      </w:r>
    </w:p>
    <w:p w14:paraId="454F31F9">
      <w:pPr>
        <w:spacing w:line="360" w:lineRule="auto"/>
        <w:ind w:firstLine="550"/>
        <w:rPr>
          <w:rFonts w:hint="eastAsia" w:ascii="宋体" w:hAnsi="宋体" w:eastAsia="宋体" w:cs="宋体"/>
          <w:color w:val="auto"/>
          <w:kern w:val="0"/>
          <w:szCs w:val="21"/>
        </w:rPr>
      </w:pPr>
    </w:p>
    <w:p w14:paraId="2391615A">
      <w:pPr>
        <w:spacing w:line="360" w:lineRule="auto"/>
        <w:ind w:firstLine="550"/>
        <w:rPr>
          <w:rFonts w:hint="eastAsia" w:ascii="宋体" w:hAnsi="宋体" w:eastAsia="宋体" w:cs="宋体"/>
          <w:color w:val="auto"/>
          <w:kern w:val="0"/>
          <w:szCs w:val="21"/>
        </w:rPr>
      </w:pPr>
      <w:r>
        <w:rPr>
          <w:rFonts w:hint="eastAsia" w:ascii="宋体" w:hAnsi="宋体" w:eastAsia="宋体" w:cs="宋体"/>
          <w:color w:val="auto"/>
          <w:kern w:val="0"/>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kern w:val="0"/>
          <w:szCs w:val="21"/>
          <w:u w:val="single"/>
        </w:rPr>
        <w:t xml:space="preserve">  （采购人名称） </w:t>
      </w:r>
      <w:r>
        <w:rPr>
          <w:rFonts w:hint="eastAsia" w:ascii="宋体" w:hAnsi="宋体" w:eastAsia="宋体" w:cs="宋体"/>
          <w:color w:val="auto"/>
          <w:kern w:val="0"/>
          <w:szCs w:val="21"/>
        </w:rPr>
        <w:t>单位的</w:t>
      </w:r>
      <w:r>
        <w:rPr>
          <w:rFonts w:hint="eastAsia" w:ascii="宋体" w:hAnsi="宋体" w:eastAsia="宋体" w:cs="宋体"/>
          <w:color w:val="auto"/>
          <w:kern w:val="0"/>
          <w:szCs w:val="21"/>
          <w:u w:val="single"/>
        </w:rPr>
        <w:t xml:space="preserve">  （项目名称）  </w:t>
      </w:r>
      <w:r>
        <w:rPr>
          <w:rFonts w:hint="eastAsia" w:ascii="宋体" w:hAnsi="宋体" w:eastAsia="宋体" w:cs="宋体"/>
          <w:color w:val="auto"/>
          <w:kern w:val="0"/>
          <w:szCs w:val="21"/>
        </w:rPr>
        <w:t>项目采购活动提供本单位制造的货物（由本单位承担工程/提供服务），或者提供其他残疾人福利性单位制造的货物（不包括使用非残疾人福利性单位注册商标的货物）。</w:t>
      </w:r>
    </w:p>
    <w:p w14:paraId="31FE8656">
      <w:pPr>
        <w:spacing w:line="360" w:lineRule="auto"/>
        <w:ind w:firstLine="550"/>
        <w:rPr>
          <w:rFonts w:hint="eastAsia" w:ascii="宋体" w:hAnsi="宋体" w:eastAsia="宋体" w:cs="宋体"/>
          <w:color w:val="auto"/>
          <w:kern w:val="0"/>
          <w:szCs w:val="21"/>
        </w:rPr>
      </w:pPr>
      <w:r>
        <w:rPr>
          <w:rFonts w:hint="eastAsia" w:ascii="宋体" w:hAnsi="宋体" w:eastAsia="宋体" w:cs="宋体"/>
          <w:color w:val="auto"/>
          <w:kern w:val="0"/>
          <w:szCs w:val="21"/>
        </w:rPr>
        <w:t>本单位对上述声明的真实性负责。如有虚假，将依法承担相应责任。</w:t>
      </w:r>
    </w:p>
    <w:p w14:paraId="23574F20">
      <w:pPr>
        <w:spacing w:line="360" w:lineRule="auto"/>
        <w:ind w:firstLine="550"/>
        <w:rPr>
          <w:rFonts w:hint="eastAsia" w:ascii="宋体" w:hAnsi="宋体" w:eastAsia="宋体" w:cs="宋体"/>
          <w:color w:val="auto"/>
          <w:kern w:val="0"/>
          <w:szCs w:val="21"/>
        </w:rPr>
      </w:pPr>
      <w:r>
        <w:rPr>
          <w:rFonts w:hint="eastAsia" w:ascii="宋体" w:hAnsi="宋体" w:eastAsia="宋体" w:cs="宋体"/>
          <w:color w:val="auto"/>
          <w:kern w:val="0"/>
          <w:szCs w:val="21"/>
        </w:rPr>
        <w:t>企业名称[公章(CA签章)，</w:t>
      </w:r>
      <w:r>
        <w:rPr>
          <w:rFonts w:hint="eastAsia" w:ascii="宋体" w:hAnsi="宋体" w:eastAsia="宋体" w:cs="宋体"/>
          <w:color w:val="auto"/>
          <w:szCs w:val="21"/>
        </w:rPr>
        <w:t>属自然人的应签名并加盖大拇指指印或个人CA签章</w:t>
      </w:r>
      <w:r>
        <w:rPr>
          <w:rFonts w:hint="eastAsia" w:ascii="宋体" w:hAnsi="宋体" w:eastAsia="宋体" w:cs="宋体"/>
          <w:color w:val="auto"/>
          <w:kern w:val="0"/>
          <w:szCs w:val="21"/>
        </w:rPr>
        <w:t>]：</w:t>
      </w:r>
      <w:r>
        <w:rPr>
          <w:rFonts w:hint="eastAsia" w:ascii="宋体" w:hAnsi="宋体" w:eastAsia="宋体" w:cs="宋体"/>
          <w:color w:val="auto"/>
          <w:szCs w:val="21"/>
          <w:u w:val="single"/>
        </w:rPr>
        <w:t xml:space="preserve">　 </w:t>
      </w:r>
    </w:p>
    <w:p w14:paraId="7BC7796F">
      <w:pPr>
        <w:spacing w:line="340" w:lineRule="exact"/>
        <w:ind w:left="420"/>
        <w:jc w:val="center"/>
        <w:rPr>
          <w:rFonts w:hint="eastAsia" w:ascii="宋体" w:hAnsi="宋体" w:eastAsia="宋体" w:cs="宋体"/>
          <w:color w:val="auto"/>
          <w:kern w:val="0"/>
          <w:szCs w:val="21"/>
          <w:u w:val="single"/>
        </w:rPr>
      </w:pPr>
      <w:r>
        <w:rPr>
          <w:rFonts w:hint="eastAsia" w:ascii="宋体" w:hAnsi="宋体" w:eastAsia="宋体" w:cs="宋体"/>
          <w:color w:val="auto"/>
          <w:kern w:val="0"/>
          <w:szCs w:val="21"/>
        </w:rPr>
        <w:t>日 期：</w:t>
      </w:r>
      <w:r>
        <w:rPr>
          <w:rFonts w:hint="eastAsia" w:ascii="宋体" w:hAnsi="宋体" w:eastAsia="宋体" w:cs="宋体"/>
          <w:color w:val="auto"/>
          <w:szCs w:val="21"/>
          <w:u w:val="single"/>
        </w:rPr>
        <w:t xml:space="preserve">　 </w:t>
      </w:r>
    </w:p>
    <w:p w14:paraId="57AA71A8">
      <w:pPr>
        <w:spacing w:line="340" w:lineRule="exact"/>
        <w:rPr>
          <w:rFonts w:hint="eastAsia" w:ascii="宋体" w:hAnsi="宋体" w:eastAsia="宋体" w:cs="宋体"/>
          <w:color w:val="auto"/>
          <w:kern w:val="0"/>
          <w:szCs w:val="21"/>
          <w:u w:val="single"/>
        </w:rPr>
      </w:pPr>
    </w:p>
    <w:p w14:paraId="6A7062CF">
      <w:pPr>
        <w:spacing w:line="340" w:lineRule="exact"/>
        <w:rPr>
          <w:rFonts w:hint="eastAsia" w:ascii="宋体" w:hAnsi="宋体" w:eastAsia="宋体" w:cs="宋体"/>
          <w:color w:val="auto"/>
          <w:kern w:val="0"/>
          <w:szCs w:val="21"/>
          <w:u w:val="single"/>
        </w:rPr>
      </w:pPr>
    </w:p>
    <w:p w14:paraId="03D659D7">
      <w:pPr>
        <w:spacing w:line="340" w:lineRule="exact"/>
        <w:rPr>
          <w:rFonts w:hint="eastAsia" w:ascii="宋体" w:hAnsi="宋体" w:eastAsia="宋体" w:cs="宋体"/>
          <w:color w:val="auto"/>
          <w:kern w:val="0"/>
          <w:szCs w:val="21"/>
          <w:u w:val="single"/>
        </w:rPr>
      </w:pPr>
    </w:p>
    <w:p w14:paraId="19576733">
      <w:pPr>
        <w:snapToGrid w:val="0"/>
        <w:spacing w:line="360" w:lineRule="exact"/>
        <w:ind w:firstLine="643" w:firstLineChars="200"/>
        <w:outlineLvl w:val="4"/>
        <w:rPr>
          <w:rFonts w:hint="eastAsia" w:ascii="宋体" w:hAnsi="宋体" w:eastAsia="宋体" w:cs="宋体"/>
          <w:b/>
          <w:color w:val="auto"/>
          <w:sz w:val="32"/>
          <w:szCs w:val="32"/>
        </w:rPr>
      </w:pPr>
      <w:r>
        <w:rPr>
          <w:rFonts w:hint="eastAsia" w:ascii="宋体" w:hAnsi="宋体" w:eastAsia="宋体" w:cs="宋体"/>
          <w:b/>
          <w:color w:val="auto"/>
          <w:sz w:val="32"/>
          <w:szCs w:val="32"/>
        </w:rPr>
        <w:t>政策性加分证明材料：</w:t>
      </w:r>
    </w:p>
    <w:p w14:paraId="47D567E4">
      <w:pPr>
        <w:snapToGrid w:val="0"/>
        <w:spacing w:line="360" w:lineRule="exact"/>
        <w:ind w:firstLine="643" w:firstLineChars="200"/>
        <w:outlineLvl w:val="4"/>
        <w:rPr>
          <w:rFonts w:hint="eastAsia" w:ascii="宋体" w:hAnsi="宋体" w:eastAsia="宋体" w:cs="宋体"/>
          <w:b/>
          <w:color w:val="auto"/>
          <w:sz w:val="32"/>
          <w:szCs w:val="32"/>
        </w:rPr>
      </w:pPr>
    </w:p>
    <w:p w14:paraId="0EF0BEB6">
      <w:pPr>
        <w:snapToGrid w:val="0"/>
        <w:spacing w:line="360" w:lineRule="exact"/>
        <w:ind w:firstLine="480" w:firstLineChars="200"/>
        <w:outlineLvl w:val="4"/>
        <w:rPr>
          <w:rFonts w:hint="eastAsia" w:ascii="宋体" w:hAnsi="宋体" w:eastAsia="宋体" w:cs="宋体"/>
          <w:color w:val="auto"/>
          <w:sz w:val="24"/>
        </w:rPr>
      </w:pPr>
      <w:r>
        <w:rPr>
          <w:rFonts w:hint="eastAsia" w:ascii="宋体" w:hAnsi="宋体" w:eastAsia="宋体" w:cs="宋体"/>
          <w:color w:val="auto"/>
          <w:sz w:val="24"/>
        </w:rPr>
        <w:t>①节能产品：属于财政部《节能产品政府采购品目清单》内优先采购（清单内未标注“★”的品目）的产品[响应文件中提供</w:t>
      </w:r>
      <w:r>
        <w:rPr>
          <w:rFonts w:hint="eastAsia" w:ascii="宋体" w:hAnsi="宋体" w:eastAsia="宋体" w:cs="宋体"/>
          <w:bCs/>
          <w:color w:val="auto"/>
          <w:sz w:val="24"/>
        </w:rPr>
        <w:t>国家确定的认证机构出具的、处于有效期之内的认证证书复印件</w:t>
      </w:r>
      <w:r>
        <w:rPr>
          <w:rFonts w:hint="eastAsia" w:ascii="宋体" w:hAnsi="宋体" w:eastAsia="宋体" w:cs="宋体"/>
          <w:color w:val="auto"/>
          <w:sz w:val="24"/>
        </w:rPr>
        <w:t>，并加盖供应商公章(CA签章)；</w:t>
      </w:r>
    </w:p>
    <w:p w14:paraId="3868E0B6">
      <w:pPr>
        <w:snapToGrid w:val="0"/>
        <w:spacing w:line="360" w:lineRule="exact"/>
        <w:ind w:firstLine="480" w:firstLineChars="200"/>
        <w:outlineLvl w:val="4"/>
        <w:rPr>
          <w:rFonts w:hint="eastAsia" w:ascii="宋体" w:hAnsi="宋体" w:eastAsia="宋体" w:cs="宋体"/>
          <w:color w:val="auto"/>
          <w:sz w:val="24"/>
        </w:rPr>
      </w:pPr>
      <w:r>
        <w:rPr>
          <w:rFonts w:hint="eastAsia" w:ascii="宋体" w:hAnsi="宋体" w:eastAsia="宋体" w:cs="宋体"/>
          <w:color w:val="auto"/>
          <w:sz w:val="24"/>
        </w:rPr>
        <w:t>②环境标志产品：属于财政部《环境标志产品政府采购品目清单》内的产品[响应文件中提供</w:t>
      </w:r>
      <w:r>
        <w:rPr>
          <w:rFonts w:hint="eastAsia" w:ascii="宋体" w:hAnsi="宋体" w:eastAsia="宋体" w:cs="宋体"/>
          <w:bCs/>
          <w:color w:val="auto"/>
          <w:sz w:val="24"/>
        </w:rPr>
        <w:t>国家确定的认证机构出具的、处于有效期之内的认证证书复印件</w:t>
      </w:r>
      <w:r>
        <w:rPr>
          <w:rFonts w:hint="eastAsia" w:ascii="宋体" w:hAnsi="宋体" w:eastAsia="宋体" w:cs="宋体"/>
          <w:color w:val="auto"/>
          <w:sz w:val="24"/>
        </w:rPr>
        <w:t>，并加盖供应商公章(CA签章)。</w:t>
      </w:r>
    </w:p>
    <w:p w14:paraId="5CA5772C">
      <w:pPr>
        <w:pageBreakBefore/>
        <w:rPr>
          <w:rStyle w:val="27"/>
          <w:rFonts w:hint="eastAsia" w:ascii="宋体" w:hAnsi="宋体" w:eastAsia="宋体" w:cs="宋体"/>
          <w:b/>
          <w:bCs/>
          <w:color w:val="auto"/>
        </w:rPr>
      </w:pPr>
      <w:r>
        <w:rPr>
          <w:rStyle w:val="27"/>
          <w:rFonts w:hint="eastAsia" w:ascii="宋体" w:hAnsi="宋体" w:eastAsia="宋体" w:cs="宋体"/>
          <w:b/>
          <w:bCs/>
          <w:color w:val="auto"/>
          <w:sz w:val="30"/>
          <w:szCs w:val="30"/>
        </w:rPr>
        <w:t>附表</w:t>
      </w:r>
    </w:p>
    <w:p w14:paraId="6FFE8150">
      <w:pPr>
        <w:spacing w:before="120" w:after="120" w:line="400" w:lineRule="exact"/>
        <w:jc w:val="center"/>
        <w:rPr>
          <w:rStyle w:val="27"/>
          <w:rFonts w:hint="eastAsia" w:ascii="宋体" w:hAnsi="宋体" w:eastAsia="宋体" w:cs="宋体"/>
          <w:b/>
          <w:bCs/>
          <w:color w:val="auto"/>
          <w:kern w:val="0"/>
          <w:sz w:val="30"/>
          <w:szCs w:val="30"/>
        </w:rPr>
      </w:pPr>
      <w:r>
        <w:rPr>
          <w:rStyle w:val="27"/>
          <w:rFonts w:hint="eastAsia" w:ascii="宋体" w:hAnsi="宋体" w:eastAsia="宋体" w:cs="宋体"/>
          <w:b/>
          <w:bCs/>
          <w:color w:val="auto"/>
          <w:kern w:val="0"/>
          <w:sz w:val="30"/>
          <w:szCs w:val="30"/>
        </w:rPr>
        <w:t>统计上大中小微型企业划分标准</w:t>
      </w:r>
    </w:p>
    <w:tbl>
      <w:tblPr>
        <w:tblStyle w:val="1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14:paraId="5647D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blHeader/>
        </w:trPr>
        <w:tc>
          <w:tcPr>
            <w:tcW w:w="2113"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7D4BDCA3">
            <w:pPr>
              <w:spacing w:line="240" w:lineRule="exact"/>
              <w:jc w:val="center"/>
              <w:rPr>
                <w:rStyle w:val="27"/>
                <w:rFonts w:hint="eastAsia" w:ascii="宋体" w:hAnsi="宋体" w:eastAsia="宋体" w:cs="宋体"/>
                <w:b/>
                <w:bCs/>
                <w:color w:val="auto"/>
                <w:kern w:val="0"/>
                <w:sz w:val="18"/>
                <w:szCs w:val="21"/>
              </w:rPr>
            </w:pPr>
            <w:r>
              <w:rPr>
                <w:rStyle w:val="27"/>
                <w:rFonts w:hint="eastAsia" w:ascii="宋体" w:hAnsi="宋体" w:eastAsia="宋体" w:cs="宋体"/>
                <w:b/>
                <w:bCs/>
                <w:color w:val="auto"/>
                <w:kern w:val="0"/>
                <w:sz w:val="18"/>
                <w:szCs w:val="21"/>
              </w:rPr>
              <w:t>行业名称</w:t>
            </w:r>
          </w:p>
        </w:tc>
        <w:tc>
          <w:tcPr>
            <w:tcW w:w="1369"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44F95A65">
            <w:pPr>
              <w:jc w:val="center"/>
              <w:rPr>
                <w:rStyle w:val="27"/>
                <w:rFonts w:hint="eastAsia" w:ascii="宋体" w:hAnsi="宋体" w:eastAsia="宋体" w:cs="宋体"/>
                <w:b/>
                <w:bCs/>
                <w:color w:val="auto"/>
                <w:kern w:val="0"/>
                <w:sz w:val="18"/>
                <w:szCs w:val="18"/>
              </w:rPr>
            </w:pPr>
            <w:r>
              <w:rPr>
                <w:rStyle w:val="27"/>
                <w:rFonts w:hint="eastAsia" w:ascii="宋体" w:hAnsi="宋体" w:eastAsia="宋体" w:cs="宋体"/>
                <w:b/>
                <w:bCs/>
                <w:color w:val="auto"/>
                <w:kern w:val="0"/>
                <w:sz w:val="18"/>
                <w:szCs w:val="18"/>
              </w:rPr>
              <w:t>指标名称</w:t>
            </w:r>
          </w:p>
        </w:tc>
        <w:tc>
          <w:tcPr>
            <w:tcW w:w="709"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0674BAF4">
            <w:pPr>
              <w:jc w:val="center"/>
              <w:rPr>
                <w:rStyle w:val="27"/>
                <w:rFonts w:hint="eastAsia" w:ascii="宋体" w:hAnsi="宋体" w:eastAsia="宋体" w:cs="宋体"/>
                <w:b/>
                <w:bCs/>
                <w:color w:val="auto"/>
                <w:kern w:val="0"/>
                <w:sz w:val="18"/>
                <w:szCs w:val="18"/>
              </w:rPr>
            </w:pPr>
            <w:r>
              <w:rPr>
                <w:rStyle w:val="27"/>
                <w:rFonts w:hint="eastAsia" w:ascii="宋体" w:hAnsi="宋体" w:eastAsia="宋体" w:cs="宋体"/>
                <w:b/>
                <w:bCs/>
                <w:color w:val="auto"/>
                <w:kern w:val="0"/>
                <w:sz w:val="18"/>
                <w:szCs w:val="18"/>
              </w:rPr>
              <w:t>计量</w:t>
            </w:r>
          </w:p>
          <w:p w14:paraId="652D9B6A">
            <w:pPr>
              <w:jc w:val="center"/>
              <w:rPr>
                <w:rStyle w:val="27"/>
                <w:rFonts w:hint="eastAsia" w:ascii="宋体" w:hAnsi="宋体" w:eastAsia="宋体" w:cs="宋体"/>
                <w:b/>
                <w:bCs/>
                <w:color w:val="auto"/>
                <w:kern w:val="0"/>
                <w:sz w:val="18"/>
                <w:szCs w:val="18"/>
              </w:rPr>
            </w:pPr>
            <w:r>
              <w:rPr>
                <w:rStyle w:val="27"/>
                <w:rFonts w:hint="eastAsia" w:ascii="宋体" w:hAnsi="宋体" w:eastAsia="宋体" w:cs="宋体"/>
                <w:b/>
                <w:bCs/>
                <w:color w:val="auto"/>
                <w:kern w:val="0"/>
                <w:sz w:val="18"/>
                <w:szCs w:val="18"/>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4D328DE4">
            <w:pPr>
              <w:jc w:val="center"/>
              <w:rPr>
                <w:rStyle w:val="27"/>
                <w:rFonts w:hint="eastAsia" w:ascii="宋体" w:hAnsi="宋体" w:eastAsia="宋体" w:cs="宋体"/>
                <w:b/>
                <w:bCs/>
                <w:color w:val="auto"/>
                <w:kern w:val="0"/>
                <w:sz w:val="18"/>
                <w:szCs w:val="18"/>
              </w:rPr>
            </w:pPr>
            <w:r>
              <w:rPr>
                <w:rStyle w:val="27"/>
                <w:rFonts w:hint="eastAsia" w:ascii="宋体" w:hAnsi="宋体" w:eastAsia="宋体" w:cs="宋体"/>
                <w:b/>
                <w:bCs/>
                <w:color w:val="auto"/>
                <w:kern w:val="0"/>
                <w:sz w:val="18"/>
                <w:szCs w:val="18"/>
              </w:rPr>
              <w:t>大型</w:t>
            </w:r>
          </w:p>
        </w:tc>
        <w:tc>
          <w:tcPr>
            <w:tcW w:w="1701"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1C7DC5A9">
            <w:pPr>
              <w:jc w:val="center"/>
              <w:rPr>
                <w:rStyle w:val="27"/>
                <w:rFonts w:hint="eastAsia" w:ascii="宋体" w:hAnsi="宋体" w:eastAsia="宋体" w:cs="宋体"/>
                <w:b/>
                <w:bCs/>
                <w:color w:val="auto"/>
                <w:kern w:val="0"/>
                <w:sz w:val="18"/>
                <w:szCs w:val="18"/>
              </w:rPr>
            </w:pPr>
            <w:r>
              <w:rPr>
                <w:rStyle w:val="27"/>
                <w:rFonts w:hint="eastAsia" w:ascii="宋体" w:hAnsi="宋体" w:eastAsia="宋体" w:cs="宋体"/>
                <w:b/>
                <w:bCs/>
                <w:color w:val="auto"/>
                <w:kern w:val="0"/>
                <w:sz w:val="18"/>
                <w:szCs w:val="18"/>
              </w:rPr>
              <w:t>中型</w:t>
            </w:r>
          </w:p>
        </w:tc>
        <w:tc>
          <w:tcPr>
            <w:tcW w:w="1426"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0FA2B212">
            <w:pPr>
              <w:jc w:val="center"/>
              <w:rPr>
                <w:rStyle w:val="27"/>
                <w:rFonts w:hint="eastAsia" w:ascii="宋体" w:hAnsi="宋体" w:eastAsia="宋体" w:cs="宋体"/>
                <w:b/>
                <w:bCs/>
                <w:color w:val="auto"/>
                <w:kern w:val="0"/>
                <w:sz w:val="18"/>
                <w:szCs w:val="18"/>
              </w:rPr>
            </w:pPr>
            <w:r>
              <w:rPr>
                <w:rStyle w:val="27"/>
                <w:rFonts w:hint="eastAsia" w:ascii="宋体" w:hAnsi="宋体" w:eastAsia="宋体" w:cs="宋体"/>
                <w:b/>
                <w:bCs/>
                <w:color w:val="auto"/>
                <w:kern w:val="0"/>
                <w:sz w:val="18"/>
                <w:szCs w:val="18"/>
              </w:rPr>
              <w:t>小型</w:t>
            </w:r>
          </w:p>
        </w:tc>
        <w:tc>
          <w:tcPr>
            <w:tcW w:w="992"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065CB650">
            <w:pPr>
              <w:jc w:val="center"/>
              <w:rPr>
                <w:rStyle w:val="27"/>
                <w:rFonts w:hint="eastAsia" w:ascii="宋体" w:hAnsi="宋体" w:eastAsia="宋体" w:cs="宋体"/>
                <w:b/>
                <w:bCs/>
                <w:color w:val="auto"/>
                <w:kern w:val="0"/>
                <w:sz w:val="18"/>
                <w:szCs w:val="18"/>
              </w:rPr>
            </w:pPr>
            <w:r>
              <w:rPr>
                <w:rStyle w:val="27"/>
                <w:rFonts w:hint="eastAsia" w:ascii="宋体" w:hAnsi="宋体" w:eastAsia="宋体" w:cs="宋体"/>
                <w:b/>
                <w:bCs/>
                <w:color w:val="auto"/>
                <w:kern w:val="0"/>
                <w:sz w:val="18"/>
                <w:szCs w:val="18"/>
              </w:rPr>
              <w:t>微型</w:t>
            </w:r>
          </w:p>
        </w:tc>
      </w:tr>
      <w:tr w14:paraId="4A6F1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vAlign w:val="center"/>
          </w:tcPr>
          <w:p w14:paraId="3707CCDF">
            <w:pPr>
              <w:spacing w:line="240" w:lineRule="exact"/>
              <w:jc w:val="left"/>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农、林、牧、渔业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22ACEADE">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F18DD9B">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664379A">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DB7958B">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40F8379">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50≤Y＜500</w:t>
            </w:r>
          </w:p>
        </w:tc>
        <w:tc>
          <w:tcPr>
            <w:tcW w:w="992" w:type="dxa"/>
            <w:tcBorders>
              <w:top w:val="single" w:color="000000" w:sz="4" w:space="0"/>
              <w:left w:val="single" w:color="000000" w:sz="4" w:space="0"/>
              <w:bottom w:val="single" w:color="000000" w:sz="4" w:space="0"/>
              <w:right w:val="single" w:color="000000" w:sz="4" w:space="0"/>
            </w:tcBorders>
            <w:vAlign w:val="center"/>
          </w:tcPr>
          <w:p w14:paraId="47F089A1">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Y＜50</w:t>
            </w:r>
          </w:p>
        </w:tc>
      </w:tr>
      <w:tr w14:paraId="5D0D1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33EF0F6B">
            <w:pPr>
              <w:spacing w:line="240" w:lineRule="exact"/>
              <w:jc w:val="left"/>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工业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3B7986FE">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5E5509A9">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53315AC5">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EA46C5F">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971F220">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1298441C">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X＜20</w:t>
            </w:r>
          </w:p>
        </w:tc>
      </w:tr>
      <w:tr w14:paraId="7097C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4DDA1A6C">
            <w:pPr>
              <w:jc w:val="left"/>
              <w:rPr>
                <w:rStyle w:val="27"/>
                <w:rFonts w:hint="eastAsia" w:ascii="宋体" w:hAnsi="宋体" w:eastAsia="宋体" w:cs="宋体"/>
                <w:color w:val="auto"/>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3D5E02E">
            <w:pPr>
              <w:spacing w:line="240" w:lineRule="exact"/>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1E778B83">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16AE877">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727268D">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2000≤Y＜40000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512E34F">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300≤Y＜2000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929C87B">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Y＜300</w:t>
            </w:r>
          </w:p>
        </w:tc>
      </w:tr>
      <w:tr w14:paraId="52EDD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CC9E78F">
            <w:pPr>
              <w:spacing w:line="240" w:lineRule="exact"/>
              <w:jc w:val="left"/>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建筑业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6AFC19D1">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33B71D6F">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96AC91B">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9C15B91">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6000≤Y＜80000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4A84055">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300≤Y＜6000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B1C0690">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Y＜300</w:t>
            </w:r>
          </w:p>
        </w:tc>
      </w:tr>
      <w:tr w14:paraId="3EA24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3E793FB6">
            <w:pPr>
              <w:jc w:val="left"/>
              <w:rPr>
                <w:rStyle w:val="27"/>
                <w:rFonts w:hint="eastAsia" w:ascii="宋体" w:hAnsi="宋体" w:eastAsia="宋体" w:cs="宋体"/>
                <w:color w:val="auto"/>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2A7EC37">
            <w:pPr>
              <w:spacing w:line="240" w:lineRule="exact"/>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2CC34FA5">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EB5EBE9">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Z≥80000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E770D1F">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5000≤Z＜80000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7FFB642">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300≤Z＜5000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AD1BAB5">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Z＜300</w:t>
            </w:r>
          </w:p>
        </w:tc>
      </w:tr>
      <w:tr w14:paraId="56EAA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7770EEF7">
            <w:pPr>
              <w:spacing w:line="240" w:lineRule="exact"/>
              <w:jc w:val="left"/>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批发业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39AE71F6">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102F0620">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0AE9BEC2">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0BB9AFA">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20≤X＜200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7F08DAA">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5≤X＜20</w:t>
            </w:r>
          </w:p>
        </w:tc>
        <w:tc>
          <w:tcPr>
            <w:tcW w:w="992" w:type="dxa"/>
            <w:tcBorders>
              <w:top w:val="single" w:color="000000" w:sz="4" w:space="0"/>
              <w:left w:val="single" w:color="000000" w:sz="4" w:space="0"/>
              <w:bottom w:val="single" w:color="000000" w:sz="4" w:space="0"/>
              <w:right w:val="single" w:color="000000" w:sz="4" w:space="0"/>
            </w:tcBorders>
            <w:vAlign w:val="center"/>
          </w:tcPr>
          <w:p w14:paraId="06F8C355">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X＜5</w:t>
            </w:r>
          </w:p>
        </w:tc>
      </w:tr>
      <w:tr w14:paraId="6D272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49F24D1">
            <w:pPr>
              <w:jc w:val="left"/>
              <w:rPr>
                <w:rStyle w:val="27"/>
                <w:rFonts w:hint="eastAsia" w:ascii="宋体" w:hAnsi="宋体" w:eastAsia="宋体" w:cs="宋体"/>
                <w:color w:val="auto"/>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640686A">
            <w:pPr>
              <w:spacing w:line="240" w:lineRule="exact"/>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B2784F6">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1C67C76">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5E55F68">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5000≤Y＜40000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0D906BB">
            <w:pPr>
              <w:ind w:left="-1" w:leftChars="-1" w:hanging="1"/>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1000≤Y＜5000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15ECC292">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Y＜1000</w:t>
            </w:r>
          </w:p>
        </w:tc>
      </w:tr>
      <w:tr w14:paraId="00239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1AD6C772">
            <w:pPr>
              <w:spacing w:line="240" w:lineRule="exact"/>
              <w:jc w:val="left"/>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零售业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527C67B">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10D784C4">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7F81305B">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755EAC5">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50≤X＜300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29D1745">
            <w:pPr>
              <w:ind w:left="-1" w:leftChars="-1" w:hanging="1"/>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 xml:space="preserve">10≤X＜50 </w:t>
            </w:r>
          </w:p>
        </w:tc>
        <w:tc>
          <w:tcPr>
            <w:tcW w:w="992" w:type="dxa"/>
            <w:tcBorders>
              <w:top w:val="single" w:color="000000" w:sz="4" w:space="0"/>
              <w:left w:val="single" w:color="000000" w:sz="4" w:space="0"/>
              <w:bottom w:val="single" w:color="000000" w:sz="4" w:space="0"/>
              <w:right w:val="single" w:color="000000" w:sz="4" w:space="0"/>
            </w:tcBorders>
            <w:vAlign w:val="center"/>
          </w:tcPr>
          <w:p w14:paraId="0B620722">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X＜10</w:t>
            </w:r>
          </w:p>
        </w:tc>
      </w:tr>
      <w:tr w14:paraId="28CC7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47865E7">
            <w:pPr>
              <w:jc w:val="left"/>
              <w:rPr>
                <w:rStyle w:val="27"/>
                <w:rFonts w:hint="eastAsia" w:ascii="宋体" w:hAnsi="宋体" w:eastAsia="宋体" w:cs="宋体"/>
                <w:color w:val="auto"/>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962B600">
            <w:pPr>
              <w:spacing w:line="240" w:lineRule="exact"/>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304FCE55">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4D3997D">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B9BABCC">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B682242">
            <w:pPr>
              <w:ind w:left="-1" w:leftChars="-1" w:hanging="1"/>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100≤Y＜500</w:t>
            </w:r>
          </w:p>
        </w:tc>
        <w:tc>
          <w:tcPr>
            <w:tcW w:w="992" w:type="dxa"/>
            <w:tcBorders>
              <w:top w:val="single" w:color="000000" w:sz="4" w:space="0"/>
              <w:left w:val="single" w:color="000000" w:sz="4" w:space="0"/>
              <w:bottom w:val="single" w:color="000000" w:sz="4" w:space="0"/>
              <w:right w:val="single" w:color="000000" w:sz="4" w:space="0"/>
            </w:tcBorders>
            <w:vAlign w:val="center"/>
          </w:tcPr>
          <w:p w14:paraId="22EE5815">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Y＜100</w:t>
            </w:r>
          </w:p>
        </w:tc>
      </w:tr>
      <w:tr w14:paraId="53E6E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6A6C2459">
            <w:pPr>
              <w:spacing w:line="240" w:lineRule="exact"/>
              <w:jc w:val="left"/>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交通运输业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143088C1">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7189940D">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3725DA75">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CC8162B">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EDD4184">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25F1FF4E">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X＜20</w:t>
            </w:r>
          </w:p>
        </w:tc>
      </w:tr>
      <w:tr w14:paraId="7B833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D385030">
            <w:pPr>
              <w:jc w:val="left"/>
              <w:rPr>
                <w:rStyle w:val="27"/>
                <w:rFonts w:hint="eastAsia" w:ascii="宋体" w:hAnsi="宋体" w:eastAsia="宋体" w:cs="宋体"/>
                <w:color w:val="auto"/>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DBA55CA">
            <w:pPr>
              <w:spacing w:line="240" w:lineRule="exact"/>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13D44DF0">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B7BF55B">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6173985">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3000≤Y＜30000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35DC0F6">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200≤Y＜3000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2115FB3">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Y＜200</w:t>
            </w:r>
          </w:p>
        </w:tc>
      </w:tr>
      <w:tr w14:paraId="6F128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3362C6B8">
            <w:pPr>
              <w:spacing w:line="240" w:lineRule="exact"/>
              <w:jc w:val="left"/>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仓储业*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4F4F4C0F">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2700DFEA">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0F3A0E51">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B0E5A7F">
            <w:pPr>
              <w:ind w:left="1" w:leftChars="-51" w:hanging="108"/>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2CA7E57">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20≤X＜100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550262F7">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X＜20</w:t>
            </w:r>
          </w:p>
        </w:tc>
      </w:tr>
      <w:tr w14:paraId="33001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5299D77">
            <w:pPr>
              <w:jc w:val="left"/>
              <w:rPr>
                <w:rStyle w:val="27"/>
                <w:rFonts w:hint="eastAsia" w:ascii="宋体" w:hAnsi="宋体" w:eastAsia="宋体" w:cs="宋体"/>
                <w:color w:val="auto"/>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B809CAF">
            <w:pPr>
              <w:spacing w:line="240" w:lineRule="exact"/>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1AAEAF6">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21FD9C9F">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F813171">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3DFC16E">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56DDB20">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Y＜100</w:t>
            </w:r>
          </w:p>
        </w:tc>
      </w:tr>
      <w:tr w14:paraId="5B7B7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6F2C47FB">
            <w:pPr>
              <w:spacing w:line="240" w:lineRule="exact"/>
              <w:jc w:val="left"/>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邮政业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12FFDBFC">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11D9808A">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444D668C">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2897DCB">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BDB97B8">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4FC665F0">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X＜20</w:t>
            </w:r>
          </w:p>
        </w:tc>
      </w:tr>
      <w:tr w14:paraId="5D76A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97196F2">
            <w:pPr>
              <w:jc w:val="left"/>
              <w:rPr>
                <w:rStyle w:val="27"/>
                <w:rFonts w:hint="eastAsia" w:ascii="宋体" w:hAnsi="宋体" w:eastAsia="宋体" w:cs="宋体"/>
                <w:color w:val="auto"/>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5579513">
            <w:pPr>
              <w:spacing w:line="240" w:lineRule="exact"/>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210A5BF">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C4C38B4">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CFA98CE">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2000≤Y＜30000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DDB080E">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E086D62">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Y＜100</w:t>
            </w:r>
          </w:p>
        </w:tc>
      </w:tr>
      <w:tr w14:paraId="4C297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F5387A7">
            <w:pPr>
              <w:spacing w:line="240" w:lineRule="exact"/>
              <w:jc w:val="left"/>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住宿业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28027651">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15411A7B">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305DE0F6">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76DFCA0">
            <w:pPr>
              <w:ind w:left="1" w:leftChars="-51" w:hanging="108"/>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E90BA00">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7FAEB9EF">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X＜10</w:t>
            </w:r>
          </w:p>
        </w:tc>
      </w:tr>
      <w:tr w14:paraId="39EFA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85DF116">
            <w:pPr>
              <w:jc w:val="left"/>
              <w:rPr>
                <w:rStyle w:val="27"/>
                <w:rFonts w:hint="eastAsia" w:ascii="宋体" w:hAnsi="宋体" w:eastAsia="宋体" w:cs="宋体"/>
                <w:color w:val="auto"/>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CC60310">
            <w:pPr>
              <w:spacing w:line="240" w:lineRule="exact"/>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011570EC">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01B12CA">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E972053">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1AF0832">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B3A8162">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Y＜100</w:t>
            </w:r>
          </w:p>
        </w:tc>
      </w:tr>
      <w:tr w14:paraId="02F65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76211B85">
            <w:pPr>
              <w:spacing w:line="240" w:lineRule="exact"/>
              <w:jc w:val="left"/>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餐饮业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25FAB402">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25EA2C5B">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1BA0160A">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91D76E9">
            <w:pPr>
              <w:ind w:left="1" w:leftChars="-51" w:hanging="108"/>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31BECC1C">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6C1EEA74">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X＜10</w:t>
            </w:r>
          </w:p>
        </w:tc>
      </w:tr>
      <w:tr w14:paraId="7B618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3FD12367">
            <w:pPr>
              <w:jc w:val="left"/>
              <w:rPr>
                <w:rStyle w:val="27"/>
                <w:rFonts w:hint="eastAsia" w:ascii="宋体" w:hAnsi="宋体" w:eastAsia="宋体" w:cs="宋体"/>
                <w:color w:val="auto"/>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830C352">
            <w:pPr>
              <w:spacing w:line="240" w:lineRule="exact"/>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7AD5C62B">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EB69363">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DEBC670">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F526B7F">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F169719">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Y＜100</w:t>
            </w:r>
          </w:p>
        </w:tc>
      </w:tr>
      <w:tr w14:paraId="382B7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4A14B0B">
            <w:pPr>
              <w:spacing w:line="240" w:lineRule="exact"/>
              <w:jc w:val="left"/>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信息传输业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35FE6690">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2BA5B57B">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747403B">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X≥2000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76A1291">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100≤X＜2000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873B1F6">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1823FB31">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X＜10</w:t>
            </w:r>
          </w:p>
        </w:tc>
      </w:tr>
      <w:tr w14:paraId="44C9E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35E8FAF1">
            <w:pPr>
              <w:jc w:val="left"/>
              <w:rPr>
                <w:rStyle w:val="27"/>
                <w:rFonts w:hint="eastAsia" w:ascii="宋体" w:hAnsi="宋体" w:eastAsia="宋体" w:cs="宋体"/>
                <w:color w:val="auto"/>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4E1106E">
            <w:pPr>
              <w:spacing w:line="240" w:lineRule="exact"/>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177D8B1C">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10755B9">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Y≥100000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43214D9">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1000≤Y＜100000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BCB9BD3">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E6E117B">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Y＜100</w:t>
            </w:r>
          </w:p>
        </w:tc>
      </w:tr>
      <w:tr w14:paraId="6A9B6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7D30572D">
            <w:pPr>
              <w:spacing w:line="240" w:lineRule="exact"/>
              <w:jc w:val="left"/>
              <w:rPr>
                <w:rStyle w:val="27"/>
                <w:rFonts w:hint="eastAsia" w:ascii="宋体" w:hAnsi="宋体" w:eastAsia="宋体" w:cs="宋体"/>
                <w:color w:val="auto"/>
                <w:spacing w:val="-12"/>
                <w:kern w:val="0"/>
                <w:sz w:val="18"/>
                <w:szCs w:val="18"/>
              </w:rPr>
            </w:pPr>
            <w:r>
              <w:rPr>
                <w:rStyle w:val="27"/>
                <w:rFonts w:hint="eastAsia" w:ascii="宋体" w:hAnsi="宋体" w:eastAsia="宋体" w:cs="宋体"/>
                <w:color w:val="auto"/>
                <w:spacing w:val="-12"/>
                <w:kern w:val="0"/>
                <w:sz w:val="18"/>
                <w:szCs w:val="18"/>
              </w:rPr>
              <w:t>软件和信息技术服</w:t>
            </w:r>
            <w:r>
              <w:rPr>
                <w:rStyle w:val="27"/>
                <w:rFonts w:hint="eastAsia" w:ascii="宋体" w:hAnsi="宋体" w:eastAsia="宋体" w:cs="宋体"/>
                <w:color w:val="auto"/>
                <w:kern w:val="0"/>
                <w:sz w:val="18"/>
                <w:szCs w:val="18"/>
              </w:rPr>
              <w:t>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4B40089C">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3C720C0">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584A09B0">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75CDE96">
            <w:pPr>
              <w:ind w:left="1" w:leftChars="-51" w:hanging="108"/>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0548657B">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446AF66A">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X＜10</w:t>
            </w:r>
          </w:p>
        </w:tc>
      </w:tr>
      <w:tr w14:paraId="3746F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6488FD82">
            <w:pPr>
              <w:jc w:val="left"/>
              <w:rPr>
                <w:rStyle w:val="27"/>
                <w:rFonts w:hint="eastAsia" w:ascii="宋体" w:hAnsi="宋体" w:eastAsia="宋体" w:cs="宋体"/>
                <w:color w:val="auto"/>
                <w:spacing w:val="-12"/>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7FDDF7B">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57BE0706">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1F09E6B">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246F44C">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66A762C">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50≤Y＜1000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6BC9E24">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Y＜50</w:t>
            </w:r>
          </w:p>
        </w:tc>
      </w:tr>
      <w:tr w14:paraId="4CC07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D35BB05">
            <w:pPr>
              <w:spacing w:line="240" w:lineRule="exact"/>
              <w:jc w:val="left"/>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房地产开发经营</w:t>
            </w:r>
          </w:p>
        </w:tc>
        <w:tc>
          <w:tcPr>
            <w:tcW w:w="1369" w:type="dxa"/>
            <w:tcBorders>
              <w:top w:val="single" w:color="000000" w:sz="4" w:space="0"/>
              <w:left w:val="single" w:color="000000" w:sz="4" w:space="0"/>
              <w:bottom w:val="single" w:color="000000" w:sz="4" w:space="0"/>
              <w:right w:val="single" w:color="000000" w:sz="4" w:space="0"/>
            </w:tcBorders>
            <w:vAlign w:val="center"/>
          </w:tcPr>
          <w:p w14:paraId="1584AFE5">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5AF8DF3B">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E850788">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Y≥200000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FEA5473">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1000≤Y＜200000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D2311CB">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6006A5D">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Y＜100</w:t>
            </w:r>
          </w:p>
        </w:tc>
      </w:tr>
      <w:tr w14:paraId="4087B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D8F56FD">
            <w:pPr>
              <w:jc w:val="left"/>
              <w:rPr>
                <w:rStyle w:val="27"/>
                <w:rFonts w:hint="eastAsia" w:ascii="宋体" w:hAnsi="宋体" w:eastAsia="宋体" w:cs="宋体"/>
                <w:color w:val="auto"/>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D994B8F">
            <w:pPr>
              <w:spacing w:line="240" w:lineRule="exact"/>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1BEAE235">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75DD1EF">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Z≥10000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6783978">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5000≤Z＜10000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6690029">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2000≤Z＜5000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036E9932">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Z＜2000</w:t>
            </w:r>
          </w:p>
        </w:tc>
      </w:tr>
      <w:tr w14:paraId="2AFEE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06DC12C">
            <w:pPr>
              <w:spacing w:line="240" w:lineRule="exact"/>
              <w:jc w:val="left"/>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物业管理</w:t>
            </w:r>
          </w:p>
        </w:tc>
        <w:tc>
          <w:tcPr>
            <w:tcW w:w="1369" w:type="dxa"/>
            <w:tcBorders>
              <w:top w:val="single" w:color="000000" w:sz="4" w:space="0"/>
              <w:left w:val="single" w:color="000000" w:sz="4" w:space="0"/>
              <w:bottom w:val="single" w:color="000000" w:sz="4" w:space="0"/>
              <w:right w:val="single" w:color="000000" w:sz="4" w:space="0"/>
            </w:tcBorders>
            <w:vAlign w:val="center"/>
          </w:tcPr>
          <w:p w14:paraId="37C1F394">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87EBF7B">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5187B76F">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58281B6">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7D0ECBD">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68FA610D">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X＜100</w:t>
            </w:r>
          </w:p>
        </w:tc>
      </w:tr>
      <w:tr w14:paraId="3CEC6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45ADDAF7">
            <w:pPr>
              <w:jc w:val="left"/>
              <w:rPr>
                <w:rStyle w:val="27"/>
                <w:rFonts w:hint="eastAsia" w:ascii="宋体" w:hAnsi="宋体" w:eastAsia="宋体" w:cs="宋体"/>
                <w:color w:val="auto"/>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4262DB1">
            <w:pPr>
              <w:spacing w:line="240" w:lineRule="exact"/>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11871E25">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4778D9F">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Y≥5000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72A0FC7">
            <w:pPr>
              <w:ind w:left="1" w:leftChars="-51" w:hanging="108"/>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1000≤Y＜5000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DFB7507">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500≤Y＜1000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C830FAA">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Y＜500</w:t>
            </w:r>
          </w:p>
        </w:tc>
      </w:tr>
      <w:tr w14:paraId="07EAD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6D1FB2BE">
            <w:pPr>
              <w:spacing w:line="240" w:lineRule="exact"/>
              <w:jc w:val="left"/>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租赁和商务服务业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5CE7284">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092B9FC9">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54E46C4D">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89068CE">
            <w:pPr>
              <w:ind w:left="1" w:leftChars="-51" w:hanging="108"/>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6DE7BD7">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3F98ECD7">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X＜10</w:t>
            </w:r>
          </w:p>
        </w:tc>
      </w:tr>
      <w:tr w14:paraId="73AA5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3522F090">
            <w:pPr>
              <w:jc w:val="left"/>
              <w:rPr>
                <w:rStyle w:val="27"/>
                <w:rFonts w:hint="eastAsia" w:ascii="宋体" w:hAnsi="宋体" w:eastAsia="宋体" w:cs="宋体"/>
                <w:color w:val="auto"/>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83C9131">
            <w:pPr>
              <w:spacing w:line="240" w:lineRule="exact"/>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2CAF5E62">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7C9B7CC">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Z≥120000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483B811">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8000≤Z＜120000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374B3BA">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100≤Z＜8000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94A827D">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Z＜100</w:t>
            </w:r>
          </w:p>
        </w:tc>
      </w:tr>
      <w:tr w14:paraId="79A3F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vAlign w:val="center"/>
          </w:tcPr>
          <w:p w14:paraId="4335A8AD">
            <w:pPr>
              <w:spacing w:line="240" w:lineRule="exact"/>
              <w:jc w:val="left"/>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其他未列明行业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3BEE61AA">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0E53B99D">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5EF106D1">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1585736">
            <w:pPr>
              <w:ind w:left="1" w:leftChars="-51" w:hanging="108"/>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6363CBD">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67472C1A">
            <w:pPr>
              <w:jc w:val="center"/>
              <w:rPr>
                <w:rStyle w:val="27"/>
                <w:rFonts w:hint="eastAsia" w:ascii="宋体" w:hAnsi="宋体" w:eastAsia="宋体" w:cs="宋体"/>
                <w:color w:val="auto"/>
                <w:kern w:val="0"/>
                <w:sz w:val="18"/>
                <w:szCs w:val="18"/>
              </w:rPr>
            </w:pPr>
            <w:r>
              <w:rPr>
                <w:rStyle w:val="27"/>
                <w:rFonts w:hint="eastAsia" w:ascii="宋体" w:hAnsi="宋体" w:eastAsia="宋体" w:cs="宋体"/>
                <w:color w:val="auto"/>
                <w:kern w:val="0"/>
                <w:sz w:val="18"/>
                <w:szCs w:val="18"/>
              </w:rPr>
              <w:t>X＜10</w:t>
            </w:r>
          </w:p>
        </w:tc>
      </w:tr>
    </w:tbl>
    <w:p w14:paraId="7C7F44A1">
      <w:pPr>
        <w:spacing w:line="540" w:lineRule="exact"/>
        <w:rPr>
          <w:rStyle w:val="27"/>
          <w:rFonts w:hint="eastAsia" w:ascii="宋体" w:hAnsi="宋体" w:eastAsia="宋体" w:cs="宋体"/>
          <w:color w:val="auto"/>
          <w:spacing w:val="8"/>
          <w:kern w:val="0"/>
          <w:szCs w:val="21"/>
        </w:rPr>
      </w:pPr>
    </w:p>
    <w:p w14:paraId="5AC9F8A1">
      <w:pPr>
        <w:spacing w:line="540" w:lineRule="exact"/>
        <w:rPr>
          <w:rStyle w:val="27"/>
          <w:rFonts w:hint="eastAsia" w:ascii="宋体" w:hAnsi="宋体" w:eastAsia="宋体" w:cs="宋体"/>
          <w:color w:val="auto"/>
          <w:spacing w:val="8"/>
          <w:kern w:val="0"/>
          <w:szCs w:val="21"/>
        </w:rPr>
      </w:pPr>
      <w:r>
        <w:rPr>
          <w:rStyle w:val="27"/>
          <w:rFonts w:hint="eastAsia" w:ascii="宋体" w:hAnsi="宋体" w:eastAsia="宋体" w:cs="宋体"/>
          <w:color w:val="auto"/>
          <w:spacing w:val="8"/>
          <w:kern w:val="0"/>
          <w:szCs w:val="21"/>
        </w:rPr>
        <w:t>说明：</w:t>
      </w:r>
    </w:p>
    <w:p w14:paraId="011AFE8B">
      <w:pPr>
        <w:pStyle w:val="28"/>
        <w:spacing w:line="380" w:lineRule="exact"/>
        <w:ind w:firstLine="452" w:firstLineChars="200"/>
        <w:rPr>
          <w:rStyle w:val="27"/>
          <w:rFonts w:hint="eastAsia" w:ascii="宋体" w:hAnsi="宋体" w:eastAsia="宋体" w:cs="宋体"/>
          <w:color w:val="auto"/>
          <w:spacing w:val="8"/>
          <w:szCs w:val="21"/>
        </w:rPr>
      </w:pPr>
      <w:r>
        <w:rPr>
          <w:rStyle w:val="27"/>
          <w:rFonts w:hint="eastAsia" w:ascii="宋体" w:hAnsi="宋体" w:eastAsia="宋体" w:cs="宋体"/>
          <w:color w:val="auto"/>
          <w:spacing w:val="8"/>
          <w:szCs w:val="21"/>
        </w:rPr>
        <w:t>1.大型、中型和小型企业须同时满足所列指标的下限，否则下划一档；微型企业只须满足所列指标中的一项即可。</w:t>
      </w:r>
    </w:p>
    <w:p w14:paraId="6B3089E2">
      <w:pPr>
        <w:pStyle w:val="28"/>
        <w:spacing w:line="380" w:lineRule="exact"/>
        <w:ind w:firstLine="452" w:firstLineChars="200"/>
        <w:rPr>
          <w:rStyle w:val="27"/>
          <w:rFonts w:hint="eastAsia" w:ascii="宋体" w:hAnsi="宋体" w:eastAsia="宋体" w:cs="宋体"/>
          <w:color w:val="auto"/>
          <w:spacing w:val="8"/>
          <w:szCs w:val="21"/>
        </w:rPr>
      </w:pPr>
      <w:r>
        <w:rPr>
          <w:rStyle w:val="27"/>
          <w:rFonts w:hint="eastAsia" w:ascii="宋体" w:hAnsi="宋体" w:eastAsia="宋体" w:cs="宋体"/>
          <w:color w:val="auto"/>
          <w:spacing w:val="8"/>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D70F3D0">
      <w:pPr>
        <w:rPr>
          <w:rFonts w:hint="eastAsia" w:ascii="宋体" w:hAnsi="宋体" w:eastAsia="宋体" w:cs="宋体"/>
          <w:color w:val="auto"/>
        </w:rPr>
      </w:pPr>
      <w:r>
        <w:rPr>
          <w:rStyle w:val="27"/>
          <w:rFonts w:hint="eastAsia" w:ascii="宋体" w:hAnsi="宋体" w:eastAsia="宋体" w:cs="宋体"/>
          <w:color w:val="auto"/>
          <w:spacing w:val="8"/>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80B18FE">
      <w:pPr>
        <w:rPr>
          <w:rFonts w:hint="eastAsia" w:ascii="宋体" w:hAnsi="宋体" w:eastAsia="宋体" w:cs="宋体"/>
          <w:color w:val="auto"/>
        </w:rPr>
      </w:pPr>
    </w:p>
    <w:p w14:paraId="37547FB4">
      <w:pPr>
        <w:spacing w:line="360" w:lineRule="auto"/>
        <w:ind w:firstLine="554" w:firstLineChars="200"/>
        <w:jc w:val="center"/>
        <w:outlineLvl w:val="1"/>
        <w:rPr>
          <w:rFonts w:hint="eastAsia" w:ascii="宋体" w:hAnsi="宋体" w:eastAsia="宋体" w:cs="宋体"/>
          <w:b/>
          <w:bCs/>
          <w:color w:val="auto"/>
          <w:spacing w:val="-2"/>
          <w:sz w:val="28"/>
          <w:szCs w:val="28"/>
        </w:rPr>
      </w:pPr>
    </w:p>
    <w:p w14:paraId="18E2FFD3">
      <w:pPr>
        <w:spacing w:line="360" w:lineRule="auto"/>
        <w:ind w:firstLine="554" w:firstLineChars="200"/>
        <w:jc w:val="center"/>
        <w:outlineLvl w:val="1"/>
        <w:rPr>
          <w:rFonts w:hint="eastAsia" w:ascii="宋体" w:hAnsi="宋体" w:eastAsia="宋体" w:cs="宋体"/>
          <w:b/>
          <w:bCs/>
          <w:color w:val="auto"/>
          <w:spacing w:val="-2"/>
          <w:sz w:val="28"/>
          <w:szCs w:val="28"/>
        </w:rPr>
      </w:pPr>
    </w:p>
    <w:p w14:paraId="265D15FD">
      <w:pPr>
        <w:spacing w:line="360" w:lineRule="auto"/>
        <w:ind w:firstLine="554" w:firstLineChars="200"/>
        <w:jc w:val="center"/>
        <w:outlineLvl w:val="1"/>
        <w:rPr>
          <w:rFonts w:hint="eastAsia" w:ascii="宋体" w:hAnsi="宋体" w:eastAsia="宋体" w:cs="宋体"/>
          <w:b/>
          <w:bCs/>
          <w:color w:val="auto"/>
          <w:spacing w:val="-2"/>
          <w:sz w:val="28"/>
          <w:szCs w:val="28"/>
        </w:rPr>
      </w:pPr>
    </w:p>
    <w:p w14:paraId="5479C480">
      <w:pPr>
        <w:spacing w:line="360" w:lineRule="auto"/>
        <w:ind w:firstLine="554" w:firstLineChars="200"/>
        <w:jc w:val="center"/>
        <w:outlineLvl w:val="1"/>
        <w:rPr>
          <w:rFonts w:hint="eastAsia" w:ascii="宋体" w:hAnsi="宋体" w:eastAsia="宋体" w:cs="宋体"/>
          <w:b/>
          <w:bCs/>
          <w:color w:val="auto"/>
          <w:spacing w:val="-2"/>
          <w:sz w:val="28"/>
          <w:szCs w:val="28"/>
        </w:rPr>
      </w:pPr>
    </w:p>
    <w:p w14:paraId="04E4EBA5">
      <w:pPr>
        <w:spacing w:line="360" w:lineRule="auto"/>
        <w:ind w:firstLine="554" w:firstLineChars="200"/>
        <w:jc w:val="center"/>
        <w:outlineLvl w:val="1"/>
        <w:rPr>
          <w:rFonts w:hint="eastAsia" w:ascii="宋体" w:hAnsi="宋体" w:eastAsia="宋体" w:cs="宋体"/>
          <w:b/>
          <w:bCs/>
          <w:color w:val="auto"/>
          <w:spacing w:val="-2"/>
          <w:sz w:val="28"/>
          <w:szCs w:val="28"/>
        </w:rPr>
      </w:pPr>
    </w:p>
    <w:p w14:paraId="0A7DC8B9">
      <w:pPr>
        <w:spacing w:line="360" w:lineRule="auto"/>
        <w:ind w:firstLine="554" w:firstLineChars="200"/>
        <w:jc w:val="center"/>
        <w:outlineLvl w:val="1"/>
        <w:rPr>
          <w:rFonts w:hint="eastAsia" w:ascii="宋体" w:hAnsi="宋体" w:eastAsia="宋体" w:cs="宋体"/>
          <w:b/>
          <w:bCs/>
          <w:color w:val="auto"/>
          <w:spacing w:val="-2"/>
          <w:sz w:val="28"/>
          <w:szCs w:val="28"/>
        </w:rPr>
      </w:pPr>
    </w:p>
    <w:p w14:paraId="2E3E2F41">
      <w:pPr>
        <w:spacing w:line="360" w:lineRule="auto"/>
        <w:ind w:firstLine="554" w:firstLineChars="200"/>
        <w:jc w:val="center"/>
        <w:outlineLvl w:val="1"/>
        <w:rPr>
          <w:rFonts w:hint="eastAsia" w:ascii="宋体" w:hAnsi="宋体" w:eastAsia="宋体" w:cs="宋体"/>
          <w:b/>
          <w:bCs/>
          <w:color w:val="auto"/>
          <w:spacing w:val="-2"/>
          <w:sz w:val="28"/>
          <w:szCs w:val="28"/>
        </w:rPr>
      </w:pPr>
    </w:p>
    <w:p w14:paraId="028BC730">
      <w:pPr>
        <w:spacing w:line="360" w:lineRule="auto"/>
        <w:ind w:firstLine="554" w:firstLineChars="200"/>
        <w:jc w:val="center"/>
        <w:outlineLvl w:val="1"/>
        <w:rPr>
          <w:rFonts w:hint="eastAsia" w:ascii="宋体" w:hAnsi="宋体" w:eastAsia="宋体" w:cs="宋体"/>
          <w:b/>
          <w:bCs/>
          <w:color w:val="auto"/>
          <w:spacing w:val="-2"/>
          <w:sz w:val="28"/>
          <w:szCs w:val="28"/>
        </w:rPr>
      </w:pPr>
    </w:p>
    <w:p w14:paraId="4B9AE139">
      <w:pPr>
        <w:spacing w:line="360" w:lineRule="auto"/>
        <w:ind w:firstLine="554" w:firstLineChars="200"/>
        <w:jc w:val="center"/>
        <w:outlineLvl w:val="1"/>
        <w:rPr>
          <w:rFonts w:hint="eastAsia" w:ascii="宋体" w:hAnsi="宋体" w:eastAsia="宋体" w:cs="宋体"/>
          <w:b/>
          <w:bCs/>
          <w:color w:val="auto"/>
          <w:spacing w:val="-2"/>
          <w:sz w:val="28"/>
          <w:szCs w:val="28"/>
        </w:rPr>
      </w:pPr>
    </w:p>
    <w:p w14:paraId="10B89B70">
      <w:pPr>
        <w:spacing w:line="360" w:lineRule="auto"/>
        <w:ind w:firstLine="554" w:firstLineChars="200"/>
        <w:jc w:val="center"/>
        <w:outlineLvl w:val="1"/>
        <w:rPr>
          <w:rFonts w:hint="eastAsia" w:ascii="宋体" w:hAnsi="宋体" w:eastAsia="宋体" w:cs="宋体"/>
          <w:b/>
          <w:bCs/>
          <w:color w:val="auto"/>
          <w:spacing w:val="-2"/>
          <w:sz w:val="28"/>
          <w:szCs w:val="28"/>
        </w:rPr>
      </w:pPr>
    </w:p>
    <w:p w14:paraId="75C304B4">
      <w:pPr>
        <w:spacing w:line="360" w:lineRule="auto"/>
        <w:ind w:firstLine="554" w:firstLineChars="200"/>
        <w:jc w:val="center"/>
        <w:outlineLvl w:val="1"/>
        <w:rPr>
          <w:rFonts w:hint="eastAsia" w:ascii="宋体" w:hAnsi="宋体" w:eastAsia="宋体" w:cs="宋体"/>
          <w:b/>
          <w:bCs/>
          <w:color w:val="auto"/>
          <w:spacing w:val="-2"/>
          <w:sz w:val="28"/>
          <w:szCs w:val="28"/>
        </w:rPr>
      </w:pPr>
    </w:p>
    <w:p w14:paraId="69E6D709">
      <w:pPr>
        <w:spacing w:line="360" w:lineRule="auto"/>
        <w:ind w:firstLine="554" w:firstLineChars="200"/>
        <w:jc w:val="center"/>
        <w:outlineLvl w:val="1"/>
        <w:rPr>
          <w:rFonts w:hint="eastAsia" w:ascii="宋体" w:hAnsi="宋体" w:eastAsia="宋体" w:cs="宋体"/>
          <w:b/>
          <w:bCs/>
          <w:color w:val="auto"/>
          <w:spacing w:val="-2"/>
          <w:sz w:val="28"/>
          <w:szCs w:val="28"/>
        </w:rPr>
      </w:pPr>
    </w:p>
    <w:p w14:paraId="6DD733AE">
      <w:pPr>
        <w:spacing w:line="360" w:lineRule="auto"/>
        <w:ind w:firstLine="554" w:firstLineChars="200"/>
        <w:jc w:val="center"/>
        <w:outlineLvl w:val="1"/>
        <w:rPr>
          <w:rFonts w:hint="eastAsia" w:ascii="宋体" w:hAnsi="宋体" w:eastAsia="宋体" w:cs="宋体"/>
          <w:b/>
          <w:bCs/>
          <w:color w:val="auto"/>
          <w:spacing w:val="-2"/>
          <w:sz w:val="28"/>
          <w:szCs w:val="28"/>
        </w:rPr>
      </w:pPr>
    </w:p>
    <w:p w14:paraId="140D86F9">
      <w:pPr>
        <w:spacing w:line="360" w:lineRule="auto"/>
        <w:ind w:firstLine="554" w:firstLineChars="200"/>
        <w:jc w:val="center"/>
        <w:outlineLvl w:val="1"/>
        <w:rPr>
          <w:rFonts w:hint="eastAsia" w:ascii="宋体" w:hAnsi="宋体" w:eastAsia="宋体" w:cs="宋体"/>
          <w:b/>
          <w:bCs/>
          <w:color w:val="auto"/>
          <w:spacing w:val="-2"/>
          <w:sz w:val="28"/>
          <w:szCs w:val="28"/>
        </w:rPr>
      </w:pPr>
    </w:p>
    <w:p w14:paraId="5213564C">
      <w:pPr>
        <w:spacing w:line="360" w:lineRule="auto"/>
        <w:outlineLvl w:val="1"/>
        <w:rPr>
          <w:rFonts w:hint="eastAsia" w:ascii="宋体" w:hAnsi="宋体" w:eastAsia="宋体" w:cs="宋体"/>
          <w:b/>
          <w:bCs/>
          <w:color w:val="auto"/>
          <w:spacing w:val="-2"/>
          <w:sz w:val="28"/>
          <w:szCs w:val="28"/>
        </w:rPr>
      </w:pPr>
      <w:r>
        <w:rPr>
          <w:rFonts w:hint="eastAsia" w:ascii="宋体" w:hAnsi="宋体" w:eastAsia="宋体" w:cs="宋体"/>
          <w:b/>
          <w:bCs/>
          <w:color w:val="auto"/>
          <w:spacing w:val="-2"/>
          <w:sz w:val="28"/>
          <w:szCs w:val="28"/>
        </w:rPr>
        <w:t>附件：</w:t>
      </w:r>
    </w:p>
    <w:p w14:paraId="0B62F347">
      <w:pPr>
        <w:spacing w:line="360" w:lineRule="auto"/>
        <w:ind w:firstLine="554" w:firstLineChars="200"/>
        <w:jc w:val="center"/>
        <w:outlineLvl w:val="1"/>
        <w:rPr>
          <w:rFonts w:hint="eastAsia" w:ascii="宋体" w:hAnsi="宋体" w:eastAsia="宋体" w:cs="宋体"/>
          <w:b/>
          <w:bCs/>
          <w:color w:val="auto"/>
          <w:spacing w:val="-2"/>
          <w:sz w:val="28"/>
          <w:szCs w:val="28"/>
        </w:rPr>
      </w:pPr>
      <w:r>
        <w:rPr>
          <w:rFonts w:hint="eastAsia" w:ascii="宋体" w:hAnsi="宋体" w:eastAsia="宋体" w:cs="宋体"/>
          <w:b/>
          <w:bCs/>
          <w:color w:val="auto"/>
          <w:spacing w:val="-2"/>
          <w:sz w:val="28"/>
          <w:szCs w:val="28"/>
        </w:rPr>
        <w:t>联合体协议书</w:t>
      </w:r>
    </w:p>
    <w:p w14:paraId="4272A4B2">
      <w:pPr>
        <w:pStyle w:val="7"/>
        <w:spacing w:line="360" w:lineRule="auto"/>
        <w:ind w:firstLine="554"/>
        <w:rPr>
          <w:rFonts w:hint="eastAsia" w:ascii="宋体" w:hAnsi="宋体" w:eastAsia="宋体" w:cs="宋体"/>
          <w:b/>
          <w:bCs/>
          <w:color w:val="auto"/>
          <w:spacing w:val="-2"/>
          <w:sz w:val="28"/>
          <w:szCs w:val="28"/>
        </w:rPr>
      </w:pPr>
    </w:p>
    <w:p w14:paraId="61AB9480">
      <w:pPr>
        <w:pStyle w:val="7"/>
        <w:ind w:firstLine="408" w:firstLineChars="200"/>
        <w:rPr>
          <w:rFonts w:hint="eastAsia" w:ascii="宋体" w:hAnsi="宋体" w:eastAsia="宋体" w:cs="宋体"/>
          <w:b/>
          <w:bCs/>
          <w:color w:val="auto"/>
          <w:spacing w:val="-2"/>
          <w:sz w:val="28"/>
          <w:szCs w:val="28"/>
        </w:rPr>
      </w:pPr>
      <w:r>
        <w:rPr>
          <w:rFonts w:hint="eastAsia" w:ascii="宋体" w:hAnsi="宋体" w:eastAsia="宋体" w:cs="宋体"/>
          <w:color w:val="auto"/>
          <w:spacing w:val="-3"/>
          <w:szCs w:val="21"/>
        </w:rPr>
        <w:t xml:space="preserve">牵头人名称： </w:t>
      </w:r>
    </w:p>
    <w:p w14:paraId="5F85DC97">
      <w:pPr>
        <w:pStyle w:val="7"/>
        <w:ind w:firstLine="408" w:firstLineChars="200"/>
        <w:rPr>
          <w:rFonts w:hint="eastAsia" w:ascii="宋体" w:hAnsi="宋体" w:eastAsia="宋体" w:cs="宋体"/>
          <w:color w:val="auto"/>
          <w:spacing w:val="-3"/>
          <w:szCs w:val="21"/>
        </w:rPr>
      </w:pPr>
      <w:r>
        <w:rPr>
          <w:rFonts w:hint="eastAsia" w:ascii="宋体" w:hAnsi="宋体" w:eastAsia="宋体" w:cs="宋体"/>
          <w:color w:val="auto"/>
          <w:spacing w:val="-3"/>
          <w:szCs w:val="21"/>
        </w:rPr>
        <w:t xml:space="preserve">法定代表人： </w:t>
      </w:r>
    </w:p>
    <w:p w14:paraId="7E8BFFD4">
      <w:pPr>
        <w:pStyle w:val="7"/>
        <w:ind w:firstLine="408" w:firstLineChars="200"/>
        <w:rPr>
          <w:rFonts w:hint="eastAsia" w:ascii="宋体" w:hAnsi="宋体" w:eastAsia="宋体" w:cs="宋体"/>
          <w:color w:val="auto"/>
          <w:spacing w:val="-3"/>
          <w:szCs w:val="21"/>
        </w:rPr>
      </w:pPr>
      <w:r>
        <w:rPr>
          <w:rFonts w:hint="eastAsia" w:ascii="宋体" w:hAnsi="宋体" w:eastAsia="宋体" w:cs="宋体"/>
          <w:color w:val="auto"/>
          <w:spacing w:val="-3"/>
          <w:szCs w:val="21"/>
        </w:rPr>
        <w:t xml:space="preserve">法定住所： </w:t>
      </w:r>
    </w:p>
    <w:p w14:paraId="2ABEBCFB">
      <w:pPr>
        <w:pStyle w:val="7"/>
        <w:ind w:firstLine="408" w:firstLineChars="200"/>
        <w:rPr>
          <w:rFonts w:hint="eastAsia" w:ascii="宋体" w:hAnsi="宋体" w:eastAsia="宋体" w:cs="宋体"/>
          <w:color w:val="auto"/>
          <w:spacing w:val="-3"/>
          <w:szCs w:val="21"/>
        </w:rPr>
      </w:pPr>
      <w:r>
        <w:rPr>
          <w:rFonts w:hint="eastAsia" w:ascii="宋体" w:hAnsi="宋体" w:eastAsia="宋体" w:cs="宋体"/>
          <w:color w:val="auto"/>
          <w:spacing w:val="-3"/>
          <w:szCs w:val="21"/>
        </w:rPr>
        <w:t xml:space="preserve">成员二名称： </w:t>
      </w:r>
    </w:p>
    <w:p w14:paraId="53FAEE04">
      <w:pPr>
        <w:pStyle w:val="7"/>
        <w:ind w:firstLine="408" w:firstLineChars="200"/>
        <w:rPr>
          <w:rFonts w:hint="eastAsia" w:ascii="宋体" w:hAnsi="宋体" w:eastAsia="宋体" w:cs="宋体"/>
          <w:color w:val="auto"/>
          <w:spacing w:val="-3"/>
          <w:szCs w:val="21"/>
        </w:rPr>
      </w:pPr>
      <w:r>
        <w:rPr>
          <w:rFonts w:hint="eastAsia" w:ascii="宋体" w:hAnsi="宋体" w:eastAsia="宋体" w:cs="宋体"/>
          <w:color w:val="auto"/>
          <w:spacing w:val="-3"/>
          <w:szCs w:val="21"/>
        </w:rPr>
        <w:t xml:space="preserve">法定代表人： </w:t>
      </w:r>
    </w:p>
    <w:p w14:paraId="5887C65E">
      <w:pPr>
        <w:pStyle w:val="7"/>
        <w:ind w:firstLine="408" w:firstLineChars="200"/>
        <w:rPr>
          <w:rFonts w:hint="eastAsia" w:ascii="宋体" w:hAnsi="宋体" w:eastAsia="宋体" w:cs="宋体"/>
          <w:color w:val="auto"/>
          <w:spacing w:val="-3"/>
          <w:szCs w:val="21"/>
        </w:rPr>
      </w:pPr>
      <w:r>
        <w:rPr>
          <w:rFonts w:hint="eastAsia" w:ascii="宋体" w:hAnsi="宋体" w:eastAsia="宋体" w:cs="宋体"/>
          <w:color w:val="auto"/>
          <w:spacing w:val="-3"/>
          <w:szCs w:val="21"/>
        </w:rPr>
        <w:t>法定住所：</w:t>
      </w:r>
    </w:p>
    <w:p w14:paraId="0FD6325F">
      <w:pPr>
        <w:pStyle w:val="7"/>
        <w:ind w:firstLine="408" w:firstLineChars="200"/>
        <w:rPr>
          <w:rFonts w:hint="eastAsia" w:ascii="宋体" w:hAnsi="宋体" w:eastAsia="宋体" w:cs="宋体"/>
          <w:color w:val="auto"/>
          <w:spacing w:val="-3"/>
          <w:szCs w:val="21"/>
        </w:rPr>
      </w:pPr>
      <w:r>
        <w:rPr>
          <w:rFonts w:hint="eastAsia" w:ascii="宋体" w:hAnsi="宋体" w:eastAsia="宋体" w:cs="宋体"/>
          <w:color w:val="auto"/>
          <w:spacing w:val="-3"/>
          <w:szCs w:val="21"/>
        </w:rPr>
        <w:t>……</w:t>
      </w:r>
    </w:p>
    <w:p w14:paraId="2CC0BBD9">
      <w:pPr>
        <w:pStyle w:val="7"/>
        <w:ind w:firstLine="408" w:firstLineChars="200"/>
        <w:rPr>
          <w:rFonts w:hint="eastAsia" w:ascii="宋体" w:hAnsi="宋体" w:eastAsia="宋体" w:cs="宋体"/>
          <w:color w:val="auto"/>
          <w:spacing w:val="-3"/>
          <w:szCs w:val="21"/>
        </w:rPr>
      </w:pPr>
      <w:r>
        <w:rPr>
          <w:rFonts w:hint="eastAsia" w:ascii="宋体" w:hAnsi="宋体" w:eastAsia="宋体" w:cs="宋体"/>
          <w:color w:val="auto"/>
          <w:spacing w:val="-3"/>
          <w:szCs w:val="21"/>
        </w:rPr>
        <w:t>鉴于上述各成员单位经过友好协商，自愿组成（联合体名称）联合体，共同参加（项目名称）的投标，现就联合体投标事宜订立如下协议：</w:t>
      </w:r>
    </w:p>
    <w:p w14:paraId="0A359EBC">
      <w:pPr>
        <w:pStyle w:val="7"/>
        <w:ind w:firstLine="408" w:firstLineChars="200"/>
        <w:rPr>
          <w:rFonts w:hint="eastAsia" w:ascii="宋体" w:hAnsi="宋体" w:eastAsia="宋体" w:cs="宋体"/>
          <w:color w:val="auto"/>
          <w:spacing w:val="-3"/>
          <w:szCs w:val="21"/>
        </w:rPr>
      </w:pPr>
    </w:p>
    <w:p w14:paraId="0C025313">
      <w:pPr>
        <w:pStyle w:val="7"/>
        <w:ind w:firstLine="408" w:firstLineChars="200"/>
        <w:rPr>
          <w:rFonts w:hint="eastAsia" w:ascii="宋体" w:hAnsi="宋体" w:eastAsia="宋体" w:cs="宋体"/>
          <w:color w:val="auto"/>
          <w:spacing w:val="-3"/>
          <w:szCs w:val="21"/>
        </w:rPr>
      </w:pPr>
      <w:r>
        <w:rPr>
          <w:rFonts w:hint="eastAsia" w:ascii="宋体" w:hAnsi="宋体" w:eastAsia="宋体" w:cs="宋体"/>
          <w:color w:val="auto"/>
          <w:spacing w:val="-3"/>
          <w:szCs w:val="21"/>
        </w:rPr>
        <w:t>联合体成员方根据分工自行拟定条款内容。</w:t>
      </w:r>
    </w:p>
    <w:p w14:paraId="1588C1BE">
      <w:pPr>
        <w:pStyle w:val="7"/>
        <w:ind w:firstLine="408" w:firstLineChars="200"/>
        <w:rPr>
          <w:rFonts w:hint="eastAsia" w:ascii="宋体" w:hAnsi="宋体" w:eastAsia="宋体" w:cs="宋体"/>
          <w:color w:val="auto"/>
          <w:spacing w:val="-3"/>
          <w:szCs w:val="21"/>
        </w:rPr>
      </w:pPr>
    </w:p>
    <w:p w14:paraId="3A9D9AA9">
      <w:pPr>
        <w:pStyle w:val="7"/>
        <w:ind w:firstLine="408" w:firstLineChars="200"/>
        <w:rPr>
          <w:rFonts w:hint="eastAsia" w:ascii="宋体" w:hAnsi="宋体" w:eastAsia="宋体" w:cs="宋体"/>
          <w:color w:val="auto"/>
          <w:spacing w:val="-3"/>
          <w:szCs w:val="21"/>
        </w:rPr>
      </w:pPr>
      <w:r>
        <w:rPr>
          <w:rFonts w:hint="eastAsia" w:ascii="宋体" w:hAnsi="宋体" w:eastAsia="宋体" w:cs="宋体"/>
          <w:color w:val="auto"/>
          <w:spacing w:val="-3"/>
          <w:szCs w:val="21"/>
        </w:rPr>
        <w:t>本协议书一式份，联合体成员和招标人各执一份。</w:t>
      </w:r>
    </w:p>
    <w:p w14:paraId="31FB8522">
      <w:pPr>
        <w:pStyle w:val="7"/>
        <w:ind w:firstLine="408" w:firstLineChars="200"/>
        <w:rPr>
          <w:rFonts w:hint="eastAsia" w:ascii="宋体" w:hAnsi="宋体" w:eastAsia="宋体" w:cs="宋体"/>
          <w:color w:val="auto"/>
          <w:spacing w:val="-3"/>
          <w:szCs w:val="21"/>
        </w:rPr>
      </w:pPr>
      <w:r>
        <w:rPr>
          <w:rFonts w:hint="eastAsia" w:ascii="宋体" w:hAnsi="宋体" w:eastAsia="宋体" w:cs="宋体"/>
          <w:color w:val="auto"/>
          <w:spacing w:val="-3"/>
          <w:szCs w:val="21"/>
        </w:rPr>
        <w:t>牵头人名称：（盖单位公章）</w:t>
      </w:r>
    </w:p>
    <w:p w14:paraId="50C6C0C2">
      <w:pPr>
        <w:pStyle w:val="7"/>
        <w:ind w:firstLine="408" w:firstLineChars="200"/>
        <w:rPr>
          <w:rFonts w:hint="eastAsia" w:ascii="宋体" w:hAnsi="宋体" w:eastAsia="宋体" w:cs="宋体"/>
          <w:color w:val="auto"/>
          <w:spacing w:val="-3"/>
          <w:szCs w:val="21"/>
        </w:rPr>
      </w:pPr>
      <w:r>
        <w:rPr>
          <w:rFonts w:hint="eastAsia" w:ascii="宋体" w:hAnsi="宋体" w:eastAsia="宋体" w:cs="宋体"/>
          <w:color w:val="auto"/>
          <w:spacing w:val="-3"/>
          <w:szCs w:val="21"/>
        </w:rPr>
        <w:t xml:space="preserve">法定代表人或其委托代理人：（签字或盖章） </w:t>
      </w:r>
    </w:p>
    <w:p w14:paraId="72E7A308">
      <w:pPr>
        <w:pStyle w:val="7"/>
        <w:ind w:firstLine="408" w:firstLineChars="200"/>
        <w:rPr>
          <w:rFonts w:hint="eastAsia" w:ascii="宋体" w:hAnsi="宋体" w:eastAsia="宋体" w:cs="宋体"/>
          <w:color w:val="auto"/>
          <w:spacing w:val="-3"/>
          <w:szCs w:val="21"/>
        </w:rPr>
      </w:pPr>
      <w:r>
        <w:rPr>
          <w:rFonts w:hint="eastAsia" w:ascii="宋体" w:hAnsi="宋体" w:eastAsia="宋体" w:cs="宋体"/>
          <w:color w:val="auto"/>
          <w:spacing w:val="-3"/>
          <w:szCs w:val="21"/>
        </w:rPr>
        <w:t>成员二名称：（盖单位公章）</w:t>
      </w:r>
    </w:p>
    <w:p w14:paraId="587449F6">
      <w:pPr>
        <w:pStyle w:val="7"/>
        <w:ind w:firstLine="408" w:firstLineChars="200"/>
        <w:rPr>
          <w:rFonts w:hint="eastAsia" w:ascii="宋体" w:hAnsi="宋体" w:eastAsia="宋体" w:cs="宋体"/>
          <w:color w:val="auto"/>
          <w:spacing w:val="-3"/>
          <w:szCs w:val="21"/>
        </w:rPr>
      </w:pPr>
      <w:r>
        <w:rPr>
          <w:rFonts w:hint="eastAsia" w:ascii="宋体" w:hAnsi="宋体" w:eastAsia="宋体" w:cs="宋体"/>
          <w:color w:val="auto"/>
          <w:spacing w:val="-3"/>
          <w:szCs w:val="21"/>
        </w:rPr>
        <w:t>法定代表人或其委托代理人：（签字或盖章）</w:t>
      </w:r>
    </w:p>
    <w:p w14:paraId="433E54C4">
      <w:pPr>
        <w:pStyle w:val="7"/>
        <w:ind w:firstLine="408" w:firstLineChars="200"/>
        <w:rPr>
          <w:rFonts w:hint="eastAsia" w:ascii="宋体" w:hAnsi="宋体" w:eastAsia="宋体" w:cs="宋体"/>
          <w:color w:val="auto"/>
          <w:spacing w:val="-3"/>
          <w:szCs w:val="21"/>
        </w:rPr>
      </w:pPr>
      <w:r>
        <w:rPr>
          <w:rFonts w:hint="eastAsia" w:ascii="宋体" w:hAnsi="宋体" w:eastAsia="宋体" w:cs="宋体"/>
          <w:color w:val="auto"/>
          <w:spacing w:val="-3"/>
          <w:szCs w:val="21"/>
        </w:rPr>
        <w:t>……</w:t>
      </w:r>
    </w:p>
    <w:p w14:paraId="71A5BCD9">
      <w:pPr>
        <w:pStyle w:val="7"/>
        <w:ind w:firstLine="408" w:firstLineChars="200"/>
        <w:rPr>
          <w:rFonts w:hint="eastAsia" w:ascii="宋体" w:hAnsi="宋体" w:eastAsia="宋体" w:cs="宋体"/>
          <w:color w:val="auto"/>
          <w:spacing w:val="-3"/>
          <w:szCs w:val="21"/>
        </w:rPr>
      </w:pPr>
      <w:r>
        <w:rPr>
          <w:rFonts w:hint="eastAsia" w:ascii="宋体" w:hAnsi="宋体" w:eastAsia="宋体" w:cs="宋体"/>
          <w:color w:val="auto"/>
          <w:spacing w:val="-3"/>
          <w:szCs w:val="21"/>
        </w:rPr>
        <w:t>备注：本协议书由委托代理人签字的，应附法定代表人签字的授权委托书。如投标人为联合体投标，本协议为原件扫描件。</w:t>
      </w:r>
    </w:p>
    <w:p w14:paraId="6FA6E57F">
      <w:pPr>
        <w:pStyle w:val="7"/>
        <w:ind w:firstLine="408" w:firstLineChars="200"/>
        <w:rPr>
          <w:rFonts w:hint="eastAsia" w:ascii="宋体" w:hAnsi="宋体" w:eastAsia="宋体" w:cs="宋体"/>
          <w:color w:val="auto"/>
          <w:spacing w:val="-3"/>
          <w:szCs w:val="21"/>
        </w:rPr>
      </w:pPr>
    </w:p>
    <w:p w14:paraId="41AB4A95">
      <w:pPr>
        <w:pStyle w:val="7"/>
        <w:ind w:firstLine="408" w:firstLineChars="200"/>
        <w:rPr>
          <w:rFonts w:hint="eastAsia" w:ascii="宋体" w:hAnsi="宋体" w:eastAsia="宋体" w:cs="宋体"/>
          <w:color w:val="auto"/>
          <w:spacing w:val="-3"/>
          <w:szCs w:val="21"/>
        </w:rPr>
      </w:pPr>
    </w:p>
    <w:p w14:paraId="7B862C45">
      <w:pPr>
        <w:ind w:firstLine="5712" w:firstLineChars="2800"/>
        <w:rPr>
          <w:rFonts w:hint="eastAsia" w:ascii="宋体" w:hAnsi="宋体" w:eastAsia="宋体" w:cs="宋体"/>
          <w:color w:val="auto"/>
        </w:rPr>
      </w:pPr>
      <w:r>
        <w:rPr>
          <w:rFonts w:hint="eastAsia" w:ascii="宋体" w:hAnsi="宋体" w:eastAsia="宋体" w:cs="宋体"/>
          <w:color w:val="auto"/>
          <w:spacing w:val="-3"/>
          <w:szCs w:val="21"/>
        </w:rPr>
        <w:t>年</w:t>
      </w:r>
      <w:r>
        <w:rPr>
          <w:rFonts w:hint="eastAsia" w:ascii="宋体" w:hAnsi="宋体" w:eastAsia="宋体" w:cs="宋体"/>
          <w:color w:val="auto"/>
          <w:spacing w:val="-3"/>
          <w:szCs w:val="21"/>
          <w:lang w:val="en-US" w:eastAsia="zh-CN"/>
        </w:rPr>
        <w:t xml:space="preserve">  </w:t>
      </w:r>
      <w:r>
        <w:rPr>
          <w:rFonts w:hint="eastAsia" w:ascii="宋体" w:hAnsi="宋体" w:eastAsia="宋体" w:cs="宋体"/>
          <w:color w:val="auto"/>
          <w:spacing w:val="-3"/>
          <w:szCs w:val="21"/>
        </w:rPr>
        <w:tab/>
      </w:r>
      <w:r>
        <w:rPr>
          <w:rFonts w:hint="eastAsia" w:ascii="宋体" w:hAnsi="宋体" w:eastAsia="宋体" w:cs="宋体"/>
          <w:color w:val="auto"/>
          <w:spacing w:val="-3"/>
          <w:szCs w:val="21"/>
        </w:rPr>
        <w:t>月</w:t>
      </w:r>
      <w:r>
        <w:rPr>
          <w:rFonts w:hint="eastAsia" w:ascii="宋体" w:hAnsi="宋体" w:eastAsia="宋体" w:cs="宋体"/>
          <w:color w:val="auto"/>
          <w:spacing w:val="-3"/>
          <w:szCs w:val="21"/>
          <w:lang w:val="en-US" w:eastAsia="zh-CN"/>
        </w:rPr>
        <w:t xml:space="preserve">    </w:t>
      </w:r>
      <w:r>
        <w:rPr>
          <w:rFonts w:hint="eastAsia" w:ascii="宋体" w:hAnsi="宋体" w:eastAsia="宋体" w:cs="宋体"/>
          <w:color w:val="auto"/>
          <w:spacing w:val="-3"/>
          <w:szCs w:val="21"/>
        </w:rPr>
        <w:tab/>
      </w:r>
      <w:r>
        <w:rPr>
          <w:rFonts w:hint="eastAsia" w:ascii="宋体" w:hAnsi="宋体" w:eastAsia="宋体" w:cs="宋体"/>
          <w:color w:val="auto"/>
          <w:spacing w:val="-3"/>
          <w:szCs w:val="21"/>
        </w:rPr>
        <w:t>日</w:t>
      </w:r>
    </w:p>
    <w:sectPr>
      <w:headerReference r:id="rId3" w:type="default"/>
      <w:footerReference r:id="rId4" w:type="default"/>
      <w:pgSz w:w="11910" w:h="16850"/>
      <w:pgMar w:top="1417" w:right="1417" w:bottom="1417" w:left="1417" w:header="876" w:footer="86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1120C">
    <w:pPr>
      <w:pStyle w:val="12"/>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joinstyle="miter"/>
          <v:imagedata o:title=""/>
          <o:lock v:ext="edit"/>
          <v:textbox inset="0mm,0mm,0mm,0mm" style="mso-fit-shape-to-text:t;">
            <w:txbxContent>
              <w:p w14:paraId="3EB28437">
                <w:pPr>
                  <w:pStyle w:val="12"/>
                </w:pPr>
                <w:r>
                  <w:fldChar w:fldCharType="begin"/>
                </w:r>
                <w:r>
                  <w:instrText xml:space="preserve"> PAGE  \* MERGEFORMAT </w:instrText>
                </w:r>
                <w:r>
                  <w:fldChar w:fldCharType="separate"/>
                </w:r>
                <w:r>
                  <w:t>43</w:t>
                </w:r>
                <w:r>
                  <w:fldChar w:fldCharType="end"/>
                </w:r>
              </w:p>
            </w:txbxContent>
          </v:textbox>
        </v:shape>
      </w:pict>
    </w:r>
  </w:p>
  <w:p w14:paraId="1C5C2E66">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67639">
    <w:pPr>
      <w:pStyle w:val="13"/>
      <w:pBdr>
        <w:bottom w:val="none" w:color="auto" w:sz="0" w:space="1"/>
      </w:pBdr>
      <w:jc w:val="both"/>
    </w:pPr>
  </w:p>
  <w:p w14:paraId="14EE10B4">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6612E"/>
    <w:multiLevelType w:val="singleLevel"/>
    <w:tmpl w:val="88F6612E"/>
    <w:lvl w:ilvl="0" w:tentative="0">
      <w:start w:val="2"/>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rPr>
        <w:rFonts w:hint="default"/>
        <w:b w:val="0"/>
        <w:bCs w:val="0"/>
      </w:rPr>
    </w:lvl>
  </w:abstractNum>
  <w:abstractNum w:abstractNumId="2">
    <w:nsid w:val="191414F2"/>
    <w:multiLevelType w:val="singleLevel"/>
    <w:tmpl w:val="191414F2"/>
    <w:lvl w:ilvl="0" w:tentative="0">
      <w:start w:val="10"/>
      <w:numFmt w:val="chineseCounting"/>
      <w:suff w:val="space"/>
      <w:lvlText w:val="第%1条"/>
      <w:lvlJc w:val="left"/>
      <w:rPr>
        <w:rFonts w:hint="eastAsia"/>
      </w:rPr>
    </w:lvl>
  </w:abstractNum>
  <w:abstractNum w:abstractNumId="3">
    <w:nsid w:val="264424F6"/>
    <w:multiLevelType w:val="singleLevel"/>
    <w:tmpl w:val="264424F6"/>
    <w:lvl w:ilvl="0" w:tentative="0">
      <w:start w:val="1"/>
      <w:numFmt w:val="decimal"/>
      <w:suff w:val="nothing"/>
      <w:lvlText w:val="（%1）"/>
      <w:lvlJc w:val="left"/>
    </w:lvl>
  </w:abstractNum>
  <w:abstractNum w:abstractNumId="4">
    <w:nsid w:val="2EBEB4BA"/>
    <w:multiLevelType w:val="singleLevel"/>
    <w:tmpl w:val="2EBEB4BA"/>
    <w:lvl w:ilvl="0" w:tentative="0">
      <w:start w:val="26"/>
      <w:numFmt w:val="decimal"/>
      <w:suff w:val="space"/>
      <w:lvlText w:val="%1."/>
      <w:lvlJc w:val="left"/>
    </w:lvl>
  </w:abstractNum>
  <w:abstractNum w:abstractNumId="5">
    <w:nsid w:val="4603DC6E"/>
    <w:multiLevelType w:val="singleLevel"/>
    <w:tmpl w:val="4603DC6E"/>
    <w:lvl w:ilvl="0" w:tentative="0">
      <w:start w:val="2"/>
      <w:numFmt w:val="decimal"/>
      <w:suff w:val="nothing"/>
      <w:lvlText w:val="（%1）"/>
      <w:lvlJc w:val="left"/>
    </w:lvl>
  </w:abstractNum>
  <w:abstractNum w:abstractNumId="6">
    <w:nsid w:val="6AD43707"/>
    <w:multiLevelType w:val="singleLevel"/>
    <w:tmpl w:val="6AD43707"/>
    <w:lvl w:ilvl="0" w:tentative="0">
      <w:start w:val="5"/>
      <w:numFmt w:val="decimal"/>
      <w:suff w:val="space"/>
      <w:lvlText w:val="%1."/>
      <w:lvlJc w:val="left"/>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DQ3NzdjMDgyYjcyYjNhMGI5NjE4Y2E5MjM4MzEyMTIifQ=="/>
    <w:docVar w:name="KSO_WPS_MARK_KEY" w:val="165a0445-356a-4ab9-a7b8-e12cf99f98da"/>
  </w:docVars>
  <w:rsids>
    <w:rsidRoot w:val="00755CB8"/>
    <w:rsid w:val="00022507"/>
    <w:rsid w:val="00096940"/>
    <w:rsid w:val="000C177F"/>
    <w:rsid w:val="001363A0"/>
    <w:rsid w:val="001E4B29"/>
    <w:rsid w:val="002E28F7"/>
    <w:rsid w:val="00317286"/>
    <w:rsid w:val="00320CAE"/>
    <w:rsid w:val="0046463C"/>
    <w:rsid w:val="00564DAE"/>
    <w:rsid w:val="005E44E7"/>
    <w:rsid w:val="0065468E"/>
    <w:rsid w:val="00675647"/>
    <w:rsid w:val="00755CB8"/>
    <w:rsid w:val="0087635A"/>
    <w:rsid w:val="008D7AFB"/>
    <w:rsid w:val="00A109FF"/>
    <w:rsid w:val="00A13CA1"/>
    <w:rsid w:val="00A96234"/>
    <w:rsid w:val="00AA51BC"/>
    <w:rsid w:val="00AE28EF"/>
    <w:rsid w:val="00B038B4"/>
    <w:rsid w:val="00B15BB4"/>
    <w:rsid w:val="00B30569"/>
    <w:rsid w:val="00B66CC8"/>
    <w:rsid w:val="00C0280E"/>
    <w:rsid w:val="00CD5A84"/>
    <w:rsid w:val="00D715D7"/>
    <w:rsid w:val="00D73CF9"/>
    <w:rsid w:val="00DD23A3"/>
    <w:rsid w:val="00E94937"/>
    <w:rsid w:val="00EE2CE0"/>
    <w:rsid w:val="00F027D6"/>
    <w:rsid w:val="012B64AF"/>
    <w:rsid w:val="01E811E1"/>
    <w:rsid w:val="0295277A"/>
    <w:rsid w:val="03011BBD"/>
    <w:rsid w:val="04D31076"/>
    <w:rsid w:val="05023BB7"/>
    <w:rsid w:val="08730E67"/>
    <w:rsid w:val="09E638BB"/>
    <w:rsid w:val="0B655F71"/>
    <w:rsid w:val="0D4265B5"/>
    <w:rsid w:val="0E59724F"/>
    <w:rsid w:val="0F324E7B"/>
    <w:rsid w:val="11D00EB7"/>
    <w:rsid w:val="13CE7C5E"/>
    <w:rsid w:val="152F0BF6"/>
    <w:rsid w:val="16EA6C92"/>
    <w:rsid w:val="17244A9A"/>
    <w:rsid w:val="17F871CD"/>
    <w:rsid w:val="18487298"/>
    <w:rsid w:val="1978490E"/>
    <w:rsid w:val="197E23CE"/>
    <w:rsid w:val="19A73191"/>
    <w:rsid w:val="1A0A7151"/>
    <w:rsid w:val="1CE40729"/>
    <w:rsid w:val="1EAA70F6"/>
    <w:rsid w:val="24B2046F"/>
    <w:rsid w:val="24F25920"/>
    <w:rsid w:val="2607644A"/>
    <w:rsid w:val="29913F30"/>
    <w:rsid w:val="2BF20CFC"/>
    <w:rsid w:val="2C4000E7"/>
    <w:rsid w:val="2F505567"/>
    <w:rsid w:val="2F8310E0"/>
    <w:rsid w:val="2FA95E3E"/>
    <w:rsid w:val="33161647"/>
    <w:rsid w:val="33677C78"/>
    <w:rsid w:val="34AE7F62"/>
    <w:rsid w:val="37372ACD"/>
    <w:rsid w:val="37625DF4"/>
    <w:rsid w:val="389F4C14"/>
    <w:rsid w:val="38BD57F2"/>
    <w:rsid w:val="3C945931"/>
    <w:rsid w:val="3D233F03"/>
    <w:rsid w:val="3F684079"/>
    <w:rsid w:val="40B82BB4"/>
    <w:rsid w:val="41222762"/>
    <w:rsid w:val="42BC2CE5"/>
    <w:rsid w:val="42F360AD"/>
    <w:rsid w:val="4577546E"/>
    <w:rsid w:val="47A7239C"/>
    <w:rsid w:val="49D555C2"/>
    <w:rsid w:val="4A975365"/>
    <w:rsid w:val="4B5F2EBF"/>
    <w:rsid w:val="4DF868D1"/>
    <w:rsid w:val="4E343605"/>
    <w:rsid w:val="535C49C8"/>
    <w:rsid w:val="53A05E55"/>
    <w:rsid w:val="53E8793B"/>
    <w:rsid w:val="55C87DE2"/>
    <w:rsid w:val="56890E23"/>
    <w:rsid w:val="59626B09"/>
    <w:rsid w:val="59B83ED5"/>
    <w:rsid w:val="6254215D"/>
    <w:rsid w:val="62F92E8C"/>
    <w:rsid w:val="63E86FEC"/>
    <w:rsid w:val="64AF38F7"/>
    <w:rsid w:val="65B576E2"/>
    <w:rsid w:val="665B220B"/>
    <w:rsid w:val="676C61D9"/>
    <w:rsid w:val="6A10315F"/>
    <w:rsid w:val="6C8678CA"/>
    <w:rsid w:val="6D805286"/>
    <w:rsid w:val="6E1F0DA6"/>
    <w:rsid w:val="701B625A"/>
    <w:rsid w:val="70DF4B3E"/>
    <w:rsid w:val="715D50F9"/>
    <w:rsid w:val="73B20766"/>
    <w:rsid w:val="74E64EAD"/>
    <w:rsid w:val="7529285D"/>
    <w:rsid w:val="76B22F3E"/>
    <w:rsid w:val="77164167"/>
    <w:rsid w:val="780857B2"/>
    <w:rsid w:val="79386064"/>
    <w:rsid w:val="797F0725"/>
    <w:rsid w:val="7BA23C69"/>
    <w:rsid w:val="7DEC2B1F"/>
    <w:rsid w:val="7F907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36"/>
      <w:szCs w:val="44"/>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24"/>
    <w:qFormat/>
    <w:uiPriority w:val="0"/>
    <w:pPr>
      <w:keepNext/>
      <w:keepLines/>
      <w:widowControl/>
      <w:spacing w:before="260" w:after="260" w:line="416" w:lineRule="auto"/>
      <w:outlineLvl w:val="2"/>
    </w:pPr>
    <w:rPr>
      <w:b/>
      <w:bCs/>
      <w:sz w:val="24"/>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ind w:left="1400" w:leftChars="1400"/>
    </w:pPr>
  </w:style>
  <w:style w:type="paragraph" w:styleId="6">
    <w:name w:val="annotation text"/>
    <w:basedOn w:val="1"/>
    <w:qFormat/>
    <w:uiPriority w:val="0"/>
    <w:pPr>
      <w:widowControl/>
      <w:jc w:val="left"/>
    </w:pPr>
    <w:rPr>
      <w:rFonts w:ascii="Calibri" w:hAnsi="Calibri"/>
    </w:rPr>
  </w:style>
  <w:style w:type="paragraph" w:styleId="7">
    <w:name w:val="Body Text"/>
    <w:basedOn w:val="1"/>
    <w:unhideWhenUsed/>
    <w:qFormat/>
    <w:uiPriority w:val="0"/>
    <w:pPr>
      <w:spacing w:after="120"/>
    </w:pPr>
  </w:style>
  <w:style w:type="paragraph" w:styleId="8">
    <w:name w:val="Body Text Indent"/>
    <w:basedOn w:val="1"/>
    <w:qFormat/>
    <w:uiPriority w:val="0"/>
    <w:pPr>
      <w:spacing w:after="120" w:line="360" w:lineRule="exact"/>
      <w:ind w:left="420" w:leftChars="200" w:firstLine="200" w:firstLineChars="200"/>
    </w:pPr>
  </w:style>
  <w:style w:type="paragraph" w:styleId="9">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10">
    <w:name w:val="Plain Text"/>
    <w:basedOn w:val="1"/>
    <w:next w:val="5"/>
    <w:qFormat/>
    <w:uiPriority w:val="0"/>
    <w:rPr>
      <w:rFonts w:ascii="宋体" w:hAnsi="Courier New"/>
      <w:szCs w:val="22"/>
    </w:rPr>
  </w:style>
  <w:style w:type="paragraph" w:styleId="11">
    <w:name w:val="Balloon Text"/>
    <w:basedOn w:val="1"/>
    <w:link w:val="30"/>
    <w:qFormat/>
    <w:uiPriority w:val="0"/>
    <w:rPr>
      <w:sz w:val="18"/>
      <w:szCs w:val="18"/>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link w:val="26"/>
    <w:qFormat/>
    <w:uiPriority w:val="0"/>
    <w:pPr>
      <w:spacing w:before="240" w:after="240"/>
      <w:ind w:firstLine="1687"/>
      <w:jc w:val="center"/>
      <w:outlineLvl w:val="0"/>
    </w:pPr>
    <w:rPr>
      <w:rFonts w:ascii="Cambria" w:hAnsi="Cambria"/>
      <w:b/>
      <w:bCs/>
      <w:sz w:val="32"/>
      <w:szCs w:val="32"/>
    </w:rPr>
  </w:style>
  <w:style w:type="paragraph" w:styleId="17">
    <w:name w:val="Body Text First Indent 2"/>
    <w:basedOn w:val="8"/>
    <w:unhideWhenUsed/>
    <w:qFormat/>
    <w:uiPriority w:val="99"/>
    <w:pPr>
      <w:ind w:firstLine="420"/>
    </w:pPr>
  </w:style>
  <w:style w:type="character" w:styleId="20">
    <w:name w:val="Strong"/>
    <w:basedOn w:val="19"/>
    <w:qFormat/>
    <w:uiPriority w:val="22"/>
    <w:rPr>
      <w:b/>
      <w:bCs/>
    </w:rPr>
  </w:style>
  <w:style w:type="character" w:styleId="21">
    <w:name w:val="annotation reference"/>
    <w:basedOn w:val="19"/>
    <w:qFormat/>
    <w:uiPriority w:val="0"/>
    <w:rPr>
      <w:sz w:val="21"/>
      <w:szCs w:val="21"/>
    </w:rPr>
  </w:style>
  <w:style w:type="paragraph" w:customStyle="1" w:styleId="22">
    <w:name w:val="样式 标题 2 + 宋体"/>
    <w:basedOn w:val="3"/>
    <w:qFormat/>
    <w:uiPriority w:val="99"/>
    <w:rPr>
      <w:rFonts w:ascii="宋体" w:hAnsi="宋体"/>
      <w:sz w:val="30"/>
    </w:rPr>
  </w:style>
  <w:style w:type="paragraph" w:customStyle="1" w:styleId="23">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24">
    <w:name w:val="标题 3 Char"/>
    <w:link w:val="4"/>
    <w:qFormat/>
    <w:uiPriority w:val="0"/>
    <w:rPr>
      <w:b/>
      <w:bCs/>
      <w:sz w:val="24"/>
      <w:szCs w:val="32"/>
    </w:rPr>
  </w:style>
  <w:style w:type="paragraph" w:customStyle="1" w:styleId="25">
    <w:name w:val="BodyText"/>
    <w:basedOn w:val="1"/>
    <w:qFormat/>
    <w:locked/>
    <w:uiPriority w:val="0"/>
    <w:pPr>
      <w:spacing w:after="60" w:line="360" w:lineRule="atLeast"/>
      <w:ind w:left="72" w:leftChars="30" w:right="30" w:rightChars="30"/>
      <w:jc w:val="center"/>
    </w:pPr>
    <w:rPr>
      <w:kern w:val="0"/>
      <w:sz w:val="20"/>
      <w:szCs w:val="20"/>
    </w:rPr>
  </w:style>
  <w:style w:type="character" w:customStyle="1" w:styleId="26">
    <w:name w:val="标题 Char"/>
    <w:link w:val="16"/>
    <w:qFormat/>
    <w:uiPriority w:val="0"/>
    <w:rPr>
      <w:rFonts w:ascii="Cambria" w:hAnsi="Cambria" w:eastAsia="宋体" w:cs="Times New Roman"/>
      <w:b/>
      <w:bCs/>
      <w:sz w:val="32"/>
      <w:szCs w:val="32"/>
    </w:rPr>
  </w:style>
  <w:style w:type="character" w:customStyle="1" w:styleId="27">
    <w:name w:val="NormalCharacter"/>
    <w:semiHidden/>
    <w:qFormat/>
    <w:uiPriority w:val="0"/>
  </w:style>
  <w:style w:type="paragraph" w:customStyle="1" w:styleId="28">
    <w:name w:val="PlainText"/>
    <w:basedOn w:val="1"/>
    <w:next w:val="29"/>
    <w:qFormat/>
    <w:locked/>
    <w:uiPriority w:val="0"/>
    <w:rPr>
      <w:rFonts w:ascii="宋体" w:hAnsi="Courier New"/>
      <w:szCs w:val="20"/>
    </w:rPr>
  </w:style>
  <w:style w:type="paragraph" w:customStyle="1" w:styleId="29">
    <w:name w:val="Index8"/>
    <w:basedOn w:val="1"/>
    <w:next w:val="1"/>
    <w:qFormat/>
    <w:locked/>
    <w:uiPriority w:val="0"/>
    <w:pPr>
      <w:ind w:left="2940"/>
    </w:pPr>
  </w:style>
  <w:style w:type="character" w:customStyle="1" w:styleId="30">
    <w:name w:val="批注框文本 Char"/>
    <w:basedOn w:val="19"/>
    <w:link w:val="11"/>
    <w:qFormat/>
    <w:uiPriority w:val="0"/>
    <w:rPr>
      <w:rFonts w:ascii="Times New Roman" w:hAnsi="Times New Roman" w:eastAsia="宋体" w:cs="Times New Roman"/>
      <w:kern w:val="2"/>
      <w:sz w:val="18"/>
      <w:szCs w:val="18"/>
    </w:rPr>
  </w:style>
  <w:style w:type="character" w:customStyle="1" w:styleId="31">
    <w:name w:val="bookmark-item"/>
    <w:basedOn w:val="19"/>
    <w:qFormat/>
    <w:uiPriority w:val="0"/>
  </w:style>
  <w:style w:type="paragraph" w:styleId="3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2052"/>
    <customShpInfo spid="_x0000_s2053"/>
    <customShpInfo spid="_x0000_s205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C96E1C-5B83-43E8-8423-CDAE6AF02120}">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17888</Words>
  <Characters>19344</Characters>
  <Lines>66</Lines>
  <Paragraphs>98</Paragraphs>
  <TotalTime>10</TotalTime>
  <ScaleCrop>false</ScaleCrop>
  <LinksUpToDate>false</LinksUpToDate>
  <CharactersWithSpaces>19695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2025-03-24T02:40:00Z</dcterms:created>
  <dc:creator>Administrator</dc:creator>
  <cp:lastModifiedBy>狠淡de幸福</cp:lastModifiedBy>
  <dcterms:modified xsi:type="dcterms:W3CDTF">2025-04-28T03:25:00Z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0027E007B466421A96CE1B0303D39299_12</vt:lpwstr>
  </property>
  <property fmtid="{D5CDD505-2E9C-101B-9397-08002B2CF9AE}" pid="4" name="KSOTemplateDocerSaveRecord">
    <vt:lpwstr>eyJoZGlkIjoiYTZlODQ1NzY1ZDk1ZDg5NjE5YWIwOGFmNjg0ZWQ4NGUiLCJ1c2VySWQiOiI0MTA2ODA5NjkifQ==</vt:lpwstr>
  </property>
</Properties>
</file>