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DCDE1">
      <w:pPr>
        <w:spacing w:line="720" w:lineRule="exact"/>
        <w:jc w:val="distribute"/>
        <w:rPr>
          <w:rFonts w:hint="eastAsia" w:ascii="楷体" w:hAnsi="楷体" w:eastAsia="楷体" w:cs="楷体"/>
          <w:b/>
          <w:bCs/>
          <w:color w:val="000000" w:themeColor="text1"/>
          <w:spacing w:val="80"/>
          <w:sz w:val="52"/>
          <w:szCs w:val="52"/>
          <w:highlight w:val="none"/>
          <w:lang w:eastAsia="zh-CN"/>
          <w14:textFill>
            <w14:solidFill>
              <w14:schemeClr w14:val="tx1"/>
            </w14:solidFill>
          </w14:textFill>
        </w:rPr>
      </w:pPr>
    </w:p>
    <w:p w14:paraId="0853C23D">
      <w:pPr>
        <w:pStyle w:val="11"/>
        <w:jc w:val="center"/>
        <w:rPr>
          <w:rFonts w:hint="eastAsia" w:ascii="楷体" w:hAnsi="楷体" w:eastAsia="楷体" w:cs="楷体"/>
          <w:b/>
          <w:bCs/>
          <w:color w:val="000000" w:themeColor="text1"/>
          <w:spacing w:val="80"/>
          <w:sz w:val="72"/>
          <w:highlight w:val="none"/>
          <w14:textFill>
            <w14:solidFill>
              <w14:schemeClr w14:val="tx1"/>
            </w14:solidFill>
          </w14:textFill>
        </w:rPr>
      </w:pPr>
      <w:r>
        <w:rPr>
          <w:rFonts w:hint="eastAsia" w:ascii="楷体" w:hAnsi="楷体" w:eastAsia="楷体" w:cs="楷体"/>
          <w:b/>
          <w:bCs/>
          <w:color w:val="000000" w:themeColor="text1"/>
          <w:spacing w:val="80"/>
          <w:sz w:val="52"/>
          <w:szCs w:val="20"/>
          <w:highlight w:val="none"/>
          <w:lang w:val="en-US" w:eastAsia="zh-CN"/>
          <w14:textFill>
            <w14:solidFill>
              <w14:schemeClr w14:val="tx1"/>
            </w14:solidFill>
          </w14:textFill>
        </w:rPr>
        <w:t>广西嘉弘项目管理有限公司</w:t>
      </w:r>
    </w:p>
    <w:p w14:paraId="12A5661F">
      <w:pPr>
        <w:pStyle w:val="11"/>
        <w:jc w:val="center"/>
        <w:rPr>
          <w:rFonts w:hint="eastAsia" w:ascii="楷体" w:hAnsi="楷体" w:eastAsia="楷体" w:cs="楷体"/>
          <w:b/>
          <w:bCs/>
          <w:color w:val="000000" w:themeColor="text1"/>
          <w:spacing w:val="80"/>
          <w:sz w:val="72"/>
          <w:highlight w:val="none"/>
          <w14:textFill>
            <w14:solidFill>
              <w14:schemeClr w14:val="tx1"/>
            </w14:solidFill>
          </w14:textFill>
        </w:rPr>
      </w:pPr>
    </w:p>
    <w:p w14:paraId="196A9B7E">
      <w:pPr>
        <w:pStyle w:val="11"/>
        <w:jc w:val="center"/>
        <w:rPr>
          <w:rFonts w:hint="eastAsia" w:ascii="楷体" w:hAnsi="楷体" w:eastAsia="楷体" w:cs="楷体"/>
          <w:b/>
          <w:bCs/>
          <w:color w:val="000000" w:themeColor="text1"/>
          <w:sz w:val="72"/>
          <w:highlight w:val="none"/>
          <w14:textFill>
            <w14:solidFill>
              <w14:schemeClr w14:val="tx1"/>
            </w14:solidFill>
          </w14:textFill>
        </w:rPr>
      </w:pPr>
    </w:p>
    <w:p w14:paraId="6BE90D9B">
      <w:pPr>
        <w:pStyle w:val="11"/>
        <w:jc w:val="center"/>
        <w:rPr>
          <w:rFonts w:hint="eastAsia" w:ascii="楷体" w:hAnsi="楷体" w:eastAsia="楷体" w:cs="楷体"/>
          <w:color w:val="000000" w:themeColor="text1"/>
          <w:highlight w:val="none"/>
          <w14:textFill>
            <w14:solidFill>
              <w14:schemeClr w14:val="tx1"/>
            </w14:solidFill>
          </w14:textFill>
        </w:rPr>
      </w:pPr>
    </w:p>
    <w:p w14:paraId="343A231A">
      <w:pPr>
        <w:spacing w:line="1400" w:lineRule="exact"/>
        <w:jc w:val="center"/>
        <w:rPr>
          <w:rFonts w:hint="eastAsia" w:ascii="楷体" w:hAnsi="楷体" w:eastAsia="楷体" w:cs="楷体"/>
          <w:b/>
          <w:color w:val="000000" w:themeColor="text1"/>
          <w:spacing w:val="60"/>
          <w:sz w:val="84"/>
          <w:szCs w:val="84"/>
          <w:highlight w:val="none"/>
          <w14:textFill>
            <w14:solidFill>
              <w14:schemeClr w14:val="tx1"/>
            </w14:solidFill>
          </w14:textFill>
        </w:rPr>
      </w:pPr>
      <w:r>
        <w:rPr>
          <w:rFonts w:hint="eastAsia" w:ascii="楷体" w:hAnsi="楷体" w:eastAsia="楷体" w:cs="楷体"/>
          <w:b/>
          <w:color w:val="000000" w:themeColor="text1"/>
          <w:spacing w:val="60"/>
          <w:sz w:val="84"/>
          <w:szCs w:val="84"/>
          <w:highlight w:val="none"/>
          <w14:textFill>
            <w14:solidFill>
              <w14:schemeClr w14:val="tx1"/>
            </w14:solidFill>
          </w14:textFill>
        </w:rPr>
        <w:t>竞争性磋商文件</w:t>
      </w:r>
    </w:p>
    <w:p w14:paraId="163FD30D">
      <w:pPr>
        <w:pStyle w:val="11"/>
        <w:rPr>
          <w:rFonts w:hint="eastAsia" w:ascii="宋体" w:hAnsi="宋体" w:eastAsia="宋体" w:cs="宋体"/>
          <w:color w:val="000000" w:themeColor="text1"/>
          <w:highlight w:val="none"/>
          <w14:textFill>
            <w14:solidFill>
              <w14:schemeClr w14:val="tx1"/>
            </w14:solidFill>
          </w14:textFill>
        </w:rPr>
      </w:pPr>
    </w:p>
    <w:p w14:paraId="5630D029">
      <w:pPr>
        <w:pStyle w:val="11"/>
        <w:ind w:firstLine="3885" w:firstLineChars="1850"/>
        <w:rPr>
          <w:rFonts w:hint="eastAsia" w:ascii="宋体" w:hAnsi="宋体" w:eastAsia="宋体" w:cs="宋体"/>
          <w:color w:val="000000" w:themeColor="text1"/>
          <w:highlight w:val="none"/>
          <w14:textFill>
            <w14:solidFill>
              <w14:schemeClr w14:val="tx1"/>
            </w14:solidFill>
          </w14:textFill>
        </w:rPr>
      </w:pPr>
    </w:p>
    <w:p w14:paraId="229BB0BF">
      <w:pPr>
        <w:pStyle w:val="11"/>
        <w:rPr>
          <w:rFonts w:hint="eastAsia" w:ascii="宋体" w:hAnsi="宋体" w:eastAsia="宋体" w:cs="宋体"/>
          <w:color w:val="000000" w:themeColor="text1"/>
          <w:highlight w:val="none"/>
          <w14:textFill>
            <w14:solidFill>
              <w14:schemeClr w14:val="tx1"/>
            </w14:solidFill>
          </w14:textFill>
        </w:rPr>
      </w:pPr>
    </w:p>
    <w:p w14:paraId="17111524">
      <w:pPr>
        <w:pStyle w:val="11"/>
        <w:rPr>
          <w:rFonts w:hint="eastAsia" w:ascii="宋体" w:hAnsi="宋体" w:eastAsia="宋体" w:cs="宋体"/>
          <w:color w:val="000000" w:themeColor="text1"/>
          <w:highlight w:val="none"/>
          <w14:textFill>
            <w14:solidFill>
              <w14:schemeClr w14:val="tx1"/>
            </w14:solidFill>
          </w14:textFill>
        </w:rPr>
      </w:pPr>
    </w:p>
    <w:p w14:paraId="1F417AFC">
      <w:pPr>
        <w:pStyle w:val="11"/>
        <w:rPr>
          <w:rFonts w:hint="eastAsia" w:ascii="宋体" w:hAnsi="宋体" w:eastAsia="宋体" w:cs="宋体"/>
          <w:color w:val="000000" w:themeColor="text1"/>
          <w:sz w:val="30"/>
          <w:szCs w:val="30"/>
          <w:highlight w:val="none"/>
          <w14:textFill>
            <w14:solidFill>
              <w14:schemeClr w14:val="tx1"/>
            </w14:solidFill>
          </w14:textFill>
        </w:rPr>
      </w:pPr>
    </w:p>
    <w:p w14:paraId="3C20AD5C">
      <w:pPr>
        <w:keepNext w:val="0"/>
        <w:keepLines w:val="0"/>
        <w:pageBreakBefore w:val="0"/>
        <w:widowControl w:val="0"/>
        <w:tabs>
          <w:tab w:val="left" w:pos="8400"/>
          <w:tab w:val="left" w:pos="9240"/>
        </w:tabs>
        <w:kinsoku/>
        <w:wordWrap/>
        <w:overflowPunct/>
        <w:topLinePunct w:val="0"/>
        <w:autoSpaceDE/>
        <w:autoSpaceDN/>
        <w:bidi w:val="0"/>
        <w:adjustRightInd/>
        <w:snapToGrid/>
        <w:ind w:left="2801" w:leftChars="426" w:right="0" w:rightChars="0" w:hanging="1906" w:hangingChars="500"/>
        <w:jc w:val="both"/>
        <w:textAlignment w:val="auto"/>
        <w:rPr>
          <w:rFonts w:hint="eastAsia" w:ascii="宋体" w:hAnsi="宋体" w:eastAsia="宋体" w:cs="宋体"/>
          <w:b/>
          <w:bCs/>
          <w:color w:val="000000" w:themeColor="text1"/>
          <w:spacing w:val="-36"/>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pacing w:val="40"/>
          <w:sz w:val="30"/>
          <w:szCs w:val="30"/>
          <w:highlight w:val="none"/>
          <w14:textFill>
            <w14:solidFill>
              <w14:schemeClr w14:val="tx1"/>
            </w14:solidFill>
          </w14:textFill>
        </w:rPr>
        <w:t>项目名称：</w:t>
      </w:r>
      <w:r>
        <w:rPr>
          <w:rFonts w:hint="eastAsia" w:ascii="宋体" w:hAnsi="宋体" w:cs="宋体"/>
          <w:b/>
          <w:bCs/>
          <w:color w:val="000000" w:themeColor="text1"/>
          <w:spacing w:val="40"/>
          <w:sz w:val="30"/>
          <w:szCs w:val="30"/>
          <w:highlight w:val="none"/>
          <w:lang w:eastAsia="zh-CN"/>
          <w14:textFill>
            <w14:solidFill>
              <w14:schemeClr w14:val="tx1"/>
            </w14:solidFill>
          </w14:textFill>
        </w:rPr>
        <w:t>桂林市临桂区五通镇仁和村等5个村全域</w:t>
      </w:r>
      <w:r>
        <w:rPr>
          <w:rFonts w:hint="eastAsia" w:ascii="宋体" w:hAnsi="宋体" w:cs="宋体"/>
          <w:b/>
          <w:bCs/>
          <w:color w:val="000000" w:themeColor="text1"/>
          <w:spacing w:val="40"/>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pacing w:val="40"/>
          <w:sz w:val="30"/>
          <w:szCs w:val="30"/>
          <w:highlight w:val="none"/>
          <w:lang w:eastAsia="zh-CN"/>
          <w14:textFill>
            <w14:solidFill>
              <w14:schemeClr w14:val="tx1"/>
            </w14:solidFill>
          </w14:textFill>
        </w:rPr>
        <w:t>土地综合整治项目土地综合整治子项目二期</w:t>
      </w:r>
    </w:p>
    <w:p w14:paraId="02CE23CD">
      <w:pPr>
        <w:ind w:right="-21" w:rightChars="-10" w:firstLine="762" w:firstLineChars="200"/>
        <w:jc w:val="both"/>
        <w:rPr>
          <w:rFonts w:hint="eastAsia" w:ascii="宋体" w:hAnsi="宋体" w:eastAsia="宋体" w:cs="宋体"/>
          <w:b/>
          <w:bCs/>
          <w:color w:val="000000" w:themeColor="text1"/>
          <w:sz w:val="32"/>
          <w:highlight w:val="none"/>
          <w:lang w:eastAsia="zh-CN"/>
          <w14:textFill>
            <w14:solidFill>
              <w14:schemeClr w14:val="tx1"/>
            </w14:solidFill>
          </w14:textFill>
        </w:rPr>
      </w:pPr>
      <w:r>
        <w:rPr>
          <w:rFonts w:hint="eastAsia" w:ascii="宋体" w:hAnsi="宋体" w:eastAsia="宋体" w:cs="宋体"/>
          <w:b/>
          <w:bCs/>
          <w:color w:val="000000" w:themeColor="text1"/>
          <w:spacing w:val="40"/>
          <w:sz w:val="30"/>
          <w:szCs w:val="30"/>
          <w:highlight w:val="none"/>
          <w14:textFill>
            <w14:solidFill>
              <w14:schemeClr w14:val="tx1"/>
            </w14:solidFill>
          </w14:textFill>
        </w:rPr>
        <w:t>项目编号：</w:t>
      </w:r>
      <w:r>
        <w:rPr>
          <w:rFonts w:hint="eastAsia" w:ascii="宋体" w:hAnsi="宋体" w:cs="宋体"/>
          <w:b/>
          <w:bCs/>
          <w:color w:val="000000" w:themeColor="text1"/>
          <w:spacing w:val="40"/>
          <w:sz w:val="30"/>
          <w:szCs w:val="30"/>
          <w:highlight w:val="none"/>
          <w:lang w:eastAsia="zh-CN"/>
          <w14:textFill>
            <w14:solidFill>
              <w14:schemeClr w14:val="tx1"/>
            </w14:solidFill>
          </w14:textFill>
        </w:rPr>
        <w:t>GLZC2025-C2-120008-GXJH</w:t>
      </w:r>
    </w:p>
    <w:p w14:paraId="673B8FB2">
      <w:pPr>
        <w:ind w:left="-2" w:leftChars="-1" w:firstLine="1446" w:firstLineChars="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36"/>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cr/>
      </w:r>
    </w:p>
    <w:p w14:paraId="4D3D41F8">
      <w:pPr>
        <w:ind w:left="-2" w:leftChars="-1" w:firstLine="840" w:firstLineChars="400"/>
        <w:rPr>
          <w:rFonts w:hint="eastAsia" w:ascii="宋体" w:hAnsi="宋体" w:eastAsia="宋体" w:cs="宋体"/>
          <w:color w:val="000000" w:themeColor="text1"/>
          <w:highlight w:val="none"/>
          <w14:textFill>
            <w14:solidFill>
              <w14:schemeClr w14:val="tx1"/>
            </w14:solidFill>
          </w14:textFill>
        </w:rPr>
      </w:pPr>
    </w:p>
    <w:p w14:paraId="7BE6B7E8">
      <w:pPr>
        <w:ind w:left="-2" w:leftChars="-1"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ab/>
      </w:r>
    </w:p>
    <w:p w14:paraId="3EA17344">
      <w:pPr>
        <w:rPr>
          <w:rFonts w:hint="eastAsia" w:ascii="宋体" w:hAnsi="宋体" w:eastAsia="宋体" w:cs="宋体"/>
          <w:color w:val="000000" w:themeColor="text1"/>
          <w:highlight w:val="none"/>
          <w14:textFill>
            <w14:solidFill>
              <w14:schemeClr w14:val="tx1"/>
            </w14:solidFill>
          </w14:textFill>
        </w:rPr>
      </w:pPr>
    </w:p>
    <w:p w14:paraId="136EA6D5">
      <w:pPr>
        <w:ind w:left="-2" w:leftChars="-1" w:firstLine="630" w:firstLineChars="300"/>
        <w:rPr>
          <w:rFonts w:hint="eastAsia" w:ascii="宋体" w:hAnsi="宋体" w:eastAsia="宋体" w:cs="宋体"/>
          <w:color w:val="000000" w:themeColor="text1"/>
          <w:highlight w:val="none"/>
          <w14:textFill>
            <w14:solidFill>
              <w14:schemeClr w14:val="tx1"/>
            </w14:solidFill>
          </w14:textFill>
        </w:rPr>
      </w:pPr>
    </w:p>
    <w:p w14:paraId="5B0D1155">
      <w:pPr>
        <w:keepNext w:val="0"/>
        <w:keepLines w:val="0"/>
        <w:pageBreakBefore w:val="0"/>
        <w:widowControl w:val="0"/>
        <w:tabs>
          <w:tab w:val="left" w:pos="8400"/>
          <w:tab w:val="left" w:pos="9240"/>
        </w:tabs>
        <w:kinsoku/>
        <w:wordWrap/>
        <w:overflowPunct/>
        <w:topLinePunct w:val="0"/>
        <w:autoSpaceDE/>
        <w:autoSpaceDN/>
        <w:bidi w:val="0"/>
        <w:adjustRightInd/>
        <w:snapToGrid/>
        <w:ind w:right="0" w:rightChars="0"/>
        <w:jc w:val="center"/>
        <w:textAlignment w:val="auto"/>
        <w:rPr>
          <w:rFonts w:hint="eastAsia" w:ascii="宋体" w:hAnsi="宋体" w:eastAsia="宋体" w:cs="宋体"/>
          <w:b/>
          <w:bCs/>
          <w:color w:val="000000" w:themeColor="text1"/>
          <w:spacing w:val="40"/>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pacing w:val="40"/>
          <w:sz w:val="30"/>
          <w:szCs w:val="30"/>
          <w:highlight w:val="none"/>
          <w:lang w:eastAsia="zh-CN"/>
          <w14:textFill>
            <w14:solidFill>
              <w14:schemeClr w14:val="tx1"/>
            </w14:solidFill>
          </w14:textFill>
        </w:rPr>
        <w:t>采购代理机构：</w:t>
      </w:r>
      <w:r>
        <w:rPr>
          <w:rFonts w:hint="eastAsia" w:ascii="宋体" w:hAnsi="宋体" w:cs="宋体"/>
          <w:b/>
          <w:bCs/>
          <w:color w:val="000000" w:themeColor="text1"/>
          <w:spacing w:val="40"/>
          <w:sz w:val="30"/>
          <w:szCs w:val="30"/>
          <w:highlight w:val="none"/>
          <w:lang w:val="en-US" w:eastAsia="zh-CN"/>
          <w14:textFill>
            <w14:solidFill>
              <w14:schemeClr w14:val="tx1"/>
            </w14:solidFill>
          </w14:textFill>
        </w:rPr>
        <w:t>广西嘉弘项目管理有限公司</w:t>
      </w:r>
    </w:p>
    <w:p w14:paraId="485A7BF6">
      <w:pPr>
        <w:jc w:val="center"/>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20</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2</w:t>
      </w:r>
      <w:r>
        <w:rPr>
          <w:rFonts w:hint="eastAsia" w:ascii="宋体" w:hAnsi="宋体" w:cs="宋体"/>
          <w:b/>
          <w:bCs/>
          <w:color w:val="000000" w:themeColor="text1"/>
          <w:sz w:val="30"/>
          <w:szCs w:val="30"/>
          <w:highlight w:val="none"/>
          <w:lang w:val="en-US" w:eastAsia="zh-CN"/>
          <w14:textFill>
            <w14:solidFill>
              <w14:schemeClr w14:val="tx1"/>
            </w14:solidFill>
          </w14:textFill>
        </w:rPr>
        <w:t>5</w:t>
      </w:r>
      <w:r>
        <w:rPr>
          <w:rFonts w:hint="eastAsia" w:ascii="宋体" w:hAnsi="宋体" w:eastAsia="宋体" w:cs="宋体"/>
          <w:b/>
          <w:bCs/>
          <w:color w:val="000000" w:themeColor="text1"/>
          <w:sz w:val="30"/>
          <w:szCs w:val="30"/>
          <w:highlight w:val="none"/>
          <w14:textFill>
            <w14:solidFill>
              <w14:schemeClr w14:val="tx1"/>
            </w14:solidFill>
          </w14:textFill>
        </w:rPr>
        <w:t>年</w:t>
      </w:r>
      <w:r>
        <w:rPr>
          <w:rFonts w:hint="eastAsia" w:ascii="宋体" w:hAnsi="宋体" w:cs="宋体"/>
          <w:b/>
          <w:bCs/>
          <w:color w:val="000000" w:themeColor="text1"/>
          <w:sz w:val="30"/>
          <w:szCs w:val="30"/>
          <w:highlight w:val="none"/>
          <w:lang w:val="en-US" w:eastAsia="zh-CN"/>
          <w14:textFill>
            <w14:solidFill>
              <w14:schemeClr w14:val="tx1"/>
            </w14:solidFill>
          </w14:textFill>
        </w:rPr>
        <w:t>4</w:t>
      </w:r>
      <w:r>
        <w:rPr>
          <w:rFonts w:hint="eastAsia" w:ascii="宋体" w:hAnsi="宋体" w:eastAsia="宋体" w:cs="宋体"/>
          <w:b/>
          <w:bCs/>
          <w:color w:val="000000" w:themeColor="text1"/>
          <w:sz w:val="30"/>
          <w:szCs w:val="30"/>
          <w:highlight w:val="none"/>
          <w14:textFill>
            <w14:solidFill>
              <w14:schemeClr w14:val="tx1"/>
            </w14:solidFill>
          </w14:textFill>
        </w:rPr>
        <w:t>月</w:t>
      </w:r>
    </w:p>
    <w:p w14:paraId="0D819B31">
      <w:pPr>
        <w:autoSpaceDE w:val="0"/>
        <w:autoSpaceDN w:val="0"/>
        <w:spacing w:line="545" w:lineRule="exact"/>
        <w:outlineLvl w:val="2"/>
        <w:rPr>
          <w:rFonts w:hint="eastAsia" w:ascii="宋体" w:hAnsi="宋体" w:cs="宋体"/>
          <w:b/>
          <w:bCs/>
          <w:color w:val="000000" w:themeColor="text1"/>
          <w:kern w:val="0"/>
          <w:sz w:val="44"/>
          <w:szCs w:val="44"/>
          <w:highlight w:val="none"/>
          <w:lang w:val="zh-CN" w:bidi="zh-CN"/>
          <w14:textFill>
            <w14:solidFill>
              <w14:schemeClr w14:val="tx1"/>
            </w14:solidFill>
          </w14:textFill>
        </w:rPr>
        <w:sectPr>
          <w:headerReference r:id="rId3" w:type="default"/>
          <w:footerReference r:id="rId4" w:type="even"/>
          <w:pgSz w:w="11906" w:h="16838"/>
          <w:pgMar w:top="850" w:right="972" w:bottom="850" w:left="854" w:header="851" w:footer="992" w:gutter="0"/>
          <w:cols w:space="720" w:num="1"/>
          <w:titlePg/>
          <w:docGrid w:type="lines" w:linePitch="388" w:charSpace="0"/>
        </w:sectPr>
      </w:pPr>
    </w:p>
    <w:p w14:paraId="5B9746EF">
      <w:pPr>
        <w:pStyle w:val="14"/>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pacing w:val="-6"/>
          <w:kern w:val="0"/>
          <w:sz w:val="36"/>
          <w:szCs w:val="36"/>
          <w:highlight w:val="none"/>
          <w:lang w:eastAsia="zh-CN"/>
          <w14:textFill>
            <w14:solidFill>
              <w14:schemeClr w14:val="tx1"/>
            </w14:solidFill>
          </w14:textFill>
        </w:rPr>
      </w:pPr>
      <w:r>
        <w:rPr>
          <w:rFonts w:hint="eastAsia" w:ascii="宋体" w:hAnsi="宋体" w:eastAsia="宋体" w:cs="宋体"/>
          <w:b/>
          <w:color w:val="000000" w:themeColor="text1"/>
          <w:spacing w:val="-6"/>
          <w:kern w:val="0"/>
          <w:sz w:val="36"/>
          <w:szCs w:val="36"/>
          <w:highlight w:val="none"/>
          <w:lang w:eastAsia="zh-CN"/>
          <w14:textFill>
            <w14:solidFill>
              <w14:schemeClr w14:val="tx1"/>
            </w14:solidFill>
          </w14:textFill>
        </w:rPr>
        <w:t>目</w:t>
      </w:r>
      <w:r>
        <w:rPr>
          <w:rFonts w:hint="eastAsia" w:ascii="宋体" w:hAnsi="宋体" w:eastAsia="宋体" w:cs="宋体"/>
          <w:b/>
          <w:color w:val="000000" w:themeColor="text1"/>
          <w:spacing w:val="-6"/>
          <w:kern w:val="0"/>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pacing w:val="-6"/>
          <w:kern w:val="0"/>
          <w:sz w:val="36"/>
          <w:szCs w:val="36"/>
          <w:highlight w:val="none"/>
          <w:lang w:val="en-US" w:eastAsia="zh-CN"/>
          <w14:textFill>
            <w14:solidFill>
              <w14:schemeClr w14:val="tx1"/>
            </w14:solidFill>
          </w14:textFill>
        </w:rPr>
        <w:t xml:space="preserve">  </w:t>
      </w:r>
      <w:r>
        <w:rPr>
          <w:rFonts w:hint="eastAsia" w:ascii="宋体" w:hAnsi="宋体" w:eastAsia="宋体" w:cs="宋体"/>
          <w:b/>
          <w:color w:val="000000" w:themeColor="text1"/>
          <w:spacing w:val="-6"/>
          <w:kern w:val="0"/>
          <w:sz w:val="36"/>
          <w:szCs w:val="36"/>
          <w:highlight w:val="none"/>
          <w:lang w:eastAsia="zh-CN"/>
          <w14:textFill>
            <w14:solidFill>
              <w14:schemeClr w14:val="tx1"/>
            </w14:solidFill>
          </w14:textFill>
        </w:rPr>
        <w:t>录</w:t>
      </w:r>
    </w:p>
    <w:p w14:paraId="37200716">
      <w:pPr>
        <w:rPr>
          <w:rFonts w:hint="eastAsia"/>
          <w:color w:val="000000" w:themeColor="text1"/>
          <w:sz w:val="28"/>
          <w:szCs w:val="28"/>
          <w:highlight w:val="none"/>
          <w:lang w:eastAsia="zh-CN"/>
          <w14:textFill>
            <w14:solidFill>
              <w14:schemeClr w14:val="tx1"/>
            </w14:solidFill>
          </w14:textFill>
        </w:rPr>
      </w:pPr>
    </w:p>
    <w:p w14:paraId="67FFB524">
      <w:pPr>
        <w:pStyle w:val="14"/>
        <w:tabs>
          <w:tab w:val="right" w:leader="dot" w:pos="9660"/>
        </w:tabs>
        <w:spacing w:line="60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pacing w:val="-6"/>
          <w:kern w:val="0"/>
          <w:sz w:val="28"/>
          <w:szCs w:val="28"/>
          <w:highlight w:val="none"/>
          <w14:textFill>
            <w14:solidFill>
              <w14:schemeClr w14:val="tx1"/>
            </w14:solidFill>
          </w14:textFill>
        </w:rPr>
        <w:fldChar w:fldCharType="begin"/>
      </w:r>
      <w:r>
        <w:rPr>
          <w:rFonts w:hint="eastAsia" w:ascii="宋体" w:hAnsi="宋体" w:eastAsia="宋体" w:cs="宋体"/>
          <w:b/>
          <w:color w:val="000000" w:themeColor="text1"/>
          <w:spacing w:val="-6"/>
          <w:kern w:val="0"/>
          <w:sz w:val="28"/>
          <w:szCs w:val="28"/>
          <w:highlight w:val="none"/>
          <w14:textFill>
            <w14:solidFill>
              <w14:schemeClr w14:val="tx1"/>
            </w14:solidFill>
          </w14:textFill>
        </w:rPr>
        <w:instrText xml:space="preserve">TOC \o "1-2" \h \u </w:instrText>
      </w:r>
      <w:r>
        <w:rPr>
          <w:rFonts w:hint="eastAsia" w:ascii="宋体" w:hAnsi="宋体" w:eastAsia="宋体" w:cs="宋体"/>
          <w:b/>
          <w:color w:val="000000" w:themeColor="text1"/>
          <w:spacing w:val="-6"/>
          <w:kern w:val="0"/>
          <w:sz w:val="28"/>
          <w:szCs w:val="28"/>
          <w:highlight w:val="none"/>
          <w14:textFill>
            <w14:solidFill>
              <w14:schemeClr w14:val="tx1"/>
            </w14:solidFill>
          </w14:textFill>
        </w:rPr>
        <w:fldChar w:fldCharType="separate"/>
      </w: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begin"/>
      </w:r>
      <w:r>
        <w:rPr>
          <w:rFonts w:hint="eastAsia" w:ascii="宋体" w:hAnsi="宋体" w:eastAsia="宋体" w:cs="宋体"/>
          <w:color w:val="000000" w:themeColor="text1"/>
          <w:spacing w:val="-6"/>
          <w:kern w:val="0"/>
          <w:sz w:val="28"/>
          <w:szCs w:val="28"/>
          <w:highlight w:val="none"/>
          <w14:textFill>
            <w14:solidFill>
              <w14:schemeClr w14:val="tx1"/>
            </w14:solidFill>
          </w14:textFill>
        </w:rPr>
        <w:instrText xml:space="preserve"> HYPERLINK \l _Toc6135 </w:instrText>
      </w: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lang w:eastAsia="zh-CN"/>
          <w14:textFill>
            <w14:solidFill>
              <w14:schemeClr w14:val="tx1"/>
            </w14:solidFill>
          </w14:textFill>
        </w:rPr>
        <w:t>第一章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竞争性磋商公告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_Toc6135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end"/>
      </w:r>
    </w:p>
    <w:p w14:paraId="2589C1E1">
      <w:pPr>
        <w:pStyle w:val="14"/>
        <w:tabs>
          <w:tab w:val="right" w:leader="dot" w:pos="9660"/>
        </w:tabs>
        <w:spacing w:line="60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begin"/>
      </w:r>
      <w:r>
        <w:rPr>
          <w:rFonts w:hint="eastAsia" w:ascii="宋体" w:hAnsi="宋体" w:eastAsia="宋体" w:cs="宋体"/>
          <w:color w:val="000000" w:themeColor="text1"/>
          <w:spacing w:val="-6"/>
          <w:kern w:val="0"/>
          <w:sz w:val="28"/>
          <w:szCs w:val="28"/>
          <w:highlight w:val="none"/>
          <w14:textFill>
            <w14:solidFill>
              <w14:schemeClr w14:val="tx1"/>
            </w14:solidFill>
          </w14:textFill>
        </w:rPr>
        <w:instrText xml:space="preserve"> HYPERLINK \l _Toc32635 </w:instrText>
      </w: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lang w:eastAsia="zh-CN"/>
          <w14:textFill>
            <w14:solidFill>
              <w14:schemeClr w14:val="tx1"/>
            </w14:solidFill>
          </w14:textFill>
        </w:rPr>
        <w:t>第二章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供应商须知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_Toc32635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end"/>
      </w:r>
    </w:p>
    <w:p w14:paraId="1D38B70A">
      <w:pPr>
        <w:pStyle w:val="14"/>
        <w:tabs>
          <w:tab w:val="right" w:leader="dot" w:pos="9660"/>
        </w:tabs>
        <w:spacing w:line="60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begin"/>
      </w:r>
      <w:r>
        <w:rPr>
          <w:rFonts w:hint="eastAsia" w:ascii="宋体" w:hAnsi="宋体" w:eastAsia="宋体" w:cs="宋体"/>
          <w:color w:val="000000" w:themeColor="text1"/>
          <w:spacing w:val="-6"/>
          <w:kern w:val="0"/>
          <w:sz w:val="28"/>
          <w:szCs w:val="28"/>
          <w:highlight w:val="none"/>
          <w14:textFill>
            <w14:solidFill>
              <w14:schemeClr w14:val="tx1"/>
            </w14:solidFill>
          </w14:textFill>
        </w:rPr>
        <w:instrText xml:space="preserve"> HYPERLINK \l _Toc20004 </w:instrText>
      </w: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 xml:space="preserve">第三章 </w:t>
      </w:r>
      <w:r>
        <w:rPr>
          <w:rFonts w:hint="eastAsia" w:ascii="宋体" w:hAnsi="宋体" w:eastAsia="宋体" w:cs="宋体"/>
          <w:color w:val="000000" w:themeColor="text1"/>
          <w:sz w:val="28"/>
          <w:szCs w:val="28"/>
          <w:highlight w:val="none"/>
          <w:lang w:eastAsia="zh-CN"/>
          <w14:textFill>
            <w14:solidFill>
              <w14:schemeClr w14:val="tx1"/>
            </w14:solidFill>
          </w14:textFill>
        </w:rPr>
        <w:t>工程量清单及施工设计图</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_Toc20004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28</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end"/>
      </w:r>
    </w:p>
    <w:p w14:paraId="645C65A1">
      <w:pPr>
        <w:pStyle w:val="14"/>
        <w:tabs>
          <w:tab w:val="right" w:leader="dot" w:pos="9660"/>
        </w:tabs>
        <w:spacing w:line="60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begin"/>
      </w:r>
      <w:r>
        <w:rPr>
          <w:rFonts w:hint="eastAsia" w:ascii="宋体" w:hAnsi="宋体" w:eastAsia="宋体" w:cs="宋体"/>
          <w:color w:val="000000" w:themeColor="text1"/>
          <w:spacing w:val="-6"/>
          <w:kern w:val="0"/>
          <w:sz w:val="28"/>
          <w:szCs w:val="28"/>
          <w:highlight w:val="none"/>
          <w14:textFill>
            <w14:solidFill>
              <w14:schemeClr w14:val="tx1"/>
            </w14:solidFill>
          </w14:textFill>
        </w:rPr>
        <w:instrText xml:space="preserve"> HYPERLINK \l _Toc10247 </w:instrText>
      </w: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lang w:eastAsia="zh-CN"/>
          <w14:textFill>
            <w14:solidFill>
              <w14:schemeClr w14:val="tx1"/>
            </w14:solidFill>
          </w14:textFill>
        </w:rPr>
        <w:t>第四章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评审办法</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_Toc10247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30</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end"/>
      </w:r>
    </w:p>
    <w:p w14:paraId="64A6C240">
      <w:pPr>
        <w:pStyle w:val="14"/>
        <w:tabs>
          <w:tab w:val="right" w:leader="dot" w:pos="9660"/>
        </w:tabs>
        <w:spacing w:line="60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begin"/>
      </w:r>
      <w:r>
        <w:rPr>
          <w:rFonts w:hint="eastAsia" w:ascii="宋体" w:hAnsi="宋体" w:eastAsia="宋体" w:cs="宋体"/>
          <w:color w:val="000000" w:themeColor="text1"/>
          <w:spacing w:val="-6"/>
          <w:kern w:val="0"/>
          <w:sz w:val="28"/>
          <w:szCs w:val="28"/>
          <w:highlight w:val="none"/>
          <w14:textFill>
            <w14:solidFill>
              <w14:schemeClr w14:val="tx1"/>
            </w14:solidFill>
          </w14:textFill>
        </w:rPr>
        <w:instrText xml:space="preserve"> HYPERLINK \l _Toc30114 </w:instrText>
      </w: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lang w:eastAsia="zh-CN"/>
          <w14:textFill>
            <w14:solidFill>
              <w14:schemeClr w14:val="tx1"/>
            </w14:solidFill>
          </w14:textFill>
        </w:rPr>
        <w:t>第五章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采购合同（合同主要条款及格式）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_Toc30114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end"/>
      </w:r>
    </w:p>
    <w:p w14:paraId="688BD6FB">
      <w:pPr>
        <w:pStyle w:val="15"/>
        <w:tabs>
          <w:tab w:val="right" w:leader="dot" w:pos="9660"/>
        </w:tabs>
        <w:spacing w:line="600" w:lineRule="auto"/>
        <w:ind w:left="0" w:leftChars="0" w:firstLine="0" w:firstLineChars="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begin"/>
      </w:r>
      <w:r>
        <w:rPr>
          <w:rFonts w:hint="eastAsia" w:ascii="宋体" w:hAnsi="宋体" w:eastAsia="宋体" w:cs="宋体"/>
          <w:color w:val="000000" w:themeColor="text1"/>
          <w:spacing w:val="-6"/>
          <w:kern w:val="0"/>
          <w:sz w:val="28"/>
          <w:szCs w:val="28"/>
          <w:highlight w:val="none"/>
          <w14:textFill>
            <w14:solidFill>
              <w14:schemeClr w14:val="tx1"/>
            </w14:solidFill>
          </w14:textFill>
        </w:rPr>
        <w:instrText xml:space="preserve"> HYPERLINK \l _Toc12055 </w:instrText>
      </w: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separate"/>
      </w:r>
      <w:r>
        <w:rPr>
          <w:rFonts w:hint="eastAsia" w:ascii="宋体" w:hAnsi="宋体" w:eastAsia="宋体" w:cs="宋体"/>
          <w:bCs/>
          <w:color w:val="000000" w:themeColor="text1"/>
          <w:kern w:val="44"/>
          <w:sz w:val="28"/>
          <w:szCs w:val="28"/>
          <w:highlight w:val="none"/>
          <w14:textFill>
            <w14:solidFill>
              <w14:schemeClr w14:val="tx1"/>
            </w14:solidFill>
          </w14:textFill>
        </w:rPr>
        <w:t xml:space="preserve">第六章 </w:t>
      </w:r>
      <w:r>
        <w:rPr>
          <w:rFonts w:hint="eastAsia" w:ascii="宋体" w:hAnsi="宋体" w:eastAsia="宋体" w:cs="宋体"/>
          <w:bCs/>
          <w:color w:val="000000" w:themeColor="text1"/>
          <w:sz w:val="28"/>
          <w:szCs w:val="28"/>
          <w:highlight w:val="none"/>
          <w14:textFill>
            <w14:solidFill>
              <w14:schemeClr w14:val="tx1"/>
            </w14:solidFill>
          </w14:textFill>
        </w:rPr>
        <w:t>响应文件（格式）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_Toc12055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72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end"/>
      </w:r>
    </w:p>
    <w:p w14:paraId="3FC0C141">
      <w:pPr>
        <w:pStyle w:val="14"/>
        <w:tabs>
          <w:tab w:val="right" w:leader="dot" w:pos="9660"/>
        </w:tabs>
        <w:spacing w:line="60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begin"/>
      </w:r>
      <w:r>
        <w:rPr>
          <w:rFonts w:hint="eastAsia" w:ascii="宋体" w:hAnsi="宋体" w:eastAsia="宋体" w:cs="宋体"/>
          <w:color w:val="000000" w:themeColor="text1"/>
          <w:spacing w:val="-6"/>
          <w:kern w:val="0"/>
          <w:sz w:val="28"/>
          <w:szCs w:val="28"/>
          <w:highlight w:val="none"/>
          <w14:textFill>
            <w14:solidFill>
              <w14:schemeClr w14:val="tx1"/>
            </w14:solidFill>
          </w14:textFill>
        </w:rPr>
        <w:instrText xml:space="preserve"> HYPERLINK \l _Toc22749 </w:instrText>
      </w: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第七章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图纸</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_Toc22749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95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end"/>
      </w:r>
    </w:p>
    <w:p w14:paraId="3DBA7090">
      <w:pPr>
        <w:keepNext w:val="0"/>
        <w:keepLines w:val="0"/>
        <w:pageBreakBefore w:val="0"/>
        <w:widowControl w:val="0"/>
        <w:kinsoku/>
        <w:wordWrap/>
        <w:overflowPunct/>
        <w:topLinePunct w:val="0"/>
        <w:autoSpaceDE/>
        <w:autoSpaceDN/>
        <w:bidi w:val="0"/>
        <w:adjustRightInd/>
        <w:snapToGrid/>
        <w:spacing w:line="600" w:lineRule="auto"/>
        <w:jc w:val="center"/>
        <w:textAlignment w:val="auto"/>
        <w:outlineLvl w:val="0"/>
        <w:rPr>
          <w:rFonts w:hint="eastAsia" w:ascii="宋体" w:hAnsi="宋体" w:eastAsia="宋体" w:cs="宋体"/>
          <w:color w:val="000000" w:themeColor="text1"/>
          <w:spacing w:val="-6"/>
          <w:kern w:val="0"/>
          <w:sz w:val="24"/>
          <w:szCs w:val="24"/>
          <w:highlight w:val="none"/>
          <w14:textFill>
            <w14:solidFill>
              <w14:schemeClr w14:val="tx1"/>
            </w14:solidFill>
          </w14:textFill>
        </w:rPr>
      </w:pPr>
      <w:r>
        <w:rPr>
          <w:rFonts w:hint="eastAsia" w:ascii="宋体" w:hAnsi="宋体" w:eastAsia="宋体" w:cs="宋体"/>
          <w:color w:val="000000" w:themeColor="text1"/>
          <w:spacing w:val="-6"/>
          <w:kern w:val="0"/>
          <w:sz w:val="28"/>
          <w:szCs w:val="28"/>
          <w:highlight w:val="none"/>
          <w14:textFill>
            <w14:solidFill>
              <w14:schemeClr w14:val="tx1"/>
            </w14:solidFill>
          </w14:textFill>
        </w:rPr>
        <w:fldChar w:fldCharType="end"/>
      </w:r>
    </w:p>
    <w:p w14:paraId="1C3FC670">
      <w:pPr>
        <w:pStyle w:val="4"/>
        <w:rPr>
          <w:rFonts w:hint="eastAsia" w:ascii="宋体" w:hAnsi="宋体" w:eastAsia="宋体" w:cs="宋体"/>
          <w:color w:val="000000" w:themeColor="text1"/>
          <w:spacing w:val="-6"/>
          <w:kern w:val="0"/>
          <w:sz w:val="24"/>
          <w:szCs w:val="24"/>
          <w:highlight w:val="none"/>
          <w14:textFill>
            <w14:solidFill>
              <w14:schemeClr w14:val="tx1"/>
            </w14:solidFill>
          </w14:textFill>
        </w:rPr>
      </w:pPr>
    </w:p>
    <w:p w14:paraId="06735145">
      <w:pPr>
        <w:rPr>
          <w:rFonts w:hint="eastAsia" w:ascii="宋体" w:hAnsi="宋体" w:eastAsia="宋体" w:cs="宋体"/>
          <w:color w:val="000000" w:themeColor="text1"/>
          <w:spacing w:val="-6"/>
          <w:kern w:val="0"/>
          <w:sz w:val="24"/>
          <w:szCs w:val="24"/>
          <w:highlight w:val="none"/>
          <w14:textFill>
            <w14:solidFill>
              <w14:schemeClr w14:val="tx1"/>
            </w14:solidFill>
          </w14:textFill>
        </w:rPr>
      </w:pPr>
    </w:p>
    <w:p w14:paraId="44ED93CB">
      <w:pPr>
        <w:rPr>
          <w:rFonts w:hint="eastAsia" w:ascii="宋体" w:hAnsi="宋体" w:eastAsia="宋体" w:cs="宋体"/>
          <w:color w:val="000000" w:themeColor="text1"/>
          <w:spacing w:val="-6"/>
          <w:kern w:val="0"/>
          <w:sz w:val="24"/>
          <w:szCs w:val="24"/>
          <w:highlight w:val="none"/>
          <w14:textFill>
            <w14:solidFill>
              <w14:schemeClr w14:val="tx1"/>
            </w14:solidFill>
          </w14:textFill>
        </w:rPr>
      </w:pPr>
    </w:p>
    <w:p w14:paraId="7B37CFE0">
      <w:pPr>
        <w:rPr>
          <w:color w:val="000000" w:themeColor="text1"/>
          <w:sz w:val="24"/>
          <w:szCs w:val="24"/>
          <w:highlight w:val="none"/>
          <w14:textFill>
            <w14:solidFill>
              <w14:schemeClr w14:val="tx1"/>
            </w14:solidFill>
          </w14:textFill>
        </w:rPr>
      </w:pPr>
    </w:p>
    <w:p w14:paraId="3317E873">
      <w:pPr>
        <w:pStyle w:val="3"/>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000000" w:themeColor="text1"/>
          <w:sz w:val="24"/>
          <w:szCs w:val="24"/>
          <w:highlight w:val="none"/>
          <w14:textFill>
            <w14:solidFill>
              <w14:schemeClr w14:val="tx1"/>
            </w14:solidFill>
          </w14:textFill>
        </w:rPr>
        <w:sectPr>
          <w:footerReference r:id="rId6" w:type="first"/>
          <w:footerReference r:id="rId5" w:type="default"/>
          <w:pgSz w:w="11906" w:h="16838"/>
          <w:pgMar w:top="1418" w:right="1115" w:bottom="1418" w:left="1131" w:header="851" w:footer="992" w:gutter="0"/>
          <w:pgNumType w:fmt="decimal" w:start="1"/>
          <w:cols w:space="720" w:num="1"/>
          <w:titlePg/>
          <w:docGrid w:type="lines" w:linePitch="312" w:charSpace="0"/>
        </w:sectPr>
      </w:pPr>
      <w:bookmarkStart w:id="0" w:name="_Toc21930"/>
      <w:bookmarkStart w:id="1" w:name="_Toc35393797"/>
      <w:bookmarkStart w:id="2" w:name="_Toc26809"/>
      <w:bookmarkStart w:id="3" w:name="_Toc28359011"/>
      <w:bookmarkStart w:id="4" w:name="_Toc30170"/>
    </w:p>
    <w:p w14:paraId="4BD489BC">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 w:name="_Toc6135"/>
      <w:r>
        <w:rPr>
          <w:rFonts w:hint="eastAsia" w:ascii="宋体" w:hAnsi="宋体" w:eastAsia="宋体" w:cs="宋体"/>
          <w:color w:val="000000" w:themeColor="text1"/>
          <w:sz w:val="24"/>
          <w:szCs w:val="24"/>
          <w:highlight w:val="none"/>
          <w:lang w:eastAsia="zh-CN"/>
          <w14:textFill>
            <w14:solidFill>
              <w14:schemeClr w14:val="tx1"/>
            </w14:solidFill>
          </w14:textFill>
        </w:rPr>
        <w:t>第一章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竞争性磋商公告</w:t>
      </w:r>
      <w:bookmarkEnd w:id="0"/>
      <w:bookmarkEnd w:id="1"/>
      <w:bookmarkEnd w:id="2"/>
      <w:bookmarkEnd w:id="3"/>
      <w:bookmarkEnd w:id="4"/>
      <w:bookmarkEnd w:id="5"/>
    </w:p>
    <w:tbl>
      <w:tblPr>
        <w:tblStyle w:val="20"/>
        <w:tblpPr w:leftFromText="180" w:rightFromText="180" w:vertAnchor="text" w:tblpX="38" w:tblpY="134"/>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1791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9320" w:type="dxa"/>
            <w:vAlign w:val="top"/>
          </w:tcPr>
          <w:p w14:paraId="5D2347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项目概况</w:t>
            </w:r>
          </w:p>
          <w:p w14:paraId="7034B60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t>桂林市临桂区五通镇仁和村等5个村全域土地综合整治项目土地综合整治子项目二期</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采购项目的潜在供应商应在</w:t>
            </w:r>
            <w:r>
              <w:rPr>
                <w:rFonts w:hint="eastAsia" w:ascii="宋体"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t>广西政府采购云平台（</w:t>
            </w:r>
            <w:r>
              <w:rPr>
                <w:rFonts w:hint="eastAsia" w:ascii="宋体"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fldChar w:fldCharType="begin"/>
            </w:r>
            <w:r>
              <w:rPr>
                <w:rFonts w:hint="eastAsia" w:ascii="宋体"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instrText xml:space="preserve"> HYPERLINK "https://www.gcy.zfcg.gxzf.gov.cn/）获取采购文件，并于2024年4月" </w:instrText>
            </w:r>
            <w:r>
              <w:rPr>
                <w:rFonts w:hint="eastAsia" w:ascii="宋体"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fldChar w:fldCharType="separate"/>
            </w:r>
            <w:r>
              <w:rPr>
                <w:rStyle w:val="23"/>
                <w:rFonts w:hint="eastAsia" w:ascii="宋体"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t>https://www.gcy.zfcg.gxzf.gov.cn/）</w:t>
            </w:r>
            <w:r>
              <w:rPr>
                <w:rStyle w:val="23"/>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获取采购文件，并于</w:t>
            </w:r>
            <w:r>
              <w:rPr>
                <w:rStyle w:val="23"/>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2025年</w:t>
            </w:r>
            <w:r>
              <w:rPr>
                <w:rStyle w:val="23"/>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4</w:t>
            </w:r>
            <w:r>
              <w:rPr>
                <w:rStyle w:val="23"/>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月</w:t>
            </w:r>
            <w:r>
              <w:rPr>
                <w:rFonts w:hint="eastAsia" w:ascii="宋体"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fldChar w:fldCharType="end"/>
            </w:r>
            <w:r>
              <w:rPr>
                <w:rFonts w:hint="eastAsia" w:ascii="宋体" w:hAnsi="宋体" w:cs="宋体"/>
                <w:b w:val="0"/>
                <w:bCs w:val="0"/>
                <w:color w:val="000000" w:themeColor="text1"/>
                <w:kern w:val="2"/>
                <w:sz w:val="21"/>
                <w:szCs w:val="21"/>
                <w:highlight w:val="none"/>
                <w:u w:val="none"/>
                <w:lang w:val="en-US" w:eastAsia="zh-CN" w:bidi="ar-SA"/>
                <w14:textFill>
                  <w14:solidFill>
                    <w14:schemeClr w14:val="tx1"/>
                  </w14:solidFill>
                </w14:textFill>
              </w:rPr>
              <w:t>21</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日</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09：30（北京时间）前提交响应文件。</w:t>
            </w:r>
          </w:p>
        </w:tc>
      </w:tr>
    </w:tbl>
    <w:p w14:paraId="62DD18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6" w:name="_Toc35393798"/>
      <w:bookmarkStart w:id="7" w:name="_Toc35393629"/>
      <w:bookmarkStart w:id="8" w:name="_Toc28359089"/>
      <w:bookmarkStart w:id="9" w:name="_Toc28359012"/>
      <w:r>
        <w:rPr>
          <w:rFonts w:hint="eastAsia" w:ascii="宋体" w:hAnsi="宋体" w:eastAsia="宋体" w:cs="宋体"/>
          <w:b/>
          <w:bCs/>
          <w:color w:val="000000" w:themeColor="text1"/>
          <w:sz w:val="21"/>
          <w:szCs w:val="21"/>
          <w:highlight w:val="none"/>
          <w14:textFill>
            <w14:solidFill>
              <w14:schemeClr w14:val="tx1"/>
            </w14:solidFill>
          </w14:textFill>
        </w:rPr>
        <w:t>一、项目基本情况</w:t>
      </w:r>
      <w:bookmarkEnd w:id="6"/>
      <w:bookmarkEnd w:id="7"/>
      <w:bookmarkEnd w:id="8"/>
      <w:bookmarkEnd w:id="9"/>
    </w:p>
    <w:p w14:paraId="054910F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GLZC2025-C2-120008-GXJH</w:t>
      </w:r>
    </w:p>
    <w:p w14:paraId="7830711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eastAsia="宋体" w:cs="宋体"/>
          <w:color w:val="000000" w:themeColor="text1"/>
          <w:sz w:val="21"/>
          <w:szCs w:val="21"/>
          <w:highlight w:val="none"/>
          <w:lang w:eastAsia="zh-CN"/>
          <w14:textFill>
            <w14:solidFill>
              <w14:schemeClr w14:val="tx1"/>
            </w14:solidFill>
          </w14:textFill>
        </w:rPr>
        <w:t>桂林市临桂区五通镇仁和村等5个村全域土地综合整治项目土地综合整治子项目二期</w:t>
      </w:r>
    </w:p>
    <w:p w14:paraId="291E04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采购方式：竞争性磋商</w:t>
      </w:r>
    </w:p>
    <w:p w14:paraId="2BD86A3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预算总金额（元）：</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2345774.90</w:t>
      </w:r>
    </w:p>
    <w:p w14:paraId="4FD97A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采购需求：</w:t>
      </w:r>
    </w:p>
    <w:p w14:paraId="7410B3D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标项名称：</w:t>
      </w:r>
      <w:r>
        <w:rPr>
          <w:rFonts w:hint="eastAsia" w:ascii="宋体" w:hAnsi="宋体" w:eastAsia="宋体" w:cs="宋体"/>
          <w:color w:val="000000" w:themeColor="text1"/>
          <w:sz w:val="21"/>
          <w:szCs w:val="21"/>
          <w:highlight w:val="none"/>
          <w:lang w:eastAsia="zh-CN"/>
          <w14:textFill>
            <w14:solidFill>
              <w14:schemeClr w14:val="tx1"/>
            </w14:solidFill>
          </w14:textFill>
        </w:rPr>
        <w:t>桂林市临桂区五通镇仁和村等5个村全域土地综合整治项目土地综合整治子项目二期</w:t>
      </w:r>
    </w:p>
    <w:p w14:paraId="1C65691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数量：1</w:t>
      </w:r>
    </w:p>
    <w:p w14:paraId="3B4A4E9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简要规格描述或项目基本概况介绍、用途：</w:t>
      </w:r>
    </w:p>
    <w:p w14:paraId="12444186">
      <w:pPr>
        <w:keepNext w:val="0"/>
        <w:keepLines w:val="0"/>
        <w:pageBreakBefore w:val="0"/>
        <w:widowControl/>
        <w:numPr>
          <w:ilvl w:val="-1"/>
          <w:numId w:val="0"/>
        </w:numPr>
        <w:wordWrap/>
        <w:overflowPunct/>
        <w:topLinePunct w:val="0"/>
        <w:bidi w:val="0"/>
        <w:spacing w:line="440" w:lineRule="exact"/>
        <w:ind w:firstLine="420" w:firstLineChars="200"/>
        <w:jc w:val="left"/>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（1）项目实施面积7.8221 公顷，新增旱地面积7.0492 公顷，新增耕地率 90.12%，</w:t>
      </w:r>
      <w:r>
        <w:rPr>
          <w:rFonts w:hint="eastAsia" w:ascii="宋体" w:hAnsi="宋体" w:eastAsia="宋体" w:cs="宋体"/>
          <w:color w:val="000000" w:themeColor="text1"/>
          <w:sz w:val="21"/>
          <w:szCs w:val="21"/>
          <w:highlight w:val="none"/>
          <w:lang w:val="en-US" w:eastAsia="zh-CN"/>
          <w14:textFill>
            <w14:solidFill>
              <w14:schemeClr w14:val="tx1"/>
            </w14:solidFill>
          </w14:textFill>
        </w:rPr>
        <w:t>实施内容含</w:t>
      </w:r>
      <w:r>
        <w:rPr>
          <w:rFonts w:hint="eastAsia" w:ascii="宋体" w:hAnsi="宋体" w:eastAsia="宋体" w:cs="宋体"/>
          <w:color w:val="000000" w:themeColor="text1"/>
          <w:sz w:val="21"/>
          <w:szCs w:val="21"/>
          <w:highlight w:val="none"/>
          <w14:textFill>
            <w14:solidFill>
              <w14:schemeClr w14:val="tx1"/>
            </w14:solidFill>
          </w14:textFill>
        </w:rPr>
        <w:t>土地平整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灌溉与排水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田间道路工程</w:t>
      </w:r>
      <w:r>
        <w:rPr>
          <w:rFonts w:hint="eastAsia" w:ascii="宋体" w:hAnsi="宋体" w:eastAsia="宋体" w:cs="宋体"/>
          <w:color w:val="000000" w:themeColor="text1"/>
          <w:sz w:val="21"/>
          <w:szCs w:val="21"/>
          <w:highlight w:val="none"/>
          <w:lang w:val="en-US" w:eastAsia="zh-CN"/>
          <w14:textFill>
            <w14:solidFill>
              <w14:schemeClr w14:val="tx1"/>
            </w14:solidFill>
          </w14:textFill>
        </w:rPr>
        <w:t>等施工内容，详见项目图纸及工程量清单</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w:t>
      </w:r>
    </w:p>
    <w:p w14:paraId="1C14D83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40" w:lineRule="exact"/>
        <w:ind w:right="0" w:rightChars="0" w:firstLine="420" w:firstLineChars="200"/>
        <w:textAlignment w:val="baseline"/>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（2）要求工期：60日历天；</w:t>
      </w:r>
    </w:p>
    <w:p w14:paraId="61A0A54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40" w:lineRule="exact"/>
        <w:ind w:right="0" w:rightChars="0" w:firstLine="420" w:firstLineChars="200"/>
        <w:textAlignment w:val="baseline"/>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（3）质量要求：达到国家施工验收规范合格标准；</w:t>
      </w:r>
    </w:p>
    <w:p w14:paraId="231385D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40" w:lineRule="exact"/>
        <w:ind w:right="0" w:rightChars="0" w:firstLine="420" w:firstLineChars="200"/>
        <w:textAlignment w:val="baseline"/>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最高限价（如有） ：</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2345774.90</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元</w:t>
      </w:r>
    </w:p>
    <w:p w14:paraId="239E245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40" w:lineRule="exact"/>
        <w:ind w:right="0" w:rightChars="0" w:firstLine="420" w:firstLineChars="200"/>
        <w:textAlignment w:val="baseline"/>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合同履约期限：自合同签订之日起60个日历天内完工。</w:t>
      </w:r>
    </w:p>
    <w:p w14:paraId="3CC98F3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40" w:lineRule="exact"/>
        <w:ind w:right="0" w:rightChars="0" w:firstLine="420" w:firstLineChars="200"/>
        <w:textAlignment w:val="baseline"/>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本标项（否）接受联合体投标</w:t>
      </w:r>
    </w:p>
    <w:p w14:paraId="229DD0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bookmarkStart w:id="10" w:name="_Toc35393630"/>
      <w:bookmarkStart w:id="11" w:name="_Toc35393799"/>
      <w:bookmarkStart w:id="12" w:name="_Toc28359013"/>
      <w:bookmarkStart w:id="13" w:name="_Toc28359090"/>
      <w:r>
        <w:rPr>
          <w:rFonts w:hint="eastAsia" w:ascii="宋体" w:hAnsi="宋体" w:eastAsia="宋体" w:cs="宋体"/>
          <w:b/>
          <w:bCs/>
          <w:color w:val="000000" w:themeColor="text1"/>
          <w:sz w:val="21"/>
          <w:szCs w:val="21"/>
          <w:highlight w:val="none"/>
          <w14:textFill>
            <w14:solidFill>
              <w14:schemeClr w14:val="tx1"/>
            </w14:solidFill>
          </w14:textFill>
        </w:rPr>
        <w:t>二、申请人的资格要求：</w:t>
      </w:r>
      <w:bookmarkEnd w:id="10"/>
      <w:bookmarkEnd w:id="11"/>
      <w:bookmarkEnd w:id="12"/>
      <w:bookmarkEnd w:id="13"/>
    </w:p>
    <w:p w14:paraId="0AF8686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满足《中华人民共和国政府采购法》第二十二条规定；</w:t>
      </w:r>
    </w:p>
    <w:p w14:paraId="239D2AD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4" w:name="_Toc28359014"/>
      <w:bookmarkStart w:id="15" w:name="_Toc28359091"/>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eastAsia="宋体" w:cs="宋体"/>
          <w:color w:val="000000" w:themeColor="text1"/>
          <w:sz w:val="21"/>
          <w:szCs w:val="21"/>
          <w:highlight w:val="none"/>
          <w:lang w:eastAsia="zh-CN"/>
          <w14:textFill>
            <w14:solidFill>
              <w14:schemeClr w14:val="tx1"/>
            </w14:solidFill>
          </w14:textFill>
        </w:rPr>
        <w:t>本项目为</w:t>
      </w:r>
      <w:r>
        <w:rPr>
          <w:rFonts w:hint="eastAsia" w:ascii="宋体" w:hAnsi="宋体" w:eastAsia="宋体" w:cs="宋体"/>
          <w:color w:val="000000" w:themeColor="text1"/>
          <w:sz w:val="21"/>
          <w:szCs w:val="21"/>
          <w:highlight w:val="none"/>
          <w14:textFill>
            <w14:solidFill>
              <w14:schemeClr w14:val="tx1"/>
            </w14:solidFill>
          </w14:textFill>
        </w:rPr>
        <w:t>专门面向中小</w:t>
      </w:r>
      <w:r>
        <w:rPr>
          <w:rFonts w:hint="eastAsia" w:ascii="宋体" w:hAnsi="宋体" w:eastAsia="宋体" w:cs="宋体"/>
          <w:color w:val="000000" w:themeColor="text1"/>
          <w:sz w:val="21"/>
          <w:szCs w:val="21"/>
          <w:highlight w:val="none"/>
          <w:lang w:eastAsia="zh-CN"/>
          <w14:textFill>
            <w14:solidFill>
              <w14:schemeClr w14:val="tx1"/>
            </w14:solidFill>
          </w14:textFill>
        </w:rPr>
        <w:t>微</w:t>
      </w:r>
      <w:r>
        <w:rPr>
          <w:rFonts w:hint="eastAsia" w:ascii="宋体" w:hAnsi="宋体" w:eastAsia="宋体" w:cs="宋体"/>
          <w:color w:val="000000" w:themeColor="text1"/>
          <w:sz w:val="21"/>
          <w:szCs w:val="21"/>
          <w:highlight w:val="none"/>
          <w14:textFill>
            <w14:solidFill>
              <w14:schemeClr w14:val="tx1"/>
            </w14:solidFill>
          </w14:textFill>
        </w:rPr>
        <w:t>企业采购的项目（供应商应为中小微企业、监狱企业、残疾人福利性单位)</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D9E8F2A">
      <w:pPr>
        <w:keepNext w:val="0"/>
        <w:keepLines w:val="0"/>
        <w:pageBreakBefore w:val="0"/>
        <w:wordWrap/>
        <w:overflowPunct/>
        <w:topLinePunct w:val="0"/>
        <w:bidi w:val="0"/>
        <w:spacing w:line="440" w:lineRule="exact"/>
        <w:ind w:firstLine="420"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本项目的特定资格要求：</w:t>
      </w:r>
      <w:bookmarkEnd w:id="14"/>
      <w:bookmarkEnd w:id="15"/>
      <w:bookmarkStart w:id="16" w:name="_Toc35393792"/>
      <w:bookmarkStart w:id="17" w:name="_Toc35393623"/>
      <w:bookmarkStart w:id="18" w:name="_Toc35393636"/>
      <w:bookmarkStart w:id="19" w:name="_Toc28359018"/>
      <w:bookmarkStart w:id="20" w:name="_Toc28359095"/>
      <w:bookmarkStart w:id="21" w:name="_Toc35393805"/>
      <w:r>
        <w:rPr>
          <w:rFonts w:hint="eastAsia" w:ascii="宋体" w:hAnsi="宋体" w:eastAsia="宋体" w:cs="宋体"/>
          <w:i w:val="0"/>
          <w:iCs w:val="0"/>
          <w:caps w:val="0"/>
          <w:color w:val="000000" w:themeColor="text1"/>
          <w:spacing w:val="0"/>
          <w:kern w:val="0"/>
          <w:sz w:val="21"/>
          <w:szCs w:val="21"/>
          <w:highlight w:val="none"/>
          <w:lang w:val="en-US" w:eastAsia="zh-CN"/>
          <w14:textFill>
            <w14:solidFill>
              <w14:schemeClr w14:val="tx1"/>
            </w14:solidFill>
          </w14:textFill>
        </w:rPr>
        <w:t>供应商</w:t>
      </w:r>
      <w:r>
        <w:rPr>
          <w:rFonts w:hint="eastAsia" w:ascii="宋体" w:hAnsi="宋体" w:eastAsia="宋体" w:cs="宋体"/>
          <w:i w:val="0"/>
          <w:iCs w:val="0"/>
          <w:caps w:val="0"/>
          <w:color w:val="000000" w:themeColor="text1"/>
          <w:spacing w:val="0"/>
          <w:kern w:val="0"/>
          <w:sz w:val="21"/>
          <w:szCs w:val="21"/>
          <w:highlight w:val="none"/>
          <w14:textFill>
            <w14:solidFill>
              <w14:schemeClr w14:val="tx1"/>
            </w14:solidFill>
          </w14:textFill>
        </w:rPr>
        <w:t>具备水利水电工程施工总承包三级及以上资质，并在人员、设备、资金等方面具备相应的施工能力。其中，投标人拟派项目经理须具备水利水电工程专业二级以上（含本级）注册建造师执业资格，具备</w:t>
      </w:r>
      <w:r>
        <w:rPr>
          <w:rFonts w:hint="eastAsia" w:ascii="宋体" w:hAnsi="宋体" w:eastAsia="宋体" w:cs="宋体"/>
          <w:color w:val="000000" w:themeColor="text1"/>
          <w:sz w:val="21"/>
          <w:szCs w:val="21"/>
          <w:highlight w:val="none"/>
          <w14:textFill>
            <w14:solidFill>
              <w14:schemeClr w14:val="tx1"/>
            </w14:solidFill>
          </w14:textFill>
        </w:rPr>
        <w:t>省级或省级以上水行政主管部门颁发的B类安全生产考核合格证书</w:t>
      </w:r>
      <w:r>
        <w:rPr>
          <w:rFonts w:hint="eastAsia" w:ascii="宋体" w:hAnsi="宋体" w:eastAsia="宋体" w:cs="宋体"/>
          <w:i w:val="0"/>
          <w:iCs w:val="0"/>
          <w:caps w:val="0"/>
          <w:color w:val="000000" w:themeColor="text1"/>
          <w:spacing w:val="0"/>
          <w:kern w:val="0"/>
          <w:sz w:val="21"/>
          <w:szCs w:val="21"/>
          <w:highlight w:val="none"/>
          <w14:textFill>
            <w14:solidFill>
              <w14:schemeClr w14:val="tx1"/>
            </w14:solidFill>
          </w14:textFill>
        </w:rPr>
        <w:t>。本项目不接受有在建、已中标未开工或已列为其他项目中标候</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选人第一名的建造师作为项目经理。</w:t>
      </w:r>
    </w:p>
    <w:p w14:paraId="6DBE26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三、获取</w:t>
      </w:r>
      <w:r>
        <w:rPr>
          <w:rFonts w:hint="eastAsia" w:ascii="宋体" w:hAnsi="宋体" w:eastAsia="宋体" w:cs="宋体"/>
          <w:b/>
          <w:bCs/>
          <w:color w:val="000000" w:themeColor="text1"/>
          <w:sz w:val="21"/>
          <w:szCs w:val="21"/>
          <w:highlight w:val="none"/>
          <w:lang w:eastAsia="zh-CN"/>
          <w14:textFill>
            <w14:solidFill>
              <w14:schemeClr w14:val="tx1"/>
            </w14:solidFill>
          </w14:textFill>
        </w:rPr>
        <w:t>采购</w:t>
      </w:r>
      <w:r>
        <w:rPr>
          <w:rFonts w:hint="eastAsia" w:ascii="宋体" w:hAnsi="宋体" w:eastAsia="宋体" w:cs="宋体"/>
          <w:b/>
          <w:bCs/>
          <w:color w:val="000000" w:themeColor="text1"/>
          <w:sz w:val="21"/>
          <w:szCs w:val="21"/>
          <w:highlight w:val="none"/>
          <w14:textFill>
            <w14:solidFill>
              <w14:schemeClr w14:val="tx1"/>
            </w14:solidFill>
          </w14:textFill>
        </w:rPr>
        <w:t>文件</w:t>
      </w:r>
      <w:bookmarkEnd w:id="16"/>
      <w:bookmarkEnd w:id="17"/>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59F2F244">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bookmarkStart w:id="22" w:name="_Toc28359082"/>
      <w:bookmarkStart w:id="23" w:name="_Toc28359005"/>
      <w:bookmarkStart w:id="24" w:name="_Toc35393624"/>
      <w:bookmarkStart w:id="25" w:name="_Toc35393793"/>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时间：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2025年4月</w:t>
      </w:r>
      <w:r>
        <w:rPr>
          <w:rFonts w:hint="eastAsia" w:cs="宋体"/>
          <w:color w:val="000000" w:themeColor="text1"/>
          <w:kern w:val="2"/>
          <w:sz w:val="21"/>
          <w:szCs w:val="21"/>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日至2025年4月</w:t>
      </w:r>
      <w:r>
        <w:rPr>
          <w:rFonts w:hint="eastAsia" w:cs="宋体"/>
          <w:color w:val="000000" w:themeColor="text1"/>
          <w:kern w:val="2"/>
          <w:sz w:val="21"/>
          <w:szCs w:val="21"/>
          <w:highlight w:val="none"/>
          <w:lang w:val="en-US" w:eastAsia="zh-CN" w:bidi="ar-SA"/>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日</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，每天上午00:00至12:00，下午12:00至23:59（北京时间，法定节假日除外）。</w:t>
      </w:r>
    </w:p>
    <w:p w14:paraId="78C06F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地点（网址）：广西政府采购云平台（ https://www.gcy.zfcg.gxzf.gov.cn/）。</w:t>
      </w:r>
    </w:p>
    <w:p w14:paraId="1D54E37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方式：供应商登录广西政府采购云平台（ https://www.gcy.zfcg.gxzf.gov.cn/）在线申请获取采购文件（进入“项目采购”应用，在获取采购文件菜单中选择项目，申请获取采购文件）。</w:t>
      </w:r>
    </w:p>
    <w:p w14:paraId="4E806FA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售价（元）：0 </w:t>
      </w:r>
    </w:p>
    <w:p w14:paraId="2C07DE82">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w:t>
      </w:r>
      <w:r>
        <w:rPr>
          <w:rFonts w:hint="eastAsia" w:ascii="宋体" w:hAnsi="宋体" w:eastAsia="宋体" w:cs="宋体"/>
          <w:b/>
          <w:bCs/>
          <w:color w:val="000000" w:themeColor="text1"/>
          <w:sz w:val="21"/>
          <w:szCs w:val="21"/>
          <w:highlight w:val="none"/>
          <w:lang w:eastAsia="zh-CN"/>
          <w14:textFill>
            <w14:solidFill>
              <w14:schemeClr w14:val="tx1"/>
            </w14:solidFill>
          </w14:textFill>
        </w:rPr>
        <w:t>响应</w:t>
      </w:r>
      <w:r>
        <w:rPr>
          <w:rFonts w:hint="eastAsia" w:ascii="宋体" w:hAnsi="宋体" w:eastAsia="宋体" w:cs="宋体"/>
          <w:b/>
          <w:bCs/>
          <w:color w:val="000000" w:themeColor="text1"/>
          <w:sz w:val="21"/>
          <w:szCs w:val="21"/>
          <w:highlight w:val="none"/>
          <w14:textFill>
            <w14:solidFill>
              <w14:schemeClr w14:val="tx1"/>
            </w14:solidFill>
          </w14:textFill>
        </w:rPr>
        <w:t>文件</w:t>
      </w:r>
      <w:bookmarkEnd w:id="22"/>
      <w:bookmarkEnd w:id="23"/>
      <w:r>
        <w:rPr>
          <w:rFonts w:hint="eastAsia" w:ascii="宋体" w:hAnsi="宋体" w:eastAsia="宋体" w:cs="宋体"/>
          <w:b/>
          <w:bCs/>
          <w:color w:val="000000" w:themeColor="text1"/>
          <w:sz w:val="21"/>
          <w:szCs w:val="21"/>
          <w:highlight w:val="none"/>
          <w:lang w:eastAsia="zh-CN"/>
          <w14:textFill>
            <w14:solidFill>
              <w14:schemeClr w14:val="tx1"/>
            </w14:solidFill>
          </w14:textFill>
        </w:rPr>
        <w:t>提交</w:t>
      </w:r>
      <w:bookmarkEnd w:id="24"/>
      <w:bookmarkEnd w:id="25"/>
    </w:p>
    <w:p w14:paraId="73AAF1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截止</w:t>
      </w:r>
      <w:r>
        <w:rPr>
          <w:rFonts w:hint="eastAsia" w:ascii="宋体" w:hAnsi="宋体" w:eastAsia="宋体" w:cs="宋体"/>
          <w:bCs/>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eastAsia="zh-CN"/>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lang w:val="en-US" w:eastAsia="zh-CN"/>
          <w14:textFill>
            <w14:solidFill>
              <w14:schemeClr w14:val="tx1"/>
            </w14:solidFill>
          </w14:textFill>
        </w:rPr>
        <w:t>09：30</w:t>
      </w:r>
      <w:r>
        <w:rPr>
          <w:rFonts w:hint="eastAsia" w:ascii="宋体" w:hAnsi="宋体" w:eastAsia="宋体" w:cs="宋体"/>
          <w:bCs/>
          <w:color w:val="000000" w:themeColor="text1"/>
          <w:sz w:val="21"/>
          <w:szCs w:val="21"/>
          <w:highlight w:val="none"/>
          <w14:textFill>
            <w14:solidFill>
              <w14:schemeClr w14:val="tx1"/>
            </w14:solidFill>
          </w14:textFill>
        </w:rPr>
        <w:t>（北京时间）</w:t>
      </w:r>
    </w:p>
    <w:p w14:paraId="7867078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点：通过广西政府采购云平台实行在线投标。</w:t>
      </w:r>
    </w:p>
    <w:p w14:paraId="727FF87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w:t>
      </w:r>
      <w:r>
        <w:rPr>
          <w:rFonts w:hint="eastAsia" w:ascii="宋体" w:hAnsi="宋体" w:eastAsia="宋体" w:cs="宋体"/>
          <w:b/>
          <w:bCs/>
          <w:color w:val="000000" w:themeColor="text1"/>
          <w:sz w:val="21"/>
          <w:szCs w:val="21"/>
          <w:highlight w:val="none"/>
          <w:lang w:eastAsia="zh-CN"/>
          <w14:textFill>
            <w14:solidFill>
              <w14:schemeClr w14:val="tx1"/>
            </w14:solidFill>
          </w14:textFill>
        </w:rPr>
        <w:t>响应</w:t>
      </w:r>
      <w:r>
        <w:rPr>
          <w:rFonts w:hint="eastAsia" w:ascii="宋体" w:hAnsi="宋体" w:eastAsia="宋体" w:cs="宋体"/>
          <w:b/>
          <w:bCs/>
          <w:color w:val="000000" w:themeColor="text1"/>
          <w:sz w:val="21"/>
          <w:szCs w:val="21"/>
          <w:highlight w:val="none"/>
          <w14:textFill>
            <w14:solidFill>
              <w14:schemeClr w14:val="tx1"/>
            </w14:solidFill>
          </w14:textFill>
        </w:rPr>
        <w:t>文件开启</w:t>
      </w:r>
    </w:p>
    <w:p w14:paraId="7A27F3F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eastAsia="zh-CN"/>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lang w:val="en-US" w:eastAsia="zh-CN"/>
          <w14:textFill>
            <w14:solidFill>
              <w14:schemeClr w14:val="tx1"/>
            </w14:solidFill>
          </w14:textFill>
        </w:rPr>
        <w:t>09：30</w:t>
      </w:r>
      <w:r>
        <w:rPr>
          <w:rFonts w:hint="eastAsia" w:ascii="宋体" w:hAnsi="宋体" w:eastAsia="宋体" w:cs="宋体"/>
          <w:color w:val="000000" w:themeColor="text1"/>
          <w:sz w:val="21"/>
          <w:szCs w:val="21"/>
          <w:highlight w:val="none"/>
          <w14:textFill>
            <w14:solidFill>
              <w14:schemeClr w14:val="tx1"/>
            </w14:solidFill>
          </w14:textFill>
        </w:rPr>
        <w:t>（北京时间）</w:t>
      </w:r>
    </w:p>
    <w:p w14:paraId="6E6A724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通过</w:t>
      </w:r>
      <w:r>
        <w:rPr>
          <w:rFonts w:hint="eastAsia" w:ascii="宋体" w:hAnsi="宋体" w:eastAsia="宋体" w:cs="宋体"/>
          <w:color w:val="000000" w:themeColor="text1"/>
          <w:sz w:val="21"/>
          <w:szCs w:val="21"/>
          <w:highlight w:val="none"/>
          <w14:textFill>
            <w14:solidFill>
              <w14:schemeClr w14:val="tx1"/>
            </w14:solidFill>
          </w14:textFill>
        </w:rPr>
        <w:t>广西政府采购云平台实行在线解密开启。</w:t>
      </w:r>
    </w:p>
    <w:p w14:paraId="56AD76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bookmarkStart w:id="26" w:name="_Toc28359084"/>
      <w:bookmarkStart w:id="27" w:name="_Toc35393794"/>
      <w:bookmarkStart w:id="28" w:name="_Toc28359007"/>
      <w:bookmarkStart w:id="29" w:name="_Toc35393625"/>
      <w:r>
        <w:rPr>
          <w:rFonts w:hint="eastAsia" w:ascii="宋体" w:hAnsi="宋体" w:eastAsia="宋体" w:cs="宋体"/>
          <w:b/>
          <w:bCs/>
          <w:color w:val="000000" w:themeColor="text1"/>
          <w:sz w:val="21"/>
          <w:szCs w:val="21"/>
          <w:highlight w:val="none"/>
          <w:lang w:eastAsia="zh-CN"/>
          <w14:textFill>
            <w14:solidFill>
              <w14:schemeClr w14:val="tx1"/>
            </w14:solidFill>
          </w14:textFill>
        </w:rPr>
        <w:t>六</w:t>
      </w:r>
      <w:r>
        <w:rPr>
          <w:rFonts w:hint="eastAsia" w:ascii="宋体" w:hAnsi="宋体" w:eastAsia="宋体" w:cs="宋体"/>
          <w:b/>
          <w:bCs/>
          <w:color w:val="000000" w:themeColor="text1"/>
          <w:sz w:val="21"/>
          <w:szCs w:val="21"/>
          <w:highlight w:val="none"/>
          <w14:textFill>
            <w14:solidFill>
              <w14:schemeClr w14:val="tx1"/>
            </w14:solidFill>
          </w14:textFill>
        </w:rPr>
        <w:t>、公告期限</w:t>
      </w:r>
      <w:bookmarkEnd w:id="26"/>
      <w:bookmarkEnd w:id="27"/>
      <w:bookmarkEnd w:id="28"/>
      <w:bookmarkEnd w:id="29"/>
    </w:p>
    <w:p w14:paraId="176124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自本公告发布之日起</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个工作日。</w:t>
      </w:r>
    </w:p>
    <w:p w14:paraId="295DCC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bookmarkStart w:id="30" w:name="_Toc35393626"/>
      <w:bookmarkStart w:id="31" w:name="_Toc35393795"/>
      <w:r>
        <w:rPr>
          <w:rFonts w:hint="eastAsia" w:ascii="宋体" w:hAnsi="宋体" w:eastAsia="宋体" w:cs="宋体"/>
          <w:b/>
          <w:bCs/>
          <w:color w:val="000000" w:themeColor="text1"/>
          <w:sz w:val="21"/>
          <w:szCs w:val="21"/>
          <w:highlight w:val="none"/>
          <w:lang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、其他补充事宜</w:t>
      </w:r>
      <w:bookmarkEnd w:id="30"/>
      <w:bookmarkEnd w:id="31"/>
    </w:p>
    <w:p w14:paraId="20F272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本项目无需缴纳</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b/>
          <w:bCs/>
          <w:color w:val="000000" w:themeColor="text1"/>
          <w:sz w:val="21"/>
          <w:szCs w:val="21"/>
          <w:highlight w:val="none"/>
          <w14:textFill>
            <w14:solidFill>
              <w14:schemeClr w14:val="tx1"/>
            </w14:solidFill>
          </w14:textFill>
        </w:rPr>
        <w:t>保证金。</w:t>
      </w:r>
    </w:p>
    <w:p w14:paraId="502170C6">
      <w:pPr>
        <w:keepNext w:val="0"/>
        <w:keepLines w:val="0"/>
        <w:pageBreakBefore w:val="0"/>
        <w:widowControl w:val="0"/>
        <w:numPr>
          <w:ilvl w:val="0"/>
          <w:numId w:val="0"/>
        </w:numPr>
        <w:kinsoku/>
        <w:wordWrap/>
        <w:overflowPunct/>
        <w:topLinePunct w:val="0"/>
        <w:bidi w:val="0"/>
        <w:snapToGrid/>
        <w:spacing w:line="44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2、本项目所属行业：建筑业。</w:t>
      </w:r>
    </w:p>
    <w:p w14:paraId="2C493FF7">
      <w:pPr>
        <w:keepNext w:val="0"/>
        <w:keepLines w:val="0"/>
        <w:pageBreakBefore w:val="0"/>
        <w:widowControl w:val="0"/>
        <w:numPr>
          <w:ilvl w:val="0"/>
          <w:numId w:val="0"/>
        </w:numPr>
        <w:kinsoku/>
        <w:wordWrap/>
        <w:overflowPunct/>
        <w:topLinePunct w:val="0"/>
        <w:bidi w:val="0"/>
        <w:snapToGrid/>
        <w:spacing w:line="44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36BD742C">
      <w:pPr>
        <w:keepNext w:val="0"/>
        <w:keepLines w:val="0"/>
        <w:pageBreakBefore w:val="0"/>
        <w:widowControl w:val="0"/>
        <w:numPr>
          <w:ilvl w:val="0"/>
          <w:numId w:val="0"/>
        </w:numPr>
        <w:kinsoku/>
        <w:wordWrap/>
        <w:overflowPunct/>
        <w:topLinePunct w:val="0"/>
        <w:bidi w:val="0"/>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本项目信息发布媒体：http://www.ccgp.gov.cn（中国政府采购网）、http://zfcg.gxzf.gov.cn（广西壮族自治区政府采购网）、http://zfcg.czj.guilin.gov.cn（桂林市政府采购网）</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312437B">
      <w:pPr>
        <w:pStyle w:val="27"/>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响应文件解密时间：截标时</w:t>
      </w:r>
      <w:r>
        <w:rPr>
          <w:rFonts w:hint="eastAsia" w:ascii="宋体" w:hAnsi="宋体" w:eastAsia="宋体" w:cs="宋体"/>
          <w:color w:val="000000" w:themeColor="text1"/>
          <w:sz w:val="21"/>
          <w:szCs w:val="21"/>
          <w:highlight w:val="none"/>
          <w:u w:val="none"/>
          <w14:textFill>
            <w14:solidFill>
              <w14:schemeClr w14:val="tx1"/>
            </w14:solidFill>
          </w14:textFill>
        </w:rPr>
        <w:t>间后30分钟内</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供应商可以登录广西政府采购云平台，用“项目采购-开标评标”功能进行解密</w:t>
      </w:r>
      <w:r>
        <w:rPr>
          <w:rFonts w:hint="eastAsia" w:ascii="宋体" w:hAnsi="宋体" w:eastAsia="宋体" w:cs="宋体"/>
          <w:color w:val="000000" w:themeColor="text1"/>
          <w:sz w:val="21"/>
          <w:szCs w:val="21"/>
          <w:highlight w:val="none"/>
          <w:lang w:val="en-US" w:eastAsia="zh-CN"/>
          <w14:textFill>
            <w14:solidFill>
              <w14:schemeClr w14:val="tx1"/>
            </w14:solidFill>
          </w14:textFill>
        </w:rPr>
        <w:t>电子</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文件。若</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供应商在规定时间内无法解密或解密失败，可以以电子备份</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响应文件作为依据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在接到无法解密或解密失败的通知后，供应商可根据自身实际情况按通知时要求的时间到</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桂林市公共资源交易中心现场提交或以电子邮件的形式（以通知时所告知的电子邮箱地址为准）提交电子备份磋商响应文件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，若</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供应商在规定时间内无法解密或解密失败且未提供电子备份</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响应文件的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(包含提供的电子备份文件无效或无法解密的情况)</w:t>
      </w:r>
      <w:r>
        <w:rPr>
          <w:rFonts w:hint="eastAsia" w:ascii="宋体" w:hAnsi="宋体" w:eastAsia="宋体" w:cs="宋体"/>
          <w:color w:val="000000" w:themeColor="text1"/>
          <w:sz w:val="21"/>
          <w:szCs w:val="21"/>
          <w:highlight w:val="none"/>
          <w14:textFill>
            <w14:solidFill>
              <w14:schemeClr w14:val="tx1"/>
            </w14:solidFill>
          </w14:textFill>
        </w:rPr>
        <w:t>，视为</w:t>
      </w:r>
      <w:r>
        <w:rPr>
          <w:rFonts w:hint="eastAsia" w:ascii="宋体" w:hAnsi="宋体" w:eastAsia="宋体" w:cs="宋体"/>
          <w:color w:val="000000" w:themeColor="text1"/>
          <w:sz w:val="21"/>
          <w:szCs w:val="21"/>
          <w:highlight w:val="none"/>
          <w:lang w:val="en-US" w:eastAsia="zh-CN"/>
          <w14:textFill>
            <w14:solidFill>
              <w14:schemeClr w14:val="tx1"/>
            </w14:solidFill>
          </w14:textFill>
        </w:rPr>
        <w:t>无效</w:t>
      </w:r>
      <w:r>
        <w:rPr>
          <w:rFonts w:hint="eastAsia" w:ascii="宋体" w:hAnsi="宋体" w:eastAsia="宋体" w:cs="宋体"/>
          <w:color w:val="000000" w:themeColor="text1"/>
          <w:sz w:val="21"/>
          <w:szCs w:val="21"/>
          <w:highlight w:val="none"/>
          <w14:textFill>
            <w14:solidFill>
              <w14:schemeClr w14:val="tx1"/>
            </w14:solidFill>
          </w14:textFill>
        </w:rPr>
        <w:t>响应</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01BB7068">
      <w:pPr>
        <w:pStyle w:val="27"/>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6、本项目需要落实的政府采购政策：</w:t>
      </w:r>
    </w:p>
    <w:p w14:paraId="3D0ECCA2">
      <w:pPr>
        <w:pStyle w:val="27"/>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（1）政府采购促进中小企业发展。</w:t>
      </w:r>
    </w:p>
    <w:p w14:paraId="18A9CC7E">
      <w:pPr>
        <w:pStyle w:val="27"/>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（2）政府采购促进残疾人就业政策。</w:t>
      </w:r>
    </w:p>
    <w:p w14:paraId="48D8E3C1">
      <w:pPr>
        <w:pStyle w:val="27"/>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（3）政府采购支持监狱企业发展。</w:t>
      </w:r>
    </w:p>
    <w:p w14:paraId="1612A71A">
      <w:pPr>
        <w:pStyle w:val="27"/>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7. 广西政府采购云平台在线响应（电子响应）相关事宜说明：</w:t>
      </w:r>
    </w:p>
    <w:p w14:paraId="556779E2">
      <w:pPr>
        <w:pStyle w:val="27"/>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7.1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14:paraId="6A922FDA">
      <w:pPr>
        <w:pStyle w:val="27"/>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7.2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14:paraId="6F36B834">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八、</w:t>
      </w:r>
      <w:r>
        <w:rPr>
          <w:rFonts w:hint="eastAsia" w:ascii="宋体" w:hAnsi="宋体" w:eastAsia="宋体" w:cs="宋体"/>
          <w:b/>
          <w:bCs/>
          <w:color w:val="000000" w:themeColor="text1"/>
          <w:sz w:val="21"/>
          <w:szCs w:val="21"/>
          <w:highlight w:val="none"/>
          <w14:textFill>
            <w14:solidFill>
              <w14:schemeClr w14:val="tx1"/>
            </w14:solidFill>
          </w14:textFill>
        </w:rPr>
        <w:t>凡对本次采购提出询问，请按以下方式联系。</w:t>
      </w:r>
      <w:bookmarkEnd w:id="18"/>
      <w:bookmarkEnd w:id="19"/>
      <w:bookmarkEnd w:id="20"/>
      <w:bookmarkEnd w:id="21"/>
    </w:p>
    <w:p w14:paraId="2783775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1.采购人信息</w:t>
      </w:r>
    </w:p>
    <w:p w14:paraId="29D5C94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    称：桂林市临桂区自然资源局</w:t>
      </w:r>
    </w:p>
    <w:p w14:paraId="73D3EB5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址：桂林市临桂区世纪东路4号国土大厦</w:t>
      </w:r>
    </w:p>
    <w:p w14:paraId="3B4ACF6D">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项目联系人：于工</w:t>
      </w:r>
    </w:p>
    <w:p w14:paraId="73CE0B9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项目联系方式：0773-5583672</w:t>
      </w:r>
    </w:p>
    <w:p w14:paraId="7821B2C5">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2.采购代理机构信息</w:t>
      </w:r>
    </w:p>
    <w:p w14:paraId="469C041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    称：广西嘉弘项目管理有限公司</w:t>
      </w:r>
    </w:p>
    <w:p w14:paraId="0866D157">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地    址：桂林市秀峰区翠竹路23号41栋1号 </w:t>
      </w:r>
    </w:p>
    <w:p w14:paraId="52CE6FF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项目联系人：申越</w:t>
      </w:r>
    </w:p>
    <w:p w14:paraId="06D2A07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项目联系方式：0773-3861313</w:t>
      </w:r>
    </w:p>
    <w:p w14:paraId="76B2770C">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304"/>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1C92B159">
      <w:pPr>
        <w:keepNext w:val="0"/>
        <w:keepLines w:val="0"/>
        <w:pageBreakBefore w:val="0"/>
        <w:widowControl w:val="0"/>
        <w:kinsoku/>
        <w:wordWrap/>
        <w:overflowPunct/>
        <w:topLinePunct w:val="0"/>
        <w:autoSpaceDE/>
        <w:autoSpaceDN/>
        <w:bidi w:val="0"/>
        <w:adjustRightInd/>
        <w:snapToGrid/>
        <w:spacing w:line="440" w:lineRule="exact"/>
        <w:ind w:firstLine="525" w:firstLineChars="25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052C7939">
      <w:pPr>
        <w:keepNext w:val="0"/>
        <w:keepLines w:val="0"/>
        <w:pageBreakBefore w:val="0"/>
        <w:widowControl w:val="0"/>
        <w:kinsoku/>
        <w:wordWrap/>
        <w:overflowPunct/>
        <w:topLinePunct w:val="0"/>
        <w:autoSpaceDE/>
        <w:autoSpaceDN/>
        <w:bidi w:val="0"/>
        <w:adjustRightInd/>
        <w:snapToGrid/>
        <w:spacing w:line="440" w:lineRule="exact"/>
        <w:ind w:firstLine="3780" w:firstLineChars="180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日</w:t>
      </w:r>
      <w:bookmarkStart w:id="32" w:name="_Toc26924"/>
    </w:p>
    <w:p w14:paraId="4DE1CB46">
      <w:pPr>
        <w:pStyle w:val="6"/>
        <w:rPr>
          <w:rFonts w:hint="eastAsia" w:ascii="宋体" w:hAnsi="宋体"/>
          <w:color w:val="000000" w:themeColor="text1"/>
          <w:sz w:val="24"/>
          <w:szCs w:val="24"/>
          <w:highlight w:val="none"/>
          <w14:textFill>
            <w14:solidFill>
              <w14:schemeClr w14:val="tx1"/>
            </w14:solidFill>
          </w14:textFill>
        </w:rPr>
      </w:pPr>
    </w:p>
    <w:p w14:paraId="08B4AC94">
      <w:pPr>
        <w:rPr>
          <w:rFonts w:hint="eastAsia" w:ascii="宋体" w:hAnsi="宋体"/>
          <w:color w:val="000000" w:themeColor="text1"/>
          <w:sz w:val="24"/>
          <w:szCs w:val="24"/>
          <w:highlight w:val="none"/>
          <w14:textFill>
            <w14:solidFill>
              <w14:schemeClr w14:val="tx1"/>
            </w14:solidFill>
          </w14:textFill>
        </w:rPr>
      </w:pPr>
    </w:p>
    <w:p w14:paraId="1C671F1E">
      <w:pPr>
        <w:rPr>
          <w:rFonts w:hint="eastAsia" w:ascii="宋体" w:hAnsi="宋体"/>
          <w:color w:val="000000" w:themeColor="text1"/>
          <w:sz w:val="24"/>
          <w:szCs w:val="24"/>
          <w:highlight w:val="none"/>
          <w14:textFill>
            <w14:solidFill>
              <w14:schemeClr w14:val="tx1"/>
            </w14:solidFill>
          </w14:textFill>
        </w:rPr>
      </w:pPr>
    </w:p>
    <w:p w14:paraId="42A781EE">
      <w:pPr>
        <w:pStyle w:val="2"/>
        <w:rPr>
          <w:rFonts w:hint="eastAsia" w:ascii="宋体" w:hAnsi="宋体"/>
          <w:color w:val="000000" w:themeColor="text1"/>
          <w:sz w:val="24"/>
          <w:szCs w:val="24"/>
          <w:highlight w:val="none"/>
          <w14:textFill>
            <w14:solidFill>
              <w14:schemeClr w14:val="tx1"/>
            </w14:solidFill>
          </w14:textFill>
        </w:rPr>
      </w:pPr>
    </w:p>
    <w:p w14:paraId="275B20B8">
      <w:pPr>
        <w:rPr>
          <w:rFonts w:hint="eastAsia" w:ascii="宋体" w:hAnsi="宋体"/>
          <w:color w:val="000000" w:themeColor="text1"/>
          <w:sz w:val="24"/>
          <w:szCs w:val="24"/>
          <w:highlight w:val="none"/>
          <w14:textFill>
            <w14:solidFill>
              <w14:schemeClr w14:val="tx1"/>
            </w14:solidFill>
          </w14:textFill>
        </w:rPr>
      </w:pPr>
    </w:p>
    <w:p w14:paraId="374AEBE0">
      <w:pPr>
        <w:pStyle w:val="2"/>
        <w:rPr>
          <w:rFonts w:hint="eastAsia" w:ascii="宋体" w:hAnsi="宋体"/>
          <w:color w:val="000000" w:themeColor="text1"/>
          <w:sz w:val="24"/>
          <w:szCs w:val="24"/>
          <w:highlight w:val="none"/>
          <w14:textFill>
            <w14:solidFill>
              <w14:schemeClr w14:val="tx1"/>
            </w14:solidFill>
          </w14:textFill>
        </w:rPr>
      </w:pPr>
    </w:p>
    <w:p w14:paraId="054ED31C">
      <w:pPr>
        <w:rPr>
          <w:rFonts w:hint="eastAsia" w:ascii="宋体" w:hAnsi="宋体"/>
          <w:color w:val="000000" w:themeColor="text1"/>
          <w:sz w:val="24"/>
          <w:szCs w:val="24"/>
          <w:highlight w:val="none"/>
          <w14:textFill>
            <w14:solidFill>
              <w14:schemeClr w14:val="tx1"/>
            </w14:solidFill>
          </w14:textFill>
        </w:rPr>
      </w:pPr>
    </w:p>
    <w:p w14:paraId="7FDA7A7E">
      <w:pPr>
        <w:pStyle w:val="2"/>
        <w:rPr>
          <w:rFonts w:hint="eastAsia" w:ascii="宋体" w:hAnsi="宋体"/>
          <w:color w:val="000000" w:themeColor="text1"/>
          <w:sz w:val="24"/>
          <w:szCs w:val="24"/>
          <w:highlight w:val="none"/>
          <w14:textFill>
            <w14:solidFill>
              <w14:schemeClr w14:val="tx1"/>
            </w14:solidFill>
          </w14:textFill>
        </w:rPr>
      </w:pPr>
    </w:p>
    <w:p w14:paraId="1DDC0B63">
      <w:pPr>
        <w:rPr>
          <w:rFonts w:hint="eastAsia" w:ascii="宋体" w:hAnsi="宋体"/>
          <w:color w:val="000000" w:themeColor="text1"/>
          <w:sz w:val="24"/>
          <w:szCs w:val="24"/>
          <w:highlight w:val="none"/>
          <w14:textFill>
            <w14:solidFill>
              <w14:schemeClr w14:val="tx1"/>
            </w14:solidFill>
          </w14:textFill>
        </w:rPr>
      </w:pPr>
    </w:p>
    <w:p w14:paraId="387EB825">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360" w:lineRule="auto"/>
        <w:ind w:left="0" w:leftChars="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33" w:name="_Toc32635"/>
      <w:r>
        <w:rPr>
          <w:rFonts w:hint="eastAsia" w:ascii="宋体" w:hAnsi="宋体" w:eastAsia="宋体" w:cs="宋体"/>
          <w:color w:val="000000" w:themeColor="text1"/>
          <w:sz w:val="24"/>
          <w:szCs w:val="24"/>
          <w:highlight w:val="none"/>
          <w:lang w:eastAsia="zh-CN"/>
          <w14:textFill>
            <w14:solidFill>
              <w14:schemeClr w14:val="tx1"/>
            </w14:solidFill>
          </w14:textFill>
        </w:rPr>
        <w:t>第二章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供应商须知</w:t>
      </w:r>
      <w:bookmarkEnd w:id="33"/>
    </w:p>
    <w:p w14:paraId="5C01FD77">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360" w:lineRule="auto"/>
        <w:ind w:left="0" w:leftChars="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34" w:name="_Toc1585"/>
      <w:bookmarkStart w:id="35" w:name="_Toc26326"/>
      <w:bookmarkStart w:id="36" w:name="_Toc25063"/>
      <w:bookmarkStart w:id="37" w:name="_Toc13547"/>
      <w:bookmarkStart w:id="38" w:name="_Toc9508"/>
      <w:r>
        <w:rPr>
          <w:rFonts w:hint="eastAsia" w:ascii="宋体" w:hAnsi="宋体" w:eastAsia="宋体" w:cs="宋体"/>
          <w:color w:val="000000" w:themeColor="text1"/>
          <w:sz w:val="24"/>
          <w:szCs w:val="24"/>
          <w:highlight w:val="none"/>
          <w:lang w:eastAsia="zh-CN"/>
          <w14:textFill>
            <w14:solidFill>
              <w14:schemeClr w14:val="tx1"/>
            </w14:solidFill>
          </w14:textFill>
        </w:rPr>
        <w:t>供 应 商 须 知 前 附 表</w:t>
      </w:r>
      <w:bookmarkEnd w:id="34"/>
      <w:bookmarkEnd w:id="35"/>
      <w:bookmarkEnd w:id="36"/>
      <w:bookmarkEnd w:id="37"/>
      <w:bookmarkEnd w:id="38"/>
    </w:p>
    <w:bookmarkEnd w:id="32"/>
    <w:tbl>
      <w:tblPr>
        <w:tblStyle w:val="19"/>
        <w:tblW w:w="10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7112"/>
      </w:tblGrid>
      <w:tr w14:paraId="2E64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62" w:type="dxa"/>
            <w:vAlign w:val="center"/>
          </w:tcPr>
          <w:p w14:paraId="48BFFE21">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942" w:type="dxa"/>
            <w:vAlign w:val="center"/>
          </w:tcPr>
          <w:p w14:paraId="0898E24F">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条款号</w:t>
            </w:r>
          </w:p>
        </w:tc>
        <w:tc>
          <w:tcPr>
            <w:tcW w:w="1775" w:type="dxa"/>
            <w:vAlign w:val="center"/>
          </w:tcPr>
          <w:p w14:paraId="5D0EFC03">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条款名称</w:t>
            </w:r>
          </w:p>
        </w:tc>
        <w:tc>
          <w:tcPr>
            <w:tcW w:w="7112" w:type="dxa"/>
            <w:vAlign w:val="center"/>
          </w:tcPr>
          <w:p w14:paraId="22D1B63E">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内容、要求</w:t>
            </w:r>
          </w:p>
        </w:tc>
      </w:tr>
      <w:tr w14:paraId="3CD5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62" w:type="dxa"/>
            <w:vAlign w:val="center"/>
          </w:tcPr>
          <w:p w14:paraId="7E41CCD8">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42" w:type="dxa"/>
            <w:vAlign w:val="center"/>
          </w:tcPr>
          <w:p w14:paraId="5FF8340C">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1775" w:type="dxa"/>
            <w:vAlign w:val="center"/>
          </w:tcPr>
          <w:p w14:paraId="4C4C6E11">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项目名称及项目编号</w:t>
            </w:r>
          </w:p>
        </w:tc>
        <w:tc>
          <w:tcPr>
            <w:tcW w:w="7112" w:type="dxa"/>
            <w:vAlign w:val="center"/>
          </w:tcPr>
          <w:p w14:paraId="6FB65D8E">
            <w:pPr>
              <w:pageBreakBefore w:val="0"/>
              <w:widowControl w:val="0"/>
              <w:kinsoku/>
              <w:wordWrap/>
              <w:overflowPunct/>
              <w:topLinePunct w:val="0"/>
              <w:autoSpaceDE/>
              <w:autoSpaceDN/>
              <w:bidi w:val="0"/>
              <w:adjustRightInd/>
              <w:spacing w:line="440" w:lineRule="exact"/>
              <w:ind w:left="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eastAsia="宋体" w:cs="宋体"/>
                <w:color w:val="000000" w:themeColor="text1"/>
                <w:sz w:val="21"/>
                <w:szCs w:val="21"/>
                <w:highlight w:val="none"/>
                <w:lang w:eastAsia="zh-CN"/>
                <w14:textFill>
                  <w14:solidFill>
                    <w14:schemeClr w14:val="tx1"/>
                  </w14:solidFill>
                </w14:textFill>
              </w:rPr>
              <w:t>桂林市临桂区五通镇仁和村等5个村全域土地综合整治项目土地综合整治子项目二期</w:t>
            </w:r>
          </w:p>
          <w:p w14:paraId="65CFC223">
            <w:pPr>
              <w:pageBreakBefore w:val="0"/>
              <w:widowControl w:val="0"/>
              <w:kinsoku/>
              <w:wordWrap/>
              <w:overflowPunct/>
              <w:topLinePunct w:val="0"/>
              <w:autoSpaceDE/>
              <w:autoSpaceDN/>
              <w:bidi w:val="0"/>
              <w:adjustRightInd/>
              <w:spacing w:line="440" w:lineRule="exact"/>
              <w:ind w:left="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GLZC2025-C2-120008-GXJH</w:t>
            </w:r>
          </w:p>
        </w:tc>
      </w:tr>
      <w:tr w14:paraId="6652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vAlign w:val="center"/>
          </w:tcPr>
          <w:p w14:paraId="300CB325">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942" w:type="dxa"/>
            <w:vAlign w:val="center"/>
          </w:tcPr>
          <w:p w14:paraId="7F1C0626">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775" w:type="dxa"/>
            <w:vAlign w:val="center"/>
          </w:tcPr>
          <w:p w14:paraId="0E6AEA90">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供应商资格</w:t>
            </w:r>
          </w:p>
        </w:tc>
        <w:tc>
          <w:tcPr>
            <w:tcW w:w="7112" w:type="dxa"/>
            <w:vAlign w:val="center"/>
          </w:tcPr>
          <w:p w14:paraId="3AC0FD56">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3.1、满足《中华人民共和国政府采购法》第二十二条规定；</w:t>
            </w:r>
          </w:p>
          <w:p w14:paraId="11CD46F3">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3.2、落实政府采购政策需满足的资格要求：本项目为专门面向中小微企业采购的项目（供应商应为中小微企业、监狱企业、残疾人福利性单位)；</w:t>
            </w:r>
          </w:p>
          <w:p w14:paraId="0780A319">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本项目的特定资格要求：供应商具备水利水电工程施工总承包三级及以上资质，并在人员、设备、资金等方面具备相应的施工能力。其中，投标人拟派项目经理须具备水利水电工程专业二级以上（含本级）注册建造师执业资格，具备省级或省级以上水行政主管部门颁发的B类安全生产考核合格证书。本项目不接受有在建、已中标未开工或已列为其他项目中标候选人第一名的建造师作为项目经理。</w:t>
            </w:r>
          </w:p>
        </w:tc>
      </w:tr>
      <w:tr w14:paraId="075F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62" w:type="dxa"/>
            <w:vAlign w:val="center"/>
          </w:tcPr>
          <w:p w14:paraId="52536AE0">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942" w:type="dxa"/>
            <w:vAlign w:val="center"/>
          </w:tcPr>
          <w:p w14:paraId="64D0BF61">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775" w:type="dxa"/>
            <w:vAlign w:val="center"/>
          </w:tcPr>
          <w:p w14:paraId="31CDD1C3">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磋商费用</w:t>
            </w:r>
          </w:p>
        </w:tc>
        <w:tc>
          <w:tcPr>
            <w:tcW w:w="7112" w:type="dxa"/>
            <w:vAlign w:val="center"/>
          </w:tcPr>
          <w:p w14:paraId="656AE5FA">
            <w:pPr>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不论磋商结果如何，供应商均应自行承担所有与磋商有关的全部费用。 </w:t>
            </w:r>
          </w:p>
        </w:tc>
      </w:tr>
      <w:tr w14:paraId="2B1B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vAlign w:val="center"/>
          </w:tcPr>
          <w:p w14:paraId="3BA6C8EC">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942" w:type="dxa"/>
            <w:vAlign w:val="center"/>
          </w:tcPr>
          <w:p w14:paraId="3930CB94">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position w:val="-2"/>
                <w:sz w:val="21"/>
                <w:szCs w:val="21"/>
                <w:highlight w:val="none"/>
                <w14:textFill>
                  <w14:solidFill>
                    <w14:schemeClr w14:val="tx1"/>
                  </w14:solidFill>
                </w14:textFill>
              </w:rPr>
            </w:pPr>
            <w:r>
              <w:rPr>
                <w:rFonts w:hint="eastAsia" w:ascii="宋体" w:hAnsi="宋体" w:eastAsia="宋体" w:cs="宋体"/>
                <w:color w:val="000000" w:themeColor="text1"/>
                <w:position w:val="-2"/>
                <w:sz w:val="21"/>
                <w:szCs w:val="21"/>
                <w:highlight w:val="none"/>
                <w14:textFill>
                  <w14:solidFill>
                    <w14:schemeClr w14:val="tx1"/>
                  </w14:solidFill>
                </w14:textFill>
              </w:rPr>
              <w:t>13</w:t>
            </w:r>
          </w:p>
        </w:tc>
        <w:tc>
          <w:tcPr>
            <w:tcW w:w="1775" w:type="dxa"/>
            <w:vAlign w:val="center"/>
          </w:tcPr>
          <w:p w14:paraId="12F6BEE4">
            <w:pPr>
              <w:keepNext w:val="0"/>
              <w:keepLines w:val="0"/>
              <w:pageBreakBefore w:val="0"/>
              <w:kinsoku/>
              <w:wordWrap/>
              <w:overflowPunct/>
              <w:topLinePunct w:val="0"/>
              <w:autoSpaceDE/>
              <w:autoSpaceDN/>
              <w:bidi w:val="0"/>
              <w:adjustRightInd/>
              <w:spacing w:line="440" w:lineRule="exact"/>
              <w:ind w:left="0" w:leftChars="0"/>
              <w:jc w:val="center"/>
              <w:textAlignment w:val="auto"/>
              <w:rPr>
                <w:rFonts w:hint="eastAsia" w:ascii="宋体" w:hAnsi="宋体" w:eastAsia="宋体" w:cs="宋体"/>
                <w:color w:val="000000" w:themeColor="text1"/>
                <w:positio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磋商报价及</w:t>
            </w:r>
            <w:r>
              <w:rPr>
                <w:rFonts w:hint="eastAsia" w:ascii="宋体" w:hAnsi="宋体" w:eastAsia="宋体" w:cs="宋体"/>
                <w:color w:val="000000" w:themeColor="text1"/>
                <w:sz w:val="21"/>
                <w:szCs w:val="21"/>
                <w:highlight w:val="none"/>
                <w:lang w:val="en-US" w:eastAsia="zh-CN"/>
                <w14:textFill>
                  <w14:solidFill>
                    <w14:schemeClr w14:val="tx1"/>
                  </w14:solidFill>
                </w14:textFill>
              </w:rPr>
              <w:t>预算</w:t>
            </w:r>
            <w:r>
              <w:rPr>
                <w:rFonts w:hint="eastAsia" w:ascii="宋体" w:hAnsi="宋体" w:eastAsia="宋体" w:cs="宋体"/>
                <w:color w:val="000000" w:themeColor="text1"/>
                <w:sz w:val="21"/>
                <w:szCs w:val="21"/>
                <w:highlight w:val="none"/>
                <w14:textFill>
                  <w14:solidFill>
                    <w14:schemeClr w14:val="tx1"/>
                  </w14:solidFill>
                </w14:textFill>
              </w:rPr>
              <w:t>控制价</w:t>
            </w:r>
          </w:p>
        </w:tc>
        <w:tc>
          <w:tcPr>
            <w:tcW w:w="7112" w:type="dxa"/>
            <w:vAlign w:val="center"/>
          </w:tcPr>
          <w:p w14:paraId="5E1F955C">
            <w:pPr>
              <w:pageBreakBefore w:val="0"/>
              <w:kinsoku/>
              <w:wordWrap/>
              <w:overflowPunct/>
              <w:topLinePunct w:val="0"/>
              <w:autoSpaceDE/>
              <w:autoSpaceDN/>
              <w:bidi w:val="0"/>
              <w:adjustRightInd/>
              <w:spacing w:line="440" w:lineRule="exact"/>
              <w:ind w:left="0"/>
              <w:textAlignment w:val="auto"/>
              <w:rPr>
                <w:rFonts w:hint="eastAsia" w:ascii="宋体" w:hAnsi="宋体" w:eastAsia="宋体" w:cs="宋体"/>
                <w:b/>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本工程</w:t>
            </w:r>
            <w:r>
              <w:rPr>
                <w:rFonts w:hint="eastAsia" w:ascii="宋体" w:hAnsi="宋体" w:eastAsia="宋体" w:cs="宋体"/>
                <w:b/>
                <w:bCs/>
                <w:color w:val="000000" w:themeColor="text1"/>
                <w:sz w:val="21"/>
                <w:szCs w:val="21"/>
                <w:highlight w:val="none"/>
                <w:lang w:eastAsia="zh-CN"/>
                <w14:textFill>
                  <w14:solidFill>
                    <w14:schemeClr w14:val="tx1"/>
                  </w14:solidFill>
                </w14:textFill>
              </w:rPr>
              <w:t>财评后的</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预算控制价为</w:t>
            </w:r>
            <w:r>
              <w:rPr>
                <w:rFonts w:hint="eastAsia" w:ascii="宋体" w:hAnsi="宋体" w:eastAsia="宋体" w:cs="宋体"/>
                <w:b/>
                <w:color w:val="000000" w:themeColor="text1"/>
                <w:kern w:val="0"/>
                <w:sz w:val="21"/>
                <w:szCs w:val="21"/>
                <w:highlight w:val="none"/>
                <w14:textFill>
                  <w14:solidFill>
                    <w14:schemeClr w14:val="tx1"/>
                  </w14:solidFill>
                </w14:textFill>
              </w:rPr>
              <w:t>人民币</w:t>
            </w:r>
            <w:r>
              <w:rPr>
                <w:rFonts w:hint="eastAsia" w:ascii="宋体" w:hAnsi="宋体" w:cs="宋体"/>
                <w:b/>
                <w:color w:val="000000" w:themeColor="text1"/>
                <w:kern w:val="0"/>
                <w:sz w:val="21"/>
                <w:szCs w:val="21"/>
                <w:highlight w:val="none"/>
                <w:lang w:val="en-US" w:eastAsia="zh-CN"/>
                <w14:textFill>
                  <w14:solidFill>
                    <w14:schemeClr w14:val="tx1"/>
                  </w14:solidFill>
                </w14:textFill>
              </w:rPr>
              <w:t>2345774.90</w:t>
            </w:r>
            <w:r>
              <w:rPr>
                <w:rFonts w:hint="eastAsia" w:ascii="宋体" w:hAnsi="宋体" w:eastAsia="宋体" w:cs="宋体"/>
                <w:b/>
                <w:color w:val="000000" w:themeColor="text1"/>
                <w:kern w:val="0"/>
                <w:sz w:val="21"/>
                <w:szCs w:val="21"/>
                <w:highlight w:val="none"/>
                <w14:textFill>
                  <w14:solidFill>
                    <w14:schemeClr w14:val="tx1"/>
                  </w14:solidFill>
                </w14:textFill>
              </w:rPr>
              <w:t>元</w:t>
            </w:r>
            <w:r>
              <w:rPr>
                <w:rFonts w:hint="eastAsia" w:ascii="宋体" w:hAnsi="宋体" w:cs="宋体"/>
                <w:b/>
                <w:color w:val="000000" w:themeColor="text1"/>
                <w:kern w:val="0"/>
                <w:sz w:val="21"/>
                <w:szCs w:val="21"/>
                <w:highlight w:val="none"/>
                <w:lang w:eastAsia="zh-CN"/>
                <w14:textFill>
                  <w14:solidFill>
                    <w14:schemeClr w14:val="tx1"/>
                  </w14:solidFill>
                </w14:textFill>
              </w:rPr>
              <w:t>（</w:t>
            </w:r>
            <w:r>
              <w:rPr>
                <w:rFonts w:hint="eastAsia" w:ascii="宋体" w:hAnsi="宋体" w:cs="宋体"/>
                <w:b/>
                <w:color w:val="000000" w:themeColor="text1"/>
                <w:kern w:val="0"/>
                <w:sz w:val="21"/>
                <w:szCs w:val="21"/>
                <w:highlight w:val="none"/>
                <w:lang w:val="en-US" w:eastAsia="zh-CN"/>
                <w14:textFill>
                  <w14:solidFill>
                    <w14:schemeClr w14:val="tx1"/>
                  </w14:solidFill>
                </w14:textFill>
              </w:rPr>
              <w:t>含社会保险费</w:t>
            </w:r>
            <w:r>
              <w:rPr>
                <w:rFonts w:hint="eastAsia" w:ascii="宋体" w:hAnsi="宋体" w:cs="宋体"/>
                <w:b/>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w:t>
            </w:r>
          </w:p>
          <w:p w14:paraId="749A735B">
            <w:pPr>
              <w:pageBreakBefore w:val="0"/>
              <w:kinsoku/>
              <w:wordWrap/>
              <w:overflowPunct/>
              <w:topLinePunct w:val="0"/>
              <w:autoSpaceDE/>
              <w:autoSpaceDN/>
              <w:bidi w:val="0"/>
              <w:adjustRightInd/>
              <w:spacing w:line="440" w:lineRule="exact"/>
              <w:ind w:left="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经采购人同意，</w:t>
            </w:r>
            <w:r>
              <w:rPr>
                <w:rFonts w:hint="eastAsia" w:ascii="宋体" w:hAnsi="宋体" w:eastAsia="宋体" w:cs="宋体"/>
                <w:b/>
                <w:bCs/>
                <w:color w:val="000000" w:themeColor="text1"/>
                <w:sz w:val="21"/>
                <w:szCs w:val="21"/>
                <w:highlight w:val="none"/>
                <w14:textFill>
                  <w14:solidFill>
                    <w14:schemeClr w14:val="tx1"/>
                  </w14:solidFill>
                </w14:textFill>
              </w:rPr>
              <w:t>本工程最高磋商限价</w:t>
            </w:r>
            <w:r>
              <w:rPr>
                <w:rFonts w:hint="eastAsia" w:ascii="宋体" w:hAnsi="宋体" w:eastAsia="宋体" w:cs="宋体"/>
                <w:b/>
                <w:bCs/>
                <w:color w:val="000000" w:themeColor="text1"/>
                <w:sz w:val="21"/>
                <w:szCs w:val="21"/>
                <w:highlight w:val="none"/>
                <w:lang w:eastAsia="zh-CN"/>
                <w14:textFill>
                  <w14:solidFill>
                    <w14:schemeClr w14:val="tx1"/>
                  </w14:solidFill>
                </w14:textFill>
              </w:rPr>
              <w:t>（预算</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控制价</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为</w:t>
            </w:r>
            <w:r>
              <w:rPr>
                <w:rFonts w:hint="eastAsia" w:ascii="宋体" w:hAnsi="宋体" w:cs="宋体"/>
                <w:b/>
                <w:bCs/>
                <w:color w:val="000000" w:themeColor="text1"/>
                <w:sz w:val="21"/>
                <w:szCs w:val="21"/>
                <w:highlight w:val="none"/>
                <w:lang w:val="en-US" w:eastAsia="zh-CN"/>
                <w14:textFill>
                  <w14:solidFill>
                    <w14:schemeClr w14:val="tx1"/>
                  </w14:solidFill>
                </w14:textFill>
              </w:rPr>
              <w:t>2345774.90</w:t>
            </w:r>
            <w:r>
              <w:rPr>
                <w:rFonts w:hint="eastAsia" w:ascii="宋体" w:hAnsi="宋体" w:eastAsia="宋体" w:cs="宋体"/>
                <w:b/>
                <w:bCs/>
                <w:color w:val="000000" w:themeColor="text1"/>
                <w:kern w:val="0"/>
                <w:sz w:val="21"/>
                <w:szCs w:val="21"/>
                <w:highlight w:val="none"/>
                <w:u w:val="none"/>
                <w14:textFill>
                  <w14:solidFill>
                    <w14:schemeClr w14:val="tx1"/>
                  </w14:solidFill>
                </w14:textFill>
              </w:rPr>
              <w:t>元</w:t>
            </w:r>
            <w:r>
              <w:rPr>
                <w:rFonts w:hint="eastAsia" w:ascii="宋体" w:hAnsi="宋体" w:cs="宋体"/>
                <w:b/>
                <w:color w:val="000000" w:themeColor="text1"/>
                <w:kern w:val="0"/>
                <w:sz w:val="21"/>
                <w:szCs w:val="21"/>
                <w:highlight w:val="none"/>
                <w:lang w:eastAsia="zh-CN"/>
                <w14:textFill>
                  <w14:solidFill>
                    <w14:schemeClr w14:val="tx1"/>
                  </w14:solidFill>
                </w14:textFill>
              </w:rPr>
              <w:t>（</w:t>
            </w:r>
            <w:r>
              <w:rPr>
                <w:rFonts w:hint="eastAsia" w:ascii="宋体" w:hAnsi="宋体" w:cs="宋体"/>
                <w:b/>
                <w:color w:val="000000" w:themeColor="text1"/>
                <w:kern w:val="0"/>
                <w:sz w:val="21"/>
                <w:szCs w:val="21"/>
                <w:highlight w:val="none"/>
                <w:lang w:val="en-US" w:eastAsia="zh-CN"/>
                <w14:textFill>
                  <w14:solidFill>
                    <w14:schemeClr w14:val="tx1"/>
                  </w14:solidFill>
                </w14:textFill>
              </w:rPr>
              <w:t>含社会保险费</w:t>
            </w:r>
            <w:r>
              <w:rPr>
                <w:rFonts w:hint="eastAsia" w:ascii="宋体" w:hAnsi="宋体" w:cs="宋体"/>
                <w:b/>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49722D47">
            <w:pPr>
              <w:keepNext w:val="0"/>
              <w:keepLines w:val="0"/>
              <w:pageBreakBefore w:val="0"/>
              <w:widowControl/>
              <w:kinsoku/>
              <w:wordWrap/>
              <w:overflowPunct/>
              <w:topLinePunct w:val="0"/>
              <w:autoSpaceDE/>
              <w:autoSpaceDN/>
              <w:bidi w:val="0"/>
              <w:adjustRightInd/>
              <w:snapToGrid w:val="0"/>
              <w:spacing w:line="440" w:lineRule="exact"/>
              <w:ind w:left="0" w:leftChars="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注：</w:t>
            </w:r>
            <w:r>
              <w:rPr>
                <w:rFonts w:hint="eastAsia" w:ascii="宋体" w:hAnsi="宋体" w:eastAsia="宋体" w:cs="宋体"/>
                <w:b/>
                <w:color w:val="000000" w:themeColor="text1"/>
                <w:sz w:val="21"/>
                <w:szCs w:val="21"/>
                <w:highlight w:val="none"/>
                <w:lang w:eastAsia="zh-CN"/>
                <w14:textFill>
                  <w14:solidFill>
                    <w14:schemeClr w14:val="tx1"/>
                  </w14:solidFill>
                </w14:textFill>
              </w:rPr>
              <w:t>供应商的磋商报价不得超过本工程</w:t>
            </w:r>
            <w:r>
              <w:rPr>
                <w:rFonts w:hint="eastAsia" w:ascii="宋体" w:hAnsi="宋体" w:eastAsia="宋体" w:cs="宋体"/>
                <w:b/>
                <w:bCs/>
                <w:color w:val="000000" w:themeColor="text1"/>
                <w:sz w:val="21"/>
                <w:szCs w:val="21"/>
                <w:highlight w:val="none"/>
                <w14:textFill>
                  <w14:solidFill>
                    <w14:schemeClr w14:val="tx1"/>
                  </w14:solidFill>
                </w14:textFill>
              </w:rPr>
              <w:t>最高磋商限价</w:t>
            </w:r>
            <w:r>
              <w:rPr>
                <w:rFonts w:hint="eastAsia" w:ascii="宋体" w:hAnsi="宋体" w:eastAsia="宋体" w:cs="宋体"/>
                <w:b/>
                <w:bCs/>
                <w:color w:val="000000" w:themeColor="text1"/>
                <w:sz w:val="21"/>
                <w:szCs w:val="21"/>
                <w:highlight w:val="none"/>
                <w:lang w:eastAsia="zh-CN"/>
                <w14:textFill>
                  <w14:solidFill>
                    <w14:schemeClr w14:val="tx1"/>
                  </w14:solidFill>
                </w14:textFill>
              </w:rPr>
              <w:t>（预算</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控制价</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，否则作无效标处理；</w:t>
            </w:r>
            <w:r>
              <w:rPr>
                <w:rFonts w:hint="eastAsia" w:ascii="宋体" w:hAnsi="宋体" w:eastAsia="宋体" w:cs="宋体"/>
                <w:b/>
                <w:color w:val="000000" w:themeColor="text1"/>
                <w:sz w:val="21"/>
                <w:szCs w:val="21"/>
                <w:highlight w:val="none"/>
                <w14:textFill>
                  <w14:solidFill>
                    <w14:schemeClr w14:val="tx1"/>
                  </w14:solidFill>
                </w14:textFill>
              </w:rPr>
              <w:t>供应商的第二次磋商报价不得高于该供应商第一次磋商报价，否则做无效标处理。如供应商维持</w:t>
            </w:r>
            <w:r>
              <w:rPr>
                <w:rFonts w:hint="eastAsia" w:ascii="宋体" w:hAnsi="宋体" w:eastAsia="宋体" w:cs="宋体"/>
                <w:b/>
                <w:color w:val="000000" w:themeColor="text1"/>
                <w:sz w:val="21"/>
                <w:szCs w:val="21"/>
                <w:highlight w:val="none"/>
                <w:lang w:eastAsia="zh-CN"/>
                <w14:textFill>
                  <w14:solidFill>
                    <w14:schemeClr w14:val="tx1"/>
                  </w14:solidFill>
                </w14:textFill>
              </w:rPr>
              <w:t>磋商</w:t>
            </w:r>
            <w:r>
              <w:rPr>
                <w:rFonts w:hint="eastAsia" w:ascii="宋体" w:hAnsi="宋体" w:eastAsia="宋体" w:cs="宋体"/>
                <w:b/>
                <w:color w:val="000000" w:themeColor="text1"/>
                <w:sz w:val="21"/>
                <w:szCs w:val="21"/>
                <w:highlight w:val="none"/>
                <w14:textFill>
                  <w14:solidFill>
                    <w14:schemeClr w14:val="tx1"/>
                  </w14:solidFill>
                </w14:textFill>
              </w:rPr>
              <w:t>报价不变，以原磋商报价作为供应商最后报价</w:t>
            </w:r>
            <w:r>
              <w:rPr>
                <w:rFonts w:hint="eastAsia" w:ascii="宋体" w:hAnsi="宋体" w:eastAsia="宋体" w:cs="宋体"/>
                <w:b/>
                <w:bCs/>
                <w:color w:val="000000" w:themeColor="text1"/>
                <w:sz w:val="21"/>
                <w:szCs w:val="21"/>
                <w:highlight w:val="none"/>
                <w14:textFill>
                  <w14:solidFill>
                    <w14:schemeClr w14:val="tx1"/>
                  </w14:solidFill>
                </w14:textFill>
              </w:rPr>
              <w:t>；如供应商需要改变原磋商报价时，</w:t>
            </w:r>
            <w:r>
              <w:rPr>
                <w:rFonts w:hint="eastAsia" w:ascii="宋体" w:hAnsi="宋体" w:eastAsia="宋体" w:cs="宋体"/>
                <w:b/>
                <w:color w:val="000000" w:themeColor="text1"/>
                <w:sz w:val="21"/>
                <w:szCs w:val="21"/>
                <w:highlight w:val="none"/>
                <w14:textFill>
                  <w14:solidFill>
                    <w14:schemeClr w14:val="tx1"/>
                  </w14:solidFill>
                </w14:textFill>
              </w:rPr>
              <w:t>供应商应预先准备好调整后的</w:t>
            </w:r>
            <w:r>
              <w:rPr>
                <w:rFonts w:hint="eastAsia" w:ascii="宋体" w:hAnsi="宋体" w:eastAsia="宋体" w:cs="宋体"/>
                <w:b/>
                <w:color w:val="000000" w:themeColor="text1"/>
                <w:sz w:val="21"/>
                <w:szCs w:val="21"/>
                <w:highlight w:val="none"/>
                <w:lang w:eastAsia="zh-CN"/>
                <w14:textFill>
                  <w14:solidFill>
                    <w14:schemeClr w14:val="tx1"/>
                  </w14:solidFill>
                </w14:textFill>
              </w:rPr>
              <w:t>已标价的工程量清单</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lang w:eastAsia="zh-CN"/>
                <w14:textFill>
                  <w14:solidFill>
                    <w14:schemeClr w14:val="tx1"/>
                  </w14:solidFill>
                </w14:textFill>
              </w:rPr>
              <w:t xml:space="preserve"> </w:t>
            </w:r>
          </w:p>
        </w:tc>
      </w:tr>
      <w:tr w14:paraId="676D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vAlign w:val="center"/>
          </w:tcPr>
          <w:p w14:paraId="522B638B">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942" w:type="dxa"/>
            <w:vAlign w:val="center"/>
          </w:tcPr>
          <w:p w14:paraId="0934B479">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position w:val="-2"/>
                <w:sz w:val="21"/>
                <w:szCs w:val="21"/>
                <w:highlight w:val="none"/>
                <w14:textFill>
                  <w14:solidFill>
                    <w14:schemeClr w14:val="tx1"/>
                  </w14:solidFill>
                </w14:textFill>
              </w:rPr>
            </w:pPr>
            <w:r>
              <w:rPr>
                <w:rFonts w:hint="eastAsia" w:ascii="宋体" w:hAnsi="宋体" w:eastAsia="宋体" w:cs="宋体"/>
                <w:color w:val="000000" w:themeColor="text1"/>
                <w:position w:val="-2"/>
                <w:sz w:val="21"/>
                <w:szCs w:val="21"/>
                <w:highlight w:val="none"/>
                <w14:textFill>
                  <w14:solidFill>
                    <w14:schemeClr w14:val="tx1"/>
                  </w14:solidFill>
                </w14:textFill>
              </w:rPr>
              <w:t>14.1</w:t>
            </w:r>
          </w:p>
        </w:tc>
        <w:tc>
          <w:tcPr>
            <w:tcW w:w="1775" w:type="dxa"/>
            <w:vAlign w:val="center"/>
          </w:tcPr>
          <w:p w14:paraId="220ADF56">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position w:val="-2"/>
                <w:sz w:val="21"/>
                <w:szCs w:val="21"/>
                <w:highlight w:val="none"/>
                <w14:textFill>
                  <w14:solidFill>
                    <w14:schemeClr w14:val="tx1"/>
                  </w14:solidFill>
                </w14:textFill>
              </w:rPr>
            </w:pPr>
            <w:r>
              <w:rPr>
                <w:rFonts w:hint="eastAsia" w:ascii="宋体" w:hAnsi="宋体" w:eastAsia="宋体" w:cs="宋体"/>
                <w:color w:val="000000" w:themeColor="text1"/>
                <w:position w:val="-2"/>
                <w:sz w:val="21"/>
                <w:szCs w:val="21"/>
                <w:highlight w:val="none"/>
                <w14:textFill>
                  <w14:solidFill>
                    <w14:schemeClr w14:val="tx1"/>
                  </w14:solidFill>
                </w14:textFill>
              </w:rPr>
              <w:t>响应文件有效期</w:t>
            </w:r>
          </w:p>
        </w:tc>
        <w:tc>
          <w:tcPr>
            <w:tcW w:w="7112" w:type="dxa"/>
            <w:vAlign w:val="top"/>
          </w:tcPr>
          <w:p w14:paraId="79654018">
            <w:pPr>
              <w:pageBreakBefore w:val="0"/>
              <w:widowControl w:val="0"/>
              <w:tabs>
                <w:tab w:val="left" w:pos="1305"/>
              </w:tabs>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响应文件递交截止时间之日起90天，有效期不足的响应文件将被拒绝。</w:t>
            </w:r>
          </w:p>
        </w:tc>
      </w:tr>
      <w:tr w14:paraId="33E2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vAlign w:val="center"/>
          </w:tcPr>
          <w:p w14:paraId="1B09CCC1">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942" w:type="dxa"/>
            <w:vAlign w:val="center"/>
          </w:tcPr>
          <w:p w14:paraId="2747A7AD">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position w:val="-2"/>
                <w:sz w:val="21"/>
                <w:szCs w:val="21"/>
                <w:highlight w:val="none"/>
                <w14:textFill>
                  <w14:solidFill>
                    <w14:schemeClr w14:val="tx1"/>
                  </w14:solidFill>
                </w14:textFill>
              </w:rPr>
            </w:pPr>
            <w:r>
              <w:rPr>
                <w:rFonts w:hint="eastAsia" w:ascii="宋体" w:hAnsi="宋体" w:eastAsia="宋体" w:cs="宋体"/>
                <w:color w:val="000000" w:themeColor="text1"/>
                <w:position w:val="-2"/>
                <w:sz w:val="21"/>
                <w:szCs w:val="21"/>
                <w:highlight w:val="none"/>
                <w14:textFill>
                  <w14:solidFill>
                    <w14:schemeClr w14:val="tx1"/>
                  </w14:solidFill>
                </w14:textFill>
              </w:rPr>
              <w:t>15</w:t>
            </w:r>
          </w:p>
        </w:tc>
        <w:tc>
          <w:tcPr>
            <w:tcW w:w="1775" w:type="dxa"/>
            <w:vAlign w:val="center"/>
          </w:tcPr>
          <w:p w14:paraId="089AB751">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position w:val="-2"/>
                <w:sz w:val="21"/>
                <w:szCs w:val="21"/>
                <w:highlight w:val="none"/>
                <w14:textFill>
                  <w14:solidFill>
                    <w14:schemeClr w14:val="tx1"/>
                  </w14:solidFill>
                </w14:textFill>
              </w:rPr>
            </w:pPr>
            <w:r>
              <w:rPr>
                <w:rFonts w:hint="eastAsia" w:ascii="宋体" w:hAnsi="宋体" w:eastAsia="宋体" w:cs="宋体"/>
                <w:color w:val="000000" w:themeColor="text1"/>
                <w:position w:val="-2"/>
                <w:sz w:val="21"/>
                <w:szCs w:val="21"/>
                <w:highlight w:val="none"/>
                <w14:textFill>
                  <w14:solidFill>
                    <w14:schemeClr w14:val="tx1"/>
                  </w14:solidFill>
                </w14:textFill>
              </w:rPr>
              <w:t>保证金</w:t>
            </w:r>
          </w:p>
        </w:tc>
        <w:tc>
          <w:tcPr>
            <w:tcW w:w="7112" w:type="dxa"/>
            <w:vAlign w:val="top"/>
          </w:tcPr>
          <w:p w14:paraId="2A2C351D">
            <w:pPr>
              <w:pageBreakBefore w:val="0"/>
              <w:widowControl w:val="0"/>
              <w:tabs>
                <w:tab w:val="left" w:pos="1305"/>
              </w:tabs>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本项目无需缴纳磋商保证金</w:t>
            </w:r>
          </w:p>
        </w:tc>
      </w:tr>
      <w:tr w14:paraId="6C3B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vAlign w:val="center"/>
          </w:tcPr>
          <w:p w14:paraId="22C51BC6">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942" w:type="dxa"/>
            <w:vAlign w:val="center"/>
          </w:tcPr>
          <w:p w14:paraId="6F84C663">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p>
        </w:tc>
        <w:tc>
          <w:tcPr>
            <w:tcW w:w="1775" w:type="dxa"/>
            <w:vAlign w:val="center"/>
          </w:tcPr>
          <w:p w14:paraId="55D6A8DB">
            <w:pPr>
              <w:pStyle w:val="5"/>
              <w:pageBreakBefore w:val="0"/>
              <w:widowControl w:val="0"/>
              <w:kinsoku/>
              <w:wordWrap/>
              <w:overflowPunct/>
              <w:topLinePunct w:val="0"/>
              <w:autoSpaceDE/>
              <w:autoSpaceDN/>
              <w:bidi w:val="0"/>
              <w:adjustRightInd/>
              <w:spacing w:before="0" w:after="0" w:line="440" w:lineRule="exact"/>
              <w:ind w:left="0"/>
              <w:jc w:val="center"/>
              <w:textAlignment w:val="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bookmarkStart w:id="39" w:name="_Toc27452"/>
            <w:bookmarkStart w:id="40" w:name="_Toc19954"/>
            <w:bookmarkStart w:id="41" w:name="_Toc19911"/>
            <w:r>
              <w:rPr>
                <w:rFonts w:hint="eastAsia" w:ascii="宋体" w:hAnsi="宋体" w:eastAsia="宋体" w:cs="宋体"/>
                <w:b w:val="0"/>
                <w:bCs/>
                <w:color w:val="000000" w:themeColor="text1"/>
                <w:sz w:val="21"/>
                <w:szCs w:val="21"/>
                <w:highlight w:val="none"/>
                <w14:textFill>
                  <w14:solidFill>
                    <w14:schemeClr w14:val="tx1"/>
                  </w14:solidFill>
                </w14:textFill>
              </w:rPr>
              <w:t>竞争性</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 w:val="0"/>
                <w:bCs/>
                <w:color w:val="000000" w:themeColor="text1"/>
                <w:sz w:val="21"/>
                <w:szCs w:val="21"/>
                <w:highlight w:val="none"/>
                <w14:textFill>
                  <w14:solidFill>
                    <w14:schemeClr w14:val="tx1"/>
                  </w14:solidFill>
                </w14:textFill>
              </w:rPr>
              <w:t>响应文件的</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制作</w:t>
            </w:r>
            <w:bookmarkEnd w:id="39"/>
            <w:bookmarkEnd w:id="40"/>
            <w:bookmarkEnd w:id="41"/>
          </w:p>
          <w:p w14:paraId="5EAD851E">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7112" w:type="dxa"/>
            <w:vAlign w:val="center"/>
          </w:tcPr>
          <w:p w14:paraId="0AD275A1">
            <w:pPr>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16.1供应商制作电子响应文件前，应登陆“广西政府采购云平台”进行“申请获取采购文件”操作，否则，有可能导致无法在线编制响应文件并参与磋商，其不利后果由供应商自行承担。</w:t>
            </w:r>
          </w:p>
          <w:p w14:paraId="515F8F26">
            <w:pPr>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16.2供应商下载或获取竞争性磋商文件后，登录“广西政府采购云平台新版客户端”，按照本磋商文件规定的响应文件格式、顺序以及“广西政府采购云平台”平台的要求，通过“广西政府采购云平台新版客户端”编制电子响应文件。</w:t>
            </w:r>
          </w:p>
          <w:p w14:paraId="12B9C45F">
            <w:pPr>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16.3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36FCFBF5">
            <w:pPr>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16.4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2EE6BE48">
            <w:pPr>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16.5 磋商响应文件不得涂改，若有修改错漏处，须法定代表人（负责人）或授权委托人签字（或个人CA签章）。磋商响应文件因字迹潦草或表达不清所引起的后果由供应商负责。</w:t>
            </w:r>
          </w:p>
          <w:p w14:paraId="0D38D66F">
            <w:pPr>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16.6磋商前准备 </w:t>
            </w:r>
          </w:p>
          <w:p w14:paraId="7843C8CF">
            <w:pPr>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16.6.1本项目实行在线磋商，采用电子磋商响应文件。若供应商参与磋商，自行承担磋商一切费用。 </w:t>
            </w:r>
          </w:p>
          <w:p w14:paraId="449DCEF8">
            <w:pPr>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16.6.2各供应商应在截标前应确保成为广西政府采购云平台正式注册入库供应商，并完成CA数字证书申领和绑定。因未注册入库、未办理CA数字证书等原因造成无法磋商或磋商失败等后果由供应商自行承担。 </w:t>
            </w:r>
          </w:p>
          <w:p w14:paraId="35CC1B51">
            <w:pPr>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16.6.3供应商将广西政府采购云平台新版客户端下载、安装完成后，可通过账号密码或CA登录客户端进行响应文件制作。客户端请至网站下载专区查看，如有问题可拨打广西政府采购云平台客户服务热线95763进行咨询。</w:t>
            </w:r>
          </w:p>
        </w:tc>
      </w:tr>
      <w:tr w14:paraId="22E6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62" w:type="dxa"/>
            <w:vAlign w:val="center"/>
          </w:tcPr>
          <w:p w14:paraId="40DF3A15">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942" w:type="dxa"/>
            <w:vAlign w:val="center"/>
          </w:tcPr>
          <w:p w14:paraId="63251FB3">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18.1</w:t>
            </w:r>
          </w:p>
        </w:tc>
        <w:tc>
          <w:tcPr>
            <w:tcW w:w="1775" w:type="dxa"/>
            <w:vAlign w:val="center"/>
          </w:tcPr>
          <w:p w14:paraId="4ACC10BE">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响应文件递交截止时间</w:t>
            </w:r>
          </w:p>
        </w:tc>
        <w:tc>
          <w:tcPr>
            <w:tcW w:w="7112" w:type="dxa"/>
            <w:vAlign w:val="center"/>
          </w:tcPr>
          <w:p w14:paraId="7FF6C564">
            <w:pPr>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eastAsia="zh-CN"/>
                <w14:textFill>
                  <w14:solidFill>
                    <w14:schemeClr w14:val="tx1"/>
                  </w14:solidFill>
                </w14:textFill>
              </w:rPr>
              <w:t>于</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202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日</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9时30分</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r>
              <w:rPr>
                <w:rFonts w:hint="eastAsia" w:ascii="宋体" w:hAnsi="宋体" w:eastAsia="宋体" w:cs="宋体"/>
                <w:color w:val="000000" w:themeColor="text1"/>
                <w:sz w:val="21"/>
                <w:szCs w:val="21"/>
                <w:highlight w:val="none"/>
                <w14:textFill>
                  <w14:solidFill>
                    <w14:schemeClr w14:val="tx1"/>
                  </w14:solidFill>
                </w14:textFill>
              </w:rPr>
              <w:t>。</w:t>
            </w:r>
          </w:p>
        </w:tc>
      </w:tr>
      <w:tr w14:paraId="76C8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2" w:type="dxa"/>
            <w:vAlign w:val="center"/>
          </w:tcPr>
          <w:p w14:paraId="5AB432F4">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position w:val="-2"/>
                <w:sz w:val="21"/>
                <w:szCs w:val="21"/>
                <w:highlight w:val="none"/>
                <w:lang w:eastAsia="zh-CN"/>
                <w14:textFill>
                  <w14:solidFill>
                    <w14:schemeClr w14:val="tx1"/>
                  </w14:solidFill>
                </w14:textFill>
              </w:rPr>
            </w:pPr>
            <w:r>
              <w:rPr>
                <w:rFonts w:hint="eastAsia" w:ascii="宋体" w:hAnsi="宋体" w:eastAsia="宋体" w:cs="宋体"/>
                <w:color w:val="000000" w:themeColor="text1"/>
                <w:position w:val="-2"/>
                <w:sz w:val="21"/>
                <w:szCs w:val="21"/>
                <w:highlight w:val="none"/>
                <w:lang w:val="en-US" w:eastAsia="zh-CN"/>
                <w14:textFill>
                  <w14:solidFill>
                    <w14:schemeClr w14:val="tx1"/>
                  </w14:solidFill>
                </w14:textFill>
              </w:rPr>
              <w:t>9</w:t>
            </w:r>
          </w:p>
        </w:tc>
        <w:tc>
          <w:tcPr>
            <w:tcW w:w="942" w:type="dxa"/>
            <w:vAlign w:val="center"/>
          </w:tcPr>
          <w:p w14:paraId="07C9AD29">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position w:val="-2"/>
                <w:sz w:val="21"/>
                <w:szCs w:val="21"/>
                <w:highlight w:val="none"/>
                <w14:textFill>
                  <w14:solidFill>
                    <w14:schemeClr w14:val="tx1"/>
                  </w14:solidFill>
                </w14:textFill>
              </w:rPr>
            </w:pPr>
            <w:r>
              <w:rPr>
                <w:rFonts w:hint="eastAsia" w:ascii="宋体" w:hAnsi="宋体" w:eastAsia="宋体" w:cs="宋体"/>
                <w:color w:val="000000" w:themeColor="text1"/>
                <w:position w:val="-2"/>
                <w:sz w:val="21"/>
                <w:szCs w:val="21"/>
                <w:highlight w:val="none"/>
                <w14:textFill>
                  <w14:solidFill>
                    <w14:schemeClr w14:val="tx1"/>
                  </w14:solidFill>
                </w14:textFill>
              </w:rPr>
              <w:t>18.2</w:t>
            </w:r>
          </w:p>
        </w:tc>
        <w:tc>
          <w:tcPr>
            <w:tcW w:w="1775" w:type="dxa"/>
            <w:vAlign w:val="center"/>
          </w:tcPr>
          <w:p w14:paraId="716D3416">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positio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磋商响应文件解密时间</w:t>
            </w:r>
          </w:p>
        </w:tc>
        <w:tc>
          <w:tcPr>
            <w:tcW w:w="7112" w:type="dxa"/>
            <w:vAlign w:val="center"/>
          </w:tcPr>
          <w:p w14:paraId="6BC91643">
            <w:pPr>
              <w:pStyle w:val="8"/>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磋商响应文件解密时间</w:t>
            </w:r>
            <w:r>
              <w:rPr>
                <w:rFonts w:hint="eastAsia" w:ascii="宋体" w:hAnsi="宋体" w:eastAsia="宋体" w:cs="宋体"/>
                <w:b w:val="0"/>
                <w:bCs w:val="0"/>
                <w:color w:val="000000" w:themeColor="text1"/>
                <w:kern w:val="2"/>
                <w:sz w:val="21"/>
                <w:szCs w:val="21"/>
                <w:highlight w:val="none"/>
                <w:lang w:eastAsia="zh-CN"/>
                <w14:textFill>
                  <w14:solidFill>
                    <w14:schemeClr w14:val="tx1"/>
                  </w14:solidFill>
                </w14:textFill>
              </w:rPr>
              <w:t>：截标时间后</w:t>
            </w:r>
            <w:r>
              <w:rPr>
                <w:rFonts w:hint="eastAsia" w:ascii="宋体" w:hAnsi="宋体" w:eastAsia="宋体" w:cs="宋体"/>
                <w:b w:val="0"/>
                <w:bCs w:val="0"/>
                <w:color w:val="000000" w:themeColor="text1"/>
                <w:kern w:val="2"/>
                <w:sz w:val="21"/>
                <w:szCs w:val="21"/>
                <w:highlight w:val="none"/>
                <w:u w:val="none"/>
                <w:lang w:eastAsia="zh-CN"/>
                <w14:textFill>
                  <w14:solidFill>
                    <w14:schemeClr w14:val="tx1"/>
                  </w14:solidFill>
                </w14:textFill>
              </w:rPr>
              <w:t>30</w:t>
            </w:r>
            <w:r>
              <w:rPr>
                <w:rFonts w:hint="eastAsia" w:ascii="宋体" w:hAnsi="宋体" w:eastAsia="宋体" w:cs="宋体"/>
                <w:b w:val="0"/>
                <w:bCs w:val="0"/>
                <w:color w:val="000000" w:themeColor="text1"/>
                <w:kern w:val="2"/>
                <w:sz w:val="21"/>
                <w:szCs w:val="21"/>
                <w:highlight w:val="none"/>
                <w:lang w:eastAsia="zh-CN"/>
                <w14:textFill>
                  <w14:solidFill>
                    <w14:schemeClr w14:val="tx1"/>
                  </w14:solidFill>
                </w14:textFill>
              </w:rPr>
              <w:t>分钟内磋商供应商可以登录广西政府采购云平台，用“项目采购-开标评标”功能进行解密磋商响应文件。若磋商供应商在规定时间内无法解密或解密失败，可以以电子备份磋商响应文件作为依据</w:t>
            </w:r>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在接到无法解密或解密失败的通知后，磋商供应商可根据自身实际情况按通知时要求的时间到桂林市公共资源交易中心现场提交或以电子邮件的形式（以通知时所告知的电子邮箱地址为准）提交电子备份磋商响应文件】</w:t>
            </w:r>
            <w:r>
              <w:rPr>
                <w:rFonts w:hint="eastAsia" w:ascii="宋体" w:hAnsi="宋体" w:eastAsia="宋体" w:cs="宋体"/>
                <w:b w:val="0"/>
                <w:bCs w:val="0"/>
                <w:color w:val="000000" w:themeColor="text1"/>
                <w:kern w:val="2"/>
                <w:sz w:val="21"/>
                <w:szCs w:val="21"/>
                <w:highlight w:val="none"/>
                <w:lang w:eastAsia="zh-CN"/>
                <w14:textFill>
                  <w14:solidFill>
                    <w14:schemeClr w14:val="tx1"/>
                  </w14:solidFill>
                </w14:textFill>
              </w:rPr>
              <w:t>，若磋商供应商在规定时间内无法解密或解密失败且未提供电子备份磋商响应文件的(包含提供的电子备份文件无效或无法解密的情况)，视为无效响应。</w:t>
            </w:r>
          </w:p>
        </w:tc>
      </w:tr>
      <w:tr w14:paraId="2572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62" w:type="dxa"/>
            <w:vAlign w:val="center"/>
          </w:tcPr>
          <w:p w14:paraId="75335E12">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942" w:type="dxa"/>
            <w:vAlign w:val="center"/>
          </w:tcPr>
          <w:p w14:paraId="4F88C27E">
            <w:pPr>
              <w:pageBreakBefore w:val="0"/>
              <w:widowControl w:val="0"/>
              <w:kinsoku/>
              <w:wordWrap/>
              <w:overflowPunct/>
              <w:topLinePunct w:val="0"/>
              <w:autoSpaceDE/>
              <w:autoSpaceDN/>
              <w:bidi w:val="0"/>
              <w:adjustRightInd/>
              <w:spacing w:line="440" w:lineRule="exact"/>
              <w:ind w:left="0" w:firstLine="105" w:firstLineChars="50"/>
              <w:jc w:val="center"/>
              <w:textAlignment w:val="auto"/>
              <w:rPr>
                <w:rFonts w:hint="eastAsia" w:ascii="宋体" w:hAnsi="宋体" w:eastAsia="宋体" w:cs="宋体"/>
                <w:color w:val="000000" w:themeColor="text1"/>
                <w:position w:val="-2"/>
                <w:sz w:val="21"/>
                <w:szCs w:val="21"/>
                <w:highlight w:val="none"/>
                <w14:textFill>
                  <w14:solidFill>
                    <w14:schemeClr w14:val="tx1"/>
                  </w14:solidFill>
                </w14:textFill>
              </w:rPr>
            </w:pPr>
            <w:r>
              <w:rPr>
                <w:rFonts w:hint="eastAsia" w:ascii="宋体" w:hAnsi="宋体" w:eastAsia="宋体" w:cs="宋体"/>
                <w:color w:val="000000" w:themeColor="text1"/>
                <w:position w:val="-2"/>
                <w:sz w:val="21"/>
                <w:szCs w:val="21"/>
                <w:highlight w:val="none"/>
                <w14:textFill>
                  <w14:solidFill>
                    <w14:schemeClr w14:val="tx1"/>
                  </w14:solidFill>
                </w14:textFill>
              </w:rPr>
              <w:t>19.1</w:t>
            </w:r>
          </w:p>
        </w:tc>
        <w:tc>
          <w:tcPr>
            <w:tcW w:w="1775" w:type="dxa"/>
            <w:vAlign w:val="center"/>
          </w:tcPr>
          <w:p w14:paraId="6537D9BA">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磋商小组组成</w:t>
            </w:r>
          </w:p>
        </w:tc>
        <w:tc>
          <w:tcPr>
            <w:tcW w:w="7112" w:type="dxa"/>
            <w:vAlign w:val="center"/>
          </w:tcPr>
          <w:p w14:paraId="6C0BA4B2">
            <w:pPr>
              <w:pageBreakBefore w:val="0"/>
              <w:widowControl w:val="0"/>
              <w:kinsoku/>
              <w:wordWrap/>
              <w:overflowPunct/>
              <w:topLinePunct w:val="0"/>
              <w:autoSpaceDE/>
              <w:autoSpaceDN/>
              <w:bidi w:val="0"/>
              <w:adjustRightInd/>
              <w:spacing w:line="440" w:lineRule="exact"/>
              <w:ind w:left="0" w:hanging="14" w:hangingChars="7"/>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000000" w:themeColor="text1"/>
                <w:sz w:val="21"/>
                <w:szCs w:val="21"/>
                <w:highlight w:val="none"/>
                <w:u w:val="single"/>
                <w14:textFill>
                  <w14:solidFill>
                    <w14:schemeClr w14:val="tx1"/>
                  </w14:solidFill>
                </w14:textFill>
              </w:rPr>
              <w:t xml:space="preserve">3 </w:t>
            </w:r>
            <w:r>
              <w:rPr>
                <w:rFonts w:hint="eastAsia" w:ascii="宋体" w:hAnsi="宋体" w:eastAsia="宋体" w:cs="宋体"/>
                <w:color w:val="000000" w:themeColor="text1"/>
                <w:sz w:val="21"/>
                <w:szCs w:val="21"/>
                <w:highlight w:val="none"/>
                <w14:textFill>
                  <w14:solidFill>
                    <w14:schemeClr w14:val="tx1"/>
                  </w14:solidFill>
                </w14:textFill>
              </w:rPr>
              <w:t>人，其中采购人代表</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 w:val="21"/>
                <w:szCs w:val="21"/>
                <w:highlight w:val="none"/>
                <w14:textFill>
                  <w14:solidFill>
                    <w14:schemeClr w14:val="tx1"/>
                  </w14:solidFill>
                </w14:textFill>
              </w:rPr>
              <w:t>人，专家</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 w:val="21"/>
                <w:szCs w:val="21"/>
                <w:highlight w:val="none"/>
                <w14:textFill>
                  <w14:solidFill>
                    <w14:schemeClr w14:val="tx1"/>
                  </w14:solidFill>
                </w14:textFill>
              </w:rPr>
              <w:t>人。</w:t>
            </w:r>
          </w:p>
        </w:tc>
      </w:tr>
      <w:tr w14:paraId="360C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62" w:type="dxa"/>
            <w:vAlign w:val="center"/>
          </w:tcPr>
          <w:p w14:paraId="08FC9AB7">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p>
        </w:tc>
        <w:tc>
          <w:tcPr>
            <w:tcW w:w="942" w:type="dxa"/>
            <w:vAlign w:val="center"/>
          </w:tcPr>
          <w:p w14:paraId="0714D05A">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19.2</w:t>
            </w:r>
          </w:p>
        </w:tc>
        <w:tc>
          <w:tcPr>
            <w:tcW w:w="1775" w:type="dxa"/>
            <w:vAlign w:val="center"/>
          </w:tcPr>
          <w:p w14:paraId="351C532A">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磋商时间、地点、人员</w:t>
            </w:r>
          </w:p>
        </w:tc>
        <w:tc>
          <w:tcPr>
            <w:tcW w:w="7112" w:type="dxa"/>
            <w:vAlign w:val="top"/>
          </w:tcPr>
          <w:p w14:paraId="7A4FA57A">
            <w:pPr>
              <w:pageBreakBefore w:val="0"/>
              <w:widowControl w:val="0"/>
              <w:kinsoku/>
              <w:wordWrap/>
              <w:overflowPunct/>
              <w:topLinePunct w:val="0"/>
              <w:autoSpaceDE/>
              <w:autoSpaceDN/>
              <w:bidi w:val="0"/>
              <w:adjustRightInd/>
              <w:spacing w:line="440" w:lineRule="exact"/>
              <w:ind w:left="0" w:hanging="315" w:hangingChars="15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19.2.1磋商时间：响应文件递交截止时间后。</w:t>
            </w:r>
          </w:p>
          <w:p w14:paraId="2F122DEB">
            <w:pPr>
              <w:pageBreakBefore w:val="0"/>
              <w:widowControl w:val="0"/>
              <w:kinsoku/>
              <w:wordWrap/>
              <w:overflowPunct/>
              <w:topLinePunct w:val="0"/>
              <w:autoSpaceDE/>
              <w:autoSpaceDN/>
              <w:bidi w:val="0"/>
              <w:adjustRightInd/>
              <w:spacing w:line="440" w:lineRule="exact"/>
              <w:ind w:left="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19.2.2磋商地点：</w:t>
            </w:r>
            <w:r>
              <w:rPr>
                <w:rFonts w:hint="eastAsia" w:ascii="宋体" w:hAnsi="宋体" w:eastAsia="宋体" w:cs="宋体"/>
                <w:b/>
                <w:bCs/>
                <w:color w:val="000000" w:themeColor="text1"/>
                <w:sz w:val="21"/>
                <w:szCs w:val="21"/>
                <w:highlight w:val="none"/>
                <w14:textFill>
                  <w14:solidFill>
                    <w14:schemeClr w14:val="tx1"/>
                  </w14:solidFill>
                </w14:textFill>
              </w:rPr>
              <w:t>供应商代表在响应文件提交当天实时登陆“广西政府采购云平台”，按磋商小组要求在线等候参与磋商及提交最后报价。因供应商未保持实时在线，导致磋商小组无法及时与其取得联系，从而造成供应商未按规定参与磋商或报价的，其不利后果由供应商自行承担</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B555940">
            <w:pPr>
              <w:pageBreakBefore w:val="0"/>
              <w:widowControl w:val="0"/>
              <w:kinsoku/>
              <w:wordWrap/>
              <w:overflowPunct/>
              <w:topLinePunct w:val="0"/>
              <w:autoSpaceDE/>
              <w:autoSpaceDN/>
              <w:bidi w:val="0"/>
              <w:adjustRightInd/>
              <w:spacing w:line="440" w:lineRule="exact"/>
              <w:ind w:left="0" w:hanging="14" w:hangingChars="7"/>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19.2.3磋商参加人员：</w:t>
            </w:r>
            <w:r>
              <w:rPr>
                <w:rFonts w:hint="eastAsia" w:ascii="宋体" w:hAnsi="宋体" w:eastAsia="宋体" w:cs="宋体"/>
                <w:b w:val="0"/>
                <w:bCs w:val="0"/>
                <w:color w:val="000000" w:themeColor="text1"/>
                <w:sz w:val="21"/>
                <w:szCs w:val="21"/>
                <w:highlight w:val="none"/>
                <w14:textFill>
                  <w14:solidFill>
                    <w14:schemeClr w14:val="tx1"/>
                  </w14:solidFill>
                </w14:textFill>
              </w:rPr>
              <w:t>供应商法定代表人、负责人、自然人或相应的委托代理人持有效身份证原件和供应商广西政府采购云平台CA数字证书参加磋商。请供应商实时登陆“广西政府采购云平台”等候在线磋商</w:t>
            </w:r>
            <w:r>
              <w:rPr>
                <w:rFonts w:hint="eastAsia" w:ascii="宋体" w:hAnsi="宋体" w:eastAsia="宋体" w:cs="宋体"/>
                <w:color w:val="000000" w:themeColor="text1"/>
                <w:sz w:val="21"/>
                <w:szCs w:val="21"/>
                <w:highlight w:val="none"/>
                <w14:textFill>
                  <w14:solidFill>
                    <w14:schemeClr w14:val="tx1"/>
                  </w14:solidFill>
                </w14:textFill>
              </w:rPr>
              <w:t>。</w:t>
            </w:r>
          </w:p>
          <w:p w14:paraId="4B6D3463">
            <w:pPr>
              <w:pageBreakBefore w:val="0"/>
              <w:widowControl w:val="0"/>
              <w:tabs>
                <w:tab w:val="left" w:pos="1140"/>
              </w:tabs>
              <w:kinsoku/>
              <w:wordWrap/>
              <w:overflowPunct/>
              <w:topLinePunct w:val="0"/>
              <w:autoSpaceDE/>
              <w:autoSpaceDN/>
              <w:bidi w:val="0"/>
              <w:adjustRightInd/>
              <w:spacing w:line="44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19.2.4响应文件递交截止时间后，由磋商小组在评标室内</w:t>
            </w:r>
            <w:r>
              <w:rPr>
                <w:rFonts w:hint="eastAsia" w:ascii="宋体" w:hAnsi="宋体" w:eastAsia="宋体" w:cs="宋体"/>
                <w:color w:val="000000" w:themeColor="text1"/>
                <w:sz w:val="21"/>
                <w:szCs w:val="21"/>
                <w:highlight w:val="none"/>
                <w:lang w:eastAsia="zh-CN"/>
                <w14:textFill>
                  <w14:solidFill>
                    <w14:schemeClr w14:val="tx1"/>
                  </w14:solidFill>
                </w14:textFill>
              </w:rPr>
              <w:t>线上</w:t>
            </w:r>
            <w:r>
              <w:rPr>
                <w:rFonts w:hint="eastAsia" w:ascii="宋体" w:hAnsi="宋体" w:eastAsia="宋体" w:cs="宋体"/>
                <w:color w:val="000000" w:themeColor="text1"/>
                <w:sz w:val="21"/>
                <w:szCs w:val="21"/>
                <w:highlight w:val="none"/>
                <w14:textFill>
                  <w14:solidFill>
                    <w14:schemeClr w14:val="tx1"/>
                  </w14:solidFill>
                </w14:textFill>
              </w:rPr>
              <w:t>开启响应文件。</w:t>
            </w:r>
          </w:p>
        </w:tc>
      </w:tr>
      <w:tr w14:paraId="62ED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vAlign w:val="center"/>
          </w:tcPr>
          <w:p w14:paraId="4E09D2A5">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w:t>
            </w:r>
          </w:p>
        </w:tc>
        <w:tc>
          <w:tcPr>
            <w:tcW w:w="942" w:type="dxa"/>
            <w:vAlign w:val="center"/>
          </w:tcPr>
          <w:p w14:paraId="0B344392">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20.2</w:t>
            </w:r>
          </w:p>
        </w:tc>
        <w:tc>
          <w:tcPr>
            <w:tcW w:w="1775" w:type="dxa"/>
            <w:vAlign w:val="center"/>
          </w:tcPr>
          <w:p w14:paraId="1DEFD10B">
            <w:pPr>
              <w:pStyle w:val="11"/>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评审办法</w:t>
            </w:r>
          </w:p>
        </w:tc>
        <w:tc>
          <w:tcPr>
            <w:tcW w:w="7112" w:type="dxa"/>
            <w:vAlign w:val="center"/>
          </w:tcPr>
          <w:p w14:paraId="231F10B9">
            <w:pPr>
              <w:pageBreakBefore w:val="0"/>
              <w:widowControl w:val="0"/>
              <w:tabs>
                <w:tab w:val="left" w:pos="1140"/>
              </w:tabs>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具体详见第四章评审办法。</w:t>
            </w:r>
          </w:p>
        </w:tc>
      </w:tr>
      <w:tr w14:paraId="503C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vAlign w:val="center"/>
          </w:tcPr>
          <w:p w14:paraId="46CE9321">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p>
        </w:tc>
        <w:tc>
          <w:tcPr>
            <w:tcW w:w="942" w:type="dxa"/>
            <w:vAlign w:val="center"/>
          </w:tcPr>
          <w:p w14:paraId="5EEDE9B6">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w:t>
            </w:r>
          </w:p>
        </w:tc>
        <w:tc>
          <w:tcPr>
            <w:tcW w:w="1775" w:type="dxa"/>
            <w:vAlign w:val="center"/>
          </w:tcPr>
          <w:p w14:paraId="1384B7E9">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信用查询</w:t>
            </w:r>
          </w:p>
        </w:tc>
        <w:tc>
          <w:tcPr>
            <w:tcW w:w="7112" w:type="dxa"/>
            <w:vAlign w:val="center"/>
          </w:tcPr>
          <w:p w14:paraId="0EEE9585">
            <w:pPr>
              <w:pageBreakBefore w:val="0"/>
              <w:widowControl w:val="0"/>
              <w:kinsoku/>
              <w:wordWrap/>
              <w:overflowPunct/>
              <w:topLinePunct w:val="0"/>
              <w:autoSpaceDE/>
              <w:autoSpaceDN/>
              <w:bidi w:val="0"/>
              <w:adjustRightInd/>
              <w:spacing w:line="440" w:lineRule="exact"/>
              <w:ind w:left="0" w:hanging="14" w:hangingChars="7"/>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根据《关于做好政府采购有关信用主体标识码登记及在政府采购活动中查询使用信用记录有关问题的通知》（桂财采〔2016〕37），由采购代理机构对第一成交候选人进行信用查询：</w:t>
            </w:r>
          </w:p>
          <w:p w14:paraId="5F4516E5">
            <w:pPr>
              <w:pageBreakBefore w:val="0"/>
              <w:widowControl w:val="0"/>
              <w:kinsoku/>
              <w:wordWrap/>
              <w:overflowPunct/>
              <w:topLinePunct w:val="0"/>
              <w:autoSpaceDE/>
              <w:autoSpaceDN/>
              <w:bidi w:val="0"/>
              <w:adjustRightInd/>
              <w:spacing w:line="440" w:lineRule="exact"/>
              <w:ind w:left="0" w:hanging="14" w:hangingChars="7"/>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⑴查询渠道：“信用中国”网站(www.creditchina.gov.cn)、中国政府采购网(www.ccgp.gov.cn)等；</w:t>
            </w:r>
          </w:p>
          <w:p w14:paraId="026FFF0F">
            <w:pPr>
              <w:pageBreakBefore w:val="0"/>
              <w:widowControl w:val="0"/>
              <w:kinsoku/>
              <w:wordWrap/>
              <w:overflowPunct/>
              <w:topLinePunct w:val="0"/>
              <w:autoSpaceDE/>
              <w:autoSpaceDN/>
              <w:bidi w:val="0"/>
              <w:adjustRightInd/>
              <w:spacing w:line="440" w:lineRule="exact"/>
              <w:ind w:left="0" w:hanging="315" w:hangingChars="1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⑵查询时间：成交通知书发出前；</w:t>
            </w:r>
          </w:p>
          <w:p w14:paraId="18B7F190">
            <w:pPr>
              <w:pageBreakBefore w:val="0"/>
              <w:widowControl w:val="0"/>
              <w:kinsoku/>
              <w:wordWrap/>
              <w:overflowPunct/>
              <w:topLinePunct w:val="0"/>
              <w:autoSpaceDE/>
              <w:autoSpaceDN/>
              <w:bidi w:val="0"/>
              <w:adjustRightInd/>
              <w:spacing w:line="440" w:lineRule="exact"/>
              <w:ind w:left="0" w:hanging="14" w:hangingChars="7"/>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⑶信用信息查询记录和证据留存方式：在查询网站中直接打印查询记录，打印材料作为采购活动资料保存；</w:t>
            </w:r>
          </w:p>
          <w:p w14:paraId="5F403FB4">
            <w:pPr>
              <w:pageBreakBefore w:val="0"/>
              <w:widowControl w:val="0"/>
              <w:kinsoku/>
              <w:wordWrap/>
              <w:overflowPunct/>
              <w:topLinePunct w:val="0"/>
              <w:autoSpaceDE/>
              <w:autoSpaceDN/>
              <w:bidi w:val="0"/>
              <w:adjustRightInd/>
              <w:spacing w:line="440" w:lineRule="exact"/>
              <w:ind w:left="0" w:hanging="14" w:hangingChars="7"/>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670E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62" w:type="dxa"/>
            <w:vAlign w:val="center"/>
          </w:tcPr>
          <w:p w14:paraId="353A2535">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p>
        </w:tc>
        <w:tc>
          <w:tcPr>
            <w:tcW w:w="942" w:type="dxa"/>
            <w:vAlign w:val="center"/>
          </w:tcPr>
          <w:p w14:paraId="4DBA9CBB">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w:t>
            </w:r>
          </w:p>
        </w:tc>
        <w:tc>
          <w:tcPr>
            <w:tcW w:w="1775" w:type="dxa"/>
            <w:vAlign w:val="center"/>
          </w:tcPr>
          <w:p w14:paraId="77330BCC">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成交结果公告</w:t>
            </w:r>
          </w:p>
          <w:p w14:paraId="54D2A04B">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及成交通知书</w:t>
            </w:r>
          </w:p>
        </w:tc>
        <w:tc>
          <w:tcPr>
            <w:tcW w:w="7112" w:type="dxa"/>
            <w:vAlign w:val="top"/>
          </w:tcPr>
          <w:p w14:paraId="5572BC03">
            <w:pPr>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CC68914">
            <w:pPr>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27.2在发布成交公告的同时，采购代理机构向成交供应商发出成交通知书。成交供应商自接到通知之日起七个工作日内，办理成交通知书领取手续。</w:t>
            </w:r>
          </w:p>
        </w:tc>
      </w:tr>
      <w:tr w14:paraId="79EB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62" w:type="dxa"/>
            <w:vAlign w:val="center"/>
          </w:tcPr>
          <w:p w14:paraId="528943A0">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p>
        </w:tc>
        <w:tc>
          <w:tcPr>
            <w:tcW w:w="942" w:type="dxa"/>
            <w:vAlign w:val="center"/>
          </w:tcPr>
          <w:p w14:paraId="7B4689B0">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w:t>
            </w:r>
          </w:p>
        </w:tc>
        <w:tc>
          <w:tcPr>
            <w:tcW w:w="1775" w:type="dxa"/>
            <w:vAlign w:val="center"/>
          </w:tcPr>
          <w:p w14:paraId="569A667B">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p>
        </w:tc>
        <w:tc>
          <w:tcPr>
            <w:tcW w:w="7112" w:type="dxa"/>
            <w:vAlign w:val="center"/>
          </w:tcPr>
          <w:p w14:paraId="79A3A385">
            <w:pPr>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本项目不收取履约保证金。</w:t>
            </w:r>
          </w:p>
        </w:tc>
      </w:tr>
      <w:tr w14:paraId="532E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vAlign w:val="center"/>
          </w:tcPr>
          <w:p w14:paraId="4294DF03">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p>
        </w:tc>
        <w:tc>
          <w:tcPr>
            <w:tcW w:w="942" w:type="dxa"/>
            <w:vAlign w:val="center"/>
          </w:tcPr>
          <w:p w14:paraId="60865B8F">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29.1</w:t>
            </w:r>
          </w:p>
        </w:tc>
        <w:tc>
          <w:tcPr>
            <w:tcW w:w="1775" w:type="dxa"/>
            <w:vAlign w:val="center"/>
          </w:tcPr>
          <w:p w14:paraId="5039C053">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签订合同时间</w:t>
            </w:r>
          </w:p>
        </w:tc>
        <w:tc>
          <w:tcPr>
            <w:tcW w:w="7112" w:type="dxa"/>
            <w:vAlign w:val="top"/>
          </w:tcPr>
          <w:p w14:paraId="1F1AE6BA">
            <w:pPr>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成交通知书</w:t>
            </w:r>
            <w:r>
              <w:rPr>
                <w:rFonts w:hint="eastAsia" w:ascii="宋体" w:hAnsi="宋体" w:eastAsia="宋体" w:cs="宋体"/>
                <w:bCs/>
                <w:color w:val="000000" w:themeColor="text1"/>
                <w:kern w:val="0"/>
                <w:sz w:val="21"/>
                <w:szCs w:val="21"/>
                <w:highlight w:val="none"/>
                <w14:textFill>
                  <w14:solidFill>
                    <w14:schemeClr w14:val="tx1"/>
                  </w14:solidFill>
                </w14:textFill>
              </w:rPr>
              <w:t>发出之日起</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8个工作日</w:t>
            </w:r>
            <w:r>
              <w:rPr>
                <w:rFonts w:hint="eastAsia" w:ascii="宋体" w:hAnsi="宋体" w:eastAsia="宋体" w:cs="宋体"/>
                <w:bCs/>
                <w:color w:val="000000" w:themeColor="text1"/>
                <w:kern w:val="0"/>
                <w:sz w:val="21"/>
                <w:szCs w:val="21"/>
                <w:highlight w:val="none"/>
                <w14:textFill>
                  <w14:solidFill>
                    <w14:schemeClr w14:val="tx1"/>
                  </w14:solidFill>
                </w14:textFill>
              </w:rPr>
              <w:t>内签订合同</w:t>
            </w:r>
            <w:r>
              <w:rPr>
                <w:rFonts w:hint="eastAsia" w:ascii="宋体" w:hAnsi="宋体" w:eastAsia="宋体" w:cs="宋体"/>
                <w:color w:val="000000" w:themeColor="text1"/>
                <w:sz w:val="21"/>
                <w:szCs w:val="21"/>
                <w:highlight w:val="none"/>
                <w14:textFill>
                  <w14:solidFill>
                    <w14:schemeClr w14:val="tx1"/>
                  </w14:solidFill>
                </w14:textFill>
              </w:rPr>
              <w:t>。成交供应商领取成交通知书后，应按规定与采购人签订合同。</w:t>
            </w:r>
          </w:p>
        </w:tc>
      </w:tr>
      <w:tr w14:paraId="08B6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vAlign w:val="center"/>
          </w:tcPr>
          <w:p w14:paraId="3C955FC6">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w:t>
            </w:r>
          </w:p>
        </w:tc>
        <w:tc>
          <w:tcPr>
            <w:tcW w:w="942" w:type="dxa"/>
            <w:vAlign w:val="center"/>
          </w:tcPr>
          <w:p w14:paraId="3301BEE5">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29.3</w:t>
            </w:r>
          </w:p>
        </w:tc>
        <w:tc>
          <w:tcPr>
            <w:tcW w:w="1775" w:type="dxa"/>
            <w:vAlign w:val="center"/>
          </w:tcPr>
          <w:p w14:paraId="74E4E667">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合同备案存档</w:t>
            </w:r>
          </w:p>
        </w:tc>
        <w:tc>
          <w:tcPr>
            <w:tcW w:w="7112" w:type="dxa"/>
            <w:vAlign w:val="center"/>
          </w:tcPr>
          <w:p w14:paraId="264C3EBA">
            <w:pPr>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采购代理机构存档。</w:t>
            </w:r>
          </w:p>
        </w:tc>
      </w:tr>
      <w:tr w14:paraId="75BD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vAlign w:val="center"/>
          </w:tcPr>
          <w:p w14:paraId="30563787">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w:t>
            </w:r>
          </w:p>
        </w:tc>
        <w:tc>
          <w:tcPr>
            <w:tcW w:w="942" w:type="dxa"/>
            <w:vAlign w:val="center"/>
          </w:tcPr>
          <w:p w14:paraId="50EA13E4">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w:t>
            </w:r>
          </w:p>
        </w:tc>
        <w:tc>
          <w:tcPr>
            <w:tcW w:w="1775" w:type="dxa"/>
            <w:vAlign w:val="center"/>
          </w:tcPr>
          <w:p w14:paraId="70F7455E">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采购代理服务费</w:t>
            </w:r>
          </w:p>
        </w:tc>
        <w:tc>
          <w:tcPr>
            <w:tcW w:w="7112" w:type="dxa"/>
            <w:vAlign w:val="top"/>
          </w:tcPr>
          <w:p w14:paraId="5B2E68C3">
            <w:pPr>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成交</w:t>
            </w:r>
            <w:r>
              <w:rPr>
                <w:rFonts w:hint="eastAsia" w:ascii="宋体" w:hAnsi="宋体" w:eastAsia="宋体" w:cs="宋体"/>
                <w:color w:val="000000" w:themeColor="text1"/>
                <w:sz w:val="21"/>
                <w:szCs w:val="21"/>
                <w:highlight w:val="none"/>
                <w14:textFill>
                  <w14:solidFill>
                    <w14:schemeClr w14:val="tx1"/>
                  </w14:solidFill>
                </w14:textFill>
              </w:rPr>
              <w:t>人领取</w:t>
            </w:r>
            <w:r>
              <w:rPr>
                <w:rFonts w:hint="eastAsia" w:ascii="宋体" w:hAnsi="宋体" w:eastAsia="宋体" w:cs="宋体"/>
                <w:color w:val="000000" w:themeColor="text1"/>
                <w:sz w:val="21"/>
                <w:szCs w:val="21"/>
                <w:highlight w:val="none"/>
                <w:lang w:eastAsia="zh-CN"/>
                <w14:textFill>
                  <w14:solidFill>
                    <w14:schemeClr w14:val="tx1"/>
                  </w14:solidFill>
                </w14:textFill>
              </w:rPr>
              <w:t>成交</w:t>
            </w:r>
            <w:r>
              <w:rPr>
                <w:rFonts w:hint="eastAsia" w:ascii="宋体" w:hAnsi="宋体" w:eastAsia="宋体" w:cs="宋体"/>
                <w:color w:val="000000" w:themeColor="text1"/>
                <w:sz w:val="21"/>
                <w:szCs w:val="21"/>
                <w:highlight w:val="none"/>
                <w14:textFill>
                  <w14:solidFill>
                    <w14:schemeClr w14:val="tx1"/>
                  </w14:solidFill>
                </w14:textFill>
              </w:rPr>
              <w:t>通知书前，向</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代理机构一次性付清</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代理服务费，本项目</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代理服务收费标准参照计价格[2002]1980号《招标代理服务收费管理暂行办法》</w:t>
            </w:r>
            <w:r>
              <w:rPr>
                <w:rFonts w:hint="eastAsia" w:ascii="宋体" w:hAnsi="宋体" w:eastAsia="宋体" w:cs="宋体"/>
                <w:color w:val="000000" w:themeColor="text1"/>
                <w:sz w:val="21"/>
                <w:szCs w:val="21"/>
                <w:highlight w:val="none"/>
                <w:lang w:eastAsia="zh-CN"/>
                <w14:textFill>
                  <w14:solidFill>
                    <w14:schemeClr w14:val="tx1"/>
                  </w14:solidFill>
                </w14:textFill>
              </w:rPr>
              <w:t>工程类</w:t>
            </w:r>
            <w:r>
              <w:rPr>
                <w:rFonts w:hint="eastAsia" w:ascii="宋体" w:hAnsi="宋体" w:eastAsia="宋体" w:cs="宋体"/>
                <w:color w:val="000000" w:themeColor="text1"/>
                <w:sz w:val="21"/>
                <w:szCs w:val="21"/>
                <w:highlight w:val="none"/>
                <w14:textFill>
                  <w14:solidFill>
                    <w14:schemeClr w14:val="tx1"/>
                  </w14:solidFill>
                </w14:textFill>
              </w:rPr>
              <w:t>收费标准向</w:t>
            </w:r>
            <w:r>
              <w:rPr>
                <w:rFonts w:hint="eastAsia" w:ascii="宋体" w:hAnsi="宋体" w:eastAsia="宋体" w:cs="宋体"/>
                <w:color w:val="000000" w:themeColor="text1"/>
                <w:sz w:val="21"/>
                <w:szCs w:val="21"/>
                <w:highlight w:val="none"/>
                <w:lang w:eastAsia="zh-CN"/>
                <w14:textFill>
                  <w14:solidFill>
                    <w14:schemeClr w14:val="tx1"/>
                  </w14:solidFill>
                </w14:textFill>
              </w:rPr>
              <w:t>成交</w:t>
            </w:r>
            <w:r>
              <w:rPr>
                <w:rFonts w:hint="eastAsia" w:ascii="宋体" w:hAnsi="宋体" w:eastAsia="宋体" w:cs="宋体"/>
                <w:color w:val="000000" w:themeColor="text1"/>
                <w:sz w:val="21"/>
                <w:szCs w:val="21"/>
                <w:highlight w:val="none"/>
                <w14:textFill>
                  <w14:solidFill>
                    <w14:schemeClr w14:val="tx1"/>
                  </w14:solidFill>
                </w14:textFill>
              </w:rPr>
              <w:t>人收取。</w:t>
            </w:r>
          </w:p>
        </w:tc>
      </w:tr>
      <w:tr w14:paraId="78F7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vAlign w:val="center"/>
          </w:tcPr>
          <w:p w14:paraId="53273172">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w:t>
            </w:r>
          </w:p>
        </w:tc>
        <w:tc>
          <w:tcPr>
            <w:tcW w:w="942" w:type="dxa"/>
            <w:vAlign w:val="center"/>
          </w:tcPr>
          <w:p w14:paraId="3EEC93B4">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w:t>
            </w:r>
          </w:p>
        </w:tc>
        <w:tc>
          <w:tcPr>
            <w:tcW w:w="1775" w:type="dxa"/>
            <w:vAlign w:val="center"/>
          </w:tcPr>
          <w:p w14:paraId="0AFA1CA0">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解释权</w:t>
            </w:r>
          </w:p>
        </w:tc>
        <w:tc>
          <w:tcPr>
            <w:tcW w:w="7112" w:type="dxa"/>
            <w:vAlign w:val="top"/>
          </w:tcPr>
          <w:p w14:paraId="423B968A">
            <w:pPr>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179D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2" w:type="dxa"/>
            <w:vAlign w:val="center"/>
          </w:tcPr>
          <w:p w14:paraId="1922A3C1">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942" w:type="dxa"/>
            <w:vAlign w:val="center"/>
          </w:tcPr>
          <w:p w14:paraId="473892E8">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w:t>
            </w:r>
          </w:p>
        </w:tc>
        <w:tc>
          <w:tcPr>
            <w:tcW w:w="1775" w:type="dxa"/>
            <w:vAlign w:val="center"/>
          </w:tcPr>
          <w:p w14:paraId="431862D6">
            <w:pPr>
              <w:pageBreakBefore w:val="0"/>
              <w:widowControl w:val="0"/>
              <w:kinsoku/>
              <w:wordWrap/>
              <w:overflowPunct/>
              <w:topLinePunct w:val="0"/>
              <w:autoSpaceDE/>
              <w:autoSpaceDN/>
              <w:bidi w:val="0"/>
              <w:adjustRightInd/>
              <w:spacing w:line="44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监督管理机构</w:t>
            </w:r>
          </w:p>
        </w:tc>
        <w:tc>
          <w:tcPr>
            <w:tcW w:w="7112" w:type="dxa"/>
            <w:vAlign w:val="center"/>
          </w:tcPr>
          <w:p w14:paraId="708166D9">
            <w:pPr>
              <w:pageBreakBefore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桂林市临桂区财政局</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lang w:eastAsia="zh-CN"/>
                <w14:textFill>
                  <w14:solidFill>
                    <w14:schemeClr w14:val="tx1"/>
                  </w14:solidFill>
                </w14:textFill>
              </w:rPr>
              <w:t>0773-5593932</w:t>
            </w:r>
          </w:p>
        </w:tc>
      </w:tr>
    </w:tbl>
    <w:p w14:paraId="695C5F27">
      <w:pPr>
        <w:pStyle w:val="18"/>
        <w:ind w:left="0" w:leftChars="0" w:firstLine="0" w:firstLineChars="0"/>
        <w:rPr>
          <w:rFonts w:hint="eastAsia" w:ascii="宋体" w:hAnsi="宋体" w:eastAsia="宋体" w:cs="宋体"/>
          <w:b/>
          <w:color w:val="000000" w:themeColor="text1"/>
          <w:sz w:val="24"/>
          <w:szCs w:val="24"/>
          <w:highlight w:val="none"/>
          <w14:textFill>
            <w14:solidFill>
              <w14:schemeClr w14:val="tx1"/>
            </w14:solidFill>
          </w14:textFill>
        </w:rPr>
      </w:pPr>
    </w:p>
    <w:p w14:paraId="42E69D65">
      <w:pPr>
        <w:pStyle w:val="4"/>
        <w:pageBreakBefore w:val="0"/>
        <w:widowControl w:val="0"/>
        <w:tabs>
          <w:tab w:val="left" w:pos="567"/>
        </w:tabs>
        <w:kinsoku/>
        <w:wordWrap/>
        <w:overflowPunct/>
        <w:topLinePunct w:val="0"/>
        <w:bidi w:val="0"/>
        <w:spacing w:line="440" w:lineRule="exact"/>
        <w:jc w:val="both"/>
        <w:textAlignment w:val="auto"/>
        <w:rPr>
          <w:rFonts w:hint="eastAsia" w:ascii="宋体" w:hAnsi="宋体" w:eastAsia="宋体" w:cs="宋体"/>
          <w:b/>
          <w:bCs w:val="0"/>
          <w:color w:val="000000" w:themeColor="text1"/>
          <w:sz w:val="24"/>
          <w:szCs w:val="24"/>
          <w:highlight w:val="none"/>
          <w14:textFill>
            <w14:solidFill>
              <w14:schemeClr w14:val="tx1"/>
            </w14:solidFill>
          </w14:textFill>
        </w:rPr>
        <w:sectPr>
          <w:footerReference r:id="rId8" w:type="first"/>
          <w:footerReference r:id="rId7" w:type="default"/>
          <w:pgSz w:w="11906" w:h="16838"/>
          <w:pgMar w:top="1077" w:right="1115" w:bottom="1191" w:left="1131" w:header="851" w:footer="992" w:gutter="0"/>
          <w:pgNumType w:fmt="decimal" w:start="1"/>
          <w:cols w:space="720" w:num="1"/>
          <w:titlePg/>
          <w:docGrid w:type="lines" w:linePitch="312" w:charSpace="0"/>
        </w:sectPr>
      </w:pPr>
      <w:bookmarkStart w:id="42" w:name="_Toc22792"/>
      <w:bookmarkStart w:id="43" w:name="_Toc27120"/>
    </w:p>
    <w:p w14:paraId="770EAEFF">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bookmarkStart w:id="44" w:name="_Toc20416"/>
      <w:r>
        <w:rPr>
          <w:rFonts w:hint="eastAsia" w:ascii="宋体" w:hAnsi="宋体" w:eastAsia="宋体" w:cs="宋体"/>
          <w:b/>
          <w:bCs w:val="0"/>
          <w:color w:val="000000" w:themeColor="text1"/>
          <w:sz w:val="24"/>
          <w:szCs w:val="24"/>
          <w:highlight w:val="none"/>
          <w14:textFill>
            <w14:solidFill>
              <w14:schemeClr w14:val="tx1"/>
            </w14:solidFill>
          </w14:textFill>
        </w:rPr>
        <w:t>一、总则</w:t>
      </w:r>
      <w:bookmarkEnd w:id="42"/>
      <w:bookmarkEnd w:id="43"/>
      <w:bookmarkEnd w:id="44"/>
    </w:p>
    <w:p w14:paraId="141AC9E6">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45" w:name="_Toc3367"/>
      <w:bookmarkStart w:id="46" w:name="_Toc6626"/>
      <w:r>
        <w:rPr>
          <w:rFonts w:hint="eastAsia" w:ascii="宋体" w:hAnsi="宋体" w:eastAsia="宋体" w:cs="宋体"/>
          <w:color w:val="000000" w:themeColor="text1"/>
          <w:sz w:val="21"/>
          <w:szCs w:val="21"/>
          <w:highlight w:val="none"/>
          <w14:textFill>
            <w14:solidFill>
              <w14:schemeClr w14:val="tx1"/>
            </w14:solidFill>
          </w14:textFill>
        </w:rPr>
        <w:t>1. 适应范围</w:t>
      </w:r>
      <w:bookmarkEnd w:id="45"/>
      <w:bookmarkEnd w:id="46"/>
    </w:p>
    <w:p w14:paraId="551CC59F">
      <w:pPr>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项目名称及项目编号</w:t>
      </w:r>
    </w:p>
    <w:p w14:paraId="36BE5D78">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eastAsia="宋体" w:cs="宋体"/>
          <w:color w:val="000000" w:themeColor="text1"/>
          <w:sz w:val="21"/>
          <w:szCs w:val="21"/>
          <w:highlight w:val="none"/>
          <w:lang w:eastAsia="zh-CN"/>
          <w14:textFill>
            <w14:solidFill>
              <w14:schemeClr w14:val="tx1"/>
            </w14:solidFill>
          </w14:textFill>
        </w:rPr>
        <w:t>桂林市临桂区五通镇仁和村等5个村全域土地综合整治项目土地综合整治子项目二期</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6605D222">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GLZC2025-C2-120008-GXJH</w:t>
      </w:r>
    </w:p>
    <w:p w14:paraId="30F9176C">
      <w:pPr>
        <w:pageBreakBefore w:val="0"/>
        <w:widowControl w:val="0"/>
        <w:kinsoku/>
        <w:wordWrap/>
        <w:overflowPunct/>
        <w:topLinePunct w:val="0"/>
        <w:autoSpaceDE/>
        <w:autoSpaceDN/>
        <w:bidi w:val="0"/>
        <w:adjustRightInd/>
        <w:snapToGrid/>
        <w:spacing w:line="440" w:lineRule="exact"/>
        <w:ind w:firstLine="411" w:firstLineChars="196"/>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1.2本竞争性磋商文件（以下简称磋商文件）适用于本磋商项目的磋商、评审、合同履约、验收、付款等行为（法律、法规另有规定的，从其规定）。</w:t>
      </w:r>
    </w:p>
    <w:p w14:paraId="56D2D263">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47" w:name="_Toc28336"/>
      <w:bookmarkStart w:id="48" w:name="_Toc2845"/>
      <w:r>
        <w:rPr>
          <w:rFonts w:hint="eastAsia" w:ascii="宋体" w:hAnsi="宋体" w:eastAsia="宋体" w:cs="宋体"/>
          <w:color w:val="000000" w:themeColor="text1"/>
          <w:sz w:val="21"/>
          <w:szCs w:val="21"/>
          <w:highlight w:val="none"/>
          <w14:textFill>
            <w14:solidFill>
              <w14:schemeClr w14:val="tx1"/>
            </w14:solidFill>
          </w14:textFill>
        </w:rPr>
        <w:t>2. 定义</w:t>
      </w:r>
      <w:bookmarkEnd w:id="47"/>
      <w:bookmarkEnd w:id="48"/>
    </w:p>
    <w:p w14:paraId="42D07266">
      <w:pPr>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2.1“供应商”是指符合本次采购项目的供应商资格并提交响应文件、参加磋商的供应商。如果该供应商在本次磋商中成交，即成为“成交供应商”。</w:t>
      </w:r>
    </w:p>
    <w:p w14:paraId="4DD69737">
      <w:pPr>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2.2“货物”系指按磋商文件规定，供应商须向采购人提供的一切设备、保险、税金、备品备件、工具、手册及其它有关技术资料和材料。</w:t>
      </w:r>
    </w:p>
    <w:p w14:paraId="6EF060A6">
      <w:pPr>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2.3“服务”系指按磋商文件规定，供应商须承担的安装、调试、技术协助、校准、培训、技术指导以及其他类似的义务。</w:t>
      </w:r>
    </w:p>
    <w:p w14:paraId="550453B2">
      <w:pPr>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2.4“项目”系指供应商按磋商文件规定向采购人提供的货物和服务。</w:t>
      </w:r>
    </w:p>
    <w:p w14:paraId="2B1795FF">
      <w:pPr>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2.5“书面形式”包括信函、传真、电报等。</w:t>
      </w:r>
    </w:p>
    <w:p w14:paraId="7EEDB619">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49" w:name="_Toc25441"/>
      <w:bookmarkStart w:id="50" w:name="_Toc13017"/>
      <w:r>
        <w:rPr>
          <w:rFonts w:hint="eastAsia" w:ascii="宋体" w:hAnsi="宋体" w:eastAsia="宋体" w:cs="宋体"/>
          <w:color w:val="000000" w:themeColor="text1"/>
          <w:sz w:val="21"/>
          <w:szCs w:val="21"/>
          <w:highlight w:val="none"/>
          <w14:textFill>
            <w14:solidFill>
              <w14:schemeClr w14:val="tx1"/>
            </w14:solidFill>
          </w14:textFill>
        </w:rPr>
        <w:t>3. 供应商资格</w:t>
      </w:r>
      <w:bookmarkEnd w:id="49"/>
      <w:bookmarkEnd w:id="50"/>
    </w:p>
    <w:p w14:paraId="2E91293F">
      <w:pPr>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3.1</w:t>
      </w:r>
      <w:r>
        <w:rPr>
          <w:rFonts w:hint="eastAsia" w:ascii="宋体" w:hAnsi="宋体" w:eastAsia="宋体" w:cs="宋体"/>
          <w:color w:val="000000" w:themeColor="text1"/>
          <w:sz w:val="21"/>
          <w:szCs w:val="21"/>
          <w:highlight w:val="none"/>
          <w14:textFill>
            <w14:solidFill>
              <w14:schemeClr w14:val="tx1"/>
            </w14:solidFill>
          </w14:textFill>
        </w:rPr>
        <w:t>满足《中华人民共和国政府采购法》第二十二条规定</w:t>
      </w:r>
      <w:r>
        <w:rPr>
          <w:rFonts w:hint="eastAsia" w:ascii="宋体" w:hAnsi="宋体" w:eastAsia="宋体" w:cs="宋体"/>
          <w:bCs/>
          <w:color w:val="000000" w:themeColor="text1"/>
          <w:sz w:val="21"/>
          <w:szCs w:val="21"/>
          <w:highlight w:val="none"/>
          <w14:textFill>
            <w14:solidFill>
              <w14:schemeClr w14:val="tx1"/>
            </w14:solidFill>
          </w14:textFill>
        </w:rPr>
        <w:t>；</w:t>
      </w:r>
    </w:p>
    <w:p w14:paraId="7C8C34B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51" w:name="_Toc16496"/>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eastAsia="宋体" w:cs="宋体"/>
          <w:color w:val="000000" w:themeColor="text1"/>
          <w:sz w:val="21"/>
          <w:szCs w:val="21"/>
          <w:highlight w:val="none"/>
          <w:lang w:eastAsia="zh-CN"/>
          <w14:textFill>
            <w14:solidFill>
              <w14:schemeClr w14:val="tx1"/>
            </w14:solidFill>
          </w14:textFill>
        </w:rPr>
        <w:t>本项目为</w:t>
      </w:r>
      <w:r>
        <w:rPr>
          <w:rFonts w:hint="eastAsia" w:ascii="宋体" w:hAnsi="宋体" w:eastAsia="宋体" w:cs="宋体"/>
          <w:color w:val="000000" w:themeColor="text1"/>
          <w:sz w:val="21"/>
          <w:szCs w:val="21"/>
          <w:highlight w:val="none"/>
          <w14:textFill>
            <w14:solidFill>
              <w14:schemeClr w14:val="tx1"/>
            </w14:solidFill>
          </w14:textFill>
        </w:rPr>
        <w:t>专门面向中小</w:t>
      </w:r>
      <w:r>
        <w:rPr>
          <w:rFonts w:hint="eastAsia" w:ascii="宋体" w:hAnsi="宋体" w:eastAsia="宋体" w:cs="宋体"/>
          <w:color w:val="000000" w:themeColor="text1"/>
          <w:sz w:val="21"/>
          <w:szCs w:val="21"/>
          <w:highlight w:val="none"/>
          <w:lang w:eastAsia="zh-CN"/>
          <w14:textFill>
            <w14:solidFill>
              <w14:schemeClr w14:val="tx1"/>
            </w14:solidFill>
          </w14:textFill>
        </w:rPr>
        <w:t>微</w:t>
      </w:r>
      <w:r>
        <w:rPr>
          <w:rFonts w:hint="eastAsia" w:ascii="宋体" w:hAnsi="宋体" w:eastAsia="宋体" w:cs="宋体"/>
          <w:color w:val="000000" w:themeColor="text1"/>
          <w:sz w:val="21"/>
          <w:szCs w:val="21"/>
          <w:highlight w:val="none"/>
          <w14:textFill>
            <w14:solidFill>
              <w14:schemeClr w14:val="tx1"/>
            </w14:solidFill>
          </w14:textFill>
        </w:rPr>
        <w:t>企业采购的项目（供应商应为中小微企业、监狱企业、残疾人福利性单位)</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8238564">
      <w:pPr>
        <w:pageBreakBefore w:val="0"/>
        <w:widowControl w:val="0"/>
        <w:kinsoku/>
        <w:wordWrap/>
        <w:overflowPunct/>
        <w:topLinePunct w:val="0"/>
        <w:autoSpaceDE/>
        <w:autoSpaceDN/>
        <w:bidi w:val="0"/>
        <w:adjustRightInd/>
        <w:snapToGrid/>
        <w:spacing w:line="440" w:lineRule="exact"/>
        <w:ind w:firstLine="437" w:firstLineChars="0"/>
        <w:textAlignment w:val="auto"/>
        <w:rPr>
          <w:rFonts w:hint="eastAsia" w:ascii="宋体" w:hAnsi="宋体" w:eastAsia="宋体" w:cs="宋体"/>
          <w:i w:val="0"/>
          <w:iCs w:val="0"/>
          <w:caps w:val="0"/>
          <w:color w:val="000000" w:themeColor="text1"/>
          <w:spacing w:val="0"/>
          <w:kern w:val="2"/>
          <w:sz w:val="21"/>
          <w:szCs w:val="21"/>
          <w:highlight w:val="none"/>
          <w14:textFill>
            <w14:solidFill>
              <w14:schemeClr w14:val="tx1"/>
            </w14:solidFill>
          </w14:textFill>
        </w:rPr>
      </w:pPr>
      <w:bookmarkStart w:id="52" w:name="_Toc3452"/>
      <w:bookmarkStart w:id="53" w:name="_Toc5736"/>
      <w:bookmarkStart w:id="54" w:name="_Toc4527"/>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3.3</w:t>
      </w:r>
      <w:r>
        <w:rPr>
          <w:rFonts w:hint="eastAsia" w:ascii="宋体" w:hAnsi="宋体" w:eastAsia="宋体" w:cs="宋体"/>
          <w:b w:val="0"/>
          <w:bCs w:val="0"/>
          <w:color w:val="000000" w:themeColor="text1"/>
          <w:sz w:val="21"/>
          <w:szCs w:val="21"/>
          <w:highlight w:val="none"/>
          <w14:textFill>
            <w14:solidFill>
              <w14:schemeClr w14:val="tx1"/>
            </w14:solidFill>
          </w14:textFill>
        </w:rPr>
        <w:t>本项目的特定资格要求：</w:t>
      </w:r>
      <w:bookmarkEnd w:id="52"/>
      <w:bookmarkEnd w:id="53"/>
      <w:bookmarkEnd w:id="54"/>
      <w:bookmarkStart w:id="55" w:name="_Toc9216"/>
      <w:r>
        <w:rPr>
          <w:rFonts w:hint="eastAsia" w:ascii="宋体" w:hAnsi="宋体" w:eastAsia="宋体" w:cs="宋体"/>
          <w:i w:val="0"/>
          <w:iCs w:val="0"/>
          <w:caps w:val="0"/>
          <w:color w:val="000000" w:themeColor="text1"/>
          <w:spacing w:val="0"/>
          <w:kern w:val="0"/>
          <w:sz w:val="21"/>
          <w:szCs w:val="21"/>
          <w:highlight w:val="none"/>
          <w:lang w:val="en-US" w:eastAsia="zh-CN"/>
          <w14:textFill>
            <w14:solidFill>
              <w14:schemeClr w14:val="tx1"/>
            </w14:solidFill>
          </w14:textFill>
        </w:rPr>
        <w:t>供应商</w:t>
      </w:r>
      <w:r>
        <w:rPr>
          <w:rFonts w:hint="eastAsia" w:ascii="宋体" w:hAnsi="宋体" w:eastAsia="宋体" w:cs="宋体"/>
          <w:i w:val="0"/>
          <w:iCs w:val="0"/>
          <w:caps w:val="0"/>
          <w:color w:val="000000" w:themeColor="text1"/>
          <w:spacing w:val="0"/>
          <w:kern w:val="0"/>
          <w:sz w:val="21"/>
          <w:szCs w:val="21"/>
          <w:highlight w:val="none"/>
          <w14:textFill>
            <w14:solidFill>
              <w14:schemeClr w14:val="tx1"/>
            </w14:solidFill>
          </w14:textFill>
        </w:rPr>
        <w:t>具备水利水电工程施工总承包三级及以上资质，并在人员、设备、资金等方面具备相应的施工能力。其中，投标人拟派项目经理须具备水利水电工程专业二级以上（含本级）注册建造师执业资格，具备</w:t>
      </w:r>
      <w:r>
        <w:rPr>
          <w:rFonts w:hint="eastAsia" w:ascii="宋体" w:hAnsi="宋体" w:eastAsia="宋体" w:cs="宋体"/>
          <w:color w:val="000000" w:themeColor="text1"/>
          <w:highlight w:val="none"/>
          <w14:textFill>
            <w14:solidFill>
              <w14:schemeClr w14:val="tx1"/>
            </w14:solidFill>
          </w14:textFill>
        </w:rPr>
        <w:t>省级或省级以上水行政主管部门颁发的B类安全生产考核合格证书</w:t>
      </w:r>
      <w:r>
        <w:rPr>
          <w:rFonts w:hint="eastAsia" w:ascii="宋体" w:hAnsi="宋体" w:eastAsia="宋体" w:cs="宋体"/>
          <w:i w:val="0"/>
          <w:iCs w:val="0"/>
          <w:caps w:val="0"/>
          <w:color w:val="000000" w:themeColor="text1"/>
          <w:spacing w:val="0"/>
          <w:kern w:val="0"/>
          <w:sz w:val="21"/>
          <w:szCs w:val="21"/>
          <w:highlight w:val="none"/>
          <w14:textFill>
            <w14:solidFill>
              <w14:schemeClr w14:val="tx1"/>
            </w14:solidFill>
          </w14:textFill>
        </w:rPr>
        <w:t>。本项目不接受有在建、已中标未开工或已列为其他项目中标候</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选人第一名的建造师作为项目经理。</w:t>
      </w:r>
    </w:p>
    <w:p w14:paraId="66FAAF9C">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 磋商费用</w:t>
      </w:r>
      <w:bookmarkEnd w:id="51"/>
      <w:bookmarkEnd w:id="55"/>
    </w:p>
    <w:p w14:paraId="2E53791F">
      <w:pPr>
        <w:pageBreakBefore w:val="0"/>
        <w:widowControl w:val="0"/>
        <w:tabs>
          <w:tab w:val="left" w:pos="1635"/>
        </w:tabs>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不论磋商结果如何，供应商均应自行承担所有与磋商有关的全部费用。</w:t>
      </w:r>
    </w:p>
    <w:p w14:paraId="44A14856">
      <w:pPr>
        <w:pStyle w:val="5"/>
        <w:pageBreakBefore w:val="0"/>
        <w:widowControl w:val="0"/>
        <w:numPr>
          <w:ilvl w:val="0"/>
          <w:numId w:val="2"/>
        </w:numPr>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56" w:name="_Toc31376"/>
      <w:bookmarkStart w:id="57" w:name="_Toc22877"/>
      <w:r>
        <w:rPr>
          <w:rFonts w:hint="eastAsia" w:ascii="宋体" w:hAnsi="宋体" w:eastAsia="宋体" w:cs="宋体"/>
          <w:color w:val="000000" w:themeColor="text1"/>
          <w:sz w:val="21"/>
          <w:szCs w:val="21"/>
          <w:highlight w:val="none"/>
          <w14:textFill>
            <w14:solidFill>
              <w14:schemeClr w14:val="tx1"/>
            </w14:solidFill>
          </w14:textFill>
        </w:rPr>
        <w:t>联合体要求</w:t>
      </w:r>
      <w:bookmarkEnd w:id="56"/>
      <w:bookmarkEnd w:id="57"/>
    </w:p>
    <w:p w14:paraId="258457B0">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本项目不接受联合体参与磋商</w:t>
      </w:r>
    </w:p>
    <w:p w14:paraId="2F63A7BE">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58" w:name="_Toc4152"/>
      <w:bookmarkStart w:id="59" w:name="_Toc18940"/>
      <w:r>
        <w:rPr>
          <w:rFonts w:hint="eastAsia" w:ascii="宋体" w:hAnsi="宋体" w:eastAsia="宋体" w:cs="宋体"/>
          <w:color w:val="000000" w:themeColor="text1"/>
          <w:sz w:val="21"/>
          <w:szCs w:val="21"/>
          <w:highlight w:val="none"/>
          <w14:textFill>
            <w14:solidFill>
              <w14:schemeClr w14:val="tx1"/>
            </w14:solidFill>
          </w14:textFill>
        </w:rPr>
        <w:t>6. 质疑和投诉</w:t>
      </w:r>
      <w:bookmarkEnd w:id="58"/>
      <w:bookmarkEnd w:id="59"/>
      <w:r>
        <w:rPr>
          <w:rFonts w:hint="eastAsia" w:ascii="宋体" w:hAnsi="宋体" w:eastAsia="宋体" w:cs="宋体"/>
          <w:color w:val="000000" w:themeColor="text1"/>
          <w:sz w:val="21"/>
          <w:szCs w:val="21"/>
          <w:highlight w:val="none"/>
          <w14:textFill>
            <w14:solidFill>
              <w14:schemeClr w14:val="tx1"/>
            </w14:solidFill>
          </w14:textFill>
        </w:rPr>
        <w:tab/>
      </w:r>
    </w:p>
    <w:p w14:paraId="16EF89A0">
      <w:pPr>
        <w:pageBreakBefore w:val="0"/>
        <w:widowControl w:val="0"/>
        <w:tabs>
          <w:tab w:val="left" w:pos="2190"/>
        </w:tabs>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000000" w:themeColor="text1"/>
          <w:sz w:val="21"/>
          <w:szCs w:val="21"/>
          <w:highlight w:val="none"/>
          <w:u w:val="none"/>
          <w14:textFill>
            <w14:solidFill>
              <w14:schemeClr w14:val="tx1"/>
            </w14:solidFill>
          </w14:textFill>
        </w:rPr>
      </w:pPr>
      <w:bookmarkStart w:id="60" w:name="_Toc26087"/>
      <w:bookmarkStart w:id="61" w:name="_Toc8195"/>
      <w:r>
        <w:rPr>
          <w:rFonts w:hint="eastAsia" w:ascii="宋体" w:hAnsi="宋体" w:eastAsia="宋体" w:cs="宋体"/>
          <w:color w:val="000000" w:themeColor="text1"/>
          <w:sz w:val="21"/>
          <w:szCs w:val="21"/>
          <w:highlight w:val="none"/>
          <w:u w:val="none"/>
          <w14:textFill>
            <w14:solidFill>
              <w14:schemeClr w14:val="tx1"/>
            </w14:solidFill>
          </w14:textFill>
        </w:rPr>
        <w:t>6.1供应对政府采购活动事项有疑问的，可以向采购人提出询问。</w:t>
      </w:r>
    </w:p>
    <w:p w14:paraId="3726F308">
      <w:pPr>
        <w:pageBreakBefore w:val="0"/>
        <w:widowControl w:val="0"/>
        <w:tabs>
          <w:tab w:val="left" w:pos="2190"/>
        </w:tabs>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6.2供应商认为磋商文件使自己的合法权益受到损害的，应当在竞争性磋商公告期限届满之日起七个工作日内，以书面形式向</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本工程</w:t>
      </w:r>
      <w:r>
        <w:rPr>
          <w:rFonts w:hint="eastAsia" w:ascii="宋体" w:hAnsi="宋体" w:eastAsia="宋体" w:cs="宋体"/>
          <w:color w:val="000000" w:themeColor="text1"/>
          <w:sz w:val="21"/>
          <w:szCs w:val="21"/>
          <w:highlight w:val="none"/>
          <w:u w:val="none"/>
          <w14:textFill>
            <w14:solidFill>
              <w14:schemeClr w14:val="tx1"/>
            </w14:solidFill>
          </w14:textFill>
        </w:rPr>
        <w:t>采购代理机构提出质疑。供应商认为采购过程或成交结果使自己的合法权益受到损害的，应当在各采购程序环节结束之日起七个工作日内，以书面形式向</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本工程</w:t>
      </w:r>
      <w:r>
        <w:rPr>
          <w:rFonts w:hint="eastAsia" w:ascii="宋体" w:hAnsi="宋体" w:eastAsia="宋体" w:cs="宋体"/>
          <w:color w:val="000000" w:themeColor="text1"/>
          <w:sz w:val="21"/>
          <w:szCs w:val="21"/>
          <w:highlight w:val="none"/>
          <w:u w:val="none"/>
          <w14:textFill>
            <w14:solidFill>
              <w14:schemeClr w14:val="tx1"/>
            </w14:solidFill>
          </w14:textFill>
        </w:rPr>
        <w:t>采购代理机构提出质疑。采购代理机构应认真做好质疑处理工作。</w:t>
      </w:r>
    </w:p>
    <w:p w14:paraId="1896A6FC">
      <w:pPr>
        <w:pageBreakBefore w:val="0"/>
        <w:widowControl w:val="0"/>
        <w:tabs>
          <w:tab w:val="left" w:pos="2190"/>
        </w:tabs>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6.3供应商对采购代理机构的质疑答复不满意或者采购代理机构未在规定的时间内作出答复的，可以在答复期满后十五个工作日内向本级财政部门投诉。</w:t>
      </w:r>
    </w:p>
    <w:p w14:paraId="4BF47919">
      <w:pPr>
        <w:pageBreakBefore w:val="0"/>
        <w:widowControl w:val="0"/>
        <w:tabs>
          <w:tab w:val="left" w:pos="2190"/>
        </w:tabs>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4DDEB164">
      <w:pPr>
        <w:pageBreakBefore w:val="0"/>
        <w:widowControl w:val="0"/>
        <w:tabs>
          <w:tab w:val="left" w:pos="2190"/>
        </w:tabs>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6.5质疑联系</w:t>
      </w:r>
      <w:bookmarkEnd w:id="60"/>
      <w:bookmarkEnd w:id="61"/>
      <w:r>
        <w:rPr>
          <w:rFonts w:hint="eastAsia" w:ascii="宋体" w:hAnsi="宋体" w:eastAsia="宋体" w:cs="宋体"/>
          <w:color w:val="000000" w:themeColor="text1"/>
          <w:sz w:val="21"/>
          <w:szCs w:val="21"/>
          <w:highlight w:val="none"/>
          <w:u w:val="none"/>
          <w:lang w:eastAsia="zh-CN"/>
          <w14:textFill>
            <w14:solidFill>
              <w14:schemeClr w14:val="tx1"/>
            </w14:solidFill>
          </w14:textFill>
        </w:rPr>
        <w:t>方式，详见磋商公告。</w:t>
      </w:r>
    </w:p>
    <w:p w14:paraId="4909649F">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62" w:name="_Toc5032"/>
      <w:bookmarkStart w:id="63" w:name="_Toc6998"/>
      <w:r>
        <w:rPr>
          <w:rFonts w:hint="eastAsia" w:ascii="宋体" w:hAnsi="宋体" w:eastAsia="宋体" w:cs="宋体"/>
          <w:color w:val="000000" w:themeColor="text1"/>
          <w:sz w:val="21"/>
          <w:szCs w:val="21"/>
          <w:highlight w:val="none"/>
          <w14:textFill>
            <w14:solidFill>
              <w14:schemeClr w14:val="tx1"/>
            </w14:solidFill>
          </w14:textFill>
        </w:rPr>
        <w:t>7. 转包与分包</w:t>
      </w:r>
      <w:bookmarkEnd w:id="62"/>
      <w:bookmarkEnd w:id="63"/>
    </w:p>
    <w:p w14:paraId="4AEEDAE4">
      <w:pPr>
        <w:pageBreakBefore w:val="0"/>
        <w:widowControl w:val="0"/>
        <w:tabs>
          <w:tab w:val="left" w:pos="2190"/>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kern w:val="0"/>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kern w:val="0"/>
          <w:sz w:val="21"/>
          <w:szCs w:val="21"/>
          <w:highlight w:val="none"/>
          <w:shd w:val="clear" w:color="auto" w:fill="FFFFFF"/>
          <w14:textFill>
            <w14:solidFill>
              <w14:schemeClr w14:val="tx1"/>
            </w14:solidFill>
          </w14:textFill>
        </w:rPr>
        <w:t>.1 本项目不允许转包。</w:t>
      </w:r>
    </w:p>
    <w:p w14:paraId="50B4FA11">
      <w:pPr>
        <w:pageBreakBefore w:val="0"/>
        <w:widowControl w:val="0"/>
        <w:tabs>
          <w:tab w:val="left" w:pos="2190"/>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kern w:val="0"/>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14:textFill>
            <w14:solidFill>
              <w14:schemeClr w14:val="tx1"/>
            </w14:solidFill>
          </w14:textFill>
        </w:rPr>
        <w:t>7.2 本项目不可以分包。</w:t>
      </w:r>
    </w:p>
    <w:p w14:paraId="0910355D">
      <w:pPr>
        <w:pageBreakBefore w:val="0"/>
        <w:widowControl w:val="0"/>
        <w:tabs>
          <w:tab w:val="left" w:pos="2190"/>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kern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14:textFill>
            <w14:solidFill>
              <w14:schemeClr w14:val="tx1"/>
            </w14:solidFill>
          </w14:textFill>
        </w:rPr>
        <w:t>7.3本项目不允许挂靠。</w:t>
      </w:r>
    </w:p>
    <w:p w14:paraId="74053783">
      <w:pPr>
        <w:pageBreakBefore w:val="0"/>
        <w:widowControl w:val="0"/>
        <w:tabs>
          <w:tab w:val="left" w:pos="2190"/>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kern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14:textFill>
            <w14:solidFill>
              <w14:schemeClr w14:val="tx1"/>
            </w14:solidFill>
          </w14:textFill>
        </w:rPr>
        <w:t>7.4如发现有以上行为，采购人有权终止合同，所有损失由成交供应商承担。</w:t>
      </w:r>
    </w:p>
    <w:p w14:paraId="19990F94">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64" w:name="_Toc15097"/>
      <w:bookmarkStart w:id="65" w:name="_Toc3368"/>
      <w:r>
        <w:rPr>
          <w:rFonts w:hint="eastAsia" w:ascii="宋体" w:hAnsi="宋体" w:eastAsia="宋体" w:cs="宋体"/>
          <w:color w:val="000000" w:themeColor="text1"/>
          <w:sz w:val="21"/>
          <w:szCs w:val="21"/>
          <w:highlight w:val="none"/>
          <w14:textFill>
            <w14:solidFill>
              <w14:schemeClr w14:val="tx1"/>
            </w14:solidFill>
          </w14:textFill>
        </w:rPr>
        <w:t>8. 特别说明</w:t>
      </w:r>
      <w:bookmarkEnd w:id="64"/>
      <w:bookmarkEnd w:id="65"/>
    </w:p>
    <w:p w14:paraId="045A1CEB">
      <w:pPr>
        <w:pageBreakBefore w:val="0"/>
        <w:widowControl w:val="0"/>
        <w:tabs>
          <w:tab w:val="left" w:pos="1635"/>
        </w:tabs>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8.1关联供应商不得参加同一合同项下政府采购活动，否则响应文件将被视为无效：</w:t>
      </w:r>
    </w:p>
    <w:p w14:paraId="70464AB3">
      <w:pPr>
        <w:pageBreakBefore w:val="0"/>
        <w:widowControl w:val="0"/>
        <w:tabs>
          <w:tab w:val="left" w:pos="1635"/>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（1）单位负责人为同一人或者存在直接控股、管理关系的，不得参加同一合同项下的政府采购活动。</w:t>
      </w:r>
    </w:p>
    <w:p w14:paraId="0C6301F0">
      <w:pPr>
        <w:pageBreakBefore w:val="0"/>
        <w:widowControl w:val="0"/>
        <w:tabs>
          <w:tab w:val="left" w:pos="1635"/>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）为本采购项目提供整体设计、规范编制或者项目管理、监理、检测等服务的供应商，不得再参加本次采购活动。</w:t>
      </w:r>
    </w:p>
    <w:p w14:paraId="0900308E">
      <w:pPr>
        <w:pStyle w:val="4"/>
        <w:keepNext/>
        <w:keepLines/>
        <w:pageBreakBefore w:val="0"/>
        <w:widowControl w:val="0"/>
        <w:tabs>
          <w:tab w:val="left" w:pos="567"/>
        </w:tabs>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bookmarkStart w:id="66" w:name="_Toc22498"/>
      <w:bookmarkStart w:id="67" w:name="_Toc29496"/>
    </w:p>
    <w:p w14:paraId="2EDA68B7">
      <w:pPr>
        <w:pStyle w:val="4"/>
        <w:keepNext/>
        <w:keepLines/>
        <w:pageBreakBefore w:val="0"/>
        <w:widowControl w:val="0"/>
        <w:tabs>
          <w:tab w:val="left" w:pos="567"/>
        </w:tabs>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bookmarkStart w:id="68" w:name="_Toc3581"/>
      <w:r>
        <w:rPr>
          <w:rFonts w:hint="eastAsia" w:ascii="宋体" w:hAnsi="宋体" w:eastAsia="宋体" w:cs="宋体"/>
          <w:b/>
          <w:bCs w:val="0"/>
          <w:color w:val="000000" w:themeColor="text1"/>
          <w:sz w:val="24"/>
          <w:szCs w:val="24"/>
          <w:highlight w:val="none"/>
          <w14:textFill>
            <w14:solidFill>
              <w14:schemeClr w14:val="tx1"/>
            </w14:solidFill>
          </w14:textFill>
        </w:rPr>
        <w:t>二、磋商文件</w:t>
      </w:r>
      <w:bookmarkEnd w:id="66"/>
      <w:bookmarkEnd w:id="67"/>
      <w:bookmarkEnd w:id="68"/>
    </w:p>
    <w:p w14:paraId="3A6D620C">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lang w:val="pt-BR"/>
          <w14:textFill>
            <w14:solidFill>
              <w14:schemeClr w14:val="tx1"/>
            </w14:solidFill>
          </w14:textFill>
        </w:rPr>
      </w:pPr>
      <w:bookmarkStart w:id="69" w:name="_Toc18964"/>
      <w:bookmarkStart w:id="70" w:name="_Toc20057"/>
      <w:r>
        <w:rPr>
          <w:rFonts w:hint="eastAsia" w:ascii="宋体" w:hAnsi="宋体" w:eastAsia="宋体" w:cs="宋体"/>
          <w:color w:val="000000" w:themeColor="text1"/>
          <w:sz w:val="21"/>
          <w:szCs w:val="21"/>
          <w:highlight w:val="none"/>
          <w:lang w:val="pt-BR"/>
          <w14:textFill>
            <w14:solidFill>
              <w14:schemeClr w14:val="tx1"/>
            </w14:solidFill>
          </w14:textFill>
        </w:rPr>
        <w:t xml:space="preserve">9. </w:t>
      </w:r>
      <w:r>
        <w:rPr>
          <w:rFonts w:hint="eastAsia" w:ascii="宋体" w:hAnsi="宋体" w:eastAsia="宋体" w:cs="宋体"/>
          <w:color w:val="000000" w:themeColor="text1"/>
          <w:sz w:val="21"/>
          <w:szCs w:val="21"/>
          <w:highlight w:val="none"/>
          <w14:textFill>
            <w14:solidFill>
              <w14:schemeClr w14:val="tx1"/>
            </w14:solidFill>
          </w14:textFill>
        </w:rPr>
        <w:t>磋商文件的构成</w:t>
      </w:r>
      <w:bookmarkEnd w:id="69"/>
      <w:bookmarkEnd w:id="70"/>
    </w:p>
    <w:p w14:paraId="1E356A1D">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（1）竞争性磋商公告；</w:t>
      </w:r>
    </w:p>
    <w:p w14:paraId="27439795">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（2）供应商须知；</w:t>
      </w:r>
    </w:p>
    <w:p w14:paraId="46CB1664">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（3）工程量清单</w:t>
      </w:r>
      <w:r>
        <w:rPr>
          <w:rFonts w:hint="eastAsia" w:ascii="宋体" w:hAnsi="宋体" w:eastAsia="宋体" w:cs="宋体"/>
          <w:bCs/>
          <w:color w:val="000000" w:themeColor="text1"/>
          <w:sz w:val="21"/>
          <w:szCs w:val="21"/>
          <w:highlight w:val="none"/>
          <w14:textFill>
            <w14:solidFill>
              <w14:schemeClr w14:val="tx1"/>
            </w14:solidFill>
          </w14:textFill>
        </w:rPr>
        <w:t>；</w:t>
      </w:r>
    </w:p>
    <w:p w14:paraId="136E542B">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（4）评审办法；</w:t>
      </w:r>
    </w:p>
    <w:p w14:paraId="3926812D">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（5）采购合同（合同主要条款及格式）；</w:t>
      </w:r>
    </w:p>
    <w:p w14:paraId="2DEC4B17">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（6）响应文件（格式）</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9378ADE">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71" w:name="_Toc9103"/>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图纸。</w:t>
      </w:r>
    </w:p>
    <w:p w14:paraId="44840D0B">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72" w:name="_Toc17932"/>
      <w:r>
        <w:rPr>
          <w:rFonts w:hint="eastAsia" w:ascii="宋体" w:hAnsi="宋体" w:eastAsia="宋体" w:cs="宋体"/>
          <w:color w:val="000000" w:themeColor="text1"/>
          <w:sz w:val="21"/>
          <w:szCs w:val="21"/>
          <w:highlight w:val="none"/>
          <w14:textFill>
            <w14:solidFill>
              <w14:schemeClr w14:val="tx1"/>
            </w14:solidFill>
          </w14:textFill>
        </w:rPr>
        <w:t>10. 磋商文件的澄清与修改</w:t>
      </w:r>
      <w:bookmarkEnd w:id="71"/>
      <w:bookmarkEnd w:id="72"/>
    </w:p>
    <w:p w14:paraId="18A3751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000000" w:themeColor="text1"/>
          <w:sz w:val="21"/>
          <w:szCs w:val="21"/>
          <w:highlight w:val="none"/>
          <w14:textFill>
            <w14:solidFill>
              <w14:schemeClr w14:val="tx1"/>
            </w14:solidFill>
          </w14:textFill>
        </w:rPr>
        <w:t>五日</w:t>
      </w:r>
      <w:r>
        <w:rPr>
          <w:rFonts w:hint="eastAsia" w:ascii="宋体" w:hAnsi="宋体" w:eastAsia="宋体" w:cs="宋体"/>
          <w:color w:val="000000" w:themeColor="text1"/>
          <w:sz w:val="21"/>
          <w:szCs w:val="21"/>
          <w:highlight w:val="none"/>
          <w14:textFill>
            <w14:solidFill>
              <w14:schemeClr w14:val="tx1"/>
            </w14:solidFill>
          </w14:textFill>
        </w:rPr>
        <w:t>前在本项目竞争性磋商公告发布的同一媒体上发布更正公告，不足</w:t>
      </w:r>
      <w:r>
        <w:rPr>
          <w:rFonts w:hint="eastAsia" w:ascii="宋体" w:hAnsi="宋体" w:eastAsia="宋体" w:cs="宋体"/>
          <w:b/>
          <w:bCs/>
          <w:color w:val="000000" w:themeColor="text1"/>
          <w:sz w:val="21"/>
          <w:szCs w:val="21"/>
          <w:highlight w:val="none"/>
          <w14:textFill>
            <w14:solidFill>
              <w14:schemeClr w14:val="tx1"/>
            </w14:solidFill>
          </w14:textFill>
        </w:rPr>
        <w:t>五日</w:t>
      </w:r>
      <w:r>
        <w:rPr>
          <w:rFonts w:hint="eastAsia" w:ascii="宋体" w:hAnsi="宋体" w:eastAsia="宋体" w:cs="宋体"/>
          <w:color w:val="000000" w:themeColor="text1"/>
          <w:sz w:val="21"/>
          <w:szCs w:val="21"/>
          <w:highlight w:val="none"/>
          <w14:textFill>
            <w14:solidFill>
              <w14:schemeClr w14:val="tx1"/>
            </w14:solidFill>
          </w14:textFill>
        </w:rPr>
        <w:t>的，应当顺延首次响应文件递交截止时间。</w:t>
      </w:r>
    </w:p>
    <w:p w14:paraId="0DB57BF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w:t>
      </w:r>
      <w:r>
        <w:rPr>
          <w:rFonts w:hint="eastAsia" w:ascii="宋体" w:hAnsi="宋体" w:eastAsia="宋体" w:cs="宋体"/>
          <w:b/>
          <w:bCs/>
          <w:color w:val="000000" w:themeColor="text1"/>
          <w:sz w:val="21"/>
          <w:szCs w:val="21"/>
          <w:highlight w:val="none"/>
          <w14:textFill>
            <w14:solidFill>
              <w14:schemeClr w14:val="tx1"/>
            </w14:solidFill>
          </w14:textFill>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549C968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10.3澄清或者修改的内容为磋商文件的组成部分。当澄清或者修改通知就同一内容的表述不一致时，以最后发出的文件为准。</w:t>
      </w:r>
    </w:p>
    <w:p w14:paraId="4167023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 磋商文件的澄清或者修改都应该通过本项目采购代理机构以法定形式发布，采购人非通过本机构，不得擅自澄清或者修改磋商文件。</w:t>
      </w:r>
    </w:p>
    <w:p w14:paraId="719CE5ED">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10.5采购单位可以视采购具体情况，延长响应文件截止时间和磋商时间，在本项目竞争性磋商公告发布的同一媒体上发布变更公告。</w:t>
      </w:r>
    </w:p>
    <w:p w14:paraId="28F62FC8">
      <w:pPr>
        <w:pStyle w:val="4"/>
        <w:keepNext/>
        <w:keepLines/>
        <w:pageBreakBefore w:val="0"/>
        <w:widowControl w:val="0"/>
        <w:tabs>
          <w:tab w:val="left" w:pos="567"/>
        </w:tabs>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bookmarkStart w:id="73" w:name="_Toc20830"/>
      <w:bookmarkStart w:id="74" w:name="_Toc17820"/>
    </w:p>
    <w:p w14:paraId="4FB4EC5D">
      <w:pPr>
        <w:pStyle w:val="4"/>
        <w:keepNext/>
        <w:keepLines/>
        <w:pageBreakBefore w:val="0"/>
        <w:widowControl w:val="0"/>
        <w:tabs>
          <w:tab w:val="left" w:pos="567"/>
        </w:tabs>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bookmarkStart w:id="75" w:name="_Toc9864"/>
      <w:r>
        <w:rPr>
          <w:rFonts w:hint="eastAsia" w:ascii="宋体" w:hAnsi="宋体" w:eastAsia="宋体" w:cs="宋体"/>
          <w:b/>
          <w:bCs w:val="0"/>
          <w:color w:val="000000" w:themeColor="text1"/>
          <w:sz w:val="24"/>
          <w:szCs w:val="24"/>
          <w:highlight w:val="none"/>
          <w14:textFill>
            <w14:solidFill>
              <w14:schemeClr w14:val="tx1"/>
            </w14:solidFill>
          </w14:textFill>
        </w:rPr>
        <w:t>三、竞争性磋商响应文件的编制</w:t>
      </w:r>
      <w:bookmarkEnd w:id="73"/>
      <w:bookmarkEnd w:id="74"/>
      <w:bookmarkEnd w:id="75"/>
    </w:p>
    <w:p w14:paraId="3C6C66F4">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bookmarkStart w:id="76" w:name="_Toc19747"/>
      <w:r>
        <w:rPr>
          <w:rFonts w:hint="eastAsia" w:ascii="宋体" w:hAnsi="宋体" w:eastAsia="宋体" w:cs="宋体"/>
          <w:b/>
          <w:color w:val="000000" w:themeColor="text1"/>
          <w:sz w:val="21"/>
          <w:szCs w:val="21"/>
          <w:highlight w:val="none"/>
          <w:lang w:val="en-US" w:eastAsia="zh-CN"/>
          <w14:textFill>
            <w14:solidFill>
              <w14:schemeClr w14:val="tx1"/>
            </w14:solidFill>
          </w14:textFill>
        </w:rPr>
        <w:t>11.竞争性磋商响应文件编制基本要求</w:t>
      </w:r>
      <w:bookmarkEnd w:id="76"/>
    </w:p>
    <w:p w14:paraId="1B032841">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11.1 本项目实行电子响应，供应商应准备电子磋商响应文件：</w:t>
      </w:r>
    </w:p>
    <w:p w14:paraId="7F2B3E69">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11.1.1 电子响应文件按广西政府采购云平台要求及本磋商文件要求制作、加密并递交。具体操作流程可参考《政府采购项目电子交易管理操作指南-供应商》，指南可在广西政府采购网（访问地址http://zfcg.gxzf.gov.cn/）—办事服务—下载专区下载。 </w:t>
      </w:r>
    </w:p>
    <w:p w14:paraId="69967C92">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竞争性磋商响应文件（以下简称响应文件）的组成及要求</w:t>
      </w:r>
    </w:p>
    <w:p w14:paraId="304E1052">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b/>
          <w:bCs/>
          <w:color w:val="000000" w:themeColor="text1"/>
          <w:sz w:val="21"/>
          <w:szCs w:val="21"/>
          <w:highlight w:val="none"/>
          <w14:textFill>
            <w14:solidFill>
              <w14:schemeClr w14:val="tx1"/>
            </w14:solidFill>
          </w14:textFill>
        </w:rPr>
        <w:t>响应文件组成【格式见第六章“响应文件（格式）”】</w:t>
      </w:r>
    </w:p>
    <w:p w14:paraId="54783CF0">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b/>
          <w:bCs/>
          <w:color w:val="000000" w:themeColor="text1"/>
          <w:sz w:val="21"/>
          <w:szCs w:val="21"/>
          <w:highlight w:val="none"/>
          <w14:textFill>
            <w14:solidFill>
              <w14:schemeClr w14:val="tx1"/>
            </w14:solidFill>
          </w14:textFill>
        </w:rPr>
        <w:t>资格性响应证明材料：</w:t>
      </w:r>
    </w:p>
    <w:p w14:paraId="1A3DF28D">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（1）供应商相应的法定代表人、负责人、自然人身份证正反两面复印件</w:t>
      </w:r>
      <w:r>
        <w:rPr>
          <w:rFonts w:hint="eastAsia" w:ascii="宋体" w:hAnsi="宋体" w:eastAsia="宋体" w:cs="宋体"/>
          <w:b/>
          <w:bCs/>
          <w:color w:val="000000" w:themeColor="text1"/>
          <w:sz w:val="21"/>
          <w:szCs w:val="21"/>
          <w:highlight w:val="none"/>
          <w14:textFill>
            <w14:solidFill>
              <w14:schemeClr w14:val="tx1"/>
            </w14:solidFill>
          </w14:textFill>
        </w:rPr>
        <w:t>（必须提供）</w:t>
      </w:r>
      <w:r>
        <w:rPr>
          <w:rFonts w:hint="eastAsia" w:ascii="宋体" w:hAnsi="宋体" w:eastAsia="宋体" w:cs="宋体"/>
          <w:color w:val="000000" w:themeColor="text1"/>
          <w:sz w:val="21"/>
          <w:szCs w:val="21"/>
          <w:highlight w:val="none"/>
          <w14:textFill>
            <w14:solidFill>
              <w14:schemeClr w14:val="tx1"/>
            </w14:solidFill>
          </w14:textFill>
        </w:rPr>
        <w:t>；</w:t>
      </w:r>
    </w:p>
    <w:p w14:paraId="47D19BAF">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（委托代理时必须提供）</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除供应商为以下三种情形的：</w:t>
      </w:r>
    </w:p>
    <w:p w14:paraId="16DE08CB">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①如供应商为截标时间前60日以内成立的公司，可以提供供应商与委托代理人签订的劳动合同复印件代替社保证明复印件；</w:t>
      </w:r>
    </w:p>
    <w:p w14:paraId="26282CD7">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②如供应商为事业单位，可以提供事业单位机构编制管理证复印件或事业单位机构为其发放工资的工资条复印件代替社保证明复印件；</w:t>
      </w:r>
    </w:p>
    <w:p w14:paraId="345F5AE4">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③如委托代理人为免缴纳社保人员，提供免缴纳社保的证明材料复印件及供应商与委托代理人签订的劳动合同复印件代替社保证明复印件。</w:t>
      </w:r>
    </w:p>
    <w:p w14:paraId="54E6A64D">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（委托代理时必须提供）</w:t>
      </w:r>
    </w:p>
    <w:p w14:paraId="41F2FF0D">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（3）供应商参加政府采购活动前3年内在经营活动中没有重大违法记录及有关信用信息的书面声明</w:t>
      </w:r>
      <w:r>
        <w:rPr>
          <w:rFonts w:hint="eastAsia" w:ascii="宋体" w:hAnsi="宋体" w:eastAsia="宋体" w:cs="宋体"/>
          <w:b/>
          <w:bCs/>
          <w:color w:val="000000" w:themeColor="text1"/>
          <w:sz w:val="21"/>
          <w:szCs w:val="21"/>
          <w:highlight w:val="none"/>
          <w14:textFill>
            <w14:solidFill>
              <w14:schemeClr w14:val="tx1"/>
            </w14:solidFill>
          </w14:textFill>
        </w:rPr>
        <w:t>（必须提供）；</w:t>
      </w:r>
    </w:p>
    <w:p w14:paraId="6874BBE9">
      <w:pPr>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供应商的法人或者其他组织营业执照等证明文件复印件</w:t>
      </w:r>
      <w:r>
        <w:rPr>
          <w:rFonts w:hint="eastAsia" w:ascii="宋体" w:hAnsi="宋体" w:eastAsia="宋体" w:cs="宋体"/>
          <w:b/>
          <w:bCs/>
          <w:color w:val="000000" w:themeColor="text1"/>
          <w:sz w:val="21"/>
          <w:szCs w:val="21"/>
          <w:highlight w:val="none"/>
          <w14:textFill>
            <w14:solidFill>
              <w14:schemeClr w14:val="tx1"/>
            </w14:solidFill>
          </w14:textFill>
        </w:rPr>
        <w:t>（必须提供，自然人除外）；</w:t>
      </w:r>
    </w:p>
    <w:p w14:paraId="792A9496">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6301AD1C">
      <w:pPr>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（5）</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供应商有效的资质证书复印件（必须提供）；</w:t>
      </w:r>
    </w:p>
    <w:p w14:paraId="483850E5">
      <w:pPr>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（6）《中小企业声明函》或《残疾人福利性单位声明函》或省级以上监狱管理局、戒毒管理局（含新疆生产建设兵团）出具的属于监狱企业的证明文件复印件</w:t>
      </w: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（必须提供其中一项）</w:t>
      </w:r>
      <w:r>
        <w:rPr>
          <w:rFonts w:hint="eastAsia" w:ascii="宋体" w:hAnsi="宋体" w:eastAsia="宋体" w:cs="宋体"/>
          <w:b/>
          <w:bCs w:val="0"/>
          <w:color w:val="000000" w:themeColor="text1"/>
          <w:kern w:val="0"/>
          <w:sz w:val="21"/>
          <w:szCs w:val="21"/>
          <w:highlight w:val="none"/>
          <w:lang w:val="en-US" w:eastAsia="zh-CN"/>
          <w14:textFill>
            <w14:solidFill>
              <w14:schemeClr w14:val="tx1"/>
            </w14:solidFill>
          </w14:textFill>
        </w:rPr>
        <w:t>；</w:t>
      </w:r>
    </w:p>
    <w:p w14:paraId="71526021">
      <w:pPr>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供应商有效的安全生产许可证书复印件</w:t>
      </w:r>
      <w:r>
        <w:rPr>
          <w:rFonts w:hint="eastAsia" w:ascii="宋体" w:hAnsi="宋体" w:eastAsia="宋体" w:cs="宋体"/>
          <w:b/>
          <w:bCs w:val="0"/>
          <w:color w:val="000000" w:themeColor="text1"/>
          <w:kern w:val="0"/>
          <w:sz w:val="21"/>
          <w:szCs w:val="21"/>
          <w:highlight w:val="none"/>
          <w:lang w:val="en-US" w:eastAsia="zh-CN"/>
          <w14:textFill>
            <w14:solidFill>
              <w14:schemeClr w14:val="tx1"/>
            </w14:solidFill>
          </w14:textFill>
        </w:rPr>
        <w:t>（必须提供）；</w:t>
      </w:r>
    </w:p>
    <w:p w14:paraId="233E1DA6">
      <w:pPr>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供应商2023年度财务状况报告复印件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（必须提供</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可</w:t>
      </w:r>
      <w:r>
        <w:rPr>
          <w:rFonts w:hint="eastAsia" w:ascii="宋体" w:hAnsi="宋体" w:eastAsia="宋体" w:cs="宋体"/>
          <w:b/>
          <w:bCs/>
          <w:color w:val="000000" w:themeColor="text1"/>
          <w:sz w:val="21"/>
          <w:szCs w:val="21"/>
          <w:highlight w:val="none"/>
          <w:lang w:eastAsia="zh-CN"/>
          <w14:textFill>
            <w14:solidFill>
              <w14:schemeClr w14:val="tx1"/>
            </w14:solidFill>
          </w14:textFill>
        </w:rPr>
        <w:t>以是磋商供应商</w:t>
      </w:r>
      <w:r>
        <w:rPr>
          <w:rFonts w:hint="eastAsia" w:ascii="宋体" w:hAnsi="宋体" w:eastAsia="宋体" w:cs="宋体"/>
          <w:b/>
          <w:bCs/>
          <w:color w:val="000000" w:themeColor="text1"/>
          <w:sz w:val="21"/>
          <w:szCs w:val="21"/>
          <w:highlight w:val="none"/>
          <w14:textFill>
            <w14:solidFill>
              <w14:schemeClr w14:val="tx1"/>
            </w14:solidFill>
          </w14:textFill>
        </w:rPr>
        <w:t>自行编制也可</w:t>
      </w:r>
      <w:r>
        <w:rPr>
          <w:rFonts w:hint="eastAsia" w:ascii="宋体" w:hAnsi="宋体" w:eastAsia="宋体" w:cs="宋体"/>
          <w:b/>
          <w:bCs/>
          <w:color w:val="000000" w:themeColor="text1"/>
          <w:sz w:val="21"/>
          <w:szCs w:val="21"/>
          <w:highlight w:val="none"/>
          <w:lang w:eastAsia="zh-CN"/>
          <w14:textFill>
            <w14:solidFill>
              <w14:schemeClr w14:val="tx1"/>
            </w14:solidFill>
          </w14:textFill>
        </w:rPr>
        <w:t>是</w:t>
      </w:r>
      <w:r>
        <w:rPr>
          <w:rFonts w:hint="eastAsia" w:ascii="宋体" w:hAnsi="宋体" w:eastAsia="宋体" w:cs="宋体"/>
          <w:b/>
          <w:bCs/>
          <w:color w:val="000000" w:themeColor="text1"/>
          <w:sz w:val="21"/>
          <w:szCs w:val="21"/>
          <w:highlight w:val="none"/>
          <w14:textFill>
            <w14:solidFill>
              <w14:schemeClr w14:val="tx1"/>
            </w14:solidFill>
          </w14:textFill>
        </w:rPr>
        <w:t>通过</w:t>
      </w:r>
      <w:r>
        <w:rPr>
          <w:rFonts w:hint="eastAsia" w:ascii="宋体" w:hAnsi="宋体" w:eastAsia="宋体" w:cs="宋体"/>
          <w:b/>
          <w:bCs/>
          <w:color w:val="000000" w:themeColor="text1"/>
          <w:sz w:val="21"/>
          <w:szCs w:val="21"/>
          <w:highlight w:val="none"/>
          <w:lang w:eastAsia="zh-CN"/>
          <w14:textFill>
            <w14:solidFill>
              <w14:schemeClr w14:val="tx1"/>
            </w14:solidFill>
          </w14:textFill>
        </w:rPr>
        <w:t>第三方</w:t>
      </w:r>
      <w:r>
        <w:rPr>
          <w:rFonts w:hint="eastAsia" w:ascii="宋体" w:hAnsi="宋体" w:eastAsia="宋体" w:cs="宋体"/>
          <w:b/>
          <w:bCs/>
          <w:color w:val="000000" w:themeColor="text1"/>
          <w:sz w:val="21"/>
          <w:szCs w:val="21"/>
          <w:highlight w:val="none"/>
          <w14:textFill>
            <w14:solidFill>
              <w14:schemeClr w14:val="tx1"/>
            </w14:solidFill>
          </w14:textFill>
        </w:rPr>
        <w:t>审计公司编制，如为自行编制至少须提供现金流量表、负债表及利润表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6EB9BF7A">
      <w:pPr>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供应商近半年内任意一个月或任一季度依法缴纳税收的证明材料</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增值税</w:t>
      </w:r>
      <w:r>
        <w:rPr>
          <w:rFonts w:hint="eastAsia" w:ascii="宋体" w:hAnsi="宋体" w:eastAsia="宋体" w:cs="宋体"/>
          <w:color w:val="000000" w:themeColor="text1"/>
          <w:sz w:val="21"/>
          <w:szCs w:val="21"/>
          <w:highlight w:val="none"/>
          <w:lang w:eastAsia="zh-CN"/>
          <w14:textFill>
            <w14:solidFill>
              <w14:schemeClr w14:val="tx1"/>
            </w14:solidFill>
          </w14:textFill>
        </w:rPr>
        <w:t>缴纳</w:t>
      </w:r>
      <w:r>
        <w:rPr>
          <w:rFonts w:hint="eastAsia" w:ascii="宋体" w:hAnsi="宋体" w:eastAsia="宋体" w:cs="宋体"/>
          <w:color w:val="000000" w:themeColor="text1"/>
          <w:sz w:val="21"/>
          <w:szCs w:val="21"/>
          <w:highlight w:val="none"/>
          <w14:textFill>
            <w14:solidFill>
              <w14:schemeClr w14:val="tx1"/>
            </w14:solidFill>
          </w14:textFill>
        </w:rPr>
        <w:t>发票(税收完税证明)或企业所得税完税证明或税务部门出具的免税证明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复印件</w:t>
      </w:r>
      <w:r>
        <w:rPr>
          <w:rFonts w:hint="eastAsia" w:ascii="宋体" w:hAnsi="宋体" w:eastAsia="宋体" w:cs="宋体"/>
          <w:b/>
          <w:bCs/>
          <w:color w:val="000000" w:themeColor="text1"/>
          <w:sz w:val="21"/>
          <w:szCs w:val="21"/>
          <w:highlight w:val="none"/>
          <w14:textFill>
            <w14:solidFill>
              <w14:schemeClr w14:val="tx1"/>
            </w14:solidFill>
          </w14:textFill>
        </w:rPr>
        <w:t>（必须提供）。</w:t>
      </w:r>
    </w:p>
    <w:p w14:paraId="41B7E30A">
      <w:pPr>
        <w:pStyle w:val="18"/>
        <w:pageBreakBefore w:val="0"/>
        <w:widowControl w:val="0"/>
        <w:kinsoku/>
        <w:wordWrap/>
        <w:overflowPunct/>
        <w:topLinePunct w:val="0"/>
        <w:autoSpaceDE/>
        <w:autoSpaceDN/>
        <w:bidi w:val="0"/>
        <w:adjustRightInd/>
        <w:snapToGrid/>
        <w:spacing w:line="440" w:lineRule="exact"/>
        <w:ind w:left="0" w:leftChars="0" w:firstLine="42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 w:val="21"/>
          <w:szCs w:val="21"/>
          <w:highlight w:val="none"/>
          <w14:textFill>
            <w14:solidFill>
              <w14:schemeClr w14:val="tx1"/>
            </w14:solidFill>
          </w14:textFill>
        </w:rPr>
        <w:t>符合性响应证明材料：</w:t>
      </w:r>
    </w:p>
    <w:p w14:paraId="382AA220">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77" w:name="_Toc16312"/>
      <w:bookmarkStart w:id="78" w:name="_Toc28932"/>
      <w:bookmarkStart w:id="79" w:name="_Toc2809"/>
      <w:r>
        <w:rPr>
          <w:rFonts w:hint="eastAsia" w:ascii="宋体" w:hAnsi="宋体" w:eastAsia="宋体" w:cs="宋体"/>
          <w:color w:val="000000" w:themeColor="text1"/>
          <w:sz w:val="21"/>
          <w:szCs w:val="21"/>
          <w:highlight w:val="none"/>
          <w:lang w:val="en-US"/>
          <w14:textFill>
            <w14:solidFill>
              <w14:schemeClr w14:val="tx1"/>
            </w14:solidFill>
          </w14:textFill>
        </w:rPr>
        <w:t>（1）响应函（格式见附件）</w:t>
      </w:r>
      <w:r>
        <w:rPr>
          <w:rFonts w:hint="eastAsia" w:ascii="宋体" w:hAnsi="宋体" w:eastAsia="宋体" w:cs="宋体"/>
          <w:b/>
          <w:bCs/>
          <w:color w:val="000000" w:themeColor="text1"/>
          <w:sz w:val="21"/>
          <w:szCs w:val="21"/>
          <w:highlight w:val="none"/>
          <w:lang w:val="en-US"/>
          <w14:textFill>
            <w14:solidFill>
              <w14:schemeClr w14:val="tx1"/>
            </w14:solidFill>
          </w14:textFill>
        </w:rPr>
        <w:t>（必须提供）</w:t>
      </w:r>
      <w:bookmarkEnd w:id="77"/>
      <w:r>
        <w:rPr>
          <w:rFonts w:hint="eastAsia" w:ascii="宋体" w:hAnsi="宋体" w:eastAsia="宋体" w:cs="宋体"/>
          <w:color w:val="000000" w:themeColor="text1"/>
          <w:sz w:val="21"/>
          <w:szCs w:val="21"/>
          <w:highlight w:val="none"/>
          <w:lang w:val="en-US" w:eastAsia="zh-CN"/>
          <w14:textFill>
            <w14:solidFill>
              <w14:schemeClr w14:val="tx1"/>
            </w14:solidFill>
          </w14:textFill>
        </w:rPr>
        <w:t>；</w:t>
      </w:r>
      <w:bookmarkEnd w:id="78"/>
      <w:bookmarkEnd w:id="79"/>
    </w:p>
    <w:p w14:paraId="7AEAB999">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工程报价汇总表</w:t>
      </w:r>
      <w:r>
        <w:rPr>
          <w:rFonts w:hint="eastAsia" w:ascii="宋体" w:hAnsi="宋体" w:eastAsia="宋体" w:cs="宋体"/>
          <w:color w:val="000000" w:themeColor="text1"/>
          <w:sz w:val="21"/>
          <w:szCs w:val="21"/>
          <w:highlight w:val="none"/>
          <w14:textFill>
            <w14:solidFill>
              <w14:schemeClr w14:val="tx1"/>
            </w14:solidFill>
          </w14:textFill>
        </w:rPr>
        <w:t>（格式见附件）</w:t>
      </w:r>
      <w:r>
        <w:rPr>
          <w:rFonts w:hint="eastAsia" w:ascii="宋体" w:hAnsi="宋体" w:eastAsia="宋体" w:cs="宋体"/>
          <w:b/>
          <w:bCs/>
          <w:color w:val="000000" w:themeColor="text1"/>
          <w:sz w:val="21"/>
          <w:szCs w:val="21"/>
          <w:highlight w:val="none"/>
          <w14:textFill>
            <w14:solidFill>
              <w14:schemeClr w14:val="tx1"/>
            </w14:solidFill>
          </w14:textFill>
        </w:rPr>
        <w:t>（必须提供）</w:t>
      </w:r>
      <w:r>
        <w:rPr>
          <w:rFonts w:hint="eastAsia" w:ascii="宋体" w:hAnsi="宋体" w:eastAsia="宋体" w:cs="宋体"/>
          <w:color w:val="000000" w:themeColor="text1"/>
          <w:sz w:val="21"/>
          <w:szCs w:val="21"/>
          <w:highlight w:val="none"/>
          <w14:textFill>
            <w14:solidFill>
              <w14:schemeClr w14:val="tx1"/>
            </w14:solidFill>
          </w14:textFill>
        </w:rPr>
        <w:t>；</w:t>
      </w:r>
    </w:p>
    <w:p w14:paraId="5CA959E8">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已标价工程量清单</w:t>
      </w:r>
      <w:r>
        <w:rPr>
          <w:rFonts w:hint="eastAsia" w:ascii="宋体" w:hAnsi="宋体" w:eastAsia="宋体" w:cs="宋体"/>
          <w:b/>
          <w:bCs w:val="0"/>
          <w:color w:val="000000" w:themeColor="text1"/>
          <w:kern w:val="0"/>
          <w:sz w:val="21"/>
          <w:szCs w:val="21"/>
          <w:highlight w:val="none"/>
          <w14:textFill>
            <w14:solidFill>
              <w14:schemeClr w14:val="tx1"/>
            </w14:solidFill>
          </w14:textFill>
        </w:rPr>
        <w:t>（必须提供）</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w:t>
      </w:r>
    </w:p>
    <w:p w14:paraId="79FA1573">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）拟投入本工程主要施工管理人员表</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必须提供)</w:t>
      </w:r>
      <w:r>
        <w:rPr>
          <w:rFonts w:hint="eastAsia" w:ascii="宋体" w:hAnsi="宋体" w:eastAsia="宋体" w:cs="宋体"/>
          <w:color w:val="000000" w:themeColor="text1"/>
          <w:sz w:val="21"/>
          <w:szCs w:val="21"/>
          <w:highlight w:val="none"/>
          <w14:textFill>
            <w14:solidFill>
              <w14:schemeClr w14:val="tx1"/>
            </w14:solidFill>
          </w14:textFill>
        </w:rPr>
        <w:t>；</w:t>
      </w:r>
    </w:p>
    <w:p w14:paraId="4233140D">
      <w:pPr>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并一起提供由县级以上（含县级）社会养老保险经办机构出具的供应商为项目实施人员交纳的响应文件递交截止时间前半年内任意连续三个月社保证明复印件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除供应商为以下三种情形的：</w:t>
      </w:r>
    </w:p>
    <w:p w14:paraId="436F2E8D">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①如供应商为截标时间前60日以内成立的公司，可以提供供应商与委托代理人签订的劳动合同复印件代替社保证明复印件；</w:t>
      </w:r>
    </w:p>
    <w:p w14:paraId="3D3561D6">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②如供应商为事业单位，可以提供事业单位机构编制管理证复印件或事业单位机构为其发放工资的工资条复印件代替社保证明复印件；</w:t>
      </w:r>
    </w:p>
    <w:p w14:paraId="572F09C5">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③如委托代理人为免缴纳社保人员，提供免缴纳社保的证明材料复印件及供应商与委托代理人签订的劳动合同复印件代替社保证明复印件。</w:t>
      </w:r>
    </w:p>
    <w:p w14:paraId="3FC9C1F8">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担任本工程的项目经理简历表（应附相关证书、身份证复印件）</w:t>
      </w:r>
      <w:r>
        <w:rPr>
          <w:rFonts w:hint="eastAsia" w:ascii="宋体" w:hAnsi="宋体" w:eastAsia="宋体" w:cs="宋体"/>
          <w:b/>
          <w:bCs/>
          <w:color w:val="000000" w:themeColor="text1"/>
          <w:sz w:val="21"/>
          <w:szCs w:val="21"/>
          <w:highlight w:val="none"/>
          <w14:textFill>
            <w14:solidFill>
              <w14:schemeClr w14:val="tx1"/>
            </w14:solidFill>
          </w14:textFill>
        </w:rPr>
        <w:t>（必须提供）</w:t>
      </w:r>
      <w:r>
        <w:rPr>
          <w:rFonts w:hint="eastAsia" w:ascii="宋体" w:hAnsi="宋体" w:eastAsia="宋体" w:cs="宋体"/>
          <w:b w:val="0"/>
          <w:bCs w:val="0"/>
          <w:color w:val="000000" w:themeColor="text1"/>
          <w:sz w:val="21"/>
          <w:szCs w:val="21"/>
          <w:highlight w:val="none"/>
          <w14:textFill>
            <w14:solidFill>
              <w14:schemeClr w14:val="tx1"/>
            </w14:solidFill>
          </w14:textFill>
        </w:rPr>
        <w:t>；</w:t>
      </w:r>
    </w:p>
    <w:p w14:paraId="4845EFC4">
      <w:pPr>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施工组织设计方案</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必须提供</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5DD53A5A">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工</w:t>
      </w:r>
      <w:r>
        <w:rPr>
          <w:rFonts w:hint="eastAsia" w:ascii="宋体" w:hAnsi="宋体" w:eastAsia="宋体" w:cs="宋体"/>
          <w:bCs/>
          <w:color w:val="000000" w:themeColor="text1"/>
          <w:kern w:val="0"/>
          <w:sz w:val="21"/>
          <w:szCs w:val="21"/>
          <w:highlight w:val="none"/>
          <w14:textFill>
            <w14:solidFill>
              <w14:schemeClr w14:val="tx1"/>
            </w14:solidFill>
          </w14:textFill>
        </w:rPr>
        <w:t>程完工服务承诺书</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必须提供</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17D6738">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农民工</w:t>
      </w:r>
      <w:r>
        <w:rPr>
          <w:rFonts w:hint="eastAsia" w:ascii="宋体" w:hAnsi="宋体" w:cs="宋体"/>
          <w:bCs/>
          <w:color w:val="000000" w:themeColor="text1"/>
          <w:kern w:val="0"/>
          <w:sz w:val="21"/>
          <w:szCs w:val="21"/>
          <w:highlight w:val="none"/>
          <w:lang w:eastAsia="zh-CN"/>
          <w14:textFill>
            <w14:solidFill>
              <w14:schemeClr w14:val="tx1"/>
            </w14:solidFill>
          </w14:textFill>
        </w:rPr>
        <w:t>工资保障金缴纳与使用</w:t>
      </w:r>
      <w:r>
        <w:rPr>
          <w:rFonts w:hint="eastAsia" w:ascii="宋体" w:hAnsi="宋体" w:eastAsia="宋体" w:cs="宋体"/>
          <w:bCs/>
          <w:color w:val="000000" w:themeColor="text1"/>
          <w:kern w:val="0"/>
          <w:sz w:val="21"/>
          <w:szCs w:val="21"/>
          <w:highlight w:val="none"/>
          <w14:textFill>
            <w14:solidFill>
              <w14:schemeClr w14:val="tx1"/>
            </w14:solidFill>
          </w14:textFill>
        </w:rPr>
        <w:t>承诺书</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必须提供</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FCBCB51">
      <w:pPr>
        <w:pStyle w:val="18"/>
        <w:pageBreakBefore w:val="0"/>
        <w:widowControl w:val="0"/>
        <w:kinsoku/>
        <w:wordWrap/>
        <w:overflowPunct/>
        <w:topLinePunct w:val="0"/>
        <w:autoSpaceDE/>
        <w:autoSpaceDN/>
        <w:bidi w:val="0"/>
        <w:adjustRightInd/>
        <w:snapToGrid/>
        <w:spacing w:line="440" w:lineRule="exact"/>
        <w:ind w:left="0" w:leftChars="0" w:firstLine="422"/>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b/>
          <w:bCs/>
          <w:color w:val="000000" w:themeColor="text1"/>
          <w:sz w:val="21"/>
          <w:szCs w:val="21"/>
          <w:highlight w:val="none"/>
          <w14:textFill>
            <w14:solidFill>
              <w14:schemeClr w14:val="tx1"/>
            </w14:solidFill>
          </w14:textFill>
        </w:rPr>
        <w:t>其他有效证明材料</w:t>
      </w:r>
    </w:p>
    <w:p w14:paraId="32DB5203">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供应商2021年1月1日以来</w:t>
      </w:r>
      <w:r>
        <w:rPr>
          <w:rFonts w:hint="eastAsia" w:ascii="宋体" w:hAnsi="宋体" w:eastAsia="宋体" w:cs="宋体"/>
          <w:color w:val="000000" w:themeColor="text1"/>
          <w:sz w:val="21"/>
          <w:szCs w:val="21"/>
          <w:highlight w:val="none"/>
          <w:lang w:val="zh-CN"/>
          <w14:textFill>
            <w14:solidFill>
              <w14:schemeClr w14:val="tx1"/>
            </w14:solidFill>
          </w14:textFill>
        </w:rPr>
        <w:t>承接过</w:t>
      </w:r>
      <w:r>
        <w:rPr>
          <w:rFonts w:hint="eastAsia" w:ascii="宋体" w:hAnsi="宋体" w:cs="宋体"/>
          <w:color w:val="000000" w:themeColor="text1"/>
          <w:sz w:val="21"/>
          <w:szCs w:val="21"/>
          <w:highlight w:val="none"/>
          <w:lang w:val="en-US" w:eastAsia="zh-CN"/>
          <w14:textFill>
            <w14:solidFill>
              <w14:schemeClr w14:val="tx1"/>
            </w14:solidFill>
          </w14:textFill>
        </w:rPr>
        <w:t>综合</w:t>
      </w:r>
      <w:r>
        <w:rPr>
          <w:rFonts w:hint="eastAsia" w:ascii="宋体" w:hAnsi="宋体" w:eastAsia="宋体" w:cs="宋体"/>
          <w:color w:val="000000" w:themeColor="text1"/>
          <w:sz w:val="21"/>
          <w:szCs w:val="21"/>
          <w:highlight w:val="none"/>
          <w:lang w:val="en-US" w:eastAsia="zh-CN"/>
          <w14:textFill>
            <w14:solidFill>
              <w14:schemeClr w14:val="tx1"/>
            </w14:solidFill>
          </w14:textFill>
        </w:rPr>
        <w:t>整治</w:t>
      </w:r>
      <w:r>
        <w:rPr>
          <w:rFonts w:hint="eastAsia" w:ascii="宋体" w:hAnsi="宋体" w:eastAsia="宋体" w:cs="宋体"/>
          <w:color w:val="000000" w:themeColor="text1"/>
          <w:sz w:val="21"/>
          <w:szCs w:val="21"/>
          <w:highlight w:val="none"/>
          <w:lang w:val="zh-CN"/>
          <w14:textFill>
            <w14:solidFill>
              <w14:schemeClr w14:val="tx1"/>
            </w14:solidFill>
          </w14:textFill>
        </w:rPr>
        <w:t>类（含</w:t>
      </w:r>
      <w:r>
        <w:rPr>
          <w:rFonts w:hint="eastAsia" w:ascii="宋体" w:hAnsi="宋体" w:cs="宋体"/>
          <w:color w:val="000000" w:themeColor="text1"/>
          <w:sz w:val="21"/>
          <w:szCs w:val="21"/>
          <w:highlight w:val="none"/>
          <w:lang w:val="en-US" w:eastAsia="zh-CN"/>
          <w14:textFill>
            <w14:solidFill>
              <w14:schemeClr w14:val="tx1"/>
            </w14:solidFill>
          </w14:textFill>
        </w:rPr>
        <w:t>水土保持综合治理及河道整治、</w:t>
      </w:r>
      <w:r>
        <w:rPr>
          <w:rFonts w:hint="eastAsia" w:ascii="宋体" w:hAnsi="宋体" w:eastAsia="宋体" w:cs="宋体"/>
          <w:color w:val="000000" w:themeColor="text1"/>
          <w:sz w:val="21"/>
          <w:szCs w:val="21"/>
          <w:highlight w:val="none"/>
          <w:lang w:val="zh-CN"/>
          <w14:textFill>
            <w14:solidFill>
              <w14:schemeClr w14:val="tx1"/>
            </w14:solidFill>
          </w14:textFill>
        </w:rPr>
        <w:t>高标准农田建设</w:t>
      </w:r>
      <w:r>
        <w:rPr>
          <w:rFonts w:hint="eastAsia" w:ascii="宋体" w:hAnsi="宋体" w:cs="宋体"/>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业绩相关证明材料（无不良记录，以中标、成交通知书或签订的合同为准，并能清晰反映</w:t>
      </w:r>
      <w:r>
        <w:rPr>
          <w:rFonts w:hint="eastAsia" w:ascii="宋体" w:hAnsi="宋体" w:eastAsia="宋体" w:cs="宋体"/>
          <w:color w:val="000000" w:themeColor="text1"/>
          <w:sz w:val="21"/>
          <w:szCs w:val="21"/>
          <w:highlight w:val="none"/>
          <w:lang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的名称、</w:t>
      </w:r>
      <w:r>
        <w:rPr>
          <w:rFonts w:hint="eastAsia" w:ascii="宋体" w:hAnsi="宋体" w:eastAsia="宋体" w:cs="宋体"/>
          <w:color w:val="000000" w:themeColor="text1"/>
          <w:sz w:val="21"/>
          <w:szCs w:val="21"/>
          <w:highlight w:val="none"/>
          <w:lang w:eastAsia="zh-CN"/>
          <w14:textFill>
            <w14:solidFill>
              <w14:schemeClr w14:val="tx1"/>
            </w14:solidFill>
          </w14:textFill>
        </w:rPr>
        <w:t>采购内容</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金额</w:t>
      </w:r>
      <w:r>
        <w:rPr>
          <w:rFonts w:hint="eastAsia" w:ascii="宋体" w:hAnsi="宋体" w:eastAsia="宋体" w:cs="宋体"/>
          <w:color w:val="000000" w:themeColor="text1"/>
          <w:sz w:val="21"/>
          <w:szCs w:val="21"/>
          <w:highlight w:val="none"/>
          <w:lang w:eastAsia="zh-CN"/>
          <w14:textFill>
            <w14:solidFill>
              <w14:schemeClr w14:val="tx1"/>
            </w14:solidFill>
          </w14:textFill>
        </w:rPr>
        <w:t>、采购时间</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（如有，请提供）；</w:t>
      </w:r>
    </w:p>
    <w:p w14:paraId="28EFB455">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）供应商可结合本项目的评审办法视自身情况自行提交其它相关证明材料。</w:t>
      </w:r>
    </w:p>
    <w:p w14:paraId="434C7299">
      <w:pPr>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供应商提供的以上相关证明材料属于“必须提供”的文件应加盖</w:t>
      </w:r>
      <w:r>
        <w:rPr>
          <w:rFonts w:hint="eastAsia" w:ascii="宋体" w:hAnsi="宋体" w:eastAsia="宋体" w:cs="宋体"/>
          <w:b/>
          <w:bCs/>
          <w:color w:val="000000" w:themeColor="text1"/>
          <w:sz w:val="21"/>
          <w:szCs w:val="21"/>
          <w:highlight w:val="none"/>
          <w:lang w:eastAsia="zh-CN"/>
          <w14:textFill>
            <w14:solidFill>
              <w14:schemeClr w14:val="tx1"/>
            </w14:solidFill>
          </w14:textFill>
        </w:rPr>
        <w:t>磋商供应商</w:t>
      </w:r>
      <w:r>
        <w:rPr>
          <w:rFonts w:hint="eastAsia" w:ascii="宋体" w:hAnsi="宋体" w:eastAsia="宋体" w:cs="宋体"/>
          <w:b/>
          <w:bCs/>
          <w:color w:val="000000" w:themeColor="text1"/>
          <w:sz w:val="21"/>
          <w:szCs w:val="21"/>
          <w:highlight w:val="none"/>
          <w14:textFill>
            <w14:solidFill>
              <w14:schemeClr w14:val="tx1"/>
            </w14:solidFill>
          </w14:textFill>
        </w:rPr>
        <w:t>CA签章，否则</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sz w:val="21"/>
          <w:szCs w:val="21"/>
          <w:highlight w:val="none"/>
          <w14:textFill>
            <w14:solidFill>
              <w14:schemeClr w14:val="tx1"/>
            </w14:solidFill>
          </w14:textFill>
        </w:rPr>
        <w:t>无效。</w:t>
      </w:r>
    </w:p>
    <w:p w14:paraId="05C9B2B4">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3 </w:t>
      </w:r>
      <w:r>
        <w:rPr>
          <w:rFonts w:hint="eastAsia" w:ascii="宋体" w:hAnsi="宋体" w:eastAsia="宋体" w:cs="宋体"/>
          <w:color w:val="000000" w:themeColor="text1"/>
          <w:sz w:val="21"/>
          <w:szCs w:val="21"/>
          <w:highlight w:val="none"/>
          <w14:textFill>
            <w14:solidFill>
              <w14:schemeClr w14:val="tx1"/>
            </w14:solidFill>
          </w14:textFill>
        </w:rPr>
        <w:t>供应商应按竞争性磋商文件第六章“响应文件（格式）”编制响应文件。</w:t>
      </w:r>
    </w:p>
    <w:p w14:paraId="2E40A28A">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特别说明：</w:t>
      </w:r>
    </w:p>
    <w:p w14:paraId="42248DDA">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（1）响</w:t>
      </w:r>
      <w:r>
        <w:rPr>
          <w:rFonts w:hint="eastAsia" w:ascii="宋体" w:hAnsi="宋体" w:eastAsia="宋体" w:cs="宋体"/>
          <w:b/>
          <w:color w:val="000000" w:themeColor="text1"/>
          <w:sz w:val="21"/>
          <w:szCs w:val="21"/>
          <w:highlight w:val="none"/>
          <w14:textFill>
            <w14:solidFill>
              <w14:schemeClr w14:val="tx1"/>
            </w14:solidFill>
          </w14:textFill>
        </w:rPr>
        <w:t>应文件（电子响应文件），其中电子响应文件中所须加盖公章部分均采用CA签章。若磋商文件中有专门标注的某关联点，并要求供应商在电子</w:t>
      </w:r>
      <w:r>
        <w:rPr>
          <w:rFonts w:hint="eastAsia" w:ascii="宋体" w:hAnsi="宋体" w:eastAsia="宋体" w:cs="宋体"/>
          <w:b/>
          <w:color w:val="000000" w:themeColor="text1"/>
          <w:sz w:val="21"/>
          <w:szCs w:val="21"/>
          <w:highlight w:val="none"/>
          <w:lang w:eastAsia="zh-CN"/>
          <w14:textFill>
            <w14:solidFill>
              <w14:schemeClr w14:val="tx1"/>
            </w14:solidFill>
          </w14:textFill>
        </w:rPr>
        <w:t>响应</w:t>
      </w:r>
      <w:r>
        <w:rPr>
          <w:rFonts w:hint="eastAsia" w:ascii="宋体" w:hAnsi="宋体" w:eastAsia="宋体" w:cs="宋体"/>
          <w:b/>
          <w:color w:val="000000" w:themeColor="text1"/>
          <w:sz w:val="21"/>
          <w:szCs w:val="21"/>
          <w:highlight w:val="none"/>
          <w14:textFill>
            <w14:solidFill>
              <w14:schemeClr w14:val="tx1"/>
            </w14:solidFill>
          </w14:textFill>
        </w:rPr>
        <w:t>系统中作出磋商响应的，如供应商未对关联点进行响应或者在响应文件其它内容进行描述，造成电子评审不能查询的责任由供应商自行承担。</w:t>
      </w:r>
    </w:p>
    <w:p w14:paraId="49870BC7">
      <w:pPr>
        <w:pageBreakBefore w:val="0"/>
        <w:widowControl w:val="0"/>
        <w:numPr>
          <w:ilvl w:val="0"/>
          <w:numId w:val="3"/>
        </w:numPr>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磋商文件</w:t>
      </w:r>
      <w:r>
        <w:rPr>
          <w:rFonts w:hint="eastAsia" w:ascii="宋体" w:hAnsi="宋体" w:eastAsia="宋体" w:cs="宋体"/>
          <w:b/>
          <w:bCs/>
          <w:color w:val="000000" w:themeColor="text1"/>
          <w:sz w:val="21"/>
          <w:szCs w:val="21"/>
          <w:highlight w:val="none"/>
          <w14:textFill>
            <w14:solidFill>
              <w14:schemeClr w14:val="tx1"/>
            </w14:solidFill>
          </w14:textFill>
        </w:rPr>
        <w:t>要求法定代表人（负责人）或委托代理人签字的部分必须签字然后扫描或者拍照做成 pdf 格式上传</w:t>
      </w:r>
      <w:r>
        <w:rPr>
          <w:rFonts w:hint="eastAsia" w:ascii="宋体" w:hAnsi="宋体" w:eastAsia="宋体" w:cs="宋体"/>
          <w:b/>
          <w:bCs/>
          <w:color w:val="000000" w:themeColor="text1"/>
          <w:sz w:val="21"/>
          <w:szCs w:val="21"/>
          <w:highlight w:val="none"/>
          <w:lang w:eastAsia="zh-CN"/>
          <w14:textFill>
            <w14:solidFill>
              <w14:schemeClr w14:val="tx1"/>
            </w14:solidFill>
          </w14:textFill>
        </w:rPr>
        <w:t>（或加盖个人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，无签字的视为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sz w:val="21"/>
          <w:szCs w:val="21"/>
          <w:highlight w:val="none"/>
          <w14:textFill>
            <w14:solidFill>
              <w14:schemeClr w14:val="tx1"/>
            </w14:solidFill>
          </w14:textFill>
        </w:rPr>
        <w:t>无效。</w:t>
      </w:r>
    </w:p>
    <w:p w14:paraId="702D7A98">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80" w:name="_Toc2180"/>
      <w:bookmarkStart w:id="81" w:name="_Toc13660"/>
      <w:r>
        <w:rPr>
          <w:rFonts w:hint="eastAsia" w:ascii="宋体" w:hAnsi="宋体" w:eastAsia="宋体" w:cs="宋体"/>
          <w:color w:val="000000" w:themeColor="text1"/>
          <w:sz w:val="21"/>
          <w:szCs w:val="21"/>
          <w:highlight w:val="none"/>
          <w14:textFill>
            <w14:solidFill>
              <w14:schemeClr w14:val="tx1"/>
            </w14:solidFill>
          </w14:textFill>
        </w:rPr>
        <w:t>12. 响应文件的语言及计量</w:t>
      </w:r>
      <w:bookmarkEnd w:id="80"/>
      <w:bookmarkEnd w:id="81"/>
    </w:p>
    <w:p w14:paraId="02365C5C">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06FF6B64">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 磋商计量单位，磋商文件已有明确规定的，使用磋商文件规定的计量单位；磋商文件没有规定的，应采用中华人民共和国法定计量单位（货币单位：人民币元），否则视同未响应。</w:t>
      </w:r>
    </w:p>
    <w:p w14:paraId="56AA21E8">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82" w:name="_Toc10838"/>
      <w:bookmarkStart w:id="83" w:name="_Toc3058"/>
      <w:r>
        <w:rPr>
          <w:rFonts w:hint="eastAsia" w:ascii="宋体" w:hAnsi="宋体" w:eastAsia="宋体" w:cs="宋体"/>
          <w:color w:val="000000" w:themeColor="text1"/>
          <w:sz w:val="21"/>
          <w:szCs w:val="21"/>
          <w:highlight w:val="none"/>
          <w14:textFill>
            <w14:solidFill>
              <w14:schemeClr w14:val="tx1"/>
            </w14:solidFill>
          </w14:textFill>
        </w:rPr>
        <w:t>13. 磋商报价及采购预算金额</w:t>
      </w:r>
      <w:bookmarkEnd w:id="82"/>
      <w:bookmarkEnd w:id="83"/>
    </w:p>
    <w:p w14:paraId="097AE07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13.1、磋商总报价应按采购文件中相关附表格式填写。</w:t>
      </w:r>
    </w:p>
    <w:p w14:paraId="0B42D745">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13.2、磋商供应商必须就磋商文件所有内容作完整唯一报价，否则，其磋商将被拒绝。响应文件只允许有一个报价，有选择的或有条件的报价将不予接受。</w:t>
      </w:r>
    </w:p>
    <w:p w14:paraId="3A7DEC1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13.3、磋商总报价包括本项目采购范围内一切服务价款的总和；供应商综合考虑在报价中。</w:t>
      </w:r>
    </w:p>
    <w:p w14:paraId="57F4C4D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13.4、响应文件中磋商总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8BADD1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按上述勘误修正原则及方法调整或修正响应文件的磋商报价，供应商需签字确认。</w:t>
      </w:r>
    </w:p>
    <w:p w14:paraId="77699C1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13.5、未书面退出磋商的供应商在规定时间内提交最后报价，其最后报价超出采购预算金额导致已通过评审的响应文件无效的，按供应商在提交响应文件截止时间后撤回响应文件处理。</w:t>
      </w:r>
    </w:p>
    <w:p w14:paraId="18CFE18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13.6、最后磋商总报价超出本项目采购预算总金额的将被视为无效磋商。</w:t>
      </w:r>
    </w:p>
    <w:p w14:paraId="40DB07E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13.7、磋商总报价应包括本次采购范围内提供的服务、技术费、人工费、保险、税金、培训、版权费等全部费用，磋商供应商综合考虑在报价中。</w:t>
      </w:r>
    </w:p>
    <w:p w14:paraId="000C7E2C">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13.8、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17DE52E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13.9、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14:paraId="0A7D8D7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13.10、磋商供应商应对磋商文件中清单所列的各项内容和要求作实质性响应。</w:t>
      </w:r>
    </w:p>
    <w:p w14:paraId="5687AD60">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13.11、磋商供应商应采用综合单价对工程量清单进行磋商，不得采用总价让利或以百分比让利等形式进行磋商。</w:t>
      </w:r>
    </w:p>
    <w:p w14:paraId="0E6720A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供应商应在规定时间内在政采云系统上提交最后报价，超出</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设定的最后报价时限或其最后报价超出采购预算导致已通过评审的响应文件无效的，按供应商在提交响应文件截止时间后撤回响应文件处理。</w:t>
      </w:r>
    </w:p>
    <w:p w14:paraId="486BFA59">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84" w:name="_Toc30554"/>
      <w:bookmarkStart w:id="85" w:name="_Toc26881"/>
      <w:r>
        <w:rPr>
          <w:rFonts w:hint="eastAsia" w:ascii="宋体" w:hAnsi="宋体" w:eastAsia="宋体" w:cs="宋体"/>
          <w:color w:val="000000" w:themeColor="text1"/>
          <w:sz w:val="21"/>
          <w:szCs w:val="21"/>
          <w:highlight w:val="none"/>
          <w14:textFill>
            <w14:solidFill>
              <w14:schemeClr w14:val="tx1"/>
            </w14:solidFill>
          </w14:textFill>
        </w:rPr>
        <w:t>14. 响应文件有效期</w:t>
      </w:r>
      <w:bookmarkEnd w:id="84"/>
      <w:bookmarkEnd w:id="85"/>
    </w:p>
    <w:p w14:paraId="10BF26F3">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 响应文件有效期：响应文件递交截止时间之日起90天，有效期不足的响应文件将被拒绝。</w:t>
      </w:r>
    </w:p>
    <w:p w14:paraId="63E504BF">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 出现特殊情况下，需要延长响应文件有效期的，采购代理机构</w:t>
      </w:r>
      <w:r>
        <w:rPr>
          <w:rFonts w:hint="eastAsia" w:ascii="宋体" w:hAnsi="宋体" w:eastAsia="宋体" w:cs="宋体"/>
          <w:color w:val="000000" w:themeColor="text1"/>
          <w:sz w:val="21"/>
          <w:szCs w:val="21"/>
          <w:highlight w:val="none"/>
          <w:lang w:eastAsia="zh-CN"/>
          <w14:textFill>
            <w14:solidFill>
              <w14:schemeClr w14:val="tx1"/>
            </w14:solidFill>
          </w14:textFill>
        </w:rPr>
        <w:t>书面</w:t>
      </w:r>
      <w:r>
        <w:rPr>
          <w:rFonts w:hint="eastAsia" w:ascii="宋体" w:hAnsi="宋体" w:eastAsia="宋体" w:cs="宋体"/>
          <w:color w:val="000000" w:themeColor="text1"/>
          <w:sz w:val="21"/>
          <w:szCs w:val="21"/>
          <w:highlight w:val="none"/>
          <w14:textFill>
            <w14:solidFill>
              <w14:schemeClr w14:val="tx1"/>
            </w14:solidFill>
          </w14:textFill>
        </w:rPr>
        <w:t>通知供应商延长响应文件有效期。供应商同意延长的，但不能修改响应文件。供应商拒绝延长的，其响应文件无效。</w:t>
      </w:r>
    </w:p>
    <w:p w14:paraId="3863F40F">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86" w:name="_Toc22602"/>
      <w:bookmarkStart w:id="87" w:name="_Toc20698"/>
      <w:r>
        <w:rPr>
          <w:rFonts w:hint="eastAsia" w:ascii="宋体" w:hAnsi="宋体" w:eastAsia="宋体" w:cs="宋体"/>
          <w:color w:val="000000" w:themeColor="text1"/>
          <w:sz w:val="21"/>
          <w:szCs w:val="21"/>
          <w:highlight w:val="none"/>
          <w14:textFill>
            <w14:solidFill>
              <w14:schemeClr w14:val="tx1"/>
            </w14:solidFill>
          </w14:textFill>
        </w:rPr>
        <w:t>15. 保证金</w:t>
      </w:r>
      <w:bookmarkEnd w:id="86"/>
      <w:bookmarkEnd w:id="87"/>
    </w:p>
    <w:p w14:paraId="161E8AA2">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本项目无需缴纳磋商保证金。</w:t>
      </w:r>
    </w:p>
    <w:p w14:paraId="721C3835">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88" w:name="_Toc387"/>
      <w:bookmarkStart w:id="89" w:name="_Toc30118"/>
      <w:r>
        <w:rPr>
          <w:rFonts w:hint="eastAsia" w:ascii="宋体" w:hAnsi="宋体" w:eastAsia="宋体" w:cs="宋体"/>
          <w:color w:val="000000" w:themeColor="text1"/>
          <w:sz w:val="21"/>
          <w:szCs w:val="21"/>
          <w:highlight w:val="none"/>
          <w14:textFill>
            <w14:solidFill>
              <w14:schemeClr w14:val="tx1"/>
            </w14:solidFill>
          </w14:textFill>
        </w:rPr>
        <w:t>16. 竞争性</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响应文件的</w:t>
      </w:r>
      <w:bookmarkEnd w:id="88"/>
      <w:r>
        <w:rPr>
          <w:rFonts w:hint="eastAsia" w:ascii="宋体" w:hAnsi="宋体" w:eastAsia="宋体" w:cs="宋体"/>
          <w:color w:val="000000" w:themeColor="text1"/>
          <w:sz w:val="21"/>
          <w:szCs w:val="21"/>
          <w:highlight w:val="none"/>
          <w:lang w:eastAsia="zh-CN"/>
          <w14:textFill>
            <w14:solidFill>
              <w14:schemeClr w14:val="tx1"/>
            </w14:solidFill>
          </w14:textFill>
        </w:rPr>
        <w:t>制作</w:t>
      </w:r>
      <w:bookmarkEnd w:id="89"/>
    </w:p>
    <w:p w14:paraId="32DDFFE5">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16.1供应商制作电子响应文件前，应登陆“广西政府采购云平台”进行“申请获取采购文件”操作，否则，有可能导致无法在线编制响应文件并参与磋商，其不利后果由供应商自行承担。</w:t>
      </w:r>
    </w:p>
    <w:p w14:paraId="0AAE5D4A">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16.2供应商下载或获取竞争性磋商文件后，登录“广西政府采购云平台新版客户端”，按照本磋商文件规定的响应文件格式、顺序以及“广西政府采购云平台”平台的要求，通过“广西政府采购云平台新版客户端”编制电子响应文件。</w:t>
      </w:r>
    </w:p>
    <w:p w14:paraId="7BB83972">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16.3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16F6DE50">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16.4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698F4545">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16.5 磋商响应文件不得涂改，若有修改错漏处，须法定代表人（负责人）或授权委托人签字（或个人CA签章）。磋商响应文件因字迹潦草或表达不清所引起的后果由供应商负责。</w:t>
      </w:r>
    </w:p>
    <w:p w14:paraId="37EC8408">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16.6磋商前准备 </w:t>
      </w:r>
    </w:p>
    <w:p w14:paraId="01BE782F">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16.6.1本项目实行在线磋商，采用电子磋商响应文件。若供应商参与磋商，自行承担磋商一切费用。 </w:t>
      </w:r>
    </w:p>
    <w:p w14:paraId="1B69395B">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16.6.2各供应商应在截标前应确保成为广西政府采购云平台正式注册入库供应商，并完成 CA 数字证书申领和绑定。因未注册入库、未办理 CA 数字证书等原因造成无法磋商或磋商失败等后果由供应商自行承担。 </w:t>
      </w:r>
    </w:p>
    <w:p w14:paraId="49108AED">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16.6.3供应商将广西政府采购云平台新版客户端下载、安装完成后，可通过账号密码或 CA 登录客户端进行响应文件制作。客户端请至网站下载专区查看，如有问题可拨打广西政府采购云平台客户服务热线95763进行咨询。</w:t>
      </w:r>
    </w:p>
    <w:p w14:paraId="4CC5247B">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90" w:name="_Toc9738"/>
      <w:r>
        <w:rPr>
          <w:rFonts w:hint="eastAsia" w:ascii="宋体" w:hAnsi="宋体" w:eastAsia="宋体" w:cs="宋体"/>
          <w:color w:val="000000" w:themeColor="text1"/>
          <w:sz w:val="21"/>
          <w:szCs w:val="21"/>
          <w:highlight w:val="none"/>
          <w14:textFill>
            <w14:solidFill>
              <w14:schemeClr w14:val="tx1"/>
            </w14:solidFill>
          </w14:textFill>
        </w:rPr>
        <w:t>17. 响应文件的修改和撤回</w:t>
      </w:r>
      <w:bookmarkEnd w:id="90"/>
    </w:p>
    <w:p w14:paraId="19EF4DED">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17.1 </w:t>
      </w:r>
      <w:r>
        <w:rPr>
          <w:rFonts w:hint="eastAsia" w:ascii="宋体" w:hAnsi="宋体" w:eastAsia="宋体" w:cs="宋体"/>
          <w:color w:val="000000" w:themeColor="text1"/>
          <w:sz w:val="21"/>
          <w:szCs w:val="21"/>
          <w:highlight w:val="none"/>
          <w:lang w:eastAsia="zh-CN"/>
          <w14:textFill>
            <w14:solidFill>
              <w14:schemeClr w14:val="tx1"/>
            </w14:solidFill>
          </w14:textFill>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19BFBE5E">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17.2 在响应文件递交截止时间后的响应文件有效期内，供应商不得撤回其响应文件。</w:t>
      </w:r>
    </w:p>
    <w:p w14:paraId="4A70A649">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91" w:name="_Toc30156"/>
      <w:bookmarkStart w:id="92" w:name="_Toc24690"/>
      <w:r>
        <w:rPr>
          <w:rFonts w:hint="eastAsia" w:ascii="宋体" w:hAnsi="宋体" w:eastAsia="宋体" w:cs="宋体"/>
          <w:color w:val="000000" w:themeColor="text1"/>
          <w:sz w:val="21"/>
          <w:szCs w:val="21"/>
          <w:highlight w:val="none"/>
          <w14:textFill>
            <w14:solidFill>
              <w14:schemeClr w14:val="tx1"/>
            </w14:solidFill>
          </w14:textFill>
        </w:rPr>
        <w:t>18. 响应文件的递交</w:t>
      </w:r>
      <w:r>
        <w:rPr>
          <w:rFonts w:hint="eastAsia" w:ascii="宋体" w:hAnsi="宋体" w:eastAsia="宋体" w:cs="宋体"/>
          <w:color w:val="000000" w:themeColor="text1"/>
          <w:sz w:val="21"/>
          <w:szCs w:val="21"/>
          <w:highlight w:val="none"/>
          <w:lang w:eastAsia="zh-CN"/>
          <w14:textFill>
            <w14:solidFill>
              <w14:schemeClr w14:val="tx1"/>
            </w14:solidFill>
          </w14:textFill>
        </w:rPr>
        <w:t>和解密</w:t>
      </w:r>
      <w:bookmarkEnd w:id="91"/>
      <w:bookmarkEnd w:id="92"/>
    </w:p>
    <w:p w14:paraId="1FECF010">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18.1响应文件递交截止时间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详见供应商须知前附表</w:t>
      </w:r>
      <w:r>
        <w:rPr>
          <w:rFonts w:hint="eastAsia" w:ascii="宋体" w:hAnsi="宋体" w:eastAsia="宋体" w:cs="宋体"/>
          <w:color w:val="000000" w:themeColor="text1"/>
          <w:sz w:val="21"/>
          <w:szCs w:val="21"/>
          <w:highlight w:val="none"/>
          <w14:textFill>
            <w14:solidFill>
              <w14:schemeClr w14:val="tx1"/>
            </w14:solidFill>
          </w14:textFill>
        </w:rPr>
        <w:t>。</w:t>
      </w:r>
    </w:p>
    <w:p w14:paraId="0D89B846">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18.2磋商响应文件解密时间：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详见供应商须知前附表</w:t>
      </w:r>
      <w:r>
        <w:rPr>
          <w:rFonts w:hint="eastAsia" w:ascii="宋体" w:hAnsi="宋体" w:eastAsia="宋体" w:cs="宋体"/>
          <w:color w:val="000000" w:themeColor="text1"/>
          <w:sz w:val="21"/>
          <w:szCs w:val="21"/>
          <w:highlight w:val="none"/>
          <w14:textFill>
            <w14:solidFill>
              <w14:schemeClr w14:val="tx1"/>
            </w14:solidFill>
          </w14:textFill>
        </w:rPr>
        <w:t>。</w:t>
      </w:r>
    </w:p>
    <w:p w14:paraId="156AED33">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18.3 除竞争性磋商文件另有规定外，供应商所递交的响应文件不予退还。</w:t>
      </w:r>
    </w:p>
    <w:p w14:paraId="43CCEFE6">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18.4 </w:t>
      </w:r>
      <w:r>
        <w:rPr>
          <w:rFonts w:hint="eastAsia" w:ascii="宋体" w:hAnsi="宋体" w:eastAsia="宋体" w:cs="宋体"/>
          <w:color w:val="000000" w:themeColor="text1"/>
          <w:sz w:val="21"/>
          <w:szCs w:val="21"/>
          <w:highlight w:val="none"/>
          <w14:textFill>
            <w14:solidFill>
              <w14:schemeClr w14:val="tx1"/>
            </w14:solidFill>
          </w14:textFill>
        </w:rPr>
        <w:t>电子响应文件的相关说明</w:t>
      </w:r>
    </w:p>
    <w:p w14:paraId="5F63C0D6">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（1）供应商进行电子</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应安装客户端软件，并按照采购文件和电子交易平台的要求编制并加密</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响应文件。供应商未按规定加密的</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响应文件，电子交易平台将拒收。供应商应当在</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截止时间前完成</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响应文件的传输递交，并可以补充、修改或者撤回</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响应文件。补充或者修改</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响应文件的，应当先行撤回原文件，补充、修改后重新传输递交。</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截止时间前未完成传输的，视为撤回</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响应文件。</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截止时间后递交的</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 xml:space="preserve">响应文件，电子交易平台将拒收。 </w:t>
      </w:r>
    </w:p>
    <w:p w14:paraId="5271B7B1">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（2）如有特殊情况，采购代理机构延长截止时间和开标时间，采购代理机构和供应商的权利和义务将受到新的截止时间和开标时间的约束。</w:t>
      </w:r>
    </w:p>
    <w:p w14:paraId="3EAAD258">
      <w:pPr>
        <w:pStyle w:val="4"/>
        <w:keepNext/>
        <w:keepLines/>
        <w:pageBreakBefore w:val="0"/>
        <w:widowControl w:val="0"/>
        <w:tabs>
          <w:tab w:val="left" w:pos="567"/>
        </w:tabs>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bookmarkStart w:id="93" w:name="_Toc2433"/>
      <w:bookmarkStart w:id="94" w:name="_Toc5807"/>
    </w:p>
    <w:p w14:paraId="6D962829">
      <w:pPr>
        <w:pStyle w:val="4"/>
        <w:keepNext/>
        <w:keepLines/>
        <w:pageBreakBefore w:val="0"/>
        <w:widowControl w:val="0"/>
        <w:tabs>
          <w:tab w:val="left" w:pos="567"/>
        </w:tabs>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bookmarkStart w:id="95" w:name="_Toc26768"/>
      <w:r>
        <w:rPr>
          <w:rFonts w:hint="eastAsia" w:ascii="宋体" w:hAnsi="宋体" w:eastAsia="宋体" w:cs="宋体"/>
          <w:b/>
          <w:bCs w:val="0"/>
          <w:color w:val="000000" w:themeColor="text1"/>
          <w:sz w:val="24"/>
          <w:szCs w:val="24"/>
          <w:highlight w:val="none"/>
          <w14:textFill>
            <w14:solidFill>
              <w14:schemeClr w14:val="tx1"/>
            </w14:solidFill>
          </w14:textFill>
        </w:rPr>
        <w:t>四、竞争性磋商（简称磋商）与评审</w:t>
      </w:r>
      <w:bookmarkEnd w:id="93"/>
      <w:bookmarkEnd w:id="94"/>
      <w:bookmarkEnd w:id="95"/>
    </w:p>
    <w:p w14:paraId="3BA4583A">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96" w:name="_Toc11021"/>
      <w:bookmarkStart w:id="97" w:name="_Toc31588"/>
      <w:r>
        <w:rPr>
          <w:rFonts w:hint="eastAsia" w:ascii="宋体" w:hAnsi="宋体" w:eastAsia="宋体" w:cs="宋体"/>
          <w:color w:val="000000" w:themeColor="text1"/>
          <w:sz w:val="21"/>
          <w:szCs w:val="21"/>
          <w:highlight w:val="none"/>
          <w14:textFill>
            <w14:solidFill>
              <w14:schemeClr w14:val="tx1"/>
            </w14:solidFill>
          </w14:textFill>
        </w:rPr>
        <w:t>19. 磋商小组组成及磋商时间、地点、人员</w:t>
      </w:r>
      <w:bookmarkEnd w:id="96"/>
      <w:bookmarkEnd w:id="97"/>
    </w:p>
    <w:p w14:paraId="416209A1">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19.1 磋商小组组成：</w:t>
      </w:r>
    </w:p>
    <w:p w14:paraId="74484192">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3 </w:t>
      </w:r>
      <w:r>
        <w:rPr>
          <w:rFonts w:hint="eastAsia" w:ascii="宋体" w:hAnsi="宋体" w:eastAsia="宋体" w:cs="宋体"/>
          <w:color w:val="000000" w:themeColor="text1"/>
          <w:sz w:val="21"/>
          <w:szCs w:val="21"/>
          <w:highlight w:val="none"/>
          <w14:textFill>
            <w14:solidFill>
              <w14:schemeClr w14:val="tx1"/>
            </w14:solidFill>
          </w14:textFill>
        </w:rPr>
        <w:t>人，其中采购人代表</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 w:val="21"/>
          <w:szCs w:val="21"/>
          <w:highlight w:val="none"/>
          <w14:textFill>
            <w14:solidFill>
              <w14:schemeClr w14:val="tx1"/>
            </w14:solidFill>
          </w14:textFill>
        </w:rPr>
        <w:t>人，专家</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 w:val="21"/>
          <w:szCs w:val="21"/>
          <w:highlight w:val="none"/>
          <w14:textFill>
            <w14:solidFill>
              <w14:schemeClr w14:val="tx1"/>
            </w14:solidFill>
          </w14:textFill>
        </w:rPr>
        <w:t>人。</w:t>
      </w:r>
    </w:p>
    <w:p w14:paraId="63C83504">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19.2 磋商时间、地点、人员：</w:t>
      </w:r>
    </w:p>
    <w:p w14:paraId="5F8C486E">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98" w:name="_Toc9878"/>
      <w:r>
        <w:rPr>
          <w:rFonts w:hint="eastAsia" w:ascii="宋体" w:hAnsi="宋体" w:eastAsia="宋体" w:cs="宋体"/>
          <w:color w:val="000000" w:themeColor="text1"/>
          <w:sz w:val="21"/>
          <w:szCs w:val="21"/>
          <w:highlight w:val="none"/>
          <w14:textFill>
            <w14:solidFill>
              <w14:schemeClr w14:val="tx1"/>
            </w14:solidFill>
          </w14:textFill>
        </w:rPr>
        <w:t>19.2.1磋商时间：响应文件递交截止时间后。</w:t>
      </w:r>
      <w:bookmarkEnd w:id="98"/>
    </w:p>
    <w:p w14:paraId="357740FF">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99" w:name="_Toc29268"/>
      <w:r>
        <w:rPr>
          <w:rFonts w:hint="eastAsia" w:ascii="宋体" w:hAnsi="宋体" w:eastAsia="宋体" w:cs="宋体"/>
          <w:color w:val="000000" w:themeColor="text1"/>
          <w:sz w:val="21"/>
          <w:szCs w:val="21"/>
          <w:highlight w:val="none"/>
          <w:lang w:val="en-US" w:eastAsia="zh-CN"/>
          <w14:textFill>
            <w14:solidFill>
              <w14:schemeClr w14:val="tx1"/>
            </w14:solidFill>
          </w14:textFill>
        </w:rPr>
        <w:t>19.2.2磋商地点</w:t>
      </w:r>
      <w:r>
        <w:rPr>
          <w:rFonts w:hint="eastAsia" w:ascii="宋体" w:hAnsi="宋体" w:eastAsia="宋体" w:cs="宋体"/>
          <w:color w:val="000000" w:themeColor="text1"/>
          <w:sz w:val="21"/>
          <w:szCs w:val="21"/>
          <w:highlight w:val="none"/>
          <w14:textFill>
            <w14:solidFill>
              <w14:schemeClr w14:val="tx1"/>
            </w14:solidFill>
          </w14:textFill>
        </w:rPr>
        <w:t>：</w:t>
      </w:r>
      <w:bookmarkEnd w:id="99"/>
      <w:r>
        <w:rPr>
          <w:rFonts w:hint="eastAsia" w:ascii="宋体" w:hAnsi="宋体" w:eastAsia="宋体" w:cs="宋体"/>
          <w:color w:val="000000" w:themeColor="text1"/>
          <w:sz w:val="21"/>
          <w:szCs w:val="21"/>
          <w:highlight w:val="none"/>
          <w14:textFill>
            <w14:solidFill>
              <w14:schemeClr w14:val="tx1"/>
            </w14:solidFill>
          </w14:textFill>
        </w:rPr>
        <w:t>供应商代表在响应文件提交当天实时登陆“广西政府采购云平台”，按磋商小组要求在线等候参与磋商及提交最后报价。因供应商未保持实时在线，导致磋商小组无法及时与其取得联系，从而造成供应商未按规定参与磋商或报价的，其不利后果由供应商自行承担</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916DFDB">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bookmarkStart w:id="100" w:name="_Toc21307"/>
      <w:r>
        <w:rPr>
          <w:rFonts w:hint="eastAsia" w:ascii="宋体" w:hAnsi="宋体" w:eastAsia="宋体" w:cs="宋体"/>
          <w:color w:val="000000" w:themeColor="text1"/>
          <w:sz w:val="21"/>
          <w:szCs w:val="21"/>
          <w:highlight w:val="none"/>
          <w14:textFill>
            <w14:solidFill>
              <w14:schemeClr w14:val="tx1"/>
            </w14:solidFill>
          </w14:textFill>
        </w:rPr>
        <w:t>19</w:t>
      </w:r>
      <w:r>
        <w:rPr>
          <w:rFonts w:hint="eastAsia" w:ascii="宋体" w:hAnsi="宋体" w:eastAsia="宋体" w:cs="宋体"/>
          <w:b w:val="0"/>
          <w:bCs/>
          <w:color w:val="000000" w:themeColor="text1"/>
          <w:sz w:val="21"/>
          <w:szCs w:val="21"/>
          <w:highlight w:val="none"/>
          <w14:textFill>
            <w14:solidFill>
              <w14:schemeClr w14:val="tx1"/>
            </w14:solidFill>
          </w14:textFill>
        </w:rPr>
        <w:t>.2.3磋商参加人员：供应商法定代表人、负责人、自然人或相应的委托代理人持有效身份证原件和供应商广西政府采购云平台CA数字证书参加磋商。请供应商实时登陆“广西政府采购云平台”等候在线磋商。</w:t>
      </w:r>
      <w:bookmarkEnd w:id="100"/>
    </w:p>
    <w:p w14:paraId="31C30A80">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bookmarkStart w:id="101" w:name="_Toc6288"/>
      <w:r>
        <w:rPr>
          <w:rFonts w:hint="eastAsia" w:ascii="宋体" w:hAnsi="宋体" w:eastAsia="宋体" w:cs="宋体"/>
          <w:b w:val="0"/>
          <w:bCs/>
          <w:color w:val="000000" w:themeColor="text1"/>
          <w:sz w:val="21"/>
          <w:szCs w:val="21"/>
          <w:highlight w:val="none"/>
          <w14:textFill>
            <w14:solidFill>
              <w14:schemeClr w14:val="tx1"/>
            </w14:solidFill>
          </w14:textFill>
        </w:rPr>
        <w:t>19.2.4响应文件递交截止时间后，由磋商小组在评标室内线上开启响应文件。</w:t>
      </w:r>
      <w:bookmarkEnd w:id="101"/>
    </w:p>
    <w:p w14:paraId="53FA8F1B">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02" w:name="_Toc21088"/>
      <w:bookmarkStart w:id="103" w:name="_Toc25258"/>
      <w:r>
        <w:rPr>
          <w:rFonts w:hint="eastAsia" w:ascii="宋体" w:hAnsi="宋体" w:eastAsia="宋体" w:cs="宋体"/>
          <w:color w:val="000000" w:themeColor="text1"/>
          <w:sz w:val="21"/>
          <w:szCs w:val="21"/>
          <w:highlight w:val="none"/>
          <w14:textFill>
            <w14:solidFill>
              <w14:schemeClr w14:val="tx1"/>
            </w14:solidFill>
          </w14:textFill>
        </w:rPr>
        <w:t>20. 评审原则</w:t>
      </w:r>
      <w:bookmarkEnd w:id="102"/>
      <w:bookmarkEnd w:id="103"/>
    </w:p>
    <w:p w14:paraId="43CF9DFF">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 磋商小组必须坚持公平、公正、科学和择优的原则。</w:t>
      </w:r>
    </w:p>
    <w:p w14:paraId="7988AF04">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20.2 评审办法：综合评分法，具体详见第四章评审办法。</w:t>
      </w:r>
    </w:p>
    <w:p w14:paraId="5FCA4A4A">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20.3 磋商小组应按磋商文件进行评审，不得擅自更改评审办法。</w:t>
      </w:r>
    </w:p>
    <w:p w14:paraId="1FF52E25">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20.4 在评审过程中，磋商小组任何人不得对某个供应商发表任何倾向性意见，不得向其他磋商小组成员明示或者暗示自己的评审意见。</w:t>
      </w:r>
    </w:p>
    <w:p w14:paraId="6F0CE88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20.5 磋商小组成员对需要共同认定的事项存在争议的，按照少数服从多数的原则作出结论。持不同意见的磋商小组成员应当在评审报告上签署不同意见并说明理由，否则视为同意。</w:t>
      </w:r>
    </w:p>
    <w:p w14:paraId="273D4C7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20.6 响应文件最后报价出现前后不一致的，除竞争性磋商文件另有规定外，按照下列规定修正：</w:t>
      </w:r>
    </w:p>
    <w:p w14:paraId="738444AD">
      <w:pPr>
        <w:pStyle w:val="28"/>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响应文件中磋商报价表内容与响应文件中相应内容不一致的，以最后磋商报价表为准；</w:t>
      </w:r>
    </w:p>
    <w:p w14:paraId="4FF65FC9">
      <w:pPr>
        <w:pStyle w:val="28"/>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 大写金额和小写金额不一致的，以大写金额为准；</w:t>
      </w:r>
    </w:p>
    <w:p w14:paraId="5378783F">
      <w:pPr>
        <w:pStyle w:val="28"/>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 单价金额小数点或者百分比有明显错位的，以报价表的总价为准，并修改单价；</w:t>
      </w:r>
    </w:p>
    <w:p w14:paraId="1EB522A1">
      <w:pPr>
        <w:pStyle w:val="28"/>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 总价金额与按单价汇总金额不一致的，以单价金额计算结果为准。</w:t>
      </w:r>
    </w:p>
    <w:p w14:paraId="52241B7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5A4874D5">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04" w:name="_Toc27193"/>
      <w:bookmarkStart w:id="105" w:name="_Toc21012"/>
      <w:r>
        <w:rPr>
          <w:rFonts w:hint="eastAsia" w:ascii="宋体" w:hAnsi="宋体" w:eastAsia="宋体" w:cs="宋体"/>
          <w:color w:val="000000" w:themeColor="text1"/>
          <w:sz w:val="21"/>
          <w:szCs w:val="21"/>
          <w:highlight w:val="none"/>
          <w14:textFill>
            <w14:solidFill>
              <w14:schemeClr w14:val="tx1"/>
            </w14:solidFill>
          </w14:textFill>
        </w:rPr>
        <w:t>21. 评审程序及磋商要求</w:t>
      </w:r>
      <w:bookmarkEnd w:id="104"/>
      <w:bookmarkEnd w:id="105"/>
    </w:p>
    <w:p w14:paraId="1E1E9313">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21.1磋商小组成员的通讯工具或相关电子设备交由桂林市公共资源交易中心统一保管后到达评标室，采购 </w:t>
      </w:r>
    </w:p>
    <w:p w14:paraId="527B526B">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代理机构核实磋商小组成员身份，告知回避要求，宣布评审工作纪律和程序，推选磋商小组组长。</w:t>
      </w:r>
    </w:p>
    <w:p w14:paraId="16A4FB8F">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69DE643C">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316F1B5B">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552622A7">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21.4.1 查询渠道：《国家企业信用信息公示系统》（网址：www.gsxt.gov.cn/index.html）</w:t>
      </w:r>
    </w:p>
    <w:p w14:paraId="04C872F1">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21.4.2 审查流程：</w:t>
      </w:r>
    </w:p>
    <w:p w14:paraId="6786EAC4">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（1）进入《国家企业信用信息公示系统》（网址：www.gsxt.gov.cn/index.html），输入企业名称，进入企业信息主页面；</w:t>
      </w:r>
    </w:p>
    <w:p w14:paraId="624B514C">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（2）查看主页“股东及出资信息”栏，或年报中的“股东及出资信息”栏信息；</w:t>
      </w:r>
    </w:p>
    <w:p w14:paraId="0C63D757">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（3）将各供应商的股东及出资信息进行比对，得出审查结论；</w:t>
      </w:r>
    </w:p>
    <w:p w14:paraId="571D1496">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（4）将相关资料作为评审资料打印存档。</w:t>
      </w:r>
    </w:p>
    <w:p w14:paraId="097F588D">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21.5 磋商小组如发现供应商提供的证明文件不齐全或不符合规定格式的，应一次性告知供应商，供应商应在规定的时间内</w:t>
      </w:r>
      <w:r>
        <w:rPr>
          <w:rFonts w:hint="eastAsia" w:ascii="宋体" w:hAnsi="宋体" w:eastAsia="宋体" w:cs="宋体"/>
          <w:b/>
          <w:bCs/>
          <w:color w:val="000000" w:themeColor="text1"/>
          <w:sz w:val="21"/>
          <w:szCs w:val="21"/>
          <w:highlight w:val="none"/>
          <w:lang w:eastAsia="zh-CN"/>
          <w14:textFill>
            <w14:solidFill>
              <w14:schemeClr w14:val="tx1"/>
            </w14:solidFill>
          </w14:textFill>
        </w:rPr>
        <w:t>线上</w:t>
      </w:r>
      <w:r>
        <w:rPr>
          <w:rFonts w:hint="eastAsia" w:ascii="宋体" w:hAnsi="宋体" w:eastAsia="宋体" w:cs="宋体"/>
          <w:b/>
          <w:bCs/>
          <w:color w:val="000000" w:themeColor="text1"/>
          <w:sz w:val="21"/>
          <w:szCs w:val="21"/>
          <w:highlight w:val="none"/>
          <w14:textFill>
            <w14:solidFill>
              <w14:schemeClr w14:val="tx1"/>
            </w14:solidFill>
          </w14:textFill>
        </w:rPr>
        <w:t>补正或更正。</w:t>
      </w:r>
    </w:p>
    <w:p w14:paraId="7E01A927">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个人CA签章)</w:t>
      </w:r>
      <w:r>
        <w:rPr>
          <w:rFonts w:hint="eastAsia" w:ascii="宋体" w:hAnsi="宋体" w:eastAsia="宋体" w:cs="宋体"/>
          <w:color w:val="000000" w:themeColor="text1"/>
          <w:sz w:val="21"/>
          <w:szCs w:val="21"/>
          <w:highlight w:val="none"/>
          <w14:textFill>
            <w14:solidFill>
              <w14:schemeClr w14:val="tx1"/>
            </w14:solidFill>
          </w14:textFill>
        </w:rPr>
        <w:t>或者加盖供应商公章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w:t>
      </w:r>
    </w:p>
    <w:p w14:paraId="7616AE37">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根据磋商文件规定的程序、评定成交的标准等事项与实质性响应竞争性磋商文件要求的供应商进行磋商。 </w:t>
      </w:r>
    </w:p>
    <w:p w14:paraId="33924918">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未实质性响应磋商文件的响应文件按无效处理，磋商小组应当告知有关供应商。 </w:t>
      </w:r>
    </w:p>
    <w:p w14:paraId="1E0AD8B6">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磋商小组所有成员应当按已确定的磋商顺序集中与单一供应商分别进行磋商，并给予所有实质性响应竞争性磋商文件要求的供应商平等的磋商机会。 </w:t>
      </w:r>
    </w:p>
    <w:p w14:paraId="7822C078">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磋商中，磋商小组不得透露与磋商有关的其他供应商的技术资料、价格和其他信息。 </w:t>
      </w:r>
    </w:p>
    <w:p w14:paraId="0BC8C479">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磋商小组对磋商过程和重要磋商内容进行记录，磋商双方在记录上签字确认。 </w:t>
      </w:r>
    </w:p>
    <w:p w14:paraId="71A54464">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2B06CDF0">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267E947D">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对磋商文件作出的实质性变动是磋商文件的有效组成部分，磋商小组应当及时</w:t>
      </w:r>
      <w:r>
        <w:rPr>
          <w:rFonts w:hint="eastAsia" w:ascii="宋体" w:hAnsi="宋体" w:eastAsia="宋体" w:cs="宋体"/>
          <w:color w:val="000000" w:themeColor="text1"/>
          <w:sz w:val="21"/>
          <w:szCs w:val="21"/>
          <w:highlight w:val="none"/>
          <w:lang w:eastAsia="zh-CN"/>
          <w14:textFill>
            <w14:solidFill>
              <w14:schemeClr w14:val="tx1"/>
            </w14:solidFill>
          </w14:textFill>
        </w:rPr>
        <w:t>通过政采云平台同时</w:t>
      </w:r>
      <w:r>
        <w:rPr>
          <w:rFonts w:hint="eastAsia" w:ascii="宋体" w:hAnsi="宋体" w:eastAsia="宋体" w:cs="宋体"/>
          <w:color w:val="000000" w:themeColor="text1"/>
          <w:sz w:val="21"/>
          <w:szCs w:val="21"/>
          <w:highlight w:val="none"/>
          <w14:textFill>
            <w14:solidFill>
              <w14:schemeClr w14:val="tx1"/>
            </w14:solidFill>
          </w14:textFill>
        </w:rPr>
        <w:t xml:space="preserve">通知所有参加磋商的供应商。 </w:t>
      </w:r>
    </w:p>
    <w:p w14:paraId="53BA0246">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供应商应当按照磋商文件的变动情况和磋商小组的要求重新提交响应文件，并由其法定代表人、负责人、</w:t>
      </w:r>
      <w:r>
        <w:rPr>
          <w:rFonts w:hint="eastAsia" w:ascii="宋体" w:hAnsi="宋体" w:eastAsia="宋体" w:cs="宋体"/>
          <w:color w:val="000000" w:themeColor="text1"/>
          <w:sz w:val="21"/>
          <w:szCs w:val="21"/>
          <w:highlight w:val="none"/>
          <w:lang w:eastAsia="zh-CN"/>
          <w14:textFill>
            <w14:solidFill>
              <w14:schemeClr w14:val="tx1"/>
            </w14:solidFill>
          </w14:textFill>
        </w:rPr>
        <w:t>自然人或相应的授权委托代表签字（个人</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或者加盖供应商公章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 xml:space="preserve">。逾时不交的，视同放弃磋商。 </w:t>
      </w:r>
    </w:p>
    <w:p w14:paraId="46202A49">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21.9 第二轮磋商</w:t>
      </w:r>
    </w:p>
    <w:p w14:paraId="41C7FC4A">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CA签章确认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27979159">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磋商后，供应商根据磋商小组统一整理的书面磋商记录要求做出书面承诺，并由其法定代表人或授权代表签字或者加盖公章</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后按时</w:t>
      </w:r>
      <w:r>
        <w:rPr>
          <w:rFonts w:hint="eastAsia" w:ascii="宋体" w:hAnsi="宋体" w:eastAsia="宋体" w:cs="宋体"/>
          <w:color w:val="000000" w:themeColor="text1"/>
          <w:sz w:val="21"/>
          <w:szCs w:val="21"/>
          <w:highlight w:val="none"/>
          <w:lang w:eastAsia="zh-CN"/>
          <w14:textFill>
            <w14:solidFill>
              <w14:schemeClr w14:val="tx1"/>
            </w14:solidFill>
          </w14:textFill>
        </w:rPr>
        <w:t>线上</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提交</w:t>
      </w:r>
      <w:r>
        <w:rPr>
          <w:rFonts w:hint="eastAsia" w:ascii="宋体" w:hAnsi="宋体" w:eastAsia="宋体" w:cs="宋体"/>
          <w:color w:val="000000" w:themeColor="text1"/>
          <w:sz w:val="21"/>
          <w:szCs w:val="21"/>
          <w:highlight w:val="none"/>
          <w14:textFill>
            <w14:solidFill>
              <w14:schemeClr w14:val="tx1"/>
            </w14:solidFill>
          </w14:textFill>
        </w:rPr>
        <w:t>。</w:t>
      </w:r>
    </w:p>
    <w:p w14:paraId="2F4D39B0">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07031F58">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21.10 在采购过程中符合竞争要求的供应商或者报价未超过采购预算的供应商不足 3 家的，采购人或者采购代理机构应当终止竞争性磋商采购活动。 </w:t>
      </w:r>
    </w:p>
    <w:p w14:paraId="2A836416">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21.11 最后报价 </w:t>
      </w:r>
    </w:p>
    <w:p w14:paraId="204DFBAA">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21.11.1 磋商文件能够详细列明采购标的的质量要求的，磋商结束后，磋商小组应当要求所有继续参加磋商的供应商在规定时间内</w:t>
      </w:r>
      <w:r>
        <w:rPr>
          <w:rFonts w:hint="eastAsia" w:ascii="宋体" w:hAnsi="宋体" w:eastAsia="宋体" w:cs="宋体"/>
          <w:color w:val="000000" w:themeColor="text1"/>
          <w:sz w:val="21"/>
          <w:szCs w:val="21"/>
          <w:highlight w:val="none"/>
          <w:lang w:eastAsia="zh-CN"/>
          <w14:textFill>
            <w14:solidFill>
              <w14:schemeClr w14:val="tx1"/>
            </w14:solidFill>
          </w14:textFill>
        </w:rPr>
        <w:t>线上</w:t>
      </w:r>
      <w:r>
        <w:rPr>
          <w:rFonts w:hint="eastAsia" w:ascii="宋体" w:hAnsi="宋体" w:eastAsia="宋体" w:cs="宋体"/>
          <w:color w:val="000000" w:themeColor="text1"/>
          <w:sz w:val="21"/>
          <w:szCs w:val="21"/>
          <w:highlight w:val="none"/>
          <w14:textFill>
            <w14:solidFill>
              <w14:schemeClr w14:val="tx1"/>
            </w14:solidFill>
          </w14:textFill>
        </w:rPr>
        <w:t xml:space="preserve">提交最后报价，提交最后报价的供应商不得少于 3 家。 </w:t>
      </w:r>
    </w:p>
    <w:p w14:paraId="42F163E6">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21.11.2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000000" w:themeColor="text1"/>
          <w:sz w:val="21"/>
          <w:szCs w:val="21"/>
          <w:highlight w:val="none"/>
          <w:lang w:eastAsia="zh-CN"/>
          <w14:textFill>
            <w14:solidFill>
              <w14:schemeClr w14:val="tx1"/>
            </w14:solidFill>
          </w14:textFill>
        </w:rPr>
        <w:t>线上</w:t>
      </w:r>
      <w:r>
        <w:rPr>
          <w:rFonts w:hint="eastAsia" w:ascii="宋体" w:hAnsi="宋体" w:eastAsia="宋体" w:cs="宋体"/>
          <w:color w:val="000000" w:themeColor="text1"/>
          <w:sz w:val="21"/>
          <w:szCs w:val="21"/>
          <w:highlight w:val="none"/>
          <w14:textFill>
            <w14:solidFill>
              <w14:schemeClr w14:val="tx1"/>
            </w14:solidFill>
          </w14:textFill>
        </w:rPr>
        <w:t xml:space="preserve">提交最后报价。 </w:t>
      </w:r>
    </w:p>
    <w:p w14:paraId="595345A8">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21.11.3</w:t>
      </w:r>
      <w:r>
        <w:rPr>
          <w:rFonts w:hint="eastAsia" w:ascii="宋体" w:hAnsi="宋体" w:eastAsia="宋体" w:cs="宋体"/>
          <w:color w:val="000000" w:themeColor="text1"/>
          <w:kern w:val="0"/>
          <w:sz w:val="21"/>
          <w:szCs w:val="21"/>
          <w:highlight w:val="none"/>
          <w14:textFill>
            <w14:solidFill>
              <w14:schemeClr w14:val="tx1"/>
            </w14:solidFill>
          </w14:textFill>
        </w:rPr>
        <w:t>最后报价（应答文件）是供应商响应文件的有效组成部分：</w:t>
      </w:r>
      <w:r>
        <w:rPr>
          <w:rFonts w:hint="eastAsia" w:ascii="宋体" w:hAnsi="宋体" w:eastAsia="宋体" w:cs="宋体"/>
          <w:b/>
          <w:color w:val="000000" w:themeColor="text1"/>
          <w:spacing w:val="-4"/>
          <w:sz w:val="21"/>
          <w:szCs w:val="21"/>
          <w:highlight w:val="none"/>
          <w14:textFill>
            <w14:solidFill>
              <w14:schemeClr w14:val="tx1"/>
            </w14:solidFill>
          </w14:textFill>
        </w:rPr>
        <w:t>供应商做最终报价时，如供应商维持磋商报价不变</w:t>
      </w:r>
      <w:r>
        <w:rPr>
          <w:rFonts w:hint="eastAsia" w:ascii="宋体" w:hAnsi="宋体" w:eastAsia="宋体" w:cs="宋体"/>
          <w:b/>
          <w:color w:val="000000" w:themeColor="text1"/>
          <w:spacing w:val="-4"/>
          <w:sz w:val="21"/>
          <w:szCs w:val="21"/>
          <w:highlight w:val="none"/>
          <w:lang w:eastAsia="zh-CN"/>
          <w14:textFill>
            <w14:solidFill>
              <w14:schemeClr w14:val="tx1"/>
            </w14:solidFill>
          </w14:textFill>
        </w:rPr>
        <w:t>，</w:t>
      </w:r>
      <w:r>
        <w:rPr>
          <w:rFonts w:hint="eastAsia" w:ascii="宋体" w:hAnsi="宋体" w:eastAsia="宋体" w:cs="宋体"/>
          <w:b/>
          <w:color w:val="000000" w:themeColor="text1"/>
          <w:spacing w:val="-4"/>
          <w:sz w:val="21"/>
          <w:szCs w:val="21"/>
          <w:highlight w:val="none"/>
          <w14:textFill>
            <w14:solidFill>
              <w14:schemeClr w14:val="tx1"/>
            </w14:solidFill>
          </w14:textFill>
        </w:rPr>
        <w:t>以原磋商报价作为供应商最后报价；供应商应预先准备好调整后的完整已标价的工程量清单。如供应商在磋商过程中，改变原报价且未按竞争性磋商文件要求提供调整后的磋商报价</w:t>
      </w:r>
      <w:r>
        <w:rPr>
          <w:rFonts w:hint="eastAsia" w:ascii="宋体" w:hAnsi="宋体" w:eastAsia="宋体" w:cs="宋体"/>
          <w:b/>
          <w:color w:val="000000" w:themeColor="text1"/>
          <w:spacing w:val="-4"/>
          <w:sz w:val="21"/>
          <w:szCs w:val="21"/>
          <w:highlight w:val="none"/>
          <w:lang w:eastAsia="zh-CN"/>
          <w14:textFill>
            <w14:solidFill>
              <w14:schemeClr w14:val="tx1"/>
            </w14:solidFill>
          </w14:textFill>
        </w:rPr>
        <w:t>电子</w:t>
      </w:r>
      <w:r>
        <w:rPr>
          <w:rFonts w:hint="eastAsia" w:ascii="宋体" w:hAnsi="宋体" w:eastAsia="宋体" w:cs="宋体"/>
          <w:b/>
          <w:color w:val="000000" w:themeColor="text1"/>
          <w:spacing w:val="-4"/>
          <w:sz w:val="21"/>
          <w:szCs w:val="21"/>
          <w:highlight w:val="none"/>
          <w14:textFill>
            <w14:solidFill>
              <w14:schemeClr w14:val="tx1"/>
            </w14:solidFill>
          </w14:textFill>
        </w:rPr>
        <w:t>版的，其报价不予认可，视供应商维持原磋商报价不变</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14:textFill>
            <w14:solidFill>
              <w14:schemeClr w14:val="tx1"/>
            </w14:solidFill>
          </w14:textFill>
        </w:rPr>
        <w:t>必须由供应商</w:t>
      </w:r>
      <w:r>
        <w:rPr>
          <w:rFonts w:hint="eastAsia" w:ascii="宋体" w:hAnsi="宋体" w:eastAsia="宋体" w:cs="宋体"/>
          <w:color w:val="000000" w:themeColor="text1"/>
          <w:sz w:val="21"/>
          <w:szCs w:val="21"/>
          <w:highlight w:val="none"/>
          <w14:textFill>
            <w14:solidFill>
              <w14:schemeClr w14:val="tx1"/>
            </w14:solidFill>
          </w14:textFill>
        </w:rPr>
        <w:t>加盖公章</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4"/>
          <w:sz w:val="21"/>
          <w:szCs w:val="21"/>
          <w:highlight w:val="none"/>
          <w14:textFill>
            <w14:solidFill>
              <w14:schemeClr w14:val="tx1"/>
            </w14:solidFill>
          </w14:textFill>
        </w:rPr>
        <w:t>。</w:t>
      </w:r>
    </w:p>
    <w:p w14:paraId="22A51A4F">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21.11.</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 xml:space="preserve"> 根据《财政部关于政府采购竞争性磋商采购方式管理暂行办法有关问题的补充通知》</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财库〔2014〕214 号</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000000" w:themeColor="text1"/>
          <w:sz w:val="21"/>
          <w:szCs w:val="21"/>
          <w:highlight w:val="none"/>
          <w:lang w:eastAsia="zh-CN"/>
          <w14:textFill>
            <w14:solidFill>
              <w14:schemeClr w14:val="tx1"/>
            </w14:solidFill>
          </w14:textFill>
        </w:rPr>
        <w:t>线上</w:t>
      </w:r>
      <w:r>
        <w:rPr>
          <w:rFonts w:hint="eastAsia" w:ascii="宋体" w:hAnsi="宋体" w:eastAsia="宋体" w:cs="宋体"/>
          <w:color w:val="000000" w:themeColor="text1"/>
          <w:sz w:val="21"/>
          <w:szCs w:val="21"/>
          <w:highlight w:val="none"/>
          <w14:textFill>
            <w14:solidFill>
              <w14:schemeClr w14:val="tx1"/>
            </w14:solidFill>
          </w14:textFill>
        </w:rPr>
        <w:t xml:space="preserve">提交最后报价；采购过程中符合要求的供应商（社会资本）只有 1 家的，采购人或者采购代理机构应当终止竞争性磋商采购活动，发布项目终止公告并说明原因，重新开展采购活动。 </w:t>
      </w:r>
    </w:p>
    <w:p w14:paraId="43A8A283">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 xml:space="preserve"> 根据《政府采购竞争性磋商采购方式管理暂行办法》</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财库〔2014〕214 号</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的规定：</w:t>
      </w:r>
      <w:r>
        <w:rPr>
          <w:rFonts w:hint="eastAsia" w:ascii="宋体" w:hAnsi="宋体" w:eastAsia="宋体" w:cs="宋体"/>
          <w:b/>
          <w:bCs/>
          <w:color w:val="000000" w:themeColor="text1"/>
          <w:sz w:val="21"/>
          <w:szCs w:val="21"/>
          <w:highlight w:val="none"/>
          <w14:textFill>
            <w14:solidFill>
              <w14:schemeClr w14:val="tx1"/>
            </w14:solidFill>
          </w14:textFill>
        </w:rPr>
        <w:t xml:space="preserve">最后报价是供应商响应文件的有效组成部分。 </w:t>
      </w:r>
      <w:r>
        <w:rPr>
          <w:rFonts w:hint="eastAsia" w:ascii="宋体" w:hAnsi="宋体" w:eastAsia="宋体" w:cs="宋体"/>
          <w:color w:val="000000" w:themeColor="text1"/>
          <w:sz w:val="21"/>
          <w:szCs w:val="21"/>
          <w:highlight w:val="none"/>
          <w14:textFill>
            <w14:solidFill>
              <w14:schemeClr w14:val="tx1"/>
            </w14:solidFill>
          </w14:textFill>
        </w:rPr>
        <w:t>符合本办法(财库〔2014〕214号文)第三条第四项情形的，提交最后报价的供应商可以为2家。</w:t>
      </w:r>
      <w:r>
        <w:rPr>
          <w:rFonts w:hint="eastAsia" w:ascii="宋体" w:hAnsi="宋体" w:eastAsia="宋体" w:cs="宋体"/>
          <w:b/>
          <w:bCs/>
          <w:color w:val="000000" w:themeColor="text1"/>
          <w:sz w:val="21"/>
          <w:szCs w:val="21"/>
          <w:highlight w:val="none"/>
          <w14:textFill>
            <w14:solidFill>
              <w14:schemeClr w14:val="tx1"/>
            </w14:solidFill>
          </w14:textFill>
        </w:rPr>
        <w:t>（财库〔2014〕214号文第三条第四项：市场竞争不充分的科研项目，以及需要扶持的科技成果转化项目。）</w:t>
      </w:r>
    </w:p>
    <w:p w14:paraId="3D243745">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21.12 已提交响应文件的供应商，在提交最后报价之前，可以根据磋商情况书面退出磋商。 </w:t>
      </w:r>
    </w:p>
    <w:p w14:paraId="772F3168">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未书面退出磋商的供应商在规定时间内</w:t>
      </w:r>
      <w:r>
        <w:rPr>
          <w:rFonts w:hint="eastAsia" w:ascii="宋体" w:hAnsi="宋体" w:eastAsia="宋体" w:cs="宋体"/>
          <w:color w:val="000000" w:themeColor="text1"/>
          <w:sz w:val="21"/>
          <w:szCs w:val="21"/>
          <w:highlight w:val="none"/>
          <w:lang w:eastAsia="zh-CN"/>
          <w14:textFill>
            <w14:solidFill>
              <w14:schemeClr w14:val="tx1"/>
            </w14:solidFill>
          </w14:textFill>
        </w:rPr>
        <w:t>线上</w:t>
      </w:r>
      <w:r>
        <w:rPr>
          <w:rFonts w:hint="eastAsia" w:ascii="宋体" w:hAnsi="宋体" w:eastAsia="宋体" w:cs="宋体"/>
          <w:color w:val="000000" w:themeColor="text1"/>
          <w:sz w:val="21"/>
          <w:szCs w:val="21"/>
          <w:highlight w:val="none"/>
          <w14:textFill>
            <w14:solidFill>
              <w14:schemeClr w14:val="tx1"/>
            </w14:solidFill>
          </w14:textFill>
        </w:rPr>
        <w:t xml:space="preserve">提交最后报价，其最后报价超出采购预算导致已通过评审的响应文件无效的，按供应商在提交响应文件截止时间后撤回响应文件处理。 </w:t>
      </w:r>
    </w:p>
    <w:p w14:paraId="45BB30CA">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21.13 评审报告 </w:t>
      </w:r>
    </w:p>
    <w:p w14:paraId="1932E689">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磋商小组应当从质量和服务均能满足磋商文件全部实质性响应要求的供应商中，按照最后综合得分由高到低的顺序提出 3 名以上（含 3 名）成交候选人，并编写评审报告。</w:t>
      </w:r>
    </w:p>
    <w:p w14:paraId="1AE1287D">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613274F8">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21.15 采购代理机构发现磋商小组有明显的违规倾向或歧视现象，或不按评审办法进行，或其他不正常行为的，应当及时制止。如制止无效，应及时向政府采购监督管理机构报告。</w:t>
      </w:r>
    </w:p>
    <w:p w14:paraId="3FEFAEE6">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21.16 本采购项目的评审依据为竞争性磋商文件和竞争性磋商响应文件，采用的评审方法为</w:t>
      </w:r>
      <w:r>
        <w:rPr>
          <w:rFonts w:hint="eastAsia" w:ascii="宋体" w:hAnsi="宋体" w:eastAsia="宋体" w:cs="宋体"/>
          <w:b w:val="0"/>
          <w:bCs w:val="0"/>
          <w:color w:val="000000" w:themeColor="text1"/>
          <w:sz w:val="21"/>
          <w:szCs w:val="21"/>
          <w:highlight w:val="none"/>
          <w14:textFill>
            <w14:solidFill>
              <w14:schemeClr w14:val="tx1"/>
            </w14:solidFill>
          </w14:textFill>
        </w:rPr>
        <w:t>综合评分法。</w:t>
      </w:r>
    </w:p>
    <w:p w14:paraId="0327AE82">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06" w:name="_Toc18722"/>
      <w:bookmarkStart w:id="107" w:name="_Toc32470"/>
      <w:r>
        <w:rPr>
          <w:rFonts w:hint="eastAsia" w:ascii="宋体" w:hAnsi="宋体" w:eastAsia="宋体" w:cs="宋体"/>
          <w:color w:val="000000" w:themeColor="text1"/>
          <w:sz w:val="21"/>
          <w:szCs w:val="21"/>
          <w:highlight w:val="none"/>
          <w14:textFill>
            <w14:solidFill>
              <w14:schemeClr w14:val="tx1"/>
            </w14:solidFill>
          </w14:textFill>
        </w:rPr>
        <w:t>22. 确定成交供应商</w:t>
      </w:r>
      <w:bookmarkEnd w:id="106"/>
      <w:bookmarkEnd w:id="107"/>
    </w:p>
    <w:p w14:paraId="469B9E60">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0D8B4697">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22.2采购单位应当确定磋商小组推荐排名第一的成交候选人为成交供应商。</w:t>
      </w:r>
    </w:p>
    <w:p w14:paraId="7F241BBB">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14:paraId="07B96765">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22.4排名第二的成交候选人因前款规定的同样原因不能签订合同的，采购单位可以确定排名第三的成交候选人为成交供应商。</w:t>
      </w:r>
    </w:p>
    <w:p w14:paraId="7FFFD42D">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08" w:name="_Toc21715"/>
      <w:bookmarkStart w:id="109" w:name="_Toc15332"/>
      <w:r>
        <w:rPr>
          <w:rFonts w:hint="eastAsia" w:ascii="宋体" w:hAnsi="宋体" w:eastAsia="宋体" w:cs="宋体"/>
          <w:color w:val="000000" w:themeColor="text1"/>
          <w:sz w:val="21"/>
          <w:szCs w:val="21"/>
          <w:highlight w:val="none"/>
          <w14:textFill>
            <w14:solidFill>
              <w14:schemeClr w14:val="tx1"/>
            </w14:solidFill>
          </w14:textFill>
        </w:rPr>
        <w:t>23. 属于下列情况之一者，响应文件无效</w:t>
      </w:r>
      <w:bookmarkEnd w:id="108"/>
      <w:bookmarkEnd w:id="109"/>
    </w:p>
    <w:p w14:paraId="7B8EC768">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（1）未按磋商文件规定完整</w:t>
      </w:r>
      <w:r>
        <w:rPr>
          <w:rFonts w:hint="eastAsia" w:ascii="宋体" w:hAnsi="宋体" w:eastAsia="宋体" w:cs="宋体"/>
          <w:color w:val="000000" w:themeColor="text1"/>
          <w:sz w:val="21"/>
          <w:szCs w:val="21"/>
          <w:highlight w:val="none"/>
          <w:lang w:val="en-US" w:eastAsia="zh-CN"/>
          <w14:textFill>
            <w14:solidFill>
              <w14:schemeClr w14:val="tx1"/>
            </w14:solidFill>
          </w14:textFill>
        </w:rPr>
        <w:t>线上</w:t>
      </w:r>
      <w:r>
        <w:rPr>
          <w:rFonts w:hint="eastAsia" w:ascii="宋体" w:hAnsi="宋体" w:eastAsia="宋体" w:cs="宋体"/>
          <w:color w:val="000000" w:themeColor="text1"/>
          <w:sz w:val="21"/>
          <w:szCs w:val="21"/>
          <w:highlight w:val="none"/>
          <w14:textFill>
            <w14:solidFill>
              <w14:schemeClr w14:val="tx1"/>
            </w14:solidFill>
          </w14:textFill>
        </w:rPr>
        <w:t>提交响应文件或未按规定要求</w:t>
      </w:r>
      <w:r>
        <w:rPr>
          <w:rFonts w:hint="eastAsia" w:ascii="宋体" w:hAnsi="宋体" w:eastAsia="宋体" w:cs="宋体"/>
          <w:color w:val="000000" w:themeColor="text1"/>
          <w:sz w:val="21"/>
          <w:szCs w:val="21"/>
          <w:highlight w:val="none"/>
          <w:lang w:eastAsia="zh-CN"/>
          <w14:textFill>
            <w14:solidFill>
              <w14:schemeClr w14:val="tx1"/>
            </w14:solidFill>
          </w14:textFill>
        </w:rPr>
        <w:t>线上</w:t>
      </w:r>
      <w:r>
        <w:rPr>
          <w:rFonts w:hint="eastAsia" w:ascii="宋体" w:hAnsi="宋体" w:eastAsia="宋体" w:cs="宋体"/>
          <w:color w:val="000000" w:themeColor="text1"/>
          <w:sz w:val="21"/>
          <w:szCs w:val="21"/>
          <w:highlight w:val="none"/>
          <w14:textFill>
            <w14:solidFill>
              <w14:schemeClr w14:val="tx1"/>
            </w14:solidFill>
          </w14:textFill>
        </w:rPr>
        <w:t>签字、</w:t>
      </w:r>
      <w:r>
        <w:rPr>
          <w:rFonts w:hint="eastAsia" w:ascii="宋体" w:hAnsi="宋体" w:eastAsia="宋体" w:cs="宋体"/>
          <w:color w:val="000000" w:themeColor="text1"/>
          <w:sz w:val="21"/>
          <w:szCs w:val="21"/>
          <w:highlight w:val="none"/>
          <w:lang w:val="en-US" w:eastAsia="zh-CN"/>
          <w14:textFill>
            <w14:solidFill>
              <w14:schemeClr w14:val="tx1"/>
            </w14:solidFill>
          </w14:textFill>
        </w:rPr>
        <w:t>签章</w:t>
      </w:r>
      <w:r>
        <w:rPr>
          <w:rFonts w:hint="eastAsia" w:ascii="宋体" w:hAnsi="宋体" w:eastAsia="宋体" w:cs="宋体"/>
          <w:color w:val="000000" w:themeColor="text1"/>
          <w:sz w:val="21"/>
          <w:szCs w:val="21"/>
          <w:highlight w:val="none"/>
          <w14:textFill>
            <w14:solidFill>
              <w14:schemeClr w14:val="tx1"/>
            </w14:solidFill>
          </w14:textFill>
        </w:rPr>
        <w:t>的；</w:t>
      </w:r>
    </w:p>
    <w:p w14:paraId="33E978FE">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（2）不具备磋商文件规定的资格要求的；</w:t>
      </w:r>
    </w:p>
    <w:p w14:paraId="05396ACC">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67A75683">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）响应文件未按磋商文件的内容和要求编制，或提供虚假材料的；</w:t>
      </w:r>
    </w:p>
    <w:p w14:paraId="3F958E74">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）响应文件有效期、质量要求、工期要求不能满足采购文件要求的；</w:t>
      </w:r>
    </w:p>
    <w:p w14:paraId="7A4D31E8">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）供应商未就工程量清单中的所有内容作完整唯一报价的；</w:t>
      </w:r>
    </w:p>
    <w:p w14:paraId="754D21BA">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）未在磋商小组规定的时间内提交响应文件(包括最后报价)的；</w:t>
      </w:r>
    </w:p>
    <w:p w14:paraId="115FB993">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）超越了按照法律法规规定必须获得行政许可或者行政审批的经营范围的；</w:t>
      </w:r>
    </w:p>
    <w:p w14:paraId="75C72111">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）未满足磋商文件实质性要求的或者响应文件有采购人不能接受的附加条件的；</w:t>
      </w:r>
    </w:p>
    <w:p w14:paraId="1CCF0E83">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）响应文件实质性要求未做变动，供应商最后报价高于第一次报价的；</w:t>
      </w:r>
    </w:p>
    <w:p w14:paraId="7D0D4BBD">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）不符合法律、法规和磋商文件规定的其他实质性要求和条件的。</w:t>
      </w:r>
    </w:p>
    <w:p w14:paraId="4F84441E">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供应商有下列情形之一的视为供应商相互串通磋商，响应文件将被视为无效</w:t>
      </w:r>
    </w:p>
    <w:p w14:paraId="1565A4C8">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（1）不同供应商的响应文件由同一单位或者个人编制；或不同供应商报名的IP地址一致的；</w:t>
      </w:r>
    </w:p>
    <w:p w14:paraId="45A75CE8">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（2）不同供应商委托同一单位或者个人办理磋商事宜；</w:t>
      </w:r>
    </w:p>
    <w:p w14:paraId="0D90321B">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（3）不同的供应商的响应文件载明的项目管理员为同一个人；</w:t>
      </w:r>
    </w:p>
    <w:p w14:paraId="69F9C193">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（4）不同供应商的响应文件异常一致或竞标报价呈规律性差异；</w:t>
      </w:r>
    </w:p>
    <w:p w14:paraId="0DC915EC">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（5）不同供应商的响应文件相互混</w:t>
      </w:r>
      <w:r>
        <w:rPr>
          <w:rFonts w:hint="eastAsia" w:ascii="宋体" w:hAnsi="宋体" w:eastAsia="宋体" w:cs="宋体"/>
          <w:color w:val="000000" w:themeColor="text1"/>
          <w:sz w:val="21"/>
          <w:szCs w:val="21"/>
          <w:highlight w:val="none"/>
          <w:lang w:eastAsia="zh-CN"/>
          <w14:textFill>
            <w14:solidFill>
              <w14:schemeClr w14:val="tx1"/>
            </w14:solidFill>
          </w14:textFill>
        </w:rPr>
        <w:t>编</w:t>
      </w:r>
      <w:r>
        <w:rPr>
          <w:rFonts w:hint="eastAsia" w:ascii="宋体" w:hAnsi="宋体" w:eastAsia="宋体" w:cs="宋体"/>
          <w:color w:val="000000" w:themeColor="text1"/>
          <w:sz w:val="21"/>
          <w:szCs w:val="21"/>
          <w:highlight w:val="none"/>
          <w14:textFill>
            <w14:solidFill>
              <w14:schemeClr w14:val="tx1"/>
            </w14:solidFill>
          </w14:textFill>
        </w:rPr>
        <w:t>。</w:t>
      </w:r>
    </w:p>
    <w:p w14:paraId="731659B7">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10" w:name="_Toc5714"/>
      <w:bookmarkStart w:id="111" w:name="_Toc27786"/>
      <w:r>
        <w:rPr>
          <w:rFonts w:hint="eastAsia" w:ascii="宋体" w:hAnsi="宋体" w:eastAsia="宋体" w:cs="宋体"/>
          <w:color w:val="000000" w:themeColor="text1"/>
          <w:sz w:val="21"/>
          <w:szCs w:val="21"/>
          <w:highlight w:val="none"/>
          <w14:textFill>
            <w14:solidFill>
              <w14:schemeClr w14:val="tx1"/>
            </w14:solidFill>
          </w14:textFill>
        </w:rPr>
        <w:t>24. 出现下列情形之一的，采购人或者采购代理机构应当终止竞争性磋商采购活动，发布项目终止公告并说明原因，重新开展采购活动</w:t>
      </w:r>
      <w:bookmarkEnd w:id="110"/>
      <w:bookmarkEnd w:id="111"/>
    </w:p>
    <w:p w14:paraId="45979EEC">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（1）因情况变化，不再符合规定的竞争性磋商采购方式适用情形的；</w:t>
      </w:r>
    </w:p>
    <w:p w14:paraId="210A00B2">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（2）出现影响采购公正的违法、违规行为的； </w:t>
      </w:r>
    </w:p>
    <w:p w14:paraId="295B80D1">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（3）在采购过程中符合竞争要求的供应商或者报价未超过采购预算的供应商不足3家的。</w:t>
      </w:r>
      <w:r>
        <w:rPr>
          <w:rFonts w:hint="eastAsia" w:ascii="宋体" w:hAnsi="宋体" w:eastAsia="宋体" w:cs="宋体"/>
          <w:b/>
          <w:bCs/>
          <w:color w:val="000000" w:themeColor="text1"/>
          <w:sz w:val="21"/>
          <w:szCs w:val="21"/>
          <w:highlight w:val="none"/>
          <w14:textFill>
            <w14:solidFill>
              <w14:schemeClr w14:val="tx1"/>
            </w14:solidFill>
          </w14:textFill>
        </w:rPr>
        <w:t xml:space="preserve">（除财库〔2014〕214 号《政府采购竞争性磋商采购方式管理暂行办法》第二十一条第三款规定的情形外） </w:t>
      </w:r>
    </w:p>
    <w:p w14:paraId="5707B9FC">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12" w:name="_Toc19105"/>
      <w:bookmarkStart w:id="113" w:name="_Toc19910"/>
      <w:r>
        <w:rPr>
          <w:rFonts w:hint="eastAsia" w:ascii="宋体" w:hAnsi="宋体" w:eastAsia="宋体" w:cs="宋体"/>
          <w:color w:val="000000" w:themeColor="text1"/>
          <w:sz w:val="21"/>
          <w:szCs w:val="21"/>
          <w:highlight w:val="none"/>
          <w14:textFill>
            <w14:solidFill>
              <w14:schemeClr w14:val="tx1"/>
            </w14:solidFill>
          </w14:textFill>
        </w:rPr>
        <w:t>25. 磋商过程的监控</w:t>
      </w:r>
      <w:bookmarkEnd w:id="112"/>
      <w:bookmarkEnd w:id="113"/>
    </w:p>
    <w:p w14:paraId="1A40043A">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本项目磋商过程实行全程录音、录像监控，供应商在磋商过程中所进行的试图影响磋商结果的不公正活动，可能导致其磋商被拒绝。</w:t>
      </w:r>
    </w:p>
    <w:p w14:paraId="33F1656C">
      <w:pPr>
        <w:pStyle w:val="5"/>
        <w:pageBreakBefore w:val="0"/>
        <w:widowControl w:val="0"/>
        <w:numPr>
          <w:ilvl w:val="0"/>
          <w:numId w:val="4"/>
        </w:numPr>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14" w:name="_Toc14787"/>
      <w:bookmarkStart w:id="115" w:name="_Toc26291"/>
      <w:r>
        <w:rPr>
          <w:rFonts w:hint="eastAsia" w:ascii="宋体" w:hAnsi="宋体" w:eastAsia="宋体" w:cs="宋体"/>
          <w:color w:val="000000" w:themeColor="text1"/>
          <w:sz w:val="21"/>
          <w:szCs w:val="21"/>
          <w:highlight w:val="none"/>
          <w14:textFill>
            <w14:solidFill>
              <w14:schemeClr w14:val="tx1"/>
            </w14:solidFill>
          </w14:textFill>
        </w:rPr>
        <w:t>信用查询</w:t>
      </w:r>
      <w:bookmarkEnd w:id="114"/>
      <w:bookmarkEnd w:id="115"/>
    </w:p>
    <w:p w14:paraId="1D5765AA">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根据《关于做好政府采购有关信用主体标识码登记及在政府采购活动中查询使用信用记录有关问题的通知》桂财采〔2016〕37号的通知，采购代理机构对成交人的成交资格进行信用查询：</w:t>
      </w:r>
    </w:p>
    <w:p w14:paraId="453C1829">
      <w:pPr>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（1）查询渠道：“信用中国”网站(www.creditchina.gov.cn)、中国政府采购网(www.ccgp.gov.cn)等；</w:t>
      </w:r>
    </w:p>
    <w:p w14:paraId="38474452">
      <w:pPr>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（2）查询时间：成交通知书发出前；</w:t>
      </w:r>
    </w:p>
    <w:p w14:paraId="5979E6B4">
      <w:pPr>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（3）信用信息查询记录和证据留存方式：在查询网站中直接打印查询记录，打印材料作为采购活动资料保存。</w:t>
      </w:r>
    </w:p>
    <w:p w14:paraId="46ED78C8">
      <w:pPr>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3B4EB42B">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16" w:name="_Toc9438"/>
      <w:bookmarkStart w:id="117" w:name="_Toc25468"/>
      <w:r>
        <w:rPr>
          <w:rFonts w:hint="eastAsia" w:ascii="宋体" w:hAnsi="宋体" w:eastAsia="宋体" w:cs="宋体"/>
          <w:color w:val="000000" w:themeColor="text1"/>
          <w:sz w:val="21"/>
          <w:szCs w:val="21"/>
          <w:highlight w:val="none"/>
          <w14:textFill>
            <w14:solidFill>
              <w14:schemeClr w14:val="tx1"/>
            </w14:solidFill>
          </w14:textFill>
        </w:rPr>
        <w:t>27. 成交结果公告及成交通知书</w:t>
      </w:r>
      <w:bookmarkEnd w:id="116"/>
      <w:bookmarkEnd w:id="117"/>
    </w:p>
    <w:p w14:paraId="669ED785">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917FA6E">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27.2 在发布成交公告的同时，采购代理机构向成交供应商发出成交通知书。成交供应商自接到通知之日起七个工作日内，办理成交通知书领取手续。</w:t>
      </w:r>
    </w:p>
    <w:p w14:paraId="7711C6B9">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27.3 采购代理机构无义务向未成交的供应商解释未成交原因和退还响应文件。</w:t>
      </w:r>
    </w:p>
    <w:p w14:paraId="6149C23E">
      <w:pPr>
        <w:pStyle w:val="4"/>
        <w:keepNext/>
        <w:keepLines/>
        <w:pageBreakBefore w:val="0"/>
        <w:widowControl w:val="0"/>
        <w:tabs>
          <w:tab w:val="left" w:pos="567"/>
        </w:tabs>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bookmarkStart w:id="118" w:name="_Toc24102"/>
      <w:bookmarkStart w:id="119" w:name="_Toc25593"/>
      <w:bookmarkStart w:id="120" w:name="_Toc12078"/>
      <w:r>
        <w:rPr>
          <w:rFonts w:hint="eastAsia" w:ascii="宋体" w:hAnsi="宋体" w:eastAsia="宋体" w:cs="宋体"/>
          <w:b/>
          <w:bCs w:val="0"/>
          <w:color w:val="000000" w:themeColor="text1"/>
          <w:sz w:val="24"/>
          <w:szCs w:val="24"/>
          <w:highlight w:val="none"/>
          <w14:textFill>
            <w14:solidFill>
              <w14:schemeClr w14:val="tx1"/>
            </w14:solidFill>
          </w14:textFill>
        </w:rPr>
        <w:t>五、签订合同</w:t>
      </w:r>
      <w:bookmarkEnd w:id="118"/>
      <w:bookmarkEnd w:id="119"/>
      <w:bookmarkEnd w:id="120"/>
    </w:p>
    <w:p w14:paraId="485CD92B">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21" w:name="_Toc1032"/>
      <w:bookmarkStart w:id="122" w:name="_Toc26520"/>
      <w:r>
        <w:rPr>
          <w:rFonts w:hint="eastAsia" w:ascii="宋体" w:hAnsi="宋体" w:eastAsia="宋体" w:cs="宋体"/>
          <w:color w:val="000000" w:themeColor="text1"/>
          <w:sz w:val="21"/>
          <w:szCs w:val="21"/>
          <w:highlight w:val="none"/>
          <w14:textFill>
            <w14:solidFill>
              <w14:schemeClr w14:val="tx1"/>
            </w14:solidFill>
          </w14:textFill>
        </w:rPr>
        <w:t>28. 履约保证金</w:t>
      </w:r>
      <w:bookmarkEnd w:id="121"/>
      <w:bookmarkEnd w:id="122"/>
    </w:p>
    <w:p w14:paraId="0595552D">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23" w:name="_Toc22004"/>
      <w:bookmarkStart w:id="124" w:name="_Toc4956"/>
      <w:r>
        <w:rPr>
          <w:rFonts w:hint="eastAsia" w:ascii="宋体" w:hAnsi="宋体" w:eastAsia="宋体" w:cs="宋体"/>
          <w:color w:val="000000" w:themeColor="text1"/>
          <w:sz w:val="21"/>
          <w:szCs w:val="21"/>
          <w:highlight w:val="none"/>
          <w:lang w:eastAsia="zh-CN"/>
          <w14:textFill>
            <w14:solidFill>
              <w14:schemeClr w14:val="tx1"/>
            </w14:solidFill>
          </w14:textFill>
        </w:rPr>
        <w:t>本项目不收取履约保证金</w:t>
      </w:r>
      <w:r>
        <w:rPr>
          <w:rFonts w:hint="eastAsia" w:ascii="宋体" w:hAnsi="宋体" w:eastAsia="宋体" w:cs="宋体"/>
          <w:color w:val="000000" w:themeColor="text1"/>
          <w:sz w:val="21"/>
          <w:szCs w:val="21"/>
          <w:highlight w:val="none"/>
          <w14:textFill>
            <w14:solidFill>
              <w14:schemeClr w14:val="tx1"/>
            </w14:solidFill>
          </w14:textFill>
        </w:rPr>
        <w:t>。</w:t>
      </w:r>
    </w:p>
    <w:p w14:paraId="0F24B79E">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 签订合同</w:t>
      </w:r>
      <w:bookmarkEnd w:id="123"/>
      <w:bookmarkEnd w:id="124"/>
    </w:p>
    <w:p w14:paraId="40249840">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29.1 签订合同时间：成交通知书发出之日起8个工作日内签订合同。成交供应商领取成交通知书后，应按规定与采购人签订合同。</w:t>
      </w:r>
    </w:p>
    <w:p w14:paraId="5DBCAEF6">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4F6B880">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（1）成交后不与采购人签订合同的（不可抗力除外）；</w:t>
      </w:r>
    </w:p>
    <w:p w14:paraId="200F3559">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（2）将成交项目转让给他人，或者在响应文件中未说明，且未经采购人同意，将成交项目分包给他人的；</w:t>
      </w:r>
    </w:p>
    <w:p w14:paraId="08BEAEAB">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（3）拒绝履行合同义务的。</w:t>
      </w:r>
    </w:p>
    <w:p w14:paraId="3DF9874E">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29.3 合同备案存档：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采购代理机构存档。</w:t>
      </w:r>
    </w:p>
    <w:p w14:paraId="78DA6189">
      <w:pPr>
        <w:pStyle w:val="4"/>
        <w:keepNext/>
        <w:keepLines/>
        <w:pageBreakBefore w:val="0"/>
        <w:widowControl w:val="0"/>
        <w:tabs>
          <w:tab w:val="left" w:pos="567"/>
        </w:tabs>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bookmarkStart w:id="125" w:name="_Toc17898"/>
      <w:bookmarkStart w:id="126" w:name="_Toc16348"/>
      <w:bookmarkStart w:id="127" w:name="_Toc26142"/>
      <w:r>
        <w:rPr>
          <w:rFonts w:hint="eastAsia" w:ascii="宋体" w:hAnsi="宋体" w:eastAsia="宋体" w:cs="宋体"/>
          <w:b/>
          <w:bCs w:val="0"/>
          <w:color w:val="000000" w:themeColor="text1"/>
          <w:sz w:val="24"/>
          <w:szCs w:val="24"/>
          <w:highlight w:val="none"/>
          <w14:textFill>
            <w14:solidFill>
              <w14:schemeClr w14:val="tx1"/>
            </w14:solidFill>
          </w14:textFill>
        </w:rPr>
        <w:t>六、其他事项</w:t>
      </w:r>
      <w:bookmarkEnd w:id="125"/>
      <w:bookmarkEnd w:id="126"/>
      <w:bookmarkEnd w:id="127"/>
    </w:p>
    <w:p w14:paraId="69F61CA8">
      <w:pPr>
        <w:pStyle w:val="5"/>
        <w:pageBreakBefore w:val="0"/>
        <w:widowControl w:val="0"/>
        <w:kinsoku/>
        <w:wordWrap/>
        <w:overflowPunct/>
        <w:topLinePunct w:val="0"/>
        <w:autoSpaceDE/>
        <w:autoSpaceDN/>
        <w:bidi w:val="0"/>
        <w:adjustRightInd/>
        <w:snapToGrid/>
        <w:spacing w:before="0" w:after="0"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28" w:name="_Toc28647"/>
      <w:bookmarkStart w:id="129" w:name="_Toc29572"/>
      <w:r>
        <w:rPr>
          <w:rFonts w:hint="eastAsia" w:ascii="宋体" w:hAnsi="宋体" w:eastAsia="宋体" w:cs="宋体"/>
          <w:color w:val="000000" w:themeColor="text1"/>
          <w:sz w:val="21"/>
          <w:szCs w:val="21"/>
          <w:highlight w:val="none"/>
          <w14:textFill>
            <w14:solidFill>
              <w14:schemeClr w14:val="tx1"/>
            </w14:solidFill>
          </w14:textFill>
        </w:rPr>
        <w:t>30. 采购代理服务费</w:t>
      </w:r>
      <w:bookmarkEnd w:id="128"/>
      <w:bookmarkEnd w:id="129"/>
    </w:p>
    <w:p w14:paraId="213541B5">
      <w:pPr>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30" w:name="_Toc12374"/>
      <w:r>
        <w:rPr>
          <w:rFonts w:hint="eastAsia" w:ascii="宋体" w:hAnsi="宋体" w:eastAsia="宋体" w:cs="宋体"/>
          <w:color w:val="000000" w:themeColor="text1"/>
          <w:sz w:val="21"/>
          <w:szCs w:val="21"/>
          <w:highlight w:val="none"/>
          <w:lang w:val="en-US" w:eastAsia="zh-CN"/>
          <w14:textFill>
            <w14:solidFill>
              <w14:schemeClr w14:val="tx1"/>
            </w14:solidFill>
          </w14:textFill>
        </w:rPr>
        <w:t>30.1</w:t>
      </w:r>
      <w:r>
        <w:rPr>
          <w:rFonts w:hint="eastAsia" w:ascii="宋体" w:hAnsi="宋体" w:eastAsia="宋体" w:cs="宋体"/>
          <w:color w:val="000000" w:themeColor="text1"/>
          <w:sz w:val="21"/>
          <w:szCs w:val="21"/>
          <w:highlight w:val="none"/>
          <w14:textFill>
            <w14:solidFill>
              <w14:schemeClr w14:val="tx1"/>
            </w14:solidFill>
          </w14:textFill>
        </w:rPr>
        <w:t>成交供应商领取成交通知书前，向采购代理机构一次性付清代理服务费。本项目招标代理服务收费标准参照计价格[2002]1980号《招标代理服务收费管理暂行办法》</w:t>
      </w:r>
      <w:r>
        <w:rPr>
          <w:rFonts w:hint="eastAsia" w:ascii="宋体" w:hAnsi="宋体" w:eastAsia="宋体" w:cs="宋体"/>
          <w:color w:val="000000" w:themeColor="text1"/>
          <w:sz w:val="21"/>
          <w:szCs w:val="21"/>
          <w:highlight w:val="none"/>
          <w:lang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类收费标准向</w:t>
      </w:r>
      <w:r>
        <w:rPr>
          <w:rFonts w:hint="eastAsia" w:ascii="宋体" w:hAnsi="宋体" w:eastAsia="宋体" w:cs="宋体"/>
          <w:color w:val="000000" w:themeColor="text1"/>
          <w:sz w:val="21"/>
          <w:szCs w:val="21"/>
          <w:highlight w:val="none"/>
          <w:lang w:eastAsia="zh-CN"/>
          <w14:textFill>
            <w14:solidFill>
              <w14:schemeClr w14:val="tx1"/>
            </w14:solidFill>
          </w14:textFill>
        </w:rPr>
        <w:t>成交供应商</w:t>
      </w:r>
      <w:r>
        <w:rPr>
          <w:rFonts w:hint="eastAsia" w:ascii="宋体" w:hAnsi="宋体" w:eastAsia="宋体" w:cs="宋体"/>
          <w:color w:val="000000" w:themeColor="text1"/>
          <w:sz w:val="21"/>
          <w:szCs w:val="21"/>
          <w:highlight w:val="none"/>
          <w14:textFill>
            <w14:solidFill>
              <w14:schemeClr w14:val="tx1"/>
            </w14:solidFill>
          </w14:textFill>
        </w:rPr>
        <w:t>收取。</w:t>
      </w:r>
    </w:p>
    <w:tbl>
      <w:tblPr>
        <w:tblStyle w:val="19"/>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6AF2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vAlign w:val="top"/>
          </w:tcPr>
          <w:p w14:paraId="47388305">
            <w:pPr>
              <w:pageBreakBefore w:val="0"/>
              <w:widowControl w:val="0"/>
              <w:kinsoku/>
              <w:wordWrap/>
              <w:overflowPunct/>
              <w:topLinePunct w:val="0"/>
              <w:autoSpaceDE/>
              <w:autoSpaceDN/>
              <w:bidi w:val="0"/>
              <w:adjustRightInd/>
              <w:snapToGrid/>
              <w:spacing w:before="0" w:after="0" w:line="440" w:lineRule="exact"/>
              <w:ind w:left="23"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026" name="直接连接符 102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23.35pt;margin-top:0.85pt;height:51.45pt;width:115.25pt;z-index:251661312;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DnnG0P9AQAA+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1"/>
                <w:szCs w:val="21"/>
                <w:highlight w:val="none"/>
                <w14:textFill>
                  <w14:solidFill>
                    <w14:schemeClr w14:val="tx1"/>
                  </w14:solidFill>
                </w14:textFill>
              </w:rPr>
              <w:t>费率           服务类型</w:t>
            </w:r>
          </w:p>
          <w:p w14:paraId="21724C9F">
            <w:pPr>
              <w:pageBreakBefore w:val="0"/>
              <w:widowControl w:val="0"/>
              <w:kinsoku/>
              <w:wordWrap/>
              <w:overflowPunct/>
              <w:topLinePunct w:val="0"/>
              <w:autoSpaceDE/>
              <w:autoSpaceDN/>
              <w:bidi w:val="0"/>
              <w:adjustRightInd/>
              <w:snapToGrid/>
              <w:spacing w:before="0" w:after="0" w:line="440" w:lineRule="exact"/>
              <w:ind w:left="23"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27" name="直接连接符 1027"/>
                      <wp:cNvGraphicFramePr/>
                      <a:graphic xmlns:a="http://schemas.openxmlformats.org/drawingml/2006/main">
                        <a:graphicData uri="http://schemas.microsoft.com/office/word/2010/wordprocessingShape">
                          <wps:wsp>
                            <wps:cNvCnPr/>
                            <wps:spPr>
                              <a:xfrm>
                                <a:off x="0" y="0"/>
                                <a:ext cx="1828800" cy="39623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5.4pt;margin-top:3.1pt;height:31.2pt;width:144pt;z-index:251662336;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AOr0TWAAAACAEAAA8AAAAAAAAAAQAgAAAAIgAAAGRycy9kb3ducmV2&#10;LnhtbFBLAQIUABQAAAAIAIdO4kDL+yLd/gEAAPsDAAAOAAAAAAAAAAEAIAAAACUBAABkcnMvZTJv&#10;RG9jLnhtbFBLBQYAAAAABgAGAFkBAACVBQAAAAA=&#10;">
                      <v:fill on="f" focussize="0,0"/>
                      <v:stroke color="#000000" joinstyle="round"/>
                      <v:imagedata o:title=""/>
                      <o:lock v:ext="edit" aspectratio="f"/>
                    </v:line>
                  </w:pict>
                </mc:Fallback>
              </mc:AlternateContent>
            </w:r>
          </w:p>
          <w:p w14:paraId="24BEA128">
            <w:pPr>
              <w:pageBreakBefore w:val="0"/>
              <w:widowControl w:val="0"/>
              <w:kinsoku/>
              <w:wordWrap/>
              <w:overflowPunct/>
              <w:topLinePunct w:val="0"/>
              <w:autoSpaceDE/>
              <w:autoSpaceDN/>
              <w:bidi w:val="0"/>
              <w:adjustRightInd/>
              <w:snapToGrid/>
              <w:spacing w:before="0" w:after="0" w:line="440" w:lineRule="exact"/>
              <w:ind w:left="23"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中标金额（万元）</w:t>
            </w:r>
          </w:p>
        </w:tc>
        <w:tc>
          <w:tcPr>
            <w:tcW w:w="1841" w:type="dxa"/>
            <w:vAlign w:val="center"/>
          </w:tcPr>
          <w:p w14:paraId="6AE43D79">
            <w:pPr>
              <w:pageBreakBefore w:val="0"/>
              <w:widowControl w:val="0"/>
              <w:kinsoku/>
              <w:wordWrap/>
              <w:overflowPunct/>
              <w:topLinePunct w:val="0"/>
              <w:autoSpaceDE/>
              <w:autoSpaceDN/>
              <w:bidi w:val="0"/>
              <w:adjustRightInd/>
              <w:snapToGrid/>
              <w:spacing w:before="0" w:after="0" w:line="440" w:lineRule="exact"/>
              <w:ind w:left="23"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货物招标</w:t>
            </w:r>
          </w:p>
        </w:tc>
        <w:tc>
          <w:tcPr>
            <w:tcW w:w="1992" w:type="dxa"/>
            <w:vAlign w:val="center"/>
          </w:tcPr>
          <w:p w14:paraId="22E58B04">
            <w:pPr>
              <w:pageBreakBefore w:val="0"/>
              <w:widowControl w:val="0"/>
              <w:kinsoku/>
              <w:wordWrap/>
              <w:overflowPunct/>
              <w:topLinePunct w:val="0"/>
              <w:autoSpaceDE/>
              <w:autoSpaceDN/>
              <w:bidi w:val="0"/>
              <w:adjustRightInd/>
              <w:snapToGrid/>
              <w:spacing w:before="0" w:after="0" w:line="440" w:lineRule="exact"/>
              <w:ind w:left="23"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服务招标</w:t>
            </w:r>
          </w:p>
        </w:tc>
        <w:tc>
          <w:tcPr>
            <w:tcW w:w="2293" w:type="dxa"/>
            <w:vAlign w:val="center"/>
          </w:tcPr>
          <w:p w14:paraId="008E12E1">
            <w:pPr>
              <w:pageBreakBefore w:val="0"/>
              <w:widowControl w:val="0"/>
              <w:kinsoku/>
              <w:wordWrap/>
              <w:overflowPunct/>
              <w:topLinePunct w:val="0"/>
              <w:autoSpaceDE/>
              <w:autoSpaceDN/>
              <w:bidi w:val="0"/>
              <w:adjustRightInd/>
              <w:snapToGrid/>
              <w:spacing w:before="0" w:after="0" w:line="440" w:lineRule="exact"/>
              <w:ind w:left="23"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工程招标</w:t>
            </w:r>
          </w:p>
        </w:tc>
      </w:tr>
      <w:tr w14:paraId="4823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vAlign w:val="top"/>
          </w:tcPr>
          <w:p w14:paraId="09E953D5">
            <w:pPr>
              <w:pageBreakBefore w:val="0"/>
              <w:widowControl w:val="0"/>
              <w:kinsoku/>
              <w:wordWrap/>
              <w:overflowPunct/>
              <w:topLinePunct w:val="0"/>
              <w:autoSpaceDE/>
              <w:autoSpaceDN/>
              <w:bidi w:val="0"/>
              <w:adjustRightInd/>
              <w:snapToGrid/>
              <w:spacing w:before="0" w:after="0" w:line="440" w:lineRule="exact"/>
              <w:ind w:left="23"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100以下</w:t>
            </w:r>
          </w:p>
        </w:tc>
        <w:tc>
          <w:tcPr>
            <w:tcW w:w="1841" w:type="dxa"/>
            <w:vAlign w:val="top"/>
          </w:tcPr>
          <w:p w14:paraId="32C60EB8">
            <w:pPr>
              <w:pageBreakBefore w:val="0"/>
              <w:widowControl w:val="0"/>
              <w:kinsoku/>
              <w:wordWrap/>
              <w:overflowPunct/>
              <w:topLinePunct w:val="0"/>
              <w:autoSpaceDE/>
              <w:autoSpaceDN/>
              <w:bidi w:val="0"/>
              <w:adjustRightInd/>
              <w:snapToGrid/>
              <w:spacing w:before="0" w:after="0" w:line="440" w:lineRule="exact"/>
              <w:ind w:left="23"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992" w:type="dxa"/>
            <w:vAlign w:val="top"/>
          </w:tcPr>
          <w:p w14:paraId="39D64A7C">
            <w:pPr>
              <w:pageBreakBefore w:val="0"/>
              <w:widowControl w:val="0"/>
              <w:kinsoku/>
              <w:wordWrap/>
              <w:overflowPunct/>
              <w:topLinePunct w:val="0"/>
              <w:autoSpaceDE/>
              <w:autoSpaceDN/>
              <w:bidi w:val="0"/>
              <w:adjustRightInd/>
              <w:snapToGrid/>
              <w:spacing w:before="0" w:after="0" w:line="440" w:lineRule="exact"/>
              <w:ind w:left="23"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2293" w:type="dxa"/>
            <w:vAlign w:val="top"/>
          </w:tcPr>
          <w:p w14:paraId="6E0C8B00">
            <w:pPr>
              <w:pageBreakBefore w:val="0"/>
              <w:widowControl w:val="0"/>
              <w:kinsoku/>
              <w:wordWrap/>
              <w:overflowPunct/>
              <w:topLinePunct w:val="0"/>
              <w:autoSpaceDE/>
              <w:autoSpaceDN/>
              <w:bidi w:val="0"/>
              <w:adjustRightInd/>
              <w:snapToGrid/>
              <w:spacing w:before="0" w:after="0" w:line="440" w:lineRule="exact"/>
              <w:ind w:left="23"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r>
      <w:tr w14:paraId="1FDB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vAlign w:val="top"/>
          </w:tcPr>
          <w:p w14:paraId="1C2F571F">
            <w:pPr>
              <w:pageBreakBefore w:val="0"/>
              <w:widowControl w:val="0"/>
              <w:kinsoku/>
              <w:wordWrap/>
              <w:overflowPunct/>
              <w:topLinePunct w:val="0"/>
              <w:autoSpaceDE/>
              <w:autoSpaceDN/>
              <w:bidi w:val="0"/>
              <w:adjustRightInd/>
              <w:snapToGrid/>
              <w:spacing w:before="0" w:after="0" w:line="440" w:lineRule="exact"/>
              <w:ind w:left="23"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100-500</w:t>
            </w:r>
          </w:p>
        </w:tc>
        <w:tc>
          <w:tcPr>
            <w:tcW w:w="1841" w:type="dxa"/>
            <w:vAlign w:val="top"/>
          </w:tcPr>
          <w:p w14:paraId="6218F55C">
            <w:pPr>
              <w:pageBreakBefore w:val="0"/>
              <w:widowControl w:val="0"/>
              <w:kinsoku/>
              <w:wordWrap/>
              <w:overflowPunct/>
              <w:topLinePunct w:val="0"/>
              <w:autoSpaceDE/>
              <w:autoSpaceDN/>
              <w:bidi w:val="0"/>
              <w:adjustRightInd/>
              <w:snapToGrid/>
              <w:spacing w:before="0" w:after="0" w:line="440" w:lineRule="exact"/>
              <w:ind w:left="23"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1992" w:type="dxa"/>
            <w:vAlign w:val="top"/>
          </w:tcPr>
          <w:p w14:paraId="15FD2AB6">
            <w:pPr>
              <w:pageBreakBefore w:val="0"/>
              <w:widowControl w:val="0"/>
              <w:kinsoku/>
              <w:wordWrap/>
              <w:overflowPunct/>
              <w:topLinePunct w:val="0"/>
              <w:autoSpaceDE/>
              <w:autoSpaceDN/>
              <w:bidi w:val="0"/>
              <w:adjustRightInd/>
              <w:snapToGrid/>
              <w:spacing w:before="0" w:after="0" w:line="440" w:lineRule="exact"/>
              <w:ind w:left="23"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0.8%</w:t>
            </w:r>
          </w:p>
        </w:tc>
        <w:tc>
          <w:tcPr>
            <w:tcW w:w="2293" w:type="dxa"/>
            <w:vAlign w:val="top"/>
          </w:tcPr>
          <w:p w14:paraId="332E175C">
            <w:pPr>
              <w:pageBreakBefore w:val="0"/>
              <w:widowControl w:val="0"/>
              <w:kinsoku/>
              <w:wordWrap/>
              <w:overflowPunct/>
              <w:topLinePunct w:val="0"/>
              <w:autoSpaceDE/>
              <w:autoSpaceDN/>
              <w:bidi w:val="0"/>
              <w:adjustRightInd/>
              <w:snapToGrid/>
              <w:spacing w:before="0" w:after="0" w:line="440" w:lineRule="exact"/>
              <w:ind w:left="23"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0.7%</w:t>
            </w:r>
          </w:p>
        </w:tc>
      </w:tr>
      <w:tr w14:paraId="2C8E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14:paraId="387E1C91">
            <w:pPr>
              <w:pageBreakBefore w:val="0"/>
              <w:widowControl w:val="0"/>
              <w:kinsoku/>
              <w:wordWrap/>
              <w:overflowPunct/>
              <w:topLinePunct w:val="0"/>
              <w:autoSpaceDE/>
              <w:autoSpaceDN/>
              <w:bidi w:val="0"/>
              <w:adjustRightInd/>
              <w:snapToGrid/>
              <w:spacing w:before="0" w:after="0" w:line="440" w:lineRule="exact"/>
              <w:ind w:left="23"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500-1000</w:t>
            </w:r>
          </w:p>
        </w:tc>
        <w:tc>
          <w:tcPr>
            <w:tcW w:w="1841" w:type="dxa"/>
            <w:vAlign w:val="top"/>
          </w:tcPr>
          <w:p w14:paraId="07444472">
            <w:pPr>
              <w:pageBreakBefore w:val="0"/>
              <w:widowControl w:val="0"/>
              <w:kinsoku/>
              <w:wordWrap/>
              <w:overflowPunct/>
              <w:topLinePunct w:val="0"/>
              <w:autoSpaceDE/>
              <w:autoSpaceDN/>
              <w:bidi w:val="0"/>
              <w:adjustRightInd/>
              <w:snapToGrid/>
              <w:spacing w:before="0" w:after="0" w:line="440" w:lineRule="exact"/>
              <w:ind w:left="23"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0.8%</w:t>
            </w:r>
          </w:p>
        </w:tc>
        <w:tc>
          <w:tcPr>
            <w:tcW w:w="1992" w:type="dxa"/>
            <w:vAlign w:val="top"/>
          </w:tcPr>
          <w:p w14:paraId="62EE2D41">
            <w:pPr>
              <w:pageBreakBefore w:val="0"/>
              <w:widowControl w:val="0"/>
              <w:kinsoku/>
              <w:wordWrap/>
              <w:overflowPunct/>
              <w:topLinePunct w:val="0"/>
              <w:autoSpaceDE/>
              <w:autoSpaceDN/>
              <w:bidi w:val="0"/>
              <w:adjustRightInd/>
              <w:snapToGrid/>
              <w:spacing w:before="0" w:after="0" w:line="440" w:lineRule="exact"/>
              <w:ind w:left="23"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0.45%</w:t>
            </w:r>
          </w:p>
        </w:tc>
        <w:tc>
          <w:tcPr>
            <w:tcW w:w="2293" w:type="dxa"/>
            <w:vAlign w:val="top"/>
          </w:tcPr>
          <w:p w14:paraId="151D6BD2">
            <w:pPr>
              <w:pageBreakBefore w:val="0"/>
              <w:widowControl w:val="0"/>
              <w:kinsoku/>
              <w:wordWrap/>
              <w:overflowPunct/>
              <w:topLinePunct w:val="0"/>
              <w:autoSpaceDE/>
              <w:autoSpaceDN/>
              <w:bidi w:val="0"/>
              <w:adjustRightInd/>
              <w:snapToGrid/>
              <w:spacing w:before="0" w:after="0" w:line="440" w:lineRule="exact"/>
              <w:ind w:left="23"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0.55%</w:t>
            </w:r>
          </w:p>
        </w:tc>
      </w:tr>
      <w:tr w14:paraId="6F81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14:paraId="02D20BF4">
            <w:pPr>
              <w:pageBreakBefore w:val="0"/>
              <w:widowControl w:val="0"/>
              <w:kinsoku/>
              <w:wordWrap/>
              <w:overflowPunct/>
              <w:topLinePunct w:val="0"/>
              <w:autoSpaceDE/>
              <w:autoSpaceDN/>
              <w:bidi w:val="0"/>
              <w:adjustRightInd/>
              <w:snapToGrid/>
              <w:spacing w:before="0" w:after="0" w:line="440" w:lineRule="exact"/>
              <w:ind w:left="23"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1000-5000</w:t>
            </w:r>
          </w:p>
        </w:tc>
        <w:tc>
          <w:tcPr>
            <w:tcW w:w="1841" w:type="dxa"/>
            <w:vAlign w:val="top"/>
          </w:tcPr>
          <w:p w14:paraId="1D1C58EC">
            <w:pPr>
              <w:pageBreakBefore w:val="0"/>
              <w:widowControl w:val="0"/>
              <w:kinsoku/>
              <w:wordWrap/>
              <w:overflowPunct/>
              <w:topLinePunct w:val="0"/>
              <w:autoSpaceDE/>
              <w:autoSpaceDN/>
              <w:bidi w:val="0"/>
              <w:adjustRightInd/>
              <w:snapToGrid/>
              <w:spacing w:before="0" w:after="0" w:line="440" w:lineRule="exact"/>
              <w:ind w:left="23"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0.5%</w:t>
            </w:r>
          </w:p>
        </w:tc>
        <w:tc>
          <w:tcPr>
            <w:tcW w:w="1992" w:type="dxa"/>
            <w:vAlign w:val="top"/>
          </w:tcPr>
          <w:p w14:paraId="68E3B696">
            <w:pPr>
              <w:pageBreakBefore w:val="0"/>
              <w:widowControl w:val="0"/>
              <w:kinsoku/>
              <w:wordWrap/>
              <w:overflowPunct/>
              <w:topLinePunct w:val="0"/>
              <w:autoSpaceDE/>
              <w:autoSpaceDN/>
              <w:bidi w:val="0"/>
              <w:adjustRightInd/>
              <w:snapToGrid/>
              <w:spacing w:before="0" w:after="0" w:line="440" w:lineRule="exact"/>
              <w:ind w:left="23"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0.25%</w:t>
            </w:r>
          </w:p>
        </w:tc>
        <w:tc>
          <w:tcPr>
            <w:tcW w:w="2293" w:type="dxa"/>
            <w:vAlign w:val="top"/>
          </w:tcPr>
          <w:p w14:paraId="062A9072">
            <w:pPr>
              <w:pageBreakBefore w:val="0"/>
              <w:widowControl w:val="0"/>
              <w:kinsoku/>
              <w:wordWrap/>
              <w:overflowPunct/>
              <w:topLinePunct w:val="0"/>
              <w:autoSpaceDE/>
              <w:autoSpaceDN/>
              <w:bidi w:val="0"/>
              <w:adjustRightInd/>
              <w:snapToGrid/>
              <w:spacing w:before="0" w:after="0" w:line="440" w:lineRule="exact"/>
              <w:ind w:left="23"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0.35%</w:t>
            </w:r>
          </w:p>
        </w:tc>
      </w:tr>
      <w:tr w14:paraId="7D07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14:paraId="3DE6D901">
            <w:pPr>
              <w:pageBreakBefore w:val="0"/>
              <w:widowControl w:val="0"/>
              <w:kinsoku/>
              <w:wordWrap/>
              <w:overflowPunct/>
              <w:topLinePunct w:val="0"/>
              <w:autoSpaceDE/>
              <w:autoSpaceDN/>
              <w:bidi w:val="0"/>
              <w:adjustRightInd/>
              <w:snapToGrid/>
              <w:spacing w:before="0" w:after="0" w:line="440" w:lineRule="exact"/>
              <w:ind w:left="23"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5000-10000</w:t>
            </w:r>
          </w:p>
        </w:tc>
        <w:tc>
          <w:tcPr>
            <w:tcW w:w="1841" w:type="dxa"/>
            <w:vAlign w:val="top"/>
          </w:tcPr>
          <w:p w14:paraId="3D5B4DDC">
            <w:pPr>
              <w:pageBreakBefore w:val="0"/>
              <w:widowControl w:val="0"/>
              <w:kinsoku/>
              <w:wordWrap/>
              <w:overflowPunct/>
              <w:topLinePunct w:val="0"/>
              <w:autoSpaceDE/>
              <w:autoSpaceDN/>
              <w:bidi w:val="0"/>
              <w:adjustRightInd/>
              <w:snapToGrid/>
              <w:spacing w:before="0" w:after="0" w:line="440" w:lineRule="exact"/>
              <w:ind w:left="23"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0.25%</w:t>
            </w:r>
          </w:p>
        </w:tc>
        <w:tc>
          <w:tcPr>
            <w:tcW w:w="1992" w:type="dxa"/>
            <w:vAlign w:val="top"/>
          </w:tcPr>
          <w:p w14:paraId="76CD5EEA">
            <w:pPr>
              <w:pageBreakBefore w:val="0"/>
              <w:widowControl w:val="0"/>
              <w:kinsoku/>
              <w:wordWrap/>
              <w:overflowPunct/>
              <w:topLinePunct w:val="0"/>
              <w:autoSpaceDE/>
              <w:autoSpaceDN/>
              <w:bidi w:val="0"/>
              <w:adjustRightInd/>
              <w:snapToGrid/>
              <w:spacing w:before="0" w:after="0" w:line="440" w:lineRule="exact"/>
              <w:ind w:left="23"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0.1%</w:t>
            </w:r>
          </w:p>
        </w:tc>
        <w:tc>
          <w:tcPr>
            <w:tcW w:w="2293" w:type="dxa"/>
            <w:vAlign w:val="top"/>
          </w:tcPr>
          <w:p w14:paraId="3A7B2E01">
            <w:pPr>
              <w:pageBreakBefore w:val="0"/>
              <w:widowControl w:val="0"/>
              <w:kinsoku/>
              <w:wordWrap/>
              <w:overflowPunct/>
              <w:topLinePunct w:val="0"/>
              <w:autoSpaceDE/>
              <w:autoSpaceDN/>
              <w:bidi w:val="0"/>
              <w:adjustRightInd/>
              <w:snapToGrid/>
              <w:spacing w:before="0" w:after="0" w:line="440" w:lineRule="exact"/>
              <w:ind w:left="23"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0.2%</w:t>
            </w:r>
          </w:p>
        </w:tc>
      </w:tr>
    </w:tbl>
    <w:p w14:paraId="0372E245">
      <w:pPr>
        <w:pageBreakBefore w:val="0"/>
        <w:widowControl w:val="0"/>
        <w:kinsoku/>
        <w:wordWrap/>
        <w:overflowPunct/>
        <w:topLinePunct w:val="0"/>
        <w:autoSpaceDE/>
        <w:autoSpaceDN/>
        <w:bidi w:val="0"/>
        <w:adjustRightInd/>
        <w:snapToGrid/>
        <w:spacing w:before="0" w:after="0" w:line="440" w:lineRule="exact"/>
        <w:ind w:left="25"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代理服务收费按差额定率累进法计算。</w:t>
      </w:r>
    </w:p>
    <w:p w14:paraId="22FFAEA3">
      <w:pPr>
        <w:pageBreakBefore w:val="0"/>
        <w:widowControl w:val="0"/>
        <w:kinsoku/>
        <w:wordWrap/>
        <w:overflowPunct/>
        <w:topLinePunct w:val="0"/>
        <w:autoSpaceDE/>
        <w:autoSpaceDN/>
        <w:bidi w:val="0"/>
        <w:adjustRightInd/>
        <w:snapToGrid/>
        <w:spacing w:before="0" w:after="0" w:line="440" w:lineRule="exact"/>
        <w:ind w:left="0" w:leftChars="0" w:firstLine="422"/>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bookmarkStart w:id="131" w:name="_Toc9779"/>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30.2</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采购</w:t>
      </w:r>
      <w:r>
        <w:rPr>
          <w:rFonts w:hint="eastAsia" w:ascii="宋体" w:hAnsi="宋体" w:eastAsia="宋体" w:cs="宋体"/>
          <w:b w:val="0"/>
          <w:bCs/>
          <w:color w:val="000000" w:themeColor="text1"/>
          <w:sz w:val="21"/>
          <w:szCs w:val="21"/>
          <w:highlight w:val="none"/>
          <w14:textFill>
            <w14:solidFill>
              <w14:schemeClr w14:val="tx1"/>
            </w14:solidFill>
          </w14:textFill>
        </w:rPr>
        <w:t>代理服务费缴纳账户：</w:t>
      </w:r>
    </w:p>
    <w:p w14:paraId="5CAC95B3">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开户银行：中国银行股份有限公司桂林市中隐路支行</w:t>
      </w:r>
    </w:p>
    <w:p w14:paraId="0CD6EA96">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账户名称：广西嘉弘项目管理有限公司</w:t>
      </w:r>
    </w:p>
    <w:p w14:paraId="14B948C5">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银行账号：614585769629</w:t>
      </w:r>
    </w:p>
    <w:p w14:paraId="0CA34778">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Style w:val="29"/>
          <w:rFonts w:hint="eastAsia" w:ascii="宋体" w:hAnsi="宋体" w:eastAsia="宋体" w:cs="宋体"/>
          <w:color w:val="000000" w:themeColor="text1"/>
          <w:sz w:val="21"/>
          <w:szCs w:val="21"/>
          <w:highlight w:val="none"/>
          <w14:textFill>
            <w14:solidFill>
              <w14:schemeClr w14:val="tx1"/>
            </w14:solidFill>
          </w14:textFill>
        </w:rPr>
        <w:t>31. 解释权</w:t>
      </w:r>
      <w:bookmarkEnd w:id="130"/>
      <w:bookmarkEnd w:id="131"/>
      <w:r>
        <w:rPr>
          <w:rFonts w:hint="eastAsia" w:ascii="宋体" w:hAnsi="宋体" w:eastAsia="宋体" w:cs="宋体"/>
          <w:color w:val="000000" w:themeColor="text1"/>
          <w:sz w:val="21"/>
          <w:szCs w:val="2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01D21371">
      <w:pPr>
        <w:pageBreakBefore w:val="0"/>
        <w:widowControl w:val="0"/>
        <w:kinsoku/>
        <w:wordWrap/>
        <w:overflowPunct/>
        <w:topLinePunct w:val="0"/>
        <w:autoSpaceDE/>
        <w:autoSpaceDN/>
        <w:bidi w:val="0"/>
        <w:adjustRightInd/>
        <w:snapToGrid/>
        <w:spacing w:line="440" w:lineRule="exact"/>
        <w:ind w:left="315"/>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32" w:name="_Toc32738"/>
      <w:r>
        <w:rPr>
          <w:rStyle w:val="29"/>
          <w:rFonts w:hint="eastAsia" w:ascii="宋体" w:hAnsi="宋体" w:eastAsia="宋体" w:cs="宋体"/>
          <w:color w:val="000000" w:themeColor="text1"/>
          <w:sz w:val="21"/>
          <w:szCs w:val="21"/>
          <w:highlight w:val="none"/>
          <w14:textFill>
            <w14:solidFill>
              <w14:schemeClr w14:val="tx1"/>
            </w14:solidFill>
          </w14:textFill>
        </w:rPr>
        <w:t>32. 监督管理机构</w:t>
      </w:r>
      <w:bookmarkEnd w:id="132"/>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桂林市临桂区财政局</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lang w:eastAsia="zh-CN"/>
          <w14:textFill>
            <w14:solidFill>
              <w14:schemeClr w14:val="tx1"/>
            </w14:solidFill>
          </w14:textFill>
        </w:rPr>
        <w:t>0773-5593932</w:t>
      </w:r>
    </w:p>
    <w:p w14:paraId="6CD24552">
      <w:pPr>
        <w:pageBreakBefore w:val="0"/>
        <w:widowControl w:val="0"/>
        <w:kinsoku/>
        <w:wordWrap/>
        <w:overflowPunct/>
        <w:topLinePunct w:val="0"/>
        <w:bidi w:val="0"/>
        <w:snapToGrid w:val="0"/>
        <w:spacing w:line="44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4E1FD4A6">
      <w:pPr>
        <w:snapToGrid w:val="0"/>
        <w:rPr>
          <w:rFonts w:hint="eastAsia"/>
          <w:b/>
          <w:color w:val="000000" w:themeColor="text1"/>
          <w:kern w:val="0"/>
          <w:sz w:val="24"/>
          <w:szCs w:val="24"/>
          <w:highlight w:val="none"/>
          <w14:textFill>
            <w14:solidFill>
              <w14:schemeClr w14:val="tx1"/>
            </w14:solidFill>
          </w14:textFill>
        </w:rPr>
      </w:pPr>
    </w:p>
    <w:p w14:paraId="6594F543">
      <w:pPr>
        <w:snapToGrid w:val="0"/>
        <w:rPr>
          <w:rFonts w:hint="eastAsia"/>
          <w:b/>
          <w:color w:val="000000" w:themeColor="text1"/>
          <w:kern w:val="0"/>
          <w:sz w:val="24"/>
          <w:szCs w:val="24"/>
          <w:highlight w:val="none"/>
          <w14:textFill>
            <w14:solidFill>
              <w14:schemeClr w14:val="tx1"/>
            </w14:solidFill>
          </w14:textFill>
        </w:rPr>
      </w:pPr>
    </w:p>
    <w:p w14:paraId="22021D73">
      <w:pPr>
        <w:snapToGrid w:val="0"/>
        <w:rPr>
          <w:rFonts w:hint="eastAsia"/>
          <w:b/>
          <w:color w:val="000000" w:themeColor="text1"/>
          <w:kern w:val="0"/>
          <w:sz w:val="24"/>
          <w:szCs w:val="24"/>
          <w:highlight w:val="none"/>
          <w14:textFill>
            <w14:solidFill>
              <w14:schemeClr w14:val="tx1"/>
            </w14:solidFill>
          </w14:textFill>
        </w:rPr>
      </w:pPr>
    </w:p>
    <w:p w14:paraId="5F8E6E99">
      <w:pPr>
        <w:snapToGrid w:val="0"/>
        <w:rPr>
          <w:rFonts w:hint="eastAsia"/>
          <w:b/>
          <w:color w:val="000000" w:themeColor="text1"/>
          <w:kern w:val="0"/>
          <w:sz w:val="24"/>
          <w:szCs w:val="24"/>
          <w:highlight w:val="none"/>
          <w14:textFill>
            <w14:solidFill>
              <w14:schemeClr w14:val="tx1"/>
            </w14:solidFill>
          </w14:textFill>
        </w:rPr>
      </w:pPr>
    </w:p>
    <w:p w14:paraId="63FE1C23">
      <w:pPr>
        <w:snapToGrid w:val="0"/>
        <w:rPr>
          <w:rFonts w:hint="eastAsia"/>
          <w:b/>
          <w:color w:val="000000" w:themeColor="text1"/>
          <w:kern w:val="0"/>
          <w:sz w:val="24"/>
          <w:szCs w:val="24"/>
          <w:highlight w:val="none"/>
          <w14:textFill>
            <w14:solidFill>
              <w14:schemeClr w14:val="tx1"/>
            </w14:solidFill>
          </w14:textFill>
        </w:rPr>
      </w:pPr>
    </w:p>
    <w:p w14:paraId="1B7D0E53">
      <w:pPr>
        <w:snapToGrid w:val="0"/>
        <w:rPr>
          <w:rFonts w:hint="eastAsia"/>
          <w:b/>
          <w:color w:val="000000" w:themeColor="text1"/>
          <w:kern w:val="0"/>
          <w:sz w:val="24"/>
          <w:szCs w:val="24"/>
          <w:highlight w:val="none"/>
          <w14:textFill>
            <w14:solidFill>
              <w14:schemeClr w14:val="tx1"/>
            </w14:solidFill>
          </w14:textFill>
        </w:rPr>
      </w:pPr>
    </w:p>
    <w:p w14:paraId="061505D9">
      <w:pPr>
        <w:snapToGrid w:val="0"/>
        <w:rPr>
          <w:rFonts w:hint="eastAsia"/>
          <w:b/>
          <w:color w:val="000000" w:themeColor="text1"/>
          <w:kern w:val="0"/>
          <w:sz w:val="24"/>
          <w:szCs w:val="24"/>
          <w:highlight w:val="none"/>
          <w14:textFill>
            <w14:solidFill>
              <w14:schemeClr w14:val="tx1"/>
            </w14:solidFill>
          </w14:textFill>
        </w:rPr>
      </w:pPr>
    </w:p>
    <w:p w14:paraId="669EBF9B">
      <w:pPr>
        <w:snapToGrid w:val="0"/>
        <w:rPr>
          <w:rFonts w:hint="eastAsia"/>
          <w:b/>
          <w:color w:val="000000" w:themeColor="text1"/>
          <w:kern w:val="0"/>
          <w:sz w:val="24"/>
          <w:szCs w:val="24"/>
          <w:highlight w:val="none"/>
          <w14:textFill>
            <w14:solidFill>
              <w14:schemeClr w14:val="tx1"/>
            </w14:solidFill>
          </w14:textFill>
        </w:rPr>
      </w:pPr>
    </w:p>
    <w:p w14:paraId="2D337F37">
      <w:pPr>
        <w:pStyle w:val="2"/>
        <w:rPr>
          <w:rFonts w:hint="eastAsia"/>
          <w:b/>
          <w:color w:val="000000" w:themeColor="text1"/>
          <w:kern w:val="0"/>
          <w:sz w:val="24"/>
          <w:szCs w:val="24"/>
          <w:highlight w:val="none"/>
          <w14:textFill>
            <w14:solidFill>
              <w14:schemeClr w14:val="tx1"/>
            </w14:solidFill>
          </w14:textFill>
        </w:rPr>
      </w:pPr>
    </w:p>
    <w:p w14:paraId="7A0FF6AC">
      <w:pPr>
        <w:rPr>
          <w:rFonts w:hint="eastAsia"/>
          <w:b/>
          <w:color w:val="000000" w:themeColor="text1"/>
          <w:kern w:val="0"/>
          <w:sz w:val="24"/>
          <w:szCs w:val="24"/>
          <w:highlight w:val="none"/>
          <w14:textFill>
            <w14:solidFill>
              <w14:schemeClr w14:val="tx1"/>
            </w14:solidFill>
          </w14:textFill>
        </w:rPr>
      </w:pPr>
    </w:p>
    <w:p w14:paraId="640D8071">
      <w:pPr>
        <w:pStyle w:val="2"/>
        <w:rPr>
          <w:rFonts w:hint="eastAsia"/>
          <w:color w:val="000000" w:themeColor="text1"/>
          <w:highlight w:val="none"/>
          <w14:textFill>
            <w14:solidFill>
              <w14:schemeClr w14:val="tx1"/>
            </w14:solidFill>
          </w14:textFill>
        </w:rPr>
      </w:pPr>
    </w:p>
    <w:p w14:paraId="7BD60294">
      <w:pPr>
        <w:snapToGrid w:val="0"/>
        <w:rPr>
          <w:rFonts w:hint="eastAsia"/>
          <w:b/>
          <w:color w:val="000000" w:themeColor="text1"/>
          <w:kern w:val="0"/>
          <w:sz w:val="24"/>
          <w:szCs w:val="24"/>
          <w:highlight w:val="none"/>
          <w14:textFill>
            <w14:solidFill>
              <w14:schemeClr w14:val="tx1"/>
            </w14:solidFill>
          </w14:textFill>
        </w:rPr>
      </w:pPr>
    </w:p>
    <w:p w14:paraId="1051D893">
      <w:pPr>
        <w:snapToGrid w:val="0"/>
        <w:rPr>
          <w:rFonts w:hint="eastAsia"/>
          <w:b/>
          <w:color w:val="000000" w:themeColor="text1"/>
          <w:kern w:val="0"/>
          <w:sz w:val="24"/>
          <w:szCs w:val="24"/>
          <w:highlight w:val="none"/>
          <w14:textFill>
            <w14:solidFill>
              <w14:schemeClr w14:val="tx1"/>
            </w14:solidFill>
          </w14:textFill>
        </w:rPr>
      </w:pPr>
    </w:p>
    <w:p w14:paraId="132642AB">
      <w:pPr>
        <w:snapToGrid w:val="0"/>
        <w:rPr>
          <w:rFonts w:hint="eastAsia"/>
          <w:b/>
          <w:color w:val="000000" w:themeColor="text1"/>
          <w:kern w:val="0"/>
          <w:sz w:val="24"/>
          <w:szCs w:val="24"/>
          <w:highlight w:val="none"/>
          <w14:textFill>
            <w14:solidFill>
              <w14:schemeClr w14:val="tx1"/>
            </w14:solidFill>
          </w14:textFill>
        </w:rPr>
      </w:pPr>
    </w:p>
    <w:p w14:paraId="4D7A95E3">
      <w:pPr>
        <w:rPr>
          <w:rFonts w:hint="eastAsia"/>
          <w:b/>
          <w:color w:val="000000" w:themeColor="text1"/>
          <w:kern w:val="0"/>
          <w:sz w:val="24"/>
          <w:szCs w:val="24"/>
          <w:highlight w:val="none"/>
          <w14:textFill>
            <w14:solidFill>
              <w14:schemeClr w14:val="tx1"/>
            </w14:solidFill>
          </w14:textFill>
        </w:rPr>
      </w:pPr>
      <w:r>
        <w:rPr>
          <w:rFonts w:hint="eastAsia"/>
          <w:b/>
          <w:color w:val="000000" w:themeColor="text1"/>
          <w:kern w:val="0"/>
          <w:sz w:val="24"/>
          <w:szCs w:val="24"/>
          <w:highlight w:val="none"/>
          <w14:textFill>
            <w14:solidFill>
              <w14:schemeClr w14:val="tx1"/>
            </w14:solidFill>
          </w14:textFill>
        </w:rPr>
        <w:br w:type="page"/>
      </w:r>
    </w:p>
    <w:p w14:paraId="46FE6A57">
      <w:pPr>
        <w:snapToGrid w:val="0"/>
        <w:rPr>
          <w:rFonts w:hAnsi="宋体"/>
          <w:b/>
          <w:color w:val="000000" w:themeColor="text1"/>
          <w:kern w:val="0"/>
          <w:sz w:val="24"/>
          <w:szCs w:val="24"/>
          <w:highlight w:val="none"/>
          <w14:textFill>
            <w14:solidFill>
              <w14:schemeClr w14:val="tx1"/>
            </w14:solidFill>
          </w14:textFill>
        </w:rPr>
      </w:pPr>
      <w:r>
        <w:rPr>
          <w:rFonts w:hint="eastAsia"/>
          <w:b/>
          <w:color w:val="000000" w:themeColor="text1"/>
          <w:kern w:val="0"/>
          <w:sz w:val="24"/>
          <w:szCs w:val="24"/>
          <w:highlight w:val="none"/>
          <w14:textFill>
            <w14:solidFill>
              <w14:schemeClr w14:val="tx1"/>
            </w14:solidFill>
          </w14:textFill>
        </w:rPr>
        <w:t>附表1：</w:t>
      </w:r>
    </w:p>
    <w:p w14:paraId="043875E9">
      <w:pPr>
        <w:spacing w:line="460" w:lineRule="exact"/>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质疑函（格式）</w:t>
      </w:r>
    </w:p>
    <w:p w14:paraId="61165627">
      <w:pPr>
        <w:snapToGrid w:val="0"/>
        <w:spacing w:line="360" w:lineRule="exact"/>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一、质疑供应商基本信息：</w:t>
      </w:r>
    </w:p>
    <w:p w14:paraId="33E7B052">
      <w:pPr>
        <w:snapToGrid w:val="0"/>
        <w:spacing w:line="360" w:lineRule="exact"/>
        <w:ind w:firstLine="480" w:firstLineChars="200"/>
        <w:rPr>
          <w:rFonts w:hint="eastAsia" w:ascii="宋体" w:hAnsi="宋体" w:eastAsia="宋体" w:cs="宋体"/>
          <w:bCs/>
          <w:color w:val="000000" w:themeColor="text1"/>
          <w:kern w:val="0"/>
          <w:sz w:val="24"/>
          <w:szCs w:val="24"/>
          <w:highlight w:val="none"/>
          <w:u w:val="singl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质疑供应商：</w:t>
      </w:r>
    </w:p>
    <w:p w14:paraId="1927A73B">
      <w:pPr>
        <w:snapToGrid w:val="0"/>
        <w:spacing w:line="360" w:lineRule="exact"/>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地址：邮编：</w:t>
      </w:r>
    </w:p>
    <w:p w14:paraId="2175E31B">
      <w:pPr>
        <w:snapToGrid w:val="0"/>
        <w:spacing w:line="360" w:lineRule="exact"/>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联系人：联系电话：</w:t>
      </w:r>
    </w:p>
    <w:p w14:paraId="2CEEB064">
      <w:pPr>
        <w:snapToGrid w:val="0"/>
        <w:spacing w:line="360" w:lineRule="exact"/>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授权代表：</w:t>
      </w:r>
    </w:p>
    <w:p w14:paraId="0C5F3D73">
      <w:pPr>
        <w:snapToGrid w:val="0"/>
        <w:spacing w:line="360" w:lineRule="exact"/>
        <w:ind w:firstLine="480" w:firstLineChars="200"/>
        <w:rPr>
          <w:rFonts w:hint="eastAsia" w:ascii="宋体" w:hAnsi="宋体" w:eastAsia="宋体" w:cs="宋体"/>
          <w:bCs/>
          <w:color w:val="000000" w:themeColor="text1"/>
          <w:kern w:val="0"/>
          <w:sz w:val="24"/>
          <w:szCs w:val="24"/>
          <w:highlight w:val="none"/>
          <w:u w:val="singl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联系电话：</w:t>
      </w:r>
    </w:p>
    <w:p w14:paraId="3B4F239A">
      <w:pPr>
        <w:snapToGrid w:val="0"/>
        <w:spacing w:line="360" w:lineRule="exact"/>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地址：邮编：</w:t>
      </w:r>
    </w:p>
    <w:p w14:paraId="50284F1F">
      <w:pPr>
        <w:snapToGrid w:val="0"/>
        <w:spacing w:line="360" w:lineRule="exact"/>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二、质疑项目基本情况：</w:t>
      </w:r>
    </w:p>
    <w:p w14:paraId="67C1D2AB">
      <w:pPr>
        <w:spacing w:line="36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质疑</w:t>
      </w:r>
      <w:r>
        <w:rPr>
          <w:rFonts w:hint="eastAsia" w:ascii="宋体" w:hAnsi="宋体" w:eastAsia="宋体" w:cs="宋体"/>
          <w:color w:val="000000" w:themeColor="text1"/>
          <w:kern w:val="0"/>
          <w:sz w:val="24"/>
          <w:szCs w:val="24"/>
          <w:highlight w:val="none"/>
          <w14:textFill>
            <w14:solidFill>
              <w14:schemeClr w14:val="tx1"/>
            </w14:solidFill>
          </w14:textFill>
        </w:rPr>
        <w:t>项目的名称：</w:t>
      </w:r>
    </w:p>
    <w:p w14:paraId="4C4A5961">
      <w:pPr>
        <w:spacing w:line="36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质疑</w:t>
      </w:r>
      <w:r>
        <w:rPr>
          <w:rFonts w:hint="eastAsia" w:ascii="宋体" w:hAnsi="宋体" w:eastAsia="宋体" w:cs="宋体"/>
          <w:color w:val="000000" w:themeColor="text1"/>
          <w:kern w:val="0"/>
          <w:sz w:val="24"/>
          <w:szCs w:val="24"/>
          <w:highlight w:val="none"/>
          <w14:textFill>
            <w14:solidFill>
              <w14:schemeClr w14:val="tx1"/>
            </w14:solidFill>
          </w14:textFill>
        </w:rPr>
        <w:t>项目的编号：</w:t>
      </w:r>
    </w:p>
    <w:p w14:paraId="54D948B3">
      <w:pPr>
        <w:spacing w:line="36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采购人名称：</w:t>
      </w:r>
    </w:p>
    <w:p w14:paraId="47F1CCCB">
      <w:pPr>
        <w:spacing w:line="36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质疑事项：</w:t>
      </w:r>
    </w:p>
    <w:p w14:paraId="19CB6F1D">
      <w:pPr>
        <w:spacing w:line="360" w:lineRule="exact"/>
        <w:ind w:left="25" w:leftChars="12" w:firstLine="352" w:firstLineChars="14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□采购文件   采购文件获取日期：</w:t>
      </w:r>
    </w:p>
    <w:p w14:paraId="0BC97C0B">
      <w:pPr>
        <w:spacing w:line="360" w:lineRule="exact"/>
        <w:ind w:left="25" w:leftChars="12" w:firstLine="352" w:firstLineChars="14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□采购过程   </w:t>
      </w:r>
    </w:p>
    <w:p w14:paraId="79EDA103">
      <w:pPr>
        <w:spacing w:line="360" w:lineRule="exact"/>
        <w:ind w:left="25" w:leftChars="12" w:firstLine="352" w:firstLineChars="147"/>
        <w:rPr>
          <w:rFonts w:hint="eastAsia" w:ascii="宋体" w:hAnsi="宋体" w:eastAsia="宋体" w:cs="宋体"/>
          <w:bCs/>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□成交结果   </w:t>
      </w:r>
    </w:p>
    <w:p w14:paraId="08BF0673">
      <w:pPr>
        <w:spacing w:line="360" w:lineRule="exact"/>
        <w:ind w:left="25" w:leftChars="12" w:firstLine="472" w:firstLineChars="196"/>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三、质疑事项具体内容</w:t>
      </w:r>
    </w:p>
    <w:p w14:paraId="78418F49">
      <w:pPr>
        <w:spacing w:line="36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质疑事项1：</w:t>
      </w:r>
    </w:p>
    <w:p w14:paraId="24EA8EDE">
      <w:pPr>
        <w:spacing w:line="36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事实依据：</w:t>
      </w:r>
    </w:p>
    <w:p w14:paraId="21F34F55">
      <w:pPr>
        <w:spacing w:line="36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法律依据：</w:t>
      </w:r>
    </w:p>
    <w:p w14:paraId="4B8C8B0C">
      <w:pPr>
        <w:spacing w:line="36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质疑事项2</w:t>
      </w:r>
    </w:p>
    <w:p w14:paraId="76EC53D1">
      <w:pPr>
        <w:spacing w:line="36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3948E369">
      <w:pPr>
        <w:spacing w:line="36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四、与质疑事项相关的质疑请求：</w:t>
      </w:r>
    </w:p>
    <w:p w14:paraId="2565CB3F">
      <w:pPr>
        <w:spacing w:line="36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请求：</w:t>
      </w:r>
    </w:p>
    <w:p w14:paraId="0E616786">
      <w:pPr>
        <w:spacing w:line="360" w:lineRule="exact"/>
        <w:ind w:left="25" w:leftChars="12" w:firstLine="352" w:firstLineChars="147"/>
        <w:rPr>
          <w:rFonts w:hint="eastAsia" w:ascii="宋体" w:hAnsi="宋体" w:eastAsia="宋体" w:cs="宋体"/>
          <w:color w:val="000000" w:themeColor="text1"/>
          <w:kern w:val="0"/>
          <w:sz w:val="24"/>
          <w:szCs w:val="24"/>
          <w:highlight w:val="none"/>
          <w14:textFill>
            <w14:solidFill>
              <w14:schemeClr w14:val="tx1"/>
            </w14:solidFill>
          </w14:textFill>
        </w:rPr>
      </w:pPr>
    </w:p>
    <w:p w14:paraId="7E0238A6">
      <w:pPr>
        <w:spacing w:line="36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签字（签章）：                                       公章：</w:t>
      </w:r>
    </w:p>
    <w:p w14:paraId="5EC852EF">
      <w:pPr>
        <w:spacing w:line="360" w:lineRule="exact"/>
        <w:ind w:left="25" w:leftChars="12" w:firstLine="352" w:firstLineChars="147"/>
        <w:rPr>
          <w:rFonts w:hint="eastAsia" w:ascii="宋体" w:hAnsi="宋体" w:eastAsia="宋体" w:cs="宋体"/>
          <w:color w:val="000000" w:themeColor="text1"/>
          <w:kern w:val="0"/>
          <w:sz w:val="24"/>
          <w:szCs w:val="24"/>
          <w:highlight w:val="none"/>
          <w14:textFill>
            <w14:solidFill>
              <w14:schemeClr w14:val="tx1"/>
            </w14:solidFill>
          </w14:textFill>
        </w:rPr>
      </w:pPr>
    </w:p>
    <w:p w14:paraId="15095672">
      <w:pPr>
        <w:spacing w:line="36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日期：</w:t>
      </w:r>
    </w:p>
    <w:p w14:paraId="6FE1C558">
      <w:pPr>
        <w:snapToGrid w:val="0"/>
        <w:spacing w:line="340" w:lineRule="exact"/>
        <w:rPr>
          <w:rFonts w:hint="eastAsia" w:ascii="宋体" w:hAnsi="宋体" w:eastAsia="宋体" w:cs="宋体"/>
          <w:b/>
          <w:color w:val="000000" w:themeColor="text1"/>
          <w:kern w:val="0"/>
          <w:sz w:val="24"/>
          <w:szCs w:val="24"/>
          <w:highlight w:val="none"/>
          <w14:textFill>
            <w14:solidFill>
              <w14:schemeClr w14:val="tx1"/>
            </w14:solidFill>
          </w14:textFill>
        </w:rPr>
      </w:pPr>
    </w:p>
    <w:p w14:paraId="6674DD54">
      <w:pPr>
        <w:snapToGrid w:val="0"/>
        <w:spacing w:line="340" w:lineRule="exac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说明：</w:t>
      </w:r>
    </w:p>
    <w:p w14:paraId="48743346">
      <w:pPr>
        <w:spacing w:line="340" w:lineRule="exact"/>
        <w:ind w:left="25" w:leftChars="12" w:firstLine="354" w:firstLineChars="147"/>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1.供应商提出质疑时，应提交质疑函和必要的证明材料</w:t>
      </w:r>
      <w:r>
        <w:rPr>
          <w:rFonts w:hint="eastAsia" w:ascii="宋体" w:hAnsi="宋体" w:eastAsia="宋体" w:cs="宋体"/>
          <w:b/>
          <w:bCs/>
          <w:color w:val="000000" w:themeColor="text1"/>
          <w:kern w:val="0"/>
          <w:sz w:val="24"/>
          <w:szCs w:val="24"/>
          <w:highlight w:val="none"/>
          <w14:textFill>
            <w14:solidFill>
              <w14:schemeClr w14:val="tx1"/>
            </w14:solidFill>
          </w14:textFill>
        </w:rPr>
        <w:t>。</w:t>
      </w:r>
    </w:p>
    <w:p w14:paraId="0EDCEE81">
      <w:pPr>
        <w:spacing w:line="340" w:lineRule="exact"/>
        <w:ind w:left="25" w:leftChars="12" w:firstLine="354" w:firstLineChars="147"/>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8C8A864">
      <w:pPr>
        <w:spacing w:line="340" w:lineRule="exact"/>
        <w:ind w:left="25" w:leftChars="12" w:firstLine="354" w:firstLineChars="147"/>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3.质疑函的质疑事项应具体、明确，并有必要的事实依据和法律依据。</w:t>
      </w:r>
    </w:p>
    <w:p w14:paraId="6E7BF6A2">
      <w:pPr>
        <w:spacing w:line="340" w:lineRule="exact"/>
        <w:ind w:left="25" w:leftChars="12" w:firstLine="354" w:firstLineChars="147"/>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4.质疑函的质疑请求应与质疑事项相关。</w:t>
      </w:r>
    </w:p>
    <w:p w14:paraId="5B344048">
      <w:pPr>
        <w:spacing w:line="340" w:lineRule="exact"/>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6.质疑供应商为法人或者其他组织的，质疑函应由法定代表人、主要负责人，或者其授权代表签字或者盖章，并加盖公章。</w:t>
      </w:r>
    </w:p>
    <w:p w14:paraId="5FA3C6CB">
      <w:pPr>
        <w:snapToGrid w:val="0"/>
        <w:rPr>
          <w:rFonts w:hAnsi="宋体"/>
          <w:b/>
          <w:color w:val="000000" w:themeColor="text1"/>
          <w:kern w:val="0"/>
          <w:sz w:val="24"/>
          <w:szCs w:val="24"/>
          <w:highlight w:val="none"/>
          <w14:textFill>
            <w14:solidFill>
              <w14:schemeClr w14:val="tx1"/>
            </w14:solidFill>
          </w14:textFill>
        </w:rPr>
      </w:pPr>
      <w:r>
        <w:rPr>
          <w:rFonts w:hint="eastAsia"/>
          <w:b/>
          <w:color w:val="000000" w:themeColor="text1"/>
          <w:kern w:val="0"/>
          <w:sz w:val="24"/>
          <w:szCs w:val="24"/>
          <w:highlight w:val="none"/>
          <w14:textFill>
            <w14:solidFill>
              <w14:schemeClr w14:val="tx1"/>
            </w14:solidFill>
          </w14:textFill>
        </w:rPr>
        <w:t>附表2：</w:t>
      </w:r>
    </w:p>
    <w:p w14:paraId="60DBDFD0">
      <w:pPr>
        <w:spacing w:line="460" w:lineRule="exact"/>
        <w:jc w:val="center"/>
        <w:rPr>
          <w:rFonts w:eastAsia="隶书"/>
          <w:color w:val="000000" w:themeColor="text1"/>
          <w:kern w:val="0"/>
          <w:sz w:val="24"/>
          <w:szCs w:val="24"/>
          <w:highlight w:val="none"/>
          <w14:textFill>
            <w14:solidFill>
              <w14:schemeClr w14:val="tx1"/>
            </w14:solidFill>
          </w14:textFill>
        </w:rPr>
      </w:pPr>
    </w:p>
    <w:p w14:paraId="381E7D80">
      <w:pPr>
        <w:spacing w:line="460" w:lineRule="exact"/>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投诉书（格式）</w:t>
      </w:r>
    </w:p>
    <w:p w14:paraId="41EDD59F">
      <w:pPr>
        <w:snapToGrid w:val="0"/>
        <w:spacing w:line="400" w:lineRule="exact"/>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一、投诉相关主体基本情况：</w:t>
      </w:r>
    </w:p>
    <w:p w14:paraId="7907C0A0">
      <w:pPr>
        <w:snapToGrid w:val="0"/>
        <w:spacing w:line="400" w:lineRule="exact"/>
        <w:ind w:firstLine="480" w:firstLineChars="200"/>
        <w:rPr>
          <w:rFonts w:hint="eastAsia" w:ascii="宋体" w:hAnsi="宋体" w:eastAsia="宋体" w:cs="宋体"/>
          <w:bCs/>
          <w:color w:val="000000" w:themeColor="text1"/>
          <w:kern w:val="0"/>
          <w:sz w:val="24"/>
          <w:szCs w:val="24"/>
          <w:highlight w:val="none"/>
          <w:u w:val="singl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供应商：</w:t>
      </w:r>
    </w:p>
    <w:p w14:paraId="1B796259">
      <w:pPr>
        <w:snapToGrid w:val="0"/>
        <w:spacing w:line="400" w:lineRule="exact"/>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地址：邮编：</w:t>
      </w:r>
    </w:p>
    <w:p w14:paraId="52DEC7C5">
      <w:pPr>
        <w:snapToGrid w:val="0"/>
        <w:spacing w:line="400" w:lineRule="exact"/>
        <w:ind w:firstLine="480" w:firstLineChars="200"/>
        <w:rPr>
          <w:rFonts w:hint="eastAsia" w:ascii="宋体" w:hAnsi="宋体" w:eastAsia="宋体" w:cs="宋体"/>
          <w:bCs/>
          <w:color w:val="000000" w:themeColor="text1"/>
          <w:kern w:val="0"/>
          <w:sz w:val="24"/>
          <w:szCs w:val="24"/>
          <w:highlight w:val="none"/>
          <w:u w:val="singl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法定代表人/主要负责人：</w:t>
      </w:r>
    </w:p>
    <w:p w14:paraId="45D7EAC0">
      <w:pPr>
        <w:snapToGrid w:val="0"/>
        <w:spacing w:line="400" w:lineRule="exact"/>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联系电话：</w:t>
      </w:r>
    </w:p>
    <w:p w14:paraId="60BDC660">
      <w:pPr>
        <w:snapToGrid w:val="0"/>
        <w:spacing w:line="400" w:lineRule="exact"/>
        <w:ind w:firstLine="480" w:firstLineChars="200"/>
        <w:rPr>
          <w:rFonts w:hint="eastAsia" w:ascii="宋体" w:hAnsi="宋体" w:eastAsia="宋体" w:cs="宋体"/>
          <w:bCs/>
          <w:color w:val="000000" w:themeColor="text1"/>
          <w:kern w:val="0"/>
          <w:sz w:val="24"/>
          <w:szCs w:val="24"/>
          <w:highlight w:val="none"/>
          <w:u w:val="singl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授权代表：联系电话：</w:t>
      </w:r>
    </w:p>
    <w:p w14:paraId="02C9EDB4">
      <w:pPr>
        <w:snapToGrid w:val="0"/>
        <w:spacing w:line="400" w:lineRule="exact"/>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地址：邮编：</w:t>
      </w:r>
    </w:p>
    <w:p w14:paraId="79E844E0">
      <w:pPr>
        <w:snapToGrid w:val="0"/>
        <w:spacing w:line="400" w:lineRule="exact"/>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被投诉人1：</w:t>
      </w:r>
    </w:p>
    <w:p w14:paraId="2071F86D">
      <w:pPr>
        <w:snapToGrid w:val="0"/>
        <w:spacing w:line="400" w:lineRule="exact"/>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地址：邮编：</w:t>
      </w:r>
    </w:p>
    <w:p w14:paraId="4041B2A8">
      <w:pPr>
        <w:snapToGrid w:val="0"/>
        <w:spacing w:line="400" w:lineRule="exact"/>
        <w:ind w:firstLine="480" w:firstLineChars="200"/>
        <w:rPr>
          <w:rFonts w:hint="eastAsia" w:ascii="宋体" w:hAnsi="宋体" w:eastAsia="宋体" w:cs="宋体"/>
          <w:bCs/>
          <w:color w:val="000000" w:themeColor="text1"/>
          <w:kern w:val="0"/>
          <w:sz w:val="24"/>
          <w:szCs w:val="24"/>
          <w:highlight w:val="none"/>
          <w:u w:val="singl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联系人：联系电话：</w:t>
      </w:r>
    </w:p>
    <w:p w14:paraId="3CF49BB3">
      <w:pPr>
        <w:snapToGrid w:val="0"/>
        <w:spacing w:line="400" w:lineRule="exact"/>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被投诉人2：</w:t>
      </w:r>
    </w:p>
    <w:p w14:paraId="68C0842F">
      <w:pPr>
        <w:snapToGrid w:val="0"/>
        <w:spacing w:line="400" w:lineRule="exact"/>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w:t>
      </w:r>
    </w:p>
    <w:p w14:paraId="716EBE00">
      <w:pPr>
        <w:snapToGrid w:val="0"/>
        <w:spacing w:line="400" w:lineRule="exact"/>
        <w:ind w:firstLine="480" w:firstLineChars="200"/>
        <w:rPr>
          <w:rFonts w:hint="eastAsia" w:ascii="宋体" w:hAnsi="宋体" w:eastAsia="宋体" w:cs="宋体"/>
          <w:bCs/>
          <w:color w:val="000000" w:themeColor="text1"/>
          <w:kern w:val="0"/>
          <w:sz w:val="24"/>
          <w:szCs w:val="24"/>
          <w:highlight w:val="none"/>
          <w:u w:val="singl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相关供应商：</w:t>
      </w:r>
    </w:p>
    <w:p w14:paraId="2EFFD126">
      <w:pPr>
        <w:snapToGrid w:val="0"/>
        <w:spacing w:line="400" w:lineRule="exact"/>
        <w:ind w:firstLine="480" w:firstLineChars="200"/>
        <w:rPr>
          <w:rFonts w:hint="eastAsia" w:ascii="宋体" w:hAnsi="宋体" w:eastAsia="宋体" w:cs="宋体"/>
          <w:bCs/>
          <w:color w:val="000000" w:themeColor="text1"/>
          <w:kern w:val="0"/>
          <w:sz w:val="24"/>
          <w:szCs w:val="24"/>
          <w:highlight w:val="none"/>
          <w:u w:val="singl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地址：邮编：</w:t>
      </w:r>
    </w:p>
    <w:p w14:paraId="1EBDD9B5">
      <w:pPr>
        <w:snapToGrid w:val="0"/>
        <w:spacing w:line="400" w:lineRule="exact"/>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联系人：联系电话：</w:t>
      </w:r>
    </w:p>
    <w:p w14:paraId="3365FD18">
      <w:pPr>
        <w:snapToGrid w:val="0"/>
        <w:spacing w:line="400" w:lineRule="exact"/>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二、投诉项目基本情况：</w:t>
      </w:r>
    </w:p>
    <w:p w14:paraId="5CA37D0B">
      <w:pPr>
        <w:spacing w:line="40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采购</w:t>
      </w:r>
      <w:r>
        <w:rPr>
          <w:rFonts w:hint="eastAsia" w:ascii="宋体" w:hAnsi="宋体" w:eastAsia="宋体" w:cs="宋体"/>
          <w:color w:val="000000" w:themeColor="text1"/>
          <w:kern w:val="0"/>
          <w:sz w:val="24"/>
          <w:szCs w:val="24"/>
          <w:highlight w:val="none"/>
          <w14:textFill>
            <w14:solidFill>
              <w14:schemeClr w14:val="tx1"/>
            </w14:solidFill>
          </w14:textFill>
        </w:rPr>
        <w:t>项目的名称：</w:t>
      </w:r>
    </w:p>
    <w:p w14:paraId="7C775E39">
      <w:pPr>
        <w:spacing w:line="40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采购</w:t>
      </w:r>
      <w:r>
        <w:rPr>
          <w:rFonts w:hint="eastAsia" w:ascii="宋体" w:hAnsi="宋体" w:eastAsia="宋体" w:cs="宋体"/>
          <w:color w:val="000000" w:themeColor="text1"/>
          <w:kern w:val="0"/>
          <w:sz w:val="24"/>
          <w:szCs w:val="24"/>
          <w:highlight w:val="none"/>
          <w14:textFill>
            <w14:solidFill>
              <w14:schemeClr w14:val="tx1"/>
            </w14:solidFill>
          </w14:textFill>
        </w:rPr>
        <w:t>项目的编号：</w:t>
      </w:r>
    </w:p>
    <w:p w14:paraId="7E2C0C78">
      <w:pPr>
        <w:spacing w:line="400" w:lineRule="exact"/>
        <w:ind w:left="25" w:leftChars="12" w:firstLine="472" w:firstLineChars="197"/>
        <w:rPr>
          <w:rFonts w:hint="eastAsia" w:ascii="宋体" w:hAnsi="宋体" w:eastAsia="宋体" w:cs="宋体"/>
          <w:bCs/>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采购人名称：</w:t>
      </w:r>
    </w:p>
    <w:p w14:paraId="41E2FC4C">
      <w:pPr>
        <w:spacing w:line="400" w:lineRule="exact"/>
        <w:ind w:left="25" w:leftChars="12" w:firstLine="472" w:firstLineChars="197"/>
        <w:rPr>
          <w:rFonts w:hint="eastAsia" w:ascii="宋体" w:hAnsi="宋体" w:eastAsia="宋体" w:cs="宋体"/>
          <w:bCs/>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代理机构名称：</w:t>
      </w:r>
    </w:p>
    <w:p w14:paraId="6CA70B8E">
      <w:pPr>
        <w:spacing w:line="400" w:lineRule="exact"/>
        <w:ind w:left="25" w:leftChars="12" w:firstLine="472" w:firstLineChars="197"/>
        <w:rPr>
          <w:rFonts w:hint="eastAsia" w:ascii="宋体" w:hAnsi="宋体" w:eastAsia="宋体" w:cs="宋体"/>
          <w:bCs/>
          <w:color w:val="000000" w:themeColor="text1"/>
          <w:kern w:val="0"/>
          <w:sz w:val="24"/>
          <w:szCs w:val="24"/>
          <w:highlight w:val="none"/>
          <w:u w:val="singl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采购文件公告：</w:t>
      </w:r>
      <w:r>
        <w:rPr>
          <w:rFonts w:hint="eastAsia" w:ascii="宋体" w:hAnsi="宋体" w:eastAsia="宋体" w:cs="宋体"/>
          <w:bCs/>
          <w:color w:val="000000" w:themeColor="text1"/>
          <w:kern w:val="0"/>
          <w:sz w:val="24"/>
          <w:szCs w:val="24"/>
          <w:highlight w:val="none"/>
          <w:u w:val="single"/>
          <w14:textFill>
            <w14:solidFill>
              <w14:schemeClr w14:val="tx1"/>
            </w14:solidFill>
          </w14:textFill>
        </w:rPr>
        <w:t>是/否</w:t>
      </w:r>
      <w:r>
        <w:rPr>
          <w:rFonts w:hint="eastAsia" w:ascii="宋体" w:hAnsi="宋体" w:eastAsia="宋体" w:cs="宋体"/>
          <w:bCs/>
          <w:color w:val="000000" w:themeColor="text1"/>
          <w:kern w:val="0"/>
          <w:sz w:val="24"/>
          <w:szCs w:val="24"/>
          <w:highlight w:val="none"/>
          <w14:textFill>
            <w14:solidFill>
              <w14:schemeClr w14:val="tx1"/>
            </w14:solidFill>
          </w14:textFill>
        </w:rPr>
        <w:t>公告期限：</w:t>
      </w:r>
    </w:p>
    <w:p w14:paraId="1BCC368A">
      <w:pPr>
        <w:spacing w:line="400" w:lineRule="exact"/>
        <w:ind w:left="25" w:leftChars="12" w:firstLine="472" w:firstLineChars="197"/>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采购结果公告：</w:t>
      </w:r>
      <w:r>
        <w:rPr>
          <w:rFonts w:hint="eastAsia" w:ascii="宋体" w:hAnsi="宋体" w:eastAsia="宋体" w:cs="宋体"/>
          <w:bCs/>
          <w:color w:val="000000" w:themeColor="text1"/>
          <w:kern w:val="0"/>
          <w:sz w:val="24"/>
          <w:szCs w:val="24"/>
          <w:highlight w:val="none"/>
          <w:u w:val="single"/>
          <w14:textFill>
            <w14:solidFill>
              <w14:schemeClr w14:val="tx1"/>
            </w14:solidFill>
          </w14:textFill>
        </w:rPr>
        <w:t>是/否</w:t>
      </w:r>
      <w:r>
        <w:rPr>
          <w:rFonts w:hint="eastAsia" w:ascii="宋体" w:hAnsi="宋体" w:eastAsia="宋体" w:cs="宋体"/>
          <w:bCs/>
          <w:color w:val="000000" w:themeColor="text1"/>
          <w:kern w:val="0"/>
          <w:sz w:val="24"/>
          <w:szCs w:val="24"/>
          <w:highlight w:val="none"/>
          <w14:textFill>
            <w14:solidFill>
              <w14:schemeClr w14:val="tx1"/>
            </w14:solidFill>
          </w14:textFill>
        </w:rPr>
        <w:t>公告期限：</w:t>
      </w:r>
    </w:p>
    <w:p w14:paraId="7F4D9D2C">
      <w:pPr>
        <w:spacing w:line="400" w:lineRule="exact"/>
        <w:ind w:left="25" w:leftChars="12" w:firstLine="472" w:firstLineChars="196"/>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三、质疑基本情况</w:t>
      </w:r>
    </w:p>
    <w:p w14:paraId="31C4F0BF">
      <w:pPr>
        <w:spacing w:line="400" w:lineRule="exact"/>
        <w:ind w:left="25" w:leftChars="12" w:firstLine="952" w:firstLineChars="3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投诉人于年月日，向提出质疑，质疑事项为：</w:t>
      </w:r>
    </w:p>
    <w:p w14:paraId="705EFC37">
      <w:pPr>
        <w:spacing w:line="400" w:lineRule="exact"/>
        <w:rPr>
          <w:rFonts w:hint="eastAsia" w:ascii="宋体" w:hAnsi="宋体" w:eastAsia="宋体" w:cs="宋体"/>
          <w:bCs/>
          <w:color w:val="000000" w:themeColor="text1"/>
          <w:kern w:val="0"/>
          <w:sz w:val="24"/>
          <w:szCs w:val="24"/>
          <w:highlight w:val="none"/>
          <w:u w:val="single"/>
          <w14:textFill>
            <w14:solidFill>
              <w14:schemeClr w14:val="tx1"/>
            </w14:solidFill>
          </w14:textFill>
        </w:rPr>
      </w:pPr>
    </w:p>
    <w:p w14:paraId="09FB35F2">
      <w:pPr>
        <w:spacing w:line="400" w:lineRule="exact"/>
        <w:rPr>
          <w:rFonts w:hint="eastAsia" w:ascii="宋体" w:hAnsi="宋体" w:eastAsia="宋体" w:cs="宋体"/>
          <w:bCs/>
          <w:color w:val="000000" w:themeColor="text1"/>
          <w:kern w:val="0"/>
          <w:sz w:val="24"/>
          <w:szCs w:val="24"/>
          <w:highlight w:val="none"/>
          <w:u w:val="single"/>
          <w14:textFill>
            <w14:solidFill>
              <w14:schemeClr w14:val="tx1"/>
            </w14:solidFill>
          </w14:textFill>
        </w:rPr>
      </w:pPr>
    </w:p>
    <w:p w14:paraId="721B0A6C">
      <w:pPr>
        <w:spacing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u w:val="single"/>
          <w14:textFill>
            <w14:solidFill>
              <w14:schemeClr w14:val="tx1"/>
            </w14:solidFill>
          </w14:textFill>
        </w:rPr>
        <w:t>采购人/代理机构</w:t>
      </w:r>
      <w:r>
        <w:rPr>
          <w:rFonts w:hint="eastAsia" w:ascii="宋体" w:hAnsi="宋体" w:eastAsia="宋体" w:cs="宋体"/>
          <w:bCs/>
          <w:color w:val="000000" w:themeColor="text1"/>
          <w:kern w:val="0"/>
          <w:sz w:val="24"/>
          <w:szCs w:val="24"/>
          <w:highlight w:val="none"/>
          <w14:textFill>
            <w14:solidFill>
              <w14:schemeClr w14:val="tx1"/>
            </w14:solidFill>
          </w14:textFill>
        </w:rPr>
        <w:t>于</w:t>
      </w:r>
      <w:r>
        <w:rPr>
          <w:rFonts w:hint="eastAsia" w:ascii="宋体" w:hAnsi="宋体" w:eastAsia="宋体" w:cs="宋体"/>
          <w:color w:val="000000" w:themeColor="text1"/>
          <w:kern w:val="0"/>
          <w:sz w:val="24"/>
          <w:szCs w:val="24"/>
          <w:highlight w:val="none"/>
          <w14:textFill>
            <w14:solidFill>
              <w14:schemeClr w14:val="tx1"/>
            </w14:solidFill>
          </w14:textFill>
        </w:rPr>
        <w:t>年月日，</w:t>
      </w:r>
      <w:r>
        <w:rPr>
          <w:rFonts w:hint="eastAsia" w:ascii="宋体" w:hAnsi="宋体" w:eastAsia="宋体" w:cs="宋体"/>
          <w:bCs/>
          <w:color w:val="000000" w:themeColor="text1"/>
          <w:kern w:val="0"/>
          <w:sz w:val="24"/>
          <w:szCs w:val="24"/>
          <w:highlight w:val="none"/>
          <w14:textFill>
            <w14:solidFill>
              <w14:schemeClr w14:val="tx1"/>
            </w14:solidFill>
          </w14:textFill>
        </w:rPr>
        <w:t xml:space="preserve">就质疑事项作出了答复/没有在法定期限内作出答复。                                                                                             </w:t>
      </w:r>
    </w:p>
    <w:p w14:paraId="67F48997">
      <w:pPr>
        <w:spacing w:line="400" w:lineRule="exact"/>
        <w:ind w:left="25" w:leftChars="12" w:firstLine="472" w:firstLineChars="196"/>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四、投诉事项具体内容</w:t>
      </w:r>
    </w:p>
    <w:p w14:paraId="7E05F789">
      <w:pPr>
        <w:spacing w:line="400" w:lineRule="exact"/>
        <w:ind w:left="25" w:leftChars="12" w:firstLine="472" w:firstLineChars="197"/>
        <w:rPr>
          <w:rFonts w:hint="eastAsia" w:ascii="宋体" w:hAnsi="宋体" w:eastAsia="宋体" w:cs="宋体"/>
          <w:bCs/>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投诉事项1：</w:t>
      </w:r>
    </w:p>
    <w:p w14:paraId="7C8295BE">
      <w:pPr>
        <w:spacing w:line="400" w:lineRule="exact"/>
        <w:ind w:firstLine="480" w:firstLineChars="200"/>
        <w:rPr>
          <w:rFonts w:hint="eastAsia" w:ascii="宋体" w:hAnsi="宋体" w:eastAsia="宋体" w:cs="宋体"/>
          <w:bCs/>
          <w:color w:val="000000" w:themeColor="text1"/>
          <w:kern w:val="0"/>
          <w:sz w:val="24"/>
          <w:szCs w:val="24"/>
          <w:highlight w:val="none"/>
          <w:u w:val="singl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事实依据：</w:t>
      </w:r>
    </w:p>
    <w:p w14:paraId="61BB9109">
      <w:pPr>
        <w:spacing w:line="40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p>
    <w:p w14:paraId="5CE1B15E">
      <w:pPr>
        <w:spacing w:line="400" w:lineRule="exact"/>
        <w:ind w:firstLine="480" w:firstLineChars="200"/>
        <w:rPr>
          <w:rFonts w:hint="eastAsia" w:ascii="宋体" w:hAnsi="宋体" w:eastAsia="宋体" w:cs="宋体"/>
          <w:bCs/>
          <w:color w:val="000000" w:themeColor="text1"/>
          <w:kern w:val="0"/>
          <w:sz w:val="24"/>
          <w:szCs w:val="24"/>
          <w:highlight w:val="none"/>
          <w:u w:val="singl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法律依据：</w:t>
      </w:r>
    </w:p>
    <w:p w14:paraId="6A7FCCA0">
      <w:pPr>
        <w:spacing w:line="400" w:lineRule="exact"/>
        <w:ind w:left="25" w:leftChars="12" w:firstLine="352" w:firstLineChars="147"/>
        <w:rPr>
          <w:rFonts w:hint="eastAsia" w:ascii="宋体" w:hAnsi="宋体" w:eastAsia="宋体" w:cs="宋体"/>
          <w:bCs/>
          <w:color w:val="000000" w:themeColor="text1"/>
          <w:kern w:val="0"/>
          <w:sz w:val="24"/>
          <w:szCs w:val="24"/>
          <w:highlight w:val="none"/>
          <w:u w:val="single"/>
          <w14:textFill>
            <w14:solidFill>
              <w14:schemeClr w14:val="tx1"/>
            </w14:solidFill>
          </w14:textFill>
        </w:rPr>
      </w:pPr>
    </w:p>
    <w:p w14:paraId="5B27F333">
      <w:pPr>
        <w:spacing w:line="400" w:lineRule="exact"/>
        <w:ind w:left="25" w:leftChars="12" w:firstLine="472" w:firstLineChars="197"/>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投诉事项2  </w:t>
      </w:r>
    </w:p>
    <w:p w14:paraId="151B69B6">
      <w:pPr>
        <w:spacing w:line="400" w:lineRule="exact"/>
        <w:ind w:left="25" w:leftChars="12" w:firstLine="472" w:firstLineChars="197"/>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w:t>
      </w:r>
    </w:p>
    <w:p w14:paraId="23DCC1D2">
      <w:pPr>
        <w:spacing w:line="400" w:lineRule="exact"/>
        <w:ind w:left="25" w:leftChars="12" w:firstLine="472" w:firstLineChars="196"/>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五、与投诉事项相关的投诉请求：</w:t>
      </w:r>
    </w:p>
    <w:p w14:paraId="482677A4">
      <w:pPr>
        <w:spacing w:line="40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请求：</w:t>
      </w:r>
    </w:p>
    <w:p w14:paraId="122BC67B">
      <w:pPr>
        <w:spacing w:line="400" w:lineRule="exact"/>
        <w:ind w:left="25" w:leftChars="12" w:firstLine="352" w:firstLineChars="147"/>
        <w:rPr>
          <w:rFonts w:hint="eastAsia" w:ascii="宋体" w:hAnsi="宋体" w:eastAsia="宋体" w:cs="宋体"/>
          <w:color w:val="000000" w:themeColor="text1"/>
          <w:kern w:val="0"/>
          <w:sz w:val="24"/>
          <w:szCs w:val="24"/>
          <w:highlight w:val="none"/>
          <w14:textFill>
            <w14:solidFill>
              <w14:schemeClr w14:val="tx1"/>
            </w14:solidFill>
          </w14:textFill>
        </w:rPr>
      </w:pPr>
    </w:p>
    <w:p w14:paraId="16C0A2AE">
      <w:pPr>
        <w:spacing w:line="40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签字（签章）：                                       公章：</w:t>
      </w:r>
    </w:p>
    <w:p w14:paraId="71468A57">
      <w:pPr>
        <w:spacing w:line="400" w:lineRule="exact"/>
        <w:ind w:left="25" w:leftChars="12" w:firstLine="352" w:firstLineChars="147"/>
        <w:rPr>
          <w:rFonts w:hint="eastAsia" w:ascii="宋体" w:hAnsi="宋体" w:eastAsia="宋体" w:cs="宋体"/>
          <w:color w:val="000000" w:themeColor="text1"/>
          <w:kern w:val="0"/>
          <w:sz w:val="24"/>
          <w:szCs w:val="24"/>
          <w:highlight w:val="none"/>
          <w14:textFill>
            <w14:solidFill>
              <w14:schemeClr w14:val="tx1"/>
            </w14:solidFill>
          </w14:textFill>
        </w:rPr>
      </w:pPr>
    </w:p>
    <w:p w14:paraId="6E069D01">
      <w:pPr>
        <w:spacing w:line="40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日期：</w:t>
      </w:r>
    </w:p>
    <w:p w14:paraId="5382680B">
      <w:pPr>
        <w:spacing w:line="360" w:lineRule="exact"/>
        <w:ind w:left="25" w:leftChars="12" w:firstLine="472" w:firstLineChars="197"/>
        <w:rPr>
          <w:rFonts w:hint="eastAsia" w:ascii="宋体" w:hAnsi="宋体" w:eastAsia="宋体" w:cs="宋体"/>
          <w:color w:val="000000" w:themeColor="text1"/>
          <w:kern w:val="0"/>
          <w:sz w:val="24"/>
          <w:szCs w:val="24"/>
          <w:highlight w:val="none"/>
          <w14:textFill>
            <w14:solidFill>
              <w14:schemeClr w14:val="tx1"/>
            </w14:solidFill>
          </w14:textFill>
        </w:rPr>
      </w:pPr>
    </w:p>
    <w:p w14:paraId="20B862F6">
      <w:pPr>
        <w:snapToGrid w:val="0"/>
        <w:spacing w:line="340" w:lineRule="exact"/>
        <w:rPr>
          <w:rFonts w:hint="eastAsia" w:ascii="宋体" w:hAnsi="宋体" w:eastAsia="宋体" w:cs="宋体"/>
          <w:b/>
          <w:color w:val="000000" w:themeColor="text1"/>
          <w:kern w:val="0"/>
          <w:sz w:val="24"/>
          <w:szCs w:val="24"/>
          <w:highlight w:val="none"/>
          <w14:textFill>
            <w14:solidFill>
              <w14:schemeClr w14:val="tx1"/>
            </w14:solidFill>
          </w14:textFill>
        </w:rPr>
      </w:pPr>
    </w:p>
    <w:p w14:paraId="15D54EB4">
      <w:pPr>
        <w:snapToGrid w:val="0"/>
        <w:spacing w:line="340" w:lineRule="exac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说明：</w:t>
      </w:r>
    </w:p>
    <w:p w14:paraId="6623C397">
      <w:pPr>
        <w:spacing w:line="340" w:lineRule="exact"/>
        <w:ind w:left="25" w:leftChars="12" w:firstLine="354" w:firstLineChars="147"/>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ascii="宋体" w:hAnsi="宋体" w:eastAsia="宋体" w:cs="宋体"/>
          <w:b/>
          <w:bCs/>
          <w:color w:val="000000" w:themeColor="text1"/>
          <w:kern w:val="0"/>
          <w:sz w:val="24"/>
          <w:szCs w:val="24"/>
          <w:highlight w:val="none"/>
          <w14:textFill>
            <w14:solidFill>
              <w14:schemeClr w14:val="tx1"/>
            </w14:solidFill>
          </w14:textFill>
        </w:rPr>
        <w:t>。</w:t>
      </w:r>
    </w:p>
    <w:p w14:paraId="032DE991">
      <w:pPr>
        <w:spacing w:line="340" w:lineRule="exact"/>
        <w:ind w:left="25" w:leftChars="12" w:firstLine="354" w:firstLineChars="147"/>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D804CFE">
      <w:pPr>
        <w:spacing w:line="340" w:lineRule="exact"/>
        <w:ind w:left="25" w:leftChars="12" w:firstLine="354" w:firstLineChars="147"/>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3.投诉书应简要列明质疑事项，质疑函、质疑答复等作为附件材料提供。</w:t>
      </w:r>
    </w:p>
    <w:p w14:paraId="79B99C31">
      <w:pPr>
        <w:spacing w:line="340" w:lineRule="exact"/>
        <w:ind w:left="25" w:leftChars="12" w:firstLine="354" w:firstLineChars="147"/>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4.投诉书的投诉事项应具体、明确，并有必要的事实依据和法律依据。</w:t>
      </w:r>
    </w:p>
    <w:p w14:paraId="65DA9B9C">
      <w:pPr>
        <w:spacing w:line="340" w:lineRule="exact"/>
        <w:ind w:left="25" w:leftChars="12" w:firstLine="354" w:firstLineChars="147"/>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5.投诉书的投诉请求应与投诉事项相关。</w:t>
      </w:r>
    </w:p>
    <w:p w14:paraId="343A9884">
      <w:pPr>
        <w:spacing w:line="340" w:lineRule="exact"/>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投诉人为法人或者其他组织的，投诉书应由法定代表人、主要负责人，或者其授权代表签字或者盖章，并加盖公章。</w:t>
      </w:r>
    </w:p>
    <w:p w14:paraId="78861A12">
      <w:pPr>
        <w:spacing w:line="340" w:lineRule="exact"/>
        <w:ind w:left="25" w:leftChars="12" w:firstLine="354" w:firstLineChars="147"/>
        <w:rPr>
          <w:rFonts w:hAnsi="宋体"/>
          <w:b/>
          <w:color w:val="000000" w:themeColor="text1"/>
          <w:kern w:val="0"/>
          <w:sz w:val="24"/>
          <w:szCs w:val="24"/>
          <w:highlight w:val="none"/>
          <w14:textFill>
            <w14:solidFill>
              <w14:schemeClr w14:val="tx1"/>
            </w14:solidFill>
          </w14:textFill>
        </w:rPr>
      </w:pPr>
    </w:p>
    <w:p w14:paraId="00602185">
      <w:pPr>
        <w:pStyle w:val="4"/>
        <w:rPr>
          <w:rFonts w:hint="eastAsia"/>
          <w:color w:val="000000" w:themeColor="text1"/>
          <w:sz w:val="24"/>
          <w:szCs w:val="24"/>
          <w:highlight w:val="none"/>
          <w:lang w:eastAsia="zh-CN"/>
          <w14:textFill>
            <w14:solidFill>
              <w14:schemeClr w14:val="tx1"/>
            </w14:solidFill>
          </w14:textFill>
        </w:rPr>
      </w:pPr>
    </w:p>
    <w:p w14:paraId="603FFDA4">
      <w:pPr>
        <w:rPr>
          <w:rFonts w:hint="eastAsia"/>
          <w:color w:val="000000" w:themeColor="text1"/>
          <w:sz w:val="24"/>
          <w:szCs w:val="24"/>
          <w:highlight w:val="none"/>
          <w:lang w:eastAsia="zh-CN"/>
          <w14:textFill>
            <w14:solidFill>
              <w14:schemeClr w14:val="tx1"/>
            </w14:solidFill>
          </w14:textFill>
        </w:rPr>
      </w:pPr>
    </w:p>
    <w:p w14:paraId="2CFA1D63">
      <w:pPr>
        <w:pStyle w:val="4"/>
        <w:rPr>
          <w:rFonts w:hint="eastAsia"/>
          <w:color w:val="000000" w:themeColor="text1"/>
          <w:sz w:val="24"/>
          <w:szCs w:val="24"/>
          <w:highlight w:val="none"/>
          <w:lang w:eastAsia="zh-CN"/>
          <w14:textFill>
            <w14:solidFill>
              <w14:schemeClr w14:val="tx1"/>
            </w14:solidFill>
          </w14:textFill>
        </w:rPr>
      </w:pPr>
    </w:p>
    <w:p w14:paraId="68845361">
      <w:pPr>
        <w:rPr>
          <w:rFonts w:hint="eastAsia"/>
          <w:color w:val="000000" w:themeColor="text1"/>
          <w:sz w:val="24"/>
          <w:szCs w:val="24"/>
          <w:highlight w:val="none"/>
          <w:lang w:eastAsia="zh-CN"/>
          <w14:textFill>
            <w14:solidFill>
              <w14:schemeClr w14:val="tx1"/>
            </w14:solidFill>
          </w14:textFill>
        </w:rPr>
      </w:pPr>
    </w:p>
    <w:p w14:paraId="4C8A0D6E">
      <w:pPr>
        <w:pStyle w:val="2"/>
        <w:rPr>
          <w:rFonts w:hint="eastAsia"/>
          <w:color w:val="000000" w:themeColor="text1"/>
          <w:sz w:val="24"/>
          <w:szCs w:val="24"/>
          <w:highlight w:val="none"/>
          <w:lang w:eastAsia="zh-CN"/>
          <w14:textFill>
            <w14:solidFill>
              <w14:schemeClr w14:val="tx1"/>
            </w14:solidFill>
          </w14:textFill>
        </w:rPr>
      </w:pPr>
    </w:p>
    <w:p w14:paraId="0FF3DC17">
      <w:pPr>
        <w:rPr>
          <w:rFonts w:hint="eastAsia"/>
          <w:color w:val="000000" w:themeColor="text1"/>
          <w:sz w:val="24"/>
          <w:szCs w:val="24"/>
          <w:highlight w:val="none"/>
          <w:lang w:eastAsia="zh-CN"/>
          <w14:textFill>
            <w14:solidFill>
              <w14:schemeClr w14:val="tx1"/>
            </w14:solidFill>
          </w14:textFill>
        </w:rPr>
      </w:pPr>
    </w:p>
    <w:p w14:paraId="20FC9206">
      <w:pPr>
        <w:pStyle w:val="2"/>
        <w:rPr>
          <w:rFonts w:hint="eastAsia"/>
          <w:color w:val="000000" w:themeColor="text1"/>
          <w:sz w:val="24"/>
          <w:szCs w:val="24"/>
          <w:highlight w:val="none"/>
          <w:lang w:eastAsia="zh-CN"/>
          <w14:textFill>
            <w14:solidFill>
              <w14:schemeClr w14:val="tx1"/>
            </w14:solidFill>
          </w14:textFill>
        </w:rPr>
      </w:pPr>
    </w:p>
    <w:p w14:paraId="7E897642">
      <w:pPr>
        <w:rPr>
          <w:rFonts w:hint="eastAsia"/>
          <w:color w:val="000000" w:themeColor="text1"/>
          <w:sz w:val="24"/>
          <w:szCs w:val="24"/>
          <w:highlight w:val="none"/>
          <w:lang w:eastAsia="zh-CN"/>
          <w14:textFill>
            <w14:solidFill>
              <w14:schemeClr w14:val="tx1"/>
            </w14:solidFill>
          </w14:textFill>
        </w:rPr>
      </w:pPr>
    </w:p>
    <w:p w14:paraId="12C4472D">
      <w:pPr>
        <w:pStyle w:val="2"/>
        <w:rPr>
          <w:rFonts w:hint="eastAsia"/>
          <w:color w:val="000000" w:themeColor="text1"/>
          <w:sz w:val="24"/>
          <w:szCs w:val="24"/>
          <w:highlight w:val="none"/>
          <w:lang w:eastAsia="zh-CN"/>
          <w14:textFill>
            <w14:solidFill>
              <w14:schemeClr w14:val="tx1"/>
            </w14:solidFill>
          </w14:textFill>
        </w:rPr>
      </w:pPr>
    </w:p>
    <w:p w14:paraId="28DA22E5">
      <w:pPr>
        <w:rPr>
          <w:rFonts w:hint="eastAsia"/>
          <w:color w:val="000000" w:themeColor="text1"/>
          <w:sz w:val="24"/>
          <w:szCs w:val="24"/>
          <w:highlight w:val="none"/>
          <w:lang w:eastAsia="zh-CN"/>
          <w14:textFill>
            <w14:solidFill>
              <w14:schemeClr w14:val="tx1"/>
            </w14:solidFill>
          </w14:textFill>
        </w:rPr>
      </w:pPr>
    </w:p>
    <w:p w14:paraId="1F1C765A">
      <w:pPr>
        <w:pStyle w:val="2"/>
        <w:rPr>
          <w:rFonts w:hint="eastAsia"/>
          <w:color w:val="000000" w:themeColor="text1"/>
          <w:highlight w:val="none"/>
          <w:lang w:eastAsia="zh-CN"/>
          <w14:textFill>
            <w14:solidFill>
              <w14:schemeClr w14:val="tx1"/>
            </w14:solidFill>
          </w14:textFill>
        </w:rPr>
      </w:pPr>
    </w:p>
    <w:p w14:paraId="5E4857E5">
      <w:pPr>
        <w:pStyle w:val="2"/>
        <w:spacing w:before="191" w:line="219" w:lineRule="auto"/>
        <w:ind w:left="9"/>
        <w:rPr>
          <w:color w:val="000000" w:themeColor="text1"/>
          <w:spacing w:val="-8"/>
          <w:sz w:val="24"/>
          <w:szCs w:val="24"/>
          <w:highlight w:val="none"/>
          <w14:textOutline w14:w="4358" w14:cap="sq" w14:cmpd="sng">
            <w14:solidFill>
              <w14:srgbClr w14:val="000000"/>
            </w14:solidFill>
            <w14:prstDash w14:val="solid"/>
            <w14:bevel/>
          </w14:textOutline>
          <w14:textFill>
            <w14:solidFill>
              <w14:schemeClr w14:val="tx1"/>
            </w14:solidFill>
          </w14:textFill>
        </w:rPr>
      </w:pPr>
    </w:p>
    <w:p w14:paraId="4C69339C">
      <w:pPr>
        <w:pStyle w:val="2"/>
        <w:spacing w:before="191" w:line="219" w:lineRule="auto"/>
        <w:ind w:left="9"/>
        <w:rPr>
          <w:rFonts w:ascii="Times New Roman" w:hAnsi="Times New Roman" w:eastAsia="Times New Roman" w:cs="Times New Roman"/>
          <w:color w:val="000000" w:themeColor="text1"/>
          <w:sz w:val="24"/>
          <w:szCs w:val="24"/>
          <w:highlight w:val="none"/>
          <w14:textFill>
            <w14:solidFill>
              <w14:schemeClr w14:val="tx1"/>
            </w14:solidFill>
          </w14:textFill>
        </w:rPr>
      </w:pPr>
      <w:r>
        <w:rPr>
          <w:color w:val="000000" w:themeColor="text1"/>
          <w:spacing w:val="-8"/>
          <w:sz w:val="24"/>
          <w:szCs w:val="24"/>
          <w:highlight w:val="none"/>
          <w14:textOutline w14:w="4358" w14:cap="sq" w14:cmpd="sng">
            <w14:solidFill>
              <w14:srgbClr w14:val="000000"/>
            </w14:solidFill>
            <w14:prstDash w14:val="solid"/>
            <w14:bevel/>
          </w14:textOutline>
          <w14:textFill>
            <w14:solidFill>
              <w14:schemeClr w14:val="tx1"/>
            </w14:solidFill>
          </w14:textFill>
        </w:rPr>
        <w:t>附表</w:t>
      </w:r>
      <w:r>
        <w:rPr>
          <w:color w:val="000000" w:themeColor="text1"/>
          <w:spacing w:val="-54"/>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8"/>
          <w:sz w:val="24"/>
          <w:szCs w:val="24"/>
          <w:highlight w:val="none"/>
          <w14:textFill>
            <w14:solidFill>
              <w14:schemeClr w14:val="tx1"/>
            </w14:solidFill>
          </w14:textFill>
        </w:rPr>
        <w:t>3:</w:t>
      </w:r>
    </w:p>
    <w:p w14:paraId="43C1BEC7">
      <w:pPr>
        <w:pStyle w:val="2"/>
        <w:keepNext w:val="0"/>
        <w:keepLines w:val="0"/>
        <w:pageBreakBefore w:val="0"/>
        <w:widowControl w:val="0"/>
        <w:kinsoku/>
        <w:wordWrap/>
        <w:overflowPunct/>
        <w:topLinePunct w:val="0"/>
        <w:autoSpaceDE/>
        <w:autoSpaceDN/>
        <w:bidi w:val="0"/>
        <w:adjustRightInd/>
        <w:snapToGrid/>
        <w:spacing w:after="0" w:line="400" w:lineRule="atLeast"/>
        <w:ind w:left="0"/>
        <w:jc w:val="center"/>
        <w:textAlignment w:val="auto"/>
        <w:rPr>
          <w:color w:val="000000" w:themeColor="text1"/>
          <w:sz w:val="24"/>
          <w:szCs w:val="24"/>
          <w:highlight w:val="none"/>
          <w14:textFill>
            <w14:solidFill>
              <w14:schemeClr w14:val="tx1"/>
            </w14:solidFill>
          </w14:textFill>
        </w:rPr>
      </w:pPr>
      <w:r>
        <w:rPr>
          <w:color w:val="000000" w:themeColor="text1"/>
          <w:spacing w:val="9"/>
          <w:sz w:val="24"/>
          <w:szCs w:val="24"/>
          <w:highlight w:val="none"/>
          <w14:textOutline w14:w="5793" w14:cap="sq" w14:cmpd="sng">
            <w14:solidFill>
              <w14:srgbClr w14:val="000000"/>
            </w14:solidFill>
            <w14:prstDash w14:val="solid"/>
            <w14:bevel/>
          </w14:textOutline>
          <w14:textFill>
            <w14:solidFill>
              <w14:schemeClr w14:val="tx1"/>
            </w14:solidFill>
          </w14:textFill>
        </w:rPr>
        <w:t>政府采购项目合同验收报告（格式）</w:t>
      </w:r>
    </w:p>
    <w:p w14:paraId="5DD47F2F">
      <w:pPr>
        <w:spacing w:line="242" w:lineRule="auto"/>
        <w:rPr>
          <w:rFonts w:ascii="Arial"/>
          <w:color w:val="000000" w:themeColor="text1"/>
          <w:sz w:val="21"/>
          <w:highlight w:val="none"/>
          <w14:textFill>
            <w14:solidFill>
              <w14:schemeClr w14:val="tx1"/>
            </w14:solidFill>
          </w14:textFill>
        </w:rPr>
      </w:pPr>
    </w:p>
    <w:p w14:paraId="3B78C257">
      <w:pPr>
        <w:spacing w:line="243" w:lineRule="auto"/>
        <w:rPr>
          <w:rFonts w:ascii="Arial"/>
          <w:color w:val="000000" w:themeColor="text1"/>
          <w:sz w:val="21"/>
          <w:highlight w:val="none"/>
          <w14:textFill>
            <w14:solidFill>
              <w14:schemeClr w14:val="tx1"/>
            </w14:solidFill>
          </w14:textFill>
        </w:rPr>
      </w:pPr>
    </w:p>
    <w:p w14:paraId="65A45B3A">
      <w:pPr>
        <w:spacing w:line="243" w:lineRule="auto"/>
        <w:rPr>
          <w:rFonts w:ascii="Arial"/>
          <w:color w:val="000000" w:themeColor="text1"/>
          <w:sz w:val="21"/>
          <w:highlight w:val="none"/>
          <w14:textFill>
            <w14:solidFill>
              <w14:schemeClr w14:val="tx1"/>
            </w14:solidFill>
          </w14:textFill>
        </w:rPr>
      </w:pPr>
    </w:p>
    <w:p w14:paraId="03AF7EF0">
      <w:pPr>
        <w:spacing w:before="65" w:line="229" w:lineRule="auto"/>
        <w:jc w:val="right"/>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7"/>
          <w:sz w:val="20"/>
          <w:szCs w:val="20"/>
          <w:highlight w:val="none"/>
          <w14:textFill>
            <w14:solidFill>
              <w14:schemeClr w14:val="tx1"/>
            </w14:solidFill>
          </w14:textFill>
        </w:rPr>
        <w:t>根据政府采购项目（</w:t>
      </w:r>
      <w:r>
        <w:rPr>
          <w:rFonts w:ascii="仿宋" w:hAnsi="仿宋" w:eastAsia="仿宋" w:cs="仿宋"/>
          <w:color w:val="000000" w:themeColor="text1"/>
          <w:spacing w:val="7"/>
          <w:sz w:val="20"/>
          <w:szCs w:val="20"/>
          <w:highlight w:val="none"/>
          <w:u w:val="single" w:color="auto"/>
          <w14:textFill>
            <w14:solidFill>
              <w14:schemeClr w14:val="tx1"/>
            </w14:solidFill>
          </w14:textFill>
        </w:rPr>
        <w:t>采购合同编号</w:t>
      </w:r>
      <w:r>
        <w:rPr>
          <w:rFonts w:ascii="仿宋" w:hAnsi="仿宋" w:eastAsia="仿宋" w:cs="仿宋"/>
          <w:color w:val="000000" w:themeColor="text1"/>
          <w:spacing w:val="2"/>
          <w:sz w:val="20"/>
          <w:szCs w:val="20"/>
          <w:highlight w:val="none"/>
          <w:u w:val="single" w:color="auto"/>
          <w14:textFill>
            <w14:solidFill>
              <w14:schemeClr w14:val="tx1"/>
            </w14:solidFill>
          </w14:textFill>
        </w:rPr>
        <w:t>：</w:t>
      </w:r>
      <w:r>
        <w:rPr>
          <w:rFonts w:ascii="仿宋" w:hAnsi="仿宋" w:eastAsia="仿宋" w:cs="仿宋"/>
          <w:color w:val="000000" w:themeColor="text1"/>
          <w:spacing w:val="17"/>
          <w:sz w:val="20"/>
          <w:szCs w:val="20"/>
          <w:highlight w:val="none"/>
          <w:u w:val="single" w:color="auto"/>
          <w14:textFill>
            <w14:solidFill>
              <w14:schemeClr w14:val="tx1"/>
            </w14:solidFill>
          </w14:textFill>
        </w:rPr>
        <w:t xml:space="preserve"> </w:t>
      </w:r>
      <w:r>
        <w:rPr>
          <w:rFonts w:ascii="仿宋" w:hAnsi="仿宋" w:eastAsia="仿宋" w:cs="仿宋"/>
          <w:color w:val="000000" w:themeColor="text1"/>
          <w:spacing w:val="-70"/>
          <w:sz w:val="20"/>
          <w:szCs w:val="20"/>
          <w:highlight w:val="none"/>
          <w14:textFill>
            <w14:solidFill>
              <w14:schemeClr w14:val="tx1"/>
            </w14:solidFill>
          </w14:textFill>
        </w:rPr>
        <w:t xml:space="preserve"> </w:t>
      </w:r>
      <w:r>
        <w:rPr>
          <w:rFonts w:ascii="仿宋" w:hAnsi="仿宋" w:eastAsia="仿宋" w:cs="仿宋"/>
          <w:color w:val="000000" w:themeColor="text1"/>
          <w:spacing w:val="2"/>
          <w:sz w:val="20"/>
          <w:szCs w:val="20"/>
          <w:highlight w:val="none"/>
          <w14:textFill>
            <w14:solidFill>
              <w14:schemeClr w14:val="tx1"/>
            </w14:solidFill>
          </w14:textFill>
        </w:rPr>
        <w:t>）</w:t>
      </w:r>
      <w:r>
        <w:rPr>
          <w:rFonts w:ascii="仿宋" w:hAnsi="仿宋" w:eastAsia="仿宋" w:cs="仿宋"/>
          <w:color w:val="000000" w:themeColor="text1"/>
          <w:spacing w:val="7"/>
          <w:sz w:val="20"/>
          <w:szCs w:val="20"/>
          <w:highlight w:val="none"/>
          <w14:textFill>
            <w14:solidFill>
              <w14:schemeClr w14:val="tx1"/>
            </w14:solidFill>
          </w14:textFill>
        </w:rPr>
        <w:t>的约定，我单位对（</w:t>
      </w:r>
      <w:r>
        <w:rPr>
          <w:rFonts w:ascii="仿宋" w:hAnsi="仿宋" w:eastAsia="仿宋" w:cs="仿宋"/>
          <w:color w:val="000000" w:themeColor="text1"/>
          <w:spacing w:val="53"/>
          <w:sz w:val="20"/>
          <w:szCs w:val="20"/>
          <w:highlight w:val="none"/>
          <w:u w:val="single" w:color="auto"/>
          <w14:textFill>
            <w14:solidFill>
              <w14:schemeClr w14:val="tx1"/>
            </w14:solidFill>
          </w14:textFill>
        </w:rPr>
        <w:t xml:space="preserve"> </w:t>
      </w:r>
      <w:r>
        <w:rPr>
          <w:rFonts w:ascii="仿宋" w:hAnsi="仿宋" w:eastAsia="仿宋" w:cs="仿宋"/>
          <w:color w:val="000000" w:themeColor="text1"/>
          <w:spacing w:val="7"/>
          <w:sz w:val="20"/>
          <w:szCs w:val="20"/>
          <w:highlight w:val="none"/>
          <w:u w:val="single" w:color="auto"/>
          <w14:textFill>
            <w14:solidFill>
              <w14:schemeClr w14:val="tx1"/>
            </w14:solidFill>
          </w14:textFill>
        </w:rPr>
        <w:t>项目名称</w:t>
      </w:r>
      <w:r>
        <w:rPr>
          <w:rFonts w:ascii="仿宋" w:hAnsi="仿宋" w:eastAsia="仿宋" w:cs="仿宋"/>
          <w:color w:val="000000" w:themeColor="text1"/>
          <w:spacing w:val="38"/>
          <w:sz w:val="20"/>
          <w:szCs w:val="20"/>
          <w:highlight w:val="none"/>
          <w:u w:val="single" w:color="auto"/>
          <w14:textFill>
            <w14:solidFill>
              <w14:schemeClr w14:val="tx1"/>
            </w14:solidFill>
          </w14:textFill>
        </w:rPr>
        <w:t xml:space="preserve"> </w:t>
      </w:r>
      <w:r>
        <w:rPr>
          <w:rFonts w:ascii="仿宋" w:hAnsi="仿宋" w:eastAsia="仿宋" w:cs="仿宋"/>
          <w:color w:val="000000" w:themeColor="text1"/>
          <w:spacing w:val="7"/>
          <w:sz w:val="20"/>
          <w:szCs w:val="20"/>
          <w:highlight w:val="none"/>
          <w14:textFill>
            <w14:solidFill>
              <w14:schemeClr w14:val="tx1"/>
            </w14:solidFill>
          </w14:textFill>
        </w:rPr>
        <w:t>）政府采购项目中</w:t>
      </w:r>
      <w:r>
        <w:rPr>
          <w:rFonts w:ascii="仿宋" w:hAnsi="仿宋" w:eastAsia="仿宋" w:cs="仿宋"/>
          <w:color w:val="000000" w:themeColor="text1"/>
          <w:spacing w:val="6"/>
          <w:sz w:val="20"/>
          <w:szCs w:val="20"/>
          <w:highlight w:val="none"/>
          <w14:textFill>
            <w14:solidFill>
              <w14:schemeClr w14:val="tx1"/>
            </w14:solidFill>
          </w14:textFill>
        </w:rPr>
        <w:t>标（或成</w:t>
      </w:r>
    </w:p>
    <w:p w14:paraId="51AABA98">
      <w:pPr>
        <w:spacing w:before="73" w:line="221" w:lineRule="auto"/>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6"/>
          <w:sz w:val="20"/>
          <w:szCs w:val="20"/>
          <w:highlight w:val="none"/>
          <w14:textFill>
            <w14:solidFill>
              <w14:schemeClr w14:val="tx1"/>
            </w14:solidFill>
          </w14:textFill>
        </w:rPr>
        <w:t>交）供应商</w:t>
      </w:r>
      <w:r>
        <w:rPr>
          <w:rFonts w:ascii="仿宋" w:hAnsi="仿宋" w:eastAsia="仿宋" w:cs="仿宋"/>
          <w:color w:val="000000" w:themeColor="text1"/>
          <w:spacing w:val="6"/>
          <w:sz w:val="20"/>
          <w:szCs w:val="20"/>
          <w:highlight w:val="none"/>
          <w:u w:val="single" w:color="auto"/>
          <w14:textFill>
            <w14:solidFill>
              <w14:schemeClr w14:val="tx1"/>
            </w14:solidFill>
          </w14:textFill>
        </w:rPr>
        <w:t>（</w:t>
      </w:r>
      <w:r>
        <w:rPr>
          <w:rFonts w:ascii="仿宋" w:hAnsi="仿宋" w:eastAsia="仿宋" w:cs="仿宋"/>
          <w:color w:val="000000" w:themeColor="text1"/>
          <w:spacing w:val="72"/>
          <w:sz w:val="20"/>
          <w:szCs w:val="20"/>
          <w:highlight w:val="none"/>
          <w:u w:val="single" w:color="auto"/>
          <w14:textFill>
            <w14:solidFill>
              <w14:schemeClr w14:val="tx1"/>
            </w14:solidFill>
          </w14:textFill>
        </w:rPr>
        <w:t xml:space="preserve"> </w:t>
      </w:r>
      <w:r>
        <w:rPr>
          <w:rFonts w:ascii="仿宋" w:hAnsi="仿宋" w:eastAsia="仿宋" w:cs="仿宋"/>
          <w:color w:val="000000" w:themeColor="text1"/>
          <w:spacing w:val="6"/>
          <w:sz w:val="20"/>
          <w:szCs w:val="20"/>
          <w:highlight w:val="none"/>
          <w:u w:val="single" w:color="auto"/>
          <w14:textFill>
            <w14:solidFill>
              <w14:schemeClr w14:val="tx1"/>
            </w14:solidFill>
          </w14:textFill>
        </w:rPr>
        <w:t>公司名称</w:t>
      </w:r>
      <w:r>
        <w:rPr>
          <w:rFonts w:ascii="仿宋" w:hAnsi="仿宋" w:eastAsia="仿宋" w:cs="仿宋"/>
          <w:color w:val="000000" w:themeColor="text1"/>
          <w:spacing w:val="38"/>
          <w:sz w:val="20"/>
          <w:szCs w:val="20"/>
          <w:highlight w:val="none"/>
          <w:u w:val="single" w:color="auto"/>
          <w14:textFill>
            <w14:solidFill>
              <w14:schemeClr w14:val="tx1"/>
            </w14:solidFill>
          </w14:textFill>
        </w:rPr>
        <w:t xml:space="preserve"> </w:t>
      </w:r>
      <w:r>
        <w:rPr>
          <w:rFonts w:ascii="仿宋" w:hAnsi="仿宋" w:eastAsia="仿宋" w:cs="仿宋"/>
          <w:color w:val="000000" w:themeColor="text1"/>
          <w:spacing w:val="6"/>
          <w:sz w:val="20"/>
          <w:szCs w:val="20"/>
          <w:highlight w:val="none"/>
          <w:u w:val="single" w:color="auto"/>
          <w14:textFill>
            <w14:solidFill>
              <w14:schemeClr w14:val="tx1"/>
            </w14:solidFill>
          </w14:textFill>
        </w:rPr>
        <w:t xml:space="preserve">） </w:t>
      </w:r>
      <w:r>
        <w:rPr>
          <w:rFonts w:ascii="仿宋" w:hAnsi="仿宋" w:eastAsia="仿宋" w:cs="仿宋"/>
          <w:color w:val="000000" w:themeColor="text1"/>
          <w:spacing w:val="-84"/>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提供的货物（或工程、服务）进行了验收，验收情况如下：</w:t>
      </w:r>
    </w:p>
    <w:tbl>
      <w:tblPr>
        <w:tblStyle w:val="50"/>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6AD75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14:paraId="4C3E43FD">
            <w:pPr>
              <w:pStyle w:val="49"/>
              <w:spacing w:before="172" w:line="228" w:lineRule="auto"/>
              <w:ind w:left="1103"/>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验收方式：</w:t>
            </w:r>
          </w:p>
        </w:tc>
        <w:tc>
          <w:tcPr>
            <w:tcW w:w="5194" w:type="dxa"/>
            <w:gridSpan w:val="6"/>
            <w:vAlign w:val="top"/>
          </w:tcPr>
          <w:p w14:paraId="05A9673A">
            <w:pPr>
              <w:pStyle w:val="49"/>
              <w:spacing w:before="172" w:line="196" w:lineRule="auto"/>
              <w:ind w:left="1823"/>
              <w:rPr>
                <w:color w:val="000000" w:themeColor="text1"/>
                <w:highlight w:val="none"/>
                <w14:textFill>
                  <w14:solidFill>
                    <w14:schemeClr w14:val="tx1"/>
                  </w14:solidFill>
                </w14:textFill>
              </w:rPr>
            </w:pPr>
            <w:r>
              <w:rPr>
                <w:rFonts w:ascii="微软雅黑" w:hAnsi="微软雅黑" w:eastAsia="微软雅黑" w:cs="微软雅黑"/>
                <w:color w:val="000000" w:themeColor="text1"/>
                <w:spacing w:val="-15"/>
                <w:highlight w:val="none"/>
                <w14:textFill>
                  <w14:solidFill>
                    <w14:schemeClr w14:val="tx1"/>
                  </w14:solidFill>
                </w14:textFill>
              </w:rPr>
              <w:t>口</w:t>
            </w:r>
            <w:r>
              <w:rPr>
                <w:rFonts w:ascii="微软雅黑" w:hAnsi="微软雅黑" w:eastAsia="微软雅黑" w:cs="微软雅黑"/>
                <w:color w:val="000000" w:themeColor="text1"/>
                <w:spacing w:val="-13"/>
                <w:highlight w:val="none"/>
                <w14:textFill>
                  <w14:solidFill>
                    <w14:schemeClr w14:val="tx1"/>
                  </w14:solidFill>
                </w14:textFill>
              </w:rPr>
              <w:t xml:space="preserve"> </w:t>
            </w:r>
            <w:r>
              <w:rPr>
                <w:color w:val="000000" w:themeColor="text1"/>
                <w:spacing w:val="-15"/>
                <w:highlight w:val="none"/>
                <w14:textFill>
                  <w14:solidFill>
                    <w14:schemeClr w14:val="tx1"/>
                  </w14:solidFill>
                </w14:textFill>
              </w:rPr>
              <w:t>自行验收</w:t>
            </w:r>
            <w:r>
              <w:rPr>
                <w:color w:val="000000" w:themeColor="text1"/>
                <w:spacing w:val="23"/>
                <w:highlight w:val="none"/>
                <w14:textFill>
                  <w14:solidFill>
                    <w14:schemeClr w14:val="tx1"/>
                  </w14:solidFill>
                </w14:textFill>
              </w:rPr>
              <w:t xml:space="preserve"> </w:t>
            </w:r>
            <w:r>
              <w:rPr>
                <w:rFonts w:ascii="微软雅黑" w:hAnsi="微软雅黑" w:eastAsia="微软雅黑" w:cs="微软雅黑"/>
                <w:color w:val="000000" w:themeColor="text1"/>
                <w:spacing w:val="-15"/>
                <w:highlight w:val="none"/>
                <w14:textFill>
                  <w14:solidFill>
                    <w14:schemeClr w14:val="tx1"/>
                  </w14:solidFill>
                </w14:textFill>
              </w:rPr>
              <w:t>口</w:t>
            </w:r>
            <w:r>
              <w:rPr>
                <w:color w:val="000000" w:themeColor="text1"/>
                <w:spacing w:val="-15"/>
                <w:highlight w:val="none"/>
                <w14:textFill>
                  <w14:solidFill>
                    <w14:schemeClr w14:val="tx1"/>
                  </w14:solidFill>
                </w14:textFill>
              </w:rPr>
              <w:t>委托验收</w:t>
            </w:r>
          </w:p>
        </w:tc>
      </w:tr>
      <w:tr w14:paraId="6B135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14:paraId="521FB85E">
            <w:pPr>
              <w:pStyle w:val="49"/>
              <w:spacing w:before="234" w:line="229" w:lineRule="auto"/>
              <w:ind w:left="458"/>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序号</w:t>
            </w:r>
          </w:p>
        </w:tc>
        <w:tc>
          <w:tcPr>
            <w:tcW w:w="1917" w:type="dxa"/>
            <w:vAlign w:val="top"/>
          </w:tcPr>
          <w:p w14:paraId="4047A7BA">
            <w:pPr>
              <w:pStyle w:val="49"/>
              <w:spacing w:before="234" w:line="230" w:lineRule="auto"/>
              <w:ind w:left="69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w:t>
            </w:r>
            <w:r>
              <w:rPr>
                <w:color w:val="000000" w:themeColor="text1"/>
                <w:spacing w:val="12"/>
                <w:highlight w:val="none"/>
                <w14:textFill>
                  <w14:solidFill>
                    <w14:schemeClr w14:val="tx1"/>
                  </w14:solidFill>
                </w14:textFill>
              </w:rPr>
              <w:t xml:space="preserve"> </w:t>
            </w:r>
            <w:r>
              <w:rPr>
                <w:color w:val="000000" w:themeColor="text1"/>
                <w:highlight w:val="none"/>
                <w14:textFill>
                  <w14:solidFill>
                    <w14:schemeClr w14:val="tx1"/>
                  </w14:solidFill>
                </w14:textFill>
              </w:rPr>
              <w:t>称</w:t>
            </w:r>
          </w:p>
        </w:tc>
        <w:tc>
          <w:tcPr>
            <w:tcW w:w="2897" w:type="dxa"/>
            <w:gridSpan w:val="3"/>
            <w:vAlign w:val="top"/>
          </w:tcPr>
          <w:p w14:paraId="571F23DB">
            <w:pPr>
              <w:pStyle w:val="49"/>
              <w:spacing w:before="75" w:line="227" w:lineRule="auto"/>
              <w:ind w:left="9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货物型号规格、标准及配置等</w:t>
            </w:r>
          </w:p>
          <w:p w14:paraId="5C12F2C5">
            <w:pPr>
              <w:pStyle w:val="49"/>
              <w:spacing w:before="73" w:line="220" w:lineRule="auto"/>
              <w:ind w:left="41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（或服务内容、标准）</w:t>
            </w:r>
          </w:p>
        </w:tc>
        <w:tc>
          <w:tcPr>
            <w:tcW w:w="862" w:type="dxa"/>
            <w:gridSpan w:val="2"/>
            <w:vAlign w:val="top"/>
          </w:tcPr>
          <w:p w14:paraId="70086D4F">
            <w:pPr>
              <w:pStyle w:val="49"/>
              <w:spacing w:before="234" w:line="228" w:lineRule="auto"/>
              <w:ind w:left="227"/>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数量</w:t>
            </w:r>
          </w:p>
        </w:tc>
        <w:tc>
          <w:tcPr>
            <w:tcW w:w="1435" w:type="dxa"/>
            <w:vAlign w:val="top"/>
          </w:tcPr>
          <w:p w14:paraId="154D4150">
            <w:pPr>
              <w:pStyle w:val="49"/>
              <w:spacing w:before="234" w:line="228" w:lineRule="auto"/>
              <w:ind w:left="45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金</w:t>
            </w:r>
            <w:r>
              <w:rPr>
                <w:color w:val="000000" w:themeColor="text1"/>
                <w:spacing w:val="13"/>
                <w:highlight w:val="none"/>
                <w14:textFill>
                  <w14:solidFill>
                    <w14:schemeClr w14:val="tx1"/>
                  </w14:solidFill>
                </w14:textFill>
              </w:rPr>
              <w:t xml:space="preserve"> </w:t>
            </w:r>
            <w:r>
              <w:rPr>
                <w:color w:val="000000" w:themeColor="text1"/>
                <w:highlight w:val="none"/>
                <w14:textFill>
                  <w14:solidFill>
                    <w14:schemeClr w14:val="tx1"/>
                  </w14:solidFill>
                </w14:textFill>
              </w:rPr>
              <w:t>额</w:t>
            </w:r>
          </w:p>
        </w:tc>
      </w:tr>
      <w:tr w14:paraId="20C6F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6795617E">
            <w:pPr>
              <w:rPr>
                <w:rFonts w:ascii="Arial"/>
                <w:color w:val="000000" w:themeColor="text1"/>
                <w:sz w:val="21"/>
                <w:highlight w:val="none"/>
                <w14:textFill>
                  <w14:solidFill>
                    <w14:schemeClr w14:val="tx1"/>
                  </w14:solidFill>
                </w14:textFill>
              </w:rPr>
            </w:pPr>
          </w:p>
        </w:tc>
        <w:tc>
          <w:tcPr>
            <w:tcW w:w="1917" w:type="dxa"/>
            <w:vAlign w:val="top"/>
          </w:tcPr>
          <w:p w14:paraId="7EA7D714">
            <w:pPr>
              <w:rPr>
                <w:rFonts w:ascii="Arial"/>
                <w:color w:val="000000" w:themeColor="text1"/>
                <w:sz w:val="21"/>
                <w:highlight w:val="none"/>
                <w14:textFill>
                  <w14:solidFill>
                    <w14:schemeClr w14:val="tx1"/>
                  </w14:solidFill>
                </w14:textFill>
              </w:rPr>
            </w:pPr>
          </w:p>
        </w:tc>
        <w:tc>
          <w:tcPr>
            <w:tcW w:w="2897" w:type="dxa"/>
            <w:gridSpan w:val="3"/>
            <w:vAlign w:val="top"/>
          </w:tcPr>
          <w:p w14:paraId="2C8713B4">
            <w:pPr>
              <w:rPr>
                <w:rFonts w:ascii="Arial"/>
                <w:color w:val="000000" w:themeColor="text1"/>
                <w:sz w:val="21"/>
                <w:highlight w:val="none"/>
                <w14:textFill>
                  <w14:solidFill>
                    <w14:schemeClr w14:val="tx1"/>
                  </w14:solidFill>
                </w14:textFill>
              </w:rPr>
            </w:pPr>
          </w:p>
        </w:tc>
        <w:tc>
          <w:tcPr>
            <w:tcW w:w="862" w:type="dxa"/>
            <w:gridSpan w:val="2"/>
            <w:vAlign w:val="top"/>
          </w:tcPr>
          <w:p w14:paraId="7368EE48">
            <w:pPr>
              <w:rPr>
                <w:rFonts w:ascii="Arial"/>
                <w:color w:val="000000" w:themeColor="text1"/>
                <w:sz w:val="21"/>
                <w:highlight w:val="none"/>
                <w14:textFill>
                  <w14:solidFill>
                    <w14:schemeClr w14:val="tx1"/>
                  </w14:solidFill>
                </w14:textFill>
              </w:rPr>
            </w:pPr>
          </w:p>
        </w:tc>
        <w:tc>
          <w:tcPr>
            <w:tcW w:w="1435" w:type="dxa"/>
            <w:vAlign w:val="top"/>
          </w:tcPr>
          <w:p w14:paraId="422A8FDC">
            <w:pPr>
              <w:rPr>
                <w:rFonts w:ascii="Arial"/>
                <w:color w:val="000000" w:themeColor="text1"/>
                <w:sz w:val="21"/>
                <w:highlight w:val="none"/>
                <w14:textFill>
                  <w14:solidFill>
                    <w14:schemeClr w14:val="tx1"/>
                  </w14:solidFill>
                </w14:textFill>
              </w:rPr>
            </w:pPr>
          </w:p>
        </w:tc>
      </w:tr>
      <w:tr w14:paraId="2393A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4B8DDEFC">
            <w:pPr>
              <w:rPr>
                <w:rFonts w:ascii="Arial"/>
                <w:color w:val="000000" w:themeColor="text1"/>
                <w:sz w:val="21"/>
                <w:highlight w:val="none"/>
                <w14:textFill>
                  <w14:solidFill>
                    <w14:schemeClr w14:val="tx1"/>
                  </w14:solidFill>
                </w14:textFill>
              </w:rPr>
            </w:pPr>
          </w:p>
        </w:tc>
        <w:tc>
          <w:tcPr>
            <w:tcW w:w="1917" w:type="dxa"/>
            <w:vAlign w:val="top"/>
          </w:tcPr>
          <w:p w14:paraId="69A0E278">
            <w:pPr>
              <w:rPr>
                <w:rFonts w:ascii="Arial"/>
                <w:color w:val="000000" w:themeColor="text1"/>
                <w:sz w:val="21"/>
                <w:highlight w:val="none"/>
                <w14:textFill>
                  <w14:solidFill>
                    <w14:schemeClr w14:val="tx1"/>
                  </w14:solidFill>
                </w14:textFill>
              </w:rPr>
            </w:pPr>
          </w:p>
        </w:tc>
        <w:tc>
          <w:tcPr>
            <w:tcW w:w="2897" w:type="dxa"/>
            <w:gridSpan w:val="3"/>
            <w:vAlign w:val="top"/>
          </w:tcPr>
          <w:p w14:paraId="7DE41B60">
            <w:pPr>
              <w:rPr>
                <w:rFonts w:ascii="Arial"/>
                <w:color w:val="000000" w:themeColor="text1"/>
                <w:sz w:val="21"/>
                <w:highlight w:val="none"/>
                <w14:textFill>
                  <w14:solidFill>
                    <w14:schemeClr w14:val="tx1"/>
                  </w14:solidFill>
                </w14:textFill>
              </w:rPr>
            </w:pPr>
          </w:p>
        </w:tc>
        <w:tc>
          <w:tcPr>
            <w:tcW w:w="862" w:type="dxa"/>
            <w:gridSpan w:val="2"/>
            <w:vAlign w:val="top"/>
          </w:tcPr>
          <w:p w14:paraId="5230952C">
            <w:pPr>
              <w:rPr>
                <w:rFonts w:ascii="Arial"/>
                <w:color w:val="000000" w:themeColor="text1"/>
                <w:sz w:val="21"/>
                <w:highlight w:val="none"/>
                <w14:textFill>
                  <w14:solidFill>
                    <w14:schemeClr w14:val="tx1"/>
                  </w14:solidFill>
                </w14:textFill>
              </w:rPr>
            </w:pPr>
          </w:p>
        </w:tc>
        <w:tc>
          <w:tcPr>
            <w:tcW w:w="1435" w:type="dxa"/>
            <w:vAlign w:val="top"/>
          </w:tcPr>
          <w:p w14:paraId="1D5731F7">
            <w:pPr>
              <w:rPr>
                <w:rFonts w:ascii="Arial"/>
                <w:color w:val="000000" w:themeColor="text1"/>
                <w:sz w:val="21"/>
                <w:highlight w:val="none"/>
                <w14:textFill>
                  <w14:solidFill>
                    <w14:schemeClr w14:val="tx1"/>
                  </w14:solidFill>
                </w14:textFill>
              </w:rPr>
            </w:pPr>
          </w:p>
        </w:tc>
      </w:tr>
      <w:tr w14:paraId="1B19E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14:paraId="466115ED">
            <w:pPr>
              <w:rPr>
                <w:rFonts w:ascii="Arial"/>
                <w:color w:val="000000" w:themeColor="text1"/>
                <w:sz w:val="21"/>
                <w:highlight w:val="none"/>
                <w14:textFill>
                  <w14:solidFill>
                    <w14:schemeClr w14:val="tx1"/>
                  </w14:solidFill>
                </w14:textFill>
              </w:rPr>
            </w:pPr>
          </w:p>
        </w:tc>
        <w:tc>
          <w:tcPr>
            <w:tcW w:w="1917" w:type="dxa"/>
            <w:vAlign w:val="top"/>
          </w:tcPr>
          <w:p w14:paraId="47A66793">
            <w:pPr>
              <w:rPr>
                <w:rFonts w:ascii="Arial"/>
                <w:color w:val="000000" w:themeColor="text1"/>
                <w:sz w:val="21"/>
                <w:highlight w:val="none"/>
                <w14:textFill>
                  <w14:solidFill>
                    <w14:schemeClr w14:val="tx1"/>
                  </w14:solidFill>
                </w14:textFill>
              </w:rPr>
            </w:pPr>
          </w:p>
        </w:tc>
        <w:tc>
          <w:tcPr>
            <w:tcW w:w="2897" w:type="dxa"/>
            <w:gridSpan w:val="3"/>
            <w:vAlign w:val="top"/>
          </w:tcPr>
          <w:p w14:paraId="3FF2FD64">
            <w:pPr>
              <w:rPr>
                <w:rFonts w:ascii="Arial"/>
                <w:color w:val="000000" w:themeColor="text1"/>
                <w:sz w:val="21"/>
                <w:highlight w:val="none"/>
                <w14:textFill>
                  <w14:solidFill>
                    <w14:schemeClr w14:val="tx1"/>
                  </w14:solidFill>
                </w14:textFill>
              </w:rPr>
            </w:pPr>
          </w:p>
        </w:tc>
        <w:tc>
          <w:tcPr>
            <w:tcW w:w="862" w:type="dxa"/>
            <w:gridSpan w:val="2"/>
            <w:vAlign w:val="top"/>
          </w:tcPr>
          <w:p w14:paraId="4956ECF8">
            <w:pPr>
              <w:rPr>
                <w:rFonts w:ascii="Arial"/>
                <w:color w:val="000000" w:themeColor="text1"/>
                <w:sz w:val="21"/>
                <w:highlight w:val="none"/>
                <w14:textFill>
                  <w14:solidFill>
                    <w14:schemeClr w14:val="tx1"/>
                  </w14:solidFill>
                </w14:textFill>
              </w:rPr>
            </w:pPr>
          </w:p>
        </w:tc>
        <w:tc>
          <w:tcPr>
            <w:tcW w:w="1435" w:type="dxa"/>
            <w:vAlign w:val="top"/>
          </w:tcPr>
          <w:p w14:paraId="6F61ABEB">
            <w:pPr>
              <w:rPr>
                <w:rFonts w:ascii="Arial"/>
                <w:color w:val="000000" w:themeColor="text1"/>
                <w:sz w:val="21"/>
                <w:highlight w:val="none"/>
                <w14:textFill>
                  <w14:solidFill>
                    <w14:schemeClr w14:val="tx1"/>
                  </w14:solidFill>
                </w14:textFill>
              </w:rPr>
            </w:pPr>
          </w:p>
        </w:tc>
      </w:tr>
      <w:tr w14:paraId="6F7E5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78451692">
            <w:pPr>
              <w:pStyle w:val="49"/>
              <w:spacing w:before="161" w:line="229" w:lineRule="auto"/>
              <w:ind w:left="28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w:t>
            </w:r>
            <w:r>
              <w:rPr>
                <w:color w:val="000000" w:themeColor="text1"/>
                <w:spacing w:val="13"/>
                <w:highlight w:val="none"/>
                <w14:textFill>
                  <w14:solidFill>
                    <w14:schemeClr w14:val="tx1"/>
                  </w14:solidFill>
                </w14:textFill>
              </w:rPr>
              <w:t xml:space="preserve"> </w:t>
            </w:r>
            <w:r>
              <w:rPr>
                <w:color w:val="000000" w:themeColor="text1"/>
                <w:highlight w:val="none"/>
                <w14:textFill>
                  <w14:solidFill>
                    <w14:schemeClr w14:val="tx1"/>
                  </w14:solidFill>
                </w14:textFill>
              </w:rPr>
              <w:t>计</w:t>
            </w:r>
          </w:p>
        </w:tc>
        <w:tc>
          <w:tcPr>
            <w:tcW w:w="862" w:type="dxa"/>
            <w:gridSpan w:val="2"/>
            <w:vAlign w:val="top"/>
          </w:tcPr>
          <w:p w14:paraId="67FB0336">
            <w:pPr>
              <w:rPr>
                <w:rFonts w:ascii="Arial"/>
                <w:color w:val="000000" w:themeColor="text1"/>
                <w:sz w:val="21"/>
                <w:highlight w:val="none"/>
                <w14:textFill>
                  <w14:solidFill>
                    <w14:schemeClr w14:val="tx1"/>
                  </w14:solidFill>
                </w14:textFill>
              </w:rPr>
            </w:pPr>
          </w:p>
        </w:tc>
        <w:tc>
          <w:tcPr>
            <w:tcW w:w="1435" w:type="dxa"/>
            <w:vAlign w:val="top"/>
          </w:tcPr>
          <w:p w14:paraId="1804DF68">
            <w:pPr>
              <w:rPr>
                <w:rFonts w:ascii="Arial"/>
                <w:color w:val="000000" w:themeColor="text1"/>
                <w:sz w:val="21"/>
                <w:highlight w:val="none"/>
                <w14:textFill>
                  <w14:solidFill>
                    <w14:schemeClr w14:val="tx1"/>
                  </w14:solidFill>
                </w14:textFill>
              </w:rPr>
            </w:pPr>
          </w:p>
        </w:tc>
      </w:tr>
      <w:tr w14:paraId="62CE2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73F37162">
            <w:pPr>
              <w:pStyle w:val="49"/>
              <w:spacing w:before="238" w:line="228" w:lineRule="auto"/>
              <w:ind w:left="15"/>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合计大写金额：</w:t>
            </w:r>
          </w:p>
        </w:tc>
      </w:tr>
      <w:tr w14:paraId="0CCFE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14:paraId="53F0BAC9">
            <w:pPr>
              <w:pStyle w:val="49"/>
              <w:spacing w:before="240" w:line="227" w:lineRule="auto"/>
              <w:ind w:left="4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实际供货日期</w:t>
            </w:r>
          </w:p>
        </w:tc>
        <w:tc>
          <w:tcPr>
            <w:tcW w:w="2714" w:type="dxa"/>
            <w:gridSpan w:val="3"/>
            <w:vAlign w:val="top"/>
          </w:tcPr>
          <w:p w14:paraId="4C04292F">
            <w:pPr>
              <w:rPr>
                <w:rFonts w:ascii="Arial"/>
                <w:color w:val="000000" w:themeColor="text1"/>
                <w:sz w:val="21"/>
                <w:highlight w:val="none"/>
                <w14:textFill>
                  <w14:solidFill>
                    <w14:schemeClr w14:val="tx1"/>
                  </w14:solidFill>
                </w14:textFill>
              </w:rPr>
            </w:pPr>
          </w:p>
        </w:tc>
        <w:tc>
          <w:tcPr>
            <w:tcW w:w="2278" w:type="dxa"/>
            <w:gridSpan w:val="2"/>
            <w:vAlign w:val="top"/>
          </w:tcPr>
          <w:p w14:paraId="3320B4AB">
            <w:pPr>
              <w:pStyle w:val="49"/>
              <w:spacing w:before="240" w:line="227" w:lineRule="auto"/>
              <w:ind w:left="32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合同交货验收日期</w:t>
            </w:r>
          </w:p>
        </w:tc>
        <w:tc>
          <w:tcPr>
            <w:tcW w:w="2119" w:type="dxa"/>
            <w:gridSpan w:val="2"/>
            <w:vAlign w:val="top"/>
          </w:tcPr>
          <w:p w14:paraId="2BE68B19">
            <w:pPr>
              <w:rPr>
                <w:rFonts w:ascii="Arial"/>
                <w:color w:val="000000" w:themeColor="text1"/>
                <w:sz w:val="21"/>
                <w:highlight w:val="none"/>
                <w14:textFill>
                  <w14:solidFill>
                    <w14:schemeClr w14:val="tx1"/>
                  </w14:solidFill>
                </w14:textFill>
              </w:rPr>
            </w:pPr>
          </w:p>
        </w:tc>
      </w:tr>
      <w:tr w14:paraId="1E195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14:paraId="7190D790">
            <w:pPr>
              <w:rPr>
                <w:rFonts w:ascii="Arial"/>
                <w:color w:val="000000" w:themeColor="text1"/>
                <w:sz w:val="21"/>
                <w:highlight w:val="none"/>
                <w14:textFill>
                  <w14:solidFill>
                    <w14:schemeClr w14:val="tx1"/>
                  </w14:solidFill>
                </w14:textFill>
              </w:rPr>
            </w:pPr>
          </w:p>
        </w:tc>
        <w:tc>
          <w:tcPr>
            <w:tcW w:w="2714" w:type="dxa"/>
            <w:gridSpan w:val="3"/>
            <w:vAlign w:val="top"/>
          </w:tcPr>
          <w:p w14:paraId="22C1F2FA">
            <w:pPr>
              <w:rPr>
                <w:rFonts w:ascii="Arial"/>
                <w:color w:val="000000" w:themeColor="text1"/>
                <w:sz w:val="21"/>
                <w:highlight w:val="none"/>
                <w14:textFill>
                  <w14:solidFill>
                    <w14:schemeClr w14:val="tx1"/>
                  </w14:solidFill>
                </w14:textFill>
              </w:rPr>
            </w:pPr>
          </w:p>
        </w:tc>
        <w:tc>
          <w:tcPr>
            <w:tcW w:w="2278" w:type="dxa"/>
            <w:gridSpan w:val="2"/>
            <w:vAlign w:val="top"/>
          </w:tcPr>
          <w:p w14:paraId="4E51BFA6">
            <w:pPr>
              <w:rPr>
                <w:rFonts w:ascii="Arial"/>
                <w:color w:val="000000" w:themeColor="text1"/>
                <w:sz w:val="21"/>
                <w:highlight w:val="none"/>
                <w14:textFill>
                  <w14:solidFill>
                    <w14:schemeClr w14:val="tx1"/>
                  </w14:solidFill>
                </w14:textFill>
              </w:rPr>
            </w:pPr>
          </w:p>
        </w:tc>
        <w:tc>
          <w:tcPr>
            <w:tcW w:w="2119" w:type="dxa"/>
            <w:gridSpan w:val="2"/>
            <w:vAlign w:val="top"/>
          </w:tcPr>
          <w:p w14:paraId="7822F371">
            <w:pPr>
              <w:rPr>
                <w:rFonts w:ascii="Arial"/>
                <w:color w:val="000000" w:themeColor="text1"/>
                <w:sz w:val="21"/>
                <w:highlight w:val="none"/>
                <w14:textFill>
                  <w14:solidFill>
                    <w14:schemeClr w14:val="tx1"/>
                  </w14:solidFill>
                </w14:textFill>
              </w:rPr>
            </w:pPr>
          </w:p>
        </w:tc>
      </w:tr>
      <w:tr w14:paraId="5874E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14:paraId="1F80E9BE">
            <w:pPr>
              <w:spacing w:line="332" w:lineRule="auto"/>
              <w:rPr>
                <w:rFonts w:ascii="Arial"/>
                <w:color w:val="000000" w:themeColor="text1"/>
                <w:sz w:val="21"/>
                <w:highlight w:val="none"/>
                <w14:textFill>
                  <w14:solidFill>
                    <w14:schemeClr w14:val="tx1"/>
                  </w14:solidFill>
                </w14:textFill>
              </w:rPr>
            </w:pPr>
          </w:p>
          <w:p w14:paraId="688407D8">
            <w:pPr>
              <w:pStyle w:val="49"/>
              <w:spacing w:before="65" w:line="263" w:lineRule="auto"/>
              <w:ind w:left="113" w:right="171" w:hanging="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验收具体内</w:t>
            </w:r>
            <w:r>
              <w:rPr>
                <w:color w:val="000000" w:themeColor="text1"/>
                <w:highlight w:val="none"/>
                <w14:textFill>
                  <w14:solidFill>
                    <w14:schemeClr w14:val="tx1"/>
                  </w14:solidFill>
                </w14:textFill>
              </w:rPr>
              <w:t xml:space="preserve"> 容</w:t>
            </w:r>
          </w:p>
        </w:tc>
        <w:tc>
          <w:tcPr>
            <w:tcW w:w="7111" w:type="dxa"/>
            <w:gridSpan w:val="7"/>
            <w:vAlign w:val="top"/>
          </w:tcPr>
          <w:p w14:paraId="2999D557">
            <w:pPr>
              <w:pStyle w:val="49"/>
              <w:spacing w:before="79" w:line="255" w:lineRule="auto"/>
              <w:ind w:left="103" w:right="103" w:firstLine="9"/>
              <w:rPr>
                <w:rFonts w:ascii="微软雅黑" w:hAnsi="微软雅黑" w:eastAsia="微软雅黑" w:cs="微软雅黑"/>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（应按采购合同、采购文件、投标响应文件及验收方案等进行验收；并核对</w:t>
            </w:r>
            <w:r>
              <w:rPr>
                <w:color w:val="000000" w:themeColor="text1"/>
                <w:spacing w:val="14"/>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中标或者成交供应商在安装调试等方面是否违反合同</w:t>
            </w:r>
            <w:r>
              <w:rPr>
                <w:color w:val="000000" w:themeColor="text1"/>
                <w:spacing w:val="8"/>
                <w:highlight w:val="none"/>
                <w14:textFill>
                  <w14:solidFill>
                    <w14:schemeClr w14:val="tx1"/>
                  </w14:solidFill>
                </w14:textFill>
              </w:rPr>
              <w:t>约定或服务规范要求、</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 xml:space="preserve">提供的质量保证证明材料是否齐全、应有的配件及附件是否达到合同约定  </w:t>
            </w:r>
            <w:r>
              <w:rPr>
                <w:color w:val="000000" w:themeColor="text1"/>
                <w:spacing w:val="11"/>
                <w:highlight w:val="none"/>
                <w14:textFill>
                  <w14:solidFill>
                    <w14:schemeClr w14:val="tx1"/>
                  </w14:solidFill>
                </w14:textFill>
              </w:rPr>
              <w:t>等。可附件</w:t>
            </w:r>
            <w:r>
              <w:rPr>
                <w:rFonts w:ascii="微软雅黑" w:hAnsi="微软雅黑" w:eastAsia="微软雅黑" w:cs="微软雅黑"/>
                <w:color w:val="000000" w:themeColor="text1"/>
                <w:spacing w:val="11"/>
                <w:highlight w:val="none"/>
                <w14:textFill>
                  <w14:solidFill>
                    <w14:schemeClr w14:val="tx1"/>
                  </w14:solidFill>
                </w14:textFill>
              </w:rPr>
              <w:t>)</w:t>
            </w:r>
          </w:p>
        </w:tc>
      </w:tr>
      <w:tr w14:paraId="7459E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14:paraId="4090B3FA">
            <w:pPr>
              <w:spacing w:line="267" w:lineRule="auto"/>
              <w:rPr>
                <w:rFonts w:ascii="Arial"/>
                <w:color w:val="000000" w:themeColor="text1"/>
                <w:sz w:val="21"/>
                <w:highlight w:val="none"/>
                <w14:textFill>
                  <w14:solidFill>
                    <w14:schemeClr w14:val="tx1"/>
                  </w14:solidFill>
                </w14:textFill>
              </w:rPr>
            </w:pPr>
          </w:p>
          <w:p w14:paraId="73B863AE">
            <w:pPr>
              <w:spacing w:line="268" w:lineRule="auto"/>
              <w:rPr>
                <w:rFonts w:ascii="Arial"/>
                <w:color w:val="000000" w:themeColor="text1"/>
                <w:sz w:val="21"/>
                <w:highlight w:val="none"/>
                <w14:textFill>
                  <w14:solidFill>
                    <w14:schemeClr w14:val="tx1"/>
                  </w14:solidFill>
                </w14:textFill>
              </w:rPr>
            </w:pPr>
          </w:p>
          <w:p w14:paraId="146D5FCD">
            <w:pPr>
              <w:spacing w:line="268" w:lineRule="auto"/>
              <w:rPr>
                <w:rFonts w:ascii="Arial"/>
                <w:color w:val="000000" w:themeColor="text1"/>
                <w:sz w:val="21"/>
                <w:highlight w:val="none"/>
                <w14:textFill>
                  <w14:solidFill>
                    <w14:schemeClr w14:val="tx1"/>
                  </w14:solidFill>
                </w14:textFill>
              </w:rPr>
            </w:pPr>
          </w:p>
          <w:p w14:paraId="3302E3A2">
            <w:pPr>
              <w:pStyle w:val="49"/>
              <w:spacing w:before="66" w:line="261" w:lineRule="auto"/>
              <w:ind w:left="114" w:right="171" w:hanging="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验收小组意</w:t>
            </w:r>
            <w:r>
              <w:rPr>
                <w:color w:val="000000" w:themeColor="text1"/>
                <w:highlight w:val="none"/>
                <w14:textFill>
                  <w14:solidFill>
                    <w14:schemeClr w14:val="tx1"/>
                  </w14:solidFill>
                </w14:textFill>
              </w:rPr>
              <w:t xml:space="preserve"> 见</w:t>
            </w:r>
          </w:p>
        </w:tc>
        <w:tc>
          <w:tcPr>
            <w:tcW w:w="7111" w:type="dxa"/>
            <w:gridSpan w:val="7"/>
            <w:vAlign w:val="top"/>
          </w:tcPr>
          <w:p w14:paraId="21A8093B">
            <w:pPr>
              <w:spacing w:line="247" w:lineRule="auto"/>
              <w:rPr>
                <w:rFonts w:ascii="Arial"/>
                <w:color w:val="000000" w:themeColor="text1"/>
                <w:sz w:val="21"/>
                <w:highlight w:val="none"/>
                <w14:textFill>
                  <w14:solidFill>
                    <w14:schemeClr w14:val="tx1"/>
                  </w14:solidFill>
                </w14:textFill>
              </w:rPr>
            </w:pPr>
          </w:p>
          <w:p w14:paraId="3796D08D">
            <w:pPr>
              <w:spacing w:line="248" w:lineRule="auto"/>
              <w:rPr>
                <w:rFonts w:ascii="Arial"/>
                <w:color w:val="000000" w:themeColor="text1"/>
                <w:sz w:val="21"/>
                <w:highlight w:val="none"/>
                <w14:textFill>
                  <w14:solidFill>
                    <w14:schemeClr w14:val="tx1"/>
                  </w14:solidFill>
                </w14:textFill>
              </w:rPr>
            </w:pPr>
          </w:p>
          <w:p w14:paraId="6B5142BB">
            <w:pPr>
              <w:pStyle w:val="49"/>
              <w:spacing w:before="65" w:line="228" w:lineRule="auto"/>
              <w:ind w:left="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验收结论性意见：</w:t>
            </w:r>
          </w:p>
        </w:tc>
      </w:tr>
      <w:tr w14:paraId="246B3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14:paraId="3D763770">
            <w:pPr>
              <w:rPr>
                <w:rFonts w:ascii="Arial"/>
                <w:color w:val="000000" w:themeColor="text1"/>
                <w:sz w:val="21"/>
                <w:highlight w:val="none"/>
                <w14:textFill>
                  <w14:solidFill>
                    <w14:schemeClr w14:val="tx1"/>
                  </w14:solidFill>
                </w14:textFill>
              </w:rPr>
            </w:pPr>
          </w:p>
        </w:tc>
        <w:tc>
          <w:tcPr>
            <w:tcW w:w="7111" w:type="dxa"/>
            <w:gridSpan w:val="7"/>
            <w:vAlign w:val="top"/>
          </w:tcPr>
          <w:p w14:paraId="3217F568">
            <w:pPr>
              <w:pStyle w:val="49"/>
              <w:spacing w:before="85" w:line="600" w:lineRule="exact"/>
              <w:ind w:left="7"/>
              <w:rPr>
                <w:color w:val="000000" w:themeColor="text1"/>
                <w:highlight w:val="none"/>
                <w14:textFill>
                  <w14:solidFill>
                    <w14:schemeClr w14:val="tx1"/>
                  </w14:solidFill>
                </w14:textFill>
              </w:rPr>
            </w:pPr>
            <w:r>
              <w:rPr>
                <w:color w:val="000000" w:themeColor="text1"/>
                <w:spacing w:val="8"/>
                <w:position w:val="30"/>
                <w:highlight w:val="none"/>
                <w14:textFill>
                  <w14:solidFill>
                    <w14:schemeClr w14:val="tx1"/>
                  </w14:solidFill>
                </w14:textFill>
              </w:rPr>
              <w:t>有异议的意见和说明理由：</w:t>
            </w:r>
          </w:p>
          <w:p w14:paraId="6A5AC6F8">
            <w:pPr>
              <w:pStyle w:val="49"/>
              <w:spacing w:line="210" w:lineRule="auto"/>
              <w:ind w:left="6"/>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签字：</w:t>
            </w:r>
          </w:p>
        </w:tc>
      </w:tr>
      <w:tr w14:paraId="29BD4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047FC405">
            <w:pPr>
              <w:pStyle w:val="49"/>
              <w:spacing w:before="178" w:line="228" w:lineRule="auto"/>
              <w:ind w:left="11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验收小组成员签字：</w:t>
            </w:r>
          </w:p>
        </w:tc>
      </w:tr>
      <w:tr w14:paraId="46453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03D5E790">
            <w:pPr>
              <w:pStyle w:val="49"/>
              <w:spacing w:before="87" w:line="600" w:lineRule="exact"/>
              <w:ind w:left="111"/>
              <w:rPr>
                <w:color w:val="000000" w:themeColor="text1"/>
                <w:highlight w:val="none"/>
                <w14:textFill>
                  <w14:solidFill>
                    <w14:schemeClr w14:val="tx1"/>
                  </w14:solidFill>
                </w14:textFill>
              </w:rPr>
            </w:pPr>
            <w:r>
              <w:rPr>
                <w:color w:val="000000" w:themeColor="text1"/>
                <w:spacing w:val="8"/>
                <w:position w:val="30"/>
                <w:highlight w:val="none"/>
                <w14:textFill>
                  <w14:solidFill>
                    <w14:schemeClr w14:val="tx1"/>
                  </w14:solidFill>
                </w14:textFill>
              </w:rPr>
              <w:t>监督人员或其他相关人员签字：</w:t>
            </w:r>
          </w:p>
          <w:p w14:paraId="2C38EF3B">
            <w:pPr>
              <w:pStyle w:val="49"/>
              <w:spacing w:line="209" w:lineRule="auto"/>
              <w:ind w:left="11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或受邀机构的意见（盖章</w:t>
            </w:r>
            <w:r>
              <w:rPr>
                <w:color w:val="000000" w:themeColor="text1"/>
                <w:spacing w:val="4"/>
                <w:highlight w:val="none"/>
                <w14:textFill>
                  <w14:solidFill>
                    <w14:schemeClr w14:val="tx1"/>
                  </w14:solidFill>
                </w14:textFill>
              </w:rPr>
              <w:t>）：</w:t>
            </w:r>
          </w:p>
        </w:tc>
      </w:tr>
      <w:tr w14:paraId="3602E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14:paraId="79937827">
            <w:pPr>
              <w:pStyle w:val="49"/>
              <w:spacing w:before="89" w:line="600" w:lineRule="exact"/>
              <w:ind w:left="130"/>
              <w:rPr>
                <w:color w:val="000000" w:themeColor="text1"/>
                <w:highlight w:val="none"/>
                <w14:textFill>
                  <w14:solidFill>
                    <w14:schemeClr w14:val="tx1"/>
                  </w14:solidFill>
                </w14:textFill>
              </w:rPr>
            </w:pPr>
            <w:r>
              <w:rPr>
                <w:color w:val="000000" w:themeColor="text1"/>
                <w:spacing w:val="7"/>
                <w:position w:val="30"/>
                <w:highlight w:val="none"/>
                <w14:textFill>
                  <w14:solidFill>
                    <w14:schemeClr w14:val="tx1"/>
                  </w14:solidFill>
                </w14:textFill>
              </w:rPr>
              <w:t>中标或者成交供应商负责人签字或盖章：</w:t>
            </w:r>
          </w:p>
          <w:p w14:paraId="5499741F">
            <w:pPr>
              <w:pStyle w:val="49"/>
              <w:spacing w:before="1" w:line="215" w:lineRule="auto"/>
              <w:ind w:left="111"/>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联系电话：</w:t>
            </w:r>
            <w:r>
              <w:rPr>
                <w:color w:val="000000" w:themeColor="text1"/>
                <w:spacing w:val="25"/>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年</w:t>
            </w:r>
            <w:r>
              <w:rPr>
                <w:color w:val="000000" w:themeColor="text1"/>
                <w:spacing w:val="1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月</w:t>
            </w:r>
            <w:r>
              <w:rPr>
                <w:color w:val="000000" w:themeColor="text1"/>
                <w:spacing w:val="27"/>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日</w:t>
            </w:r>
          </w:p>
        </w:tc>
        <w:tc>
          <w:tcPr>
            <w:tcW w:w="4499" w:type="dxa"/>
            <w:gridSpan w:val="5"/>
            <w:tcBorders>
              <w:left w:val="single" w:color="000000" w:sz="2" w:space="0"/>
            </w:tcBorders>
            <w:vAlign w:val="top"/>
          </w:tcPr>
          <w:p w14:paraId="4EC90F8B">
            <w:pPr>
              <w:pStyle w:val="49"/>
              <w:spacing w:before="89" w:line="600" w:lineRule="exact"/>
              <w:ind w:left="209"/>
              <w:rPr>
                <w:color w:val="000000" w:themeColor="text1"/>
                <w:highlight w:val="none"/>
                <w14:textFill>
                  <w14:solidFill>
                    <w14:schemeClr w14:val="tx1"/>
                  </w14:solidFill>
                </w14:textFill>
              </w:rPr>
            </w:pPr>
            <w:r>
              <w:rPr>
                <w:color w:val="000000" w:themeColor="text1"/>
                <w:spacing w:val="9"/>
                <w:position w:val="30"/>
                <w:highlight w:val="none"/>
                <w14:textFill>
                  <w14:solidFill>
                    <w14:schemeClr w14:val="tx1"/>
                  </w14:solidFill>
                </w14:textFill>
              </w:rPr>
              <w:t>采购人或受托机构的意见（盖章</w:t>
            </w:r>
            <w:r>
              <w:rPr>
                <w:color w:val="000000" w:themeColor="text1"/>
                <w:spacing w:val="1"/>
                <w:position w:val="30"/>
                <w:highlight w:val="none"/>
                <w14:textFill>
                  <w14:solidFill>
                    <w14:schemeClr w14:val="tx1"/>
                  </w14:solidFill>
                </w14:textFill>
              </w:rPr>
              <w:t>）：</w:t>
            </w:r>
          </w:p>
          <w:p w14:paraId="4878B7BD">
            <w:pPr>
              <w:pStyle w:val="49"/>
              <w:spacing w:before="1" w:line="215" w:lineRule="auto"/>
              <w:ind w:left="21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联系电话：</w:t>
            </w:r>
            <w:r>
              <w:rPr>
                <w:color w:val="000000" w:themeColor="text1"/>
                <w:spacing w:val="25"/>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年</w:t>
            </w:r>
            <w:r>
              <w:rPr>
                <w:color w:val="000000" w:themeColor="text1"/>
                <w:spacing w:val="1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月</w:t>
            </w:r>
            <w:r>
              <w:rPr>
                <w:color w:val="000000" w:themeColor="text1"/>
                <w:spacing w:val="27"/>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日</w:t>
            </w:r>
          </w:p>
        </w:tc>
      </w:tr>
    </w:tbl>
    <w:p w14:paraId="624FD254">
      <w:pPr>
        <w:rPr>
          <w:rFonts w:ascii="Arial"/>
          <w:color w:val="000000" w:themeColor="text1"/>
          <w:sz w:val="21"/>
          <w:highlight w:val="none"/>
          <w14:textFill>
            <w14:solidFill>
              <w14:schemeClr w14:val="tx1"/>
            </w14:solidFill>
          </w14:textFill>
        </w:rPr>
      </w:pPr>
    </w:p>
    <w:p w14:paraId="7FAC8090">
      <w:pPr>
        <w:rPr>
          <w:rFonts w:ascii="Arial" w:hAnsi="Arial" w:eastAsia="Arial" w:cs="Arial"/>
          <w:color w:val="000000" w:themeColor="text1"/>
          <w:sz w:val="21"/>
          <w:szCs w:val="21"/>
          <w:highlight w:val="none"/>
          <w14:textFill>
            <w14:solidFill>
              <w14:schemeClr w14:val="tx1"/>
            </w14:solidFill>
          </w14:textFill>
        </w:rPr>
        <w:sectPr>
          <w:footerReference r:id="rId9" w:type="default"/>
          <w:pgSz w:w="11906" w:h="16839"/>
          <w:pgMar w:top="1431" w:right="1158" w:bottom="1362" w:left="1151" w:header="0" w:footer="1200" w:gutter="0"/>
          <w:pgNumType w:fmt="decimal"/>
          <w:cols w:space="720" w:num="1"/>
        </w:sectPr>
      </w:pPr>
    </w:p>
    <w:p w14:paraId="315F0592">
      <w:pPr>
        <w:keepNext w:val="0"/>
        <w:keepLines w:val="0"/>
        <w:pageBreakBefore w:val="0"/>
        <w:widowControl w:val="0"/>
        <w:kinsoku/>
        <w:wordWrap/>
        <w:overflowPunct/>
        <w:topLinePunct w:val="0"/>
        <w:autoSpaceDE/>
        <w:autoSpaceDN/>
        <w:bidi w:val="0"/>
        <w:adjustRightInd/>
        <w:snapToGrid/>
        <w:spacing w:line="231" w:lineRule="auto"/>
        <w:ind w:lef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附件</w:t>
      </w:r>
    </w:p>
    <w:p w14:paraId="155A3F8C">
      <w:pPr>
        <w:spacing w:before="184" w:line="186"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9"/>
          <w:sz w:val="28"/>
          <w:szCs w:val="28"/>
          <w:highlight w:val="none"/>
          <w14:textFill>
            <w14:solidFill>
              <w14:schemeClr w14:val="tx1"/>
            </w14:solidFill>
          </w14:textFill>
        </w:rPr>
        <w:t>广西线上“政采贷”政策告知函</w:t>
      </w:r>
    </w:p>
    <w:p w14:paraId="786C88D9">
      <w:pPr>
        <w:spacing w:line="291" w:lineRule="auto"/>
        <w:rPr>
          <w:rFonts w:hint="eastAsia" w:ascii="宋体" w:hAnsi="宋体" w:eastAsia="宋体" w:cs="宋体"/>
          <w:color w:val="000000" w:themeColor="text1"/>
          <w:sz w:val="24"/>
          <w:szCs w:val="24"/>
          <w:highlight w:val="none"/>
          <w14:textFill>
            <w14:solidFill>
              <w14:schemeClr w14:val="tx1"/>
            </w14:solidFill>
          </w14:textFill>
        </w:rPr>
      </w:pPr>
    </w:p>
    <w:p w14:paraId="6679B7B3">
      <w:pPr>
        <w:spacing w:before="101" w:line="229" w:lineRule="auto"/>
        <w:ind w:left="1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各供应商：</w:t>
      </w:r>
    </w:p>
    <w:p w14:paraId="1BE86EA1">
      <w:pPr>
        <w:spacing w:before="196" w:line="228" w:lineRule="auto"/>
        <w:ind w:left="65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欢迎贵公司参与广西政府采购活动！</w:t>
      </w:r>
    </w:p>
    <w:p w14:paraId="0B4000DF">
      <w:pPr>
        <w:spacing w:before="203" w:line="345" w:lineRule="auto"/>
        <w:ind w:left="13" w:firstLine="64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线上“政采贷</w:t>
      </w:r>
      <w:r>
        <w:rPr>
          <w:rFonts w:hint="eastAsia" w:ascii="宋体" w:hAnsi="宋体" w:eastAsia="宋体" w:cs="宋体"/>
          <w:color w:val="000000" w:themeColor="text1"/>
          <w:spacing w:val="-9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”是人民银行南宁中心支行和自治区财政厅共同支</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持企业发展，针对参与政府采购活动的企业融资难、融资贵、融资慢、</w:t>
      </w:r>
      <w:r>
        <w:rPr>
          <w:rFonts w:hint="eastAsia" w:ascii="宋体" w:hAnsi="宋体" w:eastAsia="宋体" w:cs="宋体"/>
          <w:color w:val="000000" w:themeColor="text1"/>
          <w:spacing w:val="10"/>
          <w:sz w:val="24"/>
          <w:szCs w:val="24"/>
          <w:highlight w:val="none"/>
          <w14:textFill>
            <w14:solidFill>
              <w14:schemeClr w14:val="tx1"/>
            </w14:solidFill>
          </w14:textFill>
        </w:rPr>
        <w:t xml:space="preserve">融资繁问题推出的一项融资政策。贵公司若成为本次政府采购项目的中标（成交）供应商，可持政府采购合同在线向银行业金融机构申请 </w:t>
      </w:r>
      <w:r>
        <w:rPr>
          <w:rFonts w:hint="eastAsia" w:ascii="宋体" w:hAnsi="宋体" w:eastAsia="宋体" w:cs="宋体"/>
          <w:color w:val="000000" w:themeColor="text1"/>
          <w:spacing w:val="5"/>
          <w:sz w:val="24"/>
          <w:szCs w:val="24"/>
          <w:highlight w:val="none"/>
          <w14:textFill>
            <w14:solidFill>
              <w14:schemeClr w14:val="tx1"/>
            </w14:solidFill>
          </w14:textFill>
        </w:rPr>
        <w:t>贷款，融资机构将根据《中国人民银行南宁中心支行 广西壮族自治区</w:t>
      </w:r>
      <w:r>
        <w:rPr>
          <w:rFonts w:hint="eastAsia" w:ascii="宋体" w:hAnsi="宋体" w:eastAsia="宋体" w:cs="宋体"/>
          <w:color w:val="000000" w:themeColor="text1"/>
          <w:spacing w:val="2"/>
          <w:sz w:val="24"/>
          <w:szCs w:val="24"/>
          <w:highlight w:val="none"/>
          <w14:textFill>
            <w14:solidFill>
              <w14:schemeClr w14:val="tx1"/>
            </w14:solidFill>
          </w14:textFill>
        </w:rPr>
        <w:t>财政厅关于推广线上“政采贷</w:t>
      </w:r>
      <w:r>
        <w:rPr>
          <w:rFonts w:hint="eastAsia" w:ascii="宋体" w:hAnsi="宋体" w:eastAsia="宋体" w:cs="宋体"/>
          <w:color w:val="000000" w:themeColor="text1"/>
          <w:spacing w:val="-11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”融资模式的通知》（南宁银发〔202</w:t>
      </w:r>
      <w:r>
        <w:rPr>
          <w:rFonts w:hint="eastAsia" w:ascii="宋体" w:hAnsi="宋体" w:eastAsia="宋体" w:cs="宋体"/>
          <w:color w:val="000000" w:themeColor="text1"/>
          <w:spacing w:val="1"/>
          <w:sz w:val="24"/>
          <w:szCs w:val="24"/>
          <w:highlight w:val="none"/>
          <w14:textFill>
            <w14:solidFill>
              <w14:schemeClr w14:val="tx1"/>
            </w14:solidFill>
          </w14:textFill>
        </w:rPr>
        <w:t>1〕</w:t>
      </w:r>
      <w:r>
        <w:rPr>
          <w:rFonts w:hint="eastAsia" w:ascii="宋体" w:hAnsi="宋体" w:eastAsia="宋体" w:cs="宋体"/>
          <w:color w:val="000000" w:themeColor="text1"/>
          <w:spacing w:val="6"/>
          <w:sz w:val="24"/>
          <w:szCs w:val="24"/>
          <w:highlight w:val="none"/>
          <w14:textFill>
            <w14:solidFill>
              <w14:schemeClr w14:val="tx1"/>
            </w14:solidFill>
          </w14:textFill>
        </w:rPr>
        <w:t>258</w:t>
      </w:r>
      <w:r>
        <w:rPr>
          <w:rFonts w:hint="eastAsia" w:ascii="宋体" w:hAnsi="宋体" w:eastAsia="宋体" w:cs="宋体"/>
          <w:color w:val="000000" w:themeColor="text1"/>
          <w:spacing w:val="-4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号</w:t>
      </w:r>
      <w:r>
        <w:rPr>
          <w:rFonts w:hint="eastAsia" w:ascii="宋体" w:hAnsi="宋体" w:eastAsia="宋体" w:cs="宋体"/>
          <w:color w:val="000000" w:themeColor="text1"/>
          <w:spacing w:val="27"/>
          <w:sz w:val="24"/>
          <w:szCs w:val="24"/>
          <w:highlight w:val="none"/>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按照双方自愿的原则提供便捷、优惠的贷款服务。</w:t>
      </w:r>
    </w:p>
    <w:p w14:paraId="7E98B410">
      <w:pPr>
        <w:spacing w:before="196" w:line="346" w:lineRule="auto"/>
        <w:ind w:left="27" w:right="104" w:firstLine="627"/>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相关金融产品和银行业金融机构联系方式，可在中征应收账款融</w:t>
      </w:r>
      <w:r>
        <w:rPr>
          <w:rFonts w:hint="eastAsia" w:ascii="宋体" w:hAnsi="宋体" w:eastAsia="宋体" w:cs="宋体"/>
          <w:color w:val="000000" w:themeColor="text1"/>
          <w:spacing w:val="-3"/>
          <w:sz w:val="24"/>
          <w:szCs w:val="24"/>
          <w:highlight w:val="none"/>
          <w14:textFill>
            <w14:solidFill>
              <w14:schemeClr w14:val="tx1"/>
            </w14:solidFill>
          </w14:textFill>
        </w:rPr>
        <w:t>资</w:t>
      </w:r>
      <w:r>
        <w:rPr>
          <w:rFonts w:hint="eastAsia" w:ascii="宋体" w:hAnsi="宋体" w:eastAsia="宋体" w:cs="宋体"/>
          <w:color w:val="000000" w:themeColor="text1"/>
          <w:spacing w:val="-7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服</w:t>
      </w:r>
      <w:r>
        <w:rPr>
          <w:rFonts w:hint="eastAsia" w:ascii="宋体" w:hAnsi="宋体" w:eastAsia="宋体" w:cs="宋体"/>
          <w:color w:val="000000" w:themeColor="text1"/>
          <w:spacing w:val="-7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务</w:t>
      </w:r>
      <w:r>
        <w:rPr>
          <w:rFonts w:hint="eastAsia" w:ascii="宋体" w:hAnsi="宋体" w:eastAsia="宋体" w:cs="宋体"/>
          <w:color w:val="000000" w:themeColor="text1"/>
          <w:spacing w:val="-7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平</w:t>
      </w:r>
      <w:r>
        <w:rPr>
          <w:rFonts w:hint="eastAsia" w:ascii="宋体" w:hAnsi="宋体" w:eastAsia="宋体" w:cs="宋体"/>
          <w:color w:val="000000" w:themeColor="text1"/>
          <w:spacing w:val="-4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台</w:t>
      </w:r>
      <w:r>
        <w:rPr>
          <w:rFonts w:hint="eastAsia" w:ascii="宋体" w:hAnsi="宋体" w:eastAsia="宋体" w:cs="宋体"/>
          <w:color w:val="000000" w:themeColor="text1"/>
          <w:spacing w:val="-7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查</w:t>
      </w:r>
      <w:r>
        <w:rPr>
          <w:rFonts w:hint="eastAsia" w:ascii="宋体" w:hAnsi="宋体" w:eastAsia="宋体" w:cs="宋体"/>
          <w:color w:val="000000" w:themeColor="text1"/>
          <w:spacing w:val="-8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询</w:t>
      </w:r>
      <w:r>
        <w:rPr>
          <w:rFonts w:hint="eastAsia" w:ascii="宋体" w:hAnsi="宋体" w:eastAsia="宋体" w:cs="宋体"/>
          <w:color w:val="000000" w:themeColor="text1"/>
          <w:spacing w:val="-9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（网</w:t>
      </w:r>
      <w:r>
        <w:rPr>
          <w:rFonts w:hint="eastAsia" w:ascii="宋体" w:hAnsi="宋体" w:eastAsia="宋体" w:cs="宋体"/>
          <w:color w:val="000000" w:themeColor="text1"/>
          <w:spacing w:val="-7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址</w:t>
      </w:r>
      <w:r>
        <w:rPr>
          <w:rFonts w:hint="eastAsia" w:ascii="宋体" w:hAnsi="宋体" w:eastAsia="宋体" w:cs="宋体"/>
          <w:color w:val="000000" w:themeColor="text1"/>
          <w:spacing w:val="-5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w:t>
      </w:r>
      <w:r>
        <w:rPr>
          <w:rFonts w:hint="eastAsia" w:ascii="宋体" w:hAnsi="宋体" w:eastAsia="宋体" w:cs="宋体"/>
          <w:color w:val="000000" w:themeColor="text1"/>
          <w:spacing w:val="-92"/>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"https://www.crcrfsp.com/"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3"/>
          <w:sz w:val="24"/>
          <w:szCs w:val="24"/>
          <w:highlight w:val="none"/>
          <w:u w:val="single" w:color="auto"/>
          <w14:textFill>
            <w14:solidFill>
              <w14:schemeClr w14:val="tx1"/>
            </w14:solidFill>
          </w14:textFill>
        </w:rPr>
        <w:t>https://www.crcrfsp.com/</w:t>
      </w:r>
      <w:r>
        <w:rPr>
          <w:rFonts w:hint="eastAsia" w:ascii="宋体" w:hAnsi="宋体" w:eastAsia="宋体" w:cs="宋体"/>
          <w:color w:val="000000" w:themeColor="text1"/>
          <w:spacing w:val="-3"/>
          <w:sz w:val="24"/>
          <w:szCs w:val="24"/>
          <w:highlight w:val="none"/>
          <w:u w:val="single" w:color="auto"/>
          <w14:textFill>
            <w14:solidFill>
              <w14:schemeClr w14:val="tx1"/>
            </w14:solidFill>
          </w14:textFill>
        </w:rPr>
        <w:fldChar w:fldCharType="end"/>
      </w:r>
      <w:r>
        <w:rPr>
          <w:rFonts w:hint="eastAsia" w:ascii="宋体" w:hAnsi="宋体" w:eastAsia="宋体" w:cs="宋体"/>
          <w:color w:val="000000" w:themeColor="text1"/>
          <w:spacing w:val="-3"/>
          <w:sz w:val="24"/>
          <w:szCs w:val="24"/>
          <w:highlight w:val="none"/>
          <w14:textFill>
            <w14:solidFill>
              <w14:schemeClr w14:val="tx1"/>
            </w14:solidFill>
          </w14:textFill>
        </w:rPr>
        <w:t>，</w:t>
      </w:r>
      <w:r>
        <w:rPr>
          <w:rFonts w:hint="eastAsia" w:ascii="宋体" w:hAnsi="宋体" w:eastAsia="宋体" w:cs="宋体"/>
          <w:color w:val="000000" w:themeColor="text1"/>
          <w:spacing w:val="-6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客</w:t>
      </w:r>
      <w:r>
        <w:rPr>
          <w:rFonts w:hint="eastAsia" w:ascii="宋体" w:hAnsi="宋体" w:eastAsia="宋体" w:cs="宋体"/>
          <w:color w:val="000000" w:themeColor="text1"/>
          <w:spacing w:val="-7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服</w:t>
      </w:r>
      <w:r>
        <w:rPr>
          <w:rFonts w:hint="eastAsia" w:ascii="宋体" w:hAnsi="宋体" w:eastAsia="宋体" w:cs="宋体"/>
          <w:color w:val="000000" w:themeColor="text1"/>
          <w:spacing w:val="-4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电</w:t>
      </w:r>
      <w:r>
        <w:rPr>
          <w:rFonts w:hint="eastAsia" w:ascii="宋体" w:hAnsi="宋体" w:eastAsia="宋体" w:cs="宋体"/>
          <w:color w:val="000000" w:themeColor="text1"/>
          <w:spacing w:val="-7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话：</w:t>
      </w:r>
      <w:r>
        <w:rPr>
          <w:rFonts w:hint="eastAsia" w:ascii="宋体" w:hAnsi="宋体" w:eastAsia="宋体" w:cs="宋体"/>
          <w:color w:val="000000" w:themeColor="text1"/>
          <w:spacing w:val="3"/>
          <w:sz w:val="24"/>
          <w:szCs w:val="24"/>
          <w:highlight w:val="none"/>
          <w14:textFill>
            <w14:solidFill>
              <w14:schemeClr w14:val="tx1"/>
            </w14:solidFill>
          </w14:textFill>
        </w:rPr>
        <w:t>400-009-0001）。</w:t>
      </w:r>
    </w:p>
    <w:p w14:paraId="2AF0671A">
      <w:pPr>
        <w:pStyle w:val="2"/>
        <w:rPr>
          <w:rFonts w:hint="eastAsia"/>
          <w:color w:val="000000" w:themeColor="text1"/>
          <w:highlight w:val="none"/>
          <w:lang w:eastAsia="zh-CN"/>
          <w14:textFill>
            <w14:solidFill>
              <w14:schemeClr w14:val="tx1"/>
            </w14:solidFill>
          </w14:textFill>
        </w:rPr>
      </w:pPr>
    </w:p>
    <w:p w14:paraId="32046828">
      <w:pPr>
        <w:pStyle w:val="2"/>
        <w:rPr>
          <w:rFonts w:hint="eastAsia"/>
          <w:color w:val="000000" w:themeColor="text1"/>
          <w:sz w:val="24"/>
          <w:szCs w:val="24"/>
          <w:highlight w:val="none"/>
          <w:lang w:eastAsia="zh-CN"/>
          <w14:textFill>
            <w14:solidFill>
              <w14:schemeClr w14:val="tx1"/>
            </w14:solidFill>
          </w14:textFill>
        </w:rPr>
      </w:pPr>
    </w:p>
    <w:p w14:paraId="1F38783F">
      <w:pPr>
        <w:rPr>
          <w:rFonts w:hint="eastAsia"/>
          <w:color w:val="000000" w:themeColor="text1"/>
          <w:highlight w:val="none"/>
          <w:lang w:eastAsia="zh-CN"/>
          <w14:textFill>
            <w14:solidFill>
              <w14:schemeClr w14:val="tx1"/>
            </w14:solidFill>
          </w14:textFill>
        </w:rPr>
      </w:pPr>
    </w:p>
    <w:p w14:paraId="2626FF79">
      <w:pPr>
        <w:pStyle w:val="2"/>
        <w:rPr>
          <w:rFonts w:hint="eastAsia"/>
          <w:color w:val="000000" w:themeColor="text1"/>
          <w:highlight w:val="none"/>
          <w:lang w:eastAsia="zh-CN"/>
          <w14:textFill>
            <w14:solidFill>
              <w14:schemeClr w14:val="tx1"/>
            </w14:solidFill>
          </w14:textFill>
        </w:rPr>
      </w:pPr>
    </w:p>
    <w:p w14:paraId="11112639">
      <w:pPr>
        <w:rPr>
          <w:rFonts w:hint="eastAsia"/>
          <w:color w:val="000000" w:themeColor="text1"/>
          <w:sz w:val="24"/>
          <w:szCs w:val="24"/>
          <w:highlight w:val="none"/>
          <w:lang w:eastAsia="zh-CN"/>
          <w14:textFill>
            <w14:solidFill>
              <w14:schemeClr w14:val="tx1"/>
            </w14:solidFill>
          </w14:textFill>
        </w:rPr>
      </w:pPr>
    </w:p>
    <w:p w14:paraId="3126728C">
      <w:pPr>
        <w:pStyle w:val="2"/>
        <w:rPr>
          <w:rFonts w:hint="eastAsia"/>
          <w:color w:val="000000" w:themeColor="text1"/>
          <w:sz w:val="24"/>
          <w:szCs w:val="24"/>
          <w:highlight w:val="none"/>
          <w:lang w:eastAsia="zh-CN"/>
          <w14:textFill>
            <w14:solidFill>
              <w14:schemeClr w14:val="tx1"/>
            </w14:solidFill>
          </w14:textFill>
        </w:rPr>
      </w:pPr>
    </w:p>
    <w:p w14:paraId="62C3F81C">
      <w:pPr>
        <w:rPr>
          <w:rFonts w:hint="eastAsia"/>
          <w:color w:val="000000" w:themeColor="text1"/>
          <w:sz w:val="24"/>
          <w:szCs w:val="24"/>
          <w:highlight w:val="none"/>
          <w:lang w:eastAsia="zh-CN"/>
          <w14:textFill>
            <w14:solidFill>
              <w14:schemeClr w14:val="tx1"/>
            </w14:solidFill>
          </w14:textFill>
        </w:rPr>
      </w:pPr>
    </w:p>
    <w:p w14:paraId="57DA6366">
      <w:pPr>
        <w:pStyle w:val="2"/>
        <w:rPr>
          <w:rFonts w:hint="eastAsia"/>
          <w:color w:val="000000" w:themeColor="text1"/>
          <w:sz w:val="24"/>
          <w:szCs w:val="24"/>
          <w:highlight w:val="none"/>
          <w:lang w:eastAsia="zh-CN"/>
          <w14:textFill>
            <w14:solidFill>
              <w14:schemeClr w14:val="tx1"/>
            </w14:solidFill>
          </w14:textFill>
        </w:rPr>
      </w:pPr>
    </w:p>
    <w:p w14:paraId="0C5120B3">
      <w:pPr>
        <w:rPr>
          <w:rFonts w:hint="eastAsia"/>
          <w:color w:val="000000" w:themeColor="text1"/>
          <w:sz w:val="24"/>
          <w:szCs w:val="24"/>
          <w:highlight w:val="none"/>
          <w:lang w:eastAsia="zh-CN"/>
          <w14:textFill>
            <w14:solidFill>
              <w14:schemeClr w14:val="tx1"/>
            </w14:solidFill>
          </w14:textFill>
        </w:rPr>
      </w:pPr>
    </w:p>
    <w:p w14:paraId="101631A0">
      <w:pPr>
        <w:pStyle w:val="2"/>
        <w:rPr>
          <w:rFonts w:hint="eastAsia"/>
          <w:color w:val="000000" w:themeColor="text1"/>
          <w:sz w:val="24"/>
          <w:szCs w:val="24"/>
          <w:highlight w:val="none"/>
          <w:lang w:eastAsia="zh-CN"/>
          <w14:textFill>
            <w14:solidFill>
              <w14:schemeClr w14:val="tx1"/>
            </w14:solidFill>
          </w14:textFill>
        </w:rPr>
      </w:pPr>
    </w:p>
    <w:p w14:paraId="6126AF4C">
      <w:pPr>
        <w:rPr>
          <w:rFonts w:hint="eastAsia"/>
          <w:color w:val="000000" w:themeColor="text1"/>
          <w:sz w:val="24"/>
          <w:szCs w:val="24"/>
          <w:highlight w:val="none"/>
          <w:lang w:eastAsia="zh-CN"/>
          <w14:textFill>
            <w14:solidFill>
              <w14:schemeClr w14:val="tx1"/>
            </w14:solidFill>
          </w14:textFill>
        </w:rPr>
      </w:pPr>
    </w:p>
    <w:p w14:paraId="439606A3">
      <w:pPr>
        <w:pStyle w:val="2"/>
        <w:rPr>
          <w:rFonts w:hint="eastAsia"/>
          <w:color w:val="000000" w:themeColor="text1"/>
          <w:sz w:val="24"/>
          <w:szCs w:val="24"/>
          <w:highlight w:val="none"/>
          <w:lang w:eastAsia="zh-CN"/>
          <w14:textFill>
            <w14:solidFill>
              <w14:schemeClr w14:val="tx1"/>
            </w14:solidFill>
          </w14:textFill>
        </w:rPr>
      </w:pPr>
    </w:p>
    <w:p w14:paraId="601F2E06">
      <w:pPr>
        <w:rPr>
          <w:rFonts w:hint="eastAsia"/>
          <w:color w:val="000000" w:themeColor="text1"/>
          <w:sz w:val="24"/>
          <w:szCs w:val="24"/>
          <w:highlight w:val="none"/>
          <w:lang w:eastAsia="zh-CN"/>
          <w14:textFill>
            <w14:solidFill>
              <w14:schemeClr w14:val="tx1"/>
            </w14:solidFill>
          </w14:textFill>
        </w:rPr>
      </w:pPr>
    </w:p>
    <w:p w14:paraId="3769EEB6">
      <w:pPr>
        <w:pStyle w:val="2"/>
        <w:rPr>
          <w:rFonts w:hint="eastAsia"/>
          <w:color w:val="000000" w:themeColor="text1"/>
          <w:sz w:val="24"/>
          <w:szCs w:val="24"/>
          <w:highlight w:val="none"/>
          <w:lang w:eastAsia="zh-CN"/>
          <w14:textFill>
            <w14:solidFill>
              <w14:schemeClr w14:val="tx1"/>
            </w14:solidFill>
          </w14:textFill>
        </w:rPr>
      </w:pPr>
    </w:p>
    <w:p w14:paraId="754929BD">
      <w:pPr>
        <w:rPr>
          <w:rFonts w:hint="eastAsia"/>
          <w:color w:val="000000" w:themeColor="text1"/>
          <w:sz w:val="24"/>
          <w:szCs w:val="24"/>
          <w:highlight w:val="none"/>
          <w:lang w:eastAsia="zh-CN"/>
          <w14:textFill>
            <w14:solidFill>
              <w14:schemeClr w14:val="tx1"/>
            </w14:solidFill>
          </w14:textFill>
        </w:rPr>
      </w:pPr>
    </w:p>
    <w:p w14:paraId="2B7216FD">
      <w:pPr>
        <w:pStyle w:val="2"/>
        <w:rPr>
          <w:rFonts w:hint="eastAsia"/>
          <w:color w:val="000000" w:themeColor="text1"/>
          <w:sz w:val="24"/>
          <w:szCs w:val="24"/>
          <w:highlight w:val="none"/>
          <w:lang w:eastAsia="zh-CN"/>
          <w14:textFill>
            <w14:solidFill>
              <w14:schemeClr w14:val="tx1"/>
            </w14:solidFill>
          </w14:textFill>
        </w:rPr>
      </w:pPr>
    </w:p>
    <w:p w14:paraId="7883F937">
      <w:pPr>
        <w:rPr>
          <w:rFonts w:hint="eastAsia"/>
          <w:color w:val="000000" w:themeColor="text1"/>
          <w:sz w:val="24"/>
          <w:szCs w:val="24"/>
          <w:highlight w:val="none"/>
          <w:lang w:eastAsia="zh-CN"/>
          <w14:textFill>
            <w14:solidFill>
              <w14:schemeClr w14:val="tx1"/>
            </w14:solidFill>
          </w14:textFill>
        </w:rPr>
      </w:pPr>
    </w:p>
    <w:p w14:paraId="6534787C">
      <w:pPr>
        <w:pStyle w:val="2"/>
        <w:rPr>
          <w:rFonts w:hint="eastAsia"/>
          <w:color w:val="000000" w:themeColor="text1"/>
          <w:sz w:val="24"/>
          <w:szCs w:val="24"/>
          <w:highlight w:val="none"/>
          <w:lang w:eastAsia="zh-CN"/>
          <w14:textFill>
            <w14:solidFill>
              <w14:schemeClr w14:val="tx1"/>
            </w14:solidFill>
          </w14:textFill>
        </w:rPr>
      </w:pPr>
    </w:p>
    <w:p w14:paraId="15A5167F">
      <w:pPr>
        <w:rPr>
          <w:rFonts w:hint="eastAsia"/>
          <w:color w:val="000000" w:themeColor="text1"/>
          <w:sz w:val="24"/>
          <w:szCs w:val="24"/>
          <w:highlight w:val="none"/>
          <w:lang w:eastAsia="zh-CN"/>
          <w14:textFill>
            <w14:solidFill>
              <w14:schemeClr w14:val="tx1"/>
            </w14:solidFill>
          </w14:textFill>
        </w:rPr>
      </w:pPr>
    </w:p>
    <w:p w14:paraId="07C3BCA0">
      <w:pPr>
        <w:pStyle w:val="2"/>
        <w:rPr>
          <w:rFonts w:hint="eastAsia"/>
          <w:color w:val="000000" w:themeColor="text1"/>
          <w:sz w:val="24"/>
          <w:szCs w:val="24"/>
          <w:highlight w:val="none"/>
          <w:lang w:eastAsia="zh-CN"/>
          <w14:textFill>
            <w14:solidFill>
              <w14:schemeClr w14:val="tx1"/>
            </w14:solidFill>
          </w14:textFill>
        </w:rPr>
      </w:pPr>
    </w:p>
    <w:p w14:paraId="10A39D2C">
      <w:pPr>
        <w:rPr>
          <w:rFonts w:hint="eastAsia"/>
          <w:color w:val="000000" w:themeColor="text1"/>
          <w:highlight w:val="none"/>
          <w:lang w:eastAsia="zh-CN"/>
          <w14:textFill>
            <w14:solidFill>
              <w14:schemeClr w14:val="tx1"/>
            </w14:solidFill>
          </w14:textFill>
        </w:rPr>
      </w:pPr>
    </w:p>
    <w:p w14:paraId="4E5450A5">
      <w:pPr>
        <w:pStyle w:val="17"/>
        <w:rPr>
          <w:rFonts w:hint="eastAsia"/>
          <w:color w:val="000000" w:themeColor="text1"/>
          <w:highlight w:val="none"/>
          <w:lang w:eastAsia="zh-CN"/>
          <w14:textFill>
            <w14:solidFill>
              <w14:schemeClr w14:val="tx1"/>
            </w14:solidFill>
          </w14:textFill>
        </w:rPr>
      </w:pPr>
    </w:p>
    <w:p w14:paraId="07B2242E">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eastAsia="宋体"/>
          <w:color w:val="000000" w:themeColor="text1"/>
          <w:sz w:val="24"/>
          <w:szCs w:val="24"/>
          <w:highlight w:val="none"/>
          <w:lang w:eastAsia="zh-CN"/>
          <w14:textFill>
            <w14:solidFill>
              <w14:schemeClr w14:val="tx1"/>
            </w14:solidFill>
          </w14:textFill>
        </w:rPr>
      </w:pPr>
      <w:bookmarkStart w:id="133" w:name="_Toc28939"/>
      <w:bookmarkStart w:id="134" w:name="_Toc20004"/>
      <w:bookmarkStart w:id="135" w:name="_Toc2989"/>
      <w:r>
        <w:rPr>
          <w:rFonts w:hint="eastAsia"/>
          <w:color w:val="000000" w:themeColor="text1"/>
          <w:sz w:val="24"/>
          <w:szCs w:val="24"/>
          <w:highlight w:val="none"/>
          <w14:textFill>
            <w14:solidFill>
              <w14:schemeClr w14:val="tx1"/>
            </w14:solidFill>
          </w14:textFill>
        </w:rPr>
        <w:t xml:space="preserve">第三章 </w:t>
      </w:r>
      <w:r>
        <w:rPr>
          <w:rFonts w:hint="eastAsia"/>
          <w:color w:val="000000" w:themeColor="text1"/>
          <w:sz w:val="24"/>
          <w:szCs w:val="24"/>
          <w:highlight w:val="none"/>
          <w:lang w:eastAsia="zh-CN"/>
          <w14:textFill>
            <w14:solidFill>
              <w14:schemeClr w14:val="tx1"/>
            </w14:solidFill>
          </w14:textFill>
        </w:rPr>
        <w:t>工程量清单</w:t>
      </w:r>
      <w:bookmarkEnd w:id="133"/>
      <w:r>
        <w:rPr>
          <w:rFonts w:hint="eastAsia"/>
          <w:color w:val="000000" w:themeColor="text1"/>
          <w:sz w:val="24"/>
          <w:szCs w:val="24"/>
          <w:highlight w:val="none"/>
          <w:lang w:eastAsia="zh-CN"/>
          <w14:textFill>
            <w14:solidFill>
              <w14:schemeClr w14:val="tx1"/>
            </w14:solidFill>
          </w14:textFill>
        </w:rPr>
        <w:t>及施工设计图</w:t>
      </w:r>
      <w:bookmarkEnd w:id="134"/>
    </w:p>
    <w:p w14:paraId="75EA80A1">
      <w:pPr>
        <w:pStyle w:val="11"/>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color w:val="000000" w:themeColor="text1"/>
          <w:kern w:val="21"/>
          <w:sz w:val="21"/>
          <w:szCs w:val="21"/>
          <w:highlight w:val="none"/>
          <w14:textFill>
            <w14:solidFill>
              <w14:schemeClr w14:val="tx1"/>
            </w14:solidFill>
          </w14:textFill>
        </w:rPr>
      </w:pPr>
      <w:bookmarkStart w:id="136" w:name="_Toc164138057"/>
      <w:bookmarkStart w:id="137" w:name="_Toc160609998"/>
      <w:bookmarkStart w:id="138" w:name="_Toc194308407"/>
      <w:r>
        <w:rPr>
          <w:rFonts w:hint="eastAsia" w:ascii="宋体" w:hAnsi="宋体" w:eastAsia="宋体" w:cs="宋体"/>
          <w:b/>
          <w:color w:val="000000" w:themeColor="text1"/>
          <w:sz w:val="21"/>
          <w:szCs w:val="21"/>
          <w:highlight w:val="none"/>
          <w14:textFill>
            <w14:solidFill>
              <w14:schemeClr w14:val="tx1"/>
            </w14:solidFill>
          </w14:textFill>
        </w:rPr>
        <w:t>一、工程量清单说明</w:t>
      </w:r>
      <w:bookmarkEnd w:id="136"/>
      <w:bookmarkEnd w:id="137"/>
      <w:r>
        <w:rPr>
          <w:rFonts w:hint="eastAsia" w:ascii="宋体" w:hAnsi="宋体" w:eastAsia="宋体" w:cs="宋体"/>
          <w:color w:val="000000" w:themeColor="text1"/>
          <w:kern w:val="21"/>
          <w:sz w:val="21"/>
          <w:szCs w:val="21"/>
          <w:highlight w:val="none"/>
          <w14:textFill>
            <w14:solidFill>
              <w14:schemeClr w14:val="tx1"/>
            </w14:solidFill>
          </w14:textFill>
        </w:rPr>
        <w:t>：</w:t>
      </w:r>
      <w:bookmarkEnd w:id="138"/>
      <w:r>
        <w:rPr>
          <w:rFonts w:hint="eastAsia" w:ascii="宋体" w:hAnsi="宋体" w:eastAsia="宋体" w:cs="宋体"/>
          <w:color w:val="000000" w:themeColor="text1"/>
          <w:kern w:val="21"/>
          <w:sz w:val="21"/>
          <w:szCs w:val="21"/>
          <w:highlight w:val="none"/>
          <w14:textFill>
            <w14:solidFill>
              <w14:schemeClr w14:val="tx1"/>
            </w14:solidFill>
          </w14:textFill>
        </w:rPr>
        <w:t xml:space="preserve"> </w:t>
      </w:r>
    </w:p>
    <w:p w14:paraId="7EAAE720">
      <w:pPr>
        <w:keepNext w:val="0"/>
        <w:keepLines w:val="0"/>
        <w:pageBreakBefore w:val="0"/>
        <w:widowControl w:val="0"/>
        <w:tabs>
          <w:tab w:val="left" w:pos="210"/>
        </w:tabs>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2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工程概况：</w:t>
      </w:r>
    </w:p>
    <w:p w14:paraId="7D379F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工程名称：桂林市临桂区五通镇仁和村等5个村全域土地综合整治项目土地综合整治子项目二期</w:t>
      </w:r>
    </w:p>
    <w:p w14:paraId="139FC42E">
      <w:pPr>
        <w:keepNext w:val="0"/>
        <w:keepLines w:val="0"/>
        <w:pageBreakBefore w:val="0"/>
        <w:widowControl/>
        <w:numPr>
          <w:ilvl w:val="-1"/>
          <w:numId w:val="0"/>
        </w:numPr>
        <w:kinsoku/>
        <w:wordWrap/>
        <w:overflowPunct/>
        <w:topLinePunct w:val="0"/>
        <w:autoSpaceDE/>
        <w:autoSpaceDN/>
        <w:bidi w:val="0"/>
        <w:snapToGrid/>
        <w:spacing w:line="440" w:lineRule="exact"/>
        <w:jc w:val="left"/>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建设地址：桂林市临桂区五通镇</w:t>
      </w:r>
    </w:p>
    <w:p w14:paraId="396B7AC9">
      <w:pPr>
        <w:keepNext w:val="0"/>
        <w:keepLines w:val="0"/>
        <w:pageBreakBefore w:val="0"/>
        <w:kinsoku/>
        <w:wordWrap/>
        <w:overflowPunct/>
        <w:topLinePunct w:val="0"/>
        <w:autoSpaceDE/>
        <w:autoSpaceDN/>
        <w:bidi w:val="0"/>
        <w:snapToGrid/>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建设规模及内容：项目实施面积7.8221 公顷，新增旱地面积7.0492 公顷，新增耕地率 90.12%，</w:t>
      </w:r>
      <w:r>
        <w:rPr>
          <w:rFonts w:hint="eastAsia" w:ascii="宋体" w:hAnsi="宋体" w:eastAsia="宋体" w:cs="宋体"/>
          <w:color w:val="000000" w:themeColor="text1"/>
          <w:sz w:val="21"/>
          <w:szCs w:val="21"/>
          <w:highlight w:val="none"/>
          <w:lang w:val="en-US" w:eastAsia="zh-CN"/>
          <w14:textFill>
            <w14:solidFill>
              <w14:schemeClr w14:val="tx1"/>
            </w14:solidFill>
          </w14:textFill>
        </w:rPr>
        <w:t>分为</w:t>
      </w:r>
      <w:r>
        <w:rPr>
          <w:rFonts w:hint="eastAsia" w:ascii="宋体" w:hAnsi="宋体" w:cs="宋体"/>
          <w:color w:val="000000" w:themeColor="text1"/>
          <w:sz w:val="21"/>
          <w:szCs w:val="21"/>
          <w:highlight w:val="none"/>
          <w:lang w:val="en-US" w:eastAsia="zh-CN"/>
          <w14:textFill>
            <w14:solidFill>
              <w14:schemeClr w14:val="tx1"/>
            </w14:solidFill>
          </w14:textFill>
        </w:rPr>
        <w:t>A区（北片）、B区（南片）两个片区</w:t>
      </w:r>
      <w:r>
        <w:rPr>
          <w:rFonts w:hint="eastAsia" w:ascii="宋体" w:hAnsi="宋体" w:eastAsia="宋体" w:cs="宋体"/>
          <w:color w:val="000000" w:themeColor="text1"/>
          <w:sz w:val="21"/>
          <w:szCs w:val="21"/>
          <w:highlight w:val="none"/>
          <w:lang w:val="en-US" w:eastAsia="zh-CN"/>
          <w14:textFill>
            <w14:solidFill>
              <w14:schemeClr w14:val="tx1"/>
            </w14:solidFill>
          </w14:textFill>
        </w:rPr>
        <w:t>，建设内容主要有土地平整工程（对低效园地进行整治，通过清理树木、土地平整、培肥等措施新增耕地，在新增耕地范围内施肥、分垄和播种农作物</w:t>
      </w:r>
      <w:r>
        <w:rPr>
          <w:rFonts w:hint="eastAsia" w:ascii="宋体" w:hAnsi="宋体" w:cs="宋体"/>
          <w:color w:val="000000" w:themeColor="text1"/>
          <w:sz w:val="21"/>
          <w:szCs w:val="21"/>
          <w:highlight w:val="none"/>
          <w:lang w:val="en-US" w:eastAsia="zh-CN"/>
          <w14:textFill>
            <w14:solidFill>
              <w14:schemeClr w14:val="tx1"/>
            </w14:solidFill>
          </w14:textFill>
        </w:rPr>
        <w:t>,种植的农作物需</w:t>
      </w:r>
      <w:r>
        <w:rPr>
          <w:rFonts w:hint="eastAsia" w:ascii="宋体" w:hAnsi="宋体" w:eastAsia="宋体" w:cs="宋体"/>
          <w:color w:val="000000" w:themeColor="text1"/>
          <w:sz w:val="21"/>
          <w:szCs w:val="21"/>
          <w:highlight w:val="none"/>
          <w:lang w:val="en-US" w:eastAsia="zh-CN"/>
          <w14:textFill>
            <w14:solidFill>
              <w14:schemeClr w14:val="tx1"/>
            </w14:solidFill>
          </w14:textFill>
        </w:rPr>
        <w:t>达到日常变更并且验收合格要求）、灌溉与排水工程、田间道路工程。</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具体详见项目图纸及财评后工程量清单</w:t>
      </w:r>
      <w:r>
        <w:rPr>
          <w:rFonts w:hint="eastAsia" w:ascii="宋体" w:hAnsi="宋体" w:eastAsia="宋体" w:cs="宋体"/>
          <w:color w:val="000000" w:themeColor="text1"/>
          <w:spacing w:val="0"/>
          <w:kern w:val="0"/>
          <w:sz w:val="21"/>
          <w:szCs w:val="21"/>
          <w:highlight w:val="none"/>
          <w14:textFill>
            <w14:solidFill>
              <w14:schemeClr w14:val="tx1"/>
            </w14:solidFill>
          </w14:textFill>
        </w:rPr>
        <w:t>。</w:t>
      </w:r>
    </w:p>
    <w:p w14:paraId="698DA40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 编</w:t>
      </w:r>
      <w:r>
        <w:rPr>
          <w:rFonts w:hint="eastAsia" w:ascii="宋体" w:hAnsi="宋体" w:eastAsia="宋体" w:cs="宋体"/>
          <w:b/>
          <w:bCs/>
          <w:color w:val="000000" w:themeColor="text1"/>
          <w:sz w:val="21"/>
          <w:szCs w:val="21"/>
          <w:highlight w:val="none"/>
          <w:lang w:eastAsia="zh-CN"/>
          <w14:textFill>
            <w14:solidFill>
              <w14:schemeClr w14:val="tx1"/>
            </w14:solidFill>
          </w14:textFill>
        </w:rPr>
        <w:t>制依据：</w:t>
      </w:r>
    </w:p>
    <w:p w14:paraId="035B46E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（1）财政部 国土资源部关于印发《中央分成新增建设用地土地有偿使用费资金使用管理办法》的通知（财建[2008]157 号）； </w:t>
      </w:r>
    </w:p>
    <w:p w14:paraId="5ABAE7E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（2）自治区国土资源厅财政厅关于印发《广西壮族自治区土地整治管理暂行办法》的通知（桂国土资发[2011]20 号）； </w:t>
      </w:r>
    </w:p>
    <w:p w14:paraId="3AEAAB9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（3）《财政部、国土资源部关于印发土地开发整理项目预算定额标准的通知》（财综〔2011〕128 号）； </w:t>
      </w:r>
    </w:p>
    <w:p w14:paraId="6FA6D94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（4）2012 年《土地开发整理项目预算定额标准》； </w:t>
      </w:r>
    </w:p>
    <w:p w14:paraId="28B3931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（5）2012 年《土地开发整理项目施工机械台班费定额》； </w:t>
      </w:r>
    </w:p>
    <w:p w14:paraId="2E6653EC">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（6）2012 年《土地开发整理项目预算编制规定》； </w:t>
      </w:r>
    </w:p>
    <w:p w14:paraId="08F2294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（7）自治区财政厅 国土资源厅《广西壮族自治区土地整治专项资金管理办法》（桂财建[2010]244 号）； </w:t>
      </w:r>
    </w:p>
    <w:p w14:paraId="360E14F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（8）当地价格信息，物价部门、物资部门公布的材料、设备价格； </w:t>
      </w:r>
    </w:p>
    <w:p w14:paraId="1FB77774">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（9）《国土资源部关于强化管控落实最严格耕地保护制度的通知》（国土资发〔2014〕18 号）； </w:t>
      </w:r>
    </w:p>
    <w:p w14:paraId="0A3467E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（10）《自治区国土资源厅关于印发“占优补优、占水田补水田”承诺落实情况专项5督察方案的通知》（桂国土资发〔2014〕83 号）； </w:t>
      </w:r>
    </w:p>
    <w:p w14:paraId="0C762F7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（11）《广西壮族自治区国土资源厅关于切实加强补充耕地质量建设的通知》（桂国土资发〔2015〕13 号）； </w:t>
      </w:r>
    </w:p>
    <w:p w14:paraId="660B152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（12）《广西壮族自治区国土资源厅关于下达 2015 年度补充耕地计划指标的通知》（桂国土资发〔2015〕51 号）； </w:t>
      </w:r>
    </w:p>
    <w:p w14:paraId="348A271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（13）《关于深化增值税改革有关政策的公告》（财政部税务总局海关总署公告2019 年第 39 号）； </w:t>
      </w:r>
    </w:p>
    <w:p w14:paraId="7E8E37F8">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（14）《桂林市建设工程造价信息》（2025 年 1 月）； </w:t>
      </w:r>
    </w:p>
    <w:p w14:paraId="43A7C81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（15）项目设计图纸及工程量；</w:t>
      </w:r>
    </w:p>
    <w:p w14:paraId="2A9D7C9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color w:val="000000" w:themeColor="text1"/>
          <w:sz w:val="21"/>
          <w:szCs w:val="21"/>
          <w:highlight w:val="none"/>
          <w14:textFill>
            <w14:solidFill>
              <w14:schemeClr w14:val="tx1"/>
            </w14:solidFill>
          </w14:textFill>
        </w:rPr>
        <w:t>、注意事项及要求：</w:t>
      </w:r>
    </w:p>
    <w:p w14:paraId="47F547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严格按国家标准及本项目工程量清单、图纸要求施工；</w:t>
      </w:r>
    </w:p>
    <w:p w14:paraId="45E51421">
      <w:pPr>
        <w:pStyle w:val="1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要求工期：</w:t>
      </w:r>
      <w:r>
        <w:rPr>
          <w:rFonts w:hint="eastAsia" w:ascii="宋体" w:hAnsi="宋体" w:eastAsia="宋体" w:cs="宋体"/>
          <w:color w:val="000000" w:themeColor="text1"/>
          <w:sz w:val="21"/>
          <w:szCs w:val="21"/>
          <w:highlight w:val="none"/>
          <w:lang w:val="en-US" w:eastAsia="zh-CN"/>
          <w14:textFill>
            <w14:solidFill>
              <w14:schemeClr w14:val="tx1"/>
            </w14:solidFill>
          </w14:textFill>
        </w:rPr>
        <w:t>自合同签订之日起60历天内完工</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79AC811">
      <w:pPr>
        <w:keepNext w:val="0"/>
        <w:keepLines w:val="0"/>
        <w:pageBreakBefore w:val="0"/>
        <w:widowControl w:val="0"/>
        <w:tabs>
          <w:tab w:val="left" w:pos="210"/>
        </w:tabs>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质量标准：</w:t>
      </w:r>
      <w:r>
        <w:rPr>
          <w:rFonts w:hint="eastAsia" w:ascii="宋体" w:hAnsi="宋体" w:eastAsia="宋体" w:cs="宋体"/>
          <w:color w:val="000000" w:themeColor="text1"/>
          <w:sz w:val="21"/>
          <w:szCs w:val="21"/>
          <w:highlight w:val="none"/>
          <w:lang w:eastAsia="zh-CN"/>
          <w14:textFill>
            <w14:solidFill>
              <w14:schemeClr w14:val="tx1"/>
            </w14:solidFill>
          </w14:textFill>
        </w:rPr>
        <w:t>达到国家施工验收规范合格标准</w:t>
      </w:r>
      <w:r>
        <w:rPr>
          <w:rFonts w:hint="eastAsia" w:ascii="宋体" w:hAnsi="宋体" w:eastAsia="宋体" w:cs="宋体"/>
          <w:color w:val="000000" w:themeColor="text1"/>
          <w:sz w:val="21"/>
          <w:szCs w:val="21"/>
          <w:highlight w:val="none"/>
          <w14:textFill>
            <w14:solidFill>
              <w14:schemeClr w14:val="tx1"/>
            </w14:solidFill>
          </w14:textFill>
        </w:rPr>
        <w:t>。</w:t>
      </w:r>
    </w:p>
    <w:p w14:paraId="10C9936D">
      <w:pPr>
        <w:keepNext w:val="0"/>
        <w:keepLines w:val="0"/>
        <w:pageBreakBefore w:val="0"/>
        <w:widowControl w:val="0"/>
        <w:tabs>
          <w:tab w:val="left" w:pos="210"/>
        </w:tabs>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供应商承诺工程竣工后，供应商应按照采购人的要求免费对开工的工程场地进行清理及清洁。</w:t>
      </w:r>
    </w:p>
    <w:p w14:paraId="2EAA27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14:textFill>
            <w14:solidFill>
              <w14:schemeClr w14:val="tx1"/>
            </w14:solidFill>
          </w14:textFill>
        </w:rPr>
        <w:t>工程量</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按采购人提供的工程量清单，供应商进行自行报价。</w:t>
      </w:r>
    </w:p>
    <w:p w14:paraId="5A986E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本工程</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财评后的</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预算控制价为</w:t>
      </w:r>
      <w:r>
        <w:rPr>
          <w:rFonts w:hint="eastAsia" w:ascii="宋体" w:hAnsi="宋体" w:eastAsia="宋体" w:cs="宋体"/>
          <w:b w:val="0"/>
          <w:bCs w:val="0"/>
          <w:color w:val="000000" w:themeColor="text1"/>
          <w:kern w:val="0"/>
          <w:sz w:val="21"/>
          <w:szCs w:val="21"/>
          <w:highlight w:val="none"/>
          <w14:textFill>
            <w14:solidFill>
              <w14:schemeClr w14:val="tx1"/>
            </w14:solidFill>
          </w14:textFill>
        </w:rPr>
        <w:t>人民币</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2345774.90</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元</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14:paraId="66CE9B0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经采购人同意，</w:t>
      </w:r>
      <w:r>
        <w:rPr>
          <w:rFonts w:hint="eastAsia" w:ascii="宋体" w:hAnsi="宋体" w:eastAsia="宋体" w:cs="宋体"/>
          <w:b w:val="0"/>
          <w:bCs w:val="0"/>
          <w:color w:val="000000" w:themeColor="text1"/>
          <w:sz w:val="21"/>
          <w:szCs w:val="21"/>
          <w:highlight w:val="none"/>
          <w14:textFill>
            <w14:solidFill>
              <w14:schemeClr w14:val="tx1"/>
            </w14:solidFill>
          </w14:textFill>
        </w:rPr>
        <w:t>本工程最高磋商限价</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（预算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控制价</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为</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2345774.90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7CF9DBB8">
      <w:pPr>
        <w:keepNext w:val="0"/>
        <w:keepLines w:val="0"/>
        <w:pageBreakBefore w:val="0"/>
        <w:widowControl w:val="0"/>
        <w:tabs>
          <w:tab w:val="left" w:pos="1305"/>
        </w:tabs>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注：</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供应商的磋商报价不得超过本工程</w:t>
      </w:r>
      <w:r>
        <w:rPr>
          <w:rFonts w:hint="eastAsia" w:ascii="宋体" w:hAnsi="宋体" w:eastAsia="宋体" w:cs="宋体"/>
          <w:b w:val="0"/>
          <w:bCs w:val="0"/>
          <w:color w:val="000000" w:themeColor="text1"/>
          <w:sz w:val="21"/>
          <w:szCs w:val="21"/>
          <w:highlight w:val="none"/>
          <w14:textFill>
            <w14:solidFill>
              <w14:schemeClr w14:val="tx1"/>
            </w14:solidFill>
          </w14:textFill>
        </w:rPr>
        <w:t>最高磋商限价</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（预算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控制价</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，否则作无效标处理；</w:t>
      </w:r>
      <w:r>
        <w:rPr>
          <w:rFonts w:hint="eastAsia" w:ascii="宋体" w:hAnsi="宋体" w:eastAsia="宋体" w:cs="宋体"/>
          <w:b w:val="0"/>
          <w:bCs w:val="0"/>
          <w:color w:val="000000" w:themeColor="text1"/>
          <w:sz w:val="21"/>
          <w:szCs w:val="21"/>
          <w:highlight w:val="none"/>
          <w14:textFill>
            <w14:solidFill>
              <w14:schemeClr w14:val="tx1"/>
            </w14:solidFill>
          </w14:textFill>
        </w:rPr>
        <w:t>供应商的第二次磋商报价不得高于该供应商第一次磋商报价，否则做无效标处理。如供应商维持</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报价不变，以原磋商报价作为供应商最后报价；如供应商需要改变原磋商报价时，供应商应预先准备好调整后的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已标价的工程量清单</w:t>
      </w:r>
      <w:r>
        <w:rPr>
          <w:rFonts w:hint="eastAsia" w:ascii="宋体" w:hAnsi="宋体" w:eastAsia="宋体" w:cs="宋体"/>
          <w:b w:val="0"/>
          <w:bCs w:val="0"/>
          <w:color w:val="000000" w:themeColor="text1"/>
          <w:sz w:val="21"/>
          <w:szCs w:val="21"/>
          <w:highlight w:val="none"/>
          <w14:textFill>
            <w14:solidFill>
              <w14:schemeClr w14:val="tx1"/>
            </w14:solidFill>
          </w14:textFill>
        </w:rPr>
        <w:t>。</w:t>
      </w:r>
    </w:p>
    <w:p w14:paraId="22C90AB9">
      <w:pPr>
        <w:keepNext w:val="0"/>
        <w:keepLines w:val="0"/>
        <w:pageBreakBefore w:val="0"/>
        <w:widowControl w:val="0"/>
        <w:tabs>
          <w:tab w:val="left" w:pos="210"/>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工程量清单</w:t>
      </w:r>
      <w:r>
        <w:rPr>
          <w:rFonts w:hint="eastAsia" w:ascii="宋体" w:hAnsi="宋体" w:eastAsia="宋体" w:cs="宋体"/>
          <w:color w:val="000000" w:themeColor="text1"/>
          <w:sz w:val="21"/>
          <w:szCs w:val="21"/>
          <w:highlight w:val="none"/>
          <w:lang w:eastAsia="zh-CN"/>
          <w14:textFill>
            <w14:solidFill>
              <w14:schemeClr w14:val="tx1"/>
            </w14:solidFill>
          </w14:textFill>
        </w:rPr>
        <w:t>及施工设计图（另册），是本竞争</w:t>
      </w:r>
      <w:r>
        <w:rPr>
          <w:rFonts w:hint="eastAsia" w:ascii="宋体" w:hAnsi="宋体" w:eastAsia="宋体" w:cs="宋体"/>
          <w:color w:val="000000" w:themeColor="text1"/>
          <w:sz w:val="21"/>
          <w:szCs w:val="21"/>
          <w:highlight w:val="none"/>
          <w:lang w:val="en-US" w:eastAsia="zh-CN"/>
          <w14:textFill>
            <w14:solidFill>
              <w14:schemeClr w14:val="tx1"/>
            </w14:solidFill>
          </w14:textFill>
        </w:rPr>
        <w:t>性磋商</w:t>
      </w:r>
      <w:r>
        <w:rPr>
          <w:rFonts w:hint="eastAsia" w:ascii="宋体" w:hAnsi="宋体" w:eastAsia="宋体" w:cs="宋体"/>
          <w:color w:val="000000" w:themeColor="text1"/>
          <w:sz w:val="21"/>
          <w:szCs w:val="21"/>
          <w:highlight w:val="none"/>
          <w:lang w:eastAsia="zh-CN"/>
          <w14:textFill>
            <w14:solidFill>
              <w14:schemeClr w14:val="tx1"/>
            </w14:solidFill>
          </w14:textFill>
        </w:rPr>
        <w:t>文件的一个重要组成部分，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投标人自行登录广西政府采购云平台（ https://www.gcy.zfcg.gxzf.gov.cn/）下载。</w:t>
      </w:r>
    </w:p>
    <w:p w14:paraId="639A0569">
      <w:pPr>
        <w:keepNext w:val="0"/>
        <w:keepLines w:val="0"/>
        <w:pageBreakBefore w:val="0"/>
        <w:widowControl w:val="0"/>
        <w:tabs>
          <w:tab w:val="left" w:pos="210"/>
        </w:tabs>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lang w:eastAsia="zh-CN"/>
          <w14:textFill>
            <w14:solidFill>
              <w14:schemeClr w14:val="tx1"/>
            </w14:solidFill>
          </w14:textFill>
        </w:rPr>
        <w:t>投标人须在中标后按照《广西壮族自治区自然资源厅办公室关于做好国土综合整治与生态修复项目参建单位管理的通知》要求进行项目备案。</w:t>
      </w:r>
    </w:p>
    <w:p w14:paraId="6DB43B6E">
      <w:pPr>
        <w:rPr>
          <w:rFonts w:hint="eastAsia"/>
          <w:color w:val="000000" w:themeColor="text1"/>
          <w:sz w:val="24"/>
          <w:szCs w:val="24"/>
          <w:highlight w:val="none"/>
          <w:lang w:eastAsia="zh-CN"/>
          <w14:textFill>
            <w14:solidFill>
              <w14:schemeClr w14:val="tx1"/>
            </w14:solidFill>
          </w14:textFill>
        </w:rPr>
      </w:pPr>
    </w:p>
    <w:p w14:paraId="18C9F5F1">
      <w:pPr>
        <w:pStyle w:val="6"/>
        <w:rPr>
          <w:rFonts w:hint="eastAsia"/>
          <w:color w:val="000000" w:themeColor="text1"/>
          <w:sz w:val="24"/>
          <w:szCs w:val="24"/>
          <w:highlight w:val="none"/>
          <w:lang w:eastAsia="zh-CN"/>
          <w14:textFill>
            <w14:solidFill>
              <w14:schemeClr w14:val="tx1"/>
            </w14:solidFill>
          </w14:textFill>
        </w:rPr>
      </w:pPr>
    </w:p>
    <w:p w14:paraId="67A878FE">
      <w:pPr>
        <w:rPr>
          <w:rFonts w:hint="eastAsia"/>
          <w:color w:val="000000" w:themeColor="text1"/>
          <w:sz w:val="24"/>
          <w:szCs w:val="24"/>
          <w:highlight w:val="none"/>
          <w:lang w:eastAsia="zh-CN"/>
          <w14:textFill>
            <w14:solidFill>
              <w14:schemeClr w14:val="tx1"/>
            </w14:solidFill>
          </w14:textFill>
        </w:rPr>
      </w:pPr>
    </w:p>
    <w:p w14:paraId="5AF504E4">
      <w:pPr>
        <w:pStyle w:val="6"/>
        <w:rPr>
          <w:rFonts w:hint="eastAsia"/>
          <w:color w:val="000000" w:themeColor="text1"/>
          <w:sz w:val="24"/>
          <w:szCs w:val="24"/>
          <w:highlight w:val="none"/>
          <w:lang w:eastAsia="zh-CN"/>
          <w14:textFill>
            <w14:solidFill>
              <w14:schemeClr w14:val="tx1"/>
            </w14:solidFill>
          </w14:textFill>
        </w:rPr>
      </w:pPr>
    </w:p>
    <w:p w14:paraId="4E312CC6">
      <w:pPr>
        <w:rPr>
          <w:rFonts w:hint="eastAsia"/>
          <w:color w:val="000000" w:themeColor="text1"/>
          <w:sz w:val="24"/>
          <w:szCs w:val="24"/>
          <w:highlight w:val="none"/>
          <w:lang w:eastAsia="zh-CN"/>
          <w14:textFill>
            <w14:solidFill>
              <w14:schemeClr w14:val="tx1"/>
            </w14:solidFill>
          </w14:textFill>
        </w:rPr>
      </w:pPr>
    </w:p>
    <w:bookmarkEnd w:id="135"/>
    <w:p w14:paraId="5B0AEDC7">
      <w:pPr>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139" w:name="_Toc10247"/>
      <w:r>
        <w:rPr>
          <w:rFonts w:hint="eastAsia" w:ascii="宋体" w:hAnsi="宋体" w:eastAsia="宋体" w:cs="宋体"/>
          <w:color w:val="000000" w:themeColor="text1"/>
          <w:sz w:val="24"/>
          <w:szCs w:val="24"/>
          <w:highlight w:val="none"/>
          <w:lang w:eastAsia="zh-CN"/>
          <w14:textFill>
            <w14:solidFill>
              <w14:schemeClr w14:val="tx1"/>
            </w14:solidFill>
          </w14:textFill>
        </w:rPr>
        <w:br w:type="page"/>
      </w:r>
    </w:p>
    <w:p w14:paraId="76AF356C">
      <w:pPr>
        <w:pStyle w:val="3"/>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第四章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评审办法</w:t>
      </w:r>
      <w:bookmarkEnd w:id="139"/>
    </w:p>
    <w:p w14:paraId="6795CA71">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一、评审依据及方式</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43AB6416">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1.评审依据：磋商小组以竞争性磋商文件和响应文件为评审依据，</w:t>
      </w:r>
      <w:r>
        <w:rPr>
          <w:rFonts w:hint="eastAsia" w:ascii="宋体" w:hAnsi="宋体" w:eastAsia="宋体" w:cs="宋体"/>
          <w:color w:val="000000" w:themeColor="text1"/>
          <w:sz w:val="21"/>
          <w:szCs w:val="21"/>
          <w:highlight w:val="none"/>
          <w:lang w:val="en-US" w:eastAsia="zh-CN"/>
          <w14:textFill>
            <w14:solidFill>
              <w14:schemeClr w14:val="tx1"/>
            </w14:solidFill>
          </w14:textFill>
        </w:rPr>
        <w:t>对磋商供应商的响应文件按百分制打分</w:t>
      </w:r>
      <w:r>
        <w:rPr>
          <w:rFonts w:hint="eastAsia" w:ascii="宋体" w:hAnsi="宋体" w:eastAsia="宋体" w:cs="宋体"/>
          <w:color w:val="000000" w:themeColor="text1"/>
          <w:sz w:val="21"/>
          <w:szCs w:val="21"/>
          <w:highlight w:val="none"/>
          <w14:textFill>
            <w14:solidFill>
              <w14:schemeClr w14:val="tx1"/>
            </w14:solidFill>
          </w14:textFill>
        </w:rPr>
        <w:t>。</w:t>
      </w:r>
    </w:p>
    <w:p w14:paraId="09AF7662">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2.评审方式：以封闭方式进行评审。</w:t>
      </w:r>
    </w:p>
    <w:p w14:paraId="7C40C64B">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3.根据财库〔2012〕69号文规定，采购人和采购代理机构，磋商小组成员要严格遵守政府采购相关法律制度，依法履行各自职责，公正、客观、审慎地组织和参与评审工作。</w:t>
      </w:r>
    </w:p>
    <w:p w14:paraId="1D7CD439">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二、评审办法</w:t>
      </w:r>
    </w:p>
    <w:p w14:paraId="06A2F045">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（一）本次评标采用综合评分法。</w:t>
      </w:r>
      <w:r>
        <w:rPr>
          <w:rFonts w:hint="eastAsia" w:ascii="宋体" w:hAnsi="宋体" w:eastAsia="宋体" w:cs="宋体"/>
          <w:bCs/>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Cs/>
          <w:color w:val="000000" w:themeColor="text1"/>
          <w:sz w:val="21"/>
          <w:szCs w:val="21"/>
          <w:highlight w:val="none"/>
          <w14:textFill>
            <w14:solidFill>
              <w14:schemeClr w14:val="tx1"/>
            </w14:solidFill>
          </w14:textFill>
        </w:rPr>
        <w:t>会首先对</w:t>
      </w:r>
      <w:r>
        <w:rPr>
          <w:rFonts w:hint="eastAsia" w:ascii="宋体" w:hAnsi="宋体" w:eastAsia="宋体" w:cs="宋体"/>
          <w:bCs/>
          <w:color w:val="000000" w:themeColor="text1"/>
          <w:sz w:val="21"/>
          <w:szCs w:val="21"/>
          <w:highlight w:val="none"/>
          <w:lang w:eastAsia="zh-CN"/>
          <w14:textFill>
            <w14:solidFill>
              <w14:schemeClr w14:val="tx1"/>
            </w14:solidFill>
          </w14:textFill>
        </w:rPr>
        <w:t>磋商供应商</w:t>
      </w:r>
      <w:r>
        <w:rPr>
          <w:rFonts w:hint="eastAsia" w:ascii="宋体" w:hAnsi="宋体" w:eastAsia="宋体" w:cs="宋体"/>
          <w:bCs/>
          <w:color w:val="000000" w:themeColor="text1"/>
          <w:sz w:val="21"/>
          <w:szCs w:val="21"/>
          <w:highlight w:val="none"/>
          <w14:textFill>
            <w14:solidFill>
              <w14:schemeClr w14:val="tx1"/>
            </w14:solidFill>
          </w14:textFill>
        </w:rPr>
        <w:t>提交的响应文件进行资格性审查和符合性审查，只有通过了资格性审查和符合性审查才能进入详评。</w:t>
      </w:r>
    </w:p>
    <w:p w14:paraId="734C8842">
      <w:pPr>
        <w:keepNext w:val="0"/>
        <w:keepLines w:val="0"/>
        <w:pageBreakBefore w:val="0"/>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b/>
          <w:color w:val="000000" w:themeColor="text1"/>
          <w:w w:val="99"/>
          <w:kern w:val="0"/>
          <w:sz w:val="21"/>
          <w:szCs w:val="21"/>
          <w:highlight w:val="none"/>
          <w:lang w:val="en-US" w:eastAsia="zh-CN"/>
          <w14:textFill>
            <w14:solidFill>
              <w14:schemeClr w14:val="tx1"/>
            </w14:solidFill>
          </w14:textFill>
        </w:rPr>
      </w:pPr>
      <w:r>
        <w:rPr>
          <w:rFonts w:hint="eastAsia" w:ascii="宋体" w:hAnsi="宋体" w:eastAsia="宋体" w:cs="宋体"/>
          <w:b/>
          <w:color w:val="000000" w:themeColor="text1"/>
          <w:w w:val="99"/>
          <w:kern w:val="0"/>
          <w:sz w:val="21"/>
          <w:szCs w:val="21"/>
          <w:highlight w:val="none"/>
          <w:lang w:val="en-US" w:eastAsia="zh-CN"/>
          <w14:textFill>
            <w14:solidFill>
              <w14:schemeClr w14:val="tx1"/>
            </w14:solidFill>
          </w14:textFill>
        </w:rPr>
        <w:t>初步评审：</w:t>
      </w:r>
    </w:p>
    <w:tbl>
      <w:tblPr>
        <w:tblStyle w:val="19"/>
        <w:tblW w:w="10040" w:type="dxa"/>
        <w:jc w:val="center"/>
        <w:tblLayout w:type="fixed"/>
        <w:tblCellMar>
          <w:top w:w="0" w:type="dxa"/>
          <w:left w:w="108" w:type="dxa"/>
          <w:bottom w:w="0" w:type="dxa"/>
          <w:right w:w="108" w:type="dxa"/>
        </w:tblCellMar>
      </w:tblPr>
      <w:tblGrid>
        <w:gridCol w:w="944"/>
        <w:gridCol w:w="1304"/>
        <w:gridCol w:w="2700"/>
        <w:gridCol w:w="5092"/>
      </w:tblGrid>
      <w:tr w14:paraId="5F84E59C">
        <w:tblPrEx>
          <w:tblCellMar>
            <w:top w:w="0" w:type="dxa"/>
            <w:left w:w="108" w:type="dxa"/>
            <w:bottom w:w="0" w:type="dxa"/>
            <w:right w:w="108" w:type="dxa"/>
          </w:tblCellMar>
        </w:tblPrEx>
        <w:trPr>
          <w:trHeight w:val="449" w:hRule="atLeast"/>
          <w:jc w:val="center"/>
        </w:trPr>
        <w:tc>
          <w:tcPr>
            <w:tcW w:w="944" w:type="dxa"/>
            <w:tcBorders>
              <w:top w:val="single" w:color="auto" w:sz="4" w:space="0"/>
              <w:left w:val="single" w:color="auto" w:sz="4" w:space="0"/>
              <w:bottom w:val="single" w:color="auto" w:sz="4" w:space="0"/>
              <w:right w:val="single" w:color="000000" w:sz="4" w:space="0"/>
            </w:tcBorders>
            <w:vAlign w:val="center"/>
          </w:tcPr>
          <w:p w14:paraId="61F1BD4B">
            <w:pPr>
              <w:pStyle w:val="30"/>
              <w:keepNext w:val="0"/>
              <w:keepLines w:val="0"/>
              <w:pageBreakBefore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条款号</w:t>
            </w:r>
          </w:p>
        </w:tc>
        <w:tc>
          <w:tcPr>
            <w:tcW w:w="9096" w:type="dxa"/>
            <w:gridSpan w:val="3"/>
            <w:tcBorders>
              <w:top w:val="single" w:color="auto" w:sz="4" w:space="0"/>
              <w:left w:val="nil"/>
              <w:bottom w:val="single" w:color="auto" w:sz="4" w:space="0"/>
              <w:right w:val="single" w:color="auto" w:sz="4" w:space="0"/>
            </w:tcBorders>
            <w:vAlign w:val="center"/>
          </w:tcPr>
          <w:p w14:paraId="62ACC58F">
            <w:pPr>
              <w:pStyle w:val="30"/>
              <w:keepNext w:val="0"/>
              <w:keepLines w:val="0"/>
              <w:pageBreakBefore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评审标准</w:t>
            </w:r>
          </w:p>
        </w:tc>
      </w:tr>
      <w:tr w14:paraId="24C6DD4A">
        <w:tblPrEx>
          <w:tblCellMar>
            <w:top w:w="0" w:type="dxa"/>
            <w:left w:w="108" w:type="dxa"/>
            <w:bottom w:w="0" w:type="dxa"/>
            <w:right w:w="108" w:type="dxa"/>
          </w:tblCellMar>
        </w:tblPrEx>
        <w:trPr>
          <w:trHeight w:val="453" w:hRule="atLeast"/>
          <w:jc w:val="center"/>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78DD9054">
            <w:pPr>
              <w:keepNext w:val="0"/>
              <w:keepLines w:val="0"/>
              <w:pageBreakBefore w:val="0"/>
              <w:widowControl/>
              <w:kinsoku/>
              <w:wordWrap/>
              <w:overflowPunct/>
              <w:topLinePunct w:val="0"/>
              <w:autoSpaceDE/>
              <w:autoSpaceDN/>
              <w:bidi w:val="0"/>
              <w:adjustRightInd/>
              <w:spacing w:line="440" w:lineRule="exact"/>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w:t>
            </w:r>
          </w:p>
        </w:tc>
        <w:tc>
          <w:tcPr>
            <w:tcW w:w="1304" w:type="dxa"/>
            <w:vMerge w:val="restart"/>
            <w:tcBorders>
              <w:top w:val="single" w:color="auto" w:sz="4" w:space="0"/>
              <w:left w:val="single" w:color="auto" w:sz="4" w:space="0"/>
              <w:bottom w:val="single" w:color="auto" w:sz="4" w:space="0"/>
              <w:right w:val="single" w:color="auto" w:sz="4" w:space="0"/>
            </w:tcBorders>
            <w:vAlign w:val="center"/>
          </w:tcPr>
          <w:p w14:paraId="08111C89">
            <w:pPr>
              <w:pStyle w:val="30"/>
              <w:keepNext w:val="0"/>
              <w:keepLines w:val="0"/>
              <w:pageBreakBefore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000000" w:themeColor="text1"/>
                <w:spacing w:val="-6"/>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w:t>
            </w:r>
            <w:r>
              <w:rPr>
                <w:rFonts w:hint="eastAsia" w:ascii="宋体" w:hAnsi="宋体" w:eastAsia="宋体" w:cs="宋体"/>
                <w:color w:val="000000" w:themeColor="text1"/>
                <w:sz w:val="21"/>
                <w:szCs w:val="21"/>
                <w:highlight w:val="none"/>
                <w:lang w:eastAsia="zh-CN"/>
                <w14:textFill>
                  <w14:solidFill>
                    <w14:schemeClr w14:val="tx1"/>
                  </w14:solidFill>
                </w14:textFill>
              </w:rPr>
              <w:t>评审</w:t>
            </w:r>
          </w:p>
          <w:p w14:paraId="7E50519A">
            <w:pPr>
              <w:pStyle w:val="14"/>
              <w:keepNext w:val="0"/>
              <w:keepLines w:val="0"/>
              <w:pageBreakBefore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000000" w:themeColor="text1"/>
                <w:spacing w:val="-6"/>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555FAED2">
            <w:pPr>
              <w:pStyle w:val="30"/>
              <w:keepNext w:val="0"/>
              <w:keepLines w:val="0"/>
              <w:pageBreakBefore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评审因素</w:t>
            </w:r>
          </w:p>
        </w:tc>
        <w:tc>
          <w:tcPr>
            <w:tcW w:w="5092" w:type="dxa"/>
            <w:tcBorders>
              <w:top w:val="single" w:color="auto" w:sz="4" w:space="0"/>
              <w:left w:val="single" w:color="auto" w:sz="4" w:space="0"/>
              <w:bottom w:val="single" w:color="auto" w:sz="4" w:space="0"/>
              <w:right w:val="single" w:color="auto" w:sz="4" w:space="0"/>
            </w:tcBorders>
            <w:vAlign w:val="center"/>
          </w:tcPr>
          <w:p w14:paraId="7F2D24D1">
            <w:pPr>
              <w:pStyle w:val="30"/>
              <w:keepNext w:val="0"/>
              <w:keepLines w:val="0"/>
              <w:pageBreakBefore w:val="0"/>
              <w:kinsoku/>
              <w:wordWrap/>
              <w:overflowPunct/>
              <w:topLinePunct w:val="0"/>
              <w:autoSpaceDE/>
              <w:autoSpaceDN/>
              <w:bidi w:val="0"/>
              <w:adjustRightInd/>
              <w:snapToGrid w:val="0"/>
              <w:spacing w:line="440" w:lineRule="exact"/>
              <w:ind w:left="0" w:leftChars="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评审标准</w:t>
            </w:r>
            <w:r>
              <w:rPr>
                <w:rFonts w:hint="eastAsia" w:ascii="宋体" w:hAnsi="宋体" w:eastAsia="宋体" w:cs="宋体"/>
                <w:b/>
                <w:bCs/>
                <w:color w:val="000000" w:themeColor="text1"/>
                <w:sz w:val="21"/>
                <w:szCs w:val="21"/>
                <w:highlight w:val="none"/>
                <w14:textFill>
                  <w14:solidFill>
                    <w14:schemeClr w14:val="tx1"/>
                  </w14:solidFill>
                </w14:textFill>
              </w:rPr>
              <w:t>（合格标准：缺少任何一项或有任何一项不合格者，其资格</w:t>
            </w:r>
            <w:r>
              <w:rPr>
                <w:rFonts w:hint="eastAsia" w:ascii="宋体" w:hAnsi="宋体" w:eastAsia="宋体" w:cs="宋体"/>
                <w:b/>
                <w:bCs/>
                <w:color w:val="000000" w:themeColor="text1"/>
                <w:sz w:val="21"/>
                <w:szCs w:val="21"/>
                <w:highlight w:val="none"/>
                <w:lang w:eastAsia="zh-CN"/>
                <w14:textFill>
                  <w14:solidFill>
                    <w14:schemeClr w14:val="tx1"/>
                  </w14:solidFill>
                </w14:textFill>
              </w:rPr>
              <w:t>评审</w:t>
            </w:r>
            <w:r>
              <w:rPr>
                <w:rFonts w:hint="eastAsia" w:ascii="宋体" w:hAnsi="宋体" w:eastAsia="宋体" w:cs="宋体"/>
                <w:b/>
                <w:bCs/>
                <w:color w:val="000000" w:themeColor="text1"/>
                <w:sz w:val="21"/>
                <w:szCs w:val="21"/>
                <w:highlight w:val="none"/>
                <w14:textFill>
                  <w14:solidFill>
                    <w14:schemeClr w14:val="tx1"/>
                  </w14:solidFill>
                </w14:textFill>
              </w:rPr>
              <w:t>视为不合格）</w:t>
            </w:r>
          </w:p>
        </w:tc>
      </w:tr>
      <w:tr w14:paraId="73C23532">
        <w:tblPrEx>
          <w:tblCellMar>
            <w:top w:w="0" w:type="dxa"/>
            <w:left w:w="108" w:type="dxa"/>
            <w:bottom w:w="0" w:type="dxa"/>
            <w:right w:w="108" w:type="dxa"/>
          </w:tblCellMar>
        </w:tblPrEx>
        <w:trPr>
          <w:trHeight w:val="537" w:hRule="atLeast"/>
          <w:jc w:val="center"/>
        </w:trPr>
        <w:tc>
          <w:tcPr>
            <w:tcW w:w="944" w:type="dxa"/>
            <w:vMerge w:val="continue"/>
            <w:tcBorders>
              <w:top w:val="single" w:color="auto" w:sz="4" w:space="0"/>
              <w:left w:val="single" w:color="auto" w:sz="4" w:space="0"/>
              <w:right w:val="single" w:color="auto" w:sz="4" w:space="0"/>
            </w:tcBorders>
            <w:vAlign w:val="center"/>
          </w:tcPr>
          <w:p w14:paraId="492697A0">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04" w:type="dxa"/>
            <w:vMerge w:val="continue"/>
            <w:tcBorders>
              <w:top w:val="single" w:color="auto" w:sz="4" w:space="0"/>
              <w:left w:val="single" w:color="auto" w:sz="4" w:space="0"/>
              <w:right w:val="single" w:color="auto" w:sz="4" w:space="0"/>
            </w:tcBorders>
            <w:vAlign w:val="center"/>
          </w:tcPr>
          <w:p w14:paraId="6073A0FF">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79357877">
            <w:pPr>
              <w:pStyle w:val="30"/>
              <w:keepNext w:val="0"/>
              <w:keepLines w:val="0"/>
              <w:pageBreakBefore w:val="0"/>
              <w:widowControl/>
              <w:kinsoku/>
              <w:wordWrap/>
              <w:overflowPunct/>
              <w:topLinePunct w:val="0"/>
              <w:autoSpaceDE/>
              <w:autoSpaceDN/>
              <w:bidi w:val="0"/>
              <w:adjustRightInd/>
              <w:snapToGrid w:val="0"/>
              <w:spacing w:line="440" w:lineRule="exact"/>
              <w:ind w:left="0" w:leftChars="0" w:firstLine="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lang w:eastAsia="zh-CN"/>
                <w14:textFill>
                  <w14:solidFill>
                    <w14:schemeClr w14:val="tx1"/>
                  </w14:solidFill>
                </w14:textFill>
              </w:rPr>
              <w:t>、委托代理人身份证明</w:t>
            </w:r>
          </w:p>
        </w:tc>
        <w:tc>
          <w:tcPr>
            <w:tcW w:w="5092" w:type="dxa"/>
            <w:tcBorders>
              <w:top w:val="single" w:color="auto" w:sz="4" w:space="0"/>
              <w:left w:val="single" w:color="auto" w:sz="4" w:space="0"/>
              <w:bottom w:val="single" w:color="auto" w:sz="4" w:space="0"/>
              <w:right w:val="single" w:color="auto" w:sz="4" w:space="0"/>
            </w:tcBorders>
            <w:vAlign w:val="center"/>
          </w:tcPr>
          <w:p w14:paraId="3DFC47D7">
            <w:pPr>
              <w:pStyle w:val="30"/>
              <w:keepNext w:val="0"/>
              <w:keepLines w:val="0"/>
              <w:pageBreakBefore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有效的法定代表人身份</w:t>
            </w:r>
            <w:r>
              <w:rPr>
                <w:rFonts w:hint="eastAsia" w:ascii="宋体" w:hAnsi="宋体" w:eastAsia="宋体" w:cs="宋体"/>
                <w:color w:val="000000" w:themeColor="text1"/>
                <w:sz w:val="21"/>
                <w:szCs w:val="21"/>
                <w:highlight w:val="none"/>
                <w:lang w:eastAsia="zh-CN"/>
                <w14:textFill>
                  <w14:solidFill>
                    <w14:schemeClr w14:val="tx1"/>
                  </w14:solidFill>
                </w14:textFill>
              </w:rPr>
              <w:t>证</w:t>
            </w:r>
            <w:r>
              <w:rPr>
                <w:rFonts w:hint="eastAsia" w:ascii="宋体" w:hAnsi="宋体" w:eastAsia="宋体" w:cs="宋体"/>
                <w:color w:val="000000" w:themeColor="text1"/>
                <w:sz w:val="21"/>
                <w:szCs w:val="21"/>
                <w:highlight w:val="none"/>
                <w14:textFill>
                  <w14:solidFill>
                    <w14:schemeClr w14:val="tx1"/>
                  </w14:solidFill>
                </w14:textFill>
              </w:rPr>
              <w:t>复印件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法人授权委托书（附身份证复印件，</w:t>
            </w:r>
            <w:r>
              <w:rPr>
                <w:rFonts w:hint="eastAsia" w:ascii="宋体" w:hAnsi="宋体" w:eastAsia="宋体" w:cs="宋体"/>
                <w:color w:val="000000" w:themeColor="text1"/>
                <w:sz w:val="21"/>
                <w:szCs w:val="21"/>
                <w:highlight w:val="none"/>
                <w:lang w:eastAsia="zh-CN"/>
                <w14:textFill>
                  <w14:solidFill>
                    <w14:schemeClr w14:val="tx1"/>
                  </w14:solidFill>
                </w14:textFill>
              </w:rPr>
              <w:t>社会保险缴纳证明材料</w:t>
            </w:r>
            <w:r>
              <w:rPr>
                <w:rFonts w:hint="eastAsia" w:ascii="宋体" w:hAnsi="宋体" w:eastAsia="宋体" w:cs="宋体"/>
                <w:color w:val="000000" w:themeColor="text1"/>
                <w:sz w:val="21"/>
                <w:szCs w:val="21"/>
                <w:highlight w:val="none"/>
                <w14:textFill>
                  <w14:solidFill>
                    <w14:schemeClr w14:val="tx1"/>
                  </w14:solidFill>
                </w14:textFill>
              </w:rPr>
              <w:t>授权代理时提供）</w:t>
            </w:r>
          </w:p>
        </w:tc>
      </w:tr>
      <w:tr w14:paraId="6C8B2176">
        <w:tblPrEx>
          <w:tblCellMar>
            <w:top w:w="0" w:type="dxa"/>
            <w:left w:w="108" w:type="dxa"/>
            <w:bottom w:w="0" w:type="dxa"/>
            <w:right w:w="108" w:type="dxa"/>
          </w:tblCellMar>
        </w:tblPrEx>
        <w:trPr>
          <w:trHeight w:val="537" w:hRule="atLeast"/>
          <w:jc w:val="center"/>
        </w:trPr>
        <w:tc>
          <w:tcPr>
            <w:tcW w:w="944" w:type="dxa"/>
            <w:vMerge w:val="continue"/>
            <w:tcBorders>
              <w:left w:val="single" w:color="auto" w:sz="4" w:space="0"/>
              <w:right w:val="single" w:color="auto" w:sz="4" w:space="0"/>
            </w:tcBorders>
            <w:vAlign w:val="center"/>
          </w:tcPr>
          <w:p w14:paraId="6F4A285C">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04" w:type="dxa"/>
            <w:vMerge w:val="continue"/>
            <w:tcBorders>
              <w:left w:val="single" w:color="auto" w:sz="4" w:space="0"/>
              <w:right w:val="single" w:color="auto" w:sz="4" w:space="0"/>
            </w:tcBorders>
            <w:vAlign w:val="center"/>
          </w:tcPr>
          <w:p w14:paraId="1B4B83AD">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09A773E5">
            <w:pPr>
              <w:pStyle w:val="30"/>
              <w:keepNext w:val="0"/>
              <w:keepLines w:val="0"/>
              <w:pageBreakBefore w:val="0"/>
              <w:widowControl/>
              <w:kinsoku/>
              <w:wordWrap/>
              <w:overflowPunct/>
              <w:topLinePunct w:val="0"/>
              <w:autoSpaceDE/>
              <w:autoSpaceDN/>
              <w:bidi w:val="0"/>
              <w:adjustRightInd/>
              <w:snapToGrid w:val="0"/>
              <w:spacing w:line="440" w:lineRule="exact"/>
              <w:ind w:left="0" w:leftChars="0" w:firstLine="0"/>
              <w:jc w:val="lef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无</w:t>
            </w:r>
            <w:r>
              <w:rPr>
                <w:rFonts w:hint="eastAsia" w:ascii="宋体" w:hAnsi="宋体" w:eastAsia="宋体" w:cs="宋体"/>
                <w:color w:val="000000" w:themeColor="text1"/>
                <w:sz w:val="21"/>
                <w:szCs w:val="21"/>
                <w:highlight w:val="none"/>
                <w14:textFill>
                  <w14:solidFill>
                    <w14:schemeClr w14:val="tx1"/>
                  </w14:solidFill>
                </w14:textFill>
              </w:rPr>
              <w:t>重大违法记录的书面声明</w:t>
            </w:r>
          </w:p>
        </w:tc>
        <w:tc>
          <w:tcPr>
            <w:tcW w:w="5092" w:type="dxa"/>
            <w:tcBorders>
              <w:top w:val="single" w:color="auto" w:sz="4" w:space="0"/>
              <w:left w:val="single" w:color="auto" w:sz="4" w:space="0"/>
              <w:bottom w:val="single" w:color="auto" w:sz="4" w:space="0"/>
              <w:right w:val="single" w:color="auto" w:sz="4" w:space="0"/>
            </w:tcBorders>
            <w:vAlign w:val="center"/>
          </w:tcPr>
          <w:p w14:paraId="0B1B3450">
            <w:pPr>
              <w:pStyle w:val="30"/>
              <w:keepNext w:val="0"/>
              <w:keepLines w:val="0"/>
              <w:pageBreakBefore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参加政府采购活动前3年内在经营活动中没有重大违法记录的书面声明</w:t>
            </w:r>
          </w:p>
        </w:tc>
      </w:tr>
      <w:tr w14:paraId="4742D2BA">
        <w:tblPrEx>
          <w:tblCellMar>
            <w:top w:w="0" w:type="dxa"/>
            <w:left w:w="108" w:type="dxa"/>
            <w:bottom w:w="0" w:type="dxa"/>
            <w:right w:w="108" w:type="dxa"/>
          </w:tblCellMar>
        </w:tblPrEx>
        <w:trPr>
          <w:trHeight w:val="544" w:hRule="atLeast"/>
          <w:jc w:val="center"/>
        </w:trPr>
        <w:tc>
          <w:tcPr>
            <w:tcW w:w="944" w:type="dxa"/>
            <w:vMerge w:val="continue"/>
            <w:tcBorders>
              <w:left w:val="single" w:color="auto" w:sz="4" w:space="0"/>
              <w:right w:val="single" w:color="auto" w:sz="4" w:space="0"/>
            </w:tcBorders>
            <w:vAlign w:val="center"/>
          </w:tcPr>
          <w:p w14:paraId="072A90D7">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04" w:type="dxa"/>
            <w:vMerge w:val="continue"/>
            <w:tcBorders>
              <w:left w:val="single" w:color="auto" w:sz="4" w:space="0"/>
              <w:right w:val="single" w:color="auto" w:sz="4" w:space="0"/>
            </w:tcBorders>
            <w:vAlign w:val="center"/>
          </w:tcPr>
          <w:p w14:paraId="4C90631E">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550B4B29">
            <w:pPr>
              <w:pStyle w:val="30"/>
              <w:keepNext w:val="0"/>
              <w:keepLines w:val="0"/>
              <w:pageBreakBefore w:val="0"/>
              <w:widowControl/>
              <w:kinsoku/>
              <w:wordWrap/>
              <w:overflowPunct/>
              <w:topLinePunct w:val="0"/>
              <w:autoSpaceDE/>
              <w:autoSpaceDN/>
              <w:bidi w:val="0"/>
              <w:adjustRightInd/>
              <w:snapToGrid w:val="0"/>
              <w:spacing w:line="440" w:lineRule="exact"/>
              <w:ind w:left="0" w:leftChars="0" w:firstLine="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营业执照</w:t>
            </w:r>
          </w:p>
        </w:tc>
        <w:tc>
          <w:tcPr>
            <w:tcW w:w="5092" w:type="dxa"/>
            <w:tcBorders>
              <w:top w:val="single" w:color="auto" w:sz="4" w:space="0"/>
              <w:left w:val="single" w:color="auto" w:sz="4" w:space="0"/>
              <w:bottom w:val="single" w:color="auto" w:sz="4" w:space="0"/>
              <w:right w:val="single" w:color="auto" w:sz="4" w:space="0"/>
            </w:tcBorders>
            <w:vAlign w:val="center"/>
          </w:tcPr>
          <w:p w14:paraId="047EE56C">
            <w:pPr>
              <w:pStyle w:val="30"/>
              <w:keepNext w:val="0"/>
              <w:keepLines w:val="0"/>
              <w:pageBreakBefore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有效的营业执照</w:t>
            </w:r>
            <w:r>
              <w:rPr>
                <w:rFonts w:hint="eastAsia" w:ascii="宋体" w:hAnsi="宋体" w:eastAsia="宋体" w:cs="宋体"/>
                <w:color w:val="000000" w:themeColor="text1"/>
                <w:sz w:val="21"/>
                <w:szCs w:val="21"/>
                <w:highlight w:val="none"/>
                <w:lang w:eastAsia="zh-CN"/>
                <w14:textFill>
                  <w14:solidFill>
                    <w14:schemeClr w14:val="tx1"/>
                  </w14:solidFill>
                </w14:textFill>
              </w:rPr>
              <w:t>复印件</w:t>
            </w:r>
          </w:p>
        </w:tc>
      </w:tr>
      <w:tr w14:paraId="6D671D99">
        <w:tblPrEx>
          <w:tblCellMar>
            <w:top w:w="0" w:type="dxa"/>
            <w:left w:w="108" w:type="dxa"/>
            <w:bottom w:w="0" w:type="dxa"/>
            <w:right w:w="108" w:type="dxa"/>
          </w:tblCellMar>
        </w:tblPrEx>
        <w:trPr>
          <w:trHeight w:val="507" w:hRule="atLeast"/>
          <w:jc w:val="center"/>
        </w:trPr>
        <w:tc>
          <w:tcPr>
            <w:tcW w:w="944" w:type="dxa"/>
            <w:vMerge w:val="continue"/>
            <w:tcBorders>
              <w:left w:val="single" w:color="auto" w:sz="4" w:space="0"/>
              <w:right w:val="single" w:color="auto" w:sz="4" w:space="0"/>
            </w:tcBorders>
            <w:vAlign w:val="center"/>
          </w:tcPr>
          <w:p w14:paraId="55BCDD1D">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04" w:type="dxa"/>
            <w:vMerge w:val="continue"/>
            <w:tcBorders>
              <w:left w:val="single" w:color="auto" w:sz="4" w:space="0"/>
              <w:right w:val="single" w:color="auto" w:sz="4" w:space="0"/>
            </w:tcBorders>
            <w:vAlign w:val="center"/>
          </w:tcPr>
          <w:p w14:paraId="391CD5CC">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2E63E396">
            <w:pPr>
              <w:pStyle w:val="30"/>
              <w:keepNext w:val="0"/>
              <w:keepLines w:val="0"/>
              <w:pageBreakBefore w:val="0"/>
              <w:widowControl/>
              <w:kinsoku/>
              <w:wordWrap/>
              <w:overflowPunct/>
              <w:topLinePunct w:val="0"/>
              <w:autoSpaceDE/>
              <w:autoSpaceDN/>
              <w:bidi w:val="0"/>
              <w:adjustRightInd/>
              <w:snapToGrid w:val="0"/>
              <w:spacing w:line="440" w:lineRule="exact"/>
              <w:ind w:left="0" w:leftChars="0" w:firstLine="0"/>
              <w:jc w:val="lef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资质证书</w:t>
            </w:r>
          </w:p>
        </w:tc>
        <w:tc>
          <w:tcPr>
            <w:tcW w:w="5092" w:type="dxa"/>
            <w:tcBorders>
              <w:top w:val="single" w:color="auto" w:sz="4" w:space="0"/>
              <w:left w:val="single" w:color="auto" w:sz="4" w:space="0"/>
              <w:bottom w:val="single" w:color="auto" w:sz="4" w:space="0"/>
              <w:right w:val="single" w:color="auto" w:sz="4" w:space="0"/>
            </w:tcBorders>
            <w:vAlign w:val="center"/>
          </w:tcPr>
          <w:p w14:paraId="060A83F9">
            <w:pPr>
              <w:pStyle w:val="30"/>
              <w:keepNext w:val="0"/>
              <w:keepLines w:val="0"/>
              <w:pageBreakBefore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w:t>
            </w:r>
            <w:r>
              <w:rPr>
                <w:rFonts w:hint="eastAsia" w:ascii="宋体" w:hAnsi="宋体" w:eastAsia="宋体" w:cs="宋体"/>
                <w:color w:val="000000" w:themeColor="text1"/>
                <w:sz w:val="21"/>
                <w:szCs w:val="21"/>
                <w:highlight w:val="none"/>
                <w:lang w:eastAsia="zh-CN"/>
                <w14:textFill>
                  <w14:solidFill>
                    <w14:schemeClr w14:val="tx1"/>
                  </w14:solidFill>
                </w14:textFill>
              </w:rPr>
              <w:t>采购文件要求。</w:t>
            </w:r>
          </w:p>
        </w:tc>
      </w:tr>
      <w:tr w14:paraId="2D93620B">
        <w:tblPrEx>
          <w:tblCellMar>
            <w:top w:w="0" w:type="dxa"/>
            <w:left w:w="108" w:type="dxa"/>
            <w:bottom w:w="0" w:type="dxa"/>
            <w:right w:w="108" w:type="dxa"/>
          </w:tblCellMar>
        </w:tblPrEx>
        <w:trPr>
          <w:trHeight w:val="557" w:hRule="atLeast"/>
          <w:jc w:val="center"/>
        </w:trPr>
        <w:tc>
          <w:tcPr>
            <w:tcW w:w="944" w:type="dxa"/>
            <w:vMerge w:val="continue"/>
            <w:tcBorders>
              <w:left w:val="single" w:color="auto" w:sz="4" w:space="0"/>
              <w:right w:val="single" w:color="auto" w:sz="4" w:space="0"/>
            </w:tcBorders>
            <w:vAlign w:val="center"/>
          </w:tcPr>
          <w:p w14:paraId="52C1E2CF">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04" w:type="dxa"/>
            <w:vMerge w:val="continue"/>
            <w:tcBorders>
              <w:left w:val="single" w:color="auto" w:sz="4" w:space="0"/>
              <w:right w:val="single" w:color="auto" w:sz="4" w:space="0"/>
            </w:tcBorders>
            <w:vAlign w:val="center"/>
          </w:tcPr>
          <w:p w14:paraId="63BCE4F2">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18F90D4C">
            <w:pPr>
              <w:pStyle w:val="30"/>
              <w:keepNext w:val="0"/>
              <w:keepLines w:val="0"/>
              <w:pageBreakBefore w:val="0"/>
              <w:widowControl/>
              <w:kinsoku/>
              <w:wordWrap/>
              <w:overflowPunct/>
              <w:topLinePunct w:val="0"/>
              <w:autoSpaceDE/>
              <w:autoSpaceDN/>
              <w:bidi w:val="0"/>
              <w:adjustRightInd/>
              <w:snapToGrid w:val="0"/>
              <w:spacing w:line="440" w:lineRule="exact"/>
              <w:ind w:left="0" w:leftChars="0" w:firstLine="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落实政府采购政策需满足的资格要求</w:t>
            </w:r>
          </w:p>
        </w:tc>
        <w:tc>
          <w:tcPr>
            <w:tcW w:w="5092" w:type="dxa"/>
            <w:tcBorders>
              <w:top w:val="single" w:color="auto" w:sz="4" w:space="0"/>
              <w:left w:val="single" w:color="auto" w:sz="4" w:space="0"/>
              <w:bottom w:val="single" w:color="auto" w:sz="4" w:space="0"/>
              <w:right w:val="single" w:color="auto" w:sz="4" w:space="0"/>
            </w:tcBorders>
            <w:vAlign w:val="center"/>
          </w:tcPr>
          <w:p w14:paraId="51895C6D">
            <w:pPr>
              <w:pStyle w:val="30"/>
              <w:keepNext w:val="0"/>
              <w:keepLines w:val="0"/>
              <w:pageBreakBefore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《中小企业声明函》或《残疾人福利性单位声明函》或省级以上监狱管理局、戒毒管理局（含新疆生产建设兵团）出具的属于监狱企业的证明文件复印件（必须提供其中一项）</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36964E0F">
        <w:tblPrEx>
          <w:tblCellMar>
            <w:top w:w="0" w:type="dxa"/>
            <w:left w:w="108" w:type="dxa"/>
            <w:bottom w:w="0" w:type="dxa"/>
            <w:right w:w="108" w:type="dxa"/>
          </w:tblCellMar>
        </w:tblPrEx>
        <w:trPr>
          <w:trHeight w:val="745" w:hRule="atLeast"/>
          <w:jc w:val="center"/>
        </w:trPr>
        <w:tc>
          <w:tcPr>
            <w:tcW w:w="944" w:type="dxa"/>
            <w:vMerge w:val="continue"/>
            <w:tcBorders>
              <w:left w:val="single" w:color="auto" w:sz="4" w:space="0"/>
              <w:bottom w:val="single" w:color="auto" w:sz="4" w:space="0"/>
              <w:right w:val="single" w:color="auto" w:sz="4" w:space="0"/>
            </w:tcBorders>
            <w:vAlign w:val="center"/>
          </w:tcPr>
          <w:p w14:paraId="19C2E168">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04" w:type="dxa"/>
            <w:vMerge w:val="continue"/>
            <w:tcBorders>
              <w:left w:val="single" w:color="auto" w:sz="4" w:space="0"/>
              <w:bottom w:val="single" w:color="auto" w:sz="4" w:space="0"/>
              <w:right w:val="single" w:color="auto" w:sz="4" w:space="0"/>
            </w:tcBorders>
            <w:vAlign w:val="center"/>
          </w:tcPr>
          <w:p w14:paraId="3A4F3474">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43AFA7C5">
            <w:pPr>
              <w:pStyle w:val="30"/>
              <w:keepNext w:val="0"/>
              <w:keepLines w:val="0"/>
              <w:pageBreakBefore w:val="0"/>
              <w:widowControl/>
              <w:kinsoku/>
              <w:wordWrap/>
              <w:overflowPunct/>
              <w:topLinePunct w:val="0"/>
              <w:autoSpaceDE/>
              <w:autoSpaceDN/>
              <w:bidi w:val="0"/>
              <w:adjustRightInd/>
              <w:snapToGrid w:val="0"/>
              <w:spacing w:line="440" w:lineRule="exact"/>
              <w:ind w:left="0" w:leftChars="0" w:firstLine="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安全生产许可证</w:t>
            </w:r>
          </w:p>
        </w:tc>
        <w:tc>
          <w:tcPr>
            <w:tcW w:w="5092" w:type="dxa"/>
            <w:tcBorders>
              <w:top w:val="single" w:color="auto" w:sz="4" w:space="0"/>
              <w:left w:val="single" w:color="auto" w:sz="4" w:space="0"/>
              <w:bottom w:val="single" w:color="auto" w:sz="4" w:space="0"/>
              <w:right w:val="single" w:color="auto" w:sz="4" w:space="0"/>
            </w:tcBorders>
            <w:vAlign w:val="center"/>
          </w:tcPr>
          <w:p w14:paraId="2E8D6AD2">
            <w:pPr>
              <w:pStyle w:val="30"/>
              <w:keepNext w:val="0"/>
              <w:keepLines w:val="0"/>
              <w:pageBreakBefore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有效的安全生产许可证</w:t>
            </w:r>
            <w:r>
              <w:rPr>
                <w:rFonts w:hint="eastAsia" w:ascii="宋体" w:hAnsi="宋体" w:eastAsia="宋体" w:cs="宋体"/>
                <w:color w:val="000000" w:themeColor="text1"/>
                <w:sz w:val="21"/>
                <w:szCs w:val="21"/>
                <w:highlight w:val="none"/>
                <w:lang w:eastAsia="zh-CN"/>
                <w14:textFill>
                  <w14:solidFill>
                    <w14:schemeClr w14:val="tx1"/>
                  </w14:solidFill>
                </w14:textFill>
              </w:rPr>
              <w:t>复印件取得。</w:t>
            </w:r>
          </w:p>
        </w:tc>
      </w:tr>
      <w:tr w14:paraId="7A487125">
        <w:tblPrEx>
          <w:tblCellMar>
            <w:top w:w="0" w:type="dxa"/>
            <w:left w:w="108" w:type="dxa"/>
            <w:bottom w:w="0" w:type="dxa"/>
            <w:right w:w="108" w:type="dxa"/>
          </w:tblCellMar>
        </w:tblPrEx>
        <w:trPr>
          <w:trHeight w:val="475" w:hRule="atLeast"/>
          <w:jc w:val="center"/>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66FE0149">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04" w:type="dxa"/>
            <w:vMerge w:val="continue"/>
            <w:tcBorders>
              <w:top w:val="single" w:color="auto" w:sz="4" w:space="0"/>
              <w:left w:val="single" w:color="auto" w:sz="4" w:space="0"/>
              <w:bottom w:val="single" w:color="auto" w:sz="4" w:space="0"/>
              <w:right w:val="single" w:color="auto" w:sz="4" w:space="0"/>
            </w:tcBorders>
            <w:vAlign w:val="center"/>
          </w:tcPr>
          <w:p w14:paraId="0E56B1F3">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37A4D07B">
            <w:pPr>
              <w:pStyle w:val="30"/>
              <w:keepNext w:val="0"/>
              <w:keepLines w:val="0"/>
              <w:pageBreakBefore w:val="0"/>
              <w:widowControl/>
              <w:kinsoku/>
              <w:wordWrap/>
              <w:overflowPunct/>
              <w:topLinePunct w:val="0"/>
              <w:autoSpaceDE/>
              <w:autoSpaceDN/>
              <w:bidi w:val="0"/>
              <w:adjustRightInd/>
              <w:snapToGrid w:val="0"/>
              <w:spacing w:line="440" w:lineRule="exact"/>
              <w:ind w:left="0" w:leftChars="0" w:firstLine="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财务状况报告</w:t>
            </w:r>
          </w:p>
        </w:tc>
        <w:tc>
          <w:tcPr>
            <w:tcW w:w="5092" w:type="dxa"/>
            <w:tcBorders>
              <w:top w:val="single" w:color="auto" w:sz="4" w:space="0"/>
              <w:left w:val="single" w:color="auto" w:sz="4" w:space="0"/>
              <w:bottom w:val="single" w:color="auto" w:sz="4" w:space="0"/>
              <w:right w:val="single" w:color="auto" w:sz="4" w:space="0"/>
            </w:tcBorders>
            <w:vAlign w:val="center"/>
          </w:tcPr>
          <w:p w14:paraId="3BB058FF">
            <w:pPr>
              <w:pStyle w:val="30"/>
              <w:keepNext w:val="0"/>
              <w:keepLines w:val="0"/>
              <w:pageBreakBefore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按采购文件要求提供。</w:t>
            </w:r>
          </w:p>
        </w:tc>
      </w:tr>
      <w:tr w14:paraId="1E23E65A">
        <w:tblPrEx>
          <w:tblCellMar>
            <w:top w:w="0" w:type="dxa"/>
            <w:left w:w="108" w:type="dxa"/>
            <w:bottom w:w="0" w:type="dxa"/>
            <w:right w:w="108" w:type="dxa"/>
          </w:tblCellMar>
        </w:tblPrEx>
        <w:trPr>
          <w:trHeight w:val="525" w:hRule="atLeast"/>
          <w:jc w:val="center"/>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3E086449">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04" w:type="dxa"/>
            <w:vMerge w:val="continue"/>
            <w:tcBorders>
              <w:top w:val="single" w:color="auto" w:sz="4" w:space="0"/>
              <w:left w:val="single" w:color="auto" w:sz="4" w:space="0"/>
              <w:bottom w:val="single" w:color="auto" w:sz="4" w:space="0"/>
              <w:right w:val="single" w:color="auto" w:sz="4" w:space="0"/>
            </w:tcBorders>
            <w:vAlign w:val="center"/>
          </w:tcPr>
          <w:p w14:paraId="42C4180B">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3267C95D">
            <w:pPr>
              <w:pStyle w:val="30"/>
              <w:keepNext w:val="0"/>
              <w:keepLines w:val="0"/>
              <w:pageBreakBefore w:val="0"/>
              <w:widowControl/>
              <w:kinsoku/>
              <w:wordWrap/>
              <w:overflowPunct/>
              <w:topLinePunct w:val="0"/>
              <w:autoSpaceDE/>
              <w:autoSpaceDN/>
              <w:bidi w:val="0"/>
              <w:adjustRightInd/>
              <w:snapToGrid w:val="0"/>
              <w:spacing w:line="440" w:lineRule="exact"/>
              <w:ind w:left="0" w:leftChars="0" w:firstLine="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依法纳税证明材料</w:t>
            </w:r>
          </w:p>
        </w:tc>
        <w:tc>
          <w:tcPr>
            <w:tcW w:w="5092" w:type="dxa"/>
            <w:tcBorders>
              <w:top w:val="single" w:color="auto" w:sz="4" w:space="0"/>
              <w:left w:val="single" w:color="auto" w:sz="4" w:space="0"/>
              <w:bottom w:val="single" w:color="auto" w:sz="4" w:space="0"/>
              <w:right w:val="single" w:color="auto" w:sz="4" w:space="0"/>
            </w:tcBorders>
            <w:vAlign w:val="center"/>
          </w:tcPr>
          <w:p w14:paraId="25129AF5">
            <w:pPr>
              <w:pStyle w:val="30"/>
              <w:keepNext w:val="0"/>
              <w:keepLines w:val="0"/>
              <w:pageBreakBefore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按采购文件要求提供。</w:t>
            </w:r>
          </w:p>
        </w:tc>
      </w:tr>
      <w:tr w14:paraId="6307C524">
        <w:tblPrEx>
          <w:tblCellMar>
            <w:top w:w="0" w:type="dxa"/>
            <w:left w:w="108" w:type="dxa"/>
            <w:bottom w:w="0" w:type="dxa"/>
            <w:right w:w="108" w:type="dxa"/>
          </w:tblCellMar>
        </w:tblPrEx>
        <w:trPr>
          <w:trHeight w:val="487" w:hRule="atLeast"/>
          <w:jc w:val="center"/>
        </w:trPr>
        <w:tc>
          <w:tcPr>
            <w:tcW w:w="944" w:type="dxa"/>
            <w:vMerge w:val="restart"/>
            <w:tcBorders>
              <w:top w:val="single" w:color="auto" w:sz="4" w:space="0"/>
              <w:left w:val="single" w:color="000000" w:sz="4" w:space="0"/>
              <w:bottom w:val="single" w:color="auto" w:sz="4" w:space="0"/>
              <w:right w:val="single" w:color="000000" w:sz="4" w:space="0"/>
            </w:tcBorders>
            <w:vAlign w:val="center"/>
          </w:tcPr>
          <w:p w14:paraId="5B6937C6">
            <w:pPr>
              <w:keepNext w:val="0"/>
              <w:keepLines w:val="0"/>
              <w:pageBreakBefore w:val="0"/>
              <w:kinsoku/>
              <w:wordWrap/>
              <w:overflowPunct/>
              <w:topLinePunct w:val="0"/>
              <w:autoSpaceDE/>
              <w:autoSpaceDN/>
              <w:bidi w:val="0"/>
              <w:adjustRightInd/>
              <w:spacing w:line="440" w:lineRule="exact"/>
              <w:ind w:left="0" w:leftChars="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2.1.2</w:t>
            </w:r>
          </w:p>
        </w:tc>
        <w:tc>
          <w:tcPr>
            <w:tcW w:w="1304" w:type="dxa"/>
            <w:vMerge w:val="restart"/>
            <w:tcBorders>
              <w:top w:val="single" w:color="auto" w:sz="4" w:space="0"/>
              <w:left w:val="single" w:color="000000" w:sz="4" w:space="0"/>
              <w:bottom w:val="single" w:color="auto" w:sz="4" w:space="0"/>
              <w:right w:val="single" w:color="000000" w:sz="4" w:space="0"/>
            </w:tcBorders>
            <w:vAlign w:val="center"/>
          </w:tcPr>
          <w:p w14:paraId="5EE18E61">
            <w:pPr>
              <w:keepNext w:val="0"/>
              <w:keepLines w:val="0"/>
              <w:pageBreakBefore w:val="0"/>
              <w:kinsoku/>
              <w:wordWrap/>
              <w:overflowPunct/>
              <w:topLinePunct w:val="0"/>
              <w:autoSpaceDE/>
              <w:autoSpaceDN/>
              <w:bidi w:val="0"/>
              <w:adjustRightInd/>
              <w:spacing w:line="440" w:lineRule="exact"/>
              <w:ind w:left="0" w:lef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符合性评审</w:t>
            </w:r>
          </w:p>
        </w:tc>
        <w:tc>
          <w:tcPr>
            <w:tcW w:w="2700" w:type="dxa"/>
            <w:tcBorders>
              <w:top w:val="single" w:color="auto" w:sz="4" w:space="0"/>
              <w:left w:val="single" w:color="000000" w:sz="4" w:space="0"/>
              <w:bottom w:val="single" w:color="000000" w:sz="4" w:space="0"/>
              <w:right w:val="single" w:color="000000" w:sz="4" w:space="0"/>
            </w:tcBorders>
            <w:vAlign w:val="center"/>
          </w:tcPr>
          <w:p w14:paraId="7980EA01">
            <w:pPr>
              <w:keepNext w:val="0"/>
              <w:keepLines w:val="0"/>
              <w:pageBreakBefore w:val="0"/>
              <w:kinsoku/>
              <w:wordWrap/>
              <w:overflowPunct/>
              <w:topLinePunct w:val="0"/>
              <w:autoSpaceDE/>
              <w:autoSpaceDN/>
              <w:bidi w:val="0"/>
              <w:adjustRightInd/>
              <w:spacing w:line="440" w:lineRule="exact"/>
              <w:ind w:left="0" w:leftChars="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评审因素</w:t>
            </w:r>
          </w:p>
        </w:tc>
        <w:tc>
          <w:tcPr>
            <w:tcW w:w="5092" w:type="dxa"/>
            <w:tcBorders>
              <w:top w:val="single" w:color="auto" w:sz="4" w:space="0"/>
              <w:left w:val="single" w:color="000000" w:sz="4" w:space="0"/>
              <w:bottom w:val="single" w:color="000000" w:sz="4" w:space="0"/>
              <w:right w:val="single" w:color="000000" w:sz="4" w:space="0"/>
            </w:tcBorders>
            <w:vAlign w:val="center"/>
          </w:tcPr>
          <w:p w14:paraId="1F55AE85">
            <w:pPr>
              <w:keepNext w:val="0"/>
              <w:keepLines w:val="0"/>
              <w:pageBreakBefore w:val="0"/>
              <w:kinsoku/>
              <w:wordWrap/>
              <w:overflowPunct/>
              <w:topLinePunct w:val="0"/>
              <w:autoSpaceDE/>
              <w:autoSpaceDN/>
              <w:bidi w:val="0"/>
              <w:adjustRightInd/>
              <w:spacing w:line="440" w:lineRule="exact"/>
              <w:ind w:left="0" w:leftChars="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评审标准（合格标准：缺少任何一项或有任何一项不合格者，其</w:t>
            </w:r>
            <w:r>
              <w:rPr>
                <w:rFonts w:hint="eastAsia" w:ascii="宋体" w:hAnsi="宋体" w:eastAsia="宋体" w:cs="宋体"/>
                <w:b/>
                <w:bCs/>
                <w:color w:val="000000" w:themeColor="text1"/>
                <w:sz w:val="21"/>
                <w:szCs w:val="21"/>
                <w:highlight w:val="none"/>
                <w:lang w:eastAsia="zh-CN"/>
                <w14:textFill>
                  <w14:solidFill>
                    <w14:schemeClr w14:val="tx1"/>
                  </w14:solidFill>
                </w14:textFill>
              </w:rPr>
              <w:t>符合性评审</w:t>
            </w:r>
            <w:r>
              <w:rPr>
                <w:rFonts w:hint="eastAsia" w:ascii="宋体" w:hAnsi="宋体" w:eastAsia="宋体" w:cs="宋体"/>
                <w:b/>
                <w:bCs/>
                <w:color w:val="000000" w:themeColor="text1"/>
                <w:sz w:val="21"/>
                <w:szCs w:val="21"/>
                <w:highlight w:val="none"/>
                <w14:textFill>
                  <w14:solidFill>
                    <w14:schemeClr w14:val="tx1"/>
                  </w14:solidFill>
                </w14:textFill>
              </w:rPr>
              <w:t>视为不合格）</w:t>
            </w:r>
          </w:p>
        </w:tc>
      </w:tr>
      <w:tr w14:paraId="4ACCCC65">
        <w:tblPrEx>
          <w:tblCellMar>
            <w:top w:w="0" w:type="dxa"/>
            <w:left w:w="108" w:type="dxa"/>
            <w:bottom w:w="0" w:type="dxa"/>
            <w:right w:w="108" w:type="dxa"/>
          </w:tblCellMar>
        </w:tblPrEx>
        <w:trPr>
          <w:trHeight w:val="430"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14:paraId="23A3B7B2">
            <w:pPr>
              <w:keepNext w:val="0"/>
              <w:keepLines w:val="0"/>
              <w:pageBreakBefore w:val="0"/>
              <w:kinsoku/>
              <w:wordWrap/>
              <w:overflowPunct/>
              <w:topLinePunct w:val="0"/>
              <w:autoSpaceDE/>
              <w:autoSpaceDN/>
              <w:bidi w:val="0"/>
              <w:adjustRightInd/>
              <w:spacing w:line="440" w:lineRule="exact"/>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04" w:type="dxa"/>
            <w:vMerge w:val="continue"/>
            <w:tcBorders>
              <w:top w:val="single" w:color="auto" w:sz="4" w:space="0"/>
              <w:left w:val="single" w:color="000000" w:sz="4" w:space="0"/>
              <w:bottom w:val="single" w:color="auto" w:sz="4" w:space="0"/>
              <w:right w:val="single" w:color="000000" w:sz="4" w:space="0"/>
            </w:tcBorders>
            <w:vAlign w:val="center"/>
          </w:tcPr>
          <w:p w14:paraId="4E16D323">
            <w:pPr>
              <w:keepNext w:val="0"/>
              <w:keepLines w:val="0"/>
              <w:pageBreakBefore w:val="0"/>
              <w:kinsoku/>
              <w:wordWrap/>
              <w:overflowPunct/>
              <w:topLinePunct w:val="0"/>
              <w:autoSpaceDE/>
              <w:autoSpaceDN/>
              <w:bidi w:val="0"/>
              <w:adjustRightInd/>
              <w:spacing w:line="440" w:lineRule="exact"/>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1F056077">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响应函</w:t>
            </w:r>
          </w:p>
        </w:tc>
        <w:tc>
          <w:tcPr>
            <w:tcW w:w="5092" w:type="dxa"/>
            <w:tcBorders>
              <w:top w:val="single" w:color="000000" w:sz="4" w:space="0"/>
              <w:left w:val="single" w:color="000000" w:sz="4" w:space="0"/>
              <w:bottom w:val="single" w:color="000000" w:sz="4" w:space="0"/>
              <w:right w:val="single" w:color="000000" w:sz="4" w:space="0"/>
            </w:tcBorders>
            <w:vAlign w:val="center"/>
          </w:tcPr>
          <w:p w14:paraId="22118C03">
            <w:pPr>
              <w:keepNext w:val="0"/>
              <w:keepLines w:val="0"/>
              <w:pageBreakBefore w:val="0"/>
              <w:kinsoku/>
              <w:wordWrap/>
              <w:overflowPunct/>
              <w:topLinePunct w:val="0"/>
              <w:autoSpaceDE/>
              <w:autoSpaceDN/>
              <w:bidi w:val="0"/>
              <w:adjustRightInd/>
              <w:spacing w:line="440" w:lineRule="exact"/>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必须提供</w:t>
            </w:r>
          </w:p>
        </w:tc>
      </w:tr>
      <w:tr w14:paraId="4808D4DC">
        <w:tblPrEx>
          <w:tblCellMar>
            <w:top w:w="0" w:type="dxa"/>
            <w:left w:w="108" w:type="dxa"/>
            <w:bottom w:w="0" w:type="dxa"/>
            <w:right w:w="108" w:type="dxa"/>
          </w:tblCellMar>
        </w:tblPrEx>
        <w:trPr>
          <w:trHeight w:val="474"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14:paraId="4A278B07">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04" w:type="dxa"/>
            <w:vMerge w:val="continue"/>
            <w:tcBorders>
              <w:top w:val="single" w:color="auto" w:sz="4" w:space="0"/>
              <w:left w:val="single" w:color="000000" w:sz="4" w:space="0"/>
              <w:bottom w:val="single" w:color="auto" w:sz="4" w:space="0"/>
              <w:right w:val="single" w:color="000000" w:sz="4" w:space="0"/>
            </w:tcBorders>
            <w:vAlign w:val="center"/>
          </w:tcPr>
          <w:p w14:paraId="6252ADEC">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2731017E">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工程报价汇总表</w:t>
            </w:r>
          </w:p>
        </w:tc>
        <w:tc>
          <w:tcPr>
            <w:tcW w:w="5092" w:type="dxa"/>
            <w:tcBorders>
              <w:top w:val="single" w:color="000000" w:sz="4" w:space="0"/>
              <w:left w:val="single" w:color="000000" w:sz="4" w:space="0"/>
              <w:bottom w:val="single" w:color="000000" w:sz="4" w:space="0"/>
              <w:right w:val="single" w:color="000000" w:sz="4" w:space="0"/>
            </w:tcBorders>
            <w:vAlign w:val="center"/>
          </w:tcPr>
          <w:p w14:paraId="4F345AD3">
            <w:pPr>
              <w:keepNext w:val="0"/>
              <w:keepLines w:val="0"/>
              <w:pageBreakBefore w:val="0"/>
              <w:kinsoku/>
              <w:wordWrap/>
              <w:overflowPunct/>
              <w:topLinePunct w:val="0"/>
              <w:autoSpaceDE/>
              <w:autoSpaceDN/>
              <w:bidi w:val="0"/>
              <w:adjustRightInd/>
              <w:spacing w:line="440" w:lineRule="exact"/>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必须提供</w:t>
            </w:r>
          </w:p>
        </w:tc>
      </w:tr>
      <w:tr w14:paraId="478198E5">
        <w:tblPrEx>
          <w:tblCellMar>
            <w:top w:w="0" w:type="dxa"/>
            <w:left w:w="108" w:type="dxa"/>
            <w:bottom w:w="0" w:type="dxa"/>
            <w:right w:w="108" w:type="dxa"/>
          </w:tblCellMar>
        </w:tblPrEx>
        <w:trPr>
          <w:trHeight w:val="478"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14:paraId="0F71F8C6">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04" w:type="dxa"/>
            <w:vMerge w:val="continue"/>
            <w:tcBorders>
              <w:top w:val="single" w:color="auto" w:sz="4" w:space="0"/>
              <w:left w:val="single" w:color="000000" w:sz="4" w:space="0"/>
              <w:bottom w:val="single" w:color="auto" w:sz="4" w:space="0"/>
              <w:right w:val="single" w:color="000000" w:sz="4" w:space="0"/>
            </w:tcBorders>
            <w:vAlign w:val="center"/>
          </w:tcPr>
          <w:p w14:paraId="1C64D39A">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000000" w:sz="4" w:space="0"/>
              <w:left w:val="single" w:color="000000" w:sz="4" w:space="0"/>
              <w:bottom w:val="single" w:color="auto" w:sz="4" w:space="0"/>
              <w:right w:val="single" w:color="000000" w:sz="4" w:space="0"/>
            </w:tcBorders>
            <w:vAlign w:val="center"/>
          </w:tcPr>
          <w:p w14:paraId="78B4FE5A">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已标价工程量清单</w:t>
            </w:r>
          </w:p>
        </w:tc>
        <w:tc>
          <w:tcPr>
            <w:tcW w:w="5092" w:type="dxa"/>
            <w:tcBorders>
              <w:top w:val="single" w:color="000000" w:sz="4" w:space="0"/>
              <w:left w:val="single" w:color="000000" w:sz="4" w:space="0"/>
              <w:bottom w:val="single" w:color="000000" w:sz="4" w:space="0"/>
              <w:right w:val="single" w:color="000000" w:sz="4" w:space="0"/>
            </w:tcBorders>
            <w:vAlign w:val="center"/>
          </w:tcPr>
          <w:p w14:paraId="784A784B">
            <w:pPr>
              <w:keepNext w:val="0"/>
              <w:keepLines w:val="0"/>
              <w:pageBreakBefore w:val="0"/>
              <w:kinsoku/>
              <w:wordWrap/>
              <w:overflowPunct/>
              <w:topLinePunct w:val="0"/>
              <w:autoSpaceDE/>
              <w:autoSpaceDN/>
              <w:bidi w:val="0"/>
              <w:adjustRightInd/>
              <w:spacing w:line="440" w:lineRule="exact"/>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必须提供</w:t>
            </w:r>
          </w:p>
        </w:tc>
      </w:tr>
      <w:tr w14:paraId="7673976E">
        <w:tblPrEx>
          <w:tblCellMar>
            <w:top w:w="0" w:type="dxa"/>
            <w:left w:w="108" w:type="dxa"/>
            <w:bottom w:w="0" w:type="dxa"/>
            <w:right w:w="108" w:type="dxa"/>
          </w:tblCellMar>
        </w:tblPrEx>
        <w:trPr>
          <w:trHeight w:val="491"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14:paraId="3C940A4A">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04" w:type="dxa"/>
            <w:vMerge w:val="continue"/>
            <w:tcBorders>
              <w:top w:val="single" w:color="auto" w:sz="4" w:space="0"/>
              <w:left w:val="single" w:color="000000" w:sz="4" w:space="0"/>
              <w:bottom w:val="single" w:color="auto" w:sz="4" w:space="0"/>
              <w:right w:val="single" w:color="000000" w:sz="4" w:space="0"/>
            </w:tcBorders>
            <w:vAlign w:val="center"/>
          </w:tcPr>
          <w:p w14:paraId="0B274974">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000000" w:sz="4" w:space="0"/>
              <w:bottom w:val="single" w:color="auto" w:sz="4" w:space="0"/>
              <w:right w:val="single" w:color="000000" w:sz="4" w:space="0"/>
            </w:tcBorders>
            <w:vAlign w:val="center"/>
          </w:tcPr>
          <w:p w14:paraId="0AB450C5">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拟投入主要施工管理人员</w:t>
            </w:r>
          </w:p>
        </w:tc>
        <w:tc>
          <w:tcPr>
            <w:tcW w:w="5092" w:type="dxa"/>
            <w:tcBorders>
              <w:top w:val="single" w:color="000000" w:sz="4" w:space="0"/>
              <w:left w:val="single" w:color="000000" w:sz="4" w:space="0"/>
              <w:bottom w:val="single" w:color="auto" w:sz="4" w:space="0"/>
              <w:right w:val="single" w:color="000000" w:sz="4" w:space="0"/>
            </w:tcBorders>
            <w:vAlign w:val="center"/>
          </w:tcPr>
          <w:p w14:paraId="37AE698B">
            <w:pPr>
              <w:keepNext w:val="0"/>
              <w:keepLines w:val="0"/>
              <w:pageBreakBefore w:val="0"/>
              <w:kinsoku/>
              <w:wordWrap/>
              <w:overflowPunct/>
              <w:topLinePunct w:val="0"/>
              <w:autoSpaceDE/>
              <w:autoSpaceDN/>
              <w:bidi w:val="0"/>
              <w:adjustRightInd/>
              <w:spacing w:line="440" w:lineRule="exact"/>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必须提供</w:t>
            </w:r>
          </w:p>
        </w:tc>
      </w:tr>
      <w:tr w14:paraId="18A624F8">
        <w:tblPrEx>
          <w:tblCellMar>
            <w:top w:w="0" w:type="dxa"/>
            <w:left w:w="108" w:type="dxa"/>
            <w:bottom w:w="0" w:type="dxa"/>
            <w:right w:w="108" w:type="dxa"/>
          </w:tblCellMar>
        </w:tblPrEx>
        <w:trPr>
          <w:trHeight w:val="429"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14:paraId="71A677C1">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04" w:type="dxa"/>
            <w:vMerge w:val="continue"/>
            <w:tcBorders>
              <w:top w:val="single" w:color="auto" w:sz="4" w:space="0"/>
              <w:left w:val="single" w:color="000000" w:sz="4" w:space="0"/>
              <w:bottom w:val="single" w:color="auto" w:sz="4" w:space="0"/>
              <w:right w:val="single" w:color="000000" w:sz="4" w:space="0"/>
            </w:tcBorders>
            <w:vAlign w:val="center"/>
          </w:tcPr>
          <w:p w14:paraId="0C6DE028">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7F884E61">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项目经理</w:t>
            </w:r>
          </w:p>
        </w:tc>
        <w:tc>
          <w:tcPr>
            <w:tcW w:w="5092" w:type="dxa"/>
            <w:tcBorders>
              <w:top w:val="single" w:color="000000" w:sz="4" w:space="0"/>
              <w:left w:val="single" w:color="000000" w:sz="4" w:space="0"/>
              <w:bottom w:val="single" w:color="000000" w:sz="4" w:space="0"/>
              <w:right w:val="single" w:color="auto" w:sz="4" w:space="0"/>
            </w:tcBorders>
            <w:vAlign w:val="center"/>
          </w:tcPr>
          <w:p w14:paraId="2ECEAFA2">
            <w:pPr>
              <w:keepNext w:val="0"/>
              <w:keepLines w:val="0"/>
              <w:pageBreakBefore w:val="0"/>
              <w:kinsoku/>
              <w:wordWrap/>
              <w:overflowPunct/>
              <w:topLinePunct w:val="0"/>
              <w:autoSpaceDE/>
              <w:autoSpaceDN/>
              <w:bidi w:val="0"/>
              <w:adjustRightInd/>
              <w:spacing w:line="440" w:lineRule="exact"/>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符合采购文件要求</w:t>
            </w:r>
          </w:p>
        </w:tc>
      </w:tr>
      <w:tr w14:paraId="483069B1">
        <w:tblPrEx>
          <w:tblCellMar>
            <w:top w:w="0" w:type="dxa"/>
            <w:left w:w="108" w:type="dxa"/>
            <w:bottom w:w="0" w:type="dxa"/>
            <w:right w:w="108" w:type="dxa"/>
          </w:tblCellMar>
        </w:tblPrEx>
        <w:trPr>
          <w:trHeight w:val="470"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14:paraId="5BB2D7C4">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04" w:type="dxa"/>
            <w:vMerge w:val="continue"/>
            <w:tcBorders>
              <w:top w:val="single" w:color="auto" w:sz="4" w:space="0"/>
              <w:left w:val="single" w:color="000000" w:sz="4" w:space="0"/>
              <w:bottom w:val="single" w:color="auto" w:sz="4" w:space="0"/>
              <w:right w:val="single" w:color="000000" w:sz="4" w:space="0"/>
            </w:tcBorders>
            <w:vAlign w:val="center"/>
          </w:tcPr>
          <w:p w14:paraId="0B0D09D0">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2FECB45F">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施工组织方案</w:t>
            </w:r>
          </w:p>
        </w:tc>
        <w:tc>
          <w:tcPr>
            <w:tcW w:w="5092" w:type="dxa"/>
            <w:tcBorders>
              <w:top w:val="single" w:color="000000" w:sz="4" w:space="0"/>
              <w:left w:val="single" w:color="000000" w:sz="4" w:space="0"/>
              <w:bottom w:val="single" w:color="000000" w:sz="4" w:space="0"/>
              <w:right w:val="single" w:color="auto" w:sz="4" w:space="0"/>
            </w:tcBorders>
            <w:vAlign w:val="center"/>
          </w:tcPr>
          <w:p w14:paraId="5D0A6C81">
            <w:pPr>
              <w:keepNext w:val="0"/>
              <w:keepLines w:val="0"/>
              <w:pageBreakBefore w:val="0"/>
              <w:kinsoku/>
              <w:wordWrap/>
              <w:overflowPunct/>
              <w:topLinePunct w:val="0"/>
              <w:autoSpaceDE/>
              <w:autoSpaceDN/>
              <w:bidi w:val="0"/>
              <w:adjustRightInd/>
              <w:spacing w:line="440" w:lineRule="exact"/>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必须提供</w:t>
            </w:r>
          </w:p>
        </w:tc>
      </w:tr>
      <w:tr w14:paraId="50083BA1">
        <w:tblPrEx>
          <w:tblCellMar>
            <w:top w:w="0" w:type="dxa"/>
            <w:left w:w="108" w:type="dxa"/>
            <w:bottom w:w="0" w:type="dxa"/>
            <w:right w:w="108" w:type="dxa"/>
          </w:tblCellMar>
        </w:tblPrEx>
        <w:trPr>
          <w:trHeight w:val="523"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14:paraId="51996E54">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04" w:type="dxa"/>
            <w:vMerge w:val="continue"/>
            <w:tcBorders>
              <w:top w:val="single" w:color="auto" w:sz="4" w:space="0"/>
              <w:left w:val="single" w:color="000000" w:sz="4" w:space="0"/>
              <w:bottom w:val="single" w:color="auto" w:sz="4" w:space="0"/>
              <w:right w:val="single" w:color="000000" w:sz="4" w:space="0"/>
            </w:tcBorders>
            <w:vAlign w:val="center"/>
          </w:tcPr>
          <w:p w14:paraId="03FE5BBE">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0A2806DB">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工程完工服务承诺书</w:t>
            </w:r>
          </w:p>
        </w:tc>
        <w:tc>
          <w:tcPr>
            <w:tcW w:w="5092" w:type="dxa"/>
            <w:tcBorders>
              <w:top w:val="single" w:color="000000" w:sz="4" w:space="0"/>
              <w:left w:val="single" w:color="000000" w:sz="4" w:space="0"/>
              <w:bottom w:val="single" w:color="000000" w:sz="4" w:space="0"/>
              <w:right w:val="single" w:color="auto" w:sz="4" w:space="0"/>
            </w:tcBorders>
            <w:vAlign w:val="center"/>
          </w:tcPr>
          <w:p w14:paraId="3B0E521F">
            <w:pPr>
              <w:keepNext w:val="0"/>
              <w:keepLines w:val="0"/>
              <w:pageBreakBefore w:val="0"/>
              <w:kinsoku/>
              <w:wordWrap/>
              <w:overflowPunct/>
              <w:topLinePunct w:val="0"/>
              <w:autoSpaceDE/>
              <w:autoSpaceDN/>
              <w:bidi w:val="0"/>
              <w:adjustRightInd/>
              <w:spacing w:line="440" w:lineRule="exact"/>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必须提供</w:t>
            </w:r>
          </w:p>
        </w:tc>
      </w:tr>
      <w:tr w14:paraId="546861FF">
        <w:tblPrEx>
          <w:tblCellMar>
            <w:top w:w="0" w:type="dxa"/>
            <w:left w:w="108" w:type="dxa"/>
            <w:bottom w:w="0" w:type="dxa"/>
            <w:right w:w="108" w:type="dxa"/>
          </w:tblCellMar>
        </w:tblPrEx>
        <w:trPr>
          <w:trHeight w:val="523"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14:paraId="40FCAA67">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04" w:type="dxa"/>
            <w:vMerge w:val="continue"/>
            <w:tcBorders>
              <w:top w:val="single" w:color="auto" w:sz="4" w:space="0"/>
              <w:left w:val="single" w:color="000000" w:sz="4" w:space="0"/>
              <w:bottom w:val="single" w:color="auto" w:sz="4" w:space="0"/>
              <w:right w:val="single" w:color="000000" w:sz="4" w:space="0"/>
            </w:tcBorders>
            <w:vAlign w:val="center"/>
          </w:tcPr>
          <w:p w14:paraId="590B12DB">
            <w:pPr>
              <w:keepNext w:val="0"/>
              <w:keepLines w:val="0"/>
              <w:pageBreakBefore w:val="0"/>
              <w:widowControl/>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5A5CE740">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农民工工资保障金缴纳与使用承诺书</w:t>
            </w:r>
          </w:p>
        </w:tc>
        <w:tc>
          <w:tcPr>
            <w:tcW w:w="5092" w:type="dxa"/>
            <w:tcBorders>
              <w:top w:val="single" w:color="000000" w:sz="4" w:space="0"/>
              <w:left w:val="single" w:color="000000" w:sz="4" w:space="0"/>
              <w:bottom w:val="single" w:color="000000" w:sz="4" w:space="0"/>
              <w:right w:val="single" w:color="auto" w:sz="4" w:space="0"/>
            </w:tcBorders>
            <w:vAlign w:val="center"/>
          </w:tcPr>
          <w:p w14:paraId="63A89CD7">
            <w:pPr>
              <w:keepNext w:val="0"/>
              <w:keepLines w:val="0"/>
              <w:pageBreakBefore w:val="0"/>
              <w:kinsoku/>
              <w:wordWrap/>
              <w:overflowPunct/>
              <w:topLinePunct w:val="0"/>
              <w:autoSpaceDE/>
              <w:autoSpaceDN/>
              <w:bidi w:val="0"/>
              <w:adjustRightInd/>
              <w:spacing w:line="440" w:lineRule="exact"/>
              <w:ind w:left="0" w:leftChars="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必须提供</w:t>
            </w:r>
          </w:p>
        </w:tc>
      </w:tr>
    </w:tbl>
    <w:p w14:paraId="4A59BCB1">
      <w:pPr>
        <w:pStyle w:val="1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详细</w:t>
      </w:r>
      <w:r>
        <w:rPr>
          <w:rFonts w:hint="eastAsia" w:ascii="宋体" w:hAnsi="宋体" w:eastAsia="宋体" w:cs="宋体"/>
          <w:b/>
          <w:color w:val="000000" w:themeColor="text1"/>
          <w:sz w:val="21"/>
          <w:szCs w:val="21"/>
          <w:highlight w:val="none"/>
          <w14:textFill>
            <w14:solidFill>
              <w14:schemeClr w14:val="tx1"/>
            </w14:solidFill>
          </w14:textFill>
        </w:rPr>
        <w:t>价格分………………………………………………………………</w:t>
      </w:r>
      <w:r>
        <w:rPr>
          <w:rFonts w:hint="eastAsia" w:ascii="宋体" w:hAnsi="宋体" w:eastAsia="宋体" w:cs="宋体"/>
          <w:b/>
          <w:bCs w:val="0"/>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bCs w:val="0"/>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14:textFill>
            <w14:solidFill>
              <w14:schemeClr w14:val="tx1"/>
            </w14:solidFill>
          </w14:textFill>
        </w:rPr>
        <w:t>满分30</w:t>
      </w:r>
      <w:r>
        <w:rPr>
          <w:rFonts w:hint="eastAsia" w:ascii="宋体" w:hAnsi="宋体" w:eastAsia="宋体" w:cs="宋体"/>
          <w:b/>
          <w:color w:val="000000" w:themeColor="text1"/>
          <w:sz w:val="21"/>
          <w:szCs w:val="21"/>
          <w:highlight w:val="none"/>
          <w14:textFill>
            <w14:solidFill>
              <w14:schemeClr w14:val="tx1"/>
            </w14:solidFill>
          </w14:textFill>
        </w:rPr>
        <w:t>分</w:t>
      </w:r>
    </w:p>
    <w:p w14:paraId="4093DDF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（1）本项目为专门面向中小微企业采购的项目（供应商应为中小微企业、监狱企业、残疾人福利性单位)，不再执行价格评审优惠的扶持政策。即评标价=最终报价。</w:t>
      </w:r>
    </w:p>
    <w:p w14:paraId="11CE7BC8">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2E70B04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成交</w:t>
      </w:r>
      <w:r>
        <w:rPr>
          <w:rFonts w:hint="eastAsia" w:ascii="宋体" w:hAnsi="宋体" w:eastAsia="宋体" w:cs="宋体"/>
          <w:b w:val="0"/>
          <w:bCs/>
          <w:color w:val="000000" w:themeColor="text1"/>
          <w:sz w:val="21"/>
          <w:szCs w:val="21"/>
          <w:highlight w:val="none"/>
          <w14:textFill>
            <w14:solidFill>
              <w14:schemeClr w14:val="tx1"/>
            </w14:solidFill>
          </w14:textFill>
        </w:rPr>
        <w:t>人为残疾人福利性单位的，随</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成交</w:t>
      </w:r>
      <w:r>
        <w:rPr>
          <w:rFonts w:hint="eastAsia" w:ascii="宋体" w:hAnsi="宋体" w:eastAsia="宋体" w:cs="宋体"/>
          <w:b w:val="0"/>
          <w:bCs/>
          <w:color w:val="000000" w:themeColor="text1"/>
          <w:sz w:val="21"/>
          <w:szCs w:val="21"/>
          <w:highlight w:val="none"/>
          <w14:textFill>
            <w14:solidFill>
              <w14:schemeClr w14:val="tx1"/>
            </w14:solidFill>
          </w14:textFill>
        </w:rPr>
        <w:t>结果公告其《残疾人福利性单位声明函》，接受社会监督。</w:t>
      </w:r>
    </w:p>
    <w:p w14:paraId="7D88689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（2）以进入评审的最低的评标价为</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 w:val="0"/>
          <w:bCs/>
          <w:color w:val="000000" w:themeColor="text1"/>
          <w:sz w:val="21"/>
          <w:szCs w:val="21"/>
          <w:highlight w:val="none"/>
          <w14:textFill>
            <w14:solidFill>
              <w14:schemeClr w14:val="tx1"/>
            </w14:solidFill>
          </w14:textFill>
        </w:rPr>
        <w:t>分。</w:t>
      </w:r>
    </w:p>
    <w:p w14:paraId="0610741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（3）某供应商价格分 = 供应商最低评</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审</w:t>
      </w:r>
      <w:r>
        <w:rPr>
          <w:rFonts w:hint="eastAsia" w:ascii="宋体" w:hAnsi="宋体" w:eastAsia="宋体" w:cs="宋体"/>
          <w:b w:val="0"/>
          <w:bCs/>
          <w:color w:val="000000" w:themeColor="text1"/>
          <w:sz w:val="21"/>
          <w:szCs w:val="21"/>
          <w:highlight w:val="none"/>
          <w14:textFill>
            <w14:solidFill>
              <w14:schemeClr w14:val="tx1"/>
            </w14:solidFill>
          </w14:textFill>
        </w:rPr>
        <w:t>报价（金额）/某供应商评</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审</w:t>
      </w:r>
      <w:r>
        <w:rPr>
          <w:rFonts w:hint="eastAsia" w:ascii="宋体" w:hAnsi="宋体" w:eastAsia="宋体" w:cs="宋体"/>
          <w:b w:val="0"/>
          <w:bCs/>
          <w:color w:val="000000" w:themeColor="text1"/>
          <w:sz w:val="21"/>
          <w:szCs w:val="21"/>
          <w:highlight w:val="none"/>
          <w14:textFill>
            <w14:solidFill>
              <w14:schemeClr w14:val="tx1"/>
            </w14:solidFill>
          </w14:textFill>
        </w:rPr>
        <w:t>报价（金额）×</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 w:val="0"/>
          <w:bCs/>
          <w:color w:val="000000" w:themeColor="text1"/>
          <w:sz w:val="21"/>
          <w:szCs w:val="21"/>
          <w:highlight w:val="none"/>
          <w14:textFill>
            <w14:solidFill>
              <w14:schemeClr w14:val="tx1"/>
            </w14:solidFill>
          </w14:textFill>
        </w:rPr>
        <w:t>分。</w:t>
      </w:r>
    </w:p>
    <w:p w14:paraId="21CD62A8">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2.技术分</w:t>
      </w:r>
      <w:r>
        <w:rPr>
          <w:rFonts w:hint="eastAsia" w:ascii="宋体" w:hAnsi="宋体" w:eastAsia="宋体" w:cs="宋体"/>
          <w:b/>
          <w:bCs w:val="0"/>
          <w:color w:val="000000" w:themeColor="text1"/>
          <w:sz w:val="21"/>
          <w:szCs w:val="21"/>
          <w:highlight w:val="none"/>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满分60</w:t>
      </w:r>
      <w:r>
        <w:rPr>
          <w:rFonts w:hint="eastAsia" w:ascii="宋体" w:hAnsi="宋体" w:eastAsia="宋体" w:cs="宋体"/>
          <w:b/>
          <w:bCs w:val="0"/>
          <w:color w:val="000000" w:themeColor="text1"/>
          <w:sz w:val="21"/>
          <w:szCs w:val="21"/>
          <w:highlight w:val="none"/>
          <w14:textFill>
            <w14:solidFill>
              <w14:schemeClr w14:val="tx1"/>
            </w14:solidFill>
          </w14:textFill>
        </w:rPr>
        <w:t>分</w:t>
      </w:r>
    </w:p>
    <w:p w14:paraId="0A80EB1E">
      <w:pPr>
        <w:pStyle w:val="11"/>
        <w:keepNext w:val="0"/>
        <w:keepLines w:val="0"/>
        <w:pageBreakBefore w:val="0"/>
        <w:widowControl w:val="0"/>
        <w:tabs>
          <w:tab w:val="left" w:leader="middleDot" w:pos="8820"/>
        </w:tabs>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color w:val="000000" w:themeColor="text1"/>
          <w:sz w:val="21"/>
          <w:szCs w:val="21"/>
          <w:highlight w:val="none"/>
          <w14:textFill>
            <w14:solidFill>
              <w14:schemeClr w14:val="tx1"/>
            </w14:solidFill>
          </w14:textFill>
        </w:rPr>
        <w:t>1）总体概述</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bCs w:val="0"/>
          <w:color w:val="000000" w:themeColor="text1"/>
          <w:sz w:val="21"/>
          <w:szCs w:val="21"/>
          <w:highlight w:val="none"/>
          <w14:textFill>
            <w14:solidFill>
              <w14:schemeClr w14:val="tx1"/>
            </w14:solidFill>
          </w14:textFill>
        </w:rPr>
        <w:t>分</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p>
    <w:p w14:paraId="0D232840">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优</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10分</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kern w:val="0"/>
          <w:sz w:val="21"/>
          <w:szCs w:val="21"/>
          <w:highlight w:val="none"/>
          <w14:textFill>
            <w14:solidFill>
              <w14:schemeClr w14:val="tx1"/>
            </w14:solidFill>
          </w14:textFill>
        </w:rPr>
        <w:t>：对项目总体有深刻认识，表达清晰、完整、严谨、合理，措施先进、具体、有效、成熟；施工段划分清晰、合理，符合规范要求</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w:t>
      </w:r>
    </w:p>
    <w:p w14:paraId="2B7D36C2">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良</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6分</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kern w:val="0"/>
          <w:sz w:val="21"/>
          <w:szCs w:val="21"/>
          <w:highlight w:val="none"/>
          <w14:textFill>
            <w14:solidFill>
              <w14:schemeClr w14:val="tx1"/>
            </w14:solidFill>
          </w14:textFill>
        </w:rPr>
        <w:t>：对项目总体有一定认识，表达清晰、完整，措施具体有效；施工段划分清晰，符合规范要求</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w:t>
      </w:r>
    </w:p>
    <w:p w14:paraId="598EF1DA">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中</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3分</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kern w:val="0"/>
          <w:sz w:val="21"/>
          <w:szCs w:val="21"/>
          <w:highlight w:val="none"/>
          <w14:textFill>
            <w14:solidFill>
              <w14:schemeClr w14:val="tx1"/>
            </w14:solidFill>
          </w14:textFill>
        </w:rPr>
        <w:t>：对项目总体有认识，有一定的措施但部分不具体；施工段划分较合理，符合规范要求</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w:t>
      </w:r>
    </w:p>
    <w:p w14:paraId="7CB62D22">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差</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1分</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kern w:val="0"/>
          <w:sz w:val="21"/>
          <w:szCs w:val="21"/>
          <w:highlight w:val="none"/>
          <w14:textFill>
            <w14:solidFill>
              <w14:schemeClr w14:val="tx1"/>
            </w14:solidFill>
          </w14:textFill>
        </w:rPr>
        <w:t>：对项目认识不足，表达不清晰，措施不具体；施工段划分不合理。</w:t>
      </w:r>
    </w:p>
    <w:p w14:paraId="0DBEDA95">
      <w:pPr>
        <w:pStyle w:val="1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（2）主要施工方法</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bCs w:val="0"/>
          <w:color w:val="000000" w:themeColor="text1"/>
          <w:sz w:val="21"/>
          <w:szCs w:val="21"/>
          <w:highlight w:val="none"/>
          <w14:textFill>
            <w14:solidFill>
              <w14:schemeClr w14:val="tx1"/>
            </w14:solidFill>
          </w14:textFill>
        </w:rPr>
        <w:t>分</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p>
    <w:p w14:paraId="1DF95051">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优</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：各主要分部施工方法符合项目实际，有详尽的施工技术方案，工艺先进、方法科学合理、可行，能指导具体施工并确保安全；</w:t>
      </w:r>
    </w:p>
    <w:p w14:paraId="4DCD2BBD">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良</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：各主要分部施工方法符合项目实际，有较详尽的施工技术方案，工艺较好、方法科学合理、可行，能指导具体施工并确保安全；</w:t>
      </w:r>
    </w:p>
    <w:p w14:paraId="7AB69B32">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中</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：各主要分部施工方法能满足项目需求，有施工技术方案，能指导具体施工并确保安全；</w:t>
      </w:r>
    </w:p>
    <w:p w14:paraId="07E7232F">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：各主要分部施工方法不能满足项目需求，没有施工技术方案，不能指导具体施工并确保安全。</w:t>
      </w:r>
    </w:p>
    <w:p w14:paraId="400124A7">
      <w:pPr>
        <w:pStyle w:val="1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（3）施工进度计划和各阶段进度的保证措施</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bCs w:val="0"/>
          <w:color w:val="000000" w:themeColor="text1"/>
          <w:sz w:val="21"/>
          <w:szCs w:val="21"/>
          <w:highlight w:val="none"/>
          <w14:textFill>
            <w14:solidFill>
              <w14:schemeClr w14:val="tx1"/>
            </w14:solidFill>
          </w14:textFill>
        </w:rPr>
        <w:t>分</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p>
    <w:p w14:paraId="71F9C28A">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优</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7分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：关键线路清晰、准确、完整，计划编制合理、可行，关键节点的控制措施有力、合理、可行</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66A652F7">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良</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：关键线路清晰、准确、完整，计划编制可行，关键节点的控制措施合理、可行</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0CAC3C31">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中</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3分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：关键线路基本准确，计划编制合理，关键节点的控制措施基本可行</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228B5962">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：关键线路不准确，计划编制不合理，关键节点的控制不可行。</w:t>
      </w:r>
    </w:p>
    <w:p w14:paraId="39C6DE3B">
      <w:pPr>
        <w:pStyle w:val="1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000000" w:themeColor="text1"/>
          <w:sz w:val="21"/>
          <w:szCs w:val="21"/>
          <w:highlight w:val="none"/>
          <w:lang w:val="en-US"/>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（4）劳动力和材料投入计划及其保证措施</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bCs w:val="0"/>
          <w:color w:val="000000" w:themeColor="text1"/>
          <w:sz w:val="21"/>
          <w:szCs w:val="21"/>
          <w:highlight w:val="none"/>
          <w14:textFill>
            <w14:solidFill>
              <w14:schemeClr w14:val="tx1"/>
            </w14:solidFill>
          </w14:textFill>
        </w:rPr>
        <w:t>分</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p>
    <w:p w14:paraId="465F7497">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优</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：投入计划与进度计划呼应，较好满足施工需要，调配投入计划合理、准确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3CC17EEF">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良</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4分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：投入计划与进度计划呼应，基本满足施工需要，调配投入计划基本合理、准确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2EB87B6F">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中</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：投入计划与进度计划呼应，基本满足施工需要，调配投入计划基本合理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1FC3F307">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：投入计划与进度计划不呼应，不能满足施工需要。</w:t>
      </w:r>
    </w:p>
    <w:p w14:paraId="2002F686">
      <w:pPr>
        <w:pStyle w:val="1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（5）施工平面布置和临时设施布置</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val="0"/>
          <w:color w:val="000000" w:themeColor="text1"/>
          <w:sz w:val="21"/>
          <w:szCs w:val="21"/>
          <w:highlight w:val="none"/>
          <w14:textFill>
            <w14:solidFill>
              <w14:schemeClr w14:val="tx1"/>
            </w14:solidFill>
          </w14:textFill>
        </w:rPr>
        <w:t>分</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p>
    <w:p w14:paraId="4876409B">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优</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：总体布置有针对性、合理，较好满足施工需要，符合安全、文明生产要求</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7AF9B9AE">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良</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4分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：总体布置合理，能满足施工需要，基本符合安全、文明生产要求</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5F5722B9">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中</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：总体布置基本合理，基本满足施工需要</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1A63871B">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：总体布置不合理，不符合安全、文明生产要求。</w:t>
      </w:r>
    </w:p>
    <w:p w14:paraId="03688D15">
      <w:pPr>
        <w:pStyle w:val="1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（6）关键施工技术、工艺及工程实施的重点、难点和解决方案</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val="0"/>
          <w:color w:val="000000" w:themeColor="text1"/>
          <w:sz w:val="21"/>
          <w:szCs w:val="21"/>
          <w:highlight w:val="none"/>
          <w14:textFill>
            <w14:solidFill>
              <w14:schemeClr w14:val="tx1"/>
            </w14:solidFill>
          </w14:textFill>
        </w:rPr>
        <w:t>分</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p>
    <w:p w14:paraId="6FD442CC">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优</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：对项目关键技术、工艺有深入的表达，对重点</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难点有先进合理的施工措施并有可行的安全措施，解决方案完整、经济、安全、切实可行，措施得力。</w:t>
      </w:r>
    </w:p>
    <w:p w14:paraId="093309F1">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良</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4分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：对项目关键技术、工艺有深入的表达，对重点、难点有合理的建议，解决方案经济、安全、基本可行。</w:t>
      </w:r>
    </w:p>
    <w:p w14:paraId="180EC701">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中</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：对项目关键技术有一定了解，对重点、难点有建议，解决方案基本可行。</w:t>
      </w:r>
    </w:p>
    <w:p w14:paraId="437E035D">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：对项目关键技术有表述，对重点、难点有建议，解决方案不可行。</w:t>
      </w:r>
    </w:p>
    <w:p w14:paraId="5FF47860">
      <w:pPr>
        <w:pStyle w:val="1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14:textFill>
            <w14:solidFill>
              <w14:schemeClr w14:val="tx1"/>
            </w14:solidFill>
          </w14:textFill>
        </w:rPr>
        <w:t>（7）安全文明施工措施</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val="0"/>
          <w:color w:val="000000" w:themeColor="text1"/>
          <w:sz w:val="21"/>
          <w:szCs w:val="21"/>
          <w:highlight w:val="none"/>
          <w14:textFill>
            <w14:solidFill>
              <w14:schemeClr w14:val="tx1"/>
            </w14:solidFill>
          </w14:textFill>
        </w:rPr>
        <w:t>分</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p>
    <w:p w14:paraId="24D6552E">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优</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：针对项目实际情况，有先进、具体、完整、可行的实施措施，采用规范正确、清晰。</w:t>
      </w:r>
    </w:p>
    <w:p w14:paraId="01B6DFB2">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良</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4分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：针对项目实际情况，有合理的措施且具体、完整，采用规范正确。</w:t>
      </w:r>
    </w:p>
    <w:p w14:paraId="72996173">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中</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：有基本合理的措施，采用规范正确。</w:t>
      </w:r>
    </w:p>
    <w:p w14:paraId="4221A7F3">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：安全文明措施不得力，采用规范不正确。</w:t>
      </w:r>
    </w:p>
    <w:p w14:paraId="4704AA99">
      <w:pPr>
        <w:pStyle w:val="1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（8）质量保证与承诺</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val="0"/>
          <w:color w:val="000000" w:themeColor="text1"/>
          <w:sz w:val="21"/>
          <w:szCs w:val="21"/>
          <w:highlight w:val="none"/>
          <w14:textFill>
            <w14:solidFill>
              <w14:schemeClr w14:val="tx1"/>
            </w14:solidFill>
          </w14:textFill>
        </w:rPr>
        <w:t>分</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p>
    <w:p w14:paraId="4D0AE80A">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优</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：针对项目实际提出先进、可行、具体的保证措施，超过招标文件的质量要求及施工验收规范要求。</w:t>
      </w:r>
    </w:p>
    <w:p w14:paraId="1CEE4F0B">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良</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4分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：针对项目实际提出先进、可行、具体的保证措施，满足招标文件的质量要求。</w:t>
      </w:r>
    </w:p>
    <w:p w14:paraId="36DD12FB">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中</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：具体措施可行，满足招标文件的质量要求。</w:t>
      </w:r>
    </w:p>
    <w:p w14:paraId="418E084A">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：措施不可行。</w:t>
      </w:r>
    </w:p>
    <w:p w14:paraId="6F711CC5">
      <w:pPr>
        <w:pStyle w:val="1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（9）新技术应用与承诺</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val="0"/>
          <w:color w:val="000000" w:themeColor="text1"/>
          <w:sz w:val="21"/>
          <w:szCs w:val="21"/>
          <w:highlight w:val="none"/>
          <w14:textFill>
            <w14:solidFill>
              <w14:schemeClr w14:val="tx1"/>
            </w14:solidFill>
          </w14:textFill>
        </w:rPr>
        <w:t>分</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p>
    <w:p w14:paraId="1338780E">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优</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：针对项目实际，提出采用新技术的具体措施。新技术的验证材料可靠，对节约投资和工期的保证措施得力、具体、严谨。对采用新技术可能产生的风险预见充分，对新技术的实施有安全生产的可靠方案。</w:t>
      </w:r>
    </w:p>
    <w:p w14:paraId="4F72321E">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良</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4分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：针对项目实际，提出采用新技术的具体措施。新技术的验证材料可靠，对节约投资和工期有保证措施。对采用新技术可能产生的风险有一定的预见。</w:t>
      </w:r>
    </w:p>
    <w:p w14:paraId="1082396C">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中</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：有新技术措施，但验证材料不充分，对节约投资和工期可能有一定收益，对采用新技术可能产生的风险预见不足。</w:t>
      </w:r>
    </w:p>
    <w:p w14:paraId="463A501C">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1分</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：采用的新技术针对性不强或验证材料不可靠，对</w:t>
      </w:r>
      <w:bookmarkStart w:id="274" w:name="_GoBack"/>
      <w:bookmarkEnd w:id="274"/>
      <w:r>
        <w:rPr>
          <w:rFonts w:hint="eastAsia" w:ascii="宋体" w:hAnsi="宋体" w:eastAsia="宋体" w:cs="宋体"/>
          <w:b w:val="0"/>
          <w:bCs/>
          <w:color w:val="000000" w:themeColor="text1"/>
          <w:sz w:val="21"/>
          <w:szCs w:val="21"/>
          <w:highlight w:val="none"/>
          <w14:textFill>
            <w14:solidFill>
              <w14:schemeClr w14:val="tx1"/>
            </w14:solidFill>
          </w14:textFill>
        </w:rPr>
        <w:t>节约投资和工期没有具体收益。</w:t>
      </w:r>
    </w:p>
    <w:p w14:paraId="2F74B936">
      <w:pPr>
        <w:keepNext w:val="0"/>
        <w:keepLines w:val="0"/>
        <w:pageBreakBefore w:val="0"/>
        <w:widowControl w:val="0"/>
        <w:kinsoku/>
        <w:wordWrap/>
        <w:overflowPunct/>
        <w:topLinePunct w:val="0"/>
        <w:autoSpaceDE/>
        <w:autoSpaceDN/>
        <w:bidi w:val="0"/>
        <w:adjustRightInd/>
        <w:snapToGrid/>
        <w:spacing w:line="440" w:lineRule="exact"/>
        <w:ind w:left="0" w:leftChars="0" w:firstLine="316" w:firstLineChars="150"/>
        <w:textAlignment w:val="auto"/>
        <w:outlineLvl w:val="0"/>
        <w:rPr>
          <w:rFonts w:hint="eastAsia" w:ascii="宋体" w:hAnsi="宋体" w:eastAsia="宋体" w:cs="宋体"/>
          <w:b/>
          <w:bCs/>
          <w:color w:val="000000" w:themeColor="text1"/>
          <w:kern w:val="0"/>
          <w:sz w:val="21"/>
          <w:szCs w:val="21"/>
          <w:highlight w:val="none"/>
          <w14:textFill>
            <w14:solidFill>
              <w14:schemeClr w14:val="tx1"/>
            </w14:solidFill>
          </w14:textFill>
        </w:rPr>
      </w:pPr>
      <w:bookmarkStart w:id="140" w:name="_Toc9651"/>
      <w:r>
        <w:rPr>
          <w:rFonts w:hint="eastAsia" w:ascii="宋体" w:hAnsi="宋体" w:eastAsia="宋体" w:cs="宋体"/>
          <w:b/>
          <w:color w:val="000000" w:themeColor="text1"/>
          <w:kern w:val="0"/>
          <w:sz w:val="21"/>
          <w:szCs w:val="21"/>
          <w:highlight w:val="none"/>
          <w14:textFill>
            <w14:solidFill>
              <w14:schemeClr w14:val="tx1"/>
            </w14:solidFill>
          </w14:textFill>
        </w:rPr>
        <w:t>注：</w:t>
      </w:r>
      <w:r>
        <w:rPr>
          <w:rFonts w:hint="eastAsia" w:ascii="宋体" w:hAnsi="宋体" w:eastAsia="宋体" w:cs="宋体"/>
          <w:b/>
          <w:bCs/>
          <w:color w:val="000000" w:themeColor="text1"/>
          <w:kern w:val="0"/>
          <w:sz w:val="21"/>
          <w:szCs w:val="21"/>
          <w:highlight w:val="none"/>
          <w14:textFill>
            <w14:solidFill>
              <w14:schemeClr w14:val="tx1"/>
            </w14:solidFill>
          </w14:textFill>
        </w:rPr>
        <w:t>供应商未提供上述“施工组织技术方案”相应内容的，相应项不得分。</w:t>
      </w:r>
      <w:bookmarkEnd w:id="140"/>
    </w:p>
    <w:p w14:paraId="45882439">
      <w:pPr>
        <w:keepNext w:val="0"/>
        <w:keepLines w:val="0"/>
        <w:pageBreakBefore w:val="0"/>
        <w:widowControl w:val="0"/>
        <w:tabs>
          <w:tab w:val="left" w:pos="1305"/>
        </w:tabs>
        <w:kinsoku/>
        <w:wordWrap/>
        <w:overflowPunct/>
        <w:topLinePunct w:val="0"/>
        <w:autoSpaceDE/>
        <w:autoSpaceDN/>
        <w:bidi w:val="0"/>
        <w:adjustRightInd/>
        <w:snapToGrid/>
        <w:spacing w:line="440" w:lineRule="exact"/>
        <w:ind w:left="0" w:leftChars="0" w:firstLine="211" w:firstLineChars="100"/>
        <w:textAlignment w:val="auto"/>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t>3.拟投入主要管理人员配置…………………………</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满分</w:t>
      </w:r>
      <w:r>
        <w:rPr>
          <w:rFonts w:hint="eastAsia" w:ascii="宋体" w:hAnsi="宋体" w:cs="宋体"/>
          <w:b/>
          <w:bCs/>
          <w:color w:val="000000" w:themeColor="text1"/>
          <w:kern w:val="0"/>
          <w:sz w:val="21"/>
          <w:szCs w:val="21"/>
          <w:highlight w:val="none"/>
          <w:lang w:val="en-US" w:eastAsia="zh-CN" w:bidi="ar-SA"/>
          <w14:textFill>
            <w14:solidFill>
              <w14:schemeClr w14:val="tx1"/>
            </w14:solidFill>
          </w14:textFill>
        </w:rPr>
        <w:t>6</w:t>
      </w: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分</w:t>
      </w:r>
    </w:p>
    <w:p w14:paraId="40880F1F">
      <w:pPr>
        <w:keepNext w:val="0"/>
        <w:keepLines w:val="0"/>
        <w:pageBreakBefore w:val="0"/>
        <w:kinsoku/>
        <w:wordWrap/>
        <w:overflowPunct/>
        <w:topLinePunct w:val="0"/>
        <w:autoSpaceDE/>
        <w:autoSpaceDN/>
        <w:bidi w:val="0"/>
        <w:adjustRightInd/>
        <w:spacing w:line="440" w:lineRule="exact"/>
        <w:ind w:left="0" w:leftChars="0" w:firstLine="420"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（1）项目经理资格：具有水利水电工程专业的二级注册建造师以上（含本级）和有效的安全生产考核合格证书（B类）的得1分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（满分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分）</w:t>
      </w:r>
    </w:p>
    <w:p w14:paraId="3AFAF72A">
      <w:pPr>
        <w:pStyle w:val="30"/>
        <w:keepNext w:val="0"/>
        <w:keepLines w:val="0"/>
        <w:pageBreakBefore w:val="0"/>
        <w:kinsoku/>
        <w:wordWrap/>
        <w:overflowPunct/>
        <w:topLinePunct w:val="0"/>
        <w:autoSpaceDE/>
        <w:autoSpaceDN/>
        <w:bidi w:val="0"/>
        <w:adjustRightInd/>
        <w:snapToGrid w:val="0"/>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）技术负责人：具有水利水电工程专业中级</w:t>
      </w:r>
      <w:r>
        <w:rPr>
          <w:rFonts w:hint="eastAsia" w:ascii="宋体" w:hAnsi="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lang w:eastAsia="zh-CN"/>
          <w14:textFill>
            <w14:solidFill>
              <w14:schemeClr w14:val="tx1"/>
            </w14:solidFill>
          </w14:textFill>
        </w:rPr>
        <w:t>以上（含本级）工程师职称的得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（满分</w:t>
      </w:r>
      <w:r>
        <w:rPr>
          <w:rFonts w:hint="eastAsia" w:ascii="宋体" w:hAnsi="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分）</w:t>
      </w:r>
    </w:p>
    <w:p w14:paraId="029561EF">
      <w:pPr>
        <w:keepNext w:val="0"/>
        <w:keepLines w:val="0"/>
        <w:pageBreakBefore w:val="0"/>
        <w:widowControl/>
        <w:kinsoku/>
        <w:wordWrap/>
        <w:overflowPunct/>
        <w:topLinePunct w:val="0"/>
        <w:autoSpaceDE/>
        <w:autoSpaceDN/>
        <w:bidi w:val="0"/>
        <w:adjustRightInd/>
        <w:spacing w:line="440" w:lineRule="exact"/>
        <w:ind w:left="0" w:leftChars="0" w:firstLine="420" w:firstLineChars="200"/>
        <w:jc w:val="left"/>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安全员具备有效安全生产考核合格证书（C类）</w:t>
      </w:r>
      <w:r>
        <w:rPr>
          <w:rFonts w:hint="eastAsia" w:ascii="宋体" w:hAnsi="宋体" w:eastAsia="宋体" w:cs="宋体"/>
          <w:color w:val="000000" w:themeColor="text1"/>
          <w:sz w:val="21"/>
          <w:szCs w:val="21"/>
          <w:highlight w:val="none"/>
          <w14:textFill>
            <w14:solidFill>
              <w14:schemeClr w14:val="tx1"/>
            </w14:solidFill>
          </w14:textFill>
        </w:rPr>
        <w:t>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bCs/>
          <w:color w:val="000000" w:themeColor="text1"/>
          <w:sz w:val="21"/>
          <w:szCs w:val="21"/>
          <w:highlight w:val="none"/>
          <w14:textFill>
            <w14:solidFill>
              <w14:schemeClr w14:val="tx1"/>
            </w14:solidFill>
          </w14:textFill>
        </w:rPr>
        <w:t>（满分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分）</w:t>
      </w:r>
    </w:p>
    <w:p w14:paraId="5FD3681C">
      <w:pPr>
        <w:keepNext w:val="0"/>
        <w:keepLines w:val="0"/>
        <w:pageBreakBefore w:val="0"/>
        <w:widowControl/>
        <w:kinsoku/>
        <w:wordWrap/>
        <w:overflowPunct/>
        <w:topLinePunct w:val="0"/>
        <w:autoSpaceDE/>
        <w:autoSpaceDN/>
        <w:bidi w:val="0"/>
        <w:adjustRightInd/>
        <w:spacing w:line="440" w:lineRule="exact"/>
        <w:ind w:left="0" w:leftChars="0" w:firstLine="420" w:firstLineChars="200"/>
        <w:jc w:val="left"/>
        <w:textAlignment w:val="center"/>
        <w:rPr>
          <w:rFonts w:hint="eastAsia" w:ascii="宋体" w:hAnsi="宋体" w:eastAsia="宋体" w:cs="宋体"/>
          <w:b/>
          <w:bCs/>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1"/>
          <w:szCs w:val="21"/>
          <w:highlight w:val="none"/>
          <w:lang w:bidi="ar"/>
          <w14:textFill>
            <w14:solidFill>
              <w14:schemeClr w14:val="tx1"/>
            </w14:solidFill>
          </w14:textFill>
        </w:rPr>
        <w:t>施工员具备有</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岗位证</w:t>
      </w:r>
      <w:r>
        <w:rPr>
          <w:rFonts w:hint="eastAsia" w:ascii="宋体" w:hAnsi="宋体" w:eastAsia="宋体" w:cs="宋体"/>
          <w:color w:val="000000" w:themeColor="text1"/>
          <w:kern w:val="0"/>
          <w:sz w:val="21"/>
          <w:szCs w:val="21"/>
          <w:highlight w:val="none"/>
          <w:lang w:bidi="ar"/>
          <w14:textFill>
            <w14:solidFill>
              <w14:schemeClr w14:val="tx1"/>
            </w14:solidFill>
          </w14:textFill>
        </w:rPr>
        <w:t>的得</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bidi="ar"/>
          <w14:textFill>
            <w14:solidFill>
              <w14:schemeClr w14:val="tx1"/>
            </w14:solidFill>
          </w14:textFill>
        </w:rPr>
        <w:t>分。</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（满分</w:t>
      </w:r>
      <w:r>
        <w:rPr>
          <w:rFonts w:hint="eastAsia" w:ascii="宋体" w:hAnsi="宋体" w:cs="宋体"/>
          <w:b/>
          <w:bCs/>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分）</w:t>
      </w:r>
    </w:p>
    <w:p w14:paraId="68EA1180">
      <w:pPr>
        <w:keepNext w:val="0"/>
        <w:keepLines w:val="0"/>
        <w:pageBreakBefore w:val="0"/>
        <w:widowControl/>
        <w:kinsoku/>
        <w:wordWrap/>
        <w:overflowPunct/>
        <w:topLinePunct w:val="0"/>
        <w:autoSpaceDE/>
        <w:autoSpaceDN/>
        <w:bidi w:val="0"/>
        <w:adjustRightInd/>
        <w:spacing w:line="440" w:lineRule="exact"/>
        <w:ind w:left="0" w:leftChars="0" w:firstLine="420" w:firstLineChars="200"/>
        <w:jc w:val="left"/>
        <w:textAlignment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质量员</w:t>
      </w:r>
      <w:r>
        <w:rPr>
          <w:rFonts w:hint="eastAsia" w:ascii="宋体" w:hAnsi="宋体" w:eastAsia="宋体" w:cs="宋体"/>
          <w:color w:val="000000" w:themeColor="text1"/>
          <w:sz w:val="21"/>
          <w:szCs w:val="21"/>
          <w:highlight w:val="none"/>
          <w14:textFill>
            <w14:solidFill>
              <w14:schemeClr w14:val="tx1"/>
            </w14:solidFill>
          </w14:textFill>
        </w:rPr>
        <w:t>具</w:t>
      </w:r>
      <w:r>
        <w:rPr>
          <w:rFonts w:hint="eastAsia" w:ascii="宋体" w:hAnsi="宋体" w:eastAsia="宋体" w:cs="宋体"/>
          <w:color w:val="000000" w:themeColor="text1"/>
          <w:kern w:val="0"/>
          <w:sz w:val="21"/>
          <w:szCs w:val="21"/>
          <w:highlight w:val="none"/>
          <w:lang w:bidi="ar"/>
          <w14:textFill>
            <w14:solidFill>
              <w14:schemeClr w14:val="tx1"/>
            </w14:solidFill>
          </w14:textFill>
        </w:rPr>
        <w:t>备</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岗位证</w:t>
      </w:r>
      <w:r>
        <w:rPr>
          <w:rFonts w:hint="eastAsia" w:ascii="宋体" w:hAnsi="宋体" w:eastAsia="宋体" w:cs="宋体"/>
          <w:color w:val="000000" w:themeColor="text1"/>
          <w:sz w:val="21"/>
          <w:szCs w:val="21"/>
          <w:highlight w:val="none"/>
          <w14:textFill>
            <w14:solidFill>
              <w14:schemeClr w14:val="tx1"/>
            </w14:solidFill>
          </w14:textFill>
        </w:rPr>
        <w:t>的得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bCs/>
          <w:color w:val="000000" w:themeColor="text1"/>
          <w:sz w:val="21"/>
          <w:szCs w:val="21"/>
          <w:highlight w:val="none"/>
          <w14:textFill>
            <w14:solidFill>
              <w14:schemeClr w14:val="tx1"/>
            </w14:solidFill>
          </w14:textFill>
        </w:rPr>
        <w:t>（满分</w:t>
      </w:r>
      <w:r>
        <w:rPr>
          <w:rFonts w:hint="eastAsia" w:ascii="宋体" w:hAnsi="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分）</w:t>
      </w:r>
    </w:p>
    <w:p w14:paraId="009EE985">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lang w:eastAsia="zh-CN"/>
          <w14:textFill>
            <w14:solidFill>
              <w14:schemeClr w14:val="tx1"/>
            </w14:solidFill>
          </w14:textFill>
        </w:rPr>
        <w:t>企业信誉实力</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bCs w:val="0"/>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满分</w:t>
      </w:r>
      <w:r>
        <w:rPr>
          <w:rFonts w:hint="eastAsia" w:ascii="宋体" w:hAnsi="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分</w:t>
      </w:r>
    </w:p>
    <w:p w14:paraId="1FC8570E">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right="0" w:rightChars="0" w:firstLine="210" w:firstLineChars="100"/>
        <w:jc w:val="left"/>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供应商2021年1月1日以来</w:t>
      </w:r>
      <w:r>
        <w:rPr>
          <w:rFonts w:hint="eastAsia" w:ascii="宋体" w:hAnsi="宋体" w:eastAsia="宋体" w:cs="宋体"/>
          <w:color w:val="000000" w:themeColor="text1"/>
          <w:sz w:val="21"/>
          <w:szCs w:val="21"/>
          <w:highlight w:val="none"/>
          <w:lang w:val="zh-CN"/>
          <w14:textFill>
            <w14:solidFill>
              <w14:schemeClr w14:val="tx1"/>
            </w14:solidFill>
          </w14:textFill>
        </w:rPr>
        <w:t>承接过</w:t>
      </w:r>
      <w:r>
        <w:rPr>
          <w:rFonts w:hint="eastAsia" w:ascii="宋体" w:hAnsi="宋体" w:cs="宋体"/>
          <w:color w:val="000000" w:themeColor="text1"/>
          <w:sz w:val="21"/>
          <w:szCs w:val="21"/>
          <w:highlight w:val="none"/>
          <w:lang w:val="en-US" w:eastAsia="zh-CN"/>
          <w14:textFill>
            <w14:solidFill>
              <w14:schemeClr w14:val="tx1"/>
            </w14:solidFill>
          </w14:textFill>
        </w:rPr>
        <w:t>综合</w:t>
      </w:r>
      <w:r>
        <w:rPr>
          <w:rFonts w:hint="eastAsia" w:ascii="宋体" w:hAnsi="宋体" w:eastAsia="宋体" w:cs="宋体"/>
          <w:color w:val="000000" w:themeColor="text1"/>
          <w:sz w:val="21"/>
          <w:szCs w:val="21"/>
          <w:highlight w:val="none"/>
          <w:lang w:val="en-US" w:eastAsia="zh-CN"/>
          <w14:textFill>
            <w14:solidFill>
              <w14:schemeClr w14:val="tx1"/>
            </w14:solidFill>
          </w14:textFill>
        </w:rPr>
        <w:t>整治</w:t>
      </w:r>
      <w:r>
        <w:rPr>
          <w:rFonts w:hint="eastAsia" w:ascii="宋体" w:hAnsi="宋体" w:eastAsia="宋体" w:cs="宋体"/>
          <w:color w:val="000000" w:themeColor="text1"/>
          <w:sz w:val="21"/>
          <w:szCs w:val="21"/>
          <w:highlight w:val="none"/>
          <w:lang w:val="zh-CN"/>
          <w14:textFill>
            <w14:solidFill>
              <w14:schemeClr w14:val="tx1"/>
            </w14:solidFill>
          </w14:textFill>
        </w:rPr>
        <w:t>类（含</w:t>
      </w:r>
      <w:r>
        <w:rPr>
          <w:rFonts w:hint="eastAsia" w:ascii="宋体" w:hAnsi="宋体" w:cs="宋体"/>
          <w:color w:val="000000" w:themeColor="text1"/>
          <w:sz w:val="21"/>
          <w:szCs w:val="21"/>
          <w:highlight w:val="none"/>
          <w:lang w:val="en-US" w:eastAsia="zh-CN"/>
          <w14:textFill>
            <w14:solidFill>
              <w14:schemeClr w14:val="tx1"/>
            </w14:solidFill>
          </w14:textFill>
        </w:rPr>
        <w:t>水土保持综合治理及河道整治、</w:t>
      </w:r>
      <w:r>
        <w:rPr>
          <w:rFonts w:hint="eastAsia" w:ascii="宋体" w:hAnsi="宋体" w:eastAsia="宋体" w:cs="宋体"/>
          <w:color w:val="000000" w:themeColor="text1"/>
          <w:sz w:val="21"/>
          <w:szCs w:val="21"/>
          <w:highlight w:val="none"/>
          <w:lang w:val="zh-CN"/>
          <w14:textFill>
            <w14:solidFill>
              <w14:schemeClr w14:val="tx1"/>
            </w14:solidFill>
          </w14:textFill>
        </w:rPr>
        <w:t>高标准农田建设</w:t>
      </w:r>
      <w:r>
        <w:rPr>
          <w:rFonts w:hint="eastAsia" w:ascii="宋体" w:hAnsi="宋体" w:cs="宋体"/>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sz w:val="21"/>
          <w:szCs w:val="21"/>
          <w:highlight w:val="none"/>
          <w:lang w:val="zh-CN"/>
          <w14:textFill>
            <w14:solidFill>
              <w14:schemeClr w14:val="tx1"/>
            </w14:solidFill>
          </w14:textFill>
        </w:rPr>
        <w:t>）项目的</w:t>
      </w:r>
      <w:r>
        <w:rPr>
          <w:rFonts w:hint="eastAsia" w:ascii="宋体" w:hAnsi="宋体" w:eastAsia="宋体" w:cs="宋体"/>
          <w:color w:val="000000" w:themeColor="text1"/>
          <w:sz w:val="21"/>
          <w:szCs w:val="21"/>
          <w:highlight w:val="none"/>
          <w14:textFill>
            <w14:solidFill>
              <w14:schemeClr w14:val="tx1"/>
            </w14:solidFill>
          </w14:textFill>
        </w:rPr>
        <w:t>的业绩</w:t>
      </w:r>
      <w:r>
        <w:rPr>
          <w:rFonts w:hint="eastAsia" w:ascii="宋体" w:hAnsi="宋体" w:eastAsia="宋体" w:cs="宋体"/>
          <w:color w:val="000000" w:themeColor="text1"/>
          <w:sz w:val="21"/>
          <w:szCs w:val="21"/>
          <w:highlight w:val="none"/>
          <w:lang w:eastAsia="zh-CN"/>
          <w14:textFill>
            <w14:solidFill>
              <w14:schemeClr w14:val="tx1"/>
            </w14:solidFill>
          </w14:textFill>
        </w:rPr>
        <w:t>，每提供一个得</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分，满分</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color w:val="000000" w:themeColor="text1"/>
          <w:sz w:val="21"/>
          <w:szCs w:val="21"/>
          <w:highlight w:val="none"/>
          <w:lang w:val="zh-CN"/>
          <w14:textFill>
            <w14:solidFill>
              <w14:schemeClr w14:val="tx1"/>
            </w14:solidFill>
          </w14:textFill>
        </w:rPr>
        <w:t>（类似工程应附中标通知书或合同协议书扫描件，以上扫描件均须加盖投标单位公章投标人公章 (CA 签章）</w:t>
      </w:r>
    </w:p>
    <w:p w14:paraId="7C53291F">
      <w:pPr>
        <w:pStyle w:val="31"/>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cs="宋体"/>
          <w:b/>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color w:val="000000" w:themeColor="text1"/>
          <w:sz w:val="21"/>
          <w:szCs w:val="21"/>
          <w:highlight w:val="none"/>
          <w:lang w:val="en-US" w:eastAsia="zh-CN"/>
          <w14:textFill>
            <w14:solidFill>
              <w14:schemeClr w14:val="tx1"/>
            </w14:solidFill>
          </w14:textFill>
        </w:rPr>
        <w:t>.综合得分＝1+2+3+4</w:t>
      </w:r>
    </w:p>
    <w:p w14:paraId="116DD8CB">
      <w:pPr>
        <w:keepNext w:val="0"/>
        <w:keepLines w:val="0"/>
        <w:pageBreakBefore w:val="0"/>
        <w:widowControl w:val="0"/>
        <w:tabs>
          <w:tab w:val="left" w:pos="1305"/>
        </w:tabs>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color w:val="000000" w:themeColor="text1"/>
          <w:sz w:val="21"/>
          <w:szCs w:val="21"/>
          <w:highlight w:val="none"/>
          <w14:textFill>
            <w14:solidFill>
              <w14:schemeClr w14:val="tx1"/>
            </w14:solidFill>
          </w14:textFill>
        </w:rPr>
        <w:t>推荐成交候选人原则</w:t>
      </w:r>
    </w:p>
    <w:p w14:paraId="599E2D57">
      <w:pPr>
        <w:keepNext w:val="0"/>
        <w:keepLines w:val="0"/>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w:t>
      </w:r>
      <w:r>
        <w:rPr>
          <w:rFonts w:hint="eastAsia" w:ascii="宋体" w:hAnsi="宋体" w:eastAsia="宋体" w:cs="宋体"/>
          <w:color w:val="000000" w:themeColor="text1"/>
          <w:sz w:val="21"/>
          <w:szCs w:val="21"/>
          <w:highlight w:val="none"/>
          <w:lang w:val="en-US" w:eastAsia="zh-CN"/>
          <w14:textFill>
            <w14:solidFill>
              <w14:schemeClr w14:val="tx1"/>
            </w14:solidFill>
          </w14:textFill>
        </w:rPr>
        <w:t>企业信誉实力</w:t>
      </w:r>
      <w:r>
        <w:rPr>
          <w:rFonts w:hint="eastAsia" w:ascii="宋体" w:hAnsi="宋体" w:eastAsia="宋体" w:cs="宋体"/>
          <w:color w:val="000000" w:themeColor="text1"/>
          <w:sz w:val="21"/>
          <w:szCs w:val="21"/>
          <w:highlight w:val="none"/>
          <w14:textFill>
            <w14:solidFill>
              <w14:schemeClr w14:val="tx1"/>
            </w14:solidFill>
          </w14:textFill>
        </w:rPr>
        <w:t>分由高到低顺序排列并推荐成交候选供应商。</w:t>
      </w:r>
    </w:p>
    <w:p w14:paraId="119380ED">
      <w:pPr>
        <w:keepNext w:val="0"/>
        <w:keepLines w:val="0"/>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（2）采购人应当确定磋商小组推荐排名第一的成交候选供应商为成交供应商。</w:t>
      </w:r>
    </w:p>
    <w:p w14:paraId="586DCFEB">
      <w:pPr>
        <w:keepNext w:val="0"/>
        <w:keepLines w:val="0"/>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（3）排名第一的成交候选供应商放弃成交、因不可抗力提出不能履行合同，采购人可以按照评审报告推荐的成交候选供应商名单排序，确定下一候选供应商为成交供应商，也可以重新开展政府采购活动。</w:t>
      </w:r>
    </w:p>
    <w:p w14:paraId="06475CEF">
      <w:pPr>
        <w:keepNext w:val="0"/>
        <w:keepLines w:val="0"/>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507C2D33">
      <w:pPr>
        <w:pStyle w:val="2"/>
        <w:rPr>
          <w:rFonts w:hint="eastAsia" w:ascii="宋体" w:hAnsi="宋体" w:eastAsia="宋体" w:cs="宋体"/>
          <w:color w:val="000000" w:themeColor="text1"/>
          <w:sz w:val="24"/>
          <w:szCs w:val="24"/>
          <w:highlight w:val="none"/>
          <w14:textFill>
            <w14:solidFill>
              <w14:schemeClr w14:val="tx1"/>
            </w14:solidFill>
          </w14:textFill>
        </w:rPr>
      </w:pPr>
      <w:bookmarkStart w:id="141" w:name="_Toc8466"/>
      <w:bookmarkStart w:id="142" w:name="_Toc4774"/>
    </w:p>
    <w:p w14:paraId="1E125074">
      <w:pPr>
        <w:pStyle w:val="2"/>
        <w:rPr>
          <w:rFonts w:hint="eastAsia"/>
          <w:color w:val="000000" w:themeColor="text1"/>
          <w:highlight w:val="none"/>
          <w14:textFill>
            <w14:solidFill>
              <w14:schemeClr w14:val="tx1"/>
            </w14:solidFill>
          </w14:textFill>
        </w:rPr>
      </w:pPr>
    </w:p>
    <w:p w14:paraId="1A55CFF8">
      <w:pPr>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143" w:name="_Toc25717"/>
      <w:bookmarkStart w:id="144" w:name="_Toc30114"/>
      <w:r>
        <w:rPr>
          <w:rFonts w:hint="eastAsia" w:ascii="宋体" w:hAnsi="宋体" w:eastAsia="宋体" w:cs="宋体"/>
          <w:color w:val="000000" w:themeColor="text1"/>
          <w:sz w:val="24"/>
          <w:szCs w:val="24"/>
          <w:highlight w:val="none"/>
          <w:lang w:eastAsia="zh-CN"/>
          <w14:textFill>
            <w14:solidFill>
              <w14:schemeClr w14:val="tx1"/>
            </w14:solidFill>
          </w14:textFill>
        </w:rPr>
        <w:br w:type="page"/>
      </w:r>
    </w:p>
    <w:p w14:paraId="50F6B6B4">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第五章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采购合同（合同主要条款及格式）</w:t>
      </w:r>
      <w:bookmarkEnd w:id="141"/>
      <w:bookmarkEnd w:id="142"/>
      <w:bookmarkEnd w:id="143"/>
      <w:bookmarkEnd w:id="144"/>
    </w:p>
    <w:p w14:paraId="6104652E">
      <w:pPr>
        <w:pStyle w:val="32"/>
        <w:keepNext/>
        <w:keepLines/>
        <w:pageBreakBefore w:val="0"/>
        <w:widowControl w:val="0"/>
        <w:numPr>
          <w:ilvl w:val="0"/>
          <w:numId w:val="0"/>
        </w:numPr>
        <w:kinsoku/>
        <w:wordWrap/>
        <w:overflowPunct/>
        <w:topLinePunct w:val="0"/>
        <w:bidi w:val="0"/>
        <w:snapToGrid/>
        <w:spacing w:line="400" w:lineRule="exact"/>
        <w:jc w:val="center"/>
        <w:textAlignment w:val="auto"/>
        <w:rPr>
          <w:rFonts w:ascii="宋体"/>
          <w:color w:val="000000" w:themeColor="text1"/>
          <w:sz w:val="24"/>
          <w:szCs w:val="24"/>
          <w:highlight w:val="none"/>
          <w14:textFill>
            <w14:solidFill>
              <w14:schemeClr w14:val="tx1"/>
            </w14:solidFill>
          </w14:textFill>
        </w:rPr>
      </w:pPr>
      <w:bookmarkStart w:id="145" w:name="_Toc16044"/>
      <w:bookmarkStart w:id="146" w:name="_Toc256000031"/>
      <w:bookmarkStart w:id="147" w:name="_Toc522201558"/>
      <w:bookmarkStart w:id="148" w:name="_Toc24269"/>
      <w:bookmarkStart w:id="149" w:name="_Toc10014"/>
      <w:r>
        <w:rPr>
          <w:rFonts w:hint="eastAsia" w:ascii="宋体" w:hAnsi="宋体" w:eastAsia="宋体" w:cs="Times New Roman"/>
          <w:b/>
          <w:bCs/>
          <w:color w:val="000000" w:themeColor="text1"/>
          <w:kern w:val="44"/>
          <w:sz w:val="24"/>
          <w:szCs w:val="24"/>
          <w:highlight w:val="none"/>
          <w:lang w:val="en-US" w:eastAsia="zh-CN" w:bidi="ar-SA"/>
          <w14:textFill>
            <w14:solidFill>
              <w14:schemeClr w14:val="tx1"/>
            </w14:solidFill>
          </w14:textFill>
        </w:rPr>
        <w:t>第一部分</w:t>
      </w:r>
      <w:r>
        <w:rPr>
          <w:rFonts w:hint="eastAsia" w:ascii="宋体" w:cs="Times New Roman"/>
          <w:b/>
          <w:bCs/>
          <w:color w:val="000000" w:themeColor="text1"/>
          <w:kern w:val="44"/>
          <w:sz w:val="24"/>
          <w:szCs w:val="24"/>
          <w:highlight w:val="none"/>
          <w:lang w:val="en-US" w:eastAsia="zh-CN" w:bidi="ar-SA"/>
          <w14:textFill>
            <w14:solidFill>
              <w14:schemeClr w14:val="tx1"/>
            </w14:solidFill>
          </w14:textFill>
        </w:rPr>
        <w:t xml:space="preserve"> </w:t>
      </w:r>
      <w:r>
        <w:rPr>
          <w:rFonts w:ascii="宋体"/>
          <w:color w:val="000000" w:themeColor="text1"/>
          <w:sz w:val="24"/>
          <w:szCs w:val="24"/>
          <w:highlight w:val="none"/>
          <w14:textFill>
            <w14:solidFill>
              <w14:schemeClr w14:val="tx1"/>
            </w14:solidFill>
          </w14:textFill>
        </w:rPr>
        <w:t>合同协议书</w:t>
      </w:r>
      <w:bookmarkEnd w:id="145"/>
      <w:bookmarkEnd w:id="146"/>
      <w:bookmarkEnd w:id="147"/>
    </w:p>
    <w:p w14:paraId="79E6D885">
      <w:pPr>
        <w:pStyle w:val="36"/>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发包人（全称）：</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桂林市临桂区自然资源局</w:t>
      </w:r>
      <w:r>
        <w:rPr>
          <w:rFonts w:hint="eastAsia" w:ascii="宋体" w:hAnsi="宋体" w:eastAsia="宋体" w:cs="宋体"/>
          <w:color w:val="000000" w:themeColor="text1"/>
          <w:spacing w:val="-4"/>
          <w:sz w:val="21"/>
          <w:szCs w:val="21"/>
          <w:highlight w:val="none"/>
          <w:u w:val="single"/>
          <w14:textFill>
            <w14:solidFill>
              <w14:schemeClr w14:val="tx1"/>
            </w14:solidFill>
          </w14:textFill>
        </w:rPr>
        <w:t>(简称“甲方”)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62AB600C">
      <w:pPr>
        <w:pStyle w:val="36"/>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承包人（全称）：</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u w:val="single"/>
          <w14:textFill>
            <w14:solidFill>
              <w14:schemeClr w14:val="tx1"/>
            </w14:solidFill>
          </w14:textFill>
        </w:rPr>
        <w:t>(简称“</w:t>
      </w:r>
      <w:r>
        <w:rPr>
          <w:rFonts w:hint="eastAsia" w:ascii="宋体" w:hAnsi="宋体" w:eastAsia="宋体" w:cs="宋体"/>
          <w:color w:val="000000" w:themeColor="text1"/>
          <w:spacing w:val="-4"/>
          <w:sz w:val="21"/>
          <w:szCs w:val="21"/>
          <w:highlight w:val="none"/>
          <w:u w:val="single"/>
          <w:lang w:eastAsia="zh-CN"/>
          <w14:textFill>
            <w14:solidFill>
              <w14:schemeClr w14:val="tx1"/>
            </w14:solidFill>
          </w14:textFill>
        </w:rPr>
        <w:t>乙</w:t>
      </w:r>
      <w:r>
        <w:rPr>
          <w:rFonts w:hint="eastAsia" w:ascii="宋体" w:hAnsi="宋体" w:eastAsia="宋体" w:cs="宋体"/>
          <w:color w:val="000000" w:themeColor="text1"/>
          <w:spacing w:val="-4"/>
          <w:sz w:val="21"/>
          <w:szCs w:val="21"/>
          <w:highlight w:val="none"/>
          <w:u w:val="single"/>
          <w14:textFill>
            <w14:solidFill>
              <w14:schemeClr w14:val="tx1"/>
            </w14:solidFill>
          </w14:textFill>
        </w:rPr>
        <w:t>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2276FDE3">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根据《中华人民共和国</w:t>
      </w:r>
      <w:r>
        <w:rPr>
          <w:rFonts w:hint="eastAsia" w:ascii="宋体" w:hAnsi="宋体" w:eastAsia="宋体" w:cs="宋体"/>
          <w:color w:val="000000" w:themeColor="text1"/>
          <w:sz w:val="21"/>
          <w:szCs w:val="21"/>
          <w:highlight w:val="none"/>
          <w:lang w:eastAsia="zh-CN"/>
          <w14:textFill>
            <w14:solidFill>
              <w14:schemeClr w14:val="tx1"/>
            </w14:solidFill>
          </w14:textFill>
        </w:rPr>
        <w:t>民法典</w:t>
      </w:r>
      <w:r>
        <w:rPr>
          <w:rFonts w:hint="eastAsia" w:ascii="宋体" w:hAnsi="宋体" w:eastAsia="宋体" w:cs="宋体"/>
          <w:color w:val="000000" w:themeColor="text1"/>
          <w:sz w:val="21"/>
          <w:szCs w:val="21"/>
          <w:highlight w:val="none"/>
          <w14:textFill>
            <w14:solidFill>
              <w14:schemeClr w14:val="tx1"/>
            </w14:solidFill>
          </w14:textFill>
        </w:rPr>
        <w:t>》、《中华人民共和国建筑法》及有关法律规定，遵循平等、自愿、公平和诚实信用的原则，双方就</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桂林市临桂区五通镇仁和村等5个村全域土地综合整治项目土地综合整治子项目二期</w:t>
      </w:r>
      <w:r>
        <w:rPr>
          <w:rFonts w:hint="eastAsia" w:ascii="宋体" w:hAnsi="宋体" w:eastAsia="宋体" w:cs="宋体"/>
          <w:color w:val="000000" w:themeColor="text1"/>
          <w:sz w:val="21"/>
          <w:szCs w:val="21"/>
          <w:highlight w:val="none"/>
          <w:lang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施工及有关事项协商一致，共同达成如下协议：</w:t>
      </w:r>
      <w:bookmarkStart w:id="150" w:name="_Toc351203481"/>
    </w:p>
    <w:bookmarkEnd w:id="150"/>
    <w:p w14:paraId="7CDBC37F">
      <w:pPr>
        <w:pageBreakBefore w:val="0"/>
        <w:kinsoku/>
        <w:wordWrap/>
        <w:overflowPunct/>
        <w:topLinePunct w:val="0"/>
        <w:autoSpaceDE/>
        <w:autoSpaceDN/>
        <w:bidi w:val="0"/>
        <w:spacing w:before="0" w:line="440" w:lineRule="exact"/>
        <w:ind w:left="0" w:right="0" w:firstLine="404"/>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一、工程概况</w:t>
      </w:r>
    </w:p>
    <w:p w14:paraId="37EB05D0">
      <w:pPr>
        <w:pageBreakBefore w:val="0"/>
        <w:kinsoku/>
        <w:wordWrap/>
        <w:overflowPunct/>
        <w:topLinePunct w:val="0"/>
        <w:autoSpaceDE/>
        <w:autoSpaceDN/>
        <w:bidi w:val="0"/>
        <w:spacing w:line="440" w:lineRule="exact"/>
        <w:ind w:left="0" w:firstLine="476" w:firstLineChars="200"/>
        <w:textAlignment w:val="auto"/>
        <w:rPr>
          <w:rFonts w:hint="eastAsia" w:ascii="宋体" w:hAnsi="宋体" w:eastAsia="宋体" w:cs="宋体"/>
          <w:color w:val="000000" w:themeColor="text1"/>
          <w:spacing w:val="-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pacing w:val="14"/>
          <w:sz w:val="21"/>
          <w:szCs w:val="21"/>
          <w:highlight w:val="none"/>
          <w14:textFill>
            <w14:solidFill>
              <w14:schemeClr w14:val="tx1"/>
            </w14:solidFill>
          </w14:textFill>
        </w:rPr>
        <w:t>工</w:t>
      </w:r>
      <w:r>
        <w:rPr>
          <w:rFonts w:hint="eastAsia" w:ascii="宋体" w:hAnsi="宋体" w:eastAsia="宋体" w:cs="宋体"/>
          <w:color w:val="000000" w:themeColor="text1"/>
          <w:spacing w:val="13"/>
          <w:sz w:val="21"/>
          <w:szCs w:val="21"/>
          <w:highlight w:val="none"/>
          <w14:textFill>
            <w14:solidFill>
              <w14:schemeClr w14:val="tx1"/>
            </w14:solidFill>
          </w14:textFill>
        </w:rPr>
        <w:t>程名称：</w:t>
      </w:r>
      <w:r>
        <w:rPr>
          <w:rFonts w:hint="eastAsia" w:ascii="宋体" w:hAnsi="宋体" w:eastAsia="宋体" w:cs="宋体"/>
          <w:color w:val="000000" w:themeColor="text1"/>
          <w:spacing w:val="-1"/>
          <w:sz w:val="21"/>
          <w:szCs w:val="21"/>
          <w:highlight w:val="none"/>
          <w:u w:val="single"/>
          <w:lang w:eastAsia="zh-CN"/>
          <w14:textFill>
            <w14:solidFill>
              <w14:schemeClr w14:val="tx1"/>
            </w14:solidFill>
          </w14:textFill>
        </w:rPr>
        <w:t xml:space="preserve"> 桂林市临桂区五通镇仁和村等5个村全域土地综合整治项目土地综合整治子项目二期</w:t>
      </w:r>
    </w:p>
    <w:p w14:paraId="3081DAD0">
      <w:pPr>
        <w:pageBreakBefore w:val="0"/>
        <w:kinsoku/>
        <w:wordWrap/>
        <w:overflowPunct/>
        <w:topLinePunct w:val="0"/>
        <w:autoSpaceDE/>
        <w:autoSpaceDN/>
        <w:bidi w:val="0"/>
        <w:spacing w:before="0" w:line="440" w:lineRule="exact"/>
        <w:ind w:left="0" w:firstLine="476"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4"/>
          <w:sz w:val="21"/>
          <w:szCs w:val="21"/>
          <w:highlight w:val="none"/>
          <w14:textFill>
            <w14:solidFill>
              <w14:schemeClr w14:val="tx1"/>
            </w14:solidFill>
          </w14:textFill>
        </w:rPr>
        <w:t>工</w:t>
      </w:r>
      <w:r>
        <w:rPr>
          <w:rFonts w:hint="eastAsia" w:ascii="宋体" w:hAnsi="宋体" w:eastAsia="宋体" w:cs="宋体"/>
          <w:color w:val="000000" w:themeColor="text1"/>
          <w:spacing w:val="13"/>
          <w:sz w:val="21"/>
          <w:szCs w:val="21"/>
          <w:highlight w:val="none"/>
          <w14:textFill>
            <w14:solidFill>
              <w14:schemeClr w14:val="tx1"/>
            </w14:solidFill>
          </w14:textFill>
        </w:rPr>
        <w:t>程地点：</w:t>
      </w:r>
      <w:r>
        <w:rPr>
          <w:rFonts w:hint="eastAsia" w:ascii="宋体" w:hAnsi="宋体" w:eastAsia="宋体" w:cs="宋体"/>
          <w:color w:val="000000" w:themeColor="text1"/>
          <w:spacing w:val="-1"/>
          <w:sz w:val="21"/>
          <w:szCs w:val="21"/>
          <w:highlight w:val="none"/>
          <w:u w:val="single"/>
          <w:lang w:eastAsia="zh-CN"/>
          <w14:textFill>
            <w14:solidFill>
              <w14:schemeClr w14:val="tx1"/>
            </w14:solidFill>
          </w14:textFill>
        </w:rPr>
        <w:t xml:space="preserve"> 桂林市临桂区五通镇</w:t>
      </w:r>
      <w:r>
        <w:rPr>
          <w:rFonts w:hint="eastAsia" w:ascii="宋体" w:hAnsi="宋体" w:eastAsia="宋体" w:cs="宋体"/>
          <w:color w:val="000000" w:themeColor="text1"/>
          <w:spacing w:val="-1"/>
          <w:sz w:val="21"/>
          <w:szCs w:val="21"/>
          <w:highlight w:val="none"/>
          <w:u w:val="single"/>
          <w:lang w:val="en-US" w:eastAsia="zh-CN"/>
          <w14:textFill>
            <w14:solidFill>
              <w14:schemeClr w14:val="tx1"/>
            </w14:solidFill>
          </w14:textFill>
        </w:rPr>
        <w:t xml:space="preserve">   </w:t>
      </w:r>
    </w:p>
    <w:p w14:paraId="3F2FFEB4">
      <w:pPr>
        <w:pageBreakBefore w:val="0"/>
        <w:kinsoku/>
        <w:wordWrap/>
        <w:overflowPunct/>
        <w:topLinePunct w:val="0"/>
        <w:autoSpaceDE/>
        <w:autoSpaceDN/>
        <w:bidi w:val="0"/>
        <w:spacing w:before="0" w:line="440" w:lineRule="exact"/>
        <w:ind w:left="0" w:firstLine="416"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建设规模</w:t>
      </w:r>
      <w:r>
        <w:rPr>
          <w:rFonts w:hint="eastAsia" w:ascii="宋体" w:hAnsi="宋体" w:eastAsia="宋体" w:cs="宋体"/>
          <w:color w:val="000000" w:themeColor="text1"/>
          <w:spacing w:val="-1"/>
          <w:sz w:val="21"/>
          <w:szCs w:val="21"/>
          <w:highlight w:val="none"/>
          <w:u w:val="none"/>
          <w14:textFill>
            <w14:solidFill>
              <w14:schemeClr w14:val="tx1"/>
            </w14:solidFill>
          </w14:textFill>
        </w:rPr>
        <w:t>：</w:t>
      </w:r>
      <w:r>
        <w:rPr>
          <w:rFonts w:hint="eastAsia" w:ascii="宋体" w:hAnsi="宋体" w:eastAsia="宋体" w:cs="宋体"/>
          <w:color w:val="000000" w:themeColor="text1"/>
          <w:spacing w:val="-1"/>
          <w:sz w:val="21"/>
          <w:szCs w:val="21"/>
          <w:highlight w:val="none"/>
          <w:u w:val="single"/>
          <w:lang w:val="en-US" w:eastAsia="zh-CN"/>
          <w14:textFill>
            <w14:solidFill>
              <w14:schemeClr w14:val="tx1"/>
            </w14:solidFill>
          </w14:textFill>
        </w:rPr>
        <w:t>项目实施面积7.8221公顷，新增旱地面积7.0492 公顷，新增耕地率90.12%</w:t>
      </w:r>
      <w:r>
        <w:rPr>
          <w:rFonts w:hint="eastAsia" w:ascii="宋体" w:hAnsi="宋体" w:eastAsia="宋体" w:cs="宋体"/>
          <w:color w:val="000000" w:themeColor="text1"/>
          <w:sz w:val="21"/>
          <w:szCs w:val="21"/>
          <w:highlight w:val="none"/>
          <w14:textFill>
            <w14:solidFill>
              <w14:schemeClr w14:val="tx1"/>
            </w14:solidFill>
          </w14:textFill>
        </w:rPr>
        <w:t>；</w:t>
      </w:r>
    </w:p>
    <w:p w14:paraId="1C518688">
      <w:pPr>
        <w:pageBreakBefore w:val="0"/>
        <w:kinsoku/>
        <w:wordWrap/>
        <w:overflowPunct/>
        <w:topLinePunct w:val="0"/>
        <w:autoSpaceDE/>
        <w:autoSpaceDN/>
        <w:bidi w:val="0"/>
        <w:spacing w:before="0" w:line="440" w:lineRule="exact"/>
        <w:ind w:left="0" w:firstLine="40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项</w:t>
      </w:r>
      <w:r>
        <w:rPr>
          <w:rFonts w:hint="eastAsia" w:ascii="宋体" w:hAnsi="宋体" w:eastAsia="宋体" w:cs="宋体"/>
          <w:color w:val="000000" w:themeColor="text1"/>
          <w:spacing w:val="-2"/>
          <w:sz w:val="21"/>
          <w:szCs w:val="21"/>
          <w:highlight w:val="none"/>
          <w14:textFill>
            <w14:solidFill>
              <w14:schemeClr w14:val="tx1"/>
            </w14:solidFill>
          </w14:textFill>
        </w:rPr>
        <w:t>目性质：</w:t>
      </w:r>
      <w:r>
        <w:rPr>
          <w:rFonts w:hint="eastAsia" w:ascii="宋体" w:hAnsi="宋体" w:eastAsia="宋体" w:cs="宋体"/>
          <w:color w:val="000000" w:themeColor="text1"/>
          <w:spacing w:val="-2"/>
          <w:sz w:val="21"/>
          <w:szCs w:val="21"/>
          <w:highlight w:val="none"/>
          <w:u w:val="single"/>
          <w:lang w:eastAsia="zh-CN"/>
          <w14:textFill>
            <w14:solidFill>
              <w14:schemeClr w14:val="tx1"/>
            </w14:solidFill>
          </w14:textFill>
        </w:rPr>
        <w:t>土</w:t>
      </w:r>
      <w:r>
        <w:rPr>
          <w:rFonts w:hint="eastAsia" w:ascii="宋体" w:hAnsi="宋体" w:eastAsia="宋体" w:cs="宋体"/>
          <w:color w:val="000000" w:themeColor="text1"/>
          <w:spacing w:val="-2"/>
          <w:sz w:val="21"/>
          <w:szCs w:val="21"/>
          <w:highlight w:val="none"/>
          <w:u w:val="single"/>
          <w14:textFill>
            <w14:solidFill>
              <w14:schemeClr w14:val="tx1"/>
            </w14:solidFill>
          </w14:textFill>
        </w:rPr>
        <w:t>地整治项目</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3FA6AB80">
      <w:pPr>
        <w:pageBreakBefore w:val="0"/>
        <w:kinsoku/>
        <w:wordWrap/>
        <w:overflowPunct/>
        <w:topLinePunct w:val="0"/>
        <w:autoSpaceDE/>
        <w:autoSpaceDN/>
        <w:bidi w:val="0"/>
        <w:spacing w:before="0" w:line="440" w:lineRule="exact"/>
        <w:ind w:left="0" w:firstLine="416"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项目立项批准文号：</w:t>
      </w:r>
      <w:r>
        <w:rPr>
          <w:rFonts w:hint="eastAsia" w:ascii="宋体" w:hAnsi="宋体" w:cs="宋体"/>
          <w:color w:val="000000" w:themeColor="text1"/>
          <w:spacing w:val="-1"/>
          <w:sz w:val="21"/>
          <w:szCs w:val="21"/>
          <w:highlight w:val="none"/>
          <w:u w:val="single"/>
          <w:lang w:eastAsia="zh-CN"/>
          <w14:textFill>
            <w14:solidFill>
              <w14:schemeClr w14:val="tx1"/>
            </w14:solidFill>
          </w14:textFill>
        </w:rPr>
        <w:t>市自然资综</w:t>
      </w:r>
      <w:r>
        <w:rPr>
          <w:rFonts w:hint="eastAsia" w:ascii="仿宋_GB2312" w:hAnsi="仿宋_GB2312" w:eastAsia="仿宋_GB2312" w:cs="仿宋_GB2312"/>
          <w:color w:val="000000" w:themeColor="text1"/>
          <w:spacing w:val="-1"/>
          <w:sz w:val="21"/>
          <w:szCs w:val="2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pacing w:val="-1"/>
          <w:sz w:val="21"/>
          <w:szCs w:val="21"/>
          <w:highlight w:val="none"/>
          <w:u w:val="single"/>
          <w:lang w:val="en-US" w:eastAsia="zh-CN"/>
          <w14:textFill>
            <w14:solidFill>
              <w14:schemeClr w14:val="tx1"/>
            </w14:solidFill>
          </w14:textFill>
        </w:rPr>
        <w:t>2023</w:t>
      </w:r>
      <w:r>
        <w:rPr>
          <w:rFonts w:hint="eastAsia" w:ascii="仿宋_GB2312" w:hAnsi="仿宋_GB2312" w:eastAsia="仿宋_GB2312" w:cs="仿宋_GB2312"/>
          <w:color w:val="000000" w:themeColor="text1"/>
          <w:spacing w:val="-1"/>
          <w:sz w:val="21"/>
          <w:szCs w:val="2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pacing w:val="-1"/>
          <w:sz w:val="21"/>
          <w:szCs w:val="21"/>
          <w:highlight w:val="none"/>
          <w:u w:val="single"/>
          <w:lang w:val="en-US" w:eastAsia="zh-CN"/>
          <w14:textFill>
            <w14:solidFill>
              <w14:schemeClr w14:val="tx1"/>
            </w14:solidFill>
          </w14:textFill>
        </w:rPr>
        <w:t>507</w:t>
      </w:r>
      <w:r>
        <w:rPr>
          <w:rFonts w:hint="eastAsia" w:ascii="微软雅黑" w:hAnsi="微软雅黑" w:eastAsia="微软雅黑" w:cs="微软雅黑"/>
          <w:color w:val="000000" w:themeColor="text1"/>
          <w:spacing w:val="-1"/>
          <w:sz w:val="21"/>
          <w:szCs w:val="21"/>
          <w:highlight w:val="none"/>
          <w:u w:val="single"/>
          <w:lang w:val="en-US" w:eastAsia="zh-CN"/>
          <w14:textFill>
            <w14:solidFill>
              <w14:schemeClr w14:val="tx1"/>
            </w14:solidFill>
          </w14:textFill>
        </w:rPr>
        <w:t>号</w:t>
      </w:r>
      <w:r>
        <w:rPr>
          <w:rFonts w:hint="eastAsia" w:ascii="宋体" w:hAnsi="宋体" w:eastAsia="宋体" w:cs="宋体"/>
          <w:color w:val="000000" w:themeColor="text1"/>
          <w:sz w:val="21"/>
          <w:szCs w:val="21"/>
          <w:highlight w:val="none"/>
          <w14:textFill>
            <w14:solidFill>
              <w14:schemeClr w14:val="tx1"/>
            </w14:solidFill>
          </w14:textFill>
        </w:rPr>
        <w:t>；</w:t>
      </w:r>
    </w:p>
    <w:p w14:paraId="14855EBD">
      <w:pPr>
        <w:pageBreakBefore w:val="0"/>
        <w:kinsoku/>
        <w:wordWrap/>
        <w:overflowPunct/>
        <w:topLinePunct w:val="0"/>
        <w:autoSpaceDE/>
        <w:autoSpaceDN/>
        <w:bidi w:val="0"/>
        <w:spacing w:before="0" w:line="440" w:lineRule="exact"/>
        <w:ind w:left="0" w:firstLine="41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资金来源：</w:t>
      </w:r>
      <w:r>
        <w:rPr>
          <w:rFonts w:hint="eastAsia" w:ascii="宋体" w:hAnsi="宋体" w:eastAsia="宋体" w:cs="宋体"/>
          <w:color w:val="000000" w:themeColor="text1"/>
          <w:spacing w:val="-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财政资金</w:t>
      </w:r>
      <w:r>
        <w:rPr>
          <w:rFonts w:hint="eastAsia" w:ascii="宋体" w:hAnsi="宋体" w:eastAsia="宋体" w:cs="宋体"/>
          <w:color w:val="000000" w:themeColor="text1"/>
          <w:spacing w:val="-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2DEAA6BC">
      <w:pPr>
        <w:keepNext w:val="0"/>
        <w:keepLines w:val="0"/>
        <w:pageBreakBefore w:val="0"/>
        <w:kinsoku/>
        <w:wordWrap/>
        <w:overflowPunct/>
        <w:topLinePunct w:val="0"/>
        <w:autoSpaceDE/>
        <w:autoSpaceDN/>
        <w:bidi w:val="0"/>
        <w:snapToGrid/>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承包范围：</w:t>
      </w:r>
      <w:r>
        <w:rPr>
          <w:rFonts w:hint="eastAsia" w:ascii="宋体" w:hAnsi="宋体" w:cs="宋体"/>
          <w:color w:val="000000" w:themeColor="text1"/>
          <w:spacing w:val="0"/>
          <w:kern w:val="0"/>
          <w:sz w:val="21"/>
          <w:szCs w:val="21"/>
          <w:highlight w:val="none"/>
          <w:lang w:eastAsia="zh-CN"/>
          <w14:textFill>
            <w14:solidFill>
              <w14:schemeClr w14:val="tx1"/>
            </w14:solidFill>
          </w14:textFill>
        </w:rPr>
        <w:t>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分为</w:t>
      </w:r>
      <w:r>
        <w:rPr>
          <w:rFonts w:hint="eastAsia" w:ascii="宋体" w:hAnsi="宋体" w:cs="宋体"/>
          <w:color w:val="000000" w:themeColor="text1"/>
          <w:sz w:val="21"/>
          <w:szCs w:val="21"/>
          <w:highlight w:val="none"/>
          <w:lang w:val="en-US" w:eastAsia="zh-CN"/>
          <w14:textFill>
            <w14:solidFill>
              <w14:schemeClr w14:val="tx1"/>
            </w14:solidFill>
          </w14:textFill>
        </w:rPr>
        <w:t>A区（北片）、B区（南片）两个片区</w:t>
      </w:r>
      <w:r>
        <w:rPr>
          <w:rFonts w:hint="eastAsia" w:ascii="宋体" w:hAnsi="宋体" w:eastAsia="宋体" w:cs="宋体"/>
          <w:color w:val="000000" w:themeColor="text1"/>
          <w:sz w:val="21"/>
          <w:szCs w:val="21"/>
          <w:highlight w:val="none"/>
          <w:lang w:val="en-US" w:eastAsia="zh-CN"/>
          <w14:textFill>
            <w14:solidFill>
              <w14:schemeClr w14:val="tx1"/>
            </w14:solidFill>
          </w14:textFill>
        </w:rPr>
        <w:t>，建设内容主要有土地平整工程（对低效园地进行整治，通过清理树木、土地平整、培肥等措施新增耕地，在新增耕地范围内施肥、分垄和播种农作物</w:t>
      </w:r>
      <w:r>
        <w:rPr>
          <w:rFonts w:hint="eastAsia" w:ascii="宋体" w:hAnsi="宋体" w:cs="宋体"/>
          <w:color w:val="000000" w:themeColor="text1"/>
          <w:sz w:val="21"/>
          <w:szCs w:val="21"/>
          <w:highlight w:val="none"/>
          <w:lang w:val="en-US" w:eastAsia="zh-CN"/>
          <w14:textFill>
            <w14:solidFill>
              <w14:schemeClr w14:val="tx1"/>
            </w14:solidFill>
          </w14:textFill>
        </w:rPr>
        <w:t>，种植的农作物需达到日常变更并且验收合格要求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）、灌溉与排水工程、田间道路工程。</w:t>
      </w:r>
    </w:p>
    <w:p w14:paraId="1C5279B3">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具体详见项目图纸及财评后工程量清单</w:t>
      </w:r>
      <w:r>
        <w:rPr>
          <w:rFonts w:hint="eastAsia" w:ascii="宋体" w:hAnsi="宋体" w:eastAsia="宋体" w:cs="宋体"/>
          <w:color w:val="000000" w:themeColor="text1"/>
          <w:spacing w:val="0"/>
          <w:kern w:val="0"/>
          <w:sz w:val="21"/>
          <w:szCs w:val="21"/>
          <w:highlight w:val="none"/>
          <w14:textFill>
            <w14:solidFill>
              <w14:schemeClr w14:val="tx1"/>
            </w14:solidFill>
          </w14:textFill>
        </w:rPr>
        <w:t>。</w:t>
      </w:r>
    </w:p>
    <w:p w14:paraId="75670BDE">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二</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合同工期</w:t>
      </w:r>
    </w:p>
    <w:p w14:paraId="54C8339D">
      <w:pPr>
        <w:pStyle w:val="36"/>
        <w:pageBreakBefore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计划开工日期：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日。（实际开工日期以开工令为准）</w:t>
      </w:r>
    </w:p>
    <w:p w14:paraId="1E0E2D21">
      <w:pPr>
        <w:pStyle w:val="36"/>
        <w:pageBreakBefore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计划竣工日期：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14:paraId="7743F93B">
      <w:pPr>
        <w:pStyle w:val="36"/>
        <w:pageBreakBefore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工期总日历天数：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天。工期总日历天数与根据前述计划开竣工日期计算的工期天数不一致的，以工期总日历天数为准。</w:t>
      </w:r>
    </w:p>
    <w:p w14:paraId="050FDCA0">
      <w:pPr>
        <w:pageBreakBefore w:val="0"/>
        <w:numPr>
          <w:ilvl w:val="0"/>
          <w:numId w:val="0"/>
        </w:numPr>
        <w:kinsoku/>
        <w:wordWrap/>
        <w:overflowPunct/>
        <w:topLinePunct w:val="0"/>
        <w:autoSpaceDE/>
        <w:autoSpaceDN/>
        <w:bidi w:val="0"/>
        <w:spacing w:line="440" w:lineRule="exact"/>
        <w:ind w:firstLine="422" w:firstLineChars="200"/>
        <w:jc w:val="both"/>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pacing w:val="0"/>
          <w:kern w:val="0"/>
          <w:sz w:val="21"/>
          <w:szCs w:val="21"/>
          <w:highlight w:val="none"/>
          <w14:textFill>
            <w14:solidFill>
              <w14:schemeClr w14:val="tx1"/>
            </w14:solidFill>
          </w14:textFill>
        </w:rPr>
        <w:t>质量标准及工程数量</w:t>
      </w:r>
      <w:r>
        <w:rPr>
          <w:rFonts w:hint="eastAsia" w:ascii="宋体" w:hAnsi="宋体" w:eastAsia="宋体" w:cs="宋体"/>
          <w:b/>
          <w:bCs/>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0"/>
          <w:kern w:val="0"/>
          <w:sz w:val="21"/>
          <w:szCs w:val="21"/>
          <w:highlight w:val="none"/>
          <w14:textFill>
            <w14:solidFill>
              <w14:schemeClr w14:val="tx1"/>
            </w14:solidFill>
          </w14:textFill>
        </w:rPr>
        <w:t>项目功能：</w:t>
      </w:r>
      <w:r>
        <w:rPr>
          <w:rFonts w:hint="eastAsia" w:ascii="宋体" w:hAnsi="宋体" w:eastAsia="宋体" w:cs="宋体"/>
          <w:color w:val="000000" w:themeColor="text1"/>
          <w:spacing w:val="0"/>
          <w:kern w:val="0"/>
          <w:sz w:val="21"/>
          <w:szCs w:val="21"/>
          <w:highlight w:val="none"/>
          <w14:textFill>
            <w14:solidFill>
              <w14:schemeClr w14:val="tx1"/>
            </w14:solidFill>
          </w14:textFill>
        </w:rPr>
        <w:t>工程质量</w:t>
      </w:r>
      <w:r>
        <w:rPr>
          <w:rFonts w:hint="eastAsia" w:ascii="宋体" w:hAnsi="宋体" w:eastAsia="宋体" w:cs="宋体"/>
          <w:color w:val="000000" w:themeColor="text1"/>
          <w:sz w:val="21"/>
          <w:szCs w:val="21"/>
          <w:highlight w:val="none"/>
          <w:lang w:eastAsia="zh-CN"/>
          <w14:textFill>
            <w14:solidFill>
              <w14:schemeClr w14:val="tx1"/>
            </w14:solidFill>
          </w14:textFill>
        </w:rPr>
        <w:t>达到</w:t>
      </w:r>
      <w:r>
        <w:rPr>
          <w:rFonts w:hint="eastAsia" w:ascii="宋体" w:hAnsi="宋体" w:eastAsia="宋体" w:cs="宋体"/>
          <w:color w:val="000000" w:themeColor="text1"/>
          <w:spacing w:val="0"/>
          <w:kern w:val="0"/>
          <w:sz w:val="21"/>
          <w:szCs w:val="21"/>
          <w:highlight w:val="none"/>
          <w14:textFill>
            <w14:solidFill>
              <w14:schemeClr w14:val="tx1"/>
            </w14:solidFill>
          </w14:textFill>
        </w:rPr>
        <w:t>合格，达到符合项目规划设计要求，并达到</w:t>
      </w:r>
      <w:r>
        <w:rPr>
          <w:rFonts w:hint="eastAsia" w:ascii="宋体" w:hAnsi="宋体" w:eastAsia="宋体" w:cs="宋体"/>
          <w:color w:val="000000" w:themeColor="text1"/>
          <w:sz w:val="21"/>
          <w:szCs w:val="21"/>
          <w:highlight w:val="none"/>
          <w:lang w:bidi="ar"/>
          <w14:textFill>
            <w14:solidFill>
              <w14:schemeClr w14:val="tx1"/>
            </w14:solidFill>
          </w14:textFill>
        </w:rPr>
        <w:t>《广西壮族自治区国土资源厅广西壮族自治区财政厅关于印发广西壮族自治区土地整治项目管理暂行办法的通知》(桂国土资发〔2011〕20 号)、《广西壮族自治区国土资源厅关于进一步规范我区土地整治项目管理有关问题的通知》(桂国土资发〔2014〕16 号）、《土地整治工程第 1 部分：建设规范 DB45/T1055-2014》、《土地整治工程第2 部分：质量检测与评定规程规范 DB45/T1056-2014》、《土地整治工程第 3 部分：验收技术规程 DB45/11057-2014》等土地综合整治技术规范及合同约定</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的标准</w:t>
      </w:r>
      <w:r>
        <w:rPr>
          <w:rFonts w:hint="eastAsia" w:ascii="宋体" w:hAnsi="宋体" w:eastAsia="宋体" w:cs="宋体"/>
          <w:color w:val="000000" w:themeColor="text1"/>
          <w:spacing w:val="0"/>
          <w:kern w:val="0"/>
          <w:sz w:val="21"/>
          <w:szCs w:val="21"/>
          <w:highlight w:val="none"/>
          <w14:textFill>
            <w14:solidFill>
              <w14:schemeClr w14:val="tx1"/>
            </w14:solidFill>
          </w14:textFill>
        </w:rPr>
        <w:t>。工程数量要按批准的规划设计建设标准、建设内容、规模总量完成。</w:t>
      </w:r>
    </w:p>
    <w:p w14:paraId="27B0C629">
      <w:pPr>
        <w:pStyle w:val="37"/>
        <w:pageBreakBefore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四、</w:t>
      </w:r>
      <w:r>
        <w:rPr>
          <w:rFonts w:hint="eastAsia" w:ascii="宋体" w:hAnsi="宋体" w:eastAsia="宋体" w:cs="宋体"/>
          <w:b/>
          <w:color w:val="000000" w:themeColor="text1"/>
          <w:sz w:val="21"/>
          <w:szCs w:val="21"/>
          <w:highlight w:val="none"/>
          <w14:textFill>
            <w14:solidFill>
              <w14:schemeClr w14:val="tx1"/>
            </w14:solidFill>
          </w14:textFill>
        </w:rPr>
        <w:t>签约合同价与合同价格形式</w:t>
      </w:r>
    </w:p>
    <w:p w14:paraId="5DD30A8B">
      <w:pPr>
        <w:pStyle w:val="36"/>
        <w:pageBreakBefore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签约合同价</w:t>
      </w:r>
      <w:r>
        <w:rPr>
          <w:rFonts w:hint="eastAsia" w:ascii="宋体" w:hAnsi="宋体" w:eastAsia="宋体" w:cs="宋体"/>
          <w:color w:val="000000" w:themeColor="text1"/>
          <w:sz w:val="21"/>
          <w:szCs w:val="21"/>
          <w:highlight w:val="none"/>
          <w:lang w:eastAsia="zh-CN"/>
          <w14:textFill>
            <w14:solidFill>
              <w14:schemeClr w14:val="tx1"/>
            </w14:solidFill>
          </w14:textFill>
        </w:rPr>
        <w:t>（中标价）</w:t>
      </w:r>
      <w:r>
        <w:rPr>
          <w:rFonts w:hint="eastAsia" w:ascii="宋体" w:hAnsi="宋体" w:eastAsia="宋体" w:cs="宋体"/>
          <w:color w:val="000000" w:themeColor="text1"/>
          <w:sz w:val="21"/>
          <w:szCs w:val="21"/>
          <w:highlight w:val="none"/>
          <w14:textFill>
            <w14:solidFill>
              <w14:schemeClr w14:val="tx1"/>
            </w14:solidFill>
          </w14:textFill>
        </w:rPr>
        <w:t>为：人民币（大写）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p w14:paraId="50BAC4E9">
      <w:pPr>
        <w:pStyle w:val="36"/>
        <w:pageBreakBefore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 合同价格形式：</w:t>
      </w:r>
      <w:r>
        <w:rPr>
          <w:rFonts w:hint="eastAsia" w:ascii="宋体" w:hAnsi="宋体" w:eastAsia="宋体" w:cs="宋体"/>
          <w:color w:val="000000" w:themeColor="text1"/>
          <w:sz w:val="21"/>
          <w:szCs w:val="21"/>
          <w:highlight w:val="none"/>
          <w:u w:val="single"/>
          <w14:textFill>
            <w14:solidFill>
              <w14:schemeClr w14:val="tx1"/>
            </w14:solidFill>
          </w14:textFill>
        </w:rPr>
        <w:t>采用固定总价</w:t>
      </w:r>
      <w:r>
        <w:rPr>
          <w:rFonts w:hint="eastAsia" w:ascii="宋体" w:hAnsi="宋体" w:eastAsia="宋体" w:cs="宋体"/>
          <w:color w:val="000000" w:themeColor="text1"/>
          <w:sz w:val="21"/>
          <w:szCs w:val="21"/>
          <w:highlight w:val="none"/>
          <w14:textFill>
            <w14:solidFill>
              <w14:schemeClr w14:val="tx1"/>
            </w14:solidFill>
          </w14:textFill>
        </w:rPr>
        <w:t>。</w:t>
      </w:r>
    </w:p>
    <w:p w14:paraId="3F6A1DFF">
      <w:pPr>
        <w:pStyle w:val="37"/>
        <w:pageBreakBefore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themeColor="text1"/>
          <w:sz w:val="21"/>
          <w:szCs w:val="21"/>
          <w:highlight w:val="none"/>
          <w14:textFill>
            <w14:solidFill>
              <w14:schemeClr w14:val="tx1"/>
            </w14:solidFill>
          </w14:textFill>
        </w:rPr>
      </w:pPr>
      <w:bookmarkStart w:id="151" w:name="_Toc351203485"/>
      <w:bookmarkStart w:id="152" w:name="_Toc10860"/>
      <w:bookmarkStart w:id="153" w:name="_Toc406419157"/>
      <w:bookmarkStart w:id="154" w:name="_Toc17438"/>
      <w:bookmarkStart w:id="155" w:name="_Toc522201563"/>
      <w:bookmarkStart w:id="156" w:name="_Toc406522032"/>
      <w:bookmarkStart w:id="157" w:name="OLE_LINK2"/>
      <w:r>
        <w:rPr>
          <w:rFonts w:hint="eastAsia" w:ascii="宋体" w:hAnsi="宋体" w:eastAsia="宋体" w:cs="宋体"/>
          <w:b/>
          <w:color w:val="000000" w:themeColor="text1"/>
          <w:sz w:val="21"/>
          <w:szCs w:val="21"/>
          <w:highlight w:val="none"/>
          <w14:textFill>
            <w14:solidFill>
              <w14:schemeClr w14:val="tx1"/>
            </w14:solidFill>
          </w14:textFill>
        </w:rPr>
        <w:t>五、</w:t>
      </w:r>
      <w:bookmarkEnd w:id="151"/>
      <w:r>
        <w:rPr>
          <w:rFonts w:hint="eastAsia" w:ascii="宋体" w:hAnsi="宋体" w:eastAsia="宋体" w:cs="宋体"/>
          <w:b/>
          <w:color w:val="000000" w:themeColor="text1"/>
          <w:sz w:val="21"/>
          <w:szCs w:val="21"/>
          <w:highlight w:val="none"/>
          <w14:textFill>
            <w14:solidFill>
              <w14:schemeClr w14:val="tx1"/>
            </w14:solidFill>
          </w14:textFill>
        </w:rPr>
        <w:t>项目经理</w:t>
      </w:r>
      <w:bookmarkEnd w:id="152"/>
      <w:bookmarkEnd w:id="153"/>
      <w:bookmarkEnd w:id="154"/>
      <w:bookmarkEnd w:id="155"/>
      <w:bookmarkEnd w:id="156"/>
    </w:p>
    <w:p w14:paraId="7A631525">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承包人项目经理：</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联系方式：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bookmarkEnd w:id="157"/>
    <w:p w14:paraId="24307F67">
      <w:pPr>
        <w:pStyle w:val="37"/>
        <w:pageBreakBefore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themeColor="text1"/>
          <w:sz w:val="21"/>
          <w:szCs w:val="21"/>
          <w:highlight w:val="none"/>
          <w14:textFill>
            <w14:solidFill>
              <w14:schemeClr w14:val="tx1"/>
            </w14:solidFill>
          </w14:textFill>
        </w:rPr>
      </w:pPr>
      <w:bookmarkStart w:id="158" w:name="_Toc406419158"/>
      <w:bookmarkStart w:id="159" w:name="_Toc351203486"/>
      <w:bookmarkStart w:id="160" w:name="_Toc522201564"/>
      <w:bookmarkStart w:id="161" w:name="_Toc406522033"/>
      <w:bookmarkStart w:id="162" w:name="_Toc9111"/>
      <w:bookmarkStart w:id="163" w:name="_Toc23735"/>
      <w:r>
        <w:rPr>
          <w:rFonts w:hint="eastAsia" w:ascii="宋体" w:hAnsi="宋体" w:eastAsia="宋体" w:cs="宋体"/>
          <w:b/>
          <w:color w:val="000000" w:themeColor="text1"/>
          <w:sz w:val="21"/>
          <w:szCs w:val="21"/>
          <w:highlight w:val="none"/>
          <w14:textFill>
            <w14:solidFill>
              <w14:schemeClr w14:val="tx1"/>
            </w14:solidFill>
          </w14:textFill>
        </w:rPr>
        <w:t>六、合同文件构成</w:t>
      </w:r>
      <w:bookmarkEnd w:id="158"/>
      <w:bookmarkEnd w:id="159"/>
      <w:bookmarkEnd w:id="160"/>
      <w:bookmarkEnd w:id="161"/>
      <w:bookmarkEnd w:id="162"/>
      <w:bookmarkEnd w:id="163"/>
    </w:p>
    <w:p w14:paraId="32AB038D">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64" w:name="_Toc406419159"/>
      <w:bookmarkStart w:id="165" w:name="_Toc7021"/>
      <w:bookmarkStart w:id="166" w:name="_Toc351203487"/>
      <w:bookmarkStart w:id="167" w:name="_Toc406522034"/>
      <w:r>
        <w:rPr>
          <w:rFonts w:hint="eastAsia" w:ascii="宋体" w:hAnsi="宋体" w:eastAsia="宋体" w:cs="宋体"/>
          <w:color w:val="000000" w:themeColor="text1"/>
          <w:sz w:val="21"/>
          <w:szCs w:val="21"/>
          <w:highlight w:val="none"/>
          <w14:textFill>
            <w14:solidFill>
              <w14:schemeClr w14:val="tx1"/>
            </w14:solidFill>
          </w14:textFill>
        </w:rPr>
        <w:t>本协议书与下列文件一起构成合同文件：</w:t>
      </w:r>
    </w:p>
    <w:p w14:paraId="73BE0E30">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成交</w:t>
      </w:r>
      <w:r>
        <w:rPr>
          <w:rFonts w:hint="eastAsia" w:ascii="宋体" w:hAnsi="宋体" w:eastAsia="宋体" w:cs="宋体"/>
          <w:color w:val="000000" w:themeColor="text1"/>
          <w:sz w:val="21"/>
          <w:szCs w:val="21"/>
          <w:highlight w:val="none"/>
          <w14:textFill>
            <w14:solidFill>
              <w14:schemeClr w14:val="tx1"/>
            </w14:solidFill>
          </w14:textFill>
        </w:rPr>
        <w:t>通知书；</w:t>
      </w:r>
    </w:p>
    <w:p w14:paraId="77C53893">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（2）投标函及其附录（如果有）； </w:t>
      </w:r>
    </w:p>
    <w:p w14:paraId="243DFEE8">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（3）专用合同条款及其附件；</w:t>
      </w:r>
    </w:p>
    <w:p w14:paraId="4F5BD702">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（4）通用合同条款；</w:t>
      </w:r>
    </w:p>
    <w:p w14:paraId="6B1EBBB4">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（5）技术标准和要求；</w:t>
      </w:r>
    </w:p>
    <w:p w14:paraId="07D04CEB">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（6）图纸；</w:t>
      </w:r>
    </w:p>
    <w:p w14:paraId="0CB47546">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（7）已标价工程量清单或预算书；</w:t>
      </w:r>
    </w:p>
    <w:p w14:paraId="09E30987">
      <w:pPr>
        <w:pStyle w:val="36"/>
        <w:pageBreakBefore w:val="0"/>
        <w:kinsoku/>
        <w:wordWrap/>
        <w:overflowPunct/>
        <w:topLinePunct w:val="0"/>
        <w:autoSpaceDE/>
        <w:autoSpaceDN/>
        <w:bidi w:val="0"/>
        <w:adjustRightInd w:val="0"/>
        <w:snapToGrid w:val="0"/>
        <w:spacing w:line="440" w:lineRule="exact"/>
        <w:ind w:firstLine="630" w:firstLineChars="3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pacing w:val="0"/>
          <w:kern w:val="0"/>
          <w:sz w:val="21"/>
          <w:szCs w:val="21"/>
          <w:highlight w:val="none"/>
          <w14:textFill>
            <w14:solidFill>
              <w14:schemeClr w14:val="tx1"/>
            </w14:solidFill>
          </w14:textFill>
        </w:rPr>
        <w:t>)承包人有关人员、设备投入的承诺及投标文件中的施工组织设</w:t>
      </w:r>
      <w:r>
        <w:rPr>
          <w:rFonts w:hint="eastAsia" w:ascii="宋体" w:hAnsi="宋体" w:eastAsia="宋体" w:cs="宋体"/>
          <w:color w:val="000000" w:themeColor="text1"/>
          <w:kern w:val="0"/>
          <w:sz w:val="21"/>
          <w:szCs w:val="21"/>
          <w:highlight w:val="none"/>
          <w14:textFill>
            <w14:solidFill>
              <w14:schemeClr w14:val="tx1"/>
            </w14:solidFill>
          </w14:textFill>
        </w:rPr>
        <w:t>计；</w:t>
      </w:r>
    </w:p>
    <w:p w14:paraId="2C4BAEA8">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）其他合同文件。</w:t>
      </w:r>
    </w:p>
    <w:p w14:paraId="67D6824D">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在合同订立及履行过程中形成的与合同有关的文件均构成合同文件组成部分。</w:t>
      </w:r>
    </w:p>
    <w:p w14:paraId="039BF6F4">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73E248E1">
      <w:pPr>
        <w:pStyle w:val="37"/>
        <w:pageBreakBefore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themeColor="text1"/>
          <w:sz w:val="21"/>
          <w:szCs w:val="21"/>
          <w:highlight w:val="none"/>
          <w14:textFill>
            <w14:solidFill>
              <w14:schemeClr w14:val="tx1"/>
            </w14:solidFill>
          </w14:textFill>
        </w:rPr>
      </w:pPr>
      <w:bookmarkStart w:id="168" w:name="_Toc522201565"/>
      <w:bookmarkStart w:id="169" w:name="_Toc1231"/>
      <w:r>
        <w:rPr>
          <w:rFonts w:hint="eastAsia" w:ascii="宋体" w:hAnsi="宋体" w:eastAsia="宋体" w:cs="宋体"/>
          <w:b/>
          <w:color w:val="000000" w:themeColor="text1"/>
          <w:sz w:val="21"/>
          <w:szCs w:val="21"/>
          <w:highlight w:val="none"/>
          <w14:textFill>
            <w14:solidFill>
              <w14:schemeClr w14:val="tx1"/>
            </w14:solidFill>
          </w14:textFill>
        </w:rPr>
        <w:t>七、承诺</w:t>
      </w:r>
      <w:bookmarkEnd w:id="164"/>
      <w:bookmarkEnd w:id="165"/>
      <w:bookmarkEnd w:id="166"/>
      <w:bookmarkEnd w:id="167"/>
      <w:bookmarkEnd w:id="168"/>
      <w:bookmarkEnd w:id="169"/>
    </w:p>
    <w:p w14:paraId="2CEE9767">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70" w:name="_Toc406522035"/>
      <w:bookmarkStart w:id="171" w:name="_Toc406419160"/>
      <w:bookmarkStart w:id="172" w:name="_Toc11962"/>
      <w:bookmarkStart w:id="173" w:name="_Toc351203488"/>
      <w:r>
        <w:rPr>
          <w:rFonts w:hint="eastAsia" w:ascii="宋体" w:hAnsi="宋体" w:eastAsia="宋体" w:cs="宋体"/>
          <w:color w:val="000000" w:themeColor="text1"/>
          <w:sz w:val="21"/>
          <w:szCs w:val="21"/>
          <w:highlight w:val="none"/>
          <w14:textFill>
            <w14:solidFill>
              <w14:schemeClr w14:val="tx1"/>
            </w14:solidFill>
          </w14:textFill>
        </w:rPr>
        <w:t>1.发包人承诺按照法律规定履行项目审批手续、筹集工程建设资金并按照合同约定的期限和方式支付合同价款。</w:t>
      </w:r>
    </w:p>
    <w:p w14:paraId="649F479B">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77C06ADA">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3.发包人和承包人通过招投标形式签订合同的，双方理解并承诺不再就同一工程另行签订与合同实质性内容相背离的协议。</w:t>
      </w:r>
    </w:p>
    <w:p w14:paraId="4D182BCC">
      <w:pPr>
        <w:pStyle w:val="37"/>
        <w:pageBreakBefore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themeColor="text1"/>
          <w:sz w:val="21"/>
          <w:szCs w:val="21"/>
          <w:highlight w:val="none"/>
          <w14:textFill>
            <w14:solidFill>
              <w14:schemeClr w14:val="tx1"/>
            </w14:solidFill>
          </w14:textFill>
        </w:rPr>
      </w:pPr>
      <w:bookmarkStart w:id="174" w:name="_Toc19184"/>
      <w:bookmarkStart w:id="175" w:name="_Toc522201566"/>
      <w:r>
        <w:rPr>
          <w:rFonts w:hint="eastAsia" w:ascii="宋体" w:hAnsi="宋体" w:eastAsia="宋体" w:cs="宋体"/>
          <w:b/>
          <w:color w:val="000000" w:themeColor="text1"/>
          <w:sz w:val="21"/>
          <w:szCs w:val="21"/>
          <w:highlight w:val="none"/>
          <w14:textFill>
            <w14:solidFill>
              <w14:schemeClr w14:val="tx1"/>
            </w14:solidFill>
          </w14:textFill>
        </w:rPr>
        <w:t>八、词语含义</w:t>
      </w:r>
      <w:bookmarkEnd w:id="170"/>
      <w:bookmarkEnd w:id="171"/>
      <w:bookmarkEnd w:id="172"/>
      <w:bookmarkEnd w:id="173"/>
      <w:bookmarkEnd w:id="174"/>
      <w:bookmarkEnd w:id="175"/>
    </w:p>
    <w:p w14:paraId="16D38AD7">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本协议书中词语含义与第二部分通用合同条款中赋予的含义相同。</w:t>
      </w:r>
    </w:p>
    <w:p w14:paraId="1684A5C3">
      <w:pPr>
        <w:pStyle w:val="37"/>
        <w:pageBreakBefore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themeColor="text1"/>
          <w:sz w:val="21"/>
          <w:szCs w:val="21"/>
          <w:highlight w:val="none"/>
          <w14:textFill>
            <w14:solidFill>
              <w14:schemeClr w14:val="tx1"/>
            </w14:solidFill>
          </w14:textFill>
        </w:rPr>
      </w:pPr>
      <w:bookmarkStart w:id="176" w:name="_Toc522201567"/>
      <w:bookmarkStart w:id="177" w:name="_Toc406419161"/>
      <w:bookmarkStart w:id="178" w:name="_Toc22011"/>
      <w:bookmarkStart w:id="179" w:name="_Toc351203489"/>
      <w:bookmarkStart w:id="180" w:name="_Toc406522036"/>
      <w:bookmarkStart w:id="181" w:name="_Toc16675"/>
      <w:r>
        <w:rPr>
          <w:rFonts w:hint="eastAsia" w:ascii="宋体" w:hAnsi="宋体" w:eastAsia="宋体" w:cs="宋体"/>
          <w:b/>
          <w:color w:val="000000" w:themeColor="text1"/>
          <w:sz w:val="21"/>
          <w:szCs w:val="21"/>
          <w:highlight w:val="none"/>
          <w14:textFill>
            <w14:solidFill>
              <w14:schemeClr w14:val="tx1"/>
            </w14:solidFill>
          </w14:textFill>
        </w:rPr>
        <w:t>九、签订时间</w:t>
      </w:r>
      <w:bookmarkEnd w:id="176"/>
      <w:bookmarkEnd w:id="177"/>
      <w:bookmarkEnd w:id="178"/>
      <w:bookmarkEnd w:id="179"/>
      <w:bookmarkEnd w:id="180"/>
      <w:bookmarkEnd w:id="181"/>
    </w:p>
    <w:p w14:paraId="0CAA9297">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本合同于</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日签订。</w:t>
      </w:r>
    </w:p>
    <w:p w14:paraId="215E164B">
      <w:pPr>
        <w:pStyle w:val="37"/>
        <w:pageBreakBefore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themeColor="text1"/>
          <w:sz w:val="21"/>
          <w:szCs w:val="21"/>
          <w:highlight w:val="none"/>
          <w14:textFill>
            <w14:solidFill>
              <w14:schemeClr w14:val="tx1"/>
            </w14:solidFill>
          </w14:textFill>
        </w:rPr>
      </w:pPr>
      <w:bookmarkStart w:id="182" w:name="_Toc13047"/>
      <w:bookmarkStart w:id="183" w:name="_Toc351203490"/>
      <w:bookmarkStart w:id="184" w:name="_Toc406419162"/>
      <w:bookmarkStart w:id="185" w:name="_Toc3692"/>
      <w:bookmarkStart w:id="186" w:name="_Toc406522037"/>
      <w:bookmarkStart w:id="187" w:name="_Toc522201568"/>
      <w:r>
        <w:rPr>
          <w:rFonts w:hint="eastAsia" w:ascii="宋体" w:hAnsi="宋体" w:eastAsia="宋体" w:cs="宋体"/>
          <w:b/>
          <w:color w:val="000000" w:themeColor="text1"/>
          <w:sz w:val="21"/>
          <w:szCs w:val="21"/>
          <w:highlight w:val="none"/>
          <w14:textFill>
            <w14:solidFill>
              <w14:schemeClr w14:val="tx1"/>
            </w14:solidFill>
          </w14:textFill>
        </w:rPr>
        <w:t>十、签订地点</w:t>
      </w:r>
      <w:bookmarkEnd w:id="182"/>
      <w:bookmarkEnd w:id="183"/>
      <w:bookmarkEnd w:id="184"/>
      <w:bookmarkEnd w:id="185"/>
      <w:bookmarkEnd w:id="186"/>
      <w:bookmarkEnd w:id="187"/>
    </w:p>
    <w:p w14:paraId="298F0140">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本合同在</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桂林市</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临桂区</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签订。</w:t>
      </w:r>
    </w:p>
    <w:p w14:paraId="09261EBD">
      <w:pPr>
        <w:pStyle w:val="37"/>
        <w:pageBreakBefore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themeColor="text1"/>
          <w:sz w:val="21"/>
          <w:szCs w:val="21"/>
          <w:highlight w:val="none"/>
          <w14:textFill>
            <w14:solidFill>
              <w14:schemeClr w14:val="tx1"/>
            </w14:solidFill>
          </w14:textFill>
        </w:rPr>
      </w:pPr>
      <w:bookmarkStart w:id="188" w:name="_Toc522201569"/>
      <w:bookmarkStart w:id="189" w:name="_Toc406522038"/>
      <w:bookmarkStart w:id="190" w:name="_Toc406419163"/>
      <w:bookmarkStart w:id="191" w:name="_Toc5536"/>
      <w:bookmarkStart w:id="192" w:name="_Toc9576"/>
      <w:bookmarkStart w:id="193" w:name="_Toc351203491"/>
      <w:r>
        <w:rPr>
          <w:rFonts w:hint="eastAsia" w:ascii="宋体" w:hAnsi="宋体" w:eastAsia="宋体" w:cs="宋体"/>
          <w:b/>
          <w:color w:val="000000" w:themeColor="text1"/>
          <w:sz w:val="21"/>
          <w:szCs w:val="21"/>
          <w:highlight w:val="none"/>
          <w14:textFill>
            <w14:solidFill>
              <w14:schemeClr w14:val="tx1"/>
            </w14:solidFill>
          </w14:textFill>
        </w:rPr>
        <w:t>十一、补充协议</w:t>
      </w:r>
      <w:bookmarkEnd w:id="188"/>
      <w:bookmarkEnd w:id="189"/>
      <w:bookmarkEnd w:id="190"/>
      <w:bookmarkEnd w:id="191"/>
      <w:bookmarkEnd w:id="192"/>
      <w:bookmarkEnd w:id="193"/>
    </w:p>
    <w:p w14:paraId="6542366A">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合同未尽事宜，合同当事人另行签订补充协议，补充协议是合同的组成部分。</w:t>
      </w:r>
    </w:p>
    <w:p w14:paraId="5F902E74">
      <w:pPr>
        <w:pStyle w:val="37"/>
        <w:pageBreakBefore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themeColor="text1"/>
          <w:sz w:val="21"/>
          <w:szCs w:val="21"/>
          <w:highlight w:val="none"/>
          <w14:textFill>
            <w14:solidFill>
              <w14:schemeClr w14:val="tx1"/>
            </w14:solidFill>
          </w14:textFill>
        </w:rPr>
      </w:pPr>
      <w:bookmarkStart w:id="194" w:name="_Toc351203492"/>
      <w:bookmarkStart w:id="195" w:name="_Toc522201570"/>
      <w:bookmarkStart w:id="196" w:name="_Toc406522039"/>
      <w:bookmarkStart w:id="197" w:name="_Toc406419164"/>
      <w:bookmarkStart w:id="198" w:name="_Toc25831"/>
      <w:bookmarkStart w:id="199" w:name="_Toc32443"/>
      <w:r>
        <w:rPr>
          <w:rFonts w:hint="eastAsia" w:ascii="宋体" w:hAnsi="宋体" w:eastAsia="宋体" w:cs="宋体"/>
          <w:b/>
          <w:color w:val="000000" w:themeColor="text1"/>
          <w:sz w:val="21"/>
          <w:szCs w:val="21"/>
          <w:highlight w:val="none"/>
          <w14:textFill>
            <w14:solidFill>
              <w14:schemeClr w14:val="tx1"/>
            </w14:solidFill>
          </w14:textFill>
        </w:rPr>
        <w:t>十二、合同生效</w:t>
      </w:r>
      <w:bookmarkEnd w:id="194"/>
      <w:bookmarkEnd w:id="195"/>
      <w:bookmarkEnd w:id="196"/>
      <w:bookmarkEnd w:id="197"/>
      <w:bookmarkEnd w:id="198"/>
      <w:bookmarkEnd w:id="199"/>
    </w:p>
    <w:p w14:paraId="6EC9EDF5">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本合同自</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双方法定代表人或其委托代理人签字或盖章并加盖单位</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公</w:t>
      </w:r>
      <w:r>
        <w:rPr>
          <w:rFonts w:hint="eastAsia" w:ascii="宋体" w:hAnsi="宋体" w:eastAsia="宋体" w:cs="宋体"/>
          <w:color w:val="000000" w:themeColor="text1"/>
          <w:sz w:val="21"/>
          <w:szCs w:val="21"/>
          <w:highlight w:val="none"/>
          <w:u w:val="single"/>
          <w14:textFill>
            <w14:solidFill>
              <w14:schemeClr w14:val="tx1"/>
            </w14:solidFill>
          </w14:textFill>
        </w:rPr>
        <w:t>章后</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生效。</w:t>
      </w:r>
    </w:p>
    <w:p w14:paraId="11E7EA4C">
      <w:pPr>
        <w:pStyle w:val="37"/>
        <w:pageBreakBefore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themeColor="text1"/>
          <w:sz w:val="21"/>
          <w:szCs w:val="21"/>
          <w:highlight w:val="none"/>
          <w14:textFill>
            <w14:solidFill>
              <w14:schemeClr w14:val="tx1"/>
            </w14:solidFill>
          </w14:textFill>
        </w:rPr>
      </w:pPr>
      <w:bookmarkStart w:id="200" w:name="_Toc406522040"/>
      <w:bookmarkStart w:id="201" w:name="_Toc29241"/>
      <w:bookmarkStart w:id="202" w:name="_Toc406419165"/>
      <w:bookmarkStart w:id="203" w:name="_Toc522201571"/>
      <w:bookmarkStart w:id="204" w:name="_Toc14945"/>
      <w:bookmarkStart w:id="205" w:name="_Toc351203493"/>
      <w:r>
        <w:rPr>
          <w:rFonts w:hint="eastAsia" w:ascii="宋体" w:hAnsi="宋体" w:eastAsia="宋体" w:cs="宋体"/>
          <w:b/>
          <w:color w:val="000000" w:themeColor="text1"/>
          <w:sz w:val="21"/>
          <w:szCs w:val="21"/>
          <w:highlight w:val="none"/>
          <w14:textFill>
            <w14:solidFill>
              <w14:schemeClr w14:val="tx1"/>
            </w14:solidFill>
          </w14:textFill>
        </w:rPr>
        <w:t>十三、合同份数</w:t>
      </w:r>
      <w:bookmarkEnd w:id="200"/>
      <w:bookmarkEnd w:id="201"/>
      <w:bookmarkEnd w:id="202"/>
      <w:bookmarkEnd w:id="203"/>
      <w:bookmarkEnd w:id="204"/>
      <w:bookmarkEnd w:id="205"/>
    </w:p>
    <w:p w14:paraId="330E6263">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本合同一式</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份，均具有同等法律效力，发包人执</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份，承包人执</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份，招标代理机构执</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份。</w:t>
      </w:r>
    </w:p>
    <w:tbl>
      <w:tblPr>
        <w:tblStyle w:val="20"/>
        <w:tblW w:w="9281"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7"/>
        <w:gridCol w:w="4704"/>
      </w:tblGrid>
      <w:tr w14:paraId="0E93F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77" w:type="dxa"/>
            <w:vAlign w:val="top"/>
          </w:tcPr>
          <w:p w14:paraId="09BCF246">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发包人：（公章）</w:t>
            </w:r>
          </w:p>
          <w:p w14:paraId="0ABEC880">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 xml:space="preserve"> </w:t>
            </w:r>
          </w:p>
        </w:tc>
        <w:tc>
          <w:tcPr>
            <w:tcW w:w="4704" w:type="dxa"/>
            <w:vAlign w:val="top"/>
          </w:tcPr>
          <w:p w14:paraId="29FC4AD8">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承包人：（公章）</w:t>
            </w:r>
          </w:p>
          <w:p w14:paraId="61FC7DD6">
            <w:pPr>
              <w:pStyle w:val="2"/>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40B38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77" w:type="dxa"/>
            <w:vAlign w:val="top"/>
          </w:tcPr>
          <w:p w14:paraId="3B7F23E8">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法定代表人</w:t>
            </w:r>
            <w:r>
              <w:rPr>
                <w:rFonts w:hint="eastAsia" w:ascii="宋体" w:hAnsi="宋体" w:eastAsia="宋体" w:cs="宋体"/>
                <w:color w:val="000000" w:themeColor="text1"/>
                <w:sz w:val="21"/>
                <w:szCs w:val="21"/>
                <w:highlight w:val="none"/>
                <w14:textFill>
                  <w14:solidFill>
                    <w14:schemeClr w14:val="tx1"/>
                  </w14:solidFill>
                </w14:textFill>
              </w:rPr>
              <w:t>或其委托代理人</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w:t>
            </w:r>
          </w:p>
          <w:p w14:paraId="3D1501C0">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（签字或盖章）</w:t>
            </w:r>
          </w:p>
        </w:tc>
        <w:tc>
          <w:tcPr>
            <w:tcW w:w="4704" w:type="dxa"/>
            <w:vAlign w:val="top"/>
          </w:tcPr>
          <w:p w14:paraId="73E7F270">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法定代表人</w:t>
            </w:r>
            <w:r>
              <w:rPr>
                <w:rFonts w:hint="eastAsia" w:ascii="宋体" w:hAnsi="宋体" w:eastAsia="宋体" w:cs="宋体"/>
                <w:color w:val="000000" w:themeColor="text1"/>
                <w:sz w:val="21"/>
                <w:szCs w:val="21"/>
                <w:highlight w:val="none"/>
                <w14:textFill>
                  <w14:solidFill>
                    <w14:schemeClr w14:val="tx1"/>
                  </w14:solidFill>
                </w14:textFill>
              </w:rPr>
              <w:t>或其委托代理人</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w:t>
            </w:r>
          </w:p>
          <w:p w14:paraId="17A40E23">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（签字或盖章）</w:t>
            </w:r>
          </w:p>
        </w:tc>
      </w:tr>
      <w:tr w14:paraId="1644A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577" w:type="dxa"/>
            <w:vAlign w:val="top"/>
          </w:tcPr>
          <w:p w14:paraId="693763B1">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统一社会信用代码：</w:t>
            </w:r>
          </w:p>
        </w:tc>
        <w:tc>
          <w:tcPr>
            <w:tcW w:w="4704" w:type="dxa"/>
            <w:vAlign w:val="top"/>
          </w:tcPr>
          <w:p w14:paraId="125BCEAC">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 xml:space="preserve">统一社会信用代码： </w:t>
            </w:r>
          </w:p>
        </w:tc>
      </w:tr>
      <w:tr w14:paraId="5B5BA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77" w:type="dxa"/>
            <w:vAlign w:val="top"/>
          </w:tcPr>
          <w:p w14:paraId="3A200C09">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地址：</w:t>
            </w:r>
          </w:p>
        </w:tc>
        <w:tc>
          <w:tcPr>
            <w:tcW w:w="4704" w:type="dxa"/>
            <w:vAlign w:val="top"/>
          </w:tcPr>
          <w:p w14:paraId="1324466B">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地址：</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w:t>
            </w:r>
          </w:p>
        </w:tc>
      </w:tr>
      <w:tr w14:paraId="72F6A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77" w:type="dxa"/>
            <w:vAlign w:val="top"/>
          </w:tcPr>
          <w:p w14:paraId="53B3B46F">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邮政编码：</w:t>
            </w:r>
          </w:p>
        </w:tc>
        <w:tc>
          <w:tcPr>
            <w:tcW w:w="4704" w:type="dxa"/>
            <w:vAlign w:val="top"/>
          </w:tcPr>
          <w:p w14:paraId="631F176A">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 xml:space="preserve">邮政编码： </w:t>
            </w:r>
          </w:p>
        </w:tc>
      </w:tr>
      <w:tr w14:paraId="4ADDD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77" w:type="dxa"/>
            <w:vAlign w:val="top"/>
          </w:tcPr>
          <w:p w14:paraId="034C3755">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联系人：</w:t>
            </w:r>
          </w:p>
        </w:tc>
        <w:tc>
          <w:tcPr>
            <w:tcW w:w="4704" w:type="dxa"/>
            <w:vAlign w:val="top"/>
          </w:tcPr>
          <w:p w14:paraId="15B60421">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联系人：</w:t>
            </w:r>
          </w:p>
        </w:tc>
      </w:tr>
      <w:tr w14:paraId="29AB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77" w:type="dxa"/>
            <w:vAlign w:val="top"/>
          </w:tcPr>
          <w:p w14:paraId="141326E8">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电话：</w:t>
            </w:r>
          </w:p>
        </w:tc>
        <w:tc>
          <w:tcPr>
            <w:tcW w:w="4704" w:type="dxa"/>
            <w:vAlign w:val="top"/>
          </w:tcPr>
          <w:p w14:paraId="7D1A11EE">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 xml:space="preserve">电话： </w:t>
            </w:r>
          </w:p>
        </w:tc>
      </w:tr>
      <w:tr w14:paraId="7A35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77" w:type="dxa"/>
            <w:vAlign w:val="top"/>
          </w:tcPr>
          <w:p w14:paraId="32DBE4D0">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传真：</w:t>
            </w:r>
          </w:p>
        </w:tc>
        <w:tc>
          <w:tcPr>
            <w:tcW w:w="4704" w:type="dxa"/>
            <w:vAlign w:val="top"/>
          </w:tcPr>
          <w:p w14:paraId="4450BF77">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 xml:space="preserve">传真： </w:t>
            </w:r>
          </w:p>
        </w:tc>
      </w:tr>
      <w:tr w14:paraId="6E998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77" w:type="dxa"/>
            <w:vAlign w:val="top"/>
          </w:tcPr>
          <w:p w14:paraId="13F88BC3">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电子信箱：</w:t>
            </w:r>
          </w:p>
        </w:tc>
        <w:tc>
          <w:tcPr>
            <w:tcW w:w="4704" w:type="dxa"/>
            <w:vAlign w:val="top"/>
          </w:tcPr>
          <w:p w14:paraId="34B6BD1D">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 xml:space="preserve">电子信箱： </w:t>
            </w:r>
          </w:p>
        </w:tc>
      </w:tr>
      <w:tr w14:paraId="10AB8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77" w:type="dxa"/>
            <w:vAlign w:val="top"/>
          </w:tcPr>
          <w:p w14:paraId="527DDBFF">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开户银行：</w:t>
            </w:r>
          </w:p>
        </w:tc>
        <w:tc>
          <w:tcPr>
            <w:tcW w:w="4704" w:type="dxa"/>
            <w:vAlign w:val="top"/>
          </w:tcPr>
          <w:p w14:paraId="30743ACF">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 xml:space="preserve">开户银行： </w:t>
            </w:r>
          </w:p>
        </w:tc>
      </w:tr>
      <w:tr w14:paraId="588E1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77" w:type="dxa"/>
            <w:vAlign w:val="top"/>
          </w:tcPr>
          <w:p w14:paraId="4D96D5C3">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开户名称：</w:t>
            </w:r>
          </w:p>
        </w:tc>
        <w:tc>
          <w:tcPr>
            <w:tcW w:w="4704" w:type="dxa"/>
            <w:vAlign w:val="top"/>
          </w:tcPr>
          <w:p w14:paraId="0E2861C7">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开户名称：</w:t>
            </w:r>
          </w:p>
        </w:tc>
      </w:tr>
      <w:tr w14:paraId="1809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77" w:type="dxa"/>
            <w:vAlign w:val="top"/>
          </w:tcPr>
          <w:p w14:paraId="29767A3C">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账号：</w:t>
            </w:r>
          </w:p>
        </w:tc>
        <w:tc>
          <w:tcPr>
            <w:tcW w:w="4704" w:type="dxa"/>
            <w:vAlign w:val="top"/>
          </w:tcPr>
          <w:p w14:paraId="66DB919B">
            <w:pPr>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 xml:space="preserve">账号： </w:t>
            </w:r>
          </w:p>
        </w:tc>
      </w:tr>
    </w:tbl>
    <w:p w14:paraId="6908DA96">
      <w:pPr>
        <w:rPr>
          <w:rFonts w:hint="eastAsia" w:ascii="宋体" w:hAnsi="宋体" w:eastAsia="宋体" w:cs="宋体"/>
          <w:color w:val="000000" w:themeColor="text1"/>
          <w:spacing w:val="15"/>
          <w:sz w:val="21"/>
          <w:szCs w:val="21"/>
          <w:highlight w:val="none"/>
          <w14:textFill>
            <w14:solidFill>
              <w14:schemeClr w14:val="tx1"/>
            </w14:solidFill>
          </w14:textFill>
        </w:rPr>
      </w:pPr>
      <w:bookmarkStart w:id="206" w:name="_Toc5506"/>
      <w:bookmarkStart w:id="207" w:name="_Toc24735"/>
      <w:bookmarkStart w:id="208" w:name="_Toc20439"/>
      <w:bookmarkStart w:id="209" w:name="_Toc256000171"/>
      <w:r>
        <w:rPr>
          <w:rFonts w:hint="eastAsia" w:ascii="宋体" w:hAnsi="宋体" w:eastAsia="宋体" w:cs="宋体"/>
          <w:color w:val="000000" w:themeColor="text1"/>
          <w:spacing w:val="15"/>
          <w:sz w:val="21"/>
          <w:szCs w:val="21"/>
          <w:highlight w:val="none"/>
          <w14:textFill>
            <w14:solidFill>
              <w14:schemeClr w14:val="tx1"/>
            </w14:solidFill>
          </w14:textFill>
        </w:rPr>
        <w:br w:type="page"/>
      </w:r>
    </w:p>
    <w:p w14:paraId="1404F98F">
      <w:pPr>
        <w:pStyle w:val="3"/>
        <w:pageBreakBefore w:val="0"/>
        <w:kinsoku/>
        <w:wordWrap/>
        <w:overflowPunct/>
        <w:topLinePunct w:val="0"/>
        <w:autoSpaceDE/>
        <w:autoSpaceDN/>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5"/>
          <w:sz w:val="21"/>
          <w:szCs w:val="21"/>
          <w:highlight w:val="none"/>
          <w14:textFill>
            <w14:solidFill>
              <w14:schemeClr w14:val="tx1"/>
            </w14:solidFill>
          </w14:textFill>
        </w:rPr>
        <w:t>第二部分通用条款</w:t>
      </w:r>
      <w:bookmarkEnd w:id="206"/>
      <w:bookmarkEnd w:id="207"/>
    </w:p>
    <w:p w14:paraId="48F11320">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一、词语定义及合同文件</w:t>
      </w:r>
    </w:p>
    <w:p w14:paraId="30697873">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1、词语定义</w:t>
      </w:r>
    </w:p>
    <w:p w14:paraId="6E884CDD">
      <w:pPr>
        <w:pageBreakBefore w:val="0"/>
        <w:kinsoku/>
        <w:wordWrap/>
        <w:overflowPunct/>
        <w:topLinePunct w:val="0"/>
        <w:autoSpaceDE/>
        <w:autoSpaceDN/>
        <w:bidi w:val="0"/>
        <w:spacing w:before="0" w:line="440" w:lineRule="exact"/>
        <w:ind w:left="0" w:right="0"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下列词语除专用条款另有约定外，应具有本条所赋予的定义：</w:t>
      </w:r>
    </w:p>
    <w:p w14:paraId="765DBCC6">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1.1通用条款：是根据法律、行政法规规定及建设工程施工的需要订立，通用于建设工程施工的条款。</w:t>
      </w:r>
    </w:p>
    <w:p w14:paraId="70DC473C">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1.2专用条款：是发包人与承包人根据法律、行政法规规定，结合具体工程实际，经协商达成一致意见的条款，是对通用条款的具体化、补充或修改。</w:t>
      </w:r>
    </w:p>
    <w:p w14:paraId="6058A50E">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1.3发包人：指在协议书中约定</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具有工程发包主体资格和支付工程价款能力的当事人以及取得该当事人资格的合法继承人。</w:t>
      </w:r>
    </w:p>
    <w:p w14:paraId="3BEEEEE4">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1.4承包人：指在协议书中约定，被发包人接受的具有工程施工承包主体资格的当事人以及取得该当事人资格的合法继承人。</w:t>
      </w:r>
    </w:p>
    <w:p w14:paraId="67937AA4">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1.5项目经理：指承包人在专用条款中指定的负责施工管理和合同履行的代表。</w:t>
      </w:r>
    </w:p>
    <w:p w14:paraId="387731DA">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1.6设计单位</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指发包人委托的负责本工程设计并取得相应工程设计资质等级证书的单位。</w:t>
      </w:r>
    </w:p>
    <w:p w14:paraId="40473D63">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1.7监理单位：指发包人委托的负责本工程监理并取得相应工程监理资质等级证书的单位。</w:t>
      </w:r>
    </w:p>
    <w:p w14:paraId="02A0820E">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1.8工程师：指本工程监理单位委派的总监理工程师或发包人指定的履行本合同的代表，其具体身份和职权由发包人承包商人在专用条款中约定。</w:t>
      </w:r>
    </w:p>
    <w:p w14:paraId="0E42FB7A">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1.9工程造价管理部门：指国务院有关部门、县级以上人民政府建设行政主管部门或其委托的工程造价管理机构。</w:t>
      </w:r>
    </w:p>
    <w:p w14:paraId="0CC46084">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1.10工程：指发包人承包人在协议书中约定的承包范围内的工程。</w:t>
      </w:r>
    </w:p>
    <w:p w14:paraId="0F3AC9C1">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1.11合同价款：指发包人承包人在协议书中约定，发包人用以支付承包按照合同约定完成承包范围内全部工程并承担质量保修责任的款项。</w:t>
      </w:r>
    </w:p>
    <w:p w14:paraId="1147C86B">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1.12追加合同价款</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指在合同生效中发生需要增加合同价款的情况</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经发包人确认后按计算合同价款的方法增加的合同价款。</w:t>
      </w:r>
    </w:p>
    <w:p w14:paraId="7482C0BD">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1.13费用：指不包含在合同价款之内的应当由发包人或承包人承担的经济支出。</w:t>
      </w:r>
    </w:p>
    <w:p w14:paraId="219FE3CB">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1.14工期：指发包人承包人在协议书中约定，按总日历天数(包括法定节假日)计算的承包天数。</w:t>
      </w:r>
    </w:p>
    <w:p w14:paraId="4D6007E4">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1.15开工日期：指发包人承包人在协议书中约定</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承包人开始施工的绝对或相对的日期。</w:t>
      </w:r>
    </w:p>
    <w:p w14:paraId="5B54F84D">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1.16竣工日期：指发包人承包人在协议书中约定，承包人完成承包范围内工程的绝对或相对的日期。</w:t>
      </w:r>
    </w:p>
    <w:p w14:paraId="670C2E63">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1.17图纸：指由发包人提供或由承包人提供并经发包人批准，满足承包人施工需要的所有图纸(包括配套说明和有关资料)。</w:t>
      </w:r>
    </w:p>
    <w:p w14:paraId="2FBDDF9F">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1.18施工场地：指由发包人提供的用于工程施工的场所以及发包人在图纸中具体指定的供施工使用的任何其他场所。</w:t>
      </w:r>
    </w:p>
    <w:p w14:paraId="0FC8D6C5">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1.19书面形式：指合同书、信件和数据电文(包括电报、电传、传真、电子数据交换和电子邮件)等可以有形地表现所载内容的形式。</w:t>
      </w:r>
    </w:p>
    <w:p w14:paraId="170F3D04">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1.20违约责任：指合同一方不履行合同义务或履行合同义务不符合约定所应承担的责任。</w:t>
      </w:r>
    </w:p>
    <w:p w14:paraId="11CE73C9">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1.21索赔：指在合同履行过程中，对于并非自己的过错</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而是应由对方承担责任的情况造成的实际损失</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向对方提出经济补偿和(或)工期顺延的要求。</w:t>
      </w:r>
    </w:p>
    <w:p w14:paraId="0CA40E94">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1.22不可抗力</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指不能预见</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不能避免并不能克服的客观情况。</w:t>
      </w:r>
    </w:p>
    <w:p w14:paraId="4B4B7C7D">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1.23小时或天：本合同中规定按</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小</w:t>
      </w:r>
      <w:r>
        <w:rPr>
          <w:rFonts w:hint="eastAsia" w:ascii="宋体" w:hAnsi="宋体" w:eastAsia="宋体" w:cs="宋体"/>
          <w:color w:val="000000" w:themeColor="text1"/>
          <w:spacing w:val="0"/>
          <w:kern w:val="0"/>
          <w:sz w:val="21"/>
          <w:szCs w:val="21"/>
          <w:highlight w:val="none"/>
          <w14:textFill>
            <w14:solidFill>
              <w14:schemeClr w14:val="tx1"/>
            </w14:solidFill>
          </w14:textFill>
        </w:rPr>
        <w:t>时计算时间的，从事件有效开始时计算(不扣除休息时间)；规定按天计算时间的，开始当天不计入，从次日开始计算。时限的最后一天是休息日或者其他法定节假日的，以节假日次日为时限的最后一天，但竣工日期除外。时限的最后</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一天</w:t>
      </w:r>
      <w:r>
        <w:rPr>
          <w:rFonts w:hint="eastAsia" w:ascii="宋体" w:hAnsi="宋体" w:eastAsia="宋体" w:cs="宋体"/>
          <w:color w:val="000000" w:themeColor="text1"/>
          <w:spacing w:val="0"/>
          <w:kern w:val="0"/>
          <w:sz w:val="21"/>
          <w:szCs w:val="21"/>
          <w:highlight w:val="none"/>
          <w14:textFill>
            <w14:solidFill>
              <w14:schemeClr w14:val="tx1"/>
            </w14:solidFill>
          </w14:textFill>
        </w:rPr>
        <w:t>的截止时间为当日24时。</w:t>
      </w:r>
    </w:p>
    <w:p w14:paraId="7C83255F">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2、合同文件及解释顺序</w:t>
      </w:r>
    </w:p>
    <w:p w14:paraId="7AB062FB">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2.1合同文件应能相互解释,互为说明。除专用条款另有约定外，组成本合同的文件及优先解释顺序如下：</w:t>
      </w:r>
    </w:p>
    <w:p w14:paraId="273EDE30">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本合同协议书</w:t>
      </w:r>
    </w:p>
    <w:p w14:paraId="0A0937FB">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本合同通用条款</w:t>
      </w:r>
    </w:p>
    <w:p w14:paraId="2A2692D4">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本合同专用条款</w:t>
      </w:r>
    </w:p>
    <w:p w14:paraId="036A88D6">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投标书及其附件</w:t>
      </w:r>
    </w:p>
    <w:p w14:paraId="34722E07">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中标通知书</w:t>
      </w:r>
    </w:p>
    <w:p w14:paraId="185C51E3">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标准、规范及有关技术文件</w:t>
      </w:r>
    </w:p>
    <w:p w14:paraId="4FD3AA52">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图纸</w:t>
      </w:r>
    </w:p>
    <w:p w14:paraId="1411E95E">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工程量清单</w:t>
      </w:r>
    </w:p>
    <w:p w14:paraId="640E610D">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工程报价单或预算书</w:t>
      </w:r>
    </w:p>
    <w:p w14:paraId="23D06E23">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合同履行中，发包人承包人有关工程的洽商、变更等书面协议或文件视为本合同的组成部分。</w:t>
      </w:r>
    </w:p>
    <w:p w14:paraId="1AE33955">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2.2当合同文件内容含糊不清或不相一致时，在不影响工程正常进行的情况下，由发包人承包人协商解决。双方也可以提请负责监理的工程师作出解释。双方协商不成或不同意负责监理的工程师的解释时，按本通用条款第37条关于争议的约定处理。</w:t>
      </w:r>
    </w:p>
    <w:p w14:paraId="5039581A">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3、语言文字和适用法律、标准及规范</w:t>
      </w:r>
    </w:p>
    <w:p w14:paraId="304B6149">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3.1语言文字</w:t>
      </w:r>
    </w:p>
    <w:p w14:paraId="3A1411CC">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本合同文件使用汉语语言文字书写、解释和说明。如专用条款定使用两种以上(含两种)语言文字时，汉语应为解释和说明本合同的标准语言文字。</w:t>
      </w:r>
    </w:p>
    <w:p w14:paraId="71D30DB8">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在少数民族地区</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双方可以约定使用少数民族语言文字书写和解释、说明本合同。</w:t>
      </w:r>
    </w:p>
    <w:p w14:paraId="2968BED5">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3.2适用法律和法规</w:t>
      </w:r>
    </w:p>
    <w:p w14:paraId="4E1E867D">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本合同文件适用国家的法律和行政法规。需要明示的法律、行政法规，由双方在专用条款中约定。</w:t>
      </w:r>
    </w:p>
    <w:p w14:paraId="5F3F1863">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3.3适用标准、规范</w:t>
      </w:r>
    </w:p>
    <w:p w14:paraId="4D428469">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双方在专用条款内约定适用国家标准、规范的名称；没有国家标准、规范但有行业标准、规范的，约定适用行业标准</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规范的名称</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没有国家和行业标准</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规范的，约定适用工程所在地地方标准</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规范的名称。发包人应按专用条款约定的时间向承包人提供一式两份约定</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pacing w:val="0"/>
          <w:kern w:val="0"/>
          <w:sz w:val="21"/>
          <w:szCs w:val="21"/>
          <w:highlight w:val="none"/>
          <w14:textFill>
            <w14:solidFill>
              <w14:schemeClr w14:val="tx1"/>
            </w14:solidFill>
          </w14:textFill>
        </w:rPr>
        <w:t>标准、规范。</w:t>
      </w:r>
    </w:p>
    <w:p w14:paraId="12B551CC">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14:paraId="00FCC17A">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本条所发生的购买、翻译标准、规范或制定施工工艺的费用</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由发包人承担。</w:t>
      </w:r>
    </w:p>
    <w:p w14:paraId="46A74B0A">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4、图纸</w:t>
      </w:r>
    </w:p>
    <w:p w14:paraId="61AB0705">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1发包人应按专用条款约定的日期和套数，向承包人提供图纸。承包人需要增加图纸套数的，发包人应代为复制，复制费用由承包人承担。发包人对工程有保密要求的，应在专用条款上提出保密要求，保密措施费用由发包人承担，承包人在约定保密期限内履行保密义务。</w:t>
      </w:r>
    </w:p>
    <w:p w14:paraId="6E2592B7">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kern w:val="0"/>
          <w:sz w:val="21"/>
          <w:szCs w:val="21"/>
          <w:highlight w:val="none"/>
          <w14:textFill>
            <w14:solidFill>
              <w14:schemeClr w14:val="tx1"/>
            </w14:solidFill>
          </w14:textFill>
        </w:rPr>
        <w:t>承包人未经发包人同意，不得将本工程图纸转给第三人。工程质量保修期满后</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除承包人存档需要的图纸外，应将全部图纸退还给发包人。</w:t>
      </w:r>
    </w:p>
    <w:p w14:paraId="004E87FA">
      <w:pPr>
        <w:keepNext w:val="0"/>
        <w:keepLines w:val="0"/>
        <w:pageBreakBefore w:val="0"/>
        <w:widowControl/>
        <w:suppressLineNumbers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3承包人应在施工现场保留一套完整图纸，供工程师及有关人员</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进行工程检查时使用。</w:t>
      </w:r>
    </w:p>
    <w:p w14:paraId="14E5D173">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二、双方一般权利和义务</w:t>
      </w:r>
    </w:p>
    <w:p w14:paraId="70E3F665">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5、工程师</w:t>
      </w:r>
    </w:p>
    <w:p w14:paraId="0012B9D6">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5.1实行工程监理的，发包人应在实施监理前将委托的监理单位名称、监理内容及监理权限以书面形式通知承包人</w:t>
      </w:r>
    </w:p>
    <w:p w14:paraId="6046BF09">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2</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监理单位委派的总监理工程师在本合同中称工程师，其姓名、职务、职权由发包人在专用条款内写明。工程师按合同约定行使职权，发包人在专用条款内要求工程师在行使某些职权前需要征得发包人批准的，工程师应征得发包人批准。</w:t>
      </w:r>
    </w:p>
    <w:p w14:paraId="5508192C">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3</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14:paraId="7A34EADE">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4</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合同履行中，发生影响发包人承包人双方权利或义务的事件时，负责监理的工程师应依据合同在其职权范围内客观公正地进行处理。一方对工程师的处理有异议时，按本通用条款第37条关于争议的约定处理。</w:t>
      </w:r>
    </w:p>
    <w:p w14:paraId="716B3A65">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5．5</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除合同内有明确约定或经发包人同意外，负责监理的工程师无权解除本合同约定的承包人的任何权利与义务。</w:t>
      </w:r>
    </w:p>
    <w:p w14:paraId="748657B8">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6</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不实行工程监理的，本合同中工程师专指发包人派驻施工场地履行合同的代表，其具体职权由发包人在专用条款内写明。</w:t>
      </w:r>
    </w:p>
    <w:p w14:paraId="69E24B03">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6</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工程师的委派和指令</w:t>
      </w:r>
    </w:p>
    <w:p w14:paraId="0D4ED044">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6</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1工程师可委托工程师代表，行使合同约定的自已的职权，并可在认为必要时撤回委派。委派和撤回均应提前7天以书面形式通知承包人，负责监理的工程师还应将委派和撤回通知发包人。委派书和撤回通知作为本合同附件。</w:t>
      </w:r>
    </w:p>
    <w:p w14:paraId="5E7B115B">
      <w:pPr>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14:paraId="576CFFF6">
      <w:pPr>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6</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2</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承包人认为工程师指令不合理，应在收到指令后24小时内向工程师提出修改指令的书面报告，工程师在收到承包人报告后24小时内作出修改指令或继续执行原指令的决定，并以书面形式通知承包人。紧急情况下，工程师要求立即执行的指令或承包人虽有异议，但工程师决定及继续执行的指令，承包人应予执行。因指令错误发生的追加合同价款和给承包人造成的损失由发包人承担，延误的工期相应顺延。</w:t>
      </w:r>
    </w:p>
    <w:p w14:paraId="3403A592">
      <w:pPr>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本款规定同样适用于由工程师代表发出的指令、通知。</w:t>
      </w:r>
    </w:p>
    <w:p w14:paraId="15648652">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6</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14:paraId="7073A0C0">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6．4如需更换工程师，发包人应至少提前7天以书面形式通知承包人，后任继续行使合同文件约定的前任的职权，履行前任的义务。</w:t>
      </w:r>
    </w:p>
    <w:p w14:paraId="63CBA245">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7、项目经理</w:t>
      </w:r>
    </w:p>
    <w:p w14:paraId="1930256B">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7</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1项目经理的姓名、职务在专用条款内写明。</w:t>
      </w:r>
    </w:p>
    <w:p w14:paraId="221D5601">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7．2承包人依据合同发出的通知，以书面形式由项目经理签字后送交工程师，工程师在回执上签署姓名和收到时间后生效。</w:t>
      </w:r>
    </w:p>
    <w:p w14:paraId="17F3717A">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7．3项目经理按发包人认可的施工组织设计(施工方案)和工程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14:paraId="4C7540B9">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7．4承包人如需更换项目经理，应至少提前7天以书面形式通知发包人，并征得发包人同意。后任继续行使合同文件约定的前任的职权，履行前任的义务。</w:t>
      </w:r>
    </w:p>
    <w:p w14:paraId="32F6B639">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7．5发包人可以与承包人协商，建议更换其认为不称职的项目经理。</w:t>
      </w:r>
    </w:p>
    <w:p w14:paraId="16EA0F78">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8、发包人工作</w:t>
      </w:r>
    </w:p>
    <w:p w14:paraId="4E028F94">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8．1发包人按专用条款约定的内容责任和时间完成以下工作：</w:t>
      </w:r>
    </w:p>
    <w:p w14:paraId="2A743551">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(1)办理临时用地、拆迁补偿、平整施工场地等工作手续，使施工场地具备施工条件，在开工后继续负责解决以上事项遗留问题；</w:t>
      </w:r>
    </w:p>
    <w:p w14:paraId="3585565A">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(2)将施工所需水、电、电讯线路从施工场地外部接至专用条款约定地点，保证施工期间的需要；</w:t>
      </w:r>
    </w:p>
    <w:p w14:paraId="1056A491">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(3)开通施工场地与城乡公共道路的通道，以及专用条款约定的施工场地内的主要道路，满足施工运输的需要，保证施工期间的畅通；</w:t>
      </w:r>
    </w:p>
    <w:p w14:paraId="05DB4F11">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(4)向承包人提供施工场地的工程地质和地下管线资料，对资料的真实准确性负责；</w:t>
      </w:r>
    </w:p>
    <w:p w14:paraId="6A6B07A2">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(5)办理施工许可证及其他施工所需要证件、批件和临时用地、停水、停电、中断道路交通、爆破作业等的申请批准手续(证明承包人自身资质的证件除外)；</w:t>
      </w:r>
    </w:p>
    <w:p w14:paraId="11BC6FDD">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(6)确定水准点与坐标控制点，以书面形式交给承包人，进行现场交验；</w:t>
      </w:r>
    </w:p>
    <w:p w14:paraId="4F9F582B">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(7)组织承包人和设计单位进行图纸会审和设计交底；</w:t>
      </w:r>
    </w:p>
    <w:p w14:paraId="0ACECC65">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(8)协调处理施工场地周围地下管线和邻近建筑物、构造物(包括文物保护建筑)、古树名木的保护工作，承担有关费用；</w:t>
      </w:r>
    </w:p>
    <w:p w14:paraId="146FB8B7">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(9)发包人应做的其他工作，双方在专用条款内约定。</w:t>
      </w:r>
    </w:p>
    <w:p w14:paraId="7A6FE360">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8．2发包人可以将8．1款部分工作委托承包人办理，双方在专用条款内约定。</w:t>
      </w:r>
    </w:p>
    <w:p w14:paraId="673F555B">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8．3发包人未能履行8．1款各项义务，导致工期延误或给承包人造成损失的，发包人赔偿承包人有关损失,顺延误的工期。</w:t>
      </w:r>
    </w:p>
    <w:p w14:paraId="4ACDE963">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9、承包人工作</w:t>
      </w:r>
    </w:p>
    <w:p w14:paraId="29F0DE37">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9．1承包人按专用条款约定的内容和时间完成以下工作；</w:t>
      </w:r>
    </w:p>
    <w:p w14:paraId="2FD249D0">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(1)根据发包人委托，在其设计资质等级和业务允许的范围内，完成施工图设计或工程配套的设计，经工程师确认后使用，发包人承担由此发生的费用；</w:t>
      </w:r>
    </w:p>
    <w:p w14:paraId="66359EE7">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(2)向工程师提供年、季、月度工程进度计划及相应进度</w:t>
      </w:r>
      <w:r>
        <w:rPr>
          <w:rFonts w:hint="eastAsia" w:ascii="宋体" w:hAnsi="宋体" w:eastAsia="宋体" w:cs="宋体"/>
          <w:color w:val="000000" w:themeColor="text1"/>
          <w:kern w:val="0"/>
          <w:sz w:val="21"/>
          <w:szCs w:val="21"/>
          <w:highlight w:val="none"/>
          <w14:textFill>
            <w14:solidFill>
              <w14:schemeClr w14:val="tx1"/>
            </w14:solidFill>
          </w14:textFill>
        </w:rPr>
        <w:t>统计报</w:t>
      </w:r>
      <w:r>
        <w:rPr>
          <w:rFonts w:hint="eastAsia" w:ascii="宋体" w:hAnsi="宋体" w:eastAsia="宋体" w:cs="宋体"/>
          <w:color w:val="000000" w:themeColor="text1"/>
          <w:spacing w:val="0"/>
          <w:kern w:val="0"/>
          <w:sz w:val="21"/>
          <w:szCs w:val="21"/>
          <w:highlight w:val="none"/>
          <w14:textFill>
            <w14:solidFill>
              <w14:schemeClr w14:val="tx1"/>
            </w14:solidFill>
          </w14:textFill>
        </w:rPr>
        <w:t>表；</w:t>
      </w:r>
    </w:p>
    <w:p w14:paraId="063E696E">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(3)根据工程需要，提供和维修非夜间施工使用的照明、围栏设施，并负责安全保卫；</w:t>
      </w:r>
    </w:p>
    <w:p w14:paraId="4A6F08B9">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(4)按专用条款约定的数量和要求，向发包人提供施工场地办公和生活的房屋设施，发包人承担由此发生的费用；</w:t>
      </w:r>
    </w:p>
    <w:p w14:paraId="15179060">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(5)遵守政府有关主管部门对施工场地交通、施工噪音以及环境保护和安全生产等的管理规定，按规定办理有关手续，并以书面形式通知发包人</w:t>
      </w:r>
      <w:r>
        <w:rPr>
          <w:rFonts w:hint="eastAsia" w:ascii="宋体" w:hAnsi="宋体" w:eastAsia="宋体" w:cs="宋体"/>
          <w:color w:val="000000" w:themeColor="text1"/>
          <w:kern w:val="0"/>
          <w:sz w:val="21"/>
          <w:szCs w:val="21"/>
          <w:highlight w:val="none"/>
          <w14:textFill>
            <w14:solidFill>
              <w14:schemeClr w14:val="tx1"/>
            </w14:solidFill>
          </w14:textFill>
        </w:rPr>
        <w:t>，发包人承担由此发生费用，因承包人造成的罚款除外；</w:t>
      </w:r>
    </w:p>
    <w:p w14:paraId="5C6999F5">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27A5AB2B">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(7)按专用条款约定做好施工场地地下管线和邻近建筑物、构筑物(包括文物保护建筑)古树名木的保护工作；</w:t>
      </w:r>
    </w:p>
    <w:p w14:paraId="7253792E">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(8)保证施工场地清洁符合环境卫生管理的有关规定，交工前清理现场到专用条款约定的要求，承担因自身原因违反有关规定造成的损失和罚款；</w:t>
      </w:r>
    </w:p>
    <w:p w14:paraId="4A76230D">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(9)承包人应做的其他工作，双方在专用条款内约定。</w:t>
      </w:r>
    </w:p>
    <w:p w14:paraId="411DB61C">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9．2承包人未能履行9．1款各项义务，造成发包人损失的，承包人赔偿发包人有关损失。</w:t>
      </w:r>
    </w:p>
    <w:p w14:paraId="02E21948">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三、施工组织设计和工期</w:t>
      </w:r>
    </w:p>
    <w:p w14:paraId="634A1EAC">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10、进度计划</w:t>
      </w:r>
    </w:p>
    <w:p w14:paraId="3BDC524C">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10．1承包人应按专用条款约定的日期，将施工组织设计</w:t>
      </w:r>
      <w:r>
        <w:rPr>
          <w:rFonts w:hint="eastAsia" w:ascii="宋体" w:hAnsi="宋体" w:eastAsia="宋体" w:cs="宋体"/>
          <w:color w:val="000000" w:themeColor="text1"/>
          <w:kern w:val="0"/>
          <w:sz w:val="21"/>
          <w:szCs w:val="21"/>
          <w:highlight w:val="none"/>
          <w14:textFill>
            <w14:solidFill>
              <w14:schemeClr w14:val="tx1"/>
            </w14:solidFill>
          </w14:textFill>
        </w:rPr>
        <w:t>和工程进</w:t>
      </w:r>
      <w:r>
        <w:rPr>
          <w:rFonts w:hint="eastAsia" w:ascii="宋体" w:hAnsi="宋体" w:eastAsia="宋体" w:cs="宋体"/>
          <w:color w:val="000000" w:themeColor="text1"/>
          <w:spacing w:val="0"/>
          <w:kern w:val="0"/>
          <w:sz w:val="21"/>
          <w:szCs w:val="21"/>
          <w:highlight w:val="none"/>
          <w14:textFill>
            <w14:solidFill>
              <w14:schemeClr w14:val="tx1"/>
            </w14:solidFill>
          </w14:textFill>
        </w:rPr>
        <w:t>度计划提交工程师，工程师按专用条款约定的时间予以确认或提出修改意见，逾期不确认也不提出书面意见的，视为同意。</w:t>
      </w:r>
    </w:p>
    <w:p w14:paraId="1FA61E9B">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10．2群体工程中单位工程分期进行施工的，承包人应按照发包人提供图纸及有关资料的时间，按单位工程编制进度计划，其具体内容双方在专用条款中约定。</w:t>
      </w:r>
    </w:p>
    <w:p w14:paraId="437F2CB1">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14:paraId="3710CBA2">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11、开工及延期开工</w:t>
      </w:r>
    </w:p>
    <w:p w14:paraId="7F0B9501">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11．1承包人应当按照协议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14:paraId="1845AB85">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11．2因发包人原因不能按照协议书约定的开工日期开工，工程师应以书面形式通知承包人，推迟开工日期。发包人赔偿承包人因延期开工造成的损失，并相应顺延工期。</w:t>
      </w:r>
    </w:p>
    <w:p w14:paraId="736DB115">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12、暂停施工</w:t>
      </w:r>
    </w:p>
    <w:p w14:paraId="498559AB">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工程师认为确有必要暂停施工时，应当以书面形式要求承包人暂停施工，并在提出要求后48小时</w:t>
      </w:r>
      <w:r>
        <w:rPr>
          <w:rFonts w:hint="eastAsia" w:ascii="宋体" w:hAnsi="宋体" w:eastAsia="宋体" w:cs="宋体"/>
          <w:color w:val="000000" w:themeColor="text1"/>
          <w:kern w:val="0"/>
          <w:sz w:val="21"/>
          <w:szCs w:val="21"/>
          <w:highlight w:val="none"/>
          <w14:textFill>
            <w14:solidFill>
              <w14:schemeClr w14:val="tx1"/>
            </w14:solidFill>
          </w14:textFill>
        </w:rPr>
        <w:t>内提出书面处理意见。承包人应当按工</w:t>
      </w:r>
      <w:r>
        <w:rPr>
          <w:rFonts w:hint="eastAsia" w:ascii="宋体" w:hAnsi="宋体" w:eastAsia="宋体" w:cs="宋体"/>
          <w:color w:val="000000" w:themeColor="text1"/>
          <w:spacing w:val="0"/>
          <w:kern w:val="0"/>
          <w:sz w:val="21"/>
          <w:szCs w:val="21"/>
          <w:highlight w:val="none"/>
          <w14:textFill>
            <w14:solidFill>
              <w14:schemeClr w14:val="tx1"/>
            </w14:solidFill>
          </w14:textFill>
        </w:rPr>
        <w:t>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65C8C363">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13、工期延误</w:t>
      </w:r>
    </w:p>
    <w:p w14:paraId="4C69A69E">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13．1因以下原因造成工期延误，经工程师确认，工期相应顺延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781F93DC">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(1)发包人未能按专用条款的约定提供图纸及开工条件；</w:t>
      </w:r>
    </w:p>
    <w:p w14:paraId="5F3086E5">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(2)发包人未能按约定日期支付工程预付款、进度款，致使施工不能正常进行；</w:t>
      </w:r>
    </w:p>
    <w:p w14:paraId="07CF6AF3">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(3)工程师未按合同约定提供所需指令、批准等，致使施工不能正常进行；</w:t>
      </w:r>
    </w:p>
    <w:p w14:paraId="204CD71A">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(4)设计变更和工程量增加；</w:t>
      </w:r>
    </w:p>
    <w:p w14:paraId="1AD156A7">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(5)一周内非承包人原因停水、停电、停气造成停工累计超过8小时；</w:t>
      </w:r>
    </w:p>
    <w:p w14:paraId="5CF5360F">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(6)不可抗力；</w:t>
      </w:r>
    </w:p>
    <w:p w14:paraId="1A7CA0A0">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(7)专用条款中约定或工程师同意工期顺延的其他情况。</w:t>
      </w:r>
    </w:p>
    <w:p w14:paraId="2CE76A7E">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13．2承包人在13．1款情况发生后14天内，就延误的工期以书面形式向工程师提出报告。工程师在收到报告后14天内予以确认，逾期不予确认也不提出修改意见，视为同意顺延工期。</w:t>
      </w:r>
    </w:p>
    <w:p w14:paraId="3326D9C8">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14、工程竣工</w:t>
      </w:r>
    </w:p>
    <w:p w14:paraId="2B5F2273">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14．1承包人必须按照协议约定的竣工日期或工程师同意顺延的工期竣工。</w:t>
      </w:r>
    </w:p>
    <w:p w14:paraId="79C92DEC">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14．2因承包人原因不能按照协议约定的竣工日期或工程师同意顺延的工期竣工的，承包人承担违约责任。</w:t>
      </w:r>
    </w:p>
    <w:p w14:paraId="35946692">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14．3施工中发包人如需提前竣工，双方协议一致后应签订提前竣工协议，作为合同文件组成部分。提前竣工协议应包括承包人为保证工程质量和安全采取的措施、发包人为提前竣工提供的条件以及提前竣工所需的追加合同价款等内容。</w:t>
      </w:r>
    </w:p>
    <w:p w14:paraId="4E19A8C8">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四、质量与检验</w:t>
      </w:r>
    </w:p>
    <w:p w14:paraId="70D29A6C">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15、工程质量</w:t>
      </w:r>
    </w:p>
    <w:p w14:paraId="71BA17CD">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15．1工程质量应当达到协议书约定的质量标准，质量标准的评定以国家或行业检验评定标准或按规划设计为依据。因承包人原因工程质量达不到约定的质量标准，承包人承担违约责任，</w:t>
      </w:r>
    </w:p>
    <w:p w14:paraId="173F7038">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15．2双方对工程质量有争议，由双方同意的工程质量检</w:t>
      </w:r>
      <w:r>
        <w:rPr>
          <w:rFonts w:hint="eastAsia" w:ascii="宋体" w:hAnsi="宋体" w:eastAsia="宋体" w:cs="宋体"/>
          <w:color w:val="000000" w:themeColor="text1"/>
          <w:kern w:val="0"/>
          <w:sz w:val="21"/>
          <w:szCs w:val="21"/>
          <w:highlight w:val="none"/>
          <w14:textFill>
            <w14:solidFill>
              <w14:schemeClr w14:val="tx1"/>
            </w14:solidFill>
          </w14:textFill>
        </w:rPr>
        <w:t>测机构鉴</w:t>
      </w:r>
      <w:r>
        <w:rPr>
          <w:rFonts w:hint="eastAsia" w:ascii="宋体" w:hAnsi="宋体" w:eastAsia="宋体" w:cs="宋体"/>
          <w:color w:val="000000" w:themeColor="text1"/>
          <w:spacing w:val="0"/>
          <w:kern w:val="0"/>
          <w:sz w:val="21"/>
          <w:szCs w:val="21"/>
          <w:highlight w:val="none"/>
          <w14:textFill>
            <w14:solidFill>
              <w14:schemeClr w14:val="tx1"/>
            </w14:solidFill>
          </w14:textFill>
        </w:rPr>
        <w:t>定，所需费用及因此造成的损失，由责任方承担。双方均有责任，由双方根据其责任分别承担。</w:t>
      </w:r>
    </w:p>
    <w:p w14:paraId="3C21A651">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16、检查和返工</w:t>
      </w:r>
    </w:p>
    <w:p w14:paraId="2F7DD521">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16．1承包人应认真按照标准、规范和设计图纸要求以及</w:t>
      </w:r>
      <w:r>
        <w:rPr>
          <w:rFonts w:hint="eastAsia" w:ascii="宋体" w:hAnsi="宋体" w:eastAsia="宋体" w:cs="宋体"/>
          <w:color w:val="000000" w:themeColor="text1"/>
          <w:kern w:val="0"/>
          <w:sz w:val="21"/>
          <w:szCs w:val="21"/>
          <w:highlight w:val="none"/>
          <w14:textFill>
            <w14:solidFill>
              <w14:schemeClr w14:val="tx1"/>
            </w14:solidFill>
          </w14:textFill>
        </w:rPr>
        <w:t>工程师依</w:t>
      </w:r>
      <w:r>
        <w:rPr>
          <w:rFonts w:hint="eastAsia" w:ascii="宋体" w:hAnsi="宋体" w:eastAsia="宋体" w:cs="宋体"/>
          <w:color w:val="000000" w:themeColor="text1"/>
          <w:spacing w:val="0"/>
          <w:kern w:val="0"/>
          <w:sz w:val="21"/>
          <w:szCs w:val="21"/>
          <w:highlight w:val="none"/>
          <w14:textFill>
            <w14:solidFill>
              <w14:schemeClr w14:val="tx1"/>
            </w14:solidFill>
          </w14:textFill>
        </w:rPr>
        <w:t>据合同发出的指令施工，随时接受工程师的检查检验，为检查检验提供便利条件。</w:t>
      </w:r>
    </w:p>
    <w:p w14:paraId="7D4966D6">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16．2工程质量达不到约定标准的部分，工程师一经发现，应要求承包人拆除和重新施工，承包人应按工程的要求拆除和重新施工，直到符合约定标准。因承包人原因达不到约定标准，由承包人承担拆除和重新施工的费用，工期不予顺延。</w:t>
      </w:r>
    </w:p>
    <w:p w14:paraId="2E1CAF55">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16．3工程师的检查检验不应影响施工正常进行。如影响施工正常进行，检查检验不合格时，影响正常施工后费用由承包人承担。除此之外影响正常施工的追加合同价款由发包人承担，相应顺延工期。</w:t>
      </w:r>
    </w:p>
    <w:p w14:paraId="51A0D78F">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16．4因工程师指令失误或其他非承包人原因发生的追加合同价款，由发包人承担。</w:t>
      </w:r>
    </w:p>
    <w:p w14:paraId="2B2C80A0">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17、隐蔽工程和中间验收</w:t>
      </w:r>
    </w:p>
    <w:p w14:paraId="62DDB4BA">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17．1工程具备隐蔽条件或达到专用条款约定的中间验收部位，承包人进行自检，并在隐蔽或中</w:t>
      </w:r>
      <w:r>
        <w:rPr>
          <w:rFonts w:hint="eastAsia" w:ascii="宋体" w:hAnsi="宋体" w:eastAsia="宋体" w:cs="宋体"/>
          <w:color w:val="000000" w:themeColor="text1"/>
          <w:kern w:val="0"/>
          <w:sz w:val="21"/>
          <w:szCs w:val="21"/>
          <w:highlight w:val="none"/>
          <w14:textFill>
            <w14:solidFill>
              <w14:schemeClr w14:val="tx1"/>
            </w14:solidFill>
          </w14:textFill>
        </w:rPr>
        <w:t>间验收前48小时以书面形式通知工程师</w:t>
      </w:r>
      <w:r>
        <w:rPr>
          <w:rFonts w:hint="eastAsia" w:ascii="宋体" w:hAnsi="宋体" w:eastAsia="宋体" w:cs="宋体"/>
          <w:color w:val="000000" w:themeColor="text1"/>
          <w:spacing w:val="0"/>
          <w:kern w:val="0"/>
          <w:sz w:val="21"/>
          <w:szCs w:val="21"/>
          <w:highlight w:val="none"/>
          <w14:textFill>
            <w14:solidFill>
              <w14:schemeClr w14:val="tx1"/>
            </w14:solidFill>
          </w14:textFill>
        </w:rPr>
        <w:t>验收。通知包括隐蔽和中间验收的内容、验收时间和地点。承包人准备验收记录，验收合格，工程师在验收记录上签字后，承包人可进行隐蔽和继续施工。验收不合格，承包人在工程师限定时间内修改后重新验收。</w:t>
      </w:r>
    </w:p>
    <w:p w14:paraId="13FC0BE6">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17．2工程师不能按时进行验收，应在验收前24小时以书面形式向承包人提出延期要求，不进行验收，承包人可自行组织验收，工程师应承认验收记录。</w:t>
      </w:r>
    </w:p>
    <w:p w14:paraId="48BABB80">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17．3经工程师验收，工程质量符合标准、规范和设计图纸等要求，验收24小时后工程师在验收记录上签字，视为工程师已经认可验收记录，承包人可进行隐蔽或继续施工。</w:t>
      </w:r>
    </w:p>
    <w:p w14:paraId="2B4391A8">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18、重新检验</w:t>
      </w:r>
    </w:p>
    <w:p w14:paraId="010C3AA6">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无论工程师是否进行验收，当其要求对已经隐蔽的工程重新检验时，承包人应按要求进行剥离或开孔，并在检验后重新覆盖或修复。检验合格，发包人承担由此延工期。检验不合格，承包人承担发生的全部费用，工期不予顺延。</w:t>
      </w:r>
    </w:p>
    <w:p w14:paraId="58D84AEB">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19、工程试车</w:t>
      </w:r>
    </w:p>
    <w:p w14:paraId="7577D7FA">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19．1双方约定需要试车的，试车内容应与承包人承包的安装范围相一致。</w:t>
      </w:r>
    </w:p>
    <w:p w14:paraId="4887C901">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14:paraId="3DEE62E4">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19．3工程师不能按时参加试车，须在开始试车前24小时以书面</w:t>
      </w:r>
      <w:r>
        <w:rPr>
          <w:rFonts w:hint="eastAsia" w:ascii="宋体" w:hAnsi="宋体" w:eastAsia="宋体" w:cs="宋体"/>
          <w:color w:val="000000" w:themeColor="text1"/>
          <w:kern w:val="0"/>
          <w:sz w:val="21"/>
          <w:szCs w:val="21"/>
          <w:highlight w:val="none"/>
          <w14:textFill>
            <w14:solidFill>
              <w14:schemeClr w14:val="tx1"/>
            </w14:solidFill>
          </w14:textFill>
        </w:rPr>
        <w:t>形</w:t>
      </w:r>
      <w:r>
        <w:rPr>
          <w:rFonts w:hint="eastAsia" w:ascii="宋体" w:hAnsi="宋体" w:eastAsia="宋体" w:cs="宋体"/>
          <w:color w:val="000000" w:themeColor="text1"/>
          <w:spacing w:val="0"/>
          <w:kern w:val="0"/>
          <w:sz w:val="21"/>
          <w:szCs w:val="21"/>
          <w:highlight w:val="none"/>
          <w14:textFill>
            <w14:solidFill>
              <w14:schemeClr w14:val="tx1"/>
            </w14:solidFill>
          </w14:textFill>
        </w:rPr>
        <w:t>式向承包人提出延期要求，延期不能超过48小时。工程师未能按以上时间提出延期要求，不参加试车，应承认试车记录。</w:t>
      </w:r>
    </w:p>
    <w:p w14:paraId="7DE04F05">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19．4设备安装工程具备无负荷联动试车条件，发包人组织试车，并在试车前48小时以书面形式通知承包人</w:t>
      </w:r>
      <w:r>
        <w:rPr>
          <w:rFonts w:hint="eastAsia" w:ascii="宋体" w:hAnsi="宋体" w:eastAsia="宋体" w:cs="宋体"/>
          <w:color w:val="000000" w:themeColor="text1"/>
          <w:kern w:val="0"/>
          <w:sz w:val="21"/>
          <w:szCs w:val="21"/>
          <w:highlight w:val="none"/>
          <w14:textFill>
            <w14:solidFill>
              <w14:schemeClr w14:val="tx1"/>
            </w14:solidFill>
          </w14:textFill>
        </w:rPr>
        <w:t>。通知包括试车内容、时间、</w:t>
      </w:r>
      <w:r>
        <w:rPr>
          <w:rFonts w:hint="eastAsia" w:ascii="宋体" w:hAnsi="宋体" w:eastAsia="宋体" w:cs="宋体"/>
          <w:color w:val="000000" w:themeColor="text1"/>
          <w:spacing w:val="0"/>
          <w:kern w:val="0"/>
          <w:sz w:val="21"/>
          <w:szCs w:val="21"/>
          <w:highlight w:val="none"/>
          <w14:textFill>
            <w14:solidFill>
              <w14:schemeClr w14:val="tx1"/>
            </w14:solidFill>
          </w14:textFill>
        </w:rPr>
        <w:t>地点和对承包人的要求，承包人按要求做好准备工作。试车合格，双方在试车记录上签字。</w:t>
      </w:r>
    </w:p>
    <w:p w14:paraId="1647C58D">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19．5双方责任</w:t>
      </w:r>
    </w:p>
    <w:p w14:paraId="10BD985D">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(1)由于设计原因试车达不到验收要求，发包人应要求设计单位修改设计，承包人按修改后的设计重新安装。发包人承担修改设计、拆除及重新安装的全部费用和追加合同价款，工期相应顺延。</w:t>
      </w:r>
    </w:p>
    <w:p w14:paraId="30F7DC41">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由于设备质量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r>
        <w:rPr>
          <w:rFonts w:hint="eastAsia" w:ascii="宋体" w:hAnsi="宋体" w:eastAsia="宋体" w:cs="宋体"/>
          <w:color w:val="000000" w:themeColor="text1"/>
          <w:spacing w:val="22"/>
          <w:sz w:val="21"/>
          <w:szCs w:val="21"/>
          <w:highlight w:val="none"/>
          <w14:textFill>
            <w14:solidFill>
              <w14:schemeClr w14:val="tx1"/>
            </w14:solidFill>
          </w14:textFill>
        </w:rPr>
        <w:t>。</w:t>
      </w:r>
    </w:p>
    <w:p w14:paraId="4356E343">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(3)由于承包人施工原因试车达不到要求，承包人按工程师要求重新安装和试车，并承担重新安装和试车的费用，工期不予顺延。</w:t>
      </w:r>
    </w:p>
    <w:p w14:paraId="6E25FDDE">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(4)试车费用除已包括在合同价款之内或专用条款另有约定外，均由发包人承担。</w:t>
      </w:r>
    </w:p>
    <w:p w14:paraId="74E911A8">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(5)工程师在试车合格后不在试车记录上签字，试车结束24小时后，视为工程师已经认可试车记录，承包人可继续施工或办理竣工手续。</w:t>
      </w:r>
    </w:p>
    <w:p w14:paraId="2E61C7FF">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19．6投料试车应在工程竣工验收后由发包人负责，如发包人要求在工程竣工验收前进行或需要承包人配合时，应征得承包人同意，另行签订补充协议。</w:t>
      </w:r>
    </w:p>
    <w:p w14:paraId="44C1827F">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五、安全施工</w:t>
      </w:r>
    </w:p>
    <w:p w14:paraId="4BAEC835">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20、安全施工与检查</w:t>
      </w:r>
    </w:p>
    <w:p w14:paraId="3B97219F">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14:paraId="00847B83">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20．2承包人应对其在施工场地的工作人员进行安全教育，并对他们的安全负责。发包人不得要求承包人违反安全管理的规定进行施工。因发包人原因导致的安全事故，由发包人承担相应责任及发生的费用。</w:t>
      </w:r>
    </w:p>
    <w:p w14:paraId="0B6F8ADA">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21、安全防护</w:t>
      </w:r>
    </w:p>
    <w:p w14:paraId="7FF2433C">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21．1承包人在动力设备、输电线路、地下管道、密封防震车间、易燃易爆地段以及临街交通要道附近施工时，施工开始前应向工程师提出安全防护措施，经工程师认可后实施，防护措施费用由承包人承担。</w:t>
      </w:r>
    </w:p>
    <w:p w14:paraId="468885BE">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21．2实施爆破作业，在放射、毒害性环境中施工(含储存、运输、使用)及使用毒害性、腐蚀性物品施工时，承包人应在施工前14天以书面形式通知工程师，并提出相应的安全防护措施，经工程师认可后实施，由承包人承担安全防护措施费用。</w:t>
      </w:r>
    </w:p>
    <w:p w14:paraId="0150CB28">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22、事故处理</w:t>
      </w:r>
    </w:p>
    <w:p w14:paraId="51C83C81">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22．1发生重大伤亡及其他安全事故，承包人应按有关规定立即上报有关部门并通知工程师，同时按政府有关部门要求处理，由事故责任方承担发生的费用。</w:t>
      </w:r>
    </w:p>
    <w:p w14:paraId="15DACCE2">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22．2发包人承包人对事故责任有争议时，应按政府有关部门的</w:t>
      </w:r>
      <w:r>
        <w:rPr>
          <w:rFonts w:hint="eastAsia" w:ascii="宋体" w:hAnsi="宋体" w:eastAsia="宋体" w:cs="宋体"/>
          <w:color w:val="000000" w:themeColor="text1"/>
          <w:kern w:val="0"/>
          <w:sz w:val="21"/>
          <w:szCs w:val="21"/>
          <w:highlight w:val="none"/>
          <w14:textFill>
            <w14:solidFill>
              <w14:schemeClr w14:val="tx1"/>
            </w14:solidFill>
          </w14:textFill>
        </w:rPr>
        <w:t>认</w:t>
      </w:r>
      <w:r>
        <w:rPr>
          <w:rFonts w:hint="eastAsia" w:ascii="宋体" w:hAnsi="宋体" w:eastAsia="宋体" w:cs="宋体"/>
          <w:color w:val="000000" w:themeColor="text1"/>
          <w:spacing w:val="0"/>
          <w:kern w:val="0"/>
          <w:sz w:val="21"/>
          <w:szCs w:val="21"/>
          <w:highlight w:val="none"/>
          <w14:textFill>
            <w14:solidFill>
              <w14:schemeClr w14:val="tx1"/>
            </w14:solidFill>
          </w14:textFill>
        </w:rPr>
        <w:t>定处理。</w:t>
      </w:r>
    </w:p>
    <w:p w14:paraId="4C0B2965">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六、合同价款与支付</w:t>
      </w:r>
    </w:p>
    <w:p w14:paraId="6A9E4391">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23、合同价款及调整</w:t>
      </w:r>
    </w:p>
    <w:p w14:paraId="3981C185">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23．1招标工程的合同价款由发包人承包人依据中标通知书中的中标价格在协议书内约定。非招标工程的合同价款由发包人与承包人依据工程预算书在协议书内约定。</w:t>
      </w:r>
    </w:p>
    <w:p w14:paraId="2AD6BD45">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23．2合同价款在协议书内约定后，任何一方不得擅自改变。下列三种确定合同价款的方式，双方可在专用条款内约定采用其中一种：</w:t>
      </w:r>
    </w:p>
    <w:p w14:paraId="66086B8A">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(1)固定价格合同。双方在专用条款内约定合同价款包含的风险范围和风险费用的计算方法，在约定的风险范围内合同价款不再调整，风险范围以外的合同价款调整方法，应当在专用条款内约定。</w:t>
      </w:r>
    </w:p>
    <w:p w14:paraId="2AD9FFE8">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(2)可调价格合同。合同价款可根据双方的约定而调整，双方在专用条款内约定合同价款调整方法。</w:t>
      </w:r>
    </w:p>
    <w:p w14:paraId="591F16F2">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(3)成本加酬金合同。合同价款包括成本和酬金两部分，双方在专用条款内约定成本构成和酬金的计算方法。</w:t>
      </w:r>
    </w:p>
    <w:p w14:paraId="5428FE17">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23．3可调价格合同中合同价款的调整因素包括：</w:t>
      </w:r>
    </w:p>
    <w:p w14:paraId="336FCFEB">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(1)法律、行政法规和国家有关政策变化影响合同价款；</w:t>
      </w:r>
    </w:p>
    <w:p w14:paraId="2D803E27">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(2)工程造价管理部门公布的价格调整；</w:t>
      </w:r>
    </w:p>
    <w:p w14:paraId="17F84D6D">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(3)一周内非承包人原因停水、停电、停气造成停工累计超过8小时；</w:t>
      </w:r>
    </w:p>
    <w:p w14:paraId="5F9C2C06">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(4)双方约定的其他因素。</w:t>
      </w:r>
    </w:p>
    <w:p w14:paraId="50CBAEAE">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23．4承包人应当在23．3款情况发生后14天内，将调整原因、金额以书面形式通知工程师，工程师确认调整金额后作为追加合同价款，与工程同期支付。工程师收到承包人通知后14天内不予确认也不提出修改意见，视为已经同意该项调整。</w:t>
      </w:r>
    </w:p>
    <w:p w14:paraId="5FFBAADD">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24、</w:t>
      </w:r>
      <w:r>
        <w:rPr>
          <w:rFonts w:hint="eastAsia" w:ascii="宋体" w:hAnsi="宋体" w:eastAsia="宋体" w:cs="宋体"/>
          <w:color w:val="000000" w:themeColor="text1"/>
          <w:spacing w:val="0"/>
          <w:kern w:val="0"/>
          <w:sz w:val="21"/>
          <w:szCs w:val="21"/>
          <w:highlight w:val="none"/>
          <w14:textFill>
            <w14:solidFill>
              <w14:schemeClr w14:val="tx1"/>
            </w14:solidFill>
          </w14:textFill>
        </w:rPr>
        <w:t>工程预付款</w:t>
      </w:r>
    </w:p>
    <w:p w14:paraId="6116925E">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14:paraId="2AC86E22">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25、工程量的确认</w:t>
      </w:r>
    </w:p>
    <w:p w14:paraId="29F7528D">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25．1承包人应按专用条款约定的时间，向工程师提交已完工程量的报告。工程师接到报告后7天内按设计图纸核实已完工程量(以下称计量)，并在计量前24小时通知承包人，承包人为计量提供便利条件并派人参加。如承包人收到通知后不参加计量的，计量结果有效，作为工程价款支付的依据。</w:t>
      </w:r>
    </w:p>
    <w:p w14:paraId="4ECF6371">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25．2工程师收到承包人报告后7天内未进行计量，从第8天起，承包人报告中开列的工程量即视为被确认，作为工程价款支付的依据。工程师不按约定时间通知承包人，致使承包人未能参加计量的，计量结果无效。</w:t>
      </w:r>
    </w:p>
    <w:p w14:paraId="74EE6F87">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25．3对承包人超出设计图纸范围和因承包人原因造成返工的工程量，工程师不予计量。</w:t>
      </w:r>
    </w:p>
    <w:p w14:paraId="689B05D7">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26、工程款(进度款)支付</w:t>
      </w:r>
    </w:p>
    <w:p w14:paraId="4B7EE14D">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26．1在确认计量结果后14天内，发包人应向承包人支付工程款(进度款)。按约定时间发包人应扣回的预付款，与工程款(进度款)同期结算。</w:t>
      </w:r>
    </w:p>
    <w:p w14:paraId="543A0424">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26．2本通用条款第23条确定调整的合同价款，第31条工程变更调整的合同价款及其他条款中约定的追加合同价款，应与工程款(进度款)同期调整支付。</w:t>
      </w:r>
    </w:p>
    <w:p w14:paraId="2B94E141">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26．3发包人约定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p>
    <w:p w14:paraId="69CD6AD2">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26．4发包人不按合同约定支付工程款(进度款)，双方又未达成延期付款协议，导致施工无法进行，承包人可停止施工，由发包人承担违约责任。</w:t>
      </w:r>
    </w:p>
    <w:p w14:paraId="7FC93D28">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七、材料设备供应</w:t>
      </w:r>
    </w:p>
    <w:p w14:paraId="2E515490">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27、发包人供应材料设备</w:t>
      </w:r>
    </w:p>
    <w:p w14:paraId="6298568B">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27．1实行发包人供应材料设备的，双方应当约定发包人供应材料设备的一览表，作为本合同附件(附件2)。一览表包括发包人供应材料设备的品种、规格、型号、数量、单价、质量等级、提供时间和地点。</w:t>
      </w:r>
    </w:p>
    <w:p w14:paraId="58F32CC7">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27．2发包人按一览表约定的内容提供材料设备，并向承包人提供产品合格证明，对其质量负责。发包人在所供材料设备到货前24小时，以书面形式通知承包人，由承包人派人与发包人共同清点。</w:t>
      </w:r>
    </w:p>
    <w:p w14:paraId="5868ADDE">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27．3发包人供应的材料设备，承包人派人参加清点后由承包人妥善保管，发包人支付相应保管费用。因承包人原因发生丢失损坏，由承包人负责赔偿。</w:t>
      </w:r>
    </w:p>
    <w:p w14:paraId="364FB1B6">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发包人未通知承包人清点，承包人不负责材料设备的保管，丢失损坏由发包人负责。</w:t>
      </w:r>
    </w:p>
    <w:p w14:paraId="56BECD42">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27．4发包人供应的材料设备与一览表不符时，发包人承担有关责任。发包人应承担责任的具体内容，双方根据下列情况在专用条款内约定：</w:t>
      </w:r>
    </w:p>
    <w:p w14:paraId="288561F8">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(1)材料设备单价与一览表不符，由发包人承担所有价差；</w:t>
      </w:r>
    </w:p>
    <w:p w14:paraId="29DE505C">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(2)材料设备的品种、规格、型号、质量等级与一览表不符，承包人可拒绝接收保管，由发包人运出施工场地并重新采购；</w:t>
      </w:r>
    </w:p>
    <w:p w14:paraId="6B61F147">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发包人供应的材料规格、型号与一览表不符，经发包人同意，</w:t>
      </w:r>
      <w:r>
        <w:rPr>
          <w:rFonts w:hint="eastAsia" w:ascii="宋体" w:hAnsi="宋体" w:eastAsia="宋体" w:cs="宋体"/>
          <w:color w:val="000000" w:themeColor="text1"/>
          <w:spacing w:val="0"/>
          <w:kern w:val="0"/>
          <w:sz w:val="21"/>
          <w:szCs w:val="21"/>
          <w:highlight w:val="none"/>
          <w14:textFill>
            <w14:solidFill>
              <w14:schemeClr w14:val="tx1"/>
            </w14:solidFill>
          </w14:textFill>
        </w:rPr>
        <w:t>承包人可代为调剂串换，由发包人承担相应费用；</w:t>
      </w:r>
    </w:p>
    <w:p w14:paraId="0B883830">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(4)到货地点与一览表不符，由发包人负责运至一览表指定地点；</w:t>
      </w:r>
    </w:p>
    <w:p w14:paraId="70BCF989">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(5)供应数量少于一览表的数量时，由发包人补齐，多于一览表约定数量时，发包人负责将多出部份运出施工场地；</w:t>
      </w:r>
    </w:p>
    <w:p w14:paraId="1FEC66BE">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(6)到货时间早于一览表约定时间，由发包人承担因此发生的保管费用；到货时间迟于一览表约定时间的供应时间，发包人赔偿由此造成的承包人损失，造成工期延误的，相应顺延工期；</w:t>
      </w:r>
    </w:p>
    <w:p w14:paraId="33C705DA">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27．5发包人供应的材料设备使用前，由承包人负责检验或试验，不合格的不得使用，检验或试验费用由发包人承担。</w:t>
      </w:r>
    </w:p>
    <w:p w14:paraId="209FBD4A">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27．6发包人供应材料设备的结算方法，双方在专用条款内约定。</w:t>
      </w:r>
    </w:p>
    <w:p w14:paraId="4098DFBC">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28、承包人采购材料设备</w:t>
      </w:r>
    </w:p>
    <w:p w14:paraId="2C2CF05D">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28．1承包人负责采购材料设备的，应按照专用条款约定及</w:t>
      </w:r>
      <w:r>
        <w:rPr>
          <w:rFonts w:hint="eastAsia" w:ascii="宋体" w:hAnsi="宋体" w:eastAsia="宋体" w:cs="宋体"/>
          <w:color w:val="000000" w:themeColor="text1"/>
          <w:kern w:val="0"/>
          <w:sz w:val="21"/>
          <w:szCs w:val="21"/>
          <w:highlight w:val="none"/>
          <w14:textFill>
            <w14:solidFill>
              <w14:schemeClr w14:val="tx1"/>
            </w14:solidFill>
          </w14:textFill>
        </w:rPr>
        <w:t>设计和</w:t>
      </w:r>
      <w:r>
        <w:rPr>
          <w:rFonts w:hint="eastAsia" w:ascii="宋体" w:hAnsi="宋体" w:eastAsia="宋体" w:cs="宋体"/>
          <w:color w:val="000000" w:themeColor="text1"/>
          <w:spacing w:val="0"/>
          <w:kern w:val="0"/>
          <w:sz w:val="21"/>
          <w:szCs w:val="21"/>
          <w:highlight w:val="none"/>
          <w14:textFill>
            <w14:solidFill>
              <w14:schemeClr w14:val="tx1"/>
            </w14:solidFill>
          </w14:textFill>
        </w:rPr>
        <w:t>有关标准要求采购，并提供产品合格证明，对材料设备质量负责。承包人在材料设备到货前24水时通知工程师清点。</w:t>
      </w:r>
    </w:p>
    <w:p w14:paraId="0035F3E5">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28．2承包人采购的材料设备与设计或标准要求不符时，承包人应按工程师要求的时间运出施工场地，重新采购符合要求的产品，承担由此发生的费用，由此延误的工期不予顺延。</w:t>
      </w:r>
    </w:p>
    <w:p w14:paraId="79AC7EAA">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28．3承包人采购的材料设备在使用前，承包人应按工程师的要求进行检验或试验，不合格的不得使用，检验或试验费用由承包人承担。</w:t>
      </w:r>
    </w:p>
    <w:p w14:paraId="62B2F367">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28．4工程师发现承包人采购并使用不符合设计和标准要求的材料设备时，应要求承包人负责修复、拆除或重新采购，由承包人承担发生的费用，由此延误的工期不予顺延。</w:t>
      </w:r>
    </w:p>
    <w:p w14:paraId="3FCE2162">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28．5承包人需要使用代用材料时，应经工程师认可后才能使用，由此增减的合同价款双方以书面形式议定。</w:t>
      </w:r>
    </w:p>
    <w:p w14:paraId="5EA1DD45">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28．6由承包人采购的材料设备，发包人不得指定生产厂或供应商。</w:t>
      </w:r>
    </w:p>
    <w:p w14:paraId="21D383B1">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八、工程变更</w:t>
      </w:r>
    </w:p>
    <w:p w14:paraId="7AB51142">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29、工程设计变更</w:t>
      </w:r>
    </w:p>
    <w:p w14:paraId="46794ACD">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14:paraId="7AE9DEAA">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(1)更改工程有关部分的标高、基线、位置和尺寸；</w:t>
      </w:r>
    </w:p>
    <w:p w14:paraId="016CAD4B">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(2)增减合同中约定的工程量；</w:t>
      </w:r>
    </w:p>
    <w:p w14:paraId="2DA7C954">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(3)改变有关工程的施工时间和顺序；</w:t>
      </w:r>
    </w:p>
    <w:p w14:paraId="66532A84">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(4)其他有关工程变更需要的附加工作。</w:t>
      </w:r>
    </w:p>
    <w:p w14:paraId="4198DF2E">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因变更导致合同价款的增减及造成的承包人损失，由发包人承担，延误的工期相应顺延。</w:t>
      </w:r>
    </w:p>
    <w:p w14:paraId="096F1577">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29．2施工中承包人不得对原工程设计进行变更。因承包人擅自变更设计发生的费用和由此导致发包人的直接损失，由承包人承担，延误的工期不予顺延。</w:t>
      </w:r>
    </w:p>
    <w:p w14:paraId="5FB62266">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29．3承包人在施工中提出的合理化建议涉及到对设计图纸或施工组织设计的更改及对材料、设备的换用,须经工程师同意。未经同意</w:t>
      </w:r>
      <w:r>
        <w:rPr>
          <w:rFonts w:hint="eastAsia" w:ascii="宋体" w:hAnsi="宋体" w:eastAsia="宋体" w:cs="宋体"/>
          <w:color w:val="000000" w:themeColor="text1"/>
          <w:kern w:val="0"/>
          <w:sz w:val="21"/>
          <w:szCs w:val="21"/>
          <w:highlight w:val="none"/>
          <w14:textFill>
            <w14:solidFill>
              <w14:schemeClr w14:val="tx1"/>
            </w14:solidFill>
          </w14:textFill>
        </w:rPr>
        <w:t>擅</w:t>
      </w:r>
      <w:r>
        <w:rPr>
          <w:rFonts w:hint="eastAsia" w:ascii="宋体" w:hAnsi="宋体" w:eastAsia="宋体" w:cs="宋体"/>
          <w:color w:val="000000" w:themeColor="text1"/>
          <w:spacing w:val="0"/>
          <w:kern w:val="0"/>
          <w:sz w:val="21"/>
          <w:szCs w:val="21"/>
          <w:highlight w:val="none"/>
          <w14:textFill>
            <w14:solidFill>
              <w14:schemeClr w14:val="tx1"/>
            </w14:solidFill>
          </w14:textFill>
        </w:rPr>
        <w:t>自更改或换用时,承包人承担由此发生的费用,并赔偿发包人的有关损失,延误的工期不予顺延。</w:t>
      </w:r>
    </w:p>
    <w:p w14:paraId="6DDBC623">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工程师同意采用承包人的合理化建议，所发生的费用和获得的收益，发包人承包人另行约定分担或分享。</w:t>
      </w:r>
    </w:p>
    <w:p w14:paraId="453017E6">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30、其他变更</w:t>
      </w:r>
    </w:p>
    <w:p w14:paraId="695D976E">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合同履行中发包人要求变更工程质量标准及发生其他实质性变更，由双方协商解决。</w:t>
      </w:r>
    </w:p>
    <w:p w14:paraId="047C3804">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31．确定变更价款</w:t>
      </w:r>
    </w:p>
    <w:p w14:paraId="1F3A0F9B">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31．1承包人在工程变更确定后14天内，提出变更工程价款的报告，经工程师确认后调整合同价款。变更合同价款按下列方法进行：</w:t>
      </w:r>
    </w:p>
    <w:p w14:paraId="71A7BE85">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(1)合同中已有适用于变更工程的价格，按合同已有的价格变更合同价款；</w:t>
      </w:r>
    </w:p>
    <w:p w14:paraId="5AA427C5">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(2)合同中只有类似于变更工程的价格，可以参照类似价格，可以参照类似价格变更合同价款；</w:t>
      </w:r>
    </w:p>
    <w:p w14:paraId="6DA1C10F">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(3)合同中没有适用或类似于变更工程的价格，由承包人提出适当的变更价格，经工程师确认后执行。</w:t>
      </w:r>
    </w:p>
    <w:p w14:paraId="7DA18409">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31．2承包人在双方确定变更后14天内不向工程师提出变更工程价款报告时，视为该项变更不涉及合同价款的变更。</w:t>
      </w:r>
    </w:p>
    <w:p w14:paraId="1B87EA70">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31．3工程师应在收到变更工程价款报告之日起14天内予以确认，工程师无正当理由不确认时，自变更工程价款报告送达之日起14天后视为变更工程价款报告已被确认。</w:t>
      </w:r>
    </w:p>
    <w:p w14:paraId="6D54A710">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31．4工程师不同意承包人提出的变更价款，按本通用条款第37条关于争议的约定处理。</w:t>
      </w:r>
    </w:p>
    <w:p w14:paraId="2F2CB07A">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31．5工程师确认增加的工程变更价款作为追加合同价款，与工程款同期支付。</w:t>
      </w:r>
    </w:p>
    <w:p w14:paraId="02D51D68">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31．6因承包人自身原因导致的工程变更，承包人无权要求追加合同价款。</w:t>
      </w:r>
    </w:p>
    <w:p w14:paraId="7079C85F">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九、竣工验收与结算</w:t>
      </w:r>
    </w:p>
    <w:p w14:paraId="67362697">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32、竣工验收</w:t>
      </w:r>
    </w:p>
    <w:p w14:paraId="6F789920">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32．1工程具备竣工验收条件，承包人按国家工程竣工验收有关规定，向发包人提供完整竣工资料及竣工验收报告。双方约定由承包人提供竣工图的，应当在专用条款内约定提供的日期和份数。</w:t>
      </w:r>
    </w:p>
    <w:p w14:paraId="4A801224">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32．2发包人收到竣工验收报告后28天内组织有关单位验收，并在验收后14天内给予认可或提出修改意见。承包人按要求修改，并承担由自身原因造成修改的费用。</w:t>
      </w:r>
    </w:p>
    <w:p w14:paraId="1E043005">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32．3发包人收到承包人送交的竣工验收报告后28天内不组织验收</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或验收后14天内不提出修改意见，视为竣工验收已被认可。</w:t>
      </w:r>
    </w:p>
    <w:p w14:paraId="289E61EA">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32．4工程竣工验收通过，承包人送交竣工验收报告的日期为实</w:t>
      </w:r>
      <w:r>
        <w:rPr>
          <w:rFonts w:hint="eastAsia" w:ascii="宋体" w:hAnsi="宋体" w:eastAsia="宋体" w:cs="宋体"/>
          <w:color w:val="000000" w:themeColor="text1"/>
          <w:kern w:val="0"/>
          <w:sz w:val="21"/>
          <w:szCs w:val="21"/>
          <w:highlight w:val="none"/>
          <w14:textFill>
            <w14:solidFill>
              <w14:schemeClr w14:val="tx1"/>
            </w14:solidFill>
          </w14:textFill>
        </w:rPr>
        <w:t>际</w:t>
      </w:r>
      <w:r>
        <w:rPr>
          <w:rFonts w:hint="eastAsia" w:ascii="宋体" w:hAnsi="宋体" w:eastAsia="宋体" w:cs="宋体"/>
          <w:color w:val="000000" w:themeColor="text1"/>
          <w:spacing w:val="0"/>
          <w:kern w:val="0"/>
          <w:sz w:val="21"/>
          <w:szCs w:val="21"/>
          <w:highlight w:val="none"/>
          <w14:textFill>
            <w14:solidFill>
              <w14:schemeClr w14:val="tx1"/>
            </w14:solidFill>
          </w14:textFill>
        </w:rPr>
        <w:t>竣工日期。工程按发包人要求修改后通过竣工验收的，实际竣工日期为承包人修改后提请发包人验收的日期。</w:t>
      </w:r>
    </w:p>
    <w:p w14:paraId="2A252F1C">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32．5发包人收到承包人竣工验收报告后28天内不组织验收，从第29天起承担工程保管及一切意外责任。</w:t>
      </w:r>
    </w:p>
    <w:p w14:paraId="0040CD57">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32．6中间交工工程的范围和竣工时间，双方在专用条款内约定，其验收程序按本通用条款32.1款至32.4款办理。</w:t>
      </w:r>
    </w:p>
    <w:p w14:paraId="041957B5">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32.7因特殊原因，发包人要求部分单位工程或工程部位甩项竣工的，双方另行签订甩项竣工协议，明确双方责任和工程价款的支付方法。</w:t>
      </w:r>
    </w:p>
    <w:p w14:paraId="2A94CF0A">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32.8工程未经竣工验收或竣工验收未通过的，发包人不得使用</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pacing w:val="0"/>
          <w:kern w:val="0"/>
          <w:sz w:val="21"/>
          <w:szCs w:val="21"/>
          <w:highlight w:val="none"/>
          <w14:textFill>
            <w14:solidFill>
              <w14:schemeClr w14:val="tx1"/>
            </w14:solidFill>
          </w14:textFill>
        </w:rPr>
        <w:t>发包人强行使用时，由此发生的质量问题及其他问题，由发包人承担责任。</w:t>
      </w:r>
    </w:p>
    <w:p w14:paraId="4EC4076B">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33、竣工结算</w:t>
      </w:r>
    </w:p>
    <w:p w14:paraId="48449458">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33．1工程竣工验收报告经发包人认可后28天内，承包人向发包人递交竣工结算报告及完整的结算资料，双方按照协议书约定的合同价款及专用条款约定的合同价款调整内容，进行工程竣工结算。</w:t>
      </w:r>
    </w:p>
    <w:p w14:paraId="450C7D31">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33．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14:paraId="07D8F620">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33．3发包人收到竣工结算报告后天内无正当理由不支付工程竣工结算价款的80%，从第天起按承包人同期向银行贷款利率支付拖欠工程价款的利息，并承担违约责任。</w:t>
      </w:r>
    </w:p>
    <w:p w14:paraId="53AF3293">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33．4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14:paraId="5CAEDF21">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33．5发包人承包人对工程竣工结算价款发生争议时,按本通用条款第37条关于争议的约定处理</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p>
    <w:p w14:paraId="62F16D00">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34、质量保修</w:t>
      </w:r>
    </w:p>
    <w:p w14:paraId="6CC754C0">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34．1承包人应按法律、行政法规或国家关于工程质量保修的有关规定，对交付发包人使用的工程在质量保修期内承担质量保修责任。</w:t>
      </w:r>
    </w:p>
    <w:p w14:paraId="0A17E6EF">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34．2质量保修工作的实施。承包人应在工程竣工验收之前，与发包人签订质量保修书，作为本合同附件(附件3)。</w:t>
      </w:r>
    </w:p>
    <w:p w14:paraId="03D2C341">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34．3质量保修书的主要内容包括：</w:t>
      </w:r>
    </w:p>
    <w:p w14:paraId="35D8E444">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(1)质量保修项目内容及范围；</w:t>
      </w:r>
    </w:p>
    <w:p w14:paraId="2CF47293">
      <w:pPr>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(2)质量保修期；</w:t>
      </w:r>
    </w:p>
    <w:p w14:paraId="7C11848E">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(3)质量保修责任；</w:t>
      </w:r>
    </w:p>
    <w:p w14:paraId="68A28E04">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(4)质量保修金的支付方法。</w:t>
      </w:r>
    </w:p>
    <w:p w14:paraId="4F976D3B">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十、违约、索赔和争议</w:t>
      </w:r>
    </w:p>
    <w:p w14:paraId="4917CAEF">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35、违约</w:t>
      </w:r>
    </w:p>
    <w:p w14:paraId="1A32E317">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35．1发包人违约。当发生下列情况时：</w:t>
      </w:r>
    </w:p>
    <w:p w14:paraId="6FB631F1">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(1)本通用条款第24条提到的发包人不按时支付工程预付款；</w:t>
      </w:r>
    </w:p>
    <w:p w14:paraId="54C44FAD">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(2)本通用条款第26.4款提到的发包人不按合同约定支付工程款，导致施工无法进行；</w:t>
      </w:r>
    </w:p>
    <w:p w14:paraId="1712D2E1">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(3)本通用条款第33.3款提到的发包人无正当理由不支付工程竣工结算价款；</w:t>
      </w:r>
    </w:p>
    <w:p w14:paraId="2C3E375D">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(4)发包人不履行合同义务或不按合同约定履行义务的其他情况</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02B3D0AE">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发包人承担违约责任，赔偿因其违约给承包人造成的经济损失，顺延延误的工期。</w:t>
      </w:r>
    </w:p>
    <w:p w14:paraId="45B3A94B">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双方在专用条款内约定发包人赔偿承包人损失的计算方法或者发包人应当支付违约金的数额或计算方法。</w:t>
      </w:r>
    </w:p>
    <w:p w14:paraId="61E4E675">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35．2承包人违约．当发生下列情况时：</w:t>
      </w:r>
    </w:p>
    <w:p w14:paraId="0E67A6B1">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(1)本通用条款第14.2款提到的因承包人原因不能按照协议书约定的竣工日期或工程师同意顺延的工期竣工；</w:t>
      </w:r>
    </w:p>
    <w:p w14:paraId="495258F8">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(2)本通用条款第15.1款提到的因承包人原因工程质量达不到协议书约定的质量标准；</w:t>
      </w:r>
    </w:p>
    <w:p w14:paraId="572F3FC2">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(3)承包人不履行合同义务或不按合同约定履行义务的其他情况</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2DBAD4AB">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承包人承担违约责任，赔偿因其违约给发包人造成的损失。双方在专用条款内约定承包人赔偿发包人损失的计算方法或者承包人应当支付违约金的数额或计算方法。</w:t>
      </w:r>
    </w:p>
    <w:p w14:paraId="1D7C4438">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35．3一方违约后，另一方要求违约方继续履行合同时，违约方承担上述违约责任后仍应继续履行合同。</w:t>
      </w:r>
    </w:p>
    <w:p w14:paraId="490DD831">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36、索赔</w:t>
      </w:r>
    </w:p>
    <w:p w14:paraId="7C302B93">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36．1当一方向另一方提出索赔时，要有正当索赔理由，且有索赔事件发生时的有效证据。</w:t>
      </w:r>
    </w:p>
    <w:p w14:paraId="23D6F086">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36．2发包人未能按合同约定履行自己的各项义务或发生错误以</w:t>
      </w:r>
      <w:r>
        <w:rPr>
          <w:rFonts w:hint="eastAsia" w:ascii="宋体" w:hAnsi="宋体" w:eastAsia="宋体" w:cs="宋体"/>
          <w:color w:val="000000" w:themeColor="text1"/>
          <w:kern w:val="0"/>
          <w:sz w:val="21"/>
          <w:szCs w:val="21"/>
          <w:highlight w:val="none"/>
          <w14:textFill>
            <w14:solidFill>
              <w14:schemeClr w14:val="tx1"/>
            </w14:solidFill>
          </w14:textFill>
        </w:rPr>
        <w:t>及</w:t>
      </w:r>
      <w:r>
        <w:rPr>
          <w:rFonts w:hint="eastAsia" w:ascii="宋体" w:hAnsi="宋体" w:eastAsia="宋体" w:cs="宋体"/>
          <w:color w:val="000000" w:themeColor="text1"/>
          <w:spacing w:val="0"/>
          <w:kern w:val="0"/>
          <w:sz w:val="21"/>
          <w:szCs w:val="21"/>
          <w:highlight w:val="none"/>
          <w14:textFill>
            <w14:solidFill>
              <w14:schemeClr w14:val="tx1"/>
            </w14:solidFill>
          </w14:textFill>
        </w:rPr>
        <w:t>应由发包人承担责任的其他情况，造成工期延误和(或)承包人不能及时得到合同价款及承包人的其他经济损失，承包人可按下列程序以书面形式向发包人索赔：</w:t>
      </w:r>
    </w:p>
    <w:p w14:paraId="32C99B53">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(1)索赔事件发生后28天内，向工程师发出索赔意向通知</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21AB9BDB">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(2)发出索赔意向通知后28天内，向工程师提出延长工期和(或)补偿经济损失的索赔报告及有关资料；</w:t>
      </w:r>
    </w:p>
    <w:p w14:paraId="63582C5A">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(3)工程师在收到承包人送交的索赔报告和有关资料后，于28天内给予答复，或要求承包人进一步补充索赔理由和证据；</w:t>
      </w:r>
    </w:p>
    <w:p w14:paraId="61951391">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(4)工程师在收到承包人送交的索赔报告和有关资料后28天内未予答复或未对承包人作进一步要求，视为该项索赔已经认可；</w:t>
      </w:r>
    </w:p>
    <w:p w14:paraId="47188272">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(5)当该索赔事件持续进行时，承包人应当阶段性向工程师发出索赔意向，在索赔事件终了后28天内，向工程师送交索赔的有关资料和最终索赔报告．索赔答复程序与(3)、(4)规定相同。</w:t>
      </w:r>
    </w:p>
    <w:p w14:paraId="45F5360F">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36．3承包人未能按合同约定履行自己的各项义务或发生错误，</w:t>
      </w:r>
      <w:r>
        <w:rPr>
          <w:rFonts w:hint="eastAsia" w:ascii="宋体" w:hAnsi="宋体" w:eastAsia="宋体" w:cs="宋体"/>
          <w:color w:val="000000" w:themeColor="text1"/>
          <w:kern w:val="0"/>
          <w:sz w:val="21"/>
          <w:szCs w:val="21"/>
          <w:highlight w:val="none"/>
          <w14:textFill>
            <w14:solidFill>
              <w14:schemeClr w14:val="tx1"/>
            </w14:solidFill>
          </w14:textFill>
        </w:rPr>
        <w:t>给</w:t>
      </w:r>
      <w:r>
        <w:rPr>
          <w:rFonts w:hint="eastAsia" w:ascii="宋体" w:hAnsi="宋体" w:eastAsia="宋体" w:cs="宋体"/>
          <w:color w:val="000000" w:themeColor="text1"/>
          <w:spacing w:val="0"/>
          <w:kern w:val="0"/>
          <w:sz w:val="21"/>
          <w:szCs w:val="21"/>
          <w:highlight w:val="none"/>
          <w14:textFill>
            <w14:solidFill>
              <w14:schemeClr w14:val="tx1"/>
            </w14:solidFill>
          </w14:textFill>
        </w:rPr>
        <w:t>发包人造成经济损失，发包人可按36．2款确定的时限向承包人提出索赔．</w:t>
      </w:r>
    </w:p>
    <w:p w14:paraId="223B7B57">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37、争议</w:t>
      </w:r>
    </w:p>
    <w:p w14:paraId="36A4F82A">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37．1发包人承包人在履行合同时发生争议，可以和解或者要求有关部门调解。当事人不愿和解、调解或者和解、调解不成的，双方可以在专用条款内约定以下一种方式解决争议：</w:t>
      </w:r>
    </w:p>
    <w:p w14:paraId="25A9283B">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第一种解决方式：双方达成仲裁协议，向约定的仲裁委员会申请仲裁；</w:t>
      </w:r>
    </w:p>
    <w:p w14:paraId="620E8F70">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第二种解决方式：向有管辖权的人民法院起诉。</w:t>
      </w:r>
    </w:p>
    <w:p w14:paraId="76D1E127">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37．2</w:t>
      </w:r>
      <w:r>
        <w:rPr>
          <w:rFonts w:hint="eastAsia" w:ascii="宋体" w:hAnsi="宋体" w:eastAsia="宋体" w:cs="宋体"/>
          <w:color w:val="000000" w:themeColor="text1"/>
          <w:kern w:val="0"/>
          <w:sz w:val="21"/>
          <w:szCs w:val="21"/>
          <w:highlight w:val="none"/>
          <w14:textFill>
            <w14:solidFill>
              <w14:schemeClr w14:val="tx1"/>
            </w14:solidFill>
          </w14:textFill>
        </w:rPr>
        <w:t>发生争议后，除非出现下列情况的，双方都应继续履行合同，</w:t>
      </w:r>
      <w:r>
        <w:rPr>
          <w:rFonts w:hint="eastAsia" w:ascii="宋体" w:hAnsi="宋体" w:eastAsia="宋体" w:cs="宋体"/>
          <w:color w:val="000000" w:themeColor="text1"/>
          <w:spacing w:val="0"/>
          <w:kern w:val="0"/>
          <w:sz w:val="21"/>
          <w:szCs w:val="21"/>
          <w:highlight w:val="none"/>
          <w14:textFill>
            <w14:solidFill>
              <w14:schemeClr w14:val="tx1"/>
            </w14:solidFill>
          </w14:textFill>
        </w:rPr>
        <w:t>保持施工连续，保护好已完工程：</w:t>
      </w:r>
    </w:p>
    <w:p w14:paraId="04935560">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(1)单方违约导致合同确定已无法履行，双方协议停止施工；</w:t>
      </w:r>
    </w:p>
    <w:p w14:paraId="6582F15E">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(2)调解要求停止施工，且为双方接受；</w:t>
      </w:r>
    </w:p>
    <w:p w14:paraId="2031581F">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(3)仲裁机构要求停止施工；</w:t>
      </w:r>
    </w:p>
    <w:p w14:paraId="559D3CC8">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(4)法院要求停止施工。</w:t>
      </w:r>
    </w:p>
    <w:p w14:paraId="7BD5ED16">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十一、其他</w:t>
      </w:r>
    </w:p>
    <w:p w14:paraId="0B925C7A">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38、工程分包</w:t>
      </w:r>
    </w:p>
    <w:p w14:paraId="7337A67B">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38．1承包人按专用条款的约定分包所承包的部分工程，并与分包单位签订分包合同。非经发包人同意，承包人不得将承包工程的任何部分分包。</w:t>
      </w:r>
    </w:p>
    <w:p w14:paraId="280515B3">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38．2承包人不得将其承包的全部工程转包给他人，也不得将其承包的全部工程肢解以后以分包的名义分别转包给他人。</w:t>
      </w:r>
    </w:p>
    <w:p w14:paraId="2EC4A659">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38．3工程分包不能解除承包人任何责任与义务。承包人应在分包场地派驻相应管理人员，保证本合同的履行。分包单位的任何违约行为或疏忽导致工程损害或给发包人造成其他损失，承包人承担连带责任。</w:t>
      </w:r>
    </w:p>
    <w:p w14:paraId="2CB77BFE">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38．4分包工程价款由承包人与分包单位结算。发包人未经承包人同意不得以任何形式向分包单位支付各种工程款项。</w:t>
      </w:r>
    </w:p>
    <w:p w14:paraId="27719DCC">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39、不可抗力</w:t>
      </w:r>
    </w:p>
    <w:p w14:paraId="502009CE">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39．1不可抗力包括因战争、动乱、空中飞行物体附落或其他非发包人承包人责任造成的爆炸、火灾，以及专用条款约定的风、雨、雪、洪、震等自然灾害。</w:t>
      </w:r>
    </w:p>
    <w:p w14:paraId="468A8D09">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14:paraId="77B9F543">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39．3因不可抗力事件导致的费用及延误的工期由双方按以下</w:t>
      </w:r>
      <w:r>
        <w:rPr>
          <w:rFonts w:hint="eastAsia" w:ascii="宋体" w:hAnsi="宋体" w:eastAsia="宋体" w:cs="宋体"/>
          <w:color w:val="000000" w:themeColor="text1"/>
          <w:kern w:val="0"/>
          <w:sz w:val="21"/>
          <w:szCs w:val="21"/>
          <w:highlight w:val="none"/>
          <w14:textFill>
            <w14:solidFill>
              <w14:schemeClr w14:val="tx1"/>
            </w14:solidFill>
          </w14:textFill>
        </w:rPr>
        <w:t>方法</w:t>
      </w:r>
      <w:r>
        <w:rPr>
          <w:rFonts w:hint="eastAsia" w:ascii="宋体" w:hAnsi="宋体" w:eastAsia="宋体" w:cs="宋体"/>
          <w:color w:val="000000" w:themeColor="text1"/>
          <w:spacing w:val="0"/>
          <w:kern w:val="0"/>
          <w:sz w:val="21"/>
          <w:szCs w:val="21"/>
          <w:highlight w:val="none"/>
          <w14:textFill>
            <w14:solidFill>
              <w14:schemeClr w14:val="tx1"/>
            </w14:solidFill>
          </w14:textFill>
        </w:rPr>
        <w:t>分别承担：</w:t>
      </w:r>
    </w:p>
    <w:p w14:paraId="5033653F">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(1)工程本身的损害、因工程损害导致第三人人员伤亡和财产损失以及运至施工场地用于施工的材料和待安装的设备的损害，由发包人承担；</w:t>
      </w:r>
    </w:p>
    <w:p w14:paraId="0281E152">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(2)发包人承包人人员伤亡由其所在单位负责，并承担相应费用；</w:t>
      </w:r>
    </w:p>
    <w:p w14:paraId="2E3F0C02">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(3)承包人机械设备损坏及停工损失，由承包人承担；</w:t>
      </w:r>
    </w:p>
    <w:p w14:paraId="4451134F">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(4)停工期间，承包人应工程师要求留在施工场地的必要的管理人员及保卫人员的费用由发包人承担；</w:t>
      </w:r>
    </w:p>
    <w:p w14:paraId="4C3CDD0A">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(5)工程所需清理、修复费用，由发包人承担；</w:t>
      </w:r>
    </w:p>
    <w:p w14:paraId="0F383F82">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(6)延误的工期相应顺延。</w:t>
      </w:r>
    </w:p>
    <w:p w14:paraId="7988B17D">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39．4因合同一方迟延履行合同后发生不可抗力的，不能免除迟</w:t>
      </w:r>
      <w:r>
        <w:rPr>
          <w:rFonts w:hint="eastAsia" w:ascii="宋体" w:hAnsi="宋体" w:eastAsia="宋体" w:cs="宋体"/>
          <w:color w:val="000000" w:themeColor="text1"/>
          <w:kern w:val="0"/>
          <w:sz w:val="21"/>
          <w:szCs w:val="21"/>
          <w:highlight w:val="none"/>
          <w14:textFill>
            <w14:solidFill>
              <w14:schemeClr w14:val="tx1"/>
            </w14:solidFill>
          </w14:textFill>
        </w:rPr>
        <w:t>延</w:t>
      </w:r>
      <w:r>
        <w:rPr>
          <w:rFonts w:hint="eastAsia" w:ascii="宋体" w:hAnsi="宋体" w:eastAsia="宋体" w:cs="宋体"/>
          <w:color w:val="000000" w:themeColor="text1"/>
          <w:spacing w:val="0"/>
          <w:kern w:val="0"/>
          <w:sz w:val="21"/>
          <w:szCs w:val="21"/>
          <w:highlight w:val="none"/>
          <w14:textFill>
            <w14:solidFill>
              <w14:schemeClr w14:val="tx1"/>
            </w14:solidFill>
          </w14:textFill>
        </w:rPr>
        <w:t>履行方的相应责任。</w:t>
      </w:r>
    </w:p>
    <w:p w14:paraId="22E85C09">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40、保险</w:t>
      </w:r>
    </w:p>
    <w:p w14:paraId="57ACF0DD">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40．1工程开工前，发包人为建设工程和施工场地内的自有人员及第三人人员生命财产办理保险，支付保险费用。</w:t>
      </w:r>
    </w:p>
    <w:p w14:paraId="4FBC7CE4">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40．2运至施工场院地内用于工程的材料和待安装设备，由发包人办理保险，并支付保险费用。</w:t>
      </w:r>
    </w:p>
    <w:p w14:paraId="3C9DD87A">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40．3发包人可以将有关保险事项委托承包人办理，费用由发包人承担。</w:t>
      </w:r>
    </w:p>
    <w:p w14:paraId="540AB902">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40．4承包人必须为从事危险作业的职工办理意外伤害保险，并为施工场地内自有人员生命财产和施工机械设备办理保险，支付保险费用。</w:t>
      </w:r>
    </w:p>
    <w:p w14:paraId="3A65A292">
      <w:pPr>
        <w:pageBreakBefore w:val="0"/>
        <w:kinsoku/>
        <w:wordWrap/>
        <w:overflowPunct/>
        <w:topLinePunct w:val="0"/>
        <w:autoSpaceDE/>
        <w:autoSpaceDN/>
        <w:bidi w:val="0"/>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40．5保险事故发生时，发包人承包人有责任尽力采取必要的措施，防止或者减少损失。</w:t>
      </w:r>
    </w:p>
    <w:p w14:paraId="7C6E7946">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40．6具体投保内容和相关责任，发包人承包人在专用条款中约定。</w:t>
      </w:r>
    </w:p>
    <w:p w14:paraId="430D2A30">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41、担保</w:t>
      </w:r>
    </w:p>
    <w:p w14:paraId="40293197">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41．1发包人承包人为了全面履行合同，应互相提供以下担保：</w:t>
      </w:r>
    </w:p>
    <w:p w14:paraId="76B395D8">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(1)发包人向承包人提供履约担保，按合同约定支付工程价款及履行合同约定的其他义务。</w:t>
      </w:r>
    </w:p>
    <w:p w14:paraId="1F85E9A4">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(2)承包人向发包人提供履约担保，按合同约定履行自己的各项义务。</w:t>
      </w:r>
    </w:p>
    <w:p w14:paraId="0887DE9C">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41．2一方违约后，另一方可要求提供担保的第三人承担相应责任</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2CBDEFBE">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41．3提供担保的内容、方式和相关责任，发包人承包人除在专用条款中约定外，被担保方与担保方还应签订担保合同，作为本合同附件。</w:t>
      </w:r>
    </w:p>
    <w:p w14:paraId="65E4B6CB">
      <w:pPr>
        <w:pageBreakBefore w:val="0"/>
        <w:kinsoku/>
        <w:wordWrap/>
        <w:overflowPunct/>
        <w:topLinePunct w:val="0"/>
        <w:autoSpaceDE/>
        <w:autoSpaceDN/>
        <w:bidi w:val="0"/>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42、专利技术及特殊工艺</w:t>
      </w:r>
    </w:p>
    <w:p w14:paraId="256C56BC">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42．1发包人要求使用专利技术或特殊工艺，应负责办理相应的申报手续，承担申报、试验、使用等费用；承包人提出使用专利技术或特殊工艺，应取得工程师认可，承包人负责办理申报手续并承担有关费用。</w:t>
      </w:r>
    </w:p>
    <w:p w14:paraId="4070E288">
      <w:pPr>
        <w:pageBreakBefore w:val="0"/>
        <w:kinsoku/>
        <w:wordWrap/>
        <w:overflowPunct/>
        <w:topLinePunct w:val="0"/>
        <w:autoSpaceDE/>
        <w:autoSpaceDN/>
        <w:bidi w:val="0"/>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42．2擅自使用专利技术侵犯他人专利权的，责任者依法承担相应责任。</w:t>
      </w:r>
    </w:p>
    <w:p w14:paraId="65BD2936">
      <w:pPr>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43、</w:t>
      </w:r>
      <w:r>
        <w:rPr>
          <w:rFonts w:hint="eastAsia" w:ascii="宋体" w:hAnsi="宋体" w:eastAsia="宋体" w:cs="宋体"/>
          <w:color w:val="000000" w:themeColor="text1"/>
          <w:spacing w:val="0"/>
          <w:kern w:val="0"/>
          <w:sz w:val="21"/>
          <w:szCs w:val="21"/>
          <w:highlight w:val="none"/>
          <w14:textFill>
            <w14:solidFill>
              <w14:schemeClr w14:val="tx1"/>
            </w14:solidFill>
          </w14:textFill>
        </w:rPr>
        <w:t>文物和地下障碍物</w:t>
      </w:r>
    </w:p>
    <w:p w14:paraId="1E08FF52">
      <w:pPr>
        <w:keepNext w:val="0"/>
        <w:keepLines w:val="0"/>
        <w:pageBreakBefore w:val="0"/>
        <w:widowControl w:val="0"/>
        <w:kinsoku/>
        <w:wordWrap/>
        <w:overflowPunct/>
        <w:topLinePunct w:val="0"/>
        <w:autoSpaceDE/>
        <w:autoSpaceDN/>
        <w:bidi w:val="0"/>
        <w:adjustRightInd/>
        <w:snapToGrid/>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43．1在施工中发现古墓、古建筑遗址等文物及化石或其他有考古、地质研究等价值的物品时，承包人应立即保护好现场并于4小时内以书面形式通知工程师，工程师应于收到</w:t>
      </w:r>
      <w:r>
        <w:rPr>
          <w:rFonts w:hint="eastAsia" w:ascii="宋体" w:hAnsi="宋体" w:eastAsia="宋体" w:cs="宋体"/>
          <w:color w:val="000000" w:themeColor="text1"/>
          <w:kern w:val="0"/>
          <w:sz w:val="21"/>
          <w:szCs w:val="21"/>
          <w:highlight w:val="none"/>
          <w14:textFill>
            <w14:solidFill>
              <w14:schemeClr w14:val="tx1"/>
            </w14:solidFill>
          </w14:textFill>
        </w:rPr>
        <w:t>书面通知后24小时内报告当地</w:t>
      </w:r>
      <w:r>
        <w:rPr>
          <w:rFonts w:hint="eastAsia" w:ascii="宋体" w:hAnsi="宋体" w:eastAsia="宋体" w:cs="宋体"/>
          <w:color w:val="000000" w:themeColor="text1"/>
          <w:spacing w:val="0"/>
          <w:kern w:val="0"/>
          <w:sz w:val="21"/>
          <w:szCs w:val="21"/>
          <w:highlight w:val="none"/>
          <w14:textFill>
            <w14:solidFill>
              <w14:schemeClr w14:val="tx1"/>
            </w14:solidFill>
          </w14:textFill>
        </w:rPr>
        <w:t>文物管理部门，发包人承包人按文物管理部门的要求采取妥善保护措施。发包人承担由此发生的费用，顺延延误的工期。如发现后隐瞒不报，致使文物遭受破坏，责任者依法承担相应责任。</w:t>
      </w:r>
    </w:p>
    <w:p w14:paraId="714E4792">
      <w:pPr>
        <w:keepNext w:val="0"/>
        <w:keepLines w:val="0"/>
        <w:pageBreakBefore w:val="0"/>
        <w:widowControl w:val="0"/>
        <w:kinsoku/>
        <w:wordWrap/>
        <w:overflowPunct/>
        <w:topLinePunct w:val="0"/>
        <w:autoSpaceDE/>
        <w:autoSpaceDN/>
        <w:bidi w:val="0"/>
        <w:adjustRightInd/>
        <w:snapToGrid/>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43．2施工中发现影响施工的地下障碍物时，承包人应于8小时内以书面形式通知工程师，同时提出处置方案，工程师收到处置方案后24小时内予以认可或提出修正方案。由双方协商解决。所发现的地下障碍物有归属单位时，发包人应报请有关部门协同处置。</w:t>
      </w:r>
    </w:p>
    <w:p w14:paraId="5B5A9F29">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44、合同解除</w:t>
      </w:r>
    </w:p>
    <w:p w14:paraId="1F1578AB">
      <w:pPr>
        <w:keepNext w:val="0"/>
        <w:keepLines w:val="0"/>
        <w:pageBreakBefore w:val="0"/>
        <w:widowControl w:val="0"/>
        <w:kinsoku/>
        <w:wordWrap/>
        <w:overflowPunct/>
        <w:topLinePunct w:val="0"/>
        <w:autoSpaceDE/>
        <w:autoSpaceDN/>
        <w:bidi w:val="0"/>
        <w:adjustRightInd/>
        <w:snapToGrid/>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44．1发包人承包人协商一致，可以解除合同。</w:t>
      </w:r>
    </w:p>
    <w:p w14:paraId="2FD58147">
      <w:pPr>
        <w:keepNext w:val="0"/>
        <w:keepLines w:val="0"/>
        <w:pageBreakBefore w:val="0"/>
        <w:widowControl w:val="0"/>
        <w:kinsoku/>
        <w:wordWrap/>
        <w:overflowPunct/>
        <w:topLinePunct w:val="0"/>
        <w:autoSpaceDE/>
        <w:autoSpaceDN/>
        <w:bidi w:val="0"/>
        <w:adjustRightInd/>
        <w:snapToGrid/>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44．2发生本通用条款第26。4款情况，停止施工超过56天，发包人仍不支付工程款(进度款)，承包人有权解除合同。</w:t>
      </w:r>
    </w:p>
    <w:p w14:paraId="3C5B61A5">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44．3发生本通用条款38．2禁止的情况，承包人将其承包的全</w:t>
      </w:r>
      <w:r>
        <w:rPr>
          <w:rFonts w:hint="eastAsia" w:ascii="宋体" w:hAnsi="宋体" w:eastAsia="宋体" w:cs="宋体"/>
          <w:color w:val="000000" w:themeColor="text1"/>
          <w:kern w:val="0"/>
          <w:sz w:val="21"/>
          <w:szCs w:val="21"/>
          <w:highlight w:val="none"/>
          <w14:textFill>
            <w14:solidFill>
              <w14:schemeClr w14:val="tx1"/>
            </w14:solidFill>
          </w14:textFill>
        </w:rPr>
        <w:t>部</w:t>
      </w:r>
      <w:r>
        <w:rPr>
          <w:rFonts w:hint="eastAsia" w:ascii="宋体" w:hAnsi="宋体" w:eastAsia="宋体" w:cs="宋体"/>
          <w:color w:val="000000" w:themeColor="text1"/>
          <w:spacing w:val="0"/>
          <w:kern w:val="0"/>
          <w:sz w:val="21"/>
          <w:szCs w:val="21"/>
          <w:highlight w:val="none"/>
          <w14:textFill>
            <w14:solidFill>
              <w14:schemeClr w14:val="tx1"/>
            </w14:solidFill>
          </w14:textFill>
        </w:rPr>
        <w:t>工程转包给他人或者肢解以后以分包名义分别转包给他人，发包人有权解除合同。</w:t>
      </w:r>
    </w:p>
    <w:p w14:paraId="32B8798C">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44．4有下列情形之一的，发包人承包人可以解除合同；</w:t>
      </w:r>
    </w:p>
    <w:p w14:paraId="7A1F7F5F">
      <w:pPr>
        <w:keepNext w:val="0"/>
        <w:keepLines w:val="0"/>
        <w:pageBreakBefore w:val="0"/>
        <w:widowControl w:val="0"/>
        <w:kinsoku/>
        <w:wordWrap/>
        <w:overflowPunct/>
        <w:topLinePunct w:val="0"/>
        <w:autoSpaceDE/>
        <w:autoSpaceDN/>
        <w:bidi w:val="0"/>
        <w:adjustRightInd/>
        <w:snapToGrid/>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(1)因不可抗力致使合同无法履行；</w:t>
      </w:r>
    </w:p>
    <w:p w14:paraId="374E06BE">
      <w:pPr>
        <w:keepNext w:val="0"/>
        <w:keepLines w:val="0"/>
        <w:pageBreakBefore w:val="0"/>
        <w:widowControl w:val="0"/>
        <w:kinsoku/>
        <w:wordWrap/>
        <w:overflowPunct/>
        <w:topLinePunct w:val="0"/>
        <w:autoSpaceDE/>
        <w:autoSpaceDN/>
        <w:bidi w:val="0"/>
        <w:adjustRightInd/>
        <w:snapToGrid/>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(2)因一方违约(包括因发包人原因造成工程停建或缓建)致使合同无法履行。</w:t>
      </w:r>
    </w:p>
    <w:p w14:paraId="2E7AC080">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44．5一方依据44．2、44．3、44．4款约定要求解除合同的，应以书面形式向对方发出解除合同的通知，并在发出通知前7天告知对方，通知到达对方时合同解除。对解除合同有争议的，按本通用条款第37条关于争议的约定处理。</w:t>
      </w:r>
    </w:p>
    <w:p w14:paraId="0824BA17">
      <w:pPr>
        <w:keepNext w:val="0"/>
        <w:keepLines w:val="0"/>
        <w:pageBreakBefore w:val="0"/>
        <w:widowControl w:val="0"/>
        <w:kinsoku/>
        <w:wordWrap/>
        <w:overflowPunct/>
        <w:topLinePunct w:val="0"/>
        <w:autoSpaceDE/>
        <w:autoSpaceDN/>
        <w:bidi w:val="0"/>
        <w:adjustRightInd/>
        <w:snapToGrid/>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14:paraId="133D3BB2">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44．7合同解除后，不影响双方在合同中约定的结算和清理条款的效力。</w:t>
      </w:r>
    </w:p>
    <w:p w14:paraId="0D649F87">
      <w:pPr>
        <w:keepNext w:val="0"/>
        <w:keepLines w:val="0"/>
        <w:pageBreakBefore w:val="0"/>
        <w:widowControl w:val="0"/>
        <w:kinsoku/>
        <w:wordWrap/>
        <w:overflowPunct/>
        <w:topLinePunct w:val="0"/>
        <w:autoSpaceDE/>
        <w:autoSpaceDN/>
        <w:bidi w:val="0"/>
        <w:adjustRightInd/>
        <w:snapToGrid/>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45、合同生效与终止</w:t>
      </w:r>
    </w:p>
    <w:p w14:paraId="41BA3541">
      <w:pPr>
        <w:keepNext w:val="0"/>
        <w:keepLines w:val="0"/>
        <w:pageBreakBefore w:val="0"/>
        <w:widowControl w:val="0"/>
        <w:kinsoku/>
        <w:wordWrap/>
        <w:overflowPunct/>
        <w:topLinePunct w:val="0"/>
        <w:autoSpaceDE/>
        <w:autoSpaceDN/>
        <w:bidi w:val="0"/>
        <w:adjustRightInd/>
        <w:snapToGrid/>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45．1双方在协议书中约定合同生效方式。</w:t>
      </w:r>
    </w:p>
    <w:p w14:paraId="008A743D">
      <w:pPr>
        <w:keepNext w:val="0"/>
        <w:keepLines w:val="0"/>
        <w:pageBreakBefore w:val="0"/>
        <w:widowControl w:val="0"/>
        <w:kinsoku/>
        <w:wordWrap/>
        <w:overflowPunct/>
        <w:topLinePunct w:val="0"/>
        <w:autoSpaceDE/>
        <w:autoSpaceDN/>
        <w:bidi w:val="0"/>
        <w:adjustRightInd/>
        <w:snapToGrid/>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45．2除本通用条款第34条外，发包人承包履行合同全部义务，竣工结算价款支付完毕，承包人向发包人交付竣工工程后，本合同即告终止。</w:t>
      </w:r>
    </w:p>
    <w:p w14:paraId="5F8038F9">
      <w:pPr>
        <w:keepNext w:val="0"/>
        <w:keepLines w:val="0"/>
        <w:pageBreakBefore w:val="0"/>
        <w:widowControl w:val="0"/>
        <w:kinsoku/>
        <w:wordWrap/>
        <w:overflowPunct/>
        <w:topLinePunct w:val="0"/>
        <w:autoSpaceDE/>
        <w:autoSpaceDN/>
        <w:bidi w:val="0"/>
        <w:adjustRightInd/>
        <w:snapToGrid/>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45．3合同的权利义务终止后，发包人承包人应当遵循诚实信用原则，履行通知、协助、保密等义务。</w:t>
      </w:r>
    </w:p>
    <w:p w14:paraId="64843661">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46、合同份数</w:t>
      </w:r>
    </w:p>
    <w:p w14:paraId="1589A15A">
      <w:pPr>
        <w:keepNext w:val="0"/>
        <w:keepLines w:val="0"/>
        <w:pageBreakBefore w:val="0"/>
        <w:widowControl w:val="0"/>
        <w:kinsoku/>
        <w:wordWrap/>
        <w:overflowPunct/>
        <w:topLinePunct w:val="0"/>
        <w:autoSpaceDE/>
        <w:autoSpaceDN/>
        <w:bidi w:val="0"/>
        <w:adjustRightInd/>
        <w:snapToGrid/>
        <w:spacing w:before="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46．1本合同正本两份，具有同等效力，由发包人承包人分别保存一份。</w:t>
      </w:r>
    </w:p>
    <w:p w14:paraId="496FE102">
      <w:pPr>
        <w:keepNext w:val="0"/>
        <w:keepLines w:val="0"/>
        <w:pageBreakBefore w:val="0"/>
        <w:widowControl w:val="0"/>
        <w:kinsoku/>
        <w:wordWrap/>
        <w:overflowPunct/>
        <w:topLinePunct w:val="0"/>
        <w:autoSpaceDE/>
        <w:autoSpaceDN/>
        <w:bidi w:val="0"/>
        <w:adjustRightInd/>
        <w:snapToGrid/>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46．2本合同副本份数，由双方根据需要在专用条款内约定。</w:t>
      </w:r>
    </w:p>
    <w:p w14:paraId="23FEC8A0">
      <w:pPr>
        <w:keepNext w:val="0"/>
        <w:keepLines w:val="0"/>
        <w:pageBreakBefore w:val="0"/>
        <w:widowControl w:val="0"/>
        <w:kinsoku/>
        <w:wordWrap/>
        <w:overflowPunct/>
        <w:topLinePunct w:val="0"/>
        <w:autoSpaceDE/>
        <w:autoSpaceDN/>
        <w:bidi w:val="0"/>
        <w:adjustRightInd/>
        <w:snapToGrid/>
        <w:spacing w:before="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47．补充条款</w:t>
      </w:r>
    </w:p>
    <w:p w14:paraId="72DA45ED">
      <w:pPr>
        <w:keepNext w:val="0"/>
        <w:keepLines w:val="0"/>
        <w:pageBreakBefore w:val="0"/>
        <w:widowControl w:val="0"/>
        <w:kinsoku/>
        <w:wordWrap/>
        <w:overflowPunct/>
        <w:topLinePunct w:val="0"/>
        <w:autoSpaceDE/>
        <w:autoSpaceDN/>
        <w:bidi w:val="0"/>
        <w:adjustRightInd/>
        <w:snapToGrid/>
        <w:spacing w:before="0"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双方根据有关法律、行政法规规定，结合工程实际，经协商一致后，可对本通用条款内容具体化、补充或修改，在专用条款内约定。</w:t>
      </w:r>
    </w:p>
    <w:p w14:paraId="12A27C01">
      <w:pPr>
        <w:rPr>
          <w:rFonts w:hint="eastAsia" w:ascii="宋体" w:hAnsi="宋体" w:eastAsia="宋体" w:cs="宋体"/>
          <w:color w:val="000000" w:themeColor="text1"/>
          <w:spacing w:val="28"/>
          <w:sz w:val="21"/>
          <w:szCs w:val="21"/>
          <w:highlight w:val="none"/>
          <w14:textFill>
            <w14:solidFill>
              <w14:schemeClr w14:val="tx1"/>
            </w14:solidFill>
          </w14:textFill>
        </w:rPr>
      </w:pPr>
      <w:bookmarkStart w:id="210" w:name="_Toc19120"/>
      <w:bookmarkStart w:id="211" w:name="_Toc20177"/>
      <w:r>
        <w:rPr>
          <w:rFonts w:hint="eastAsia" w:ascii="宋体" w:hAnsi="宋体" w:eastAsia="宋体" w:cs="宋体"/>
          <w:color w:val="000000" w:themeColor="text1"/>
          <w:spacing w:val="28"/>
          <w:sz w:val="21"/>
          <w:szCs w:val="21"/>
          <w:highlight w:val="none"/>
          <w14:textFill>
            <w14:solidFill>
              <w14:schemeClr w14:val="tx1"/>
            </w14:solidFill>
          </w14:textFill>
        </w:rPr>
        <w:br w:type="page"/>
      </w:r>
    </w:p>
    <w:p w14:paraId="01CAE12A">
      <w:pPr>
        <w:pStyle w:val="3"/>
        <w:pageBreakBefore w:val="0"/>
        <w:kinsoku/>
        <w:wordWrap/>
        <w:overflowPunct/>
        <w:topLinePunct w:val="0"/>
        <w:autoSpaceDE/>
        <w:autoSpaceDN/>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8"/>
          <w:sz w:val="21"/>
          <w:szCs w:val="21"/>
          <w:highlight w:val="none"/>
          <w14:textFill>
            <w14:solidFill>
              <w14:schemeClr w14:val="tx1"/>
            </w14:solidFill>
          </w14:textFill>
        </w:rPr>
        <w:t>第</w:t>
      </w:r>
      <w:r>
        <w:rPr>
          <w:rFonts w:hint="eastAsia" w:ascii="宋体" w:hAnsi="宋体" w:eastAsia="宋体" w:cs="宋体"/>
          <w:color w:val="000000" w:themeColor="text1"/>
          <w:spacing w:val="20"/>
          <w:sz w:val="21"/>
          <w:szCs w:val="21"/>
          <w:highlight w:val="none"/>
          <w14:textFill>
            <w14:solidFill>
              <w14:schemeClr w14:val="tx1"/>
            </w14:solidFill>
          </w14:textFill>
        </w:rPr>
        <w:t>三部分专用条款</w:t>
      </w:r>
      <w:bookmarkEnd w:id="210"/>
      <w:bookmarkEnd w:id="211"/>
    </w:p>
    <w:p w14:paraId="151BB5FD">
      <w:pPr>
        <w:pageBreakBefore w:val="0"/>
        <w:kinsoku/>
        <w:wordWrap/>
        <w:overflowPunct/>
        <w:topLinePunct w:val="0"/>
        <w:autoSpaceDE/>
        <w:autoSpaceDN/>
        <w:bidi w:val="0"/>
        <w:spacing w:before="0" w:afterLines="0" w:line="440" w:lineRule="exact"/>
        <w:ind w:left="0" w:firstLine="422" w:firstLineChars="200"/>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一、词语定义及合同文件</w:t>
      </w:r>
    </w:p>
    <w:p w14:paraId="6622F8B0">
      <w:pPr>
        <w:pageBreakBefore w:val="0"/>
        <w:kinsoku/>
        <w:wordWrap/>
        <w:overflowPunct/>
        <w:topLinePunct w:val="0"/>
        <w:autoSpaceDE/>
        <w:autoSpaceDN/>
        <w:bidi w:val="0"/>
        <w:spacing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2、合同文件及解释顺序</w:t>
      </w:r>
    </w:p>
    <w:p w14:paraId="31A76251">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合同文件组成及解释顺序：</w:t>
      </w:r>
    </w:p>
    <w:p w14:paraId="3D3C3F92">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成交</w:t>
      </w:r>
      <w:r>
        <w:rPr>
          <w:rFonts w:hint="eastAsia" w:ascii="宋体" w:hAnsi="宋体" w:eastAsia="宋体" w:cs="宋体"/>
          <w:color w:val="000000" w:themeColor="text1"/>
          <w:sz w:val="21"/>
          <w:szCs w:val="21"/>
          <w:highlight w:val="none"/>
          <w14:textFill>
            <w14:solidFill>
              <w14:schemeClr w14:val="tx1"/>
            </w14:solidFill>
          </w14:textFill>
        </w:rPr>
        <w:t>通知书（如果有）；</w:t>
      </w:r>
    </w:p>
    <w:p w14:paraId="572360DE">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（2）投标函及其附录（如果有）； </w:t>
      </w:r>
    </w:p>
    <w:p w14:paraId="23C54408">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（3）专用合同条款及其附件；</w:t>
      </w:r>
    </w:p>
    <w:p w14:paraId="0920D1F0">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（4）通用合同条款；</w:t>
      </w:r>
    </w:p>
    <w:p w14:paraId="15FE34D6">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（5）技术标准和要求；</w:t>
      </w:r>
    </w:p>
    <w:p w14:paraId="261D8893">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（6）图纸；</w:t>
      </w:r>
    </w:p>
    <w:p w14:paraId="6A00669A">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（7）已标价工程量清单或预算书；</w:t>
      </w:r>
    </w:p>
    <w:p w14:paraId="629BCB22">
      <w:pPr>
        <w:pStyle w:val="36"/>
        <w:pageBreakBefore w:val="0"/>
        <w:kinsoku/>
        <w:wordWrap/>
        <w:overflowPunct/>
        <w:topLinePunct w:val="0"/>
        <w:autoSpaceDE/>
        <w:autoSpaceDN/>
        <w:bidi w:val="0"/>
        <w:adjustRightInd w:val="0"/>
        <w:snapToGrid w:val="0"/>
        <w:spacing w:line="440" w:lineRule="exact"/>
        <w:ind w:firstLine="630" w:firstLineChars="3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pacing w:val="0"/>
          <w:kern w:val="0"/>
          <w:sz w:val="21"/>
          <w:szCs w:val="21"/>
          <w:highlight w:val="none"/>
          <w14:textFill>
            <w14:solidFill>
              <w14:schemeClr w14:val="tx1"/>
            </w14:solidFill>
          </w14:textFill>
        </w:rPr>
        <w:t>)承包人有关人员、设备投入的承诺及投标文件中的施工组织设</w:t>
      </w:r>
      <w:r>
        <w:rPr>
          <w:rFonts w:hint="eastAsia" w:ascii="宋体" w:hAnsi="宋体" w:eastAsia="宋体" w:cs="宋体"/>
          <w:color w:val="000000" w:themeColor="text1"/>
          <w:kern w:val="0"/>
          <w:sz w:val="21"/>
          <w:szCs w:val="21"/>
          <w:highlight w:val="none"/>
          <w14:textFill>
            <w14:solidFill>
              <w14:schemeClr w14:val="tx1"/>
            </w14:solidFill>
          </w14:textFill>
        </w:rPr>
        <w:t>计；</w:t>
      </w:r>
    </w:p>
    <w:p w14:paraId="2428433D">
      <w:pPr>
        <w:pStyle w:val="36"/>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）其他合同文件。</w:t>
      </w:r>
    </w:p>
    <w:p w14:paraId="58B13EB3">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3、语言文字和适用法律、标准及规范</w:t>
      </w:r>
    </w:p>
    <w:p w14:paraId="2B51256D">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3．1本合同除使用汉语外，还使用</w:t>
      </w:r>
      <w:r>
        <w:rPr>
          <w:rFonts w:hint="eastAsia" w:ascii="宋体" w:hAnsi="宋体" w:eastAsia="宋体" w:cs="宋体"/>
          <w:color w:val="000000" w:themeColor="text1"/>
          <w:spacing w:val="0"/>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1"/>
          <w:szCs w:val="21"/>
          <w:highlight w:val="none"/>
          <w:u w:val="single"/>
          <w14:textFill>
            <w14:solidFill>
              <w14:schemeClr w14:val="tx1"/>
            </w14:solidFill>
          </w14:textFill>
        </w:rPr>
        <w:t>无</w:t>
      </w:r>
      <w:r>
        <w:rPr>
          <w:rFonts w:hint="eastAsia" w:ascii="宋体" w:hAnsi="宋体" w:eastAsia="宋体" w:cs="宋体"/>
          <w:color w:val="000000" w:themeColor="text1"/>
          <w:spacing w:val="0"/>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1"/>
          <w:szCs w:val="21"/>
          <w:highlight w:val="none"/>
          <w14:textFill>
            <w14:solidFill>
              <w14:schemeClr w14:val="tx1"/>
            </w14:solidFill>
          </w14:textFill>
        </w:rPr>
        <w:t>语言文字。</w:t>
      </w:r>
    </w:p>
    <w:p w14:paraId="227A0927">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3．2适用法律和法规</w:t>
      </w:r>
    </w:p>
    <w:p w14:paraId="6E7194A5">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需要明示的法律、行政法规：现行的国家法律和行政法规，工程所在地政府的有关法规和规章。</w:t>
      </w:r>
    </w:p>
    <w:p w14:paraId="29B69424">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3．3适用标准、规范</w:t>
      </w:r>
    </w:p>
    <w:p w14:paraId="7F4341C6">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适用标准、规范的名称：现行的国家标准、规范、行业标准、规范等。</w:t>
      </w:r>
    </w:p>
    <w:p w14:paraId="7C9F56F3">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发包人提供标准、规范的时间：签合同时提供。</w:t>
      </w:r>
    </w:p>
    <w:p w14:paraId="01F0930E">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国内没有相应标准、规范时的约定：按行业标准、规范执行。</w:t>
      </w:r>
    </w:p>
    <w:p w14:paraId="63BA19B9">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4、图纸</w:t>
      </w:r>
    </w:p>
    <w:p w14:paraId="5ADC8B05">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4．1发包人向承包人提供图纸日期和套数：合同签定5天后提供一式一份图纸。</w:t>
      </w:r>
    </w:p>
    <w:p w14:paraId="25484F83">
      <w:pPr>
        <w:pageBreakBefore w:val="0"/>
        <w:kinsoku/>
        <w:wordWrap/>
        <w:overflowPunct/>
        <w:topLinePunct w:val="0"/>
        <w:autoSpaceDE/>
        <w:autoSpaceDN/>
        <w:bidi w:val="0"/>
        <w:spacing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发包人对图纸的保密要求：</w:t>
      </w:r>
      <w:r>
        <w:rPr>
          <w:rFonts w:hint="eastAsia" w:ascii="宋体" w:hAnsi="宋体" w:eastAsia="宋体" w:cs="宋体"/>
          <w:color w:val="000000" w:themeColor="text1"/>
          <w:spacing w:val="0"/>
          <w:kern w:val="0"/>
          <w:sz w:val="21"/>
          <w:szCs w:val="21"/>
          <w:highlight w:val="none"/>
          <w:u w:val="single"/>
          <w14:textFill>
            <w14:solidFill>
              <w14:schemeClr w14:val="tx1"/>
            </w14:solidFill>
          </w14:textFill>
        </w:rPr>
        <w:t>保密</w:t>
      </w:r>
      <w:r>
        <w:rPr>
          <w:rFonts w:hint="eastAsia" w:ascii="宋体" w:hAnsi="宋体" w:eastAsia="宋体" w:cs="宋体"/>
          <w:color w:val="000000" w:themeColor="text1"/>
          <w:spacing w:val="0"/>
          <w:kern w:val="0"/>
          <w:sz w:val="21"/>
          <w:szCs w:val="21"/>
          <w:highlight w:val="none"/>
          <w14:textFill>
            <w14:solidFill>
              <w14:schemeClr w14:val="tx1"/>
            </w14:solidFill>
          </w14:textFill>
        </w:rPr>
        <w:t>。</w:t>
      </w:r>
    </w:p>
    <w:p w14:paraId="357213E6">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使用国外图纸的要求及费用承担：</w:t>
      </w:r>
      <w:r>
        <w:rPr>
          <w:rFonts w:hint="eastAsia" w:ascii="宋体" w:hAnsi="宋体" w:eastAsia="宋体" w:cs="宋体"/>
          <w:color w:val="000000" w:themeColor="text1"/>
          <w:spacing w:val="0"/>
          <w:kern w:val="0"/>
          <w:sz w:val="21"/>
          <w:szCs w:val="21"/>
          <w:highlight w:val="none"/>
          <w:u w:val="single"/>
          <w14:textFill>
            <w14:solidFill>
              <w14:schemeClr w14:val="tx1"/>
            </w14:solidFill>
          </w14:textFill>
        </w:rPr>
        <w:t>无</w:t>
      </w:r>
      <w:r>
        <w:rPr>
          <w:rFonts w:hint="eastAsia" w:ascii="宋体" w:hAnsi="宋体" w:eastAsia="宋体" w:cs="宋体"/>
          <w:color w:val="000000" w:themeColor="text1"/>
          <w:spacing w:val="0"/>
          <w:kern w:val="0"/>
          <w:sz w:val="21"/>
          <w:szCs w:val="21"/>
          <w:highlight w:val="none"/>
          <w14:textFill>
            <w14:solidFill>
              <w14:schemeClr w14:val="tx1"/>
            </w14:solidFill>
          </w14:textFill>
        </w:rPr>
        <w:t>。</w:t>
      </w:r>
    </w:p>
    <w:p w14:paraId="1177C9B3">
      <w:pPr>
        <w:pageBreakBefore w:val="0"/>
        <w:kinsoku/>
        <w:wordWrap/>
        <w:overflowPunct/>
        <w:topLinePunct w:val="0"/>
        <w:autoSpaceDE/>
        <w:autoSpaceDN/>
        <w:bidi w:val="0"/>
        <w:spacing w:before="0" w:afterLines="0" w:line="440" w:lineRule="exact"/>
        <w:ind w:left="0" w:firstLine="422" w:firstLineChars="200"/>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sz w:val="21"/>
          <w:szCs w:val="21"/>
          <w:highlight w:val="none"/>
          <w14:textFill>
            <w14:solidFill>
              <w14:schemeClr w14:val="tx1"/>
            </w14:solidFill>
          </w14:textFill>
        </w:rPr>
        <w:t>二、双方一般权利和义务</w:t>
      </w:r>
    </w:p>
    <w:p w14:paraId="27250229">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5、工程师</w:t>
      </w:r>
    </w:p>
    <w:p w14:paraId="4AA78DA0">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5．1监理单位委派的工程师</w:t>
      </w:r>
    </w:p>
    <w:p w14:paraId="75A6AF5C">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姓名：</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职务：</w:t>
      </w:r>
      <w:r>
        <w:rPr>
          <w:rFonts w:hint="eastAsia" w:ascii="宋体" w:hAnsi="宋体" w:eastAsia="宋体" w:cs="宋体"/>
          <w:color w:val="000000" w:themeColor="text1"/>
          <w:spacing w:val="0"/>
          <w:kern w:val="0"/>
          <w:sz w:val="21"/>
          <w:szCs w:val="21"/>
          <w:highlight w:val="none"/>
          <w:u w:val="single"/>
          <w:lang w:val="en-US" w:eastAsia="zh-CN"/>
          <w14:textFill>
            <w14:solidFill>
              <w14:schemeClr w14:val="tx1"/>
            </w14:solidFill>
          </w14:textFill>
        </w:rPr>
        <w:t xml:space="preserve">                    </w:t>
      </w:r>
    </w:p>
    <w:p w14:paraId="2F69E043">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监理职权：按照有关监理行业规定和处理发包人的委托有关工作。</w:t>
      </w:r>
    </w:p>
    <w:p w14:paraId="061959A7">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需要取得发包人批准才能行使职责：按本工程的监理合同中有关条款。</w:t>
      </w:r>
    </w:p>
    <w:p w14:paraId="180EBB9D">
      <w:pPr>
        <w:pageBreakBefore w:val="0"/>
        <w:kinsoku/>
        <w:wordWrap/>
        <w:overflowPunct/>
        <w:topLinePunct w:val="0"/>
        <w:autoSpaceDE/>
        <w:autoSpaceDN/>
        <w:bidi w:val="0"/>
        <w:spacing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5．2发包人派驻的工程师</w:t>
      </w:r>
    </w:p>
    <w:p w14:paraId="29B5175B">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姓名</w:t>
      </w:r>
      <w:r>
        <w:rPr>
          <w:rFonts w:hint="eastAsia" w:ascii="宋体" w:hAnsi="宋体" w:eastAsia="宋体" w:cs="宋体"/>
          <w:color w:val="000000" w:themeColor="text1"/>
          <w:kern w:val="0"/>
          <w:position w:val="0"/>
          <w:sz w:val="21"/>
          <w:szCs w:val="21"/>
          <w:highlight w:val="none"/>
          <w14:textFill>
            <w14:solidFill>
              <w14:schemeClr w14:val="tx1"/>
            </w14:solidFill>
          </w14:textFill>
        </w:rPr>
        <w:t>：</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1"/>
          <w:szCs w:val="21"/>
          <w:highlight w:val="none"/>
          <w14:textFill>
            <w14:solidFill>
              <w14:schemeClr w14:val="tx1"/>
            </w14:solidFill>
          </w14:textFill>
        </w:rPr>
        <w:t>职</w:t>
      </w:r>
      <w:r>
        <w:rPr>
          <w:rFonts w:hint="eastAsia" w:ascii="宋体" w:hAnsi="宋体" w:eastAsia="宋体" w:cs="宋体"/>
          <w:color w:val="000000" w:themeColor="text1"/>
          <w:kern w:val="0"/>
          <w:sz w:val="21"/>
          <w:szCs w:val="21"/>
          <w:highlight w:val="none"/>
          <w14:textFill>
            <w14:solidFill>
              <w14:schemeClr w14:val="tx1"/>
            </w14:solidFill>
          </w14:textFill>
        </w:rPr>
        <w:t>务：</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1"/>
          <w:szCs w:val="21"/>
          <w:highlight w:val="none"/>
          <w:u w:val="single"/>
          <w:lang w:val="en-US" w:eastAsia="zh-CN"/>
          <w14:textFill>
            <w14:solidFill>
              <w14:schemeClr w14:val="tx1"/>
            </w14:solidFill>
          </w14:textFill>
        </w:rPr>
        <w:t xml:space="preserve">                 </w:t>
      </w:r>
    </w:p>
    <w:p w14:paraId="078E9ECB">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姓名</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职</w:t>
      </w:r>
      <w:r>
        <w:rPr>
          <w:rFonts w:hint="eastAsia" w:ascii="宋体" w:hAnsi="宋体" w:eastAsia="宋体" w:cs="宋体"/>
          <w:color w:val="000000" w:themeColor="text1"/>
          <w:kern w:val="0"/>
          <w:position w:val="0"/>
          <w:sz w:val="21"/>
          <w:szCs w:val="21"/>
          <w:highlight w:val="none"/>
          <w14:textFill>
            <w14:solidFill>
              <w14:schemeClr w14:val="tx1"/>
            </w14:solidFill>
          </w14:textFill>
        </w:rPr>
        <w:t>务：</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1"/>
          <w:szCs w:val="21"/>
          <w:highlight w:val="none"/>
          <w:u w:val="single"/>
          <w:lang w:val="en-US" w:eastAsia="zh-CN"/>
          <w14:textFill>
            <w14:solidFill>
              <w14:schemeClr w14:val="tx1"/>
            </w14:solidFill>
          </w14:textFill>
        </w:rPr>
        <w:t xml:space="preserve">                 </w:t>
      </w:r>
    </w:p>
    <w:p w14:paraId="77F20498">
      <w:pPr>
        <w:pageBreakBefore w:val="0"/>
        <w:kinsoku/>
        <w:wordWrap/>
        <w:overflowPunct/>
        <w:topLinePunct w:val="0"/>
        <w:autoSpaceDE/>
        <w:autoSpaceDN/>
        <w:bidi w:val="0"/>
        <w:spacing w:before="0" w:afterLines="0" w:line="440" w:lineRule="exact"/>
        <w:ind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职</w:t>
      </w:r>
      <w:r>
        <w:rPr>
          <w:rFonts w:hint="eastAsia" w:ascii="宋体" w:hAnsi="宋体" w:eastAsia="宋体" w:cs="宋体"/>
          <w:color w:val="000000" w:themeColor="text1"/>
          <w:kern w:val="0"/>
          <w:sz w:val="21"/>
          <w:szCs w:val="21"/>
          <w:highlight w:val="none"/>
          <w14:textFill>
            <w14:solidFill>
              <w14:schemeClr w14:val="tx1"/>
            </w14:solidFill>
          </w14:textFill>
        </w:rPr>
        <w:t>权：</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1"/>
          <w:szCs w:val="21"/>
          <w:highlight w:val="none"/>
          <w14:textFill>
            <w14:solidFill>
              <w14:schemeClr w14:val="tx1"/>
            </w14:solidFill>
          </w14:textFill>
        </w:rPr>
        <w:t>受法定代表人的委托处理施工现场有关工作</w:t>
      </w:r>
    </w:p>
    <w:p w14:paraId="1C8ADA00">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6、项目经理</w:t>
      </w:r>
    </w:p>
    <w:p w14:paraId="7D05D416">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姓名</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1"/>
          <w:szCs w:val="21"/>
          <w:highlight w:val="none"/>
          <w14:textFill>
            <w14:solidFill>
              <w14:schemeClr w14:val="tx1"/>
            </w14:solidFill>
          </w14:textFill>
        </w:rPr>
        <w:t>职</w:t>
      </w:r>
      <w:r>
        <w:rPr>
          <w:rFonts w:hint="eastAsia" w:ascii="宋体" w:hAnsi="宋体" w:eastAsia="宋体" w:cs="宋体"/>
          <w:color w:val="000000" w:themeColor="text1"/>
          <w:kern w:val="0"/>
          <w:sz w:val="21"/>
          <w:szCs w:val="21"/>
          <w:highlight w:val="none"/>
          <w14:textFill>
            <w14:solidFill>
              <w14:schemeClr w14:val="tx1"/>
            </w14:solidFill>
          </w14:textFill>
        </w:rPr>
        <w:t>务：</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1"/>
          <w:szCs w:val="21"/>
          <w:highlight w:val="none"/>
          <w:u w:val="single"/>
          <w:lang w:val="en-US" w:eastAsia="zh-CN"/>
          <w14:textFill>
            <w14:solidFill>
              <w14:schemeClr w14:val="tx1"/>
            </w14:solidFill>
          </w14:textFill>
        </w:rPr>
        <w:t xml:space="preserve">                 </w:t>
      </w:r>
    </w:p>
    <w:p w14:paraId="1C78F424">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以上主要管理人员保证每个月驻工地不能低于22天(法定节假日除外)，项目经理缺一天扣1000元，其它管理人员缺一天扣500元，缺勤超过合同期1/3时间和不能按工期完成的，报告广西国土资源厅列为不诚信参建单位。</w:t>
      </w:r>
    </w:p>
    <w:p w14:paraId="2FFB28C0">
      <w:pPr>
        <w:pageBreakBefore w:val="0"/>
        <w:kinsoku/>
        <w:wordWrap/>
        <w:overflowPunct/>
        <w:topLinePunct w:val="0"/>
        <w:autoSpaceDE/>
        <w:autoSpaceDN/>
        <w:bidi w:val="0"/>
        <w:spacing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7、发包人工作</w:t>
      </w:r>
    </w:p>
    <w:p w14:paraId="3F694F9A">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7．1发包人应按约定的时间和要求完成以下工作：</w:t>
      </w:r>
    </w:p>
    <w:p w14:paraId="60264714">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(1)施工场地具备施工条件的要求及完成的时间：开工前3天。</w:t>
      </w:r>
    </w:p>
    <w:p w14:paraId="7F5725E6">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(2)将施工所需的水、电、电讯线路接至施工场地的时间、地点和供应要求：发包人协调，费用由承包人自行解决。若供电部门的原因造成停电，承包人必须自行解决施工用电，费用自理。</w:t>
      </w:r>
    </w:p>
    <w:p w14:paraId="03855E2B">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施工场地与公共道路的通道开通的时间和要求：开工前3天，</w:t>
      </w:r>
      <w:r>
        <w:rPr>
          <w:rFonts w:hint="eastAsia" w:ascii="宋体" w:hAnsi="宋体" w:eastAsia="宋体" w:cs="宋体"/>
          <w:color w:val="000000" w:themeColor="text1"/>
          <w:spacing w:val="0"/>
          <w:kern w:val="0"/>
          <w:sz w:val="21"/>
          <w:szCs w:val="21"/>
          <w:highlight w:val="none"/>
          <w14:textFill>
            <w14:solidFill>
              <w14:schemeClr w14:val="tx1"/>
            </w14:solidFill>
          </w14:textFill>
        </w:rPr>
        <w:t>由发包人协调，费用由承包人自行解决。</w:t>
      </w:r>
    </w:p>
    <w:p w14:paraId="27BCAC65">
      <w:pPr>
        <w:pageBreakBefore w:val="0"/>
        <w:kinsoku/>
        <w:wordWrap/>
        <w:overflowPunct/>
        <w:topLinePunct w:val="0"/>
        <w:autoSpaceDE/>
        <w:autoSpaceDN/>
        <w:bidi w:val="0"/>
        <w:spacing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(4)工程地质和地下管线资料的提供时间：开工前3天。</w:t>
      </w:r>
    </w:p>
    <w:p w14:paraId="5006FD43">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(5)由发包人办理的施工所需证件、批件的名称和完成时间：开工前3天。</w:t>
      </w:r>
    </w:p>
    <w:p w14:paraId="695FD71E">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(6)水准点与坐标控制点交验要求：开工前3天，并双方签字认可。</w:t>
      </w:r>
    </w:p>
    <w:p w14:paraId="6BB38D99">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(7)图纸会审和设计交底时间：开工前3天，并形成会审纪要。</w:t>
      </w:r>
    </w:p>
    <w:p w14:paraId="57CACA61">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(8)协调处理施工场地周围地下管线和邻近建筑物、构筑物(含文物保护建筑)、古树名木的保护工作：按通用条款第8.1(8)条执行。</w:t>
      </w:r>
    </w:p>
    <w:p w14:paraId="07607590">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(9)双方约定发包人应做的其他工作：配合承包人做好项目区群众工作。</w:t>
      </w:r>
    </w:p>
    <w:p w14:paraId="7EE01A3A">
      <w:pPr>
        <w:pageBreakBefore w:val="0"/>
        <w:kinsoku/>
        <w:wordWrap/>
        <w:overflowPunct/>
        <w:topLinePunct w:val="0"/>
        <w:autoSpaceDE/>
        <w:autoSpaceDN/>
        <w:bidi w:val="0"/>
        <w:spacing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7．2发包人委托承包人办理的工作：承包项目工程范围的全部工作。</w:t>
      </w:r>
    </w:p>
    <w:p w14:paraId="4B5B8AE1">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8、承包人工作</w:t>
      </w:r>
    </w:p>
    <w:p w14:paraId="5AE466AB">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8．1承包人应按约定时间和要求，完成以下工作：</w:t>
      </w:r>
    </w:p>
    <w:p w14:paraId="51570E17">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(1)需由设计资质等级和业务范围允许的承包人完成的设计文件</w:t>
      </w:r>
      <w:r>
        <w:rPr>
          <w:rFonts w:hint="eastAsia" w:ascii="宋体" w:hAnsi="宋体" w:eastAsia="宋体" w:cs="宋体"/>
          <w:color w:val="000000" w:themeColor="text1"/>
          <w:spacing w:val="0"/>
          <w:kern w:val="0"/>
          <w:sz w:val="21"/>
          <w:szCs w:val="21"/>
          <w:highlight w:val="none"/>
          <w14:textFill>
            <w14:solidFill>
              <w14:schemeClr w14:val="tx1"/>
            </w14:solidFill>
          </w14:textFill>
        </w:rPr>
        <w:t>提交时间：开工前3天。</w:t>
      </w:r>
    </w:p>
    <w:p w14:paraId="212CC018">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(2)应提供计划、报表的名称及完成时间：每月21日前提供项目施工进展月报表给发包人。</w:t>
      </w:r>
    </w:p>
    <w:p w14:paraId="7A9B970A">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(3)承担施工安全保卫工作及非夜间施工照明的责任和要求：承包人应采取一切合理的预防措施，防止人员伤亡、财产损失事故，费用由承包人承担。</w:t>
      </w:r>
    </w:p>
    <w:p w14:paraId="27C7E7AF">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(4)向发包人提供的临时办公和生活设施的保障条件：发包人自行解决。</w:t>
      </w:r>
    </w:p>
    <w:p w14:paraId="7ECCA323">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(5)需承包人办理的有关施工场地交通、环卫和施工噪音管理等手续：因施工需要，经发包人批准，由承包人办理和负责费用。</w:t>
      </w:r>
    </w:p>
    <w:p w14:paraId="71072A1B">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(6)已完工程成品保护的特殊要求及费用承担：按通用条款第9.1(6)执行。</w:t>
      </w:r>
    </w:p>
    <w:p w14:paraId="3FE56B63">
      <w:pPr>
        <w:pageBreakBefore w:val="0"/>
        <w:kinsoku/>
        <w:wordWrap/>
        <w:overflowPunct/>
        <w:topLinePunct w:val="0"/>
        <w:autoSpaceDE/>
        <w:autoSpaceDN/>
        <w:bidi w:val="0"/>
        <w:spacing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(7)施工场地周围地下管线和邻近建筑物、构筑物(含文物保护建筑)、古树名木的保护要求及费用承担：施工时如损坏地下管线、邻近建筑物、构筑物，属承包方责任造成的，所发生费用由承包人承担。</w:t>
      </w:r>
    </w:p>
    <w:p w14:paraId="769F6633">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(8)在施工过程中如施工单位占用施工合同中约定土地外的土地，则由此引发的土地权属纠纷和农作物补偿的风险和费用由施工单位自己承担，造成的工程延误不予顺延。</w:t>
      </w:r>
    </w:p>
    <w:p w14:paraId="6EFADA56">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(9)施工场地清洁卫生的要求：由于施工造成的环境污染，其责任和费用均由承包人承担。</w:t>
      </w:r>
    </w:p>
    <w:p w14:paraId="71AA0EBA">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(10)双方约定承包人应做的其他工作：</w:t>
      </w:r>
    </w:p>
    <w:p w14:paraId="0F193B82">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①配合发包人做好安全文明宣传、领导检查宣传等工作，相关费用由承包人承担。</w:t>
      </w:r>
    </w:p>
    <w:p w14:paraId="0AD2C875">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②承包人生活设施及施工场地，应自费配备消防设备，防止火灾发生。</w:t>
      </w:r>
    </w:p>
    <w:p w14:paraId="07DB51E9">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③承包人的临时用地(含项目部驻地等)租用费(含拆迁补偿)、临时用地的环保、恢复、临时用地的青苗补偿及地面附着物拆除等费用均由承包人负责，以上费用在投标报价中综合考虑。</w:t>
      </w:r>
    </w:p>
    <w:p w14:paraId="2B6BCBE6">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④取土场及弃土场由承包人自行解决，但不得违反相关管理规定，并承担相关费用。</w:t>
      </w:r>
    </w:p>
    <w:p w14:paraId="3DF87382">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⑤经过城市道路的施工车辆，必须按交警、城管、运输等部门相关规定执行。由于施工车辆造成的道路、环境等污染，其责任和费用均由承包人承担。</w:t>
      </w:r>
    </w:p>
    <w:p w14:paraId="4C10C366">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⑥施工现场区域在施工过程中要做到工完清场，各施工区域的建筑垃圾随着区域施工的进度及时清理，要求工完场清；对施工及生活中的垃圾要统一及时处理，堆放在指定地点，严禁乱扔乱弃，避免阻塞河流和污染水源，其责任和费用均由承包人承担。</w:t>
      </w:r>
    </w:p>
    <w:p w14:paraId="4D2E8517">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⑦原则上承包人负责联系项目区集体组织，做好工程占用土地的群众的思想工作，工程建设占用土地由承包人自行解决。</w:t>
      </w:r>
    </w:p>
    <w:p w14:paraId="2528FC77">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⑧承包人负责工程施工期间的安全、对已完成工程存在可能安全隐患的，要负责做好警示提示。</w:t>
      </w:r>
    </w:p>
    <w:p w14:paraId="75512099">
      <w:pPr>
        <w:pageBreakBefore w:val="0"/>
        <w:kinsoku/>
        <w:wordWrap/>
        <w:overflowPunct/>
        <w:topLinePunct w:val="0"/>
        <w:autoSpaceDE/>
        <w:autoSpaceDN/>
        <w:bidi w:val="0"/>
        <w:spacing w:before="0" w:afterLines="0" w:line="440" w:lineRule="exact"/>
        <w:ind w:left="0" w:firstLine="422" w:firstLineChars="200"/>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sz w:val="21"/>
          <w:szCs w:val="21"/>
          <w:highlight w:val="none"/>
          <w14:textFill>
            <w14:solidFill>
              <w14:schemeClr w14:val="tx1"/>
            </w14:solidFill>
          </w14:textFill>
        </w:rPr>
        <w:t>三、施工组织设计和工期</w:t>
      </w:r>
    </w:p>
    <w:p w14:paraId="50A972E2">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9、进度计划</w:t>
      </w:r>
    </w:p>
    <w:p w14:paraId="63FAFC2B">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9．1承包人提供施工组织设计(施工方案)和进度计划的时间：开工前3天。</w:t>
      </w:r>
    </w:p>
    <w:p w14:paraId="70E662BD">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工程师确认的时间：</w:t>
      </w:r>
      <w:r>
        <w:rPr>
          <w:rFonts w:hint="eastAsia" w:ascii="宋体" w:hAnsi="宋体" w:eastAsia="宋体" w:cs="宋体"/>
          <w:color w:val="000000" w:themeColor="text1"/>
          <w:kern w:val="0"/>
          <w:sz w:val="21"/>
          <w:szCs w:val="21"/>
          <w:highlight w:val="none"/>
          <w14:textFill>
            <w14:solidFill>
              <w14:schemeClr w14:val="tx1"/>
            </w14:solidFill>
          </w14:textFill>
        </w:rPr>
        <w:t>开工前3天。</w:t>
      </w:r>
    </w:p>
    <w:p w14:paraId="09F04A16">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9．2主体工程中有关进度计划的要求：按通用条款执行。</w:t>
      </w:r>
    </w:p>
    <w:p w14:paraId="61B1572F">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10、工期延误</w:t>
      </w:r>
    </w:p>
    <w:p w14:paraId="7B2A94E2">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10．1对以下原因造成工期延误；经工程师确认，工期相应顺延：按通用条款第13条执行。</w:t>
      </w:r>
    </w:p>
    <w:p w14:paraId="688DB1A6">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10.1.1不可抗力</w:t>
      </w:r>
    </w:p>
    <w:p w14:paraId="31F3E006">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10.1.2双方约定工期顺延的其他情况：按通用条款执行</w:t>
      </w:r>
    </w:p>
    <w:p w14:paraId="77F68F00">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10.2非上述原因，承包人不能按合同约定的时间竣工，承包人应承担违约责任。应向发包人支付误期赔偿费(每天赔偿金额为合同总价的万分之四)，误期时间从规定竣工日期起直</w:t>
      </w:r>
      <w:r>
        <w:rPr>
          <w:rFonts w:hint="eastAsia" w:ascii="宋体" w:hAnsi="宋体" w:eastAsia="宋体" w:cs="宋体"/>
          <w:color w:val="000000" w:themeColor="text1"/>
          <w:kern w:val="0"/>
          <w:sz w:val="21"/>
          <w:szCs w:val="21"/>
          <w:highlight w:val="none"/>
          <w14:textFill>
            <w14:solidFill>
              <w14:schemeClr w14:val="tx1"/>
            </w14:solidFill>
          </w14:textFill>
        </w:rPr>
        <w:t>到全部工程或相应部分工</w:t>
      </w:r>
      <w:r>
        <w:rPr>
          <w:rFonts w:hint="eastAsia" w:ascii="宋体" w:hAnsi="宋体" w:eastAsia="宋体" w:cs="宋体"/>
          <w:color w:val="000000" w:themeColor="text1"/>
          <w:spacing w:val="0"/>
          <w:kern w:val="0"/>
          <w:sz w:val="21"/>
          <w:szCs w:val="21"/>
          <w:highlight w:val="none"/>
          <w14:textFill>
            <w14:solidFill>
              <w14:schemeClr w14:val="tx1"/>
            </w14:solidFill>
          </w14:textFill>
        </w:rPr>
        <w:t>程的移交竣工报告的批准日期之间的天数(不足一天的按一天计算)，其极限为合同价的5%。发包人可从应向承包人支付的任何金额中扣除此项赔款费或其他方式收回此款，此赔偿款的支付并不能解除承包人应完成工程的责任或合同规定的其他责任。</w:t>
      </w:r>
    </w:p>
    <w:p w14:paraId="1D1BDDD1">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10.3因工程量变化和设计变更的工期予以顺延，即工期相应变化，质量要求不变。</w:t>
      </w:r>
    </w:p>
    <w:p w14:paraId="5F866F8C">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10.4承包人必须按照合同工期或发包人同意顺延的工期竣工，如非上述原因工期延误超过</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pacing w:val="0"/>
          <w:kern w:val="0"/>
          <w:sz w:val="21"/>
          <w:szCs w:val="21"/>
          <w:highlight w:val="none"/>
          <w14:textFill>
            <w14:solidFill>
              <w14:schemeClr w14:val="tx1"/>
            </w14:solidFill>
          </w14:textFill>
        </w:rPr>
        <w:t>日历天以上，发包人有权终止合同，重新委托其他单位完成施工任务，由此造成的损失由承包人承担。</w:t>
      </w:r>
    </w:p>
    <w:p w14:paraId="72B63135">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10.5合同工期过半，发包人有权组织专家组对承包人进行中期考核，如专家组认为承包人无法在规定工期内完成合同约定的工程内容，发包人有权终止合同，承包方无条件在发包人指令时间内撤出施工现场，并等待有权限部门的结算;发包人重新委托其他单位完成施工任务，由此造成的损失由承包人承担。</w:t>
      </w:r>
    </w:p>
    <w:p w14:paraId="308CD0E7">
      <w:pPr>
        <w:pageBreakBefore w:val="0"/>
        <w:kinsoku/>
        <w:wordWrap/>
        <w:overflowPunct/>
        <w:topLinePunct w:val="0"/>
        <w:autoSpaceDE/>
        <w:autoSpaceDN/>
        <w:bidi w:val="0"/>
        <w:spacing w:afterLines="0" w:line="440" w:lineRule="exact"/>
        <w:ind w:left="0" w:firstLine="422" w:firstLineChars="200"/>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sz w:val="21"/>
          <w:szCs w:val="21"/>
          <w:highlight w:val="none"/>
          <w14:textFill>
            <w14:solidFill>
              <w14:schemeClr w14:val="tx1"/>
            </w14:solidFill>
          </w14:textFill>
        </w:rPr>
        <w:t>四、质量与验收</w:t>
      </w:r>
    </w:p>
    <w:p w14:paraId="6991FC8F">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11、工程质量</w:t>
      </w:r>
    </w:p>
    <w:p w14:paraId="35BCD0F6">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11.1发包人对工程质量要求：工程质量合格，达到符合项目规划设计要求，并达到</w:t>
      </w:r>
      <w:r>
        <w:rPr>
          <w:rFonts w:hint="eastAsia" w:ascii="宋体" w:hAnsi="宋体" w:eastAsia="宋体" w:cs="宋体"/>
          <w:color w:val="000000" w:themeColor="text1"/>
          <w:sz w:val="21"/>
          <w:szCs w:val="21"/>
          <w:highlight w:val="none"/>
          <w:lang w:bidi="ar"/>
          <w14:textFill>
            <w14:solidFill>
              <w14:schemeClr w14:val="tx1"/>
            </w14:solidFill>
          </w14:textFill>
        </w:rPr>
        <w:t>《广西壮族自治区国土资源厅广西壮族自治区财政厅关于印发广西壮族自治区土地整治项目管理暂行办法的通知》(桂国土资发〔2011〕20 号)、《广西壮族自治区国土资源厅关于进一步规范我区土地整治项目管理有关问题的通知》(桂国土资发〔2014〕16 号）、《土地整治工程第 1 部分：建设规范 DB45/T1055-2014》、《土地整治工程第2 部分：质量检测与评定规程规范 DB45/T1056-2014》、《土地整治工程第 3 部分：验收技术规程 DB45/11057-2014》等土地综合整治技术规范及合同约定</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的标准</w:t>
      </w:r>
      <w:r>
        <w:rPr>
          <w:rFonts w:hint="eastAsia" w:ascii="宋体" w:hAnsi="宋体" w:eastAsia="宋体" w:cs="宋体"/>
          <w:color w:val="000000" w:themeColor="text1"/>
          <w:spacing w:val="0"/>
          <w:kern w:val="0"/>
          <w:sz w:val="21"/>
          <w:szCs w:val="21"/>
          <w:highlight w:val="none"/>
          <w14:textFill>
            <w14:solidFill>
              <w14:schemeClr w14:val="tx1"/>
            </w14:solidFill>
          </w14:textFill>
        </w:rPr>
        <w:t>。工程数量要按批准的规划设计建设标准、建设内容、规模总量完成。</w:t>
      </w:r>
    </w:p>
    <w:p w14:paraId="287DCD7F">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11.2双方对工程质量有争议时，以</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桂林市临桂区自然资源局</w:t>
      </w:r>
      <w:r>
        <w:rPr>
          <w:rFonts w:hint="eastAsia" w:ascii="宋体" w:hAnsi="宋体" w:eastAsia="宋体" w:cs="宋体"/>
          <w:color w:val="000000" w:themeColor="text1"/>
          <w:spacing w:val="0"/>
          <w:kern w:val="0"/>
          <w:sz w:val="21"/>
          <w:szCs w:val="21"/>
          <w:highlight w:val="none"/>
          <w14:textFill>
            <w14:solidFill>
              <w14:schemeClr w14:val="tx1"/>
            </w14:solidFill>
          </w14:textFill>
        </w:rPr>
        <w:t>委托有</w:t>
      </w:r>
      <w:r>
        <w:rPr>
          <w:rFonts w:hint="eastAsia" w:ascii="宋体" w:hAnsi="宋体" w:eastAsia="宋体" w:cs="宋体"/>
          <w:color w:val="000000" w:themeColor="text1"/>
          <w:kern w:val="0"/>
          <w:sz w:val="21"/>
          <w:szCs w:val="21"/>
          <w:highlight w:val="none"/>
          <w14:textFill>
            <w14:solidFill>
              <w14:schemeClr w14:val="tx1"/>
            </w14:solidFill>
          </w14:textFill>
        </w:rPr>
        <w:t>资质的</w:t>
      </w:r>
      <w:r>
        <w:rPr>
          <w:rFonts w:hint="eastAsia" w:ascii="宋体" w:hAnsi="宋体" w:eastAsia="宋体" w:cs="宋体"/>
          <w:color w:val="000000" w:themeColor="text1"/>
          <w:spacing w:val="0"/>
          <w:kern w:val="0"/>
          <w:sz w:val="21"/>
          <w:szCs w:val="21"/>
          <w:highlight w:val="none"/>
          <w14:textFill>
            <w14:solidFill>
              <w14:schemeClr w14:val="tx1"/>
            </w14:solidFill>
          </w14:textFill>
        </w:rPr>
        <w:t>工程复核单位认定为准。</w:t>
      </w:r>
    </w:p>
    <w:p w14:paraId="006826E7">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11.3工作质量保质期：按项</w:t>
      </w:r>
      <w:r>
        <w:rPr>
          <w:rFonts w:hint="eastAsia" w:ascii="宋体" w:hAnsi="宋体" w:eastAsia="宋体" w:cs="宋体"/>
          <w:color w:val="000000" w:themeColor="text1"/>
          <w:kern w:val="0"/>
          <w:sz w:val="21"/>
          <w:szCs w:val="21"/>
          <w:highlight w:val="none"/>
          <w14:textFill>
            <w14:solidFill>
              <w14:schemeClr w14:val="tx1"/>
            </w14:solidFill>
          </w14:textFill>
        </w:rPr>
        <w:t>目工程竣工验收合格之日起12个月。</w:t>
      </w:r>
    </w:p>
    <w:p w14:paraId="51C437FA">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12、检查与返工按通用条款16条执行</w:t>
      </w:r>
    </w:p>
    <w:p w14:paraId="737C5BCC">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13、隐蔽工程和中间验收</w:t>
      </w:r>
    </w:p>
    <w:p w14:paraId="4A412E74">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14．1双方约定中间验收部位：按通用条款执行。</w:t>
      </w:r>
    </w:p>
    <w:p w14:paraId="6F0AB559">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14.2发包人对工程质量的特殊要求：道路路面平整、挡土墙牢固、</w:t>
      </w:r>
    </w:p>
    <w:p w14:paraId="44EDFC38">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沟渠平直、美观。涉及水泥沙浆抹面、混凝土工程的在施工完工起7天内进行浇水养护</w:t>
      </w:r>
    </w:p>
    <w:p w14:paraId="7F58437F">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15、工程试车</w:t>
      </w:r>
    </w:p>
    <w:p w14:paraId="3DAC9D05">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15.1试车费用的承担：由承包人负责。</w:t>
      </w:r>
    </w:p>
    <w:p w14:paraId="687846E1">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五、安全施工：按通用条款执行。</w:t>
      </w:r>
    </w:p>
    <w:p w14:paraId="50191B20">
      <w:pPr>
        <w:pageBreakBefore w:val="0"/>
        <w:kinsoku/>
        <w:wordWrap/>
        <w:overflowPunct/>
        <w:topLinePunct w:val="0"/>
        <w:autoSpaceDE/>
        <w:autoSpaceDN/>
        <w:bidi w:val="0"/>
        <w:spacing w:before="0" w:afterLines="0" w:line="440" w:lineRule="exact"/>
        <w:ind w:left="0" w:firstLine="422" w:firstLineChars="200"/>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sz w:val="21"/>
          <w:szCs w:val="21"/>
          <w:highlight w:val="none"/>
          <w14:textFill>
            <w14:solidFill>
              <w14:schemeClr w14:val="tx1"/>
            </w14:solidFill>
          </w14:textFill>
        </w:rPr>
        <w:t>六、合同价款与支付</w:t>
      </w:r>
    </w:p>
    <w:p w14:paraId="5187CF8B">
      <w:pPr>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kern w:val="2"/>
          <w:sz w:val="21"/>
          <w:szCs w:val="21"/>
          <w:highlight w:val="none"/>
          <w:lang w:bidi="ar"/>
          <w14:textFill>
            <w14:solidFill>
              <w14:schemeClr w14:val="tx1"/>
            </w14:solidFill>
          </w14:textFill>
        </w:rPr>
      </w:pPr>
      <w:r>
        <w:rPr>
          <w:rFonts w:hint="eastAsia" w:ascii="宋体" w:hAnsi="宋体" w:eastAsia="宋体" w:cs="宋体"/>
          <w:color w:val="000000" w:themeColor="text1"/>
          <w:spacing w:val="0"/>
          <w:kern w:val="2"/>
          <w:sz w:val="21"/>
          <w:szCs w:val="21"/>
          <w:highlight w:val="none"/>
          <w:lang w:bidi="ar"/>
          <w14:textFill>
            <w14:solidFill>
              <w14:schemeClr w14:val="tx1"/>
            </w14:solidFill>
          </w14:textFill>
        </w:rPr>
        <w:t>16、合同价款及调整</w:t>
      </w:r>
    </w:p>
    <w:p w14:paraId="5752116B">
      <w:pPr>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pacing w:val="0"/>
          <w:kern w:val="2"/>
          <w:sz w:val="21"/>
          <w:szCs w:val="21"/>
          <w:highlight w:val="none"/>
          <w:lang w:bidi="ar"/>
          <w14:textFill>
            <w14:solidFill>
              <w14:schemeClr w14:val="tx1"/>
            </w14:solidFill>
          </w14:textFill>
        </w:rPr>
      </w:pPr>
      <w:r>
        <w:rPr>
          <w:rFonts w:hint="eastAsia" w:ascii="宋体" w:hAnsi="宋体" w:eastAsia="宋体" w:cs="宋体"/>
          <w:color w:val="000000" w:themeColor="text1"/>
          <w:spacing w:val="0"/>
          <w:kern w:val="2"/>
          <w:sz w:val="21"/>
          <w:szCs w:val="21"/>
          <w:highlight w:val="none"/>
          <w:lang w:bidi="ar"/>
          <w14:textFill>
            <w14:solidFill>
              <w14:schemeClr w14:val="tx1"/>
            </w14:solidFill>
          </w14:textFill>
        </w:rPr>
        <w:t>16．1本合同价款采用由发包人、承包人依据中标通知书中的中标价格在协议书内约定,在招标文件和规划设计图纸范围内实行工程。</w:t>
      </w:r>
    </w:p>
    <w:p w14:paraId="6EB491E3">
      <w:pPr>
        <w:pStyle w:val="2"/>
        <w:pageBreakBefore w:val="0"/>
        <w:kinsoku/>
        <w:wordWrap/>
        <w:overflowPunct/>
        <w:topLinePunct w:val="0"/>
        <w:autoSpaceDE/>
        <w:autoSpaceDN/>
        <w:bidi w:val="0"/>
        <w:spacing w:after="0"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u w:val="none"/>
          <w:lang w:eastAsia="zh-CN" w:bidi="ar"/>
          <w14:textFill>
            <w14:solidFill>
              <w14:schemeClr w14:val="tx1"/>
            </w14:solidFill>
          </w14:textFill>
        </w:rPr>
        <w:t>施工工程费用</w:t>
      </w:r>
      <w:r>
        <w:rPr>
          <w:rFonts w:hint="eastAsia" w:ascii="宋体" w:hAnsi="宋体" w:eastAsia="宋体" w:cs="宋体"/>
          <w:b w:val="0"/>
          <w:bCs w:val="0"/>
          <w:color w:val="000000" w:themeColor="text1"/>
          <w:kern w:val="0"/>
          <w:sz w:val="21"/>
          <w:szCs w:val="21"/>
          <w:highlight w:val="none"/>
          <w:u w:val="none"/>
          <w:lang w:val="en-US" w:eastAsia="zh-CN" w:bidi="ar"/>
          <w14:textFill>
            <w14:solidFill>
              <w14:schemeClr w14:val="tx1"/>
            </w14:solidFill>
          </w14:textFill>
        </w:rPr>
        <w:t>计算参考依据如下：</w:t>
      </w:r>
    </w:p>
    <w:p w14:paraId="2CD94624">
      <w:pPr>
        <w:pStyle w:val="51"/>
        <w:pageBreakBefore w:val="0"/>
        <w:tabs>
          <w:tab w:val="left" w:pos="5894"/>
        </w:tabs>
        <w:kinsoku/>
        <w:wordWrap/>
        <w:overflowPunct/>
        <w:topLinePunct w:val="0"/>
        <w:autoSpaceDE/>
        <w:autoSpaceDN/>
        <w:bidi w:val="0"/>
        <w:spacing w:line="440" w:lineRule="exact"/>
        <w:ind w:firstLine="6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（1）财政部 国土资源部关于印发《中央分成新增建设用地土地有偿使用费资金使用管理办法》的通知（财建[2008]157 号）； </w:t>
      </w:r>
    </w:p>
    <w:p w14:paraId="33CBDB20">
      <w:pPr>
        <w:pStyle w:val="51"/>
        <w:pageBreakBefore w:val="0"/>
        <w:tabs>
          <w:tab w:val="left" w:pos="5894"/>
        </w:tabs>
        <w:kinsoku/>
        <w:wordWrap/>
        <w:overflowPunct/>
        <w:topLinePunct w:val="0"/>
        <w:autoSpaceDE/>
        <w:autoSpaceDN/>
        <w:bidi w:val="0"/>
        <w:spacing w:line="440" w:lineRule="exact"/>
        <w:ind w:firstLine="6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（2）自治区国土资源厅财政厅关于印发《广西壮族自治区土地整治管理暂行办法》的通知（桂国土资发[2011]20 号）； </w:t>
      </w:r>
    </w:p>
    <w:p w14:paraId="1D0DC1BA">
      <w:pPr>
        <w:pStyle w:val="51"/>
        <w:pageBreakBefore w:val="0"/>
        <w:tabs>
          <w:tab w:val="left" w:pos="5894"/>
        </w:tabs>
        <w:kinsoku/>
        <w:wordWrap/>
        <w:overflowPunct/>
        <w:topLinePunct w:val="0"/>
        <w:autoSpaceDE/>
        <w:autoSpaceDN/>
        <w:bidi w:val="0"/>
        <w:spacing w:line="440" w:lineRule="exact"/>
        <w:ind w:firstLine="6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（3）《财政部、国土资源部关于印发土地开发整理项目预算定额标准的通知》（财综〔2011〕128 号）； </w:t>
      </w:r>
    </w:p>
    <w:p w14:paraId="0C1F1372">
      <w:pPr>
        <w:pStyle w:val="51"/>
        <w:pageBreakBefore w:val="0"/>
        <w:tabs>
          <w:tab w:val="left" w:pos="5894"/>
        </w:tabs>
        <w:kinsoku/>
        <w:wordWrap/>
        <w:overflowPunct/>
        <w:topLinePunct w:val="0"/>
        <w:autoSpaceDE/>
        <w:autoSpaceDN/>
        <w:bidi w:val="0"/>
        <w:spacing w:line="440" w:lineRule="exact"/>
        <w:ind w:firstLine="6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（4）2012 年《土地开发整理项目预算定额标准》； </w:t>
      </w:r>
    </w:p>
    <w:p w14:paraId="6867FD66">
      <w:pPr>
        <w:pStyle w:val="51"/>
        <w:pageBreakBefore w:val="0"/>
        <w:tabs>
          <w:tab w:val="left" w:pos="5894"/>
        </w:tabs>
        <w:kinsoku/>
        <w:wordWrap/>
        <w:overflowPunct/>
        <w:topLinePunct w:val="0"/>
        <w:autoSpaceDE/>
        <w:autoSpaceDN/>
        <w:bidi w:val="0"/>
        <w:spacing w:line="440" w:lineRule="exact"/>
        <w:ind w:firstLine="6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（5）2012 年《土地开发整理项目施工机械台班费定额》； </w:t>
      </w:r>
    </w:p>
    <w:p w14:paraId="459DF45E">
      <w:pPr>
        <w:pStyle w:val="51"/>
        <w:pageBreakBefore w:val="0"/>
        <w:tabs>
          <w:tab w:val="left" w:pos="5894"/>
        </w:tabs>
        <w:kinsoku/>
        <w:wordWrap/>
        <w:overflowPunct/>
        <w:topLinePunct w:val="0"/>
        <w:autoSpaceDE/>
        <w:autoSpaceDN/>
        <w:bidi w:val="0"/>
        <w:spacing w:line="440" w:lineRule="exact"/>
        <w:ind w:firstLine="6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（6）2012 年《土地开发整理项目预算编制规定》； </w:t>
      </w:r>
    </w:p>
    <w:p w14:paraId="5A0E03E3">
      <w:pPr>
        <w:pStyle w:val="51"/>
        <w:pageBreakBefore w:val="0"/>
        <w:tabs>
          <w:tab w:val="left" w:pos="5894"/>
        </w:tabs>
        <w:kinsoku/>
        <w:wordWrap/>
        <w:overflowPunct/>
        <w:topLinePunct w:val="0"/>
        <w:autoSpaceDE/>
        <w:autoSpaceDN/>
        <w:bidi w:val="0"/>
        <w:spacing w:line="440" w:lineRule="exact"/>
        <w:ind w:firstLine="6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（7）自治区财政厅 国土资源厅《广西壮族自治区土地整治专项资金管理办法》（桂财建[2010]244 号）； </w:t>
      </w:r>
    </w:p>
    <w:p w14:paraId="54169F60">
      <w:pPr>
        <w:pStyle w:val="51"/>
        <w:pageBreakBefore w:val="0"/>
        <w:tabs>
          <w:tab w:val="left" w:pos="5894"/>
        </w:tabs>
        <w:kinsoku/>
        <w:wordWrap/>
        <w:overflowPunct/>
        <w:topLinePunct w:val="0"/>
        <w:autoSpaceDE/>
        <w:autoSpaceDN/>
        <w:bidi w:val="0"/>
        <w:spacing w:line="440" w:lineRule="exact"/>
        <w:ind w:firstLine="6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（8）当地价格信息，物价部门、物资部门公布的材料、设备价格； </w:t>
      </w:r>
    </w:p>
    <w:p w14:paraId="3F6D3EE7">
      <w:pPr>
        <w:pStyle w:val="51"/>
        <w:pageBreakBefore w:val="0"/>
        <w:tabs>
          <w:tab w:val="left" w:pos="5894"/>
        </w:tabs>
        <w:kinsoku/>
        <w:wordWrap/>
        <w:overflowPunct/>
        <w:topLinePunct w:val="0"/>
        <w:autoSpaceDE/>
        <w:autoSpaceDN/>
        <w:bidi w:val="0"/>
        <w:spacing w:line="440" w:lineRule="exact"/>
        <w:ind w:firstLine="6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（9）《国土资源部关于强化管控落实最严格耕地保护制度的通知》（国土资发〔2014〕18 号）； </w:t>
      </w:r>
    </w:p>
    <w:p w14:paraId="2E74CAAE">
      <w:pPr>
        <w:pStyle w:val="51"/>
        <w:pageBreakBefore w:val="0"/>
        <w:tabs>
          <w:tab w:val="left" w:pos="5894"/>
        </w:tabs>
        <w:kinsoku/>
        <w:wordWrap/>
        <w:overflowPunct/>
        <w:topLinePunct w:val="0"/>
        <w:autoSpaceDE/>
        <w:autoSpaceDN/>
        <w:bidi w:val="0"/>
        <w:spacing w:line="440" w:lineRule="exact"/>
        <w:ind w:firstLine="6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（10）《自治区国土资源厅关于印发“占优补优、占水田补水田”承诺落实情况专项5督察方案的通知》（桂国土资发〔2014〕83 号）； </w:t>
      </w:r>
    </w:p>
    <w:p w14:paraId="20F437B2">
      <w:pPr>
        <w:pStyle w:val="51"/>
        <w:pageBreakBefore w:val="0"/>
        <w:tabs>
          <w:tab w:val="left" w:pos="5894"/>
        </w:tabs>
        <w:kinsoku/>
        <w:wordWrap/>
        <w:overflowPunct/>
        <w:topLinePunct w:val="0"/>
        <w:autoSpaceDE/>
        <w:autoSpaceDN/>
        <w:bidi w:val="0"/>
        <w:spacing w:line="440" w:lineRule="exact"/>
        <w:ind w:firstLine="6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（11）《广西壮族自治区国土资源厅关于切实加强补充耕地质量建设的通知》（桂国土资发〔2015〕13 号）； </w:t>
      </w:r>
    </w:p>
    <w:p w14:paraId="13FCC11A">
      <w:pPr>
        <w:pStyle w:val="51"/>
        <w:pageBreakBefore w:val="0"/>
        <w:tabs>
          <w:tab w:val="left" w:pos="5894"/>
        </w:tabs>
        <w:kinsoku/>
        <w:wordWrap/>
        <w:overflowPunct/>
        <w:topLinePunct w:val="0"/>
        <w:autoSpaceDE/>
        <w:autoSpaceDN/>
        <w:bidi w:val="0"/>
        <w:spacing w:line="440" w:lineRule="exact"/>
        <w:ind w:firstLine="6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（12）《广西壮族自治区国土资源厅关于下达 2015 年度补充耕地计划指标的通知》（桂国土资发〔2015〕51 号）； </w:t>
      </w:r>
    </w:p>
    <w:p w14:paraId="1D54FE73">
      <w:pPr>
        <w:pStyle w:val="51"/>
        <w:pageBreakBefore w:val="0"/>
        <w:tabs>
          <w:tab w:val="left" w:pos="5894"/>
        </w:tabs>
        <w:kinsoku/>
        <w:wordWrap/>
        <w:overflowPunct/>
        <w:topLinePunct w:val="0"/>
        <w:autoSpaceDE/>
        <w:autoSpaceDN/>
        <w:bidi w:val="0"/>
        <w:spacing w:line="440" w:lineRule="exact"/>
        <w:ind w:firstLine="6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（13）《关于深化增值税改革有关政策的公告》（财政部税务总局海关总署公告2019 年第 39 号）； </w:t>
      </w:r>
    </w:p>
    <w:p w14:paraId="15F74A00">
      <w:pPr>
        <w:pStyle w:val="51"/>
        <w:pageBreakBefore w:val="0"/>
        <w:tabs>
          <w:tab w:val="left" w:pos="5894"/>
        </w:tabs>
        <w:kinsoku/>
        <w:wordWrap/>
        <w:overflowPunct/>
        <w:topLinePunct w:val="0"/>
        <w:autoSpaceDE/>
        <w:autoSpaceDN/>
        <w:bidi w:val="0"/>
        <w:spacing w:line="440" w:lineRule="exact"/>
        <w:ind w:firstLine="6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（14）《桂林市建设工程造价信息》（2025 年 1 月）； </w:t>
      </w:r>
    </w:p>
    <w:p w14:paraId="2B16D7C1">
      <w:pPr>
        <w:pStyle w:val="51"/>
        <w:pageBreakBefore w:val="0"/>
        <w:tabs>
          <w:tab w:val="left" w:pos="5894"/>
        </w:tabs>
        <w:kinsoku/>
        <w:wordWrap/>
        <w:overflowPunct/>
        <w:topLinePunct w:val="0"/>
        <w:autoSpaceDE/>
        <w:autoSpaceDN/>
        <w:bidi w:val="0"/>
        <w:spacing w:line="440" w:lineRule="exact"/>
        <w:ind w:firstLine="6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（15）项目设计图纸及工程量；</w:t>
      </w:r>
    </w:p>
    <w:p w14:paraId="3067C5B3">
      <w:pPr>
        <w:pStyle w:val="51"/>
        <w:pageBreakBefore w:val="0"/>
        <w:kinsoku/>
        <w:wordWrap/>
        <w:overflowPunct/>
        <w:topLinePunct w:val="0"/>
        <w:autoSpaceDE/>
        <w:autoSpaceDN/>
        <w:bidi w:val="0"/>
        <w:spacing w:line="440" w:lineRule="exact"/>
        <w:ind w:left="0" w:right="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（16）国家及有关部门的政策性文件。</w:t>
      </w:r>
    </w:p>
    <w:p w14:paraId="264A3C58">
      <w:pPr>
        <w:pStyle w:val="51"/>
        <w:pageBreakBefore w:val="0"/>
        <w:kinsoku/>
        <w:wordWrap/>
        <w:overflowPunct/>
        <w:topLinePunct w:val="0"/>
        <w:autoSpaceDE/>
        <w:autoSpaceDN/>
        <w:bidi w:val="0"/>
        <w:spacing w:afterLines="0" w:line="440" w:lineRule="exact"/>
        <w:ind w:left="0" w:right="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2.其他相关文件：</w:t>
      </w:r>
    </w:p>
    <w:p w14:paraId="5F08392A">
      <w:pPr>
        <w:pStyle w:val="51"/>
        <w:pageBreakBefore w:val="0"/>
        <w:kinsoku/>
        <w:wordWrap/>
        <w:overflowPunct/>
        <w:topLinePunct w:val="0"/>
        <w:autoSpaceDE/>
        <w:autoSpaceDN/>
        <w:bidi w:val="0"/>
        <w:spacing w:afterLines="0" w:line="440" w:lineRule="exact"/>
        <w:ind w:left="0" w:right="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（1）项目立项批准文件；</w:t>
      </w:r>
    </w:p>
    <w:p w14:paraId="74B4F659">
      <w:pPr>
        <w:pStyle w:val="51"/>
        <w:pageBreakBefore w:val="0"/>
        <w:kinsoku/>
        <w:wordWrap/>
        <w:overflowPunct/>
        <w:topLinePunct w:val="0"/>
        <w:autoSpaceDE/>
        <w:autoSpaceDN/>
        <w:bidi w:val="0"/>
        <w:spacing w:afterLines="0" w:line="440" w:lineRule="exact"/>
        <w:ind w:left="0" w:right="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（2）项目设计文本、设计图及说明；</w:t>
      </w:r>
    </w:p>
    <w:p w14:paraId="67AE7483">
      <w:pPr>
        <w:pStyle w:val="51"/>
        <w:pageBreakBefore w:val="0"/>
        <w:kinsoku/>
        <w:wordWrap/>
        <w:overflowPunct/>
        <w:topLinePunct w:val="0"/>
        <w:autoSpaceDE/>
        <w:autoSpaceDN/>
        <w:bidi w:val="0"/>
        <w:spacing w:afterLines="0" w:line="44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（3）其他资料：如材料价格信息、来源地及运距等资料。</w:t>
      </w:r>
    </w:p>
    <w:p w14:paraId="335EB287">
      <w:pPr>
        <w:pStyle w:val="51"/>
        <w:pageBreakBefore w:val="0"/>
        <w:kinsoku/>
        <w:wordWrap/>
        <w:overflowPunct/>
        <w:topLinePunct w:val="0"/>
        <w:autoSpaceDE/>
        <w:autoSpaceDN/>
        <w:bidi w:val="0"/>
        <w:spacing w:afterLines="0" w:line="44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未尽事宜详见</w:t>
      </w:r>
      <w:r>
        <w:rPr>
          <w:rFonts w:hint="eastAsia" w:ascii="宋体" w:hAnsi="宋体" w:eastAsia="宋体" w:cs="宋体"/>
          <w:color w:val="000000" w:themeColor="text1"/>
          <w:sz w:val="21"/>
          <w:szCs w:val="21"/>
          <w:highlight w:val="none"/>
          <w:lang w:val="en-US" w:eastAsia="zh-CN"/>
          <w14:textFill>
            <w14:solidFill>
              <w14:schemeClr w14:val="tx1"/>
            </w14:solidFill>
          </w14:textFill>
        </w:rPr>
        <w:t>土地开发整理项目预算定额标准</w:t>
      </w:r>
      <w:r>
        <w:rPr>
          <w:rFonts w:hint="eastAsia" w:ascii="宋体" w:hAnsi="宋体" w:eastAsia="宋体" w:cs="宋体"/>
          <w:color w:val="000000" w:themeColor="text1"/>
          <w:sz w:val="21"/>
          <w:szCs w:val="21"/>
          <w:highlight w:val="none"/>
          <w14:textFill>
            <w14:solidFill>
              <w14:schemeClr w14:val="tx1"/>
            </w14:solidFill>
          </w14:textFill>
        </w:rPr>
        <w:t>以及现行有关规定执行。</w:t>
      </w:r>
    </w:p>
    <w:p w14:paraId="4771FBD5">
      <w:pPr>
        <w:pStyle w:val="2"/>
        <w:pageBreakBefore w:val="0"/>
        <w:kinsoku/>
        <w:wordWrap/>
        <w:overflowPunct/>
        <w:topLinePunct w:val="0"/>
        <w:autoSpaceDE/>
        <w:autoSpaceDN/>
        <w:bidi w:val="0"/>
        <w:spacing w:after="0" w:line="44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风险范围以外合同价款调整方法：</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无</w:t>
      </w:r>
      <w:r>
        <w:rPr>
          <w:rFonts w:hint="eastAsia" w:ascii="宋体" w:hAnsi="宋体" w:eastAsia="宋体" w:cs="宋体"/>
          <w:color w:val="000000" w:themeColor="text1"/>
          <w:spacing w:val="0"/>
          <w:kern w:val="0"/>
          <w:sz w:val="21"/>
          <w:szCs w:val="21"/>
          <w:highlight w:val="none"/>
          <w14:textFill>
            <w14:solidFill>
              <w14:schemeClr w14:val="tx1"/>
            </w14:solidFill>
          </w14:textFill>
        </w:rPr>
        <w:t>。</w:t>
      </w:r>
    </w:p>
    <w:p w14:paraId="2333D604">
      <w:pPr>
        <w:pageBreakBefore w:val="0"/>
        <w:kinsoku/>
        <w:wordWrap/>
        <w:overflowPunct/>
        <w:topLinePunct w:val="0"/>
        <w:autoSpaceDE/>
        <w:autoSpaceDN/>
        <w:bidi w:val="0"/>
        <w:spacing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17、工程计量：</w:t>
      </w:r>
    </w:p>
    <w:p w14:paraId="5701D308">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17.1工程预付款：</w:t>
      </w:r>
      <w:r>
        <w:rPr>
          <w:rFonts w:hint="eastAsia" w:ascii="宋体" w:hAnsi="宋体" w:cs="宋体"/>
          <w:color w:val="000000" w:themeColor="text1"/>
          <w:spacing w:val="0"/>
          <w:kern w:val="0"/>
          <w:sz w:val="21"/>
          <w:szCs w:val="21"/>
          <w:highlight w:val="none"/>
          <w:lang w:val="en-US" w:eastAsia="zh-CN"/>
          <w14:textFill>
            <w14:solidFill>
              <w14:schemeClr w14:val="tx1"/>
            </w14:solidFill>
          </w14:textFill>
        </w:rPr>
        <w:t>无</w:t>
      </w:r>
      <w:r>
        <w:rPr>
          <w:rFonts w:hint="eastAsia" w:ascii="宋体" w:hAnsi="宋体" w:eastAsia="宋体" w:cs="宋体"/>
          <w:color w:val="000000" w:themeColor="text1"/>
          <w:spacing w:val="0"/>
          <w:kern w:val="0"/>
          <w:sz w:val="21"/>
          <w:szCs w:val="21"/>
          <w:highlight w:val="none"/>
          <w14:textFill>
            <w14:solidFill>
              <w14:schemeClr w14:val="tx1"/>
            </w14:solidFill>
          </w14:textFill>
        </w:rPr>
        <w:t>；</w:t>
      </w:r>
    </w:p>
    <w:p w14:paraId="78A65E40">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17.2施工材料、设备预付款的扣回：</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无</w:t>
      </w:r>
      <w:r>
        <w:rPr>
          <w:rFonts w:hint="eastAsia" w:ascii="宋体" w:hAnsi="宋体" w:eastAsia="宋体" w:cs="宋体"/>
          <w:color w:val="000000" w:themeColor="text1"/>
          <w:spacing w:val="0"/>
          <w:kern w:val="0"/>
          <w:sz w:val="21"/>
          <w:szCs w:val="21"/>
          <w:highlight w:val="none"/>
          <w14:textFill>
            <w14:solidFill>
              <w14:schemeClr w14:val="tx1"/>
            </w14:solidFill>
          </w14:textFill>
        </w:rPr>
        <w:t>。</w:t>
      </w:r>
    </w:p>
    <w:p w14:paraId="239FF1A3">
      <w:pPr>
        <w:pageBreakBefore w:val="0"/>
        <w:tabs>
          <w:tab w:val="left" w:pos="150"/>
        </w:tabs>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17.3工程进度款：</w:t>
      </w:r>
    </w:p>
    <w:p w14:paraId="00D2B1C0">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（1）工程进度款按完成工程总量的50%，支付完成额的7</w:t>
      </w:r>
      <w:r>
        <w:rPr>
          <w:rFonts w:hint="eastAsia" w:ascii="宋体" w:hAnsi="宋体" w:cs="宋体"/>
          <w:color w:val="000000" w:themeColor="text1"/>
          <w:spacing w:val="0"/>
          <w:kern w:val="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2）工程竣工验收合格后，以合同价作为支付依据，工程款支付（含预付款）至合同价的80%；（3）工程验收结算审核后，工程款支付至结算总价的97%；（4）发包人按工程价款结算总额的3%预留工程质量保修金，待工程质保期满后工程无缺陷将工程质量保修金一次付清。</w:t>
      </w:r>
    </w:p>
    <w:p w14:paraId="68F0438E">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17.4</w:t>
      </w:r>
      <w:r>
        <w:rPr>
          <w:rFonts w:hint="eastAsia" w:ascii="宋体" w:hAnsi="宋体" w:eastAsia="宋体" w:cs="宋体"/>
          <w:color w:val="000000" w:themeColor="text1"/>
          <w:kern w:val="0"/>
          <w:sz w:val="21"/>
          <w:szCs w:val="21"/>
          <w:highlight w:val="none"/>
          <w14:textFill>
            <w14:solidFill>
              <w14:schemeClr w14:val="tx1"/>
            </w14:solidFill>
          </w14:textFill>
        </w:rPr>
        <w:t>承包人向发包人申请工程进度款时，承包人应提供以下资料：</w:t>
      </w:r>
      <w:r>
        <w:rPr>
          <w:rFonts w:hint="eastAsia" w:ascii="宋体" w:hAnsi="宋体" w:eastAsia="宋体" w:cs="宋体"/>
          <w:color w:val="000000" w:themeColor="text1"/>
          <w:spacing w:val="0"/>
          <w:kern w:val="0"/>
          <w:sz w:val="21"/>
          <w:szCs w:val="21"/>
          <w:highlight w:val="none"/>
          <w14:textFill>
            <w14:solidFill>
              <w14:schemeClr w14:val="tx1"/>
            </w14:solidFill>
          </w14:textFill>
        </w:rPr>
        <w:t>1、进度款拨付审批表；2、进度款申请表；3、进度款分项汇总表；4、完成工程量汇总(附工程量签证、工程量计算简图和计算方法)；5、相应投标单价分析；6、规划设计平面图(标注已完成工程量的位置及数量，可以缩小比例尺或简化)；7、相应的能证明已完成工程量合格的工程资料(如隐蔽工序签证、四方检查意见、产品合格证等)；8、项目单位工程施工前后的对照影像资料。</w:t>
      </w:r>
    </w:p>
    <w:p w14:paraId="2CE3E7A6">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17.5发包人向财政部门申请工程进度款时，承包人应配合</w:t>
      </w:r>
      <w:r>
        <w:rPr>
          <w:rFonts w:hint="eastAsia" w:ascii="宋体" w:hAnsi="宋体" w:eastAsia="宋体" w:cs="宋体"/>
          <w:color w:val="000000" w:themeColor="text1"/>
          <w:kern w:val="0"/>
          <w:sz w:val="21"/>
          <w:szCs w:val="21"/>
          <w:highlight w:val="none"/>
          <w14:textFill>
            <w14:solidFill>
              <w14:schemeClr w14:val="tx1"/>
            </w14:solidFill>
          </w14:textFill>
        </w:rPr>
        <w:t>发包人提</w:t>
      </w:r>
      <w:r>
        <w:rPr>
          <w:rFonts w:hint="eastAsia" w:ascii="宋体" w:hAnsi="宋体" w:eastAsia="宋体" w:cs="宋体"/>
          <w:color w:val="000000" w:themeColor="text1"/>
          <w:spacing w:val="0"/>
          <w:kern w:val="0"/>
          <w:sz w:val="21"/>
          <w:szCs w:val="21"/>
          <w:highlight w:val="none"/>
          <w14:textFill>
            <w14:solidFill>
              <w14:schemeClr w14:val="tx1"/>
            </w14:solidFill>
          </w14:textFill>
        </w:rPr>
        <w:t>供以下资料：1、《工程用款支付证书》；2、《财政性资金投资项目用款核定通知书》；3、工程量计量报表(格式按财政局业务科室具体要求)；</w:t>
      </w:r>
    </w:p>
    <w:p w14:paraId="6FE78AEB">
      <w:pPr>
        <w:pageBreakBefore w:val="0"/>
        <w:kinsoku/>
        <w:wordWrap/>
        <w:overflowPunct/>
        <w:topLinePunct w:val="0"/>
        <w:autoSpaceDE/>
        <w:autoSpaceDN/>
        <w:bidi w:val="0"/>
        <w:spacing w:afterLines="0" w:line="440" w:lineRule="exact"/>
        <w:ind w:lef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4、其他需要补充说明的材料。</w:t>
      </w:r>
    </w:p>
    <w:p w14:paraId="5128706C">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工程款支付方式：银行转账。</w:t>
      </w:r>
    </w:p>
    <w:p w14:paraId="4E3A4EE5">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17.6发包人不承担因项目竣工审计导致迟付款和违约金和利息。</w:t>
      </w:r>
    </w:p>
    <w:p w14:paraId="217AC8EF">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18、工程量确认</w:t>
      </w:r>
    </w:p>
    <w:p w14:paraId="5DFAB64D">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18．1承包人向监理工程师提交已完工程量报告的时间：每月21日前。</w:t>
      </w:r>
    </w:p>
    <w:p w14:paraId="35FE5F4F">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18.2工程量清单所列的工程量，不能作为承包人按合同履行</w:t>
      </w:r>
      <w:r>
        <w:rPr>
          <w:rFonts w:hint="eastAsia" w:ascii="宋体" w:hAnsi="宋体" w:eastAsia="宋体" w:cs="宋体"/>
          <w:color w:val="000000" w:themeColor="text1"/>
          <w:kern w:val="0"/>
          <w:sz w:val="21"/>
          <w:szCs w:val="21"/>
          <w:highlight w:val="none"/>
          <w14:textFill>
            <w14:solidFill>
              <w14:schemeClr w14:val="tx1"/>
            </w14:solidFill>
          </w14:textFill>
        </w:rPr>
        <w:t>其责任</w:t>
      </w:r>
      <w:r>
        <w:rPr>
          <w:rFonts w:hint="eastAsia" w:ascii="宋体" w:hAnsi="宋体" w:eastAsia="宋体" w:cs="宋体"/>
          <w:color w:val="000000" w:themeColor="text1"/>
          <w:spacing w:val="0"/>
          <w:kern w:val="0"/>
          <w:sz w:val="21"/>
          <w:szCs w:val="21"/>
          <w:highlight w:val="none"/>
          <w14:textFill>
            <w14:solidFill>
              <w14:schemeClr w14:val="tx1"/>
            </w14:solidFill>
          </w14:textFill>
        </w:rPr>
        <w:t>依据，实际施工中发生的工程量增加或减少并不影响承包人履行合同的责任，工程结算以完成的实际工程量为准</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，综合单价固定。</w:t>
      </w:r>
    </w:p>
    <w:p w14:paraId="2FBFBE03">
      <w:pPr>
        <w:pageBreakBefore w:val="0"/>
        <w:kinsoku/>
        <w:wordWrap/>
        <w:overflowPunct/>
        <w:topLinePunct w:val="0"/>
        <w:autoSpaceDE/>
        <w:autoSpaceDN/>
        <w:bidi w:val="0"/>
        <w:spacing w:before="0" w:afterLines="0" w:line="440" w:lineRule="exact"/>
        <w:ind w:left="0" w:firstLine="422"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sz w:val="21"/>
          <w:szCs w:val="21"/>
          <w:highlight w:val="none"/>
          <w14:textFill>
            <w14:solidFill>
              <w14:schemeClr w14:val="tx1"/>
            </w14:solidFill>
          </w14:textFill>
        </w:rPr>
        <w:t>七、材料设备供应</w:t>
      </w:r>
    </w:p>
    <w:p w14:paraId="195AF572">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19发包人供应材料设备</w:t>
      </w:r>
    </w:p>
    <w:p w14:paraId="07B78EC8">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19.1发包人供应的材料设备与一览表不符时，双方约定发包人承担责任如下：</w:t>
      </w:r>
    </w:p>
    <w:p w14:paraId="1D9ADA96">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(1)材料设备单价与一览表不符：无</w:t>
      </w:r>
    </w:p>
    <w:p w14:paraId="195F15E2">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(2)材料设备的品种、规格、型号、质量等级与一览表不符：无</w:t>
      </w:r>
    </w:p>
    <w:p w14:paraId="76D32B7B">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(3)承包人可代为调剂串换的材料：无</w:t>
      </w:r>
    </w:p>
    <w:p w14:paraId="3BE23FB0">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(4)到货地点与一览表不符：无</w:t>
      </w:r>
    </w:p>
    <w:p w14:paraId="12B2B36A">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(5)供应数量与一览表不符：无</w:t>
      </w:r>
    </w:p>
    <w:p w14:paraId="54B644FD">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(6)到货时间与一览表不符；无</w:t>
      </w:r>
    </w:p>
    <w:p w14:paraId="3E79AF55">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19.2发包人供应材料设备的结算方法：</w:t>
      </w:r>
      <w:r>
        <w:rPr>
          <w:rFonts w:hint="eastAsia" w:ascii="宋体" w:hAnsi="宋体" w:eastAsia="宋体" w:cs="宋体"/>
          <w:color w:val="000000" w:themeColor="text1"/>
          <w:kern w:val="0"/>
          <w:sz w:val="21"/>
          <w:szCs w:val="21"/>
          <w:highlight w:val="none"/>
          <w14:textFill>
            <w14:solidFill>
              <w14:schemeClr w14:val="tx1"/>
            </w14:solidFill>
          </w14:textFill>
        </w:rPr>
        <w:t>无</w:t>
      </w:r>
    </w:p>
    <w:p w14:paraId="66C29853">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20承包人采购材料设备</w:t>
      </w:r>
    </w:p>
    <w:p w14:paraId="6225BC85">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20.1承包人采购材料设备的约定：按通用条款执行。</w:t>
      </w:r>
    </w:p>
    <w:p w14:paraId="5F265630">
      <w:pPr>
        <w:pageBreakBefore w:val="0"/>
        <w:kinsoku/>
        <w:wordWrap/>
        <w:overflowPunct/>
        <w:topLinePunct w:val="0"/>
        <w:autoSpaceDE/>
        <w:autoSpaceDN/>
        <w:bidi w:val="0"/>
        <w:spacing w:before="0" w:afterLines="0" w:line="440" w:lineRule="exact"/>
        <w:ind w:left="0" w:firstLine="422" w:firstLineChars="200"/>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sz w:val="21"/>
          <w:szCs w:val="21"/>
          <w:highlight w:val="none"/>
          <w14:textFill>
            <w14:solidFill>
              <w14:schemeClr w14:val="tx1"/>
            </w14:solidFill>
          </w14:textFill>
        </w:rPr>
        <w:t>八、设计变更和工程签证</w:t>
      </w:r>
    </w:p>
    <w:p w14:paraId="3DAC712D">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21、项目设计变更、工程签证的金额和审批权限要严格按照《广西壮族自治区土地整治项目管理暂行办法》和《广西壮族自治区国土资源厅关于进一步规范我区土地整治项目管理有关问题的通知》执行。属不可抗力(自然灾害、突发事件等)造成变更的，按特事特办原则予以办理。</w:t>
      </w:r>
    </w:p>
    <w:p w14:paraId="34EDA693">
      <w:pPr>
        <w:pageBreakBefore w:val="0"/>
        <w:kinsoku/>
        <w:wordWrap/>
        <w:overflowPunct/>
        <w:topLinePunct w:val="0"/>
        <w:autoSpaceDE/>
        <w:autoSpaceDN/>
        <w:bidi w:val="0"/>
        <w:spacing w:before="0" w:afterLines="0" w:line="440" w:lineRule="exact"/>
        <w:ind w:left="0" w:firstLine="422" w:firstLineChars="200"/>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sz w:val="21"/>
          <w:szCs w:val="21"/>
          <w:highlight w:val="none"/>
          <w14:textFill>
            <w14:solidFill>
              <w14:schemeClr w14:val="tx1"/>
            </w14:solidFill>
          </w14:textFill>
        </w:rPr>
        <w:t>九、竣工验收与结算</w:t>
      </w:r>
    </w:p>
    <w:p w14:paraId="5AD84099">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22、竣工验收</w:t>
      </w:r>
    </w:p>
    <w:p w14:paraId="50889E78">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22．1承包人提供竣工图的约定：与竣工资料同时提供工程竣工图各一式六套，竣工资料要求按《广西壮族自治区土地开发整理工程建设标准》《广西壮族自治区土地开发整理项目验收技术标准》《广西壮族自治区土地开发整理工程质量评定规程》的要求编制。</w:t>
      </w:r>
    </w:p>
    <w:p w14:paraId="2876E0EC">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22．2中间交工工程的范围和竣工时间：</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无</w:t>
      </w:r>
    </w:p>
    <w:p w14:paraId="43AC7ACD">
      <w:pPr>
        <w:pageBreakBefore w:val="0"/>
        <w:kinsoku/>
        <w:wordWrap/>
        <w:overflowPunct/>
        <w:topLinePunct w:val="0"/>
        <w:autoSpaceDE/>
        <w:autoSpaceDN/>
        <w:bidi w:val="0"/>
        <w:spacing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23、工程竣工财务结算，执行审计报告结论。</w:t>
      </w:r>
    </w:p>
    <w:p w14:paraId="386EFC22">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23.1按通用条款第33.1、33.5条执行。</w:t>
      </w:r>
    </w:p>
    <w:p w14:paraId="3FE05DAA">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23.2工程竣工结算由发包人</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报财政</w:t>
      </w:r>
      <w:r>
        <w:rPr>
          <w:rFonts w:hint="eastAsia" w:ascii="宋体" w:hAnsi="宋体" w:eastAsia="宋体" w:cs="宋体"/>
          <w:color w:val="000000" w:themeColor="text1"/>
          <w:spacing w:val="0"/>
          <w:kern w:val="0"/>
          <w:sz w:val="21"/>
          <w:szCs w:val="21"/>
          <w:highlight w:val="none"/>
          <w14:textFill>
            <w14:solidFill>
              <w14:schemeClr w14:val="tx1"/>
            </w14:solidFill>
          </w14:textFill>
        </w:rPr>
        <w:t>部门进行审核，</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审核后经甲乙双方确认后</w:t>
      </w:r>
      <w:r>
        <w:rPr>
          <w:rFonts w:hint="eastAsia" w:ascii="宋体" w:hAnsi="宋体" w:eastAsia="宋体" w:cs="宋体"/>
          <w:color w:val="000000" w:themeColor="text1"/>
          <w:spacing w:val="0"/>
          <w:kern w:val="0"/>
          <w:sz w:val="21"/>
          <w:szCs w:val="21"/>
          <w:highlight w:val="none"/>
          <w14:textFill>
            <w14:solidFill>
              <w14:schemeClr w14:val="tx1"/>
            </w14:solidFill>
          </w14:textFill>
        </w:rPr>
        <w:t>并出</w:t>
      </w:r>
      <w:r>
        <w:rPr>
          <w:rFonts w:hint="eastAsia" w:ascii="宋体" w:hAnsi="宋体" w:eastAsia="宋体" w:cs="宋体"/>
          <w:color w:val="000000" w:themeColor="text1"/>
          <w:kern w:val="0"/>
          <w:sz w:val="21"/>
          <w:szCs w:val="21"/>
          <w:highlight w:val="none"/>
          <w14:textFill>
            <w14:solidFill>
              <w14:schemeClr w14:val="tx1"/>
            </w14:solidFill>
          </w14:textFill>
        </w:rPr>
        <w:t>据</w:t>
      </w:r>
      <w:r>
        <w:rPr>
          <w:rFonts w:hint="eastAsia" w:ascii="宋体" w:hAnsi="宋体" w:eastAsia="宋体" w:cs="宋体"/>
          <w:color w:val="000000" w:themeColor="text1"/>
          <w:spacing w:val="0"/>
          <w:kern w:val="0"/>
          <w:sz w:val="21"/>
          <w:szCs w:val="21"/>
          <w:highlight w:val="none"/>
          <w14:textFill>
            <w14:solidFill>
              <w14:schemeClr w14:val="tx1"/>
            </w14:solidFill>
          </w14:textFill>
        </w:rPr>
        <w:t>结算审核报告。</w:t>
      </w:r>
    </w:p>
    <w:p w14:paraId="78F7A0DF">
      <w:pPr>
        <w:pageBreakBefore w:val="0"/>
        <w:kinsoku/>
        <w:wordWrap/>
        <w:overflowPunct/>
        <w:topLinePunct w:val="0"/>
        <w:autoSpaceDE/>
        <w:autoSpaceDN/>
        <w:bidi w:val="0"/>
        <w:spacing w:afterLines="0" w:line="440" w:lineRule="exact"/>
        <w:ind w:left="0" w:firstLine="422" w:firstLineChars="200"/>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sz w:val="21"/>
          <w:szCs w:val="21"/>
          <w:highlight w:val="none"/>
          <w14:textFill>
            <w14:solidFill>
              <w14:schemeClr w14:val="tx1"/>
            </w14:solidFill>
          </w14:textFill>
        </w:rPr>
        <w:t>十、违约、索赔和争议</w:t>
      </w:r>
    </w:p>
    <w:p w14:paraId="396823DF">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24、违约</w:t>
      </w:r>
    </w:p>
    <w:p w14:paraId="29BCFA76">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24．1本合同中关于发包人违约的具体责任如下：</w:t>
      </w:r>
    </w:p>
    <w:p w14:paraId="7C4E08E6">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本合同通用条款第24条约定发包人违约应承担的违约责任：按通用条款执行。</w:t>
      </w:r>
    </w:p>
    <w:p w14:paraId="4E534C41">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本合同通用条款第33．3款约定发包人违约应承担的违约责任：每逾期一天按应付金额的万分之四支付违约金给承包人。</w:t>
      </w:r>
    </w:p>
    <w:p w14:paraId="429F1401">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双方约定的发包人其他违约责任：按通用条款执行。</w:t>
      </w:r>
    </w:p>
    <w:p w14:paraId="540AFC99">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24．2本合同中关于承包人违约的具体责任如下：</w:t>
      </w:r>
    </w:p>
    <w:p w14:paraId="0ECC05D5">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24.2.1本合同通用条款第14.2款约定承包人违约应承担的违约责任：承包人向发包人支付每延误一天，按合同价款万分之四的支付违约赔偿费，其限额为中标价的5％。</w:t>
      </w:r>
    </w:p>
    <w:p w14:paraId="07CE6140">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24.2.2承包人未按本合同通用条款第15.1条内容完成：承包人无条件返工处理，修复至工程质量要求并承担相关费用，并在发包人规定的时间内完成返工，否则，发包人有权按该分项工程10％的工程款收取违约金。</w:t>
      </w:r>
    </w:p>
    <w:p w14:paraId="137A6349">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双方约定的承包人其他违约责任：</w:t>
      </w:r>
    </w:p>
    <w:p w14:paraId="11F4D1F6">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24.2.3承包人如违反了以下情况之一者，发包人有权解除合同，并没收其全部履约保证金。</w:t>
      </w:r>
    </w:p>
    <w:p w14:paraId="49907EAB">
      <w:pPr>
        <w:pageBreakBefore w:val="0"/>
        <w:kinsoku/>
        <w:wordWrap/>
        <w:overflowPunct/>
        <w:topLinePunct w:val="0"/>
        <w:autoSpaceDE/>
        <w:autoSpaceDN/>
        <w:bidi w:val="0"/>
        <w:spacing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1)承包人无正当理由不按开工通知的要求及时进点组织施工和不按签订协议书时商订的进度计划有效地开展施工准备，造成工期延误。</w:t>
      </w:r>
    </w:p>
    <w:p w14:paraId="596731AB">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2)承包人违反本合同通用条款第38.1条规定私自将合同或合同的任何部分或任何权利转让给其他人，或私自将工程或工程的一部分分包出去。</w:t>
      </w:r>
    </w:p>
    <w:p w14:paraId="603537A4">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3)未经监理人批准，承包人私自将已按投标书承诺进入工地的工程设备、施工设备、临时工程或材料撤离工地。</w:t>
      </w:r>
    </w:p>
    <w:p w14:paraId="14FB49C4">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4)由于承包人原因拒绝按合同进度计划及时完成合同规定的工程，而又未采取有效措施赶上进度，造成工期延误。</w:t>
      </w:r>
    </w:p>
    <w:p w14:paraId="33380C98">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5)承包人否认合同有效或拒绝履行合同规定的承包人义务，或由于法律、财务等原因导致承包人无法继续履行或实质上已停止履行合同的义务。</w:t>
      </w:r>
    </w:p>
    <w:p w14:paraId="6332CF83">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24.2.4承包人在保修期内拒绝按通用条款第34.1条的规定进行修复，或经监理人检验认为修复质量不合格而承包人拒绝再进行修补的，发包人将扣除承包人全部质量保修金。</w:t>
      </w:r>
    </w:p>
    <w:p w14:paraId="2A986503">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24.2.5承包人违约有以下情况之一者，发包人有权扣除承包人的违约金。违约金金额均在承包人的履约保证金及计量支付款内扣除。监理工程师预先下发含有罚款意向的指令，如承包人不及时采取措施纠正，则在指令下达后十五天下发罚款通知书(不再陈述罚款理由)。承包人履约保证金被罚款后由发包人从最后一次计量支付时扣相应金额补足履约保证金。承包人在合同期内，完成合同规定的全部工程，且质量合格(本工程施工，竣工验收后十五天内</w:t>
      </w:r>
      <w:r>
        <w:rPr>
          <w:rFonts w:hint="eastAsia" w:ascii="宋体" w:hAnsi="宋体" w:eastAsia="宋体" w:cs="宋体"/>
          <w:color w:val="000000" w:themeColor="text1"/>
          <w:kern w:val="0"/>
          <w:sz w:val="21"/>
          <w:szCs w:val="21"/>
          <w:highlight w:val="none"/>
          <w14:textFill>
            <w14:solidFill>
              <w14:schemeClr w14:val="tx1"/>
            </w14:solidFill>
          </w14:textFill>
        </w:rPr>
        <w:t>可以申请返还全部或</w:t>
      </w:r>
      <w:r>
        <w:rPr>
          <w:rFonts w:hint="eastAsia" w:ascii="宋体" w:hAnsi="宋体" w:eastAsia="宋体" w:cs="宋体"/>
          <w:color w:val="000000" w:themeColor="text1"/>
          <w:spacing w:val="0"/>
          <w:kern w:val="0"/>
          <w:sz w:val="21"/>
          <w:szCs w:val="21"/>
          <w:highlight w:val="none"/>
          <w14:textFill>
            <w14:solidFill>
              <w14:schemeClr w14:val="tx1"/>
            </w14:solidFill>
          </w14:textFill>
        </w:rPr>
        <w:t>部分罚款，返还金额由监理工程师审核，发包人批准)。罚款金额返还时不包括银行利息。</w:t>
      </w:r>
    </w:p>
    <w:p w14:paraId="313BF860">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承包人必须按照投标文件的承诺派出符合和满足工程建设要求的项目管理人员。承包人未经发包人批准擅自调换工程管理人员或因管理人员不称职，发包人要求调换而未及时调换的，视为承包人违约，必须向发包人交纳处罚金，处罚标准为：项目经理1万元/人•次(人民币)；总工程师1万元/人•次；专业工程师则0.5万元/人•次。</w:t>
      </w:r>
    </w:p>
    <w:p w14:paraId="3E294FFE">
      <w:pPr>
        <w:pageBreakBefore w:val="0"/>
        <w:kinsoku/>
        <w:wordWrap/>
        <w:overflowPunct/>
        <w:topLinePunct w:val="0"/>
        <w:autoSpaceDE/>
        <w:autoSpaceDN/>
        <w:bidi w:val="0"/>
        <w:spacing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2)发包人有权检查承包人的人员到岗情况，如发现未经发包人同意或正当理由，项目经理擅自离岗的，视为承包人违约，发包人有权处违约金</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1000</w:t>
      </w:r>
      <w:r>
        <w:rPr>
          <w:rFonts w:hint="eastAsia" w:ascii="宋体" w:hAnsi="宋体" w:eastAsia="宋体" w:cs="宋体"/>
          <w:color w:val="000000" w:themeColor="text1"/>
          <w:spacing w:val="0"/>
          <w:kern w:val="0"/>
          <w:sz w:val="21"/>
          <w:szCs w:val="21"/>
          <w:highlight w:val="none"/>
          <w14:textFill>
            <w14:solidFill>
              <w14:schemeClr w14:val="tx1"/>
            </w14:solidFill>
          </w14:textFill>
        </w:rPr>
        <w:t>元/人•次，未经发包人同意，技术负责人(总工</w:t>
      </w:r>
      <w:r>
        <w:rPr>
          <w:rFonts w:hint="eastAsia" w:ascii="宋体" w:hAnsi="宋体" w:eastAsia="宋体" w:cs="宋体"/>
          <w:color w:val="000000" w:themeColor="text1"/>
          <w:kern w:val="0"/>
          <w:sz w:val="21"/>
          <w:szCs w:val="21"/>
          <w:highlight w:val="none"/>
          <w14:textFill>
            <w14:solidFill>
              <w14:schemeClr w14:val="tx1"/>
            </w14:solidFill>
          </w14:textFill>
        </w:rPr>
        <w:t>程师)</w:t>
      </w:r>
      <w:r>
        <w:rPr>
          <w:rFonts w:hint="eastAsia" w:ascii="宋体" w:hAnsi="宋体" w:eastAsia="宋体" w:cs="宋体"/>
          <w:color w:val="000000" w:themeColor="text1"/>
          <w:spacing w:val="0"/>
          <w:kern w:val="0"/>
          <w:sz w:val="21"/>
          <w:szCs w:val="21"/>
          <w:highlight w:val="none"/>
          <w14:textFill>
            <w14:solidFill>
              <w14:schemeClr w14:val="tx1"/>
            </w14:solidFill>
          </w14:textFill>
        </w:rPr>
        <w:t>擅自离岗的，视为承包人违约，发包人有权处违约金</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1000</w:t>
      </w:r>
      <w:r>
        <w:rPr>
          <w:rFonts w:hint="eastAsia" w:ascii="宋体" w:hAnsi="宋体" w:eastAsia="宋体" w:cs="宋体"/>
          <w:color w:val="000000" w:themeColor="text1"/>
          <w:spacing w:val="0"/>
          <w:kern w:val="0"/>
          <w:sz w:val="21"/>
          <w:szCs w:val="21"/>
          <w:highlight w:val="none"/>
          <w14:textFill>
            <w14:solidFill>
              <w14:schemeClr w14:val="tx1"/>
            </w14:solidFill>
          </w14:textFill>
        </w:rPr>
        <w:t>元/人•次，未经发包人同意专业工程师擅自离岗的，视为承包人违约，发包人有权处违约金</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500</w:t>
      </w:r>
      <w:r>
        <w:rPr>
          <w:rFonts w:hint="eastAsia" w:ascii="宋体" w:hAnsi="宋体" w:eastAsia="宋体" w:cs="宋体"/>
          <w:color w:val="000000" w:themeColor="text1"/>
          <w:spacing w:val="0"/>
          <w:kern w:val="0"/>
          <w:sz w:val="21"/>
          <w:szCs w:val="21"/>
          <w:highlight w:val="none"/>
          <w14:textFill>
            <w14:solidFill>
              <w14:schemeClr w14:val="tx1"/>
            </w14:solidFill>
          </w14:textFill>
        </w:rPr>
        <w:t>元/人•次。</w:t>
      </w:r>
    </w:p>
    <w:p w14:paraId="697519AE">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3)未经监理工程师审查批准，施工期内自行调走主要施工机械，经发现不及时调回的，视为承包人违约，发包人有权处违约金为履约保证金金额的10-50％(视情节严重而定)。</w:t>
      </w:r>
    </w:p>
    <w:p w14:paraId="6D304F32">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25、争议</w:t>
      </w:r>
    </w:p>
    <w:p w14:paraId="6C2FECCB">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25．1双方约定，在履行合同过程中产生争议时：</w:t>
      </w:r>
    </w:p>
    <w:p w14:paraId="7464CF15">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采取双方协商解决，当双方协商无法解决时可提交</w:t>
      </w:r>
      <w:r>
        <w:rPr>
          <w:rFonts w:hint="eastAsia" w:ascii="宋体" w:hAnsi="宋体" w:cs="宋体"/>
          <w:color w:val="000000" w:themeColor="text1"/>
          <w:spacing w:val="0"/>
          <w:kern w:val="0"/>
          <w:sz w:val="21"/>
          <w:szCs w:val="21"/>
          <w:highlight w:val="none"/>
          <w:lang w:val="en-US" w:eastAsia="zh-CN"/>
          <w14:textFill>
            <w14:solidFill>
              <w14:schemeClr w14:val="tx1"/>
            </w14:solidFill>
          </w14:textFill>
        </w:rPr>
        <w:t>临桂区</w:t>
      </w:r>
      <w:r>
        <w:rPr>
          <w:rFonts w:hint="eastAsia" w:ascii="宋体" w:hAnsi="宋体" w:eastAsia="宋体" w:cs="宋体"/>
          <w:color w:val="000000" w:themeColor="text1"/>
          <w:spacing w:val="0"/>
          <w:kern w:val="0"/>
          <w:sz w:val="21"/>
          <w:szCs w:val="21"/>
          <w:highlight w:val="none"/>
          <w14:textFill>
            <w14:solidFill>
              <w14:schemeClr w14:val="tx1"/>
            </w14:solidFill>
          </w14:textFill>
        </w:rPr>
        <w:t>仲裁委员</w:t>
      </w:r>
      <w:r>
        <w:rPr>
          <w:rFonts w:hint="eastAsia" w:ascii="宋体" w:hAnsi="宋体" w:cs="宋体"/>
          <w:color w:val="000000" w:themeColor="text1"/>
          <w:spacing w:val="0"/>
          <w:kern w:val="0"/>
          <w:sz w:val="21"/>
          <w:szCs w:val="21"/>
          <w:highlight w:val="none"/>
          <w:lang w:val="en-US" w:eastAsia="zh-CN"/>
          <w14:textFill>
            <w14:solidFill>
              <w14:schemeClr w14:val="tx1"/>
            </w14:solidFill>
          </w14:textFill>
        </w:rPr>
        <w:t>会</w:t>
      </w:r>
      <w:r>
        <w:rPr>
          <w:rFonts w:hint="eastAsia" w:ascii="宋体" w:hAnsi="宋体" w:eastAsia="宋体" w:cs="宋体"/>
          <w:color w:val="000000" w:themeColor="text1"/>
          <w:spacing w:val="0"/>
          <w:kern w:val="0"/>
          <w:sz w:val="21"/>
          <w:szCs w:val="21"/>
          <w:highlight w:val="none"/>
          <w14:textFill>
            <w14:solidFill>
              <w14:schemeClr w14:val="tx1"/>
            </w14:solidFill>
          </w14:textFill>
        </w:rPr>
        <w:t>仲裁，或向发包人所在地人民法院起诉。</w:t>
      </w:r>
    </w:p>
    <w:p w14:paraId="4B880D5D">
      <w:pPr>
        <w:pageBreakBefore w:val="0"/>
        <w:kinsoku/>
        <w:wordWrap/>
        <w:overflowPunct/>
        <w:topLinePunct w:val="0"/>
        <w:autoSpaceDE/>
        <w:autoSpaceDN/>
        <w:bidi w:val="0"/>
        <w:spacing w:afterLines="0" w:line="440" w:lineRule="exact"/>
        <w:ind w:left="0" w:firstLine="422" w:firstLineChars="200"/>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sz w:val="21"/>
          <w:szCs w:val="21"/>
          <w:highlight w:val="none"/>
          <w14:textFill>
            <w14:solidFill>
              <w14:schemeClr w14:val="tx1"/>
            </w14:solidFill>
          </w14:textFill>
        </w:rPr>
        <w:t>十一、其他</w:t>
      </w:r>
    </w:p>
    <w:p w14:paraId="1D0ED91A">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26、工程分包：允许分包。</w:t>
      </w:r>
    </w:p>
    <w:p w14:paraId="5DE7BE1D">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注：</w:t>
      </w:r>
      <w:r>
        <w:rPr>
          <w:rFonts w:hint="eastAsia" w:ascii="宋体" w:hAnsi="宋体" w:eastAsia="宋体" w:cs="宋体"/>
          <w:color w:val="000000" w:themeColor="text1"/>
          <w:sz w:val="21"/>
          <w:szCs w:val="21"/>
          <w:highlight w:val="none"/>
          <w:lang w:val="en-US" w:eastAsia="zh-CN"/>
          <w14:textFill>
            <w14:solidFill>
              <w14:schemeClr w14:val="tx1"/>
            </w14:solidFill>
          </w14:textFill>
        </w:rPr>
        <w:t>分包前中标人需将分包工程报送招标人审核，并经招标人同意后方可进行分包程序。</w:t>
      </w:r>
    </w:p>
    <w:p w14:paraId="640E647B">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27、不可抗力</w:t>
      </w:r>
    </w:p>
    <w:p w14:paraId="2C37959D">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27．1双方关于不可抗力的其它约定：</w:t>
      </w:r>
    </w:p>
    <w:p w14:paraId="1A0B45EF">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27.1.1、(7)级以上的地震；</w:t>
      </w:r>
    </w:p>
    <w:p w14:paraId="7AE3706E">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27.1.2、50年以上未发生过的洪水。</w:t>
      </w:r>
    </w:p>
    <w:p w14:paraId="7E93CD7B">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28、保险</w:t>
      </w:r>
    </w:p>
    <w:p w14:paraId="0D1A9DC0">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28．1本工程双方约定投保内容如下：</w:t>
      </w:r>
    </w:p>
    <w:p w14:paraId="091C0217">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(1)承包人投保内容：承包人的保险由承包人承担。</w:t>
      </w:r>
    </w:p>
    <w:p w14:paraId="00184CCD">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29、担保</w:t>
      </w:r>
    </w:p>
    <w:p w14:paraId="67798F33">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29．1本工程双方约定担保事项如下：</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无</w:t>
      </w:r>
    </w:p>
    <w:p w14:paraId="5135F2D0">
      <w:pPr>
        <w:pageBreakBefore w:val="0"/>
        <w:kinsoku/>
        <w:wordWrap/>
        <w:overflowPunct/>
        <w:topLinePunct w:val="0"/>
        <w:autoSpaceDE/>
        <w:autoSpaceDN/>
        <w:bidi w:val="0"/>
        <w:spacing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30、合同份数</w:t>
      </w:r>
    </w:p>
    <w:p w14:paraId="4283C443">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30．1双方约定合同副本份数：正本一式贰份，副本一式捌份。</w:t>
      </w:r>
    </w:p>
    <w:p w14:paraId="6AAE6AB0">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31、补充条款</w:t>
      </w:r>
    </w:p>
    <w:p w14:paraId="7FFFBA99">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31.1承包人将工程中标价的2%作为农民工工资保障金存入本级行政主管部门指定的专用帐户，如工程中标价的2%超过80万元的，按80万元存入。</w:t>
      </w:r>
    </w:p>
    <w:p w14:paraId="28529B54">
      <w:pPr>
        <w:pageBreakBefore w:val="0"/>
        <w:kinsoku/>
        <w:wordWrap/>
        <w:overflowPunct/>
        <w:topLinePunct w:val="0"/>
        <w:autoSpaceDE/>
        <w:autoSpaceDN/>
        <w:bidi w:val="0"/>
        <w:spacing w:before="0" w:afterLines="0" w:line="440" w:lineRule="exact"/>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31.2农民工工资保障金的退还：工程竣工验收后，在</w:t>
      </w:r>
      <w:r>
        <w:rPr>
          <w:rFonts w:hint="eastAsia" w:ascii="宋体" w:hAnsi="宋体" w:cs="宋体"/>
          <w:color w:val="000000" w:themeColor="text1"/>
          <w:spacing w:val="0"/>
          <w:kern w:val="0"/>
          <w:sz w:val="21"/>
          <w:szCs w:val="21"/>
          <w:highlight w:val="none"/>
          <w:lang w:val="en-US" w:eastAsia="zh-CN"/>
          <w14:textFill>
            <w14:solidFill>
              <w14:schemeClr w14:val="tx1"/>
            </w14:solidFill>
          </w14:textFill>
        </w:rPr>
        <w:t>临桂区</w:t>
      </w:r>
      <w:r>
        <w:rPr>
          <w:rFonts w:hint="eastAsia" w:ascii="宋体" w:hAnsi="宋体" w:eastAsia="宋体" w:cs="宋体"/>
          <w:color w:val="000000" w:themeColor="text1"/>
          <w:spacing w:val="0"/>
          <w:kern w:val="0"/>
          <w:sz w:val="21"/>
          <w:szCs w:val="21"/>
          <w:highlight w:val="none"/>
          <w14:textFill>
            <w14:solidFill>
              <w14:schemeClr w14:val="tx1"/>
            </w14:solidFill>
          </w14:textFill>
        </w:rPr>
        <w:t>劳</w:t>
      </w:r>
      <w:r>
        <w:rPr>
          <w:rFonts w:hint="eastAsia" w:ascii="宋体" w:hAnsi="宋体" w:eastAsia="宋体" w:cs="宋体"/>
          <w:color w:val="000000" w:themeColor="text1"/>
          <w:kern w:val="0"/>
          <w:sz w:val="21"/>
          <w:szCs w:val="21"/>
          <w:highlight w:val="none"/>
          <w14:textFill>
            <w14:solidFill>
              <w14:schemeClr w14:val="tx1"/>
            </w14:solidFill>
          </w14:textFill>
        </w:rPr>
        <w:t>动保</w:t>
      </w:r>
      <w:r>
        <w:rPr>
          <w:rFonts w:hint="eastAsia" w:ascii="宋体" w:hAnsi="宋体" w:eastAsia="宋体" w:cs="宋体"/>
          <w:color w:val="000000" w:themeColor="text1"/>
          <w:spacing w:val="0"/>
          <w:kern w:val="0"/>
          <w:sz w:val="21"/>
          <w:szCs w:val="21"/>
          <w:highlight w:val="none"/>
          <w14:textFill>
            <w14:solidFill>
              <w14:schemeClr w14:val="tx1"/>
            </w14:solidFill>
          </w14:textFill>
        </w:rPr>
        <w:t>障监察大队办理农民工工资保障金退还证明后，可将农民工工资保障金没有使用或剩余的金额退还给承包人(无息)。</w:t>
      </w:r>
    </w:p>
    <w:p w14:paraId="6A8A122A">
      <w:pPr>
        <w:pageBreakBefore w:val="0"/>
        <w:kinsoku/>
        <w:wordWrap/>
        <w:overflowPunct/>
        <w:topLinePunct w:val="0"/>
        <w:autoSpaceDE/>
        <w:autoSpaceDN/>
        <w:bidi w:val="0"/>
        <w:spacing w:before="0" w:afterLines="0" w:line="440" w:lineRule="exact"/>
        <w:ind w:left="0" w:right="0"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31.3不能在合同约定时间内完成项目施工任务所造成项目区群众的经济损失，属谁的责任由谁承担</w:t>
      </w:r>
      <w:r>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t>。</w:t>
      </w:r>
    </w:p>
    <w:p w14:paraId="1457DE49">
      <w:pPr>
        <w:pageBreakBefore w:val="0"/>
        <w:kinsoku/>
        <w:wordWrap/>
        <w:overflowPunct/>
        <w:topLinePunct w:val="0"/>
        <w:autoSpaceDE/>
        <w:autoSpaceDN/>
        <w:bidi w:val="0"/>
        <w:spacing w:before="0" w:afterLines="0" w:line="440" w:lineRule="exact"/>
        <w:ind w:left="0" w:right="0" w:firstLine="422" w:firstLineChars="200"/>
        <w:textAlignment w:val="auto"/>
        <w:rPr>
          <w:rFonts w:hint="eastAsia" w:ascii="宋体" w:hAnsi="宋体" w:eastAsia="宋体" w:cs="宋体"/>
          <w:b/>
          <w:bCs/>
          <w:i w:val="0"/>
          <w:iC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spacing w:val="0"/>
          <w:kern w:val="0"/>
          <w:sz w:val="21"/>
          <w:szCs w:val="21"/>
          <w:highlight w:val="none"/>
          <w14:textFill>
            <w14:solidFill>
              <w14:schemeClr w14:val="tx1"/>
            </w14:solidFill>
          </w14:textFill>
        </w:rPr>
        <w:t>31.4其它补充内容：</w:t>
      </w:r>
    </w:p>
    <w:p w14:paraId="49824C3A">
      <w:pPr>
        <w:pageBreakBefore w:val="0"/>
        <w:numPr>
          <w:ilvl w:val="0"/>
          <w:numId w:val="0"/>
        </w:numPr>
        <w:kinsoku/>
        <w:wordWrap/>
        <w:overflowPunct/>
        <w:topLinePunct w:val="0"/>
        <w:autoSpaceDE/>
        <w:autoSpaceDN/>
        <w:bidi w:val="0"/>
        <w:spacing w:before="0" w:afterLines="0" w:line="440" w:lineRule="exact"/>
        <w:ind w:leftChars="200" w:right="0" w:rightChars="0" w:firstLine="420" w:firstLineChars="200"/>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承包人派驻施工现场的项目总工、项目经理应为常驻人员。项目总工、项目经理有事外出超出3天的，必须报告发包人。项目总工、项目经理不能同时离岗(除特殊情况外)。如违反按双方约定违约责任处罚。</w:t>
      </w:r>
    </w:p>
    <w:bookmarkEnd w:id="208"/>
    <w:bookmarkEnd w:id="209"/>
    <w:p w14:paraId="26D85889">
      <w:pPr>
        <w:keepNext w:val="0"/>
        <w:keepLines w:val="0"/>
        <w:pageBreakBefore w:val="0"/>
        <w:widowControl w:val="0"/>
        <w:kinsoku/>
        <w:wordWrap/>
        <w:overflowPunct/>
        <w:topLinePunct w:val="0"/>
        <w:autoSpaceDE/>
        <w:autoSpaceDN/>
        <w:bidi w:val="0"/>
        <w:adjustRightInd/>
        <w:snapToGrid/>
        <w:spacing w:before="68" w:line="400" w:lineRule="exact"/>
        <w:ind w:left="459"/>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附</w:t>
      </w:r>
      <w:r>
        <w:rPr>
          <w:rFonts w:hint="eastAsia" w:ascii="宋体" w:hAnsi="宋体" w:eastAsia="宋体" w:cs="宋体"/>
          <w:color w:val="000000" w:themeColor="text1"/>
          <w:spacing w:val="-6"/>
          <w:sz w:val="21"/>
          <w:szCs w:val="21"/>
          <w:highlight w:val="none"/>
          <w14:textFill>
            <w14:solidFill>
              <w14:schemeClr w14:val="tx1"/>
            </w14:solidFill>
          </w14:textFill>
        </w:rPr>
        <w:t>件1：工程质量保修书</w:t>
      </w:r>
    </w:p>
    <w:p w14:paraId="0317EC0B">
      <w:pPr>
        <w:keepNext w:val="0"/>
        <w:keepLines w:val="0"/>
        <w:pageBreakBefore w:val="0"/>
        <w:widowControl w:val="0"/>
        <w:kinsoku/>
        <w:wordWrap/>
        <w:overflowPunct/>
        <w:topLinePunct w:val="0"/>
        <w:autoSpaceDE/>
        <w:autoSpaceDN/>
        <w:bidi w:val="0"/>
        <w:adjustRightInd/>
        <w:snapToGrid/>
        <w:spacing w:before="191" w:line="400" w:lineRule="exact"/>
        <w:ind w:left="459"/>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附件</w:t>
      </w:r>
      <w:r>
        <w:rPr>
          <w:rFonts w:hint="eastAsia" w:ascii="宋体" w:hAnsi="宋体" w:eastAsia="宋体" w:cs="宋体"/>
          <w:color w:val="000000" w:themeColor="text1"/>
          <w:spacing w:val="-4"/>
          <w:sz w:val="21"/>
          <w:szCs w:val="21"/>
          <w:highlight w:val="none"/>
          <w14:textFill>
            <w14:solidFill>
              <w14:schemeClr w14:val="tx1"/>
            </w14:solidFill>
          </w14:textFill>
        </w:rPr>
        <w:t>2</w:t>
      </w:r>
      <w:r>
        <w:rPr>
          <w:rFonts w:hint="eastAsia" w:ascii="宋体" w:hAnsi="宋体" w:eastAsia="宋体" w:cs="宋体"/>
          <w:color w:val="000000" w:themeColor="text1"/>
          <w:spacing w:val="-3"/>
          <w:sz w:val="21"/>
          <w:szCs w:val="21"/>
          <w:highlight w:val="none"/>
          <w14:textFill>
            <w14:solidFill>
              <w14:schemeClr w14:val="tx1"/>
            </w14:solidFill>
          </w14:textFill>
        </w:rPr>
        <w:t>：承包人提供的材料和工程设备一览表</w:t>
      </w:r>
    </w:p>
    <w:p w14:paraId="68CCC544">
      <w:pPr>
        <w:keepNext w:val="0"/>
        <w:keepLines w:val="0"/>
        <w:pageBreakBefore w:val="0"/>
        <w:widowControl w:val="0"/>
        <w:kinsoku/>
        <w:wordWrap/>
        <w:overflowPunct/>
        <w:topLinePunct w:val="0"/>
        <w:autoSpaceDE/>
        <w:autoSpaceDN/>
        <w:bidi w:val="0"/>
        <w:adjustRightInd/>
        <w:snapToGrid/>
        <w:spacing w:before="189" w:line="400" w:lineRule="exact"/>
        <w:ind w:left="459"/>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附件</w:t>
      </w:r>
      <w:r>
        <w:rPr>
          <w:rFonts w:hint="eastAsia" w:ascii="宋体" w:hAnsi="宋体" w:eastAsia="宋体" w:cs="宋体"/>
          <w:color w:val="000000" w:themeColor="text1"/>
          <w:spacing w:val="-4"/>
          <w:sz w:val="21"/>
          <w:szCs w:val="21"/>
          <w:highlight w:val="none"/>
          <w14:textFill>
            <w14:solidFill>
              <w14:schemeClr w14:val="tx1"/>
            </w14:solidFill>
          </w14:textFill>
        </w:rPr>
        <w:t>3</w:t>
      </w:r>
      <w:r>
        <w:rPr>
          <w:rFonts w:hint="eastAsia" w:ascii="宋体" w:hAnsi="宋体" w:eastAsia="宋体" w:cs="宋体"/>
          <w:color w:val="000000" w:themeColor="text1"/>
          <w:spacing w:val="-3"/>
          <w:sz w:val="21"/>
          <w:szCs w:val="21"/>
          <w:highlight w:val="none"/>
          <w14:textFill>
            <w14:solidFill>
              <w14:schemeClr w14:val="tx1"/>
            </w14:solidFill>
          </w14:textFill>
        </w:rPr>
        <w:t>：发包人提供的材料和工程设备一览表</w:t>
      </w:r>
    </w:p>
    <w:p w14:paraId="026F7F82">
      <w:pPr>
        <w:keepNext w:val="0"/>
        <w:keepLines w:val="0"/>
        <w:pageBreakBefore w:val="0"/>
        <w:widowControl w:val="0"/>
        <w:kinsoku/>
        <w:wordWrap/>
        <w:overflowPunct/>
        <w:topLinePunct w:val="0"/>
        <w:autoSpaceDE/>
        <w:autoSpaceDN/>
        <w:bidi w:val="0"/>
        <w:adjustRightInd/>
        <w:snapToGrid/>
        <w:spacing w:before="189" w:line="400" w:lineRule="exact"/>
        <w:ind w:left="459"/>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2"/>
          <w:sz w:val="21"/>
          <w:szCs w:val="21"/>
          <w:highlight w:val="none"/>
          <w14:textFill>
            <w14:solidFill>
              <w14:schemeClr w14:val="tx1"/>
            </w14:solidFill>
          </w14:textFill>
        </w:rPr>
        <w:t>附</w:t>
      </w:r>
      <w:r>
        <w:rPr>
          <w:rFonts w:hint="eastAsia" w:ascii="宋体" w:hAnsi="宋体" w:eastAsia="宋体" w:cs="宋体"/>
          <w:color w:val="000000" w:themeColor="text1"/>
          <w:spacing w:val="-8"/>
          <w:sz w:val="21"/>
          <w:szCs w:val="21"/>
          <w:highlight w:val="none"/>
          <w14:textFill>
            <w14:solidFill>
              <w14:schemeClr w14:val="tx1"/>
            </w14:solidFill>
          </w14:textFill>
        </w:rPr>
        <w:t>件</w:t>
      </w:r>
      <w:r>
        <w:rPr>
          <w:rFonts w:hint="eastAsia" w:ascii="宋体" w:hAnsi="宋体" w:eastAsia="宋体" w:cs="宋体"/>
          <w:color w:val="000000" w:themeColor="text1"/>
          <w:spacing w:val="-6"/>
          <w:sz w:val="21"/>
          <w:szCs w:val="21"/>
          <w:highlight w:val="none"/>
          <w14:textFill>
            <w14:solidFill>
              <w14:schemeClr w14:val="tx1"/>
            </w14:solidFill>
          </w14:textFill>
        </w:rPr>
        <w:t>4：廉政合同格式</w:t>
      </w:r>
    </w:p>
    <w:p w14:paraId="1BB56C28">
      <w:pPr>
        <w:keepNext w:val="0"/>
        <w:keepLines w:val="0"/>
        <w:pageBreakBefore w:val="0"/>
        <w:widowControl w:val="0"/>
        <w:kinsoku/>
        <w:wordWrap/>
        <w:overflowPunct/>
        <w:topLinePunct w:val="0"/>
        <w:autoSpaceDE/>
        <w:autoSpaceDN/>
        <w:bidi w:val="0"/>
        <w:adjustRightInd/>
        <w:snapToGrid/>
        <w:spacing w:before="192" w:line="400" w:lineRule="exact"/>
        <w:ind w:left="459"/>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2"/>
          <w:sz w:val="21"/>
          <w:szCs w:val="21"/>
          <w:highlight w:val="none"/>
          <w14:textFill>
            <w14:solidFill>
              <w14:schemeClr w14:val="tx1"/>
            </w14:solidFill>
          </w14:textFill>
        </w:rPr>
        <w:t>附</w:t>
      </w:r>
      <w:r>
        <w:rPr>
          <w:rFonts w:hint="eastAsia" w:ascii="宋体" w:hAnsi="宋体" w:eastAsia="宋体" w:cs="宋体"/>
          <w:color w:val="000000" w:themeColor="text1"/>
          <w:spacing w:val="-8"/>
          <w:sz w:val="21"/>
          <w:szCs w:val="21"/>
          <w:highlight w:val="none"/>
          <w14:textFill>
            <w14:solidFill>
              <w14:schemeClr w14:val="tx1"/>
            </w14:solidFill>
          </w14:textFill>
        </w:rPr>
        <w:t>件</w:t>
      </w:r>
      <w:r>
        <w:rPr>
          <w:rFonts w:hint="eastAsia" w:ascii="宋体" w:hAnsi="宋体" w:eastAsia="宋体" w:cs="宋体"/>
          <w:color w:val="000000" w:themeColor="text1"/>
          <w:spacing w:val="-6"/>
          <w:sz w:val="21"/>
          <w:szCs w:val="21"/>
          <w:highlight w:val="none"/>
          <w14:textFill>
            <w14:solidFill>
              <w14:schemeClr w14:val="tx1"/>
            </w14:solidFill>
          </w14:textFill>
        </w:rPr>
        <w:t>5：安全生产合同</w:t>
      </w:r>
    </w:p>
    <w:p w14:paraId="28A1D104">
      <w:pPr>
        <w:spacing w:before="160" w:line="224" w:lineRule="auto"/>
        <w:ind w:left="0"/>
        <w:jc w:val="center"/>
        <w:rPr>
          <w:rFonts w:ascii="Arial"/>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ascii="宋体" w:hAnsi="宋体" w:eastAsia="宋体" w:cs="宋体"/>
          <w:b/>
          <w:bCs/>
          <w:color w:val="000000" w:themeColor="text1"/>
          <w:spacing w:val="9"/>
          <w:sz w:val="28"/>
          <w:szCs w:val="28"/>
          <w:highlight w:val="none"/>
          <w14:textFill>
            <w14:solidFill>
              <w14:schemeClr w14:val="tx1"/>
            </w14:solidFill>
          </w14:textFill>
        </w:rPr>
        <w:t>第三节</w:t>
      </w:r>
      <w:r>
        <w:rPr>
          <w:rFonts w:hint="eastAsia" w:ascii="宋体" w:hAnsi="宋体" w:eastAsia="宋体" w:cs="宋体"/>
          <w:b/>
          <w:bCs/>
          <w:color w:val="000000" w:themeColor="text1"/>
          <w:spacing w:val="9"/>
          <w:sz w:val="28"/>
          <w:szCs w:val="28"/>
          <w:highlight w:val="none"/>
          <w:lang w:val="en-US" w:eastAsia="zh-CN"/>
          <w14:textFill>
            <w14:solidFill>
              <w14:schemeClr w14:val="tx1"/>
            </w14:solidFill>
          </w14:textFill>
        </w:rPr>
        <w:t xml:space="preserve"> </w:t>
      </w:r>
      <w:r>
        <w:rPr>
          <w:rFonts w:ascii="宋体" w:hAnsi="宋体" w:eastAsia="宋体" w:cs="宋体"/>
          <w:b/>
          <w:bCs/>
          <w:color w:val="000000" w:themeColor="text1"/>
          <w:spacing w:val="9"/>
          <w:sz w:val="28"/>
          <w:szCs w:val="28"/>
          <w:highlight w:val="none"/>
          <w14:textFill>
            <w14:solidFill>
              <w14:schemeClr w14:val="tx1"/>
            </w14:solidFill>
          </w14:textFill>
        </w:rPr>
        <w:t>合同附件格</w:t>
      </w:r>
      <w:r>
        <w:rPr>
          <w:rFonts w:ascii="宋体" w:hAnsi="宋体" w:eastAsia="宋体" w:cs="宋体"/>
          <w:b/>
          <w:bCs/>
          <w:color w:val="000000" w:themeColor="text1"/>
          <w:spacing w:val="8"/>
          <w:sz w:val="28"/>
          <w:szCs w:val="28"/>
          <w:highlight w:val="none"/>
          <w14:textFill>
            <w14:solidFill>
              <w14:schemeClr w14:val="tx1"/>
            </w14:solidFill>
          </w14:textFill>
        </w:rPr>
        <w:t>式</w:t>
      </w:r>
    </w:p>
    <w:p w14:paraId="5821779F">
      <w:pPr>
        <w:keepNext w:val="0"/>
        <w:keepLines w:val="0"/>
        <w:pageBreakBefore w:val="0"/>
        <w:widowControl w:val="0"/>
        <w:kinsoku/>
        <w:wordWrap/>
        <w:overflowPunct/>
        <w:topLinePunct w:val="0"/>
        <w:autoSpaceDE/>
        <w:autoSpaceDN/>
        <w:bidi w:val="0"/>
        <w:adjustRightInd/>
        <w:snapToGrid/>
        <w:spacing w:before="68" w:line="400" w:lineRule="exact"/>
        <w:ind w:left="39"/>
        <w:textAlignment w:val="auto"/>
        <w:rPr>
          <w:rFonts w:ascii="Arial"/>
          <w:color w:val="000000" w:themeColor="text1"/>
          <w:sz w:val="21"/>
          <w:highlight w:val="none"/>
          <w14:textFill>
            <w14:solidFill>
              <w14:schemeClr w14:val="tx1"/>
            </w14:solidFill>
          </w14:textFill>
        </w:rPr>
      </w:pPr>
      <w:r>
        <w:rPr>
          <w:rFonts w:ascii="宋体" w:hAnsi="宋体" w:eastAsia="宋体" w:cs="宋体"/>
          <w:b/>
          <w:bCs/>
          <w:color w:val="000000" w:themeColor="text1"/>
          <w:spacing w:val="-3"/>
          <w:sz w:val="21"/>
          <w:szCs w:val="21"/>
          <w:highlight w:val="none"/>
          <w14:textFill>
            <w14:solidFill>
              <w14:schemeClr w14:val="tx1"/>
            </w14:solidFill>
          </w14:textFill>
        </w:rPr>
        <w:t>附件一：工程质量保修书</w:t>
      </w:r>
    </w:p>
    <w:p w14:paraId="18694A64">
      <w:pPr>
        <w:keepNext w:val="0"/>
        <w:keepLines w:val="0"/>
        <w:pageBreakBefore w:val="0"/>
        <w:widowControl w:val="0"/>
        <w:kinsoku/>
        <w:wordWrap/>
        <w:overflowPunct/>
        <w:topLinePunct w:val="0"/>
        <w:autoSpaceDE/>
        <w:autoSpaceDN/>
        <w:bidi w:val="0"/>
        <w:adjustRightInd/>
        <w:snapToGrid/>
        <w:spacing w:before="91" w:line="400" w:lineRule="exact"/>
        <w:ind w:left="3197"/>
        <w:textAlignment w:val="auto"/>
        <w:rPr>
          <w:rFonts w:ascii="Arial"/>
          <w:color w:val="000000" w:themeColor="text1"/>
          <w:sz w:val="21"/>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工程质量保修书</w:t>
      </w:r>
    </w:p>
    <w:p w14:paraId="25903BB9">
      <w:pPr>
        <w:keepNext w:val="0"/>
        <w:keepLines w:val="0"/>
        <w:pageBreakBefore w:val="0"/>
        <w:widowControl w:val="0"/>
        <w:kinsoku/>
        <w:wordWrap/>
        <w:overflowPunct/>
        <w:topLinePunct w:val="0"/>
        <w:autoSpaceDE/>
        <w:autoSpaceDN/>
        <w:bidi w:val="0"/>
        <w:adjustRightInd/>
        <w:snapToGrid/>
        <w:spacing w:before="0" w:afterLines="0" w:line="400" w:lineRule="exact"/>
        <w:ind w:left="0" w:firstLine="468" w:firstLineChars="200"/>
        <w:textAlignment w:val="auto"/>
        <w:rPr>
          <w:rFonts w:hint="default"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pacing w:val="12"/>
          <w:sz w:val="21"/>
          <w:szCs w:val="21"/>
          <w:highlight w:val="none"/>
          <w14:textFill>
            <w14:solidFill>
              <w14:schemeClr w14:val="tx1"/>
            </w14:solidFill>
          </w14:textFill>
        </w:rPr>
        <w:t>发</w:t>
      </w:r>
      <w:r>
        <w:rPr>
          <w:rFonts w:ascii="宋体" w:hAnsi="宋体" w:eastAsia="宋体" w:cs="宋体"/>
          <w:color w:val="000000" w:themeColor="text1"/>
          <w:spacing w:val="10"/>
          <w:sz w:val="21"/>
          <w:szCs w:val="21"/>
          <w:highlight w:val="none"/>
          <w14:textFill>
            <w14:solidFill>
              <w14:schemeClr w14:val="tx1"/>
            </w14:solidFill>
          </w14:textFill>
        </w:rPr>
        <w:t>包人(全称)：</w:t>
      </w:r>
      <w:r>
        <w:rPr>
          <w:rFonts w:hint="eastAsia" w:ascii="宋体" w:hAnsi="宋体" w:eastAsia="宋体" w:cs="宋体"/>
          <w:color w:val="000000" w:themeColor="text1"/>
          <w:sz w:val="21"/>
          <w:szCs w:val="21"/>
          <w:highlight w:val="none"/>
          <w:u w:val="single" w:color="auto"/>
          <w:lang w:eastAsia="zh-CN"/>
          <w14:textFill>
            <w14:solidFill>
              <w14:schemeClr w14:val="tx1"/>
            </w14:solidFill>
          </w14:textFill>
        </w:rPr>
        <w:t xml:space="preserve"> </w:t>
      </w:r>
      <w:r>
        <w:rPr>
          <w:rFonts w:hint="eastAsia" w:ascii="宋体" w:hAnsi="宋体" w:cs="宋体"/>
          <w:color w:val="000000" w:themeColor="text1"/>
          <w:sz w:val="21"/>
          <w:szCs w:val="21"/>
          <w:highlight w:val="none"/>
          <w:u w:val="single" w:color="auto"/>
          <w:lang w:eastAsia="zh-CN"/>
          <w14:textFill>
            <w14:solidFill>
              <w14:schemeClr w14:val="tx1"/>
            </w14:solidFill>
          </w14:textFill>
        </w:rPr>
        <w:t>桂林市临桂区自然资源局</w:t>
      </w:r>
      <w:r>
        <w:rPr>
          <w:rFonts w:hint="eastAsia" w:ascii="宋体" w:hAnsi="宋体" w:eastAsia="宋体" w:cs="宋体"/>
          <w:color w:val="000000" w:themeColor="text1"/>
          <w:sz w:val="21"/>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 xml:space="preserve"> </w:t>
      </w:r>
    </w:p>
    <w:p w14:paraId="0E968EB4">
      <w:pPr>
        <w:keepNext w:val="0"/>
        <w:keepLines w:val="0"/>
        <w:pageBreakBefore w:val="0"/>
        <w:widowControl w:val="0"/>
        <w:kinsoku/>
        <w:wordWrap/>
        <w:overflowPunct/>
        <w:topLinePunct w:val="0"/>
        <w:autoSpaceDE/>
        <w:autoSpaceDN/>
        <w:bidi w:val="0"/>
        <w:adjustRightInd/>
        <w:snapToGrid/>
        <w:spacing w:afterLines="0" w:line="400" w:lineRule="exact"/>
        <w:ind w:left="0" w:firstLine="48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pacing w:val="15"/>
          <w:sz w:val="21"/>
          <w:szCs w:val="21"/>
          <w:highlight w:val="none"/>
          <w14:textFill>
            <w14:solidFill>
              <w14:schemeClr w14:val="tx1"/>
            </w14:solidFill>
          </w14:textFill>
        </w:rPr>
        <w:t>承</w:t>
      </w:r>
      <w:r>
        <w:rPr>
          <w:rFonts w:ascii="宋体" w:hAnsi="宋体" w:eastAsia="宋体" w:cs="宋体"/>
          <w:color w:val="000000" w:themeColor="text1"/>
          <w:spacing w:val="10"/>
          <w:sz w:val="21"/>
          <w:szCs w:val="21"/>
          <w:highlight w:val="none"/>
          <w14:textFill>
            <w14:solidFill>
              <w14:schemeClr w14:val="tx1"/>
            </w14:solidFill>
          </w14:textFill>
        </w:rPr>
        <w:t>包人(全称)：</w:t>
      </w:r>
      <w:r>
        <w:rPr>
          <w:rFonts w:hint="eastAsia" w:ascii="宋体" w:hAnsi="宋体" w:eastAsia="宋体" w:cs="宋体"/>
          <w:color w:val="000000" w:themeColor="text1"/>
          <w:sz w:val="21"/>
          <w:szCs w:val="21"/>
          <w:highlight w:val="none"/>
          <w:u w:val="single" w:color="auto"/>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color="auto"/>
          <w:lang w:val="en-US" w:eastAsia="zh-CN"/>
          <w14:textFill>
            <w14:solidFill>
              <w14:schemeClr w14:val="tx1"/>
            </w14:solidFill>
          </w14:textFill>
        </w:rPr>
        <w:t xml:space="preserve">                        </w:t>
      </w:r>
    </w:p>
    <w:p w14:paraId="7D62BF30">
      <w:pPr>
        <w:keepNext w:val="0"/>
        <w:keepLines w:val="0"/>
        <w:pageBreakBefore w:val="0"/>
        <w:widowControl w:val="0"/>
        <w:kinsoku/>
        <w:wordWrap/>
        <w:overflowPunct/>
        <w:topLinePunct w:val="0"/>
        <w:autoSpaceDE/>
        <w:autoSpaceDN/>
        <w:bidi w:val="0"/>
        <w:adjustRightInd/>
        <w:snapToGrid/>
        <w:spacing w:before="0" w:afterLines="0" w:line="400" w:lineRule="exact"/>
        <w:ind w:left="0" w:right="0" w:firstLine="388"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发包人、承包人根据《中华人民共和国建筑法》、《建设工程质量管理条例》，经协商一</w:t>
      </w:r>
      <w:r>
        <w:rPr>
          <w:rFonts w:ascii="宋体" w:hAnsi="宋体" w:eastAsia="宋体" w:cs="宋体"/>
          <w:color w:val="000000" w:themeColor="text1"/>
          <w:spacing w:val="-6"/>
          <w:sz w:val="21"/>
          <w:szCs w:val="21"/>
          <w:highlight w:val="none"/>
          <w14:textFill>
            <w14:solidFill>
              <w14:schemeClr w14:val="tx1"/>
            </w14:solidFill>
          </w14:textFill>
        </w:rPr>
        <w:t>致，</w:t>
      </w:r>
      <w:r>
        <w:rPr>
          <w:rFonts w:ascii="宋体" w:hAnsi="宋体" w:eastAsia="宋体" w:cs="宋体"/>
          <w:color w:val="000000" w:themeColor="text1"/>
          <w:spacing w:val="-4"/>
          <w:sz w:val="21"/>
          <w:szCs w:val="21"/>
          <w:highlight w:val="none"/>
          <w14:textFill>
            <w14:solidFill>
              <w14:schemeClr w14:val="tx1"/>
            </w14:solidFill>
          </w14:textFill>
        </w:rPr>
        <w:t>对</w:t>
      </w:r>
      <w:r>
        <w:rPr>
          <w:rFonts w:hint="eastAsia" w:ascii="宋体" w:hAnsi="宋体" w:cs="宋体"/>
          <w:color w:val="000000" w:themeColor="text1"/>
          <w:spacing w:val="-4"/>
          <w:sz w:val="21"/>
          <w:szCs w:val="21"/>
          <w:highlight w:val="none"/>
          <w:u w:val="single"/>
          <w:lang w:eastAsia="zh-CN"/>
          <w14:textFill>
            <w14:solidFill>
              <w14:schemeClr w14:val="tx1"/>
            </w14:solidFill>
          </w14:textFill>
        </w:rPr>
        <w:t>桂林市临桂区五通镇仁和村等5个村全域土地综合整治项目土地综合整治子项目二期</w:t>
      </w:r>
      <w:r>
        <w:rPr>
          <w:rFonts w:ascii="宋体" w:hAnsi="宋体" w:eastAsia="宋体" w:cs="宋体"/>
          <w:color w:val="000000" w:themeColor="text1"/>
          <w:spacing w:val="-3"/>
          <w:sz w:val="21"/>
          <w:szCs w:val="21"/>
          <w:highlight w:val="none"/>
          <w14:textFill>
            <w14:solidFill>
              <w14:schemeClr w14:val="tx1"/>
            </w14:solidFill>
          </w14:textFill>
        </w:rPr>
        <w:t>签订工程质量保修书。</w:t>
      </w:r>
    </w:p>
    <w:p w14:paraId="2CE4CC02">
      <w:pPr>
        <w:keepNext w:val="0"/>
        <w:keepLines w:val="0"/>
        <w:pageBreakBefore w:val="0"/>
        <w:widowControl w:val="0"/>
        <w:kinsoku/>
        <w:wordWrap/>
        <w:overflowPunct/>
        <w:topLinePunct w:val="0"/>
        <w:autoSpaceDE/>
        <w:autoSpaceDN/>
        <w:bidi w:val="0"/>
        <w:adjustRightInd/>
        <w:snapToGrid/>
        <w:spacing w:afterLines="0" w:line="400" w:lineRule="exact"/>
        <w:ind w:left="0" w:firstLine="412"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1.工程质量保</w:t>
      </w:r>
      <w:r>
        <w:rPr>
          <w:rFonts w:ascii="宋体" w:hAnsi="宋体" w:eastAsia="宋体" w:cs="宋体"/>
          <w:color w:val="000000" w:themeColor="text1"/>
          <w:spacing w:val="-1"/>
          <w:sz w:val="21"/>
          <w:szCs w:val="21"/>
          <w:highlight w:val="none"/>
          <w14:textFill>
            <w14:solidFill>
              <w14:schemeClr w14:val="tx1"/>
            </w14:solidFill>
          </w14:textFill>
        </w:rPr>
        <w:t>修范围和内容</w:t>
      </w:r>
    </w:p>
    <w:p w14:paraId="009BD3B8">
      <w:pPr>
        <w:keepNext w:val="0"/>
        <w:keepLines w:val="0"/>
        <w:pageBreakBefore w:val="0"/>
        <w:widowControl w:val="0"/>
        <w:kinsoku/>
        <w:wordWrap/>
        <w:overflowPunct/>
        <w:topLinePunct w:val="0"/>
        <w:autoSpaceDE/>
        <w:autoSpaceDN/>
        <w:bidi w:val="0"/>
        <w:adjustRightInd/>
        <w:snapToGrid/>
        <w:spacing w:before="0" w:afterLines="0" w:line="400" w:lineRule="exact"/>
        <w:ind w:left="0" w:right="0" w:firstLine="364"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4"/>
          <w:sz w:val="21"/>
          <w:szCs w:val="21"/>
          <w:highlight w:val="none"/>
          <w14:textFill>
            <w14:solidFill>
              <w14:schemeClr w14:val="tx1"/>
            </w14:solidFill>
          </w14:textFill>
        </w:rPr>
        <w:t>承包人</w:t>
      </w:r>
      <w:r>
        <w:rPr>
          <w:rFonts w:ascii="宋体" w:hAnsi="宋体" w:eastAsia="宋体" w:cs="宋体"/>
          <w:color w:val="000000" w:themeColor="text1"/>
          <w:spacing w:val="-13"/>
          <w:sz w:val="21"/>
          <w:szCs w:val="21"/>
          <w:highlight w:val="none"/>
          <w14:textFill>
            <w14:solidFill>
              <w14:schemeClr w14:val="tx1"/>
            </w14:solidFill>
          </w14:textFill>
        </w:rPr>
        <w:t>在</w:t>
      </w:r>
      <w:r>
        <w:rPr>
          <w:rFonts w:ascii="宋体" w:hAnsi="宋体" w:eastAsia="宋体" w:cs="宋体"/>
          <w:color w:val="000000" w:themeColor="text1"/>
          <w:spacing w:val="-7"/>
          <w:sz w:val="21"/>
          <w:szCs w:val="21"/>
          <w:highlight w:val="none"/>
          <w14:textFill>
            <w14:solidFill>
              <w14:schemeClr w14:val="tx1"/>
            </w14:solidFill>
          </w14:textFill>
        </w:rPr>
        <w:t>质量保修期内，按照有关法律、法规、规章规定和双方约定，承担本工程质量</w:t>
      </w:r>
      <w:r>
        <w:rPr>
          <w:rFonts w:ascii="宋体" w:hAnsi="宋体" w:eastAsia="宋体" w:cs="宋体"/>
          <w:color w:val="000000" w:themeColor="text1"/>
          <w:spacing w:val="-5"/>
          <w:sz w:val="21"/>
          <w:szCs w:val="21"/>
          <w:highlight w:val="none"/>
          <w14:textFill>
            <w14:solidFill>
              <w14:schemeClr w14:val="tx1"/>
            </w14:solidFill>
          </w14:textFill>
        </w:rPr>
        <w:t>保</w:t>
      </w:r>
      <w:r>
        <w:rPr>
          <w:rFonts w:ascii="宋体" w:hAnsi="宋体" w:eastAsia="宋体" w:cs="宋体"/>
          <w:color w:val="000000" w:themeColor="text1"/>
          <w:spacing w:val="-4"/>
          <w:sz w:val="21"/>
          <w:szCs w:val="21"/>
          <w:highlight w:val="none"/>
          <w14:textFill>
            <w14:solidFill>
              <w14:schemeClr w14:val="tx1"/>
            </w14:solidFill>
          </w14:textFill>
        </w:rPr>
        <w:t>修责任。</w:t>
      </w:r>
    </w:p>
    <w:p w14:paraId="65FBAC44">
      <w:pPr>
        <w:keepNext w:val="0"/>
        <w:keepLines w:val="0"/>
        <w:pageBreakBefore w:val="0"/>
        <w:widowControl w:val="0"/>
        <w:tabs>
          <w:tab w:val="left" w:pos="6657"/>
        </w:tabs>
        <w:kinsoku/>
        <w:wordWrap/>
        <w:overflowPunct/>
        <w:topLinePunct w:val="0"/>
        <w:autoSpaceDE/>
        <w:autoSpaceDN/>
        <w:bidi w:val="0"/>
        <w:adjustRightInd/>
        <w:snapToGrid/>
        <w:spacing w:before="0" w:afterLines="0" w:line="400" w:lineRule="exact"/>
        <w:ind w:left="0" w:right="0" w:firstLine="424"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pacing w:val="1"/>
          <w:sz w:val="21"/>
          <w:szCs w:val="21"/>
          <w:highlight w:val="none"/>
          <w14:textFill>
            <w14:solidFill>
              <w14:schemeClr w14:val="tx1"/>
            </w14:solidFill>
          </w14:textFill>
        </w:rPr>
        <w:t>质量保修范围包括</w:t>
      </w:r>
      <w:r>
        <w:rPr>
          <w:rFonts w:ascii="宋体" w:hAnsi="宋体" w:eastAsia="宋体" w:cs="宋体"/>
          <w:color w:val="000000" w:themeColor="text1"/>
          <w:sz w:val="21"/>
          <w:szCs w:val="21"/>
          <w:highlight w:val="none"/>
          <w14:textFill>
            <w14:solidFill>
              <w14:schemeClr w14:val="tx1"/>
            </w14:solidFill>
          </w14:textFill>
        </w:rPr>
        <w:t>土地平整、灌溉与排水、田间道路等施工图纸全部内容(具体以图纸</w:t>
      </w:r>
      <w:r>
        <w:rPr>
          <w:rFonts w:ascii="宋体" w:hAnsi="宋体" w:eastAsia="宋体" w:cs="宋体"/>
          <w:color w:val="000000" w:themeColor="text1"/>
          <w:spacing w:val="-1"/>
          <w:sz w:val="21"/>
          <w:szCs w:val="21"/>
          <w:highlight w:val="none"/>
          <w14:textFill>
            <w14:solidFill>
              <w14:schemeClr w14:val="tx1"/>
            </w14:solidFill>
          </w14:textFill>
        </w:rPr>
        <w:t>设计及财政预算评审确认工程量清单范围内的施工内容为</w:t>
      </w:r>
      <w:r>
        <w:rPr>
          <w:rFonts w:ascii="宋体" w:hAnsi="宋体" w:eastAsia="宋体" w:cs="宋体"/>
          <w:color w:val="000000" w:themeColor="text1"/>
          <w:sz w:val="21"/>
          <w:szCs w:val="21"/>
          <w:highlight w:val="none"/>
          <w14:textFill>
            <w14:solidFill>
              <w14:schemeClr w14:val="tx1"/>
            </w14:solidFill>
          </w14:textFill>
        </w:rPr>
        <w:t>准)，以及双方约定的其他项目。</w:t>
      </w:r>
      <w:r>
        <w:rPr>
          <w:rFonts w:ascii="宋体" w:hAnsi="宋体" w:eastAsia="宋体" w:cs="宋体"/>
          <w:color w:val="000000" w:themeColor="text1"/>
          <w:spacing w:val="-1"/>
          <w:sz w:val="21"/>
          <w:szCs w:val="21"/>
          <w:highlight w:val="none"/>
          <w14:textFill>
            <w14:solidFill>
              <w14:schemeClr w14:val="tx1"/>
            </w14:solidFill>
          </w14:textFill>
        </w:rPr>
        <w:t>具体保修的内容</w:t>
      </w:r>
      <w:r>
        <w:rPr>
          <w:rFonts w:ascii="宋体" w:hAnsi="宋体" w:eastAsia="宋体" w:cs="宋体"/>
          <w:color w:val="000000" w:themeColor="text1"/>
          <w:sz w:val="21"/>
          <w:szCs w:val="21"/>
          <w:highlight w:val="none"/>
          <w14:textFill>
            <w14:solidFill>
              <w14:schemeClr w14:val="tx1"/>
            </w14:solidFill>
          </w14:textFill>
        </w:rPr>
        <w:t>，双方约定如下：</w:t>
      </w:r>
      <w:r>
        <w:rPr>
          <w:rFonts w:hint="eastAsia" w:ascii="宋体" w:hAnsi="宋体" w:eastAsia="宋体" w:cs="宋体"/>
          <w:color w:val="000000" w:themeColor="text1"/>
          <w:sz w:val="21"/>
          <w:szCs w:val="21"/>
          <w:highlight w:val="none"/>
          <w:u w:val="single" w:color="auto"/>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F816FDE">
      <w:pPr>
        <w:keepNext w:val="0"/>
        <w:keepLines w:val="0"/>
        <w:pageBreakBefore w:val="0"/>
        <w:widowControl w:val="0"/>
        <w:kinsoku/>
        <w:wordWrap/>
        <w:overflowPunct/>
        <w:topLinePunct w:val="0"/>
        <w:autoSpaceDE/>
        <w:autoSpaceDN/>
        <w:bidi w:val="0"/>
        <w:adjustRightInd/>
        <w:snapToGrid/>
        <w:spacing w:before="0" w:afterLines="0" w:line="400" w:lineRule="exact"/>
        <w:ind w:left="0" w:right="0" w:firstLine="416"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
          <w:sz w:val="21"/>
          <w:szCs w:val="21"/>
          <w:highlight w:val="none"/>
          <w14:textFill>
            <w14:solidFill>
              <w14:schemeClr w14:val="tx1"/>
            </w14:solidFill>
          </w14:textFill>
        </w:rPr>
        <w:t>2.质量保修期</w:t>
      </w:r>
    </w:p>
    <w:p w14:paraId="4AE52283">
      <w:pPr>
        <w:keepNext w:val="0"/>
        <w:keepLines w:val="0"/>
        <w:pageBreakBefore w:val="0"/>
        <w:widowControl w:val="0"/>
        <w:kinsoku/>
        <w:wordWrap/>
        <w:overflowPunct/>
        <w:topLinePunct w:val="0"/>
        <w:autoSpaceDE/>
        <w:autoSpaceDN/>
        <w:bidi w:val="0"/>
        <w:adjustRightInd/>
        <w:snapToGrid/>
        <w:spacing w:before="0" w:afterLines="0" w:line="400" w:lineRule="exact"/>
        <w:ind w:left="0" w:firstLine="412"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2.1双方根据</w:t>
      </w:r>
      <w:r>
        <w:rPr>
          <w:rFonts w:ascii="宋体" w:hAnsi="宋体" w:eastAsia="宋体" w:cs="宋体"/>
          <w:color w:val="000000" w:themeColor="text1"/>
          <w:spacing w:val="-1"/>
          <w:sz w:val="21"/>
          <w:szCs w:val="21"/>
          <w:highlight w:val="none"/>
          <w14:textFill>
            <w14:solidFill>
              <w14:schemeClr w14:val="tx1"/>
            </w14:solidFill>
          </w14:textFill>
        </w:rPr>
        <w:t>《建设工程质量管理条例》及有关规定，约定本工程的质量保修期如下：</w:t>
      </w:r>
      <w:r>
        <w:rPr>
          <w:rFonts w:hint="eastAsia" w:ascii="宋体" w:hAnsi="宋体" w:eastAsia="宋体" w:cs="宋体"/>
          <w:color w:val="000000" w:themeColor="text1"/>
          <w:sz w:val="21"/>
          <w:szCs w:val="21"/>
          <w:highlight w:val="none"/>
          <w:u w:val="single" w:color="auto"/>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color="auto"/>
          <w:lang w:val="en-US" w:eastAsia="zh-CN"/>
          <w14:textFill>
            <w14:solidFill>
              <w14:schemeClr w14:val="tx1"/>
            </w14:solidFill>
          </w14:textFill>
        </w:rPr>
        <w:t xml:space="preserve">                        </w:t>
      </w:r>
    </w:p>
    <w:p w14:paraId="0076CBC9">
      <w:pPr>
        <w:keepNext w:val="0"/>
        <w:keepLines w:val="0"/>
        <w:pageBreakBefore w:val="0"/>
        <w:widowControl w:val="0"/>
        <w:kinsoku/>
        <w:wordWrap/>
        <w:overflowPunct/>
        <w:topLinePunct w:val="0"/>
        <w:autoSpaceDE/>
        <w:autoSpaceDN/>
        <w:bidi w:val="0"/>
        <w:adjustRightInd/>
        <w:snapToGrid/>
        <w:spacing w:before="0" w:afterLines="0" w:line="400" w:lineRule="exact"/>
        <w:ind w:left="0" w:firstLine="416"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
          <w:sz w:val="21"/>
          <w:szCs w:val="21"/>
          <w:highlight w:val="none"/>
          <w14:textFill>
            <w14:solidFill>
              <w14:schemeClr w14:val="tx1"/>
            </w14:solidFill>
          </w14:textFill>
        </w:rPr>
        <w:t>2.2质量保修期自工程竣工验收合格之日起</w:t>
      </w:r>
      <w:r>
        <w:rPr>
          <w:rFonts w:ascii="宋体" w:hAnsi="宋体" w:eastAsia="宋体" w:cs="宋体"/>
          <w:color w:val="000000" w:themeColor="text1"/>
          <w:sz w:val="21"/>
          <w:szCs w:val="21"/>
          <w:highlight w:val="none"/>
          <w14:textFill>
            <w14:solidFill>
              <w14:schemeClr w14:val="tx1"/>
            </w14:solidFill>
          </w14:textFill>
        </w:rPr>
        <w:t>计算。</w:t>
      </w:r>
    </w:p>
    <w:p w14:paraId="3033493C">
      <w:pPr>
        <w:keepNext w:val="0"/>
        <w:keepLines w:val="0"/>
        <w:pageBreakBefore w:val="0"/>
        <w:widowControl w:val="0"/>
        <w:kinsoku/>
        <w:wordWrap/>
        <w:overflowPunct/>
        <w:topLinePunct w:val="0"/>
        <w:autoSpaceDE/>
        <w:autoSpaceDN/>
        <w:bidi w:val="0"/>
        <w:adjustRightInd/>
        <w:snapToGrid/>
        <w:spacing w:before="0" w:afterLines="0" w:line="400" w:lineRule="exact"/>
        <w:ind w:left="0" w:firstLine="412"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3</w:t>
      </w:r>
      <w:r>
        <w:rPr>
          <w:rFonts w:ascii="宋体" w:hAnsi="宋体" w:eastAsia="宋体" w:cs="宋体"/>
          <w:color w:val="000000" w:themeColor="text1"/>
          <w:spacing w:val="-1"/>
          <w:sz w:val="21"/>
          <w:szCs w:val="21"/>
          <w:highlight w:val="none"/>
          <w14:textFill>
            <w14:solidFill>
              <w14:schemeClr w14:val="tx1"/>
            </w14:solidFill>
          </w14:textFill>
        </w:rPr>
        <w:t>.质量保修责任</w:t>
      </w:r>
    </w:p>
    <w:p w14:paraId="3A01E21D">
      <w:pPr>
        <w:keepNext w:val="0"/>
        <w:keepLines w:val="0"/>
        <w:pageBreakBefore w:val="0"/>
        <w:widowControl w:val="0"/>
        <w:kinsoku/>
        <w:wordWrap/>
        <w:overflowPunct/>
        <w:topLinePunct w:val="0"/>
        <w:autoSpaceDE/>
        <w:autoSpaceDN/>
        <w:bidi w:val="0"/>
        <w:adjustRightInd/>
        <w:snapToGrid/>
        <w:spacing w:before="0" w:afterLines="0" w:line="400" w:lineRule="exact"/>
        <w:ind w:left="0" w:firstLine="396"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3</w:t>
      </w:r>
      <w:r>
        <w:rPr>
          <w:rFonts w:ascii="宋体" w:hAnsi="宋体" w:eastAsia="宋体" w:cs="宋体"/>
          <w:color w:val="000000" w:themeColor="text1"/>
          <w:spacing w:val="-4"/>
          <w:sz w:val="21"/>
          <w:szCs w:val="21"/>
          <w:highlight w:val="none"/>
          <w14:textFill>
            <w14:solidFill>
              <w14:schemeClr w14:val="tx1"/>
            </w14:solidFill>
          </w14:textFill>
        </w:rPr>
        <w:t>.</w:t>
      </w:r>
      <w:r>
        <w:rPr>
          <w:rFonts w:ascii="宋体" w:hAnsi="宋体" w:eastAsia="宋体" w:cs="宋体"/>
          <w:color w:val="000000" w:themeColor="text1"/>
          <w:spacing w:val="-3"/>
          <w:sz w:val="21"/>
          <w:szCs w:val="21"/>
          <w:highlight w:val="none"/>
          <w14:textFill>
            <w14:solidFill>
              <w14:schemeClr w14:val="tx1"/>
            </w14:solidFill>
          </w14:textFill>
        </w:rPr>
        <w:t>1属于保修范围、内容的项目，承包人应当在接到保修通知之日起7日内派人保修。</w:t>
      </w:r>
      <w:r>
        <w:rPr>
          <w:rFonts w:ascii="宋体" w:hAnsi="宋体" w:eastAsia="宋体" w:cs="宋体"/>
          <w:color w:val="000000" w:themeColor="text1"/>
          <w:spacing w:val="-6"/>
          <w:sz w:val="21"/>
          <w:szCs w:val="21"/>
          <w:highlight w:val="none"/>
          <w14:textFill>
            <w14:solidFill>
              <w14:schemeClr w14:val="tx1"/>
            </w14:solidFill>
          </w14:textFill>
        </w:rPr>
        <w:t>承包人不在约</w:t>
      </w:r>
      <w:r>
        <w:rPr>
          <w:rFonts w:ascii="宋体" w:hAnsi="宋体" w:eastAsia="宋体" w:cs="宋体"/>
          <w:color w:val="000000" w:themeColor="text1"/>
          <w:spacing w:val="-5"/>
          <w:sz w:val="21"/>
          <w:szCs w:val="21"/>
          <w:highlight w:val="none"/>
          <w14:textFill>
            <w14:solidFill>
              <w14:schemeClr w14:val="tx1"/>
            </w14:solidFill>
          </w14:textFill>
        </w:rPr>
        <w:t>定</w:t>
      </w:r>
      <w:r>
        <w:rPr>
          <w:rFonts w:ascii="宋体" w:hAnsi="宋体" w:eastAsia="宋体" w:cs="宋体"/>
          <w:color w:val="000000" w:themeColor="text1"/>
          <w:spacing w:val="-3"/>
          <w:sz w:val="21"/>
          <w:szCs w:val="21"/>
          <w:highlight w:val="none"/>
          <w14:textFill>
            <w14:solidFill>
              <w14:schemeClr w14:val="tx1"/>
            </w14:solidFill>
          </w14:textFill>
        </w:rPr>
        <w:t>期限内派人保修的，发包人可以委托他人修理。</w:t>
      </w:r>
    </w:p>
    <w:p w14:paraId="2DC0BB8D">
      <w:pPr>
        <w:keepNext w:val="0"/>
        <w:keepLines w:val="0"/>
        <w:pageBreakBefore w:val="0"/>
        <w:widowControl w:val="0"/>
        <w:kinsoku/>
        <w:wordWrap/>
        <w:overflowPunct/>
        <w:topLinePunct w:val="0"/>
        <w:autoSpaceDE/>
        <w:autoSpaceDN/>
        <w:bidi w:val="0"/>
        <w:adjustRightInd/>
        <w:snapToGrid/>
        <w:spacing w:before="0" w:afterLines="0" w:line="400" w:lineRule="exact"/>
        <w:ind w:left="0" w:firstLine="416"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
          <w:sz w:val="21"/>
          <w:szCs w:val="21"/>
          <w:highlight w:val="none"/>
          <w14:textFill>
            <w14:solidFill>
              <w14:schemeClr w14:val="tx1"/>
            </w14:solidFill>
          </w14:textFill>
        </w:rPr>
        <w:t>3.2发</w:t>
      </w:r>
      <w:r>
        <w:rPr>
          <w:rFonts w:ascii="宋体" w:hAnsi="宋体" w:eastAsia="宋体" w:cs="宋体"/>
          <w:color w:val="000000" w:themeColor="text1"/>
          <w:sz w:val="21"/>
          <w:szCs w:val="21"/>
          <w:highlight w:val="none"/>
          <w14:textFill>
            <w14:solidFill>
              <w14:schemeClr w14:val="tx1"/>
            </w14:solidFill>
          </w14:textFill>
        </w:rPr>
        <w:t>生紧急抢修事故的，承包人在接到事故通知后，应当立即到达事故现场抢修。</w:t>
      </w:r>
    </w:p>
    <w:p w14:paraId="10D637B9">
      <w:pPr>
        <w:keepNext w:val="0"/>
        <w:keepLines w:val="0"/>
        <w:pageBreakBefore w:val="0"/>
        <w:widowControl w:val="0"/>
        <w:kinsoku/>
        <w:wordWrap/>
        <w:overflowPunct/>
        <w:topLinePunct w:val="0"/>
        <w:autoSpaceDE/>
        <w:autoSpaceDN/>
        <w:bidi w:val="0"/>
        <w:adjustRightInd/>
        <w:snapToGrid/>
        <w:spacing w:before="0" w:afterLines="0" w:line="400" w:lineRule="exact"/>
        <w:ind w:left="0" w:right="0" w:firstLine="364"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4"/>
          <w:sz w:val="21"/>
          <w:szCs w:val="21"/>
          <w:highlight w:val="none"/>
          <w14:textFill>
            <w14:solidFill>
              <w14:schemeClr w14:val="tx1"/>
            </w14:solidFill>
          </w14:textFill>
        </w:rPr>
        <w:t>3.</w:t>
      </w:r>
      <w:r>
        <w:rPr>
          <w:rFonts w:ascii="宋体" w:hAnsi="宋体" w:eastAsia="宋体" w:cs="宋体"/>
          <w:color w:val="000000" w:themeColor="text1"/>
          <w:spacing w:val="-10"/>
          <w:sz w:val="21"/>
          <w:szCs w:val="21"/>
          <w:highlight w:val="none"/>
          <w14:textFill>
            <w14:solidFill>
              <w14:schemeClr w14:val="tx1"/>
            </w14:solidFill>
          </w14:textFill>
        </w:rPr>
        <w:t>3</w:t>
      </w:r>
      <w:r>
        <w:rPr>
          <w:rFonts w:ascii="宋体" w:hAnsi="宋体" w:eastAsia="宋体" w:cs="宋体"/>
          <w:color w:val="000000" w:themeColor="text1"/>
          <w:spacing w:val="-7"/>
          <w:sz w:val="21"/>
          <w:szCs w:val="21"/>
          <w:highlight w:val="none"/>
          <w14:textFill>
            <w14:solidFill>
              <w14:schemeClr w14:val="tx1"/>
            </w14:solidFill>
          </w14:textFill>
        </w:rPr>
        <w:t>对于涉及质量问题，应当按照相关的规范规定，立即向当地主管部门报告，采取措</w:t>
      </w:r>
      <w:r>
        <w:rPr>
          <w:rFonts w:ascii="宋体" w:hAnsi="宋体" w:eastAsia="宋体" w:cs="宋体"/>
          <w:color w:val="000000" w:themeColor="text1"/>
          <w:spacing w:val="-1"/>
          <w:sz w:val="21"/>
          <w:szCs w:val="21"/>
          <w:highlight w:val="none"/>
          <w14:textFill>
            <w14:solidFill>
              <w14:schemeClr w14:val="tx1"/>
            </w14:solidFill>
          </w14:textFill>
        </w:rPr>
        <w:t>施；由原设计单位或者具有相应资</w:t>
      </w:r>
      <w:r>
        <w:rPr>
          <w:rFonts w:ascii="宋体" w:hAnsi="宋体" w:eastAsia="宋体" w:cs="宋体"/>
          <w:color w:val="000000" w:themeColor="text1"/>
          <w:sz w:val="21"/>
          <w:szCs w:val="21"/>
          <w:highlight w:val="none"/>
          <w14:textFill>
            <w14:solidFill>
              <w14:schemeClr w14:val="tx1"/>
            </w14:solidFill>
          </w14:textFill>
        </w:rPr>
        <w:t>质等级的设计单位提出保修方案，承包人实施保修。</w:t>
      </w:r>
    </w:p>
    <w:p w14:paraId="2B6EC6B3">
      <w:pPr>
        <w:keepNext w:val="0"/>
        <w:keepLines w:val="0"/>
        <w:pageBreakBefore w:val="0"/>
        <w:widowControl w:val="0"/>
        <w:kinsoku/>
        <w:wordWrap/>
        <w:overflowPunct/>
        <w:topLinePunct w:val="0"/>
        <w:autoSpaceDE/>
        <w:autoSpaceDN/>
        <w:bidi w:val="0"/>
        <w:adjustRightInd/>
        <w:snapToGrid/>
        <w:spacing w:afterLines="0" w:line="400" w:lineRule="exact"/>
        <w:ind w:left="0" w:firstLine="416"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
          <w:sz w:val="21"/>
          <w:szCs w:val="21"/>
          <w:highlight w:val="none"/>
          <w14:textFill>
            <w14:solidFill>
              <w14:schemeClr w14:val="tx1"/>
            </w14:solidFill>
          </w14:textFill>
        </w:rPr>
        <w:t>3.4质量保修</w:t>
      </w:r>
      <w:r>
        <w:rPr>
          <w:rFonts w:ascii="宋体" w:hAnsi="宋体" w:eastAsia="宋体" w:cs="宋体"/>
          <w:color w:val="000000" w:themeColor="text1"/>
          <w:sz w:val="21"/>
          <w:szCs w:val="21"/>
          <w:highlight w:val="none"/>
          <w14:textFill>
            <w14:solidFill>
              <w14:schemeClr w14:val="tx1"/>
            </w14:solidFill>
          </w14:textFill>
        </w:rPr>
        <w:t>完成后，由发包人组织验收。</w:t>
      </w:r>
    </w:p>
    <w:p w14:paraId="0D4EAAD8">
      <w:pPr>
        <w:keepNext w:val="0"/>
        <w:keepLines w:val="0"/>
        <w:pageBreakBefore w:val="0"/>
        <w:widowControl w:val="0"/>
        <w:kinsoku/>
        <w:wordWrap/>
        <w:overflowPunct/>
        <w:topLinePunct w:val="0"/>
        <w:autoSpaceDE/>
        <w:autoSpaceDN/>
        <w:bidi w:val="0"/>
        <w:adjustRightInd/>
        <w:snapToGrid/>
        <w:spacing w:before="0" w:afterLines="0" w:line="400" w:lineRule="exact"/>
        <w:ind w:left="0" w:firstLine="416"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
          <w:sz w:val="21"/>
          <w:szCs w:val="21"/>
          <w:highlight w:val="none"/>
          <w14:textFill>
            <w14:solidFill>
              <w14:schemeClr w14:val="tx1"/>
            </w14:solidFill>
          </w14:textFill>
        </w:rPr>
        <w:t>4.保修</w:t>
      </w:r>
      <w:r>
        <w:rPr>
          <w:rFonts w:ascii="宋体" w:hAnsi="宋体" w:eastAsia="宋体" w:cs="宋体"/>
          <w:color w:val="000000" w:themeColor="text1"/>
          <w:sz w:val="21"/>
          <w:szCs w:val="21"/>
          <w:highlight w:val="none"/>
          <w14:textFill>
            <w14:solidFill>
              <w14:schemeClr w14:val="tx1"/>
            </w14:solidFill>
          </w14:textFill>
        </w:rPr>
        <w:t>费用</w:t>
      </w:r>
    </w:p>
    <w:p w14:paraId="50F11775">
      <w:pPr>
        <w:keepNext w:val="0"/>
        <w:keepLines w:val="0"/>
        <w:pageBreakBefore w:val="0"/>
        <w:widowControl w:val="0"/>
        <w:kinsoku/>
        <w:wordWrap/>
        <w:overflowPunct/>
        <w:topLinePunct w:val="0"/>
        <w:autoSpaceDE/>
        <w:autoSpaceDN/>
        <w:bidi w:val="0"/>
        <w:adjustRightInd/>
        <w:snapToGrid/>
        <w:spacing w:before="0" w:afterLines="0" w:line="400" w:lineRule="exact"/>
        <w:ind w:left="0" w:firstLine="416"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
          <w:sz w:val="21"/>
          <w:szCs w:val="21"/>
          <w:highlight w:val="none"/>
          <w14:textFill>
            <w14:solidFill>
              <w14:schemeClr w14:val="tx1"/>
            </w14:solidFill>
          </w14:textFill>
        </w:rPr>
        <w:t>4.1保修费用由造成质量缺陷的责任</w:t>
      </w:r>
      <w:r>
        <w:rPr>
          <w:rFonts w:ascii="宋体" w:hAnsi="宋体" w:eastAsia="宋体" w:cs="宋体"/>
          <w:color w:val="000000" w:themeColor="text1"/>
          <w:sz w:val="21"/>
          <w:szCs w:val="21"/>
          <w:highlight w:val="none"/>
          <w14:textFill>
            <w14:solidFill>
              <w14:schemeClr w14:val="tx1"/>
            </w14:solidFill>
          </w14:textFill>
        </w:rPr>
        <w:t>方承担。</w:t>
      </w:r>
    </w:p>
    <w:p w14:paraId="73BF2797">
      <w:pPr>
        <w:keepNext w:val="0"/>
        <w:keepLines w:val="0"/>
        <w:pageBreakBefore w:val="0"/>
        <w:widowControl w:val="0"/>
        <w:kinsoku/>
        <w:wordWrap/>
        <w:overflowPunct/>
        <w:topLinePunct w:val="0"/>
        <w:autoSpaceDE/>
        <w:autoSpaceDN/>
        <w:bidi w:val="0"/>
        <w:adjustRightInd/>
        <w:snapToGrid/>
        <w:spacing w:before="0" w:afterLines="0" w:line="400" w:lineRule="exact"/>
        <w:ind w:left="0" w:right="0" w:firstLine="392" w:firstLineChars="200"/>
        <w:textAlignment w:val="auto"/>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4.2本工程约定的质量保修金为施工结算价的3%，保修金返还时无息。</w:t>
      </w:r>
    </w:p>
    <w:p w14:paraId="3559D978">
      <w:pPr>
        <w:keepNext w:val="0"/>
        <w:keepLines w:val="0"/>
        <w:pageBreakBefore w:val="0"/>
        <w:widowControl w:val="0"/>
        <w:kinsoku/>
        <w:wordWrap/>
        <w:overflowPunct/>
        <w:topLinePunct w:val="0"/>
        <w:autoSpaceDE/>
        <w:autoSpaceDN/>
        <w:bidi w:val="0"/>
        <w:adjustRightInd/>
        <w:snapToGrid/>
        <w:spacing w:before="0" w:afterLines="0" w:line="400" w:lineRule="exact"/>
        <w:ind w:left="0" w:right="0" w:firstLine="392" w:firstLineChars="200"/>
        <w:textAlignment w:val="auto"/>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5.其他</w:t>
      </w:r>
    </w:p>
    <w:p w14:paraId="70528DF0">
      <w:pPr>
        <w:keepNext w:val="0"/>
        <w:keepLines w:val="0"/>
        <w:pageBreakBefore w:val="0"/>
        <w:widowControl w:val="0"/>
        <w:kinsoku/>
        <w:wordWrap/>
        <w:overflowPunct/>
        <w:topLinePunct w:val="0"/>
        <w:autoSpaceDE/>
        <w:autoSpaceDN/>
        <w:bidi w:val="0"/>
        <w:adjustRightInd/>
        <w:snapToGrid/>
        <w:spacing w:before="0" w:afterLines="0" w:line="400" w:lineRule="exact"/>
        <w:ind w:left="0" w:right="0" w:firstLine="392" w:firstLineChars="200"/>
        <w:textAlignment w:val="auto"/>
        <w:rPr>
          <w:rFonts w:ascii="宋体" w:hAnsi="宋体" w:eastAsia="宋体" w:cs="宋体"/>
          <w:color w:val="000000" w:themeColor="text1"/>
          <w:spacing w:val="-7"/>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5.1双方约定的其他工程质量保修事项：保修期内，如发生属承包人责任的质量问题，按本保修书第3条第3.1款约定，发包人委托他人修理，其费用由发包人在质量保修金中扣</w:t>
      </w:r>
      <w:r>
        <w:rPr>
          <w:rFonts w:ascii="宋体" w:hAnsi="宋体" w:eastAsia="宋体" w:cs="宋体"/>
          <w:color w:val="000000" w:themeColor="text1"/>
          <w:spacing w:val="-7"/>
          <w:sz w:val="21"/>
          <w:szCs w:val="21"/>
          <w:highlight w:val="none"/>
          <w14:textFill>
            <w14:solidFill>
              <w14:schemeClr w14:val="tx1"/>
            </w14:solidFill>
          </w14:textFill>
        </w:rPr>
        <w:t>除。超过保修金额的部分，承包人应当在接到缴款通知书之日起7日内付清，否则按应缴款额的5%/日计罚。</w:t>
      </w:r>
    </w:p>
    <w:p w14:paraId="3F05E921">
      <w:pPr>
        <w:keepNext w:val="0"/>
        <w:keepLines w:val="0"/>
        <w:pageBreakBefore w:val="0"/>
        <w:widowControl w:val="0"/>
        <w:kinsoku/>
        <w:wordWrap/>
        <w:overflowPunct/>
        <w:topLinePunct w:val="0"/>
        <w:autoSpaceDE/>
        <w:autoSpaceDN/>
        <w:bidi w:val="0"/>
        <w:adjustRightInd/>
        <w:snapToGrid/>
        <w:spacing w:before="0" w:afterLines="0" w:line="400" w:lineRule="exact"/>
        <w:ind w:left="0" w:right="0" w:firstLine="392" w:firstLineChars="200"/>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本工程质量保修书，由施工合同发包人、承包人双方在竣工验收前共同签署，作为施工合同附件，其有效期限至保修期满。</w:t>
      </w:r>
    </w:p>
    <w:p w14:paraId="5F31CCE3">
      <w:pPr>
        <w:keepNext w:val="0"/>
        <w:keepLines w:val="0"/>
        <w:pageBreakBefore w:val="0"/>
        <w:widowControl w:val="0"/>
        <w:kinsoku/>
        <w:wordWrap/>
        <w:overflowPunct/>
        <w:topLinePunct w:val="0"/>
        <w:autoSpaceDE/>
        <w:autoSpaceDN/>
        <w:bidi w:val="0"/>
        <w:adjustRightInd/>
        <w:snapToGrid/>
        <w:spacing w:before="40" w:line="400" w:lineRule="exact"/>
        <w:ind w:left="1025"/>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发包人(公章)</w:t>
      </w:r>
      <w:r>
        <w:rPr>
          <w:rFonts w:ascii="宋体" w:hAnsi="宋体" w:eastAsia="宋体" w:cs="宋体"/>
          <w:color w:val="000000" w:themeColor="text1"/>
          <w:spacing w:val="5"/>
          <w:sz w:val="21"/>
          <w:szCs w:val="21"/>
          <w:highlight w:val="none"/>
          <w14:textFill>
            <w14:solidFill>
              <w14:schemeClr w14:val="tx1"/>
            </w14:solidFill>
          </w14:textFill>
        </w:rPr>
        <w:t>：</w:t>
      </w:r>
      <w:r>
        <w:rPr>
          <w:rFonts w:hint="eastAsia" w:ascii="宋体" w:hAnsi="宋体" w:eastAsia="宋体" w:cs="宋体"/>
          <w:color w:val="000000" w:themeColor="text1"/>
          <w:spacing w:val="5"/>
          <w:sz w:val="21"/>
          <w:szCs w:val="21"/>
          <w:highlight w:val="none"/>
          <w:lang w:val="en-US" w:eastAsia="zh-CN"/>
          <w14:textFill>
            <w14:solidFill>
              <w14:schemeClr w14:val="tx1"/>
            </w14:solidFill>
          </w14:textFill>
        </w:rPr>
        <w:t xml:space="preserve">                  </w:t>
      </w:r>
      <w:r>
        <w:rPr>
          <w:rFonts w:ascii="宋体" w:hAnsi="宋体" w:eastAsia="宋体" w:cs="宋体"/>
          <w:color w:val="000000" w:themeColor="text1"/>
          <w:spacing w:val="9"/>
          <w:sz w:val="21"/>
          <w:szCs w:val="21"/>
          <w:highlight w:val="none"/>
          <w14:textFill>
            <w14:solidFill>
              <w14:schemeClr w14:val="tx1"/>
            </w14:solidFill>
          </w14:textFill>
        </w:rPr>
        <w:t>承</w:t>
      </w:r>
      <w:r>
        <w:rPr>
          <w:rFonts w:ascii="宋体" w:hAnsi="宋体" w:eastAsia="宋体" w:cs="宋体"/>
          <w:color w:val="000000" w:themeColor="text1"/>
          <w:spacing w:val="7"/>
          <w:sz w:val="21"/>
          <w:szCs w:val="21"/>
          <w:highlight w:val="none"/>
          <w14:textFill>
            <w14:solidFill>
              <w14:schemeClr w14:val="tx1"/>
            </w14:solidFill>
          </w14:textFill>
        </w:rPr>
        <w:t>包人(公章)：</w:t>
      </w:r>
    </w:p>
    <w:p w14:paraId="199084F2">
      <w:pPr>
        <w:keepNext w:val="0"/>
        <w:keepLines w:val="0"/>
        <w:pageBreakBefore w:val="0"/>
        <w:widowControl w:val="0"/>
        <w:kinsoku/>
        <w:wordWrap/>
        <w:overflowPunct/>
        <w:topLinePunct w:val="0"/>
        <w:autoSpaceDE/>
        <w:autoSpaceDN/>
        <w:bidi w:val="0"/>
        <w:adjustRightInd/>
        <w:snapToGrid/>
        <w:spacing w:before="188" w:line="400" w:lineRule="exact"/>
        <w:ind w:left="443"/>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3"/>
          <w:sz w:val="21"/>
          <w:szCs w:val="21"/>
          <w:highlight w:val="none"/>
          <w14:textFill>
            <w14:solidFill>
              <w14:schemeClr w14:val="tx1"/>
            </w14:solidFill>
          </w14:textFill>
        </w:rPr>
        <w:t>法</w:t>
      </w:r>
      <w:r>
        <w:rPr>
          <w:rFonts w:ascii="宋体" w:hAnsi="宋体" w:eastAsia="宋体" w:cs="宋体"/>
          <w:color w:val="000000" w:themeColor="text1"/>
          <w:spacing w:val="8"/>
          <w:sz w:val="21"/>
          <w:szCs w:val="21"/>
          <w:highlight w:val="none"/>
          <w14:textFill>
            <w14:solidFill>
              <w14:schemeClr w14:val="tx1"/>
            </w14:solidFill>
          </w14:textFill>
        </w:rPr>
        <w:t>定代表人(签字)：</w:t>
      </w: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 xml:space="preserve">                  </w:t>
      </w:r>
      <w:r>
        <w:rPr>
          <w:rFonts w:ascii="宋体" w:hAnsi="宋体" w:eastAsia="宋体" w:cs="宋体"/>
          <w:color w:val="000000" w:themeColor="text1"/>
          <w:spacing w:val="13"/>
          <w:sz w:val="21"/>
          <w:szCs w:val="21"/>
          <w:highlight w:val="none"/>
          <w14:textFill>
            <w14:solidFill>
              <w14:schemeClr w14:val="tx1"/>
            </w14:solidFill>
          </w14:textFill>
        </w:rPr>
        <w:t>法</w:t>
      </w:r>
      <w:r>
        <w:rPr>
          <w:rFonts w:ascii="宋体" w:hAnsi="宋体" w:eastAsia="宋体" w:cs="宋体"/>
          <w:color w:val="000000" w:themeColor="text1"/>
          <w:spacing w:val="8"/>
          <w:sz w:val="21"/>
          <w:szCs w:val="21"/>
          <w:highlight w:val="none"/>
          <w14:textFill>
            <w14:solidFill>
              <w14:schemeClr w14:val="tx1"/>
            </w14:solidFill>
          </w14:textFill>
        </w:rPr>
        <w:t>定代表人(签字)：</w:t>
      </w:r>
    </w:p>
    <w:p w14:paraId="696FA8B5">
      <w:pPr>
        <w:spacing w:afterLines="0" w:line="240" w:lineRule="auto"/>
        <w:ind w:left="0" w:firstLine="588" w:firstLineChars="300"/>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7"/>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t>年</w:t>
      </w:r>
      <w:r>
        <w:rPr>
          <w:rFonts w:hint="eastAsia" w:ascii="宋体" w:hAnsi="宋体" w:eastAsia="宋体" w:cs="宋体"/>
          <w:color w:val="000000" w:themeColor="text1"/>
          <w:spacing w:val="-7"/>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t>月</w:t>
      </w:r>
      <w:r>
        <w:rPr>
          <w:rFonts w:hint="eastAsia" w:ascii="宋体" w:hAnsi="宋体" w:eastAsia="宋体" w:cs="宋体"/>
          <w:color w:val="000000" w:themeColor="text1"/>
          <w:spacing w:val="-7"/>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t xml:space="preserve"> 日                 </w:t>
      </w:r>
      <w:r>
        <w:rPr>
          <w:rFonts w:hint="eastAsia" w:ascii="宋体" w:hAnsi="宋体" w:eastAsia="宋体" w:cs="宋体"/>
          <w:color w:val="000000" w:themeColor="text1"/>
          <w:spacing w:val="-7"/>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t>年</w:t>
      </w:r>
      <w:r>
        <w:rPr>
          <w:rFonts w:hint="eastAsia" w:ascii="宋体" w:hAnsi="宋体" w:eastAsia="宋体" w:cs="宋体"/>
          <w:color w:val="000000" w:themeColor="text1"/>
          <w:spacing w:val="-7"/>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t>月</w:t>
      </w:r>
      <w:r>
        <w:rPr>
          <w:rFonts w:hint="eastAsia" w:ascii="宋体" w:hAnsi="宋体" w:eastAsia="宋体" w:cs="宋体"/>
          <w:color w:val="000000" w:themeColor="text1"/>
          <w:spacing w:val="-7"/>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t xml:space="preserve"> 日</w:t>
      </w:r>
    </w:p>
    <w:p w14:paraId="79F1D86A">
      <w:pPr>
        <w:spacing w:before="68" w:line="220" w:lineRule="auto"/>
        <w:ind w:left="39"/>
        <w:rPr>
          <w:rFonts w:ascii="宋体" w:hAnsi="宋体" w:eastAsia="宋体" w:cs="宋体"/>
          <w:b/>
          <w:bCs/>
          <w:color w:val="000000" w:themeColor="text1"/>
          <w:spacing w:val="-3"/>
          <w:sz w:val="21"/>
          <w:szCs w:val="21"/>
          <w:highlight w:val="none"/>
          <w14:textFill>
            <w14:solidFill>
              <w14:schemeClr w14:val="tx1"/>
            </w14:solidFill>
          </w14:textFill>
        </w:rPr>
      </w:pPr>
      <w:r>
        <w:rPr>
          <w:rFonts w:ascii="宋体" w:hAnsi="宋体" w:eastAsia="宋体" w:cs="宋体"/>
          <w:b/>
          <w:bCs/>
          <w:color w:val="000000" w:themeColor="text1"/>
          <w:spacing w:val="-3"/>
          <w:sz w:val="21"/>
          <w:szCs w:val="21"/>
          <w:highlight w:val="none"/>
          <w14:textFill>
            <w14:solidFill>
              <w14:schemeClr w14:val="tx1"/>
            </w14:solidFill>
          </w14:textFill>
        </w:rPr>
        <w:t>附件二：</w:t>
      </w:r>
    </w:p>
    <w:p w14:paraId="3D7966AA">
      <w:pPr>
        <w:spacing w:before="61" w:line="220" w:lineRule="auto"/>
        <w:ind w:left="1277"/>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
          <w:sz w:val="21"/>
          <w:szCs w:val="21"/>
          <w:highlight w:val="none"/>
          <w14:textFill>
            <w14:solidFill>
              <w14:schemeClr w14:val="tx1"/>
            </w14:solidFill>
          </w14:textFill>
        </w:rPr>
        <w:t>承包人</w:t>
      </w:r>
      <w:r>
        <w:rPr>
          <w:rFonts w:ascii="宋体" w:hAnsi="宋体" w:eastAsia="宋体" w:cs="宋体"/>
          <w:color w:val="000000" w:themeColor="text1"/>
          <w:sz w:val="21"/>
          <w:szCs w:val="21"/>
          <w:highlight w:val="none"/>
          <w14:textFill>
            <w14:solidFill>
              <w14:schemeClr w14:val="tx1"/>
            </w14:solidFill>
          </w14:textFill>
        </w:rPr>
        <w:t>提供的材料和工程设备一览表</w:t>
      </w:r>
    </w:p>
    <w:p w14:paraId="4722A707">
      <w:pPr>
        <w:spacing w:line="109" w:lineRule="auto"/>
        <w:rPr>
          <w:rFonts w:ascii="Arial"/>
          <w:color w:val="000000" w:themeColor="text1"/>
          <w:sz w:val="2"/>
          <w:highlight w:val="none"/>
          <w14:textFill>
            <w14:solidFill>
              <w14:schemeClr w14:val="tx1"/>
            </w14:solidFill>
          </w14:textFill>
        </w:rPr>
      </w:pPr>
    </w:p>
    <w:tbl>
      <w:tblPr>
        <w:tblStyle w:val="50"/>
        <w:tblW w:w="914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1097"/>
        <w:gridCol w:w="990"/>
        <w:gridCol w:w="884"/>
        <w:gridCol w:w="815"/>
        <w:gridCol w:w="849"/>
        <w:gridCol w:w="992"/>
        <w:gridCol w:w="989"/>
        <w:gridCol w:w="990"/>
        <w:gridCol w:w="894"/>
      </w:tblGrid>
      <w:tr w14:paraId="508D4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649" w:type="dxa"/>
            <w:tcBorders>
              <w:left w:val="single" w:color="000000" w:sz="6" w:space="0"/>
            </w:tcBorders>
            <w:noWrap w:val="0"/>
            <w:vAlign w:val="top"/>
          </w:tcPr>
          <w:p w14:paraId="30A97B85">
            <w:pPr>
              <w:spacing w:line="388" w:lineRule="auto"/>
              <w:rPr>
                <w:rFonts w:ascii="Arial"/>
                <w:color w:val="000000" w:themeColor="text1"/>
                <w:sz w:val="21"/>
                <w:highlight w:val="none"/>
                <w14:textFill>
                  <w14:solidFill>
                    <w14:schemeClr w14:val="tx1"/>
                  </w14:solidFill>
                </w14:textFill>
              </w:rPr>
            </w:pPr>
          </w:p>
          <w:p w14:paraId="4D154A29">
            <w:pPr>
              <w:spacing w:before="68" w:line="222" w:lineRule="auto"/>
              <w:ind w:left="112"/>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序</w:t>
            </w:r>
            <w:r>
              <w:rPr>
                <w:rFonts w:ascii="宋体" w:hAnsi="宋体" w:eastAsia="宋体" w:cs="宋体"/>
                <w:color w:val="000000" w:themeColor="text1"/>
                <w:spacing w:val="-1"/>
                <w:sz w:val="21"/>
                <w:szCs w:val="21"/>
                <w:highlight w:val="none"/>
                <w14:textFill>
                  <w14:solidFill>
                    <w14:schemeClr w14:val="tx1"/>
                  </w14:solidFill>
                </w14:textFill>
              </w:rPr>
              <w:t>号</w:t>
            </w:r>
          </w:p>
        </w:tc>
        <w:tc>
          <w:tcPr>
            <w:tcW w:w="1097" w:type="dxa"/>
            <w:noWrap w:val="0"/>
            <w:vAlign w:val="top"/>
          </w:tcPr>
          <w:p w14:paraId="52EA5448">
            <w:pPr>
              <w:spacing w:before="307" w:line="220" w:lineRule="auto"/>
              <w:ind w:left="129"/>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材</w:t>
            </w:r>
            <w:r>
              <w:rPr>
                <w:rFonts w:ascii="宋体" w:hAnsi="宋体" w:eastAsia="宋体" w:cs="宋体"/>
                <w:color w:val="000000" w:themeColor="text1"/>
                <w:spacing w:val="-1"/>
                <w:sz w:val="21"/>
                <w:szCs w:val="21"/>
                <w:highlight w:val="none"/>
                <w14:textFill>
                  <w14:solidFill>
                    <w14:schemeClr w14:val="tx1"/>
                  </w14:solidFill>
                </w14:textFill>
              </w:rPr>
              <w:t>料设备</w:t>
            </w:r>
          </w:p>
          <w:p w14:paraId="18D3175B">
            <w:pPr>
              <w:spacing w:before="49" w:line="223" w:lineRule="auto"/>
              <w:ind w:left="184"/>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
                <w:sz w:val="21"/>
                <w:szCs w:val="21"/>
                <w:highlight w:val="none"/>
                <w14:textFill>
                  <w14:solidFill>
                    <w14:schemeClr w14:val="tx1"/>
                  </w14:solidFill>
                </w14:textFill>
              </w:rPr>
              <w:t>名</w:t>
            </w:r>
            <w:r>
              <w:rPr>
                <w:rFonts w:ascii="宋体" w:hAnsi="宋体" w:eastAsia="宋体" w:cs="宋体"/>
                <w:color w:val="000000" w:themeColor="text1"/>
                <w:sz w:val="21"/>
                <w:szCs w:val="21"/>
                <w:highlight w:val="none"/>
                <w14:textFill>
                  <w14:solidFill>
                    <w14:schemeClr w14:val="tx1"/>
                  </w14:solidFill>
                </w14:textFill>
              </w:rPr>
              <w:t>称</w:t>
            </w:r>
          </w:p>
        </w:tc>
        <w:tc>
          <w:tcPr>
            <w:tcW w:w="990" w:type="dxa"/>
            <w:noWrap w:val="0"/>
            <w:vAlign w:val="top"/>
          </w:tcPr>
          <w:p w14:paraId="469758E0">
            <w:pPr>
              <w:spacing w:before="307" w:line="300" w:lineRule="exact"/>
              <w:ind w:left="288"/>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position w:val="6"/>
                <w:sz w:val="21"/>
                <w:szCs w:val="21"/>
                <w:highlight w:val="none"/>
                <w14:textFill>
                  <w14:solidFill>
                    <w14:schemeClr w14:val="tx1"/>
                  </w14:solidFill>
                </w14:textFill>
              </w:rPr>
              <w:t>规格</w:t>
            </w:r>
          </w:p>
          <w:p w14:paraId="633CFCEA">
            <w:pPr>
              <w:spacing w:line="222" w:lineRule="auto"/>
              <w:ind w:left="29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型</w:t>
            </w:r>
            <w:r>
              <w:rPr>
                <w:rFonts w:ascii="宋体" w:hAnsi="宋体" w:eastAsia="宋体" w:cs="宋体"/>
                <w:color w:val="000000" w:themeColor="text1"/>
                <w:spacing w:val="-3"/>
                <w:sz w:val="21"/>
                <w:szCs w:val="21"/>
                <w:highlight w:val="none"/>
                <w14:textFill>
                  <w14:solidFill>
                    <w14:schemeClr w14:val="tx1"/>
                  </w14:solidFill>
                </w14:textFill>
              </w:rPr>
              <w:t>号</w:t>
            </w:r>
          </w:p>
        </w:tc>
        <w:tc>
          <w:tcPr>
            <w:tcW w:w="884" w:type="dxa"/>
            <w:noWrap w:val="0"/>
            <w:vAlign w:val="top"/>
          </w:tcPr>
          <w:p w14:paraId="677B939A">
            <w:pPr>
              <w:spacing w:line="388" w:lineRule="auto"/>
              <w:rPr>
                <w:rFonts w:ascii="Arial"/>
                <w:color w:val="000000" w:themeColor="text1"/>
                <w:sz w:val="21"/>
                <w:highlight w:val="none"/>
                <w14:textFill>
                  <w14:solidFill>
                    <w14:schemeClr w14:val="tx1"/>
                  </w14:solidFill>
                </w14:textFill>
              </w:rPr>
            </w:pPr>
          </w:p>
          <w:p w14:paraId="0F4CD3B1">
            <w:pPr>
              <w:spacing w:before="69" w:line="221" w:lineRule="auto"/>
              <w:ind w:left="238"/>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单位</w:t>
            </w:r>
          </w:p>
        </w:tc>
        <w:tc>
          <w:tcPr>
            <w:tcW w:w="815" w:type="dxa"/>
            <w:noWrap w:val="0"/>
            <w:vAlign w:val="top"/>
          </w:tcPr>
          <w:p w14:paraId="46F18643">
            <w:pPr>
              <w:spacing w:line="388" w:lineRule="auto"/>
              <w:rPr>
                <w:rFonts w:ascii="Arial"/>
                <w:color w:val="000000" w:themeColor="text1"/>
                <w:sz w:val="21"/>
                <w:highlight w:val="none"/>
                <w14:textFill>
                  <w14:solidFill>
                    <w14:schemeClr w14:val="tx1"/>
                  </w14:solidFill>
                </w14:textFill>
              </w:rPr>
            </w:pPr>
          </w:p>
          <w:p w14:paraId="62BB052D">
            <w:pPr>
              <w:spacing w:before="68" w:line="221" w:lineRule="auto"/>
              <w:ind w:left="20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数量</w:t>
            </w:r>
          </w:p>
        </w:tc>
        <w:tc>
          <w:tcPr>
            <w:tcW w:w="849" w:type="dxa"/>
            <w:noWrap w:val="0"/>
            <w:vAlign w:val="top"/>
          </w:tcPr>
          <w:p w14:paraId="55F25241">
            <w:pPr>
              <w:spacing w:line="388" w:lineRule="auto"/>
              <w:rPr>
                <w:rFonts w:ascii="Arial"/>
                <w:color w:val="000000" w:themeColor="text1"/>
                <w:sz w:val="21"/>
                <w:highlight w:val="none"/>
                <w14:textFill>
                  <w14:solidFill>
                    <w14:schemeClr w14:val="tx1"/>
                  </w14:solidFill>
                </w14:textFill>
              </w:rPr>
            </w:pPr>
          </w:p>
          <w:p w14:paraId="0E559A70">
            <w:pPr>
              <w:spacing w:before="68" w:line="219" w:lineRule="auto"/>
              <w:ind w:left="22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单价</w:t>
            </w:r>
          </w:p>
        </w:tc>
        <w:tc>
          <w:tcPr>
            <w:tcW w:w="992" w:type="dxa"/>
            <w:noWrap w:val="0"/>
            <w:vAlign w:val="top"/>
          </w:tcPr>
          <w:p w14:paraId="6A9A1B00">
            <w:pPr>
              <w:spacing w:before="307" w:line="300" w:lineRule="exact"/>
              <w:ind w:left="29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4"/>
                <w:position w:val="6"/>
                <w:sz w:val="21"/>
                <w:szCs w:val="21"/>
                <w:highlight w:val="none"/>
                <w14:textFill>
                  <w14:solidFill>
                    <w14:schemeClr w14:val="tx1"/>
                  </w14:solidFill>
                </w14:textFill>
              </w:rPr>
              <w:t>交</w:t>
            </w:r>
            <w:r>
              <w:rPr>
                <w:rFonts w:ascii="宋体" w:hAnsi="宋体" w:eastAsia="宋体" w:cs="宋体"/>
                <w:color w:val="000000" w:themeColor="text1"/>
                <w:spacing w:val="-2"/>
                <w:position w:val="6"/>
                <w:sz w:val="21"/>
                <w:szCs w:val="21"/>
                <w:highlight w:val="none"/>
                <w14:textFill>
                  <w14:solidFill>
                    <w14:schemeClr w14:val="tx1"/>
                  </w14:solidFill>
                </w14:textFill>
              </w:rPr>
              <w:t>货</w:t>
            </w:r>
          </w:p>
          <w:p w14:paraId="068177D3">
            <w:pPr>
              <w:spacing w:line="222" w:lineRule="auto"/>
              <w:ind w:left="29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方式</w:t>
            </w:r>
          </w:p>
        </w:tc>
        <w:tc>
          <w:tcPr>
            <w:tcW w:w="989" w:type="dxa"/>
            <w:noWrap w:val="0"/>
            <w:vAlign w:val="top"/>
          </w:tcPr>
          <w:p w14:paraId="23014F0F">
            <w:pPr>
              <w:spacing w:before="307" w:line="300" w:lineRule="exact"/>
              <w:ind w:left="298"/>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4"/>
                <w:position w:val="6"/>
                <w:sz w:val="21"/>
                <w:szCs w:val="21"/>
                <w:highlight w:val="none"/>
                <w14:textFill>
                  <w14:solidFill>
                    <w14:schemeClr w14:val="tx1"/>
                  </w14:solidFill>
                </w14:textFill>
              </w:rPr>
              <w:t>交</w:t>
            </w:r>
            <w:r>
              <w:rPr>
                <w:rFonts w:ascii="宋体" w:hAnsi="宋体" w:eastAsia="宋体" w:cs="宋体"/>
                <w:color w:val="000000" w:themeColor="text1"/>
                <w:spacing w:val="-2"/>
                <w:position w:val="6"/>
                <w:sz w:val="21"/>
                <w:szCs w:val="21"/>
                <w:highlight w:val="none"/>
                <w14:textFill>
                  <w14:solidFill>
                    <w14:schemeClr w14:val="tx1"/>
                  </w14:solidFill>
                </w14:textFill>
              </w:rPr>
              <w:t>货</w:t>
            </w:r>
          </w:p>
          <w:p w14:paraId="70BD5A5A">
            <w:pPr>
              <w:spacing w:before="1" w:line="224" w:lineRule="auto"/>
              <w:ind w:left="294"/>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地</w:t>
            </w:r>
            <w:r>
              <w:rPr>
                <w:rFonts w:ascii="宋体" w:hAnsi="宋体" w:eastAsia="宋体" w:cs="宋体"/>
                <w:color w:val="000000" w:themeColor="text1"/>
                <w:spacing w:val="-1"/>
                <w:sz w:val="21"/>
                <w:szCs w:val="21"/>
                <w:highlight w:val="none"/>
                <w14:textFill>
                  <w14:solidFill>
                    <w14:schemeClr w14:val="tx1"/>
                  </w14:solidFill>
                </w14:textFill>
              </w:rPr>
              <w:t>点</w:t>
            </w:r>
          </w:p>
        </w:tc>
        <w:tc>
          <w:tcPr>
            <w:tcW w:w="990" w:type="dxa"/>
            <w:noWrap w:val="0"/>
            <w:vAlign w:val="top"/>
          </w:tcPr>
          <w:p w14:paraId="1A7370DD">
            <w:pPr>
              <w:spacing w:before="159" w:line="300" w:lineRule="exact"/>
              <w:ind w:left="297"/>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position w:val="6"/>
                <w:sz w:val="21"/>
                <w:szCs w:val="21"/>
                <w:highlight w:val="none"/>
                <w14:textFill>
                  <w14:solidFill>
                    <w14:schemeClr w14:val="tx1"/>
                  </w14:solidFill>
                </w14:textFill>
              </w:rPr>
              <w:t>计</w:t>
            </w:r>
            <w:r>
              <w:rPr>
                <w:rFonts w:ascii="宋体" w:hAnsi="宋体" w:eastAsia="宋体" w:cs="宋体"/>
                <w:color w:val="000000" w:themeColor="text1"/>
                <w:spacing w:val="-1"/>
                <w:position w:val="6"/>
                <w:sz w:val="21"/>
                <w:szCs w:val="21"/>
                <w:highlight w:val="none"/>
                <w14:textFill>
                  <w14:solidFill>
                    <w14:schemeClr w14:val="tx1"/>
                  </w14:solidFill>
                </w14:textFill>
              </w:rPr>
              <w:t>划</w:t>
            </w:r>
          </w:p>
          <w:p w14:paraId="302E8452">
            <w:pPr>
              <w:spacing w:line="219" w:lineRule="auto"/>
              <w:ind w:left="301"/>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交</w:t>
            </w:r>
            <w:r>
              <w:rPr>
                <w:rFonts w:ascii="宋体" w:hAnsi="宋体" w:eastAsia="宋体" w:cs="宋体"/>
                <w:color w:val="000000" w:themeColor="text1"/>
                <w:spacing w:val="-2"/>
                <w:sz w:val="21"/>
                <w:szCs w:val="21"/>
                <w:highlight w:val="none"/>
                <w14:textFill>
                  <w14:solidFill>
                    <w14:schemeClr w14:val="tx1"/>
                  </w14:solidFill>
                </w14:textFill>
              </w:rPr>
              <w:t>货</w:t>
            </w:r>
          </w:p>
          <w:p w14:paraId="5C454881">
            <w:pPr>
              <w:spacing w:before="49" w:line="223" w:lineRule="auto"/>
              <w:ind w:left="307"/>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时间</w:t>
            </w:r>
          </w:p>
        </w:tc>
        <w:tc>
          <w:tcPr>
            <w:tcW w:w="894" w:type="dxa"/>
            <w:tcBorders>
              <w:right w:val="single" w:color="000000" w:sz="6" w:space="0"/>
            </w:tcBorders>
            <w:noWrap w:val="0"/>
            <w:vAlign w:val="top"/>
          </w:tcPr>
          <w:p w14:paraId="31529F1B">
            <w:pPr>
              <w:spacing w:line="388" w:lineRule="auto"/>
              <w:rPr>
                <w:rFonts w:ascii="Arial"/>
                <w:color w:val="000000" w:themeColor="text1"/>
                <w:sz w:val="21"/>
                <w:highlight w:val="none"/>
                <w14:textFill>
                  <w14:solidFill>
                    <w14:schemeClr w14:val="tx1"/>
                  </w14:solidFill>
                </w14:textFill>
              </w:rPr>
            </w:pPr>
          </w:p>
          <w:p w14:paraId="61CF7EA3">
            <w:pPr>
              <w:spacing w:before="68" w:line="222" w:lineRule="auto"/>
              <w:ind w:left="248"/>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sz w:val="21"/>
                <w:szCs w:val="21"/>
                <w:highlight w:val="none"/>
                <w14:textFill>
                  <w14:solidFill>
                    <w14:schemeClr w14:val="tx1"/>
                  </w14:solidFill>
                </w14:textFill>
              </w:rPr>
              <w:t>备</w:t>
            </w:r>
            <w:r>
              <w:rPr>
                <w:rFonts w:ascii="宋体" w:hAnsi="宋体" w:eastAsia="宋体" w:cs="宋体"/>
                <w:color w:val="000000" w:themeColor="text1"/>
                <w:spacing w:val="-2"/>
                <w:sz w:val="21"/>
                <w:szCs w:val="21"/>
                <w:highlight w:val="none"/>
                <w14:textFill>
                  <w14:solidFill>
                    <w14:schemeClr w14:val="tx1"/>
                  </w14:solidFill>
                </w14:textFill>
              </w:rPr>
              <w:t>注</w:t>
            </w:r>
          </w:p>
        </w:tc>
      </w:tr>
      <w:tr w14:paraId="1B60B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49" w:type="dxa"/>
            <w:tcBorders>
              <w:left w:val="single" w:color="000000" w:sz="6" w:space="0"/>
            </w:tcBorders>
            <w:noWrap w:val="0"/>
            <w:vAlign w:val="top"/>
          </w:tcPr>
          <w:p w14:paraId="00C138C9">
            <w:pPr>
              <w:rPr>
                <w:rFonts w:ascii="Arial"/>
                <w:color w:val="000000" w:themeColor="text1"/>
                <w:sz w:val="21"/>
                <w:highlight w:val="none"/>
                <w14:textFill>
                  <w14:solidFill>
                    <w14:schemeClr w14:val="tx1"/>
                  </w14:solidFill>
                </w14:textFill>
              </w:rPr>
            </w:pPr>
          </w:p>
        </w:tc>
        <w:tc>
          <w:tcPr>
            <w:tcW w:w="1097" w:type="dxa"/>
            <w:noWrap w:val="0"/>
            <w:vAlign w:val="top"/>
          </w:tcPr>
          <w:p w14:paraId="66956D75">
            <w:pPr>
              <w:rPr>
                <w:rFonts w:ascii="Arial"/>
                <w:color w:val="000000" w:themeColor="text1"/>
                <w:sz w:val="21"/>
                <w:highlight w:val="none"/>
                <w14:textFill>
                  <w14:solidFill>
                    <w14:schemeClr w14:val="tx1"/>
                  </w14:solidFill>
                </w14:textFill>
              </w:rPr>
            </w:pPr>
          </w:p>
        </w:tc>
        <w:tc>
          <w:tcPr>
            <w:tcW w:w="990" w:type="dxa"/>
            <w:noWrap w:val="0"/>
            <w:vAlign w:val="top"/>
          </w:tcPr>
          <w:p w14:paraId="76BCA869">
            <w:pPr>
              <w:rPr>
                <w:rFonts w:ascii="Arial"/>
                <w:color w:val="000000" w:themeColor="text1"/>
                <w:sz w:val="21"/>
                <w:highlight w:val="none"/>
                <w14:textFill>
                  <w14:solidFill>
                    <w14:schemeClr w14:val="tx1"/>
                  </w14:solidFill>
                </w14:textFill>
              </w:rPr>
            </w:pPr>
          </w:p>
        </w:tc>
        <w:tc>
          <w:tcPr>
            <w:tcW w:w="884" w:type="dxa"/>
            <w:noWrap w:val="0"/>
            <w:vAlign w:val="top"/>
          </w:tcPr>
          <w:p w14:paraId="1CC2EBB6">
            <w:pPr>
              <w:rPr>
                <w:rFonts w:ascii="Arial"/>
                <w:color w:val="000000" w:themeColor="text1"/>
                <w:sz w:val="21"/>
                <w:highlight w:val="none"/>
                <w14:textFill>
                  <w14:solidFill>
                    <w14:schemeClr w14:val="tx1"/>
                  </w14:solidFill>
                </w14:textFill>
              </w:rPr>
            </w:pPr>
          </w:p>
        </w:tc>
        <w:tc>
          <w:tcPr>
            <w:tcW w:w="815" w:type="dxa"/>
            <w:noWrap w:val="0"/>
            <w:vAlign w:val="top"/>
          </w:tcPr>
          <w:p w14:paraId="4A034D2B">
            <w:pPr>
              <w:rPr>
                <w:rFonts w:ascii="Arial"/>
                <w:color w:val="000000" w:themeColor="text1"/>
                <w:sz w:val="21"/>
                <w:highlight w:val="none"/>
                <w14:textFill>
                  <w14:solidFill>
                    <w14:schemeClr w14:val="tx1"/>
                  </w14:solidFill>
                </w14:textFill>
              </w:rPr>
            </w:pPr>
          </w:p>
        </w:tc>
        <w:tc>
          <w:tcPr>
            <w:tcW w:w="849" w:type="dxa"/>
            <w:noWrap w:val="0"/>
            <w:vAlign w:val="top"/>
          </w:tcPr>
          <w:p w14:paraId="342C7227">
            <w:pPr>
              <w:rPr>
                <w:rFonts w:ascii="Arial"/>
                <w:color w:val="000000" w:themeColor="text1"/>
                <w:sz w:val="21"/>
                <w:highlight w:val="none"/>
                <w14:textFill>
                  <w14:solidFill>
                    <w14:schemeClr w14:val="tx1"/>
                  </w14:solidFill>
                </w14:textFill>
              </w:rPr>
            </w:pPr>
          </w:p>
        </w:tc>
        <w:tc>
          <w:tcPr>
            <w:tcW w:w="992" w:type="dxa"/>
            <w:noWrap w:val="0"/>
            <w:vAlign w:val="top"/>
          </w:tcPr>
          <w:p w14:paraId="3BC4D1D2">
            <w:pPr>
              <w:rPr>
                <w:rFonts w:ascii="Arial"/>
                <w:color w:val="000000" w:themeColor="text1"/>
                <w:sz w:val="21"/>
                <w:highlight w:val="none"/>
                <w14:textFill>
                  <w14:solidFill>
                    <w14:schemeClr w14:val="tx1"/>
                  </w14:solidFill>
                </w14:textFill>
              </w:rPr>
            </w:pPr>
          </w:p>
        </w:tc>
        <w:tc>
          <w:tcPr>
            <w:tcW w:w="989" w:type="dxa"/>
            <w:noWrap w:val="0"/>
            <w:vAlign w:val="top"/>
          </w:tcPr>
          <w:p w14:paraId="54F4D0FE">
            <w:pPr>
              <w:rPr>
                <w:rFonts w:ascii="Arial"/>
                <w:color w:val="000000" w:themeColor="text1"/>
                <w:sz w:val="21"/>
                <w:highlight w:val="none"/>
                <w14:textFill>
                  <w14:solidFill>
                    <w14:schemeClr w14:val="tx1"/>
                  </w14:solidFill>
                </w14:textFill>
              </w:rPr>
            </w:pPr>
          </w:p>
        </w:tc>
        <w:tc>
          <w:tcPr>
            <w:tcW w:w="990" w:type="dxa"/>
            <w:noWrap w:val="0"/>
            <w:vAlign w:val="top"/>
          </w:tcPr>
          <w:p w14:paraId="7973B755">
            <w:pPr>
              <w:rPr>
                <w:rFonts w:ascii="Arial"/>
                <w:color w:val="000000" w:themeColor="text1"/>
                <w:sz w:val="21"/>
                <w:highlight w:val="none"/>
                <w14:textFill>
                  <w14:solidFill>
                    <w14:schemeClr w14:val="tx1"/>
                  </w14:solidFill>
                </w14:textFill>
              </w:rPr>
            </w:pPr>
          </w:p>
        </w:tc>
        <w:tc>
          <w:tcPr>
            <w:tcW w:w="894" w:type="dxa"/>
            <w:tcBorders>
              <w:right w:val="single" w:color="000000" w:sz="6" w:space="0"/>
            </w:tcBorders>
            <w:noWrap w:val="0"/>
            <w:vAlign w:val="top"/>
          </w:tcPr>
          <w:p w14:paraId="703BA8CC">
            <w:pPr>
              <w:rPr>
                <w:rFonts w:ascii="Arial"/>
                <w:color w:val="000000" w:themeColor="text1"/>
                <w:sz w:val="21"/>
                <w:highlight w:val="none"/>
                <w14:textFill>
                  <w14:solidFill>
                    <w14:schemeClr w14:val="tx1"/>
                  </w14:solidFill>
                </w14:textFill>
              </w:rPr>
            </w:pPr>
          </w:p>
        </w:tc>
      </w:tr>
      <w:tr w14:paraId="1D853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49" w:type="dxa"/>
            <w:tcBorders>
              <w:left w:val="single" w:color="000000" w:sz="6" w:space="0"/>
            </w:tcBorders>
            <w:noWrap w:val="0"/>
            <w:vAlign w:val="top"/>
          </w:tcPr>
          <w:p w14:paraId="3F106122">
            <w:pPr>
              <w:rPr>
                <w:rFonts w:ascii="Arial"/>
                <w:color w:val="000000" w:themeColor="text1"/>
                <w:sz w:val="21"/>
                <w:highlight w:val="none"/>
                <w14:textFill>
                  <w14:solidFill>
                    <w14:schemeClr w14:val="tx1"/>
                  </w14:solidFill>
                </w14:textFill>
              </w:rPr>
            </w:pPr>
          </w:p>
        </w:tc>
        <w:tc>
          <w:tcPr>
            <w:tcW w:w="1097" w:type="dxa"/>
            <w:noWrap w:val="0"/>
            <w:vAlign w:val="top"/>
          </w:tcPr>
          <w:p w14:paraId="61059E68">
            <w:pPr>
              <w:rPr>
                <w:rFonts w:ascii="Arial"/>
                <w:color w:val="000000" w:themeColor="text1"/>
                <w:sz w:val="21"/>
                <w:highlight w:val="none"/>
                <w14:textFill>
                  <w14:solidFill>
                    <w14:schemeClr w14:val="tx1"/>
                  </w14:solidFill>
                </w14:textFill>
              </w:rPr>
            </w:pPr>
          </w:p>
        </w:tc>
        <w:tc>
          <w:tcPr>
            <w:tcW w:w="990" w:type="dxa"/>
            <w:noWrap w:val="0"/>
            <w:vAlign w:val="top"/>
          </w:tcPr>
          <w:p w14:paraId="7C822E9E">
            <w:pPr>
              <w:rPr>
                <w:rFonts w:ascii="Arial"/>
                <w:color w:val="000000" w:themeColor="text1"/>
                <w:sz w:val="21"/>
                <w:highlight w:val="none"/>
                <w14:textFill>
                  <w14:solidFill>
                    <w14:schemeClr w14:val="tx1"/>
                  </w14:solidFill>
                </w14:textFill>
              </w:rPr>
            </w:pPr>
          </w:p>
        </w:tc>
        <w:tc>
          <w:tcPr>
            <w:tcW w:w="884" w:type="dxa"/>
            <w:noWrap w:val="0"/>
            <w:vAlign w:val="top"/>
          </w:tcPr>
          <w:p w14:paraId="743DD1DB">
            <w:pPr>
              <w:rPr>
                <w:rFonts w:ascii="Arial"/>
                <w:color w:val="000000" w:themeColor="text1"/>
                <w:sz w:val="21"/>
                <w:highlight w:val="none"/>
                <w14:textFill>
                  <w14:solidFill>
                    <w14:schemeClr w14:val="tx1"/>
                  </w14:solidFill>
                </w14:textFill>
              </w:rPr>
            </w:pPr>
          </w:p>
        </w:tc>
        <w:tc>
          <w:tcPr>
            <w:tcW w:w="815" w:type="dxa"/>
            <w:noWrap w:val="0"/>
            <w:vAlign w:val="top"/>
          </w:tcPr>
          <w:p w14:paraId="3A110216">
            <w:pPr>
              <w:rPr>
                <w:rFonts w:ascii="Arial"/>
                <w:color w:val="000000" w:themeColor="text1"/>
                <w:sz w:val="21"/>
                <w:highlight w:val="none"/>
                <w14:textFill>
                  <w14:solidFill>
                    <w14:schemeClr w14:val="tx1"/>
                  </w14:solidFill>
                </w14:textFill>
              </w:rPr>
            </w:pPr>
          </w:p>
        </w:tc>
        <w:tc>
          <w:tcPr>
            <w:tcW w:w="849" w:type="dxa"/>
            <w:noWrap w:val="0"/>
            <w:vAlign w:val="top"/>
          </w:tcPr>
          <w:p w14:paraId="29000BFD">
            <w:pPr>
              <w:rPr>
                <w:rFonts w:ascii="Arial"/>
                <w:color w:val="000000" w:themeColor="text1"/>
                <w:sz w:val="21"/>
                <w:highlight w:val="none"/>
                <w14:textFill>
                  <w14:solidFill>
                    <w14:schemeClr w14:val="tx1"/>
                  </w14:solidFill>
                </w14:textFill>
              </w:rPr>
            </w:pPr>
          </w:p>
        </w:tc>
        <w:tc>
          <w:tcPr>
            <w:tcW w:w="992" w:type="dxa"/>
            <w:noWrap w:val="0"/>
            <w:vAlign w:val="top"/>
          </w:tcPr>
          <w:p w14:paraId="36FD5EBA">
            <w:pPr>
              <w:rPr>
                <w:rFonts w:ascii="Arial"/>
                <w:color w:val="000000" w:themeColor="text1"/>
                <w:sz w:val="21"/>
                <w:highlight w:val="none"/>
                <w14:textFill>
                  <w14:solidFill>
                    <w14:schemeClr w14:val="tx1"/>
                  </w14:solidFill>
                </w14:textFill>
              </w:rPr>
            </w:pPr>
          </w:p>
        </w:tc>
        <w:tc>
          <w:tcPr>
            <w:tcW w:w="989" w:type="dxa"/>
            <w:noWrap w:val="0"/>
            <w:vAlign w:val="top"/>
          </w:tcPr>
          <w:p w14:paraId="3DE137F9">
            <w:pPr>
              <w:rPr>
                <w:rFonts w:ascii="Arial"/>
                <w:color w:val="000000" w:themeColor="text1"/>
                <w:sz w:val="21"/>
                <w:highlight w:val="none"/>
                <w14:textFill>
                  <w14:solidFill>
                    <w14:schemeClr w14:val="tx1"/>
                  </w14:solidFill>
                </w14:textFill>
              </w:rPr>
            </w:pPr>
          </w:p>
        </w:tc>
        <w:tc>
          <w:tcPr>
            <w:tcW w:w="990" w:type="dxa"/>
            <w:noWrap w:val="0"/>
            <w:vAlign w:val="top"/>
          </w:tcPr>
          <w:p w14:paraId="109198B7">
            <w:pPr>
              <w:rPr>
                <w:rFonts w:ascii="Arial"/>
                <w:color w:val="000000" w:themeColor="text1"/>
                <w:sz w:val="21"/>
                <w:highlight w:val="none"/>
                <w14:textFill>
                  <w14:solidFill>
                    <w14:schemeClr w14:val="tx1"/>
                  </w14:solidFill>
                </w14:textFill>
              </w:rPr>
            </w:pPr>
          </w:p>
        </w:tc>
        <w:tc>
          <w:tcPr>
            <w:tcW w:w="894" w:type="dxa"/>
            <w:tcBorders>
              <w:right w:val="single" w:color="000000" w:sz="6" w:space="0"/>
            </w:tcBorders>
            <w:noWrap w:val="0"/>
            <w:vAlign w:val="top"/>
          </w:tcPr>
          <w:p w14:paraId="7DBEB9BB">
            <w:pPr>
              <w:rPr>
                <w:rFonts w:ascii="Arial"/>
                <w:color w:val="000000" w:themeColor="text1"/>
                <w:sz w:val="21"/>
                <w:highlight w:val="none"/>
                <w14:textFill>
                  <w14:solidFill>
                    <w14:schemeClr w14:val="tx1"/>
                  </w14:solidFill>
                </w14:textFill>
              </w:rPr>
            </w:pPr>
          </w:p>
        </w:tc>
      </w:tr>
      <w:tr w14:paraId="740C5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49" w:type="dxa"/>
            <w:tcBorders>
              <w:left w:val="single" w:color="000000" w:sz="6" w:space="0"/>
            </w:tcBorders>
            <w:noWrap w:val="0"/>
            <w:vAlign w:val="top"/>
          </w:tcPr>
          <w:p w14:paraId="150727C5">
            <w:pPr>
              <w:rPr>
                <w:rFonts w:ascii="Arial"/>
                <w:color w:val="000000" w:themeColor="text1"/>
                <w:sz w:val="21"/>
                <w:highlight w:val="none"/>
                <w14:textFill>
                  <w14:solidFill>
                    <w14:schemeClr w14:val="tx1"/>
                  </w14:solidFill>
                </w14:textFill>
              </w:rPr>
            </w:pPr>
          </w:p>
        </w:tc>
        <w:tc>
          <w:tcPr>
            <w:tcW w:w="1097" w:type="dxa"/>
            <w:noWrap w:val="0"/>
            <w:vAlign w:val="top"/>
          </w:tcPr>
          <w:p w14:paraId="7DBDBE26">
            <w:pPr>
              <w:rPr>
                <w:rFonts w:ascii="Arial"/>
                <w:color w:val="000000" w:themeColor="text1"/>
                <w:sz w:val="21"/>
                <w:highlight w:val="none"/>
                <w14:textFill>
                  <w14:solidFill>
                    <w14:schemeClr w14:val="tx1"/>
                  </w14:solidFill>
                </w14:textFill>
              </w:rPr>
            </w:pPr>
          </w:p>
        </w:tc>
        <w:tc>
          <w:tcPr>
            <w:tcW w:w="990" w:type="dxa"/>
            <w:noWrap w:val="0"/>
            <w:vAlign w:val="top"/>
          </w:tcPr>
          <w:p w14:paraId="77CD9F02">
            <w:pPr>
              <w:rPr>
                <w:rFonts w:ascii="Arial"/>
                <w:color w:val="000000" w:themeColor="text1"/>
                <w:sz w:val="21"/>
                <w:highlight w:val="none"/>
                <w14:textFill>
                  <w14:solidFill>
                    <w14:schemeClr w14:val="tx1"/>
                  </w14:solidFill>
                </w14:textFill>
              </w:rPr>
            </w:pPr>
          </w:p>
        </w:tc>
        <w:tc>
          <w:tcPr>
            <w:tcW w:w="884" w:type="dxa"/>
            <w:noWrap w:val="0"/>
            <w:vAlign w:val="top"/>
          </w:tcPr>
          <w:p w14:paraId="236A7A15">
            <w:pPr>
              <w:rPr>
                <w:rFonts w:ascii="Arial"/>
                <w:color w:val="000000" w:themeColor="text1"/>
                <w:sz w:val="21"/>
                <w:highlight w:val="none"/>
                <w14:textFill>
                  <w14:solidFill>
                    <w14:schemeClr w14:val="tx1"/>
                  </w14:solidFill>
                </w14:textFill>
              </w:rPr>
            </w:pPr>
          </w:p>
        </w:tc>
        <w:tc>
          <w:tcPr>
            <w:tcW w:w="815" w:type="dxa"/>
            <w:noWrap w:val="0"/>
            <w:vAlign w:val="top"/>
          </w:tcPr>
          <w:p w14:paraId="700FE1C3">
            <w:pPr>
              <w:rPr>
                <w:rFonts w:ascii="Arial"/>
                <w:color w:val="000000" w:themeColor="text1"/>
                <w:sz w:val="21"/>
                <w:highlight w:val="none"/>
                <w14:textFill>
                  <w14:solidFill>
                    <w14:schemeClr w14:val="tx1"/>
                  </w14:solidFill>
                </w14:textFill>
              </w:rPr>
            </w:pPr>
          </w:p>
        </w:tc>
        <w:tc>
          <w:tcPr>
            <w:tcW w:w="849" w:type="dxa"/>
            <w:noWrap w:val="0"/>
            <w:vAlign w:val="top"/>
          </w:tcPr>
          <w:p w14:paraId="770C5056">
            <w:pPr>
              <w:rPr>
                <w:rFonts w:ascii="Arial"/>
                <w:color w:val="000000" w:themeColor="text1"/>
                <w:sz w:val="21"/>
                <w:highlight w:val="none"/>
                <w14:textFill>
                  <w14:solidFill>
                    <w14:schemeClr w14:val="tx1"/>
                  </w14:solidFill>
                </w14:textFill>
              </w:rPr>
            </w:pPr>
          </w:p>
        </w:tc>
        <w:tc>
          <w:tcPr>
            <w:tcW w:w="992" w:type="dxa"/>
            <w:noWrap w:val="0"/>
            <w:vAlign w:val="top"/>
          </w:tcPr>
          <w:p w14:paraId="7E391AA5">
            <w:pPr>
              <w:rPr>
                <w:rFonts w:ascii="Arial"/>
                <w:color w:val="000000" w:themeColor="text1"/>
                <w:sz w:val="21"/>
                <w:highlight w:val="none"/>
                <w14:textFill>
                  <w14:solidFill>
                    <w14:schemeClr w14:val="tx1"/>
                  </w14:solidFill>
                </w14:textFill>
              </w:rPr>
            </w:pPr>
          </w:p>
        </w:tc>
        <w:tc>
          <w:tcPr>
            <w:tcW w:w="989" w:type="dxa"/>
            <w:noWrap w:val="0"/>
            <w:vAlign w:val="top"/>
          </w:tcPr>
          <w:p w14:paraId="52EDDE21">
            <w:pPr>
              <w:rPr>
                <w:rFonts w:ascii="Arial"/>
                <w:color w:val="000000" w:themeColor="text1"/>
                <w:sz w:val="21"/>
                <w:highlight w:val="none"/>
                <w14:textFill>
                  <w14:solidFill>
                    <w14:schemeClr w14:val="tx1"/>
                  </w14:solidFill>
                </w14:textFill>
              </w:rPr>
            </w:pPr>
          </w:p>
        </w:tc>
        <w:tc>
          <w:tcPr>
            <w:tcW w:w="990" w:type="dxa"/>
            <w:noWrap w:val="0"/>
            <w:vAlign w:val="top"/>
          </w:tcPr>
          <w:p w14:paraId="03A60955">
            <w:pPr>
              <w:rPr>
                <w:rFonts w:ascii="Arial"/>
                <w:color w:val="000000" w:themeColor="text1"/>
                <w:sz w:val="21"/>
                <w:highlight w:val="none"/>
                <w14:textFill>
                  <w14:solidFill>
                    <w14:schemeClr w14:val="tx1"/>
                  </w14:solidFill>
                </w14:textFill>
              </w:rPr>
            </w:pPr>
          </w:p>
        </w:tc>
        <w:tc>
          <w:tcPr>
            <w:tcW w:w="894" w:type="dxa"/>
            <w:tcBorders>
              <w:right w:val="single" w:color="000000" w:sz="6" w:space="0"/>
            </w:tcBorders>
            <w:noWrap w:val="0"/>
            <w:vAlign w:val="top"/>
          </w:tcPr>
          <w:p w14:paraId="63B8C7D7">
            <w:pPr>
              <w:rPr>
                <w:rFonts w:ascii="Arial"/>
                <w:color w:val="000000" w:themeColor="text1"/>
                <w:sz w:val="21"/>
                <w:highlight w:val="none"/>
                <w14:textFill>
                  <w14:solidFill>
                    <w14:schemeClr w14:val="tx1"/>
                  </w14:solidFill>
                </w14:textFill>
              </w:rPr>
            </w:pPr>
          </w:p>
        </w:tc>
      </w:tr>
      <w:tr w14:paraId="45190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49" w:type="dxa"/>
            <w:tcBorders>
              <w:left w:val="single" w:color="000000" w:sz="6" w:space="0"/>
            </w:tcBorders>
            <w:noWrap w:val="0"/>
            <w:vAlign w:val="top"/>
          </w:tcPr>
          <w:p w14:paraId="75DA5F42">
            <w:pPr>
              <w:rPr>
                <w:rFonts w:ascii="Arial"/>
                <w:color w:val="000000" w:themeColor="text1"/>
                <w:sz w:val="21"/>
                <w:highlight w:val="none"/>
                <w14:textFill>
                  <w14:solidFill>
                    <w14:schemeClr w14:val="tx1"/>
                  </w14:solidFill>
                </w14:textFill>
              </w:rPr>
            </w:pPr>
          </w:p>
        </w:tc>
        <w:tc>
          <w:tcPr>
            <w:tcW w:w="1097" w:type="dxa"/>
            <w:noWrap w:val="0"/>
            <w:vAlign w:val="top"/>
          </w:tcPr>
          <w:p w14:paraId="18CA156F">
            <w:pPr>
              <w:rPr>
                <w:rFonts w:ascii="Arial"/>
                <w:color w:val="000000" w:themeColor="text1"/>
                <w:sz w:val="21"/>
                <w:highlight w:val="none"/>
                <w14:textFill>
                  <w14:solidFill>
                    <w14:schemeClr w14:val="tx1"/>
                  </w14:solidFill>
                </w14:textFill>
              </w:rPr>
            </w:pPr>
          </w:p>
        </w:tc>
        <w:tc>
          <w:tcPr>
            <w:tcW w:w="990" w:type="dxa"/>
            <w:noWrap w:val="0"/>
            <w:vAlign w:val="top"/>
          </w:tcPr>
          <w:p w14:paraId="5F326F79">
            <w:pPr>
              <w:rPr>
                <w:rFonts w:ascii="Arial"/>
                <w:color w:val="000000" w:themeColor="text1"/>
                <w:sz w:val="21"/>
                <w:highlight w:val="none"/>
                <w14:textFill>
                  <w14:solidFill>
                    <w14:schemeClr w14:val="tx1"/>
                  </w14:solidFill>
                </w14:textFill>
              </w:rPr>
            </w:pPr>
          </w:p>
        </w:tc>
        <w:tc>
          <w:tcPr>
            <w:tcW w:w="884" w:type="dxa"/>
            <w:noWrap w:val="0"/>
            <w:vAlign w:val="top"/>
          </w:tcPr>
          <w:p w14:paraId="34870029">
            <w:pPr>
              <w:rPr>
                <w:rFonts w:ascii="Arial"/>
                <w:color w:val="000000" w:themeColor="text1"/>
                <w:sz w:val="21"/>
                <w:highlight w:val="none"/>
                <w14:textFill>
                  <w14:solidFill>
                    <w14:schemeClr w14:val="tx1"/>
                  </w14:solidFill>
                </w14:textFill>
              </w:rPr>
            </w:pPr>
          </w:p>
        </w:tc>
        <w:tc>
          <w:tcPr>
            <w:tcW w:w="815" w:type="dxa"/>
            <w:noWrap w:val="0"/>
            <w:vAlign w:val="top"/>
          </w:tcPr>
          <w:p w14:paraId="241B80BA">
            <w:pPr>
              <w:rPr>
                <w:rFonts w:ascii="Arial"/>
                <w:color w:val="000000" w:themeColor="text1"/>
                <w:sz w:val="21"/>
                <w:highlight w:val="none"/>
                <w14:textFill>
                  <w14:solidFill>
                    <w14:schemeClr w14:val="tx1"/>
                  </w14:solidFill>
                </w14:textFill>
              </w:rPr>
            </w:pPr>
          </w:p>
        </w:tc>
        <w:tc>
          <w:tcPr>
            <w:tcW w:w="849" w:type="dxa"/>
            <w:noWrap w:val="0"/>
            <w:vAlign w:val="top"/>
          </w:tcPr>
          <w:p w14:paraId="4C72479C">
            <w:pPr>
              <w:rPr>
                <w:rFonts w:ascii="Arial"/>
                <w:color w:val="000000" w:themeColor="text1"/>
                <w:sz w:val="21"/>
                <w:highlight w:val="none"/>
                <w14:textFill>
                  <w14:solidFill>
                    <w14:schemeClr w14:val="tx1"/>
                  </w14:solidFill>
                </w14:textFill>
              </w:rPr>
            </w:pPr>
          </w:p>
        </w:tc>
        <w:tc>
          <w:tcPr>
            <w:tcW w:w="992" w:type="dxa"/>
            <w:noWrap w:val="0"/>
            <w:vAlign w:val="top"/>
          </w:tcPr>
          <w:p w14:paraId="3EB8BC32">
            <w:pPr>
              <w:rPr>
                <w:rFonts w:ascii="Arial"/>
                <w:color w:val="000000" w:themeColor="text1"/>
                <w:sz w:val="21"/>
                <w:highlight w:val="none"/>
                <w14:textFill>
                  <w14:solidFill>
                    <w14:schemeClr w14:val="tx1"/>
                  </w14:solidFill>
                </w14:textFill>
              </w:rPr>
            </w:pPr>
          </w:p>
        </w:tc>
        <w:tc>
          <w:tcPr>
            <w:tcW w:w="989" w:type="dxa"/>
            <w:noWrap w:val="0"/>
            <w:vAlign w:val="top"/>
          </w:tcPr>
          <w:p w14:paraId="5DA9D068">
            <w:pPr>
              <w:rPr>
                <w:rFonts w:ascii="Arial"/>
                <w:color w:val="000000" w:themeColor="text1"/>
                <w:sz w:val="21"/>
                <w:highlight w:val="none"/>
                <w14:textFill>
                  <w14:solidFill>
                    <w14:schemeClr w14:val="tx1"/>
                  </w14:solidFill>
                </w14:textFill>
              </w:rPr>
            </w:pPr>
          </w:p>
        </w:tc>
        <w:tc>
          <w:tcPr>
            <w:tcW w:w="990" w:type="dxa"/>
            <w:noWrap w:val="0"/>
            <w:vAlign w:val="top"/>
          </w:tcPr>
          <w:p w14:paraId="61087B6B">
            <w:pPr>
              <w:rPr>
                <w:rFonts w:ascii="Arial"/>
                <w:color w:val="000000" w:themeColor="text1"/>
                <w:sz w:val="21"/>
                <w:highlight w:val="none"/>
                <w14:textFill>
                  <w14:solidFill>
                    <w14:schemeClr w14:val="tx1"/>
                  </w14:solidFill>
                </w14:textFill>
              </w:rPr>
            </w:pPr>
          </w:p>
        </w:tc>
        <w:tc>
          <w:tcPr>
            <w:tcW w:w="894" w:type="dxa"/>
            <w:tcBorders>
              <w:right w:val="single" w:color="000000" w:sz="6" w:space="0"/>
            </w:tcBorders>
            <w:noWrap w:val="0"/>
            <w:vAlign w:val="top"/>
          </w:tcPr>
          <w:p w14:paraId="0EE4B1D3">
            <w:pPr>
              <w:rPr>
                <w:rFonts w:ascii="Arial"/>
                <w:color w:val="000000" w:themeColor="text1"/>
                <w:sz w:val="21"/>
                <w:highlight w:val="none"/>
                <w14:textFill>
                  <w14:solidFill>
                    <w14:schemeClr w14:val="tx1"/>
                  </w14:solidFill>
                </w14:textFill>
              </w:rPr>
            </w:pPr>
          </w:p>
        </w:tc>
      </w:tr>
      <w:tr w14:paraId="36CEA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649" w:type="dxa"/>
            <w:tcBorders>
              <w:left w:val="single" w:color="000000" w:sz="6" w:space="0"/>
            </w:tcBorders>
            <w:noWrap w:val="0"/>
            <w:vAlign w:val="top"/>
          </w:tcPr>
          <w:p w14:paraId="3CAE3A6B">
            <w:pPr>
              <w:rPr>
                <w:rFonts w:ascii="Arial"/>
                <w:color w:val="000000" w:themeColor="text1"/>
                <w:sz w:val="21"/>
                <w:highlight w:val="none"/>
                <w14:textFill>
                  <w14:solidFill>
                    <w14:schemeClr w14:val="tx1"/>
                  </w14:solidFill>
                </w14:textFill>
              </w:rPr>
            </w:pPr>
          </w:p>
        </w:tc>
        <w:tc>
          <w:tcPr>
            <w:tcW w:w="1097" w:type="dxa"/>
            <w:noWrap w:val="0"/>
            <w:vAlign w:val="top"/>
          </w:tcPr>
          <w:p w14:paraId="5902C1BC">
            <w:pPr>
              <w:rPr>
                <w:rFonts w:ascii="Arial"/>
                <w:color w:val="000000" w:themeColor="text1"/>
                <w:sz w:val="21"/>
                <w:highlight w:val="none"/>
                <w14:textFill>
                  <w14:solidFill>
                    <w14:schemeClr w14:val="tx1"/>
                  </w14:solidFill>
                </w14:textFill>
              </w:rPr>
            </w:pPr>
          </w:p>
        </w:tc>
        <w:tc>
          <w:tcPr>
            <w:tcW w:w="990" w:type="dxa"/>
            <w:noWrap w:val="0"/>
            <w:vAlign w:val="top"/>
          </w:tcPr>
          <w:p w14:paraId="789403D7">
            <w:pPr>
              <w:rPr>
                <w:rFonts w:ascii="Arial"/>
                <w:color w:val="000000" w:themeColor="text1"/>
                <w:sz w:val="21"/>
                <w:highlight w:val="none"/>
                <w14:textFill>
                  <w14:solidFill>
                    <w14:schemeClr w14:val="tx1"/>
                  </w14:solidFill>
                </w14:textFill>
              </w:rPr>
            </w:pPr>
          </w:p>
        </w:tc>
        <w:tc>
          <w:tcPr>
            <w:tcW w:w="884" w:type="dxa"/>
            <w:noWrap w:val="0"/>
            <w:vAlign w:val="top"/>
          </w:tcPr>
          <w:p w14:paraId="567E1597">
            <w:pPr>
              <w:rPr>
                <w:rFonts w:ascii="Arial"/>
                <w:color w:val="000000" w:themeColor="text1"/>
                <w:sz w:val="21"/>
                <w:highlight w:val="none"/>
                <w14:textFill>
                  <w14:solidFill>
                    <w14:schemeClr w14:val="tx1"/>
                  </w14:solidFill>
                </w14:textFill>
              </w:rPr>
            </w:pPr>
          </w:p>
        </w:tc>
        <w:tc>
          <w:tcPr>
            <w:tcW w:w="815" w:type="dxa"/>
            <w:noWrap w:val="0"/>
            <w:vAlign w:val="top"/>
          </w:tcPr>
          <w:p w14:paraId="564516A9">
            <w:pPr>
              <w:rPr>
                <w:rFonts w:ascii="Arial"/>
                <w:color w:val="000000" w:themeColor="text1"/>
                <w:sz w:val="21"/>
                <w:highlight w:val="none"/>
                <w14:textFill>
                  <w14:solidFill>
                    <w14:schemeClr w14:val="tx1"/>
                  </w14:solidFill>
                </w14:textFill>
              </w:rPr>
            </w:pPr>
          </w:p>
        </w:tc>
        <w:tc>
          <w:tcPr>
            <w:tcW w:w="849" w:type="dxa"/>
            <w:noWrap w:val="0"/>
            <w:vAlign w:val="top"/>
          </w:tcPr>
          <w:p w14:paraId="3D9A0C66">
            <w:pPr>
              <w:rPr>
                <w:rFonts w:ascii="Arial"/>
                <w:color w:val="000000" w:themeColor="text1"/>
                <w:sz w:val="21"/>
                <w:highlight w:val="none"/>
                <w14:textFill>
                  <w14:solidFill>
                    <w14:schemeClr w14:val="tx1"/>
                  </w14:solidFill>
                </w14:textFill>
              </w:rPr>
            </w:pPr>
          </w:p>
        </w:tc>
        <w:tc>
          <w:tcPr>
            <w:tcW w:w="992" w:type="dxa"/>
            <w:noWrap w:val="0"/>
            <w:vAlign w:val="top"/>
          </w:tcPr>
          <w:p w14:paraId="0FB0C317">
            <w:pPr>
              <w:rPr>
                <w:rFonts w:ascii="Arial"/>
                <w:color w:val="000000" w:themeColor="text1"/>
                <w:sz w:val="21"/>
                <w:highlight w:val="none"/>
                <w14:textFill>
                  <w14:solidFill>
                    <w14:schemeClr w14:val="tx1"/>
                  </w14:solidFill>
                </w14:textFill>
              </w:rPr>
            </w:pPr>
          </w:p>
        </w:tc>
        <w:tc>
          <w:tcPr>
            <w:tcW w:w="989" w:type="dxa"/>
            <w:noWrap w:val="0"/>
            <w:vAlign w:val="top"/>
          </w:tcPr>
          <w:p w14:paraId="664303EE">
            <w:pPr>
              <w:rPr>
                <w:rFonts w:ascii="Arial"/>
                <w:color w:val="000000" w:themeColor="text1"/>
                <w:sz w:val="21"/>
                <w:highlight w:val="none"/>
                <w14:textFill>
                  <w14:solidFill>
                    <w14:schemeClr w14:val="tx1"/>
                  </w14:solidFill>
                </w14:textFill>
              </w:rPr>
            </w:pPr>
          </w:p>
        </w:tc>
        <w:tc>
          <w:tcPr>
            <w:tcW w:w="990" w:type="dxa"/>
            <w:noWrap w:val="0"/>
            <w:vAlign w:val="top"/>
          </w:tcPr>
          <w:p w14:paraId="64FED9CA">
            <w:pPr>
              <w:rPr>
                <w:rFonts w:ascii="Arial"/>
                <w:color w:val="000000" w:themeColor="text1"/>
                <w:sz w:val="21"/>
                <w:highlight w:val="none"/>
                <w14:textFill>
                  <w14:solidFill>
                    <w14:schemeClr w14:val="tx1"/>
                  </w14:solidFill>
                </w14:textFill>
              </w:rPr>
            </w:pPr>
          </w:p>
        </w:tc>
        <w:tc>
          <w:tcPr>
            <w:tcW w:w="894" w:type="dxa"/>
            <w:tcBorders>
              <w:right w:val="single" w:color="000000" w:sz="6" w:space="0"/>
            </w:tcBorders>
            <w:noWrap w:val="0"/>
            <w:vAlign w:val="top"/>
          </w:tcPr>
          <w:p w14:paraId="070B6140">
            <w:pPr>
              <w:rPr>
                <w:rFonts w:ascii="Arial"/>
                <w:color w:val="000000" w:themeColor="text1"/>
                <w:sz w:val="21"/>
                <w:highlight w:val="none"/>
                <w14:textFill>
                  <w14:solidFill>
                    <w14:schemeClr w14:val="tx1"/>
                  </w14:solidFill>
                </w14:textFill>
              </w:rPr>
            </w:pPr>
          </w:p>
        </w:tc>
      </w:tr>
    </w:tbl>
    <w:p w14:paraId="31536718">
      <w:pPr>
        <w:spacing w:line="301" w:lineRule="auto"/>
        <w:rPr>
          <w:rFonts w:ascii="Arial"/>
          <w:color w:val="000000" w:themeColor="text1"/>
          <w:sz w:val="21"/>
          <w:highlight w:val="none"/>
          <w14:textFill>
            <w14:solidFill>
              <w14:schemeClr w14:val="tx1"/>
            </w14:solidFill>
          </w14:textFill>
        </w:rPr>
      </w:pPr>
    </w:p>
    <w:p w14:paraId="13E8F24C">
      <w:pPr>
        <w:spacing w:line="302" w:lineRule="auto"/>
        <w:rPr>
          <w:rFonts w:ascii="Arial"/>
          <w:color w:val="000000" w:themeColor="text1"/>
          <w:sz w:val="21"/>
          <w:highlight w:val="none"/>
          <w14:textFill>
            <w14:solidFill>
              <w14:schemeClr w14:val="tx1"/>
            </w14:solidFill>
          </w14:textFill>
        </w:rPr>
      </w:pPr>
    </w:p>
    <w:p w14:paraId="3E4757DB">
      <w:pPr>
        <w:spacing w:before="68" w:line="220" w:lineRule="auto"/>
        <w:ind w:left="39"/>
        <w:rPr>
          <w:rFonts w:ascii="宋体" w:hAnsi="宋体" w:eastAsia="宋体" w:cs="宋体"/>
          <w:b/>
          <w:bCs/>
          <w:color w:val="000000" w:themeColor="text1"/>
          <w:spacing w:val="-3"/>
          <w:sz w:val="21"/>
          <w:szCs w:val="21"/>
          <w:highlight w:val="none"/>
          <w14:textFill>
            <w14:solidFill>
              <w14:schemeClr w14:val="tx1"/>
            </w14:solidFill>
          </w14:textFill>
        </w:rPr>
      </w:pPr>
      <w:r>
        <w:rPr>
          <w:rFonts w:ascii="宋体" w:hAnsi="宋体" w:eastAsia="宋体" w:cs="宋体"/>
          <w:b/>
          <w:bCs/>
          <w:color w:val="000000" w:themeColor="text1"/>
          <w:spacing w:val="-3"/>
          <w:sz w:val="21"/>
          <w:szCs w:val="21"/>
          <w:highlight w:val="none"/>
          <w14:textFill>
            <w14:solidFill>
              <w14:schemeClr w14:val="tx1"/>
            </w14:solidFill>
          </w14:textFill>
        </w:rPr>
        <w:t>附件三：</w:t>
      </w:r>
    </w:p>
    <w:p w14:paraId="13A859FC">
      <w:pPr>
        <w:spacing w:before="61" w:line="220" w:lineRule="auto"/>
        <w:ind w:left="1281"/>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
          <w:sz w:val="21"/>
          <w:szCs w:val="21"/>
          <w:highlight w:val="none"/>
          <w14:textFill>
            <w14:solidFill>
              <w14:schemeClr w14:val="tx1"/>
            </w14:solidFill>
          </w14:textFill>
        </w:rPr>
        <w:t>发包人提供的材</w:t>
      </w:r>
      <w:r>
        <w:rPr>
          <w:rFonts w:ascii="宋体" w:hAnsi="宋体" w:eastAsia="宋体" w:cs="宋体"/>
          <w:color w:val="000000" w:themeColor="text1"/>
          <w:sz w:val="21"/>
          <w:szCs w:val="21"/>
          <w:highlight w:val="none"/>
          <w14:textFill>
            <w14:solidFill>
              <w14:schemeClr w14:val="tx1"/>
            </w14:solidFill>
          </w14:textFill>
        </w:rPr>
        <w:t>料和工程设备一览表</w:t>
      </w:r>
    </w:p>
    <w:p w14:paraId="7479DF5F">
      <w:pPr>
        <w:spacing w:line="114" w:lineRule="auto"/>
        <w:rPr>
          <w:rFonts w:ascii="Arial"/>
          <w:color w:val="000000" w:themeColor="text1"/>
          <w:sz w:val="2"/>
          <w:highlight w:val="none"/>
          <w14:textFill>
            <w14:solidFill>
              <w14:schemeClr w14:val="tx1"/>
            </w14:solidFill>
          </w14:textFill>
        </w:rPr>
      </w:pPr>
    </w:p>
    <w:tbl>
      <w:tblPr>
        <w:tblStyle w:val="50"/>
        <w:tblW w:w="9015"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6"/>
        <w:gridCol w:w="1133"/>
        <w:gridCol w:w="990"/>
        <w:gridCol w:w="851"/>
        <w:gridCol w:w="848"/>
        <w:gridCol w:w="849"/>
        <w:gridCol w:w="992"/>
        <w:gridCol w:w="989"/>
        <w:gridCol w:w="990"/>
        <w:gridCol w:w="827"/>
      </w:tblGrid>
      <w:tr w14:paraId="21637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546" w:type="dxa"/>
            <w:tcBorders>
              <w:left w:val="single" w:color="000000" w:sz="6" w:space="0"/>
            </w:tcBorders>
            <w:noWrap w:val="0"/>
            <w:textDirection w:val="tbRlV"/>
            <w:vAlign w:val="top"/>
          </w:tcPr>
          <w:p w14:paraId="382792EF">
            <w:pPr>
              <w:spacing w:before="166" w:line="211" w:lineRule="auto"/>
              <w:ind w:left="221"/>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序</w:t>
            </w:r>
            <w:r>
              <w:rPr>
                <w:rFonts w:ascii="宋体" w:hAnsi="宋体" w:eastAsia="宋体" w:cs="宋体"/>
                <w:color w:val="000000" w:themeColor="text1"/>
                <w:spacing w:val="-4"/>
                <w:sz w:val="21"/>
                <w:szCs w:val="21"/>
                <w:highlight w:val="none"/>
                <w14:textFill>
                  <w14:solidFill>
                    <w14:schemeClr w14:val="tx1"/>
                  </w14:solidFill>
                </w14:textFill>
              </w:rPr>
              <w:t>号</w:t>
            </w:r>
          </w:p>
        </w:tc>
        <w:tc>
          <w:tcPr>
            <w:tcW w:w="1133" w:type="dxa"/>
            <w:noWrap w:val="0"/>
            <w:vAlign w:val="top"/>
          </w:tcPr>
          <w:p w14:paraId="03E8CE17">
            <w:pPr>
              <w:spacing w:before="221" w:line="220" w:lineRule="auto"/>
              <w:ind w:left="145"/>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材</w:t>
            </w:r>
            <w:r>
              <w:rPr>
                <w:rFonts w:ascii="宋体" w:hAnsi="宋体" w:eastAsia="宋体" w:cs="宋体"/>
                <w:color w:val="000000" w:themeColor="text1"/>
                <w:spacing w:val="-1"/>
                <w:sz w:val="21"/>
                <w:szCs w:val="21"/>
                <w:highlight w:val="none"/>
                <w14:textFill>
                  <w14:solidFill>
                    <w14:schemeClr w14:val="tx1"/>
                  </w14:solidFill>
                </w14:textFill>
              </w:rPr>
              <w:t>料设备</w:t>
            </w:r>
          </w:p>
          <w:p w14:paraId="612C07CD">
            <w:pPr>
              <w:spacing w:before="50" w:line="223" w:lineRule="auto"/>
              <w:ind w:left="201"/>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
                <w:sz w:val="21"/>
                <w:szCs w:val="21"/>
                <w:highlight w:val="none"/>
                <w14:textFill>
                  <w14:solidFill>
                    <w14:schemeClr w14:val="tx1"/>
                  </w14:solidFill>
                </w14:textFill>
              </w:rPr>
              <w:t>名</w:t>
            </w:r>
            <w:r>
              <w:rPr>
                <w:rFonts w:ascii="宋体" w:hAnsi="宋体" w:eastAsia="宋体" w:cs="宋体"/>
                <w:color w:val="000000" w:themeColor="text1"/>
                <w:sz w:val="21"/>
                <w:szCs w:val="21"/>
                <w:highlight w:val="none"/>
                <w14:textFill>
                  <w14:solidFill>
                    <w14:schemeClr w14:val="tx1"/>
                  </w14:solidFill>
                </w14:textFill>
              </w:rPr>
              <w:t>称</w:t>
            </w:r>
          </w:p>
        </w:tc>
        <w:tc>
          <w:tcPr>
            <w:tcW w:w="990" w:type="dxa"/>
            <w:noWrap w:val="0"/>
            <w:vAlign w:val="top"/>
          </w:tcPr>
          <w:p w14:paraId="4AC4B6D4">
            <w:pPr>
              <w:spacing w:before="221" w:line="300" w:lineRule="exact"/>
              <w:ind w:left="288"/>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position w:val="6"/>
                <w:sz w:val="21"/>
                <w:szCs w:val="21"/>
                <w:highlight w:val="none"/>
                <w14:textFill>
                  <w14:solidFill>
                    <w14:schemeClr w14:val="tx1"/>
                  </w14:solidFill>
                </w14:textFill>
              </w:rPr>
              <w:t>规格</w:t>
            </w:r>
          </w:p>
          <w:p w14:paraId="73A781B8">
            <w:pPr>
              <w:spacing w:line="222" w:lineRule="auto"/>
              <w:ind w:left="29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型</w:t>
            </w:r>
            <w:r>
              <w:rPr>
                <w:rFonts w:ascii="宋体" w:hAnsi="宋体" w:eastAsia="宋体" w:cs="宋体"/>
                <w:color w:val="000000" w:themeColor="text1"/>
                <w:spacing w:val="-3"/>
                <w:sz w:val="21"/>
                <w:szCs w:val="21"/>
                <w:highlight w:val="none"/>
                <w14:textFill>
                  <w14:solidFill>
                    <w14:schemeClr w14:val="tx1"/>
                  </w14:solidFill>
                </w14:textFill>
              </w:rPr>
              <w:t>号</w:t>
            </w:r>
          </w:p>
        </w:tc>
        <w:tc>
          <w:tcPr>
            <w:tcW w:w="851" w:type="dxa"/>
            <w:noWrap w:val="0"/>
            <w:vAlign w:val="top"/>
          </w:tcPr>
          <w:p w14:paraId="0E0D2A11">
            <w:pPr>
              <w:spacing w:line="302" w:lineRule="auto"/>
              <w:rPr>
                <w:rFonts w:ascii="Arial"/>
                <w:color w:val="000000" w:themeColor="text1"/>
                <w:sz w:val="21"/>
                <w:highlight w:val="none"/>
                <w14:textFill>
                  <w14:solidFill>
                    <w14:schemeClr w14:val="tx1"/>
                  </w14:solidFill>
                </w14:textFill>
              </w:rPr>
            </w:pPr>
          </w:p>
          <w:p w14:paraId="2B9C4384">
            <w:pPr>
              <w:spacing w:before="69" w:line="221" w:lineRule="auto"/>
              <w:ind w:left="221"/>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单位</w:t>
            </w:r>
          </w:p>
        </w:tc>
        <w:tc>
          <w:tcPr>
            <w:tcW w:w="848" w:type="dxa"/>
            <w:noWrap w:val="0"/>
            <w:vAlign w:val="top"/>
          </w:tcPr>
          <w:p w14:paraId="4A9F4C27">
            <w:pPr>
              <w:spacing w:line="302" w:lineRule="auto"/>
              <w:rPr>
                <w:rFonts w:ascii="Arial"/>
                <w:color w:val="000000" w:themeColor="text1"/>
                <w:sz w:val="21"/>
                <w:highlight w:val="none"/>
                <w14:textFill>
                  <w14:solidFill>
                    <w14:schemeClr w14:val="tx1"/>
                  </w14:solidFill>
                </w14:textFill>
              </w:rPr>
            </w:pPr>
          </w:p>
          <w:p w14:paraId="7C01A899">
            <w:pPr>
              <w:spacing w:before="68" w:line="221" w:lineRule="auto"/>
              <w:ind w:left="219"/>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数量</w:t>
            </w:r>
          </w:p>
        </w:tc>
        <w:tc>
          <w:tcPr>
            <w:tcW w:w="849" w:type="dxa"/>
            <w:noWrap w:val="0"/>
            <w:vAlign w:val="top"/>
          </w:tcPr>
          <w:p w14:paraId="26D657B9">
            <w:pPr>
              <w:spacing w:line="302" w:lineRule="auto"/>
              <w:rPr>
                <w:rFonts w:ascii="Arial"/>
                <w:color w:val="000000" w:themeColor="text1"/>
                <w:sz w:val="21"/>
                <w:highlight w:val="none"/>
                <w14:textFill>
                  <w14:solidFill>
                    <w14:schemeClr w14:val="tx1"/>
                  </w14:solidFill>
                </w14:textFill>
              </w:rPr>
            </w:pPr>
          </w:p>
          <w:p w14:paraId="42D5AC1A">
            <w:pPr>
              <w:spacing w:before="69" w:line="219" w:lineRule="auto"/>
              <w:ind w:left="22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单价</w:t>
            </w:r>
          </w:p>
        </w:tc>
        <w:tc>
          <w:tcPr>
            <w:tcW w:w="992" w:type="dxa"/>
            <w:noWrap w:val="0"/>
            <w:vAlign w:val="top"/>
          </w:tcPr>
          <w:p w14:paraId="4D6E077C">
            <w:pPr>
              <w:spacing w:before="221" w:line="300" w:lineRule="exact"/>
              <w:ind w:left="29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4"/>
                <w:position w:val="6"/>
                <w:sz w:val="21"/>
                <w:szCs w:val="21"/>
                <w:highlight w:val="none"/>
                <w14:textFill>
                  <w14:solidFill>
                    <w14:schemeClr w14:val="tx1"/>
                  </w14:solidFill>
                </w14:textFill>
              </w:rPr>
              <w:t>交</w:t>
            </w:r>
            <w:r>
              <w:rPr>
                <w:rFonts w:ascii="宋体" w:hAnsi="宋体" w:eastAsia="宋体" w:cs="宋体"/>
                <w:color w:val="000000" w:themeColor="text1"/>
                <w:spacing w:val="-2"/>
                <w:position w:val="6"/>
                <w:sz w:val="21"/>
                <w:szCs w:val="21"/>
                <w:highlight w:val="none"/>
                <w14:textFill>
                  <w14:solidFill>
                    <w14:schemeClr w14:val="tx1"/>
                  </w14:solidFill>
                </w14:textFill>
              </w:rPr>
              <w:t>货</w:t>
            </w:r>
          </w:p>
          <w:p w14:paraId="0EC107E5">
            <w:pPr>
              <w:spacing w:line="222" w:lineRule="auto"/>
              <w:ind w:left="29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方式</w:t>
            </w:r>
          </w:p>
        </w:tc>
        <w:tc>
          <w:tcPr>
            <w:tcW w:w="989" w:type="dxa"/>
            <w:noWrap w:val="0"/>
            <w:vAlign w:val="top"/>
          </w:tcPr>
          <w:p w14:paraId="36A7301F">
            <w:pPr>
              <w:spacing w:before="221" w:line="300" w:lineRule="exact"/>
              <w:ind w:left="298"/>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4"/>
                <w:position w:val="6"/>
                <w:sz w:val="21"/>
                <w:szCs w:val="21"/>
                <w:highlight w:val="none"/>
                <w14:textFill>
                  <w14:solidFill>
                    <w14:schemeClr w14:val="tx1"/>
                  </w14:solidFill>
                </w14:textFill>
              </w:rPr>
              <w:t>交</w:t>
            </w:r>
            <w:r>
              <w:rPr>
                <w:rFonts w:ascii="宋体" w:hAnsi="宋体" w:eastAsia="宋体" w:cs="宋体"/>
                <w:color w:val="000000" w:themeColor="text1"/>
                <w:spacing w:val="-2"/>
                <w:position w:val="6"/>
                <w:sz w:val="21"/>
                <w:szCs w:val="21"/>
                <w:highlight w:val="none"/>
                <w14:textFill>
                  <w14:solidFill>
                    <w14:schemeClr w14:val="tx1"/>
                  </w14:solidFill>
                </w14:textFill>
              </w:rPr>
              <w:t>货</w:t>
            </w:r>
          </w:p>
          <w:p w14:paraId="6E2C66FC">
            <w:pPr>
              <w:spacing w:before="1" w:line="224" w:lineRule="auto"/>
              <w:ind w:left="294"/>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地</w:t>
            </w:r>
            <w:r>
              <w:rPr>
                <w:rFonts w:ascii="宋体" w:hAnsi="宋体" w:eastAsia="宋体" w:cs="宋体"/>
                <w:color w:val="000000" w:themeColor="text1"/>
                <w:spacing w:val="-1"/>
                <w:sz w:val="21"/>
                <w:szCs w:val="21"/>
                <w:highlight w:val="none"/>
                <w14:textFill>
                  <w14:solidFill>
                    <w14:schemeClr w14:val="tx1"/>
                  </w14:solidFill>
                </w14:textFill>
              </w:rPr>
              <w:t>点</w:t>
            </w:r>
          </w:p>
        </w:tc>
        <w:tc>
          <w:tcPr>
            <w:tcW w:w="990" w:type="dxa"/>
            <w:noWrap w:val="0"/>
            <w:vAlign w:val="top"/>
          </w:tcPr>
          <w:p w14:paraId="4A9768A2">
            <w:pPr>
              <w:spacing w:before="72" w:line="300" w:lineRule="exact"/>
              <w:ind w:left="29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position w:val="6"/>
                <w:sz w:val="21"/>
                <w:szCs w:val="21"/>
                <w:highlight w:val="none"/>
                <w14:textFill>
                  <w14:solidFill>
                    <w14:schemeClr w14:val="tx1"/>
                  </w14:solidFill>
                </w14:textFill>
              </w:rPr>
              <w:t>计</w:t>
            </w:r>
            <w:r>
              <w:rPr>
                <w:rFonts w:ascii="宋体" w:hAnsi="宋体" w:eastAsia="宋体" w:cs="宋体"/>
                <w:color w:val="000000" w:themeColor="text1"/>
                <w:spacing w:val="-1"/>
                <w:position w:val="6"/>
                <w:sz w:val="21"/>
                <w:szCs w:val="21"/>
                <w:highlight w:val="none"/>
                <w14:textFill>
                  <w14:solidFill>
                    <w14:schemeClr w14:val="tx1"/>
                  </w14:solidFill>
                </w14:textFill>
              </w:rPr>
              <w:t>划</w:t>
            </w:r>
          </w:p>
          <w:p w14:paraId="5F10F689">
            <w:pPr>
              <w:spacing w:line="219" w:lineRule="auto"/>
              <w:ind w:left="301"/>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交</w:t>
            </w:r>
            <w:r>
              <w:rPr>
                <w:rFonts w:ascii="宋体" w:hAnsi="宋体" w:eastAsia="宋体" w:cs="宋体"/>
                <w:color w:val="000000" w:themeColor="text1"/>
                <w:spacing w:val="-2"/>
                <w:sz w:val="21"/>
                <w:szCs w:val="21"/>
                <w:highlight w:val="none"/>
                <w14:textFill>
                  <w14:solidFill>
                    <w14:schemeClr w14:val="tx1"/>
                  </w14:solidFill>
                </w14:textFill>
              </w:rPr>
              <w:t>货</w:t>
            </w:r>
          </w:p>
          <w:p w14:paraId="2ECAD51B">
            <w:pPr>
              <w:spacing w:before="50" w:line="215" w:lineRule="auto"/>
              <w:ind w:left="30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时间</w:t>
            </w:r>
          </w:p>
        </w:tc>
        <w:tc>
          <w:tcPr>
            <w:tcW w:w="827" w:type="dxa"/>
            <w:tcBorders>
              <w:right w:val="single" w:color="000000" w:sz="6" w:space="0"/>
            </w:tcBorders>
            <w:noWrap w:val="0"/>
            <w:vAlign w:val="top"/>
          </w:tcPr>
          <w:p w14:paraId="4AC931E2">
            <w:pPr>
              <w:spacing w:line="302" w:lineRule="auto"/>
              <w:rPr>
                <w:rFonts w:ascii="Arial"/>
                <w:color w:val="000000" w:themeColor="text1"/>
                <w:sz w:val="21"/>
                <w:highlight w:val="none"/>
                <w14:textFill>
                  <w14:solidFill>
                    <w14:schemeClr w14:val="tx1"/>
                  </w14:solidFill>
                </w14:textFill>
              </w:rPr>
            </w:pPr>
          </w:p>
          <w:p w14:paraId="72A60E2A">
            <w:pPr>
              <w:spacing w:before="68" w:line="222" w:lineRule="auto"/>
              <w:ind w:left="214"/>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sz w:val="21"/>
                <w:szCs w:val="21"/>
                <w:highlight w:val="none"/>
                <w14:textFill>
                  <w14:solidFill>
                    <w14:schemeClr w14:val="tx1"/>
                  </w14:solidFill>
                </w14:textFill>
              </w:rPr>
              <w:t>备</w:t>
            </w:r>
            <w:r>
              <w:rPr>
                <w:rFonts w:ascii="宋体" w:hAnsi="宋体" w:eastAsia="宋体" w:cs="宋体"/>
                <w:color w:val="000000" w:themeColor="text1"/>
                <w:spacing w:val="-2"/>
                <w:sz w:val="21"/>
                <w:szCs w:val="21"/>
                <w:highlight w:val="none"/>
                <w14:textFill>
                  <w14:solidFill>
                    <w14:schemeClr w14:val="tx1"/>
                  </w14:solidFill>
                </w14:textFill>
              </w:rPr>
              <w:t>注</w:t>
            </w:r>
          </w:p>
        </w:tc>
      </w:tr>
      <w:tr w14:paraId="3CFB1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46" w:type="dxa"/>
            <w:tcBorders>
              <w:left w:val="single" w:color="000000" w:sz="6" w:space="0"/>
            </w:tcBorders>
            <w:noWrap w:val="0"/>
            <w:vAlign w:val="top"/>
          </w:tcPr>
          <w:p w14:paraId="6D65596D">
            <w:pPr>
              <w:rPr>
                <w:rFonts w:ascii="Arial"/>
                <w:color w:val="000000" w:themeColor="text1"/>
                <w:sz w:val="21"/>
                <w:highlight w:val="none"/>
                <w14:textFill>
                  <w14:solidFill>
                    <w14:schemeClr w14:val="tx1"/>
                  </w14:solidFill>
                </w14:textFill>
              </w:rPr>
            </w:pPr>
          </w:p>
        </w:tc>
        <w:tc>
          <w:tcPr>
            <w:tcW w:w="1133" w:type="dxa"/>
            <w:noWrap w:val="0"/>
            <w:vAlign w:val="top"/>
          </w:tcPr>
          <w:p w14:paraId="2B1DDA63">
            <w:pPr>
              <w:rPr>
                <w:rFonts w:ascii="Arial"/>
                <w:color w:val="000000" w:themeColor="text1"/>
                <w:sz w:val="21"/>
                <w:highlight w:val="none"/>
                <w14:textFill>
                  <w14:solidFill>
                    <w14:schemeClr w14:val="tx1"/>
                  </w14:solidFill>
                </w14:textFill>
              </w:rPr>
            </w:pPr>
          </w:p>
        </w:tc>
        <w:tc>
          <w:tcPr>
            <w:tcW w:w="990" w:type="dxa"/>
            <w:noWrap w:val="0"/>
            <w:vAlign w:val="top"/>
          </w:tcPr>
          <w:p w14:paraId="1C0FAD61">
            <w:pPr>
              <w:rPr>
                <w:rFonts w:ascii="Arial"/>
                <w:color w:val="000000" w:themeColor="text1"/>
                <w:sz w:val="21"/>
                <w:highlight w:val="none"/>
                <w14:textFill>
                  <w14:solidFill>
                    <w14:schemeClr w14:val="tx1"/>
                  </w14:solidFill>
                </w14:textFill>
              </w:rPr>
            </w:pPr>
          </w:p>
        </w:tc>
        <w:tc>
          <w:tcPr>
            <w:tcW w:w="851" w:type="dxa"/>
            <w:noWrap w:val="0"/>
            <w:vAlign w:val="top"/>
          </w:tcPr>
          <w:p w14:paraId="7D8DE9EB">
            <w:pPr>
              <w:rPr>
                <w:rFonts w:ascii="Arial"/>
                <w:color w:val="000000" w:themeColor="text1"/>
                <w:sz w:val="21"/>
                <w:highlight w:val="none"/>
                <w14:textFill>
                  <w14:solidFill>
                    <w14:schemeClr w14:val="tx1"/>
                  </w14:solidFill>
                </w14:textFill>
              </w:rPr>
            </w:pPr>
          </w:p>
        </w:tc>
        <w:tc>
          <w:tcPr>
            <w:tcW w:w="848" w:type="dxa"/>
            <w:noWrap w:val="0"/>
            <w:vAlign w:val="top"/>
          </w:tcPr>
          <w:p w14:paraId="5D703041">
            <w:pPr>
              <w:rPr>
                <w:rFonts w:ascii="Arial"/>
                <w:color w:val="000000" w:themeColor="text1"/>
                <w:sz w:val="21"/>
                <w:highlight w:val="none"/>
                <w14:textFill>
                  <w14:solidFill>
                    <w14:schemeClr w14:val="tx1"/>
                  </w14:solidFill>
                </w14:textFill>
              </w:rPr>
            </w:pPr>
          </w:p>
        </w:tc>
        <w:tc>
          <w:tcPr>
            <w:tcW w:w="849" w:type="dxa"/>
            <w:noWrap w:val="0"/>
            <w:vAlign w:val="top"/>
          </w:tcPr>
          <w:p w14:paraId="5CE028AA">
            <w:pPr>
              <w:rPr>
                <w:rFonts w:ascii="Arial"/>
                <w:color w:val="000000" w:themeColor="text1"/>
                <w:sz w:val="21"/>
                <w:highlight w:val="none"/>
                <w14:textFill>
                  <w14:solidFill>
                    <w14:schemeClr w14:val="tx1"/>
                  </w14:solidFill>
                </w14:textFill>
              </w:rPr>
            </w:pPr>
          </w:p>
        </w:tc>
        <w:tc>
          <w:tcPr>
            <w:tcW w:w="992" w:type="dxa"/>
            <w:noWrap w:val="0"/>
            <w:vAlign w:val="top"/>
          </w:tcPr>
          <w:p w14:paraId="4070404F">
            <w:pPr>
              <w:rPr>
                <w:rFonts w:ascii="Arial"/>
                <w:color w:val="000000" w:themeColor="text1"/>
                <w:sz w:val="21"/>
                <w:highlight w:val="none"/>
                <w14:textFill>
                  <w14:solidFill>
                    <w14:schemeClr w14:val="tx1"/>
                  </w14:solidFill>
                </w14:textFill>
              </w:rPr>
            </w:pPr>
          </w:p>
        </w:tc>
        <w:tc>
          <w:tcPr>
            <w:tcW w:w="989" w:type="dxa"/>
            <w:noWrap w:val="0"/>
            <w:vAlign w:val="top"/>
          </w:tcPr>
          <w:p w14:paraId="49AD8D81">
            <w:pPr>
              <w:rPr>
                <w:rFonts w:ascii="Arial"/>
                <w:color w:val="000000" w:themeColor="text1"/>
                <w:sz w:val="21"/>
                <w:highlight w:val="none"/>
                <w14:textFill>
                  <w14:solidFill>
                    <w14:schemeClr w14:val="tx1"/>
                  </w14:solidFill>
                </w14:textFill>
              </w:rPr>
            </w:pPr>
          </w:p>
        </w:tc>
        <w:tc>
          <w:tcPr>
            <w:tcW w:w="990" w:type="dxa"/>
            <w:noWrap w:val="0"/>
            <w:vAlign w:val="top"/>
          </w:tcPr>
          <w:p w14:paraId="2B05ED3B">
            <w:pPr>
              <w:rPr>
                <w:rFonts w:ascii="Arial"/>
                <w:color w:val="000000" w:themeColor="text1"/>
                <w:sz w:val="21"/>
                <w:highlight w:val="none"/>
                <w14:textFill>
                  <w14:solidFill>
                    <w14:schemeClr w14:val="tx1"/>
                  </w14:solidFill>
                </w14:textFill>
              </w:rPr>
            </w:pPr>
          </w:p>
        </w:tc>
        <w:tc>
          <w:tcPr>
            <w:tcW w:w="827" w:type="dxa"/>
            <w:tcBorders>
              <w:right w:val="single" w:color="000000" w:sz="6" w:space="0"/>
            </w:tcBorders>
            <w:noWrap w:val="0"/>
            <w:vAlign w:val="top"/>
          </w:tcPr>
          <w:p w14:paraId="1CE7639D">
            <w:pPr>
              <w:rPr>
                <w:rFonts w:ascii="Arial"/>
                <w:color w:val="000000" w:themeColor="text1"/>
                <w:sz w:val="21"/>
                <w:highlight w:val="none"/>
                <w14:textFill>
                  <w14:solidFill>
                    <w14:schemeClr w14:val="tx1"/>
                  </w14:solidFill>
                </w14:textFill>
              </w:rPr>
            </w:pPr>
          </w:p>
        </w:tc>
      </w:tr>
      <w:tr w14:paraId="1E2BA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546" w:type="dxa"/>
            <w:tcBorders>
              <w:left w:val="single" w:color="000000" w:sz="6" w:space="0"/>
            </w:tcBorders>
            <w:noWrap w:val="0"/>
            <w:vAlign w:val="top"/>
          </w:tcPr>
          <w:p w14:paraId="17602EC0">
            <w:pPr>
              <w:rPr>
                <w:rFonts w:ascii="Arial"/>
                <w:color w:val="000000" w:themeColor="text1"/>
                <w:sz w:val="21"/>
                <w:highlight w:val="none"/>
                <w14:textFill>
                  <w14:solidFill>
                    <w14:schemeClr w14:val="tx1"/>
                  </w14:solidFill>
                </w14:textFill>
              </w:rPr>
            </w:pPr>
          </w:p>
        </w:tc>
        <w:tc>
          <w:tcPr>
            <w:tcW w:w="1133" w:type="dxa"/>
            <w:noWrap w:val="0"/>
            <w:vAlign w:val="top"/>
          </w:tcPr>
          <w:p w14:paraId="311447A4">
            <w:pPr>
              <w:rPr>
                <w:rFonts w:ascii="Arial"/>
                <w:color w:val="000000" w:themeColor="text1"/>
                <w:sz w:val="21"/>
                <w:highlight w:val="none"/>
                <w14:textFill>
                  <w14:solidFill>
                    <w14:schemeClr w14:val="tx1"/>
                  </w14:solidFill>
                </w14:textFill>
              </w:rPr>
            </w:pPr>
          </w:p>
        </w:tc>
        <w:tc>
          <w:tcPr>
            <w:tcW w:w="990" w:type="dxa"/>
            <w:noWrap w:val="0"/>
            <w:vAlign w:val="top"/>
          </w:tcPr>
          <w:p w14:paraId="3ABB6577">
            <w:pPr>
              <w:rPr>
                <w:rFonts w:ascii="Arial"/>
                <w:color w:val="000000" w:themeColor="text1"/>
                <w:sz w:val="21"/>
                <w:highlight w:val="none"/>
                <w14:textFill>
                  <w14:solidFill>
                    <w14:schemeClr w14:val="tx1"/>
                  </w14:solidFill>
                </w14:textFill>
              </w:rPr>
            </w:pPr>
          </w:p>
        </w:tc>
        <w:tc>
          <w:tcPr>
            <w:tcW w:w="851" w:type="dxa"/>
            <w:noWrap w:val="0"/>
            <w:vAlign w:val="top"/>
          </w:tcPr>
          <w:p w14:paraId="5264545F">
            <w:pPr>
              <w:rPr>
                <w:rFonts w:ascii="Arial"/>
                <w:color w:val="000000" w:themeColor="text1"/>
                <w:sz w:val="21"/>
                <w:highlight w:val="none"/>
                <w14:textFill>
                  <w14:solidFill>
                    <w14:schemeClr w14:val="tx1"/>
                  </w14:solidFill>
                </w14:textFill>
              </w:rPr>
            </w:pPr>
          </w:p>
        </w:tc>
        <w:tc>
          <w:tcPr>
            <w:tcW w:w="848" w:type="dxa"/>
            <w:noWrap w:val="0"/>
            <w:vAlign w:val="top"/>
          </w:tcPr>
          <w:p w14:paraId="7C6FAAC6">
            <w:pPr>
              <w:rPr>
                <w:rFonts w:ascii="Arial"/>
                <w:color w:val="000000" w:themeColor="text1"/>
                <w:sz w:val="21"/>
                <w:highlight w:val="none"/>
                <w14:textFill>
                  <w14:solidFill>
                    <w14:schemeClr w14:val="tx1"/>
                  </w14:solidFill>
                </w14:textFill>
              </w:rPr>
            </w:pPr>
          </w:p>
        </w:tc>
        <w:tc>
          <w:tcPr>
            <w:tcW w:w="849" w:type="dxa"/>
            <w:noWrap w:val="0"/>
            <w:vAlign w:val="top"/>
          </w:tcPr>
          <w:p w14:paraId="2F21AA45">
            <w:pPr>
              <w:rPr>
                <w:rFonts w:ascii="Arial"/>
                <w:color w:val="000000" w:themeColor="text1"/>
                <w:sz w:val="21"/>
                <w:highlight w:val="none"/>
                <w14:textFill>
                  <w14:solidFill>
                    <w14:schemeClr w14:val="tx1"/>
                  </w14:solidFill>
                </w14:textFill>
              </w:rPr>
            </w:pPr>
          </w:p>
        </w:tc>
        <w:tc>
          <w:tcPr>
            <w:tcW w:w="992" w:type="dxa"/>
            <w:noWrap w:val="0"/>
            <w:vAlign w:val="top"/>
          </w:tcPr>
          <w:p w14:paraId="5FFC2A79">
            <w:pPr>
              <w:rPr>
                <w:rFonts w:ascii="Arial"/>
                <w:color w:val="000000" w:themeColor="text1"/>
                <w:sz w:val="21"/>
                <w:highlight w:val="none"/>
                <w14:textFill>
                  <w14:solidFill>
                    <w14:schemeClr w14:val="tx1"/>
                  </w14:solidFill>
                </w14:textFill>
              </w:rPr>
            </w:pPr>
          </w:p>
        </w:tc>
        <w:tc>
          <w:tcPr>
            <w:tcW w:w="989" w:type="dxa"/>
            <w:noWrap w:val="0"/>
            <w:vAlign w:val="top"/>
          </w:tcPr>
          <w:p w14:paraId="48D77C82">
            <w:pPr>
              <w:rPr>
                <w:rFonts w:ascii="Arial"/>
                <w:color w:val="000000" w:themeColor="text1"/>
                <w:sz w:val="21"/>
                <w:highlight w:val="none"/>
                <w14:textFill>
                  <w14:solidFill>
                    <w14:schemeClr w14:val="tx1"/>
                  </w14:solidFill>
                </w14:textFill>
              </w:rPr>
            </w:pPr>
          </w:p>
        </w:tc>
        <w:tc>
          <w:tcPr>
            <w:tcW w:w="990" w:type="dxa"/>
            <w:noWrap w:val="0"/>
            <w:vAlign w:val="top"/>
          </w:tcPr>
          <w:p w14:paraId="60DC889F">
            <w:pPr>
              <w:rPr>
                <w:rFonts w:ascii="Arial"/>
                <w:color w:val="000000" w:themeColor="text1"/>
                <w:sz w:val="21"/>
                <w:highlight w:val="none"/>
                <w14:textFill>
                  <w14:solidFill>
                    <w14:schemeClr w14:val="tx1"/>
                  </w14:solidFill>
                </w14:textFill>
              </w:rPr>
            </w:pPr>
          </w:p>
        </w:tc>
        <w:tc>
          <w:tcPr>
            <w:tcW w:w="827" w:type="dxa"/>
            <w:tcBorders>
              <w:right w:val="single" w:color="000000" w:sz="6" w:space="0"/>
            </w:tcBorders>
            <w:noWrap w:val="0"/>
            <w:vAlign w:val="top"/>
          </w:tcPr>
          <w:p w14:paraId="6479D397">
            <w:pPr>
              <w:rPr>
                <w:rFonts w:ascii="Arial"/>
                <w:color w:val="000000" w:themeColor="text1"/>
                <w:sz w:val="21"/>
                <w:highlight w:val="none"/>
                <w14:textFill>
                  <w14:solidFill>
                    <w14:schemeClr w14:val="tx1"/>
                  </w14:solidFill>
                </w14:textFill>
              </w:rPr>
            </w:pPr>
          </w:p>
        </w:tc>
      </w:tr>
      <w:tr w14:paraId="15096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546" w:type="dxa"/>
            <w:tcBorders>
              <w:left w:val="single" w:color="000000" w:sz="6" w:space="0"/>
            </w:tcBorders>
            <w:noWrap w:val="0"/>
            <w:vAlign w:val="top"/>
          </w:tcPr>
          <w:p w14:paraId="119999FB">
            <w:pPr>
              <w:rPr>
                <w:rFonts w:ascii="Arial"/>
                <w:color w:val="000000" w:themeColor="text1"/>
                <w:sz w:val="21"/>
                <w:highlight w:val="none"/>
                <w14:textFill>
                  <w14:solidFill>
                    <w14:schemeClr w14:val="tx1"/>
                  </w14:solidFill>
                </w14:textFill>
              </w:rPr>
            </w:pPr>
          </w:p>
        </w:tc>
        <w:tc>
          <w:tcPr>
            <w:tcW w:w="1133" w:type="dxa"/>
            <w:noWrap w:val="0"/>
            <w:vAlign w:val="top"/>
          </w:tcPr>
          <w:p w14:paraId="520D9FE2">
            <w:pPr>
              <w:rPr>
                <w:rFonts w:ascii="Arial"/>
                <w:color w:val="000000" w:themeColor="text1"/>
                <w:sz w:val="21"/>
                <w:highlight w:val="none"/>
                <w14:textFill>
                  <w14:solidFill>
                    <w14:schemeClr w14:val="tx1"/>
                  </w14:solidFill>
                </w14:textFill>
              </w:rPr>
            </w:pPr>
          </w:p>
        </w:tc>
        <w:tc>
          <w:tcPr>
            <w:tcW w:w="990" w:type="dxa"/>
            <w:noWrap w:val="0"/>
            <w:vAlign w:val="top"/>
          </w:tcPr>
          <w:p w14:paraId="089FF73A">
            <w:pPr>
              <w:rPr>
                <w:rFonts w:ascii="Arial"/>
                <w:color w:val="000000" w:themeColor="text1"/>
                <w:sz w:val="21"/>
                <w:highlight w:val="none"/>
                <w14:textFill>
                  <w14:solidFill>
                    <w14:schemeClr w14:val="tx1"/>
                  </w14:solidFill>
                </w14:textFill>
              </w:rPr>
            </w:pPr>
          </w:p>
        </w:tc>
        <w:tc>
          <w:tcPr>
            <w:tcW w:w="851" w:type="dxa"/>
            <w:noWrap w:val="0"/>
            <w:vAlign w:val="top"/>
          </w:tcPr>
          <w:p w14:paraId="6DB269E3">
            <w:pPr>
              <w:rPr>
                <w:rFonts w:ascii="Arial"/>
                <w:color w:val="000000" w:themeColor="text1"/>
                <w:sz w:val="21"/>
                <w:highlight w:val="none"/>
                <w14:textFill>
                  <w14:solidFill>
                    <w14:schemeClr w14:val="tx1"/>
                  </w14:solidFill>
                </w14:textFill>
              </w:rPr>
            </w:pPr>
          </w:p>
        </w:tc>
        <w:tc>
          <w:tcPr>
            <w:tcW w:w="848" w:type="dxa"/>
            <w:noWrap w:val="0"/>
            <w:vAlign w:val="top"/>
          </w:tcPr>
          <w:p w14:paraId="1A68D547">
            <w:pPr>
              <w:rPr>
                <w:rFonts w:ascii="Arial"/>
                <w:color w:val="000000" w:themeColor="text1"/>
                <w:sz w:val="21"/>
                <w:highlight w:val="none"/>
                <w14:textFill>
                  <w14:solidFill>
                    <w14:schemeClr w14:val="tx1"/>
                  </w14:solidFill>
                </w14:textFill>
              </w:rPr>
            </w:pPr>
          </w:p>
        </w:tc>
        <w:tc>
          <w:tcPr>
            <w:tcW w:w="849" w:type="dxa"/>
            <w:noWrap w:val="0"/>
            <w:vAlign w:val="top"/>
          </w:tcPr>
          <w:p w14:paraId="1C66AABE">
            <w:pPr>
              <w:rPr>
                <w:rFonts w:ascii="Arial"/>
                <w:color w:val="000000" w:themeColor="text1"/>
                <w:sz w:val="21"/>
                <w:highlight w:val="none"/>
                <w14:textFill>
                  <w14:solidFill>
                    <w14:schemeClr w14:val="tx1"/>
                  </w14:solidFill>
                </w14:textFill>
              </w:rPr>
            </w:pPr>
          </w:p>
        </w:tc>
        <w:tc>
          <w:tcPr>
            <w:tcW w:w="992" w:type="dxa"/>
            <w:noWrap w:val="0"/>
            <w:vAlign w:val="top"/>
          </w:tcPr>
          <w:p w14:paraId="6CD01F88">
            <w:pPr>
              <w:rPr>
                <w:rFonts w:ascii="Arial"/>
                <w:color w:val="000000" w:themeColor="text1"/>
                <w:sz w:val="21"/>
                <w:highlight w:val="none"/>
                <w14:textFill>
                  <w14:solidFill>
                    <w14:schemeClr w14:val="tx1"/>
                  </w14:solidFill>
                </w14:textFill>
              </w:rPr>
            </w:pPr>
          </w:p>
        </w:tc>
        <w:tc>
          <w:tcPr>
            <w:tcW w:w="989" w:type="dxa"/>
            <w:noWrap w:val="0"/>
            <w:vAlign w:val="top"/>
          </w:tcPr>
          <w:p w14:paraId="02C8769A">
            <w:pPr>
              <w:rPr>
                <w:rFonts w:ascii="Arial"/>
                <w:color w:val="000000" w:themeColor="text1"/>
                <w:sz w:val="21"/>
                <w:highlight w:val="none"/>
                <w14:textFill>
                  <w14:solidFill>
                    <w14:schemeClr w14:val="tx1"/>
                  </w14:solidFill>
                </w14:textFill>
              </w:rPr>
            </w:pPr>
          </w:p>
        </w:tc>
        <w:tc>
          <w:tcPr>
            <w:tcW w:w="990" w:type="dxa"/>
            <w:noWrap w:val="0"/>
            <w:vAlign w:val="top"/>
          </w:tcPr>
          <w:p w14:paraId="62F72C87">
            <w:pPr>
              <w:rPr>
                <w:rFonts w:ascii="Arial"/>
                <w:color w:val="000000" w:themeColor="text1"/>
                <w:sz w:val="21"/>
                <w:highlight w:val="none"/>
                <w14:textFill>
                  <w14:solidFill>
                    <w14:schemeClr w14:val="tx1"/>
                  </w14:solidFill>
                </w14:textFill>
              </w:rPr>
            </w:pPr>
          </w:p>
        </w:tc>
        <w:tc>
          <w:tcPr>
            <w:tcW w:w="827" w:type="dxa"/>
            <w:tcBorders>
              <w:right w:val="single" w:color="000000" w:sz="6" w:space="0"/>
            </w:tcBorders>
            <w:noWrap w:val="0"/>
            <w:vAlign w:val="top"/>
          </w:tcPr>
          <w:p w14:paraId="286FCFAC">
            <w:pPr>
              <w:rPr>
                <w:rFonts w:ascii="Arial"/>
                <w:color w:val="000000" w:themeColor="text1"/>
                <w:sz w:val="21"/>
                <w:highlight w:val="none"/>
                <w14:textFill>
                  <w14:solidFill>
                    <w14:schemeClr w14:val="tx1"/>
                  </w14:solidFill>
                </w14:textFill>
              </w:rPr>
            </w:pPr>
          </w:p>
        </w:tc>
      </w:tr>
      <w:tr w14:paraId="15F00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46" w:type="dxa"/>
            <w:tcBorders>
              <w:left w:val="single" w:color="000000" w:sz="6" w:space="0"/>
            </w:tcBorders>
            <w:noWrap w:val="0"/>
            <w:vAlign w:val="top"/>
          </w:tcPr>
          <w:p w14:paraId="31B4300A">
            <w:pPr>
              <w:rPr>
                <w:rFonts w:ascii="Arial"/>
                <w:color w:val="000000" w:themeColor="text1"/>
                <w:sz w:val="21"/>
                <w:highlight w:val="none"/>
                <w14:textFill>
                  <w14:solidFill>
                    <w14:schemeClr w14:val="tx1"/>
                  </w14:solidFill>
                </w14:textFill>
              </w:rPr>
            </w:pPr>
          </w:p>
        </w:tc>
        <w:tc>
          <w:tcPr>
            <w:tcW w:w="1133" w:type="dxa"/>
            <w:noWrap w:val="0"/>
            <w:vAlign w:val="top"/>
          </w:tcPr>
          <w:p w14:paraId="6556EC12">
            <w:pPr>
              <w:rPr>
                <w:rFonts w:ascii="Arial"/>
                <w:color w:val="000000" w:themeColor="text1"/>
                <w:sz w:val="21"/>
                <w:highlight w:val="none"/>
                <w14:textFill>
                  <w14:solidFill>
                    <w14:schemeClr w14:val="tx1"/>
                  </w14:solidFill>
                </w14:textFill>
              </w:rPr>
            </w:pPr>
          </w:p>
        </w:tc>
        <w:tc>
          <w:tcPr>
            <w:tcW w:w="990" w:type="dxa"/>
            <w:noWrap w:val="0"/>
            <w:vAlign w:val="top"/>
          </w:tcPr>
          <w:p w14:paraId="63C9A884">
            <w:pPr>
              <w:rPr>
                <w:rFonts w:ascii="Arial"/>
                <w:color w:val="000000" w:themeColor="text1"/>
                <w:sz w:val="21"/>
                <w:highlight w:val="none"/>
                <w14:textFill>
                  <w14:solidFill>
                    <w14:schemeClr w14:val="tx1"/>
                  </w14:solidFill>
                </w14:textFill>
              </w:rPr>
            </w:pPr>
          </w:p>
        </w:tc>
        <w:tc>
          <w:tcPr>
            <w:tcW w:w="851" w:type="dxa"/>
            <w:noWrap w:val="0"/>
            <w:vAlign w:val="top"/>
          </w:tcPr>
          <w:p w14:paraId="746987C6">
            <w:pPr>
              <w:rPr>
                <w:rFonts w:ascii="Arial"/>
                <w:color w:val="000000" w:themeColor="text1"/>
                <w:sz w:val="21"/>
                <w:highlight w:val="none"/>
                <w14:textFill>
                  <w14:solidFill>
                    <w14:schemeClr w14:val="tx1"/>
                  </w14:solidFill>
                </w14:textFill>
              </w:rPr>
            </w:pPr>
          </w:p>
        </w:tc>
        <w:tc>
          <w:tcPr>
            <w:tcW w:w="848" w:type="dxa"/>
            <w:noWrap w:val="0"/>
            <w:vAlign w:val="top"/>
          </w:tcPr>
          <w:p w14:paraId="0F752DA7">
            <w:pPr>
              <w:rPr>
                <w:rFonts w:ascii="Arial"/>
                <w:color w:val="000000" w:themeColor="text1"/>
                <w:sz w:val="21"/>
                <w:highlight w:val="none"/>
                <w14:textFill>
                  <w14:solidFill>
                    <w14:schemeClr w14:val="tx1"/>
                  </w14:solidFill>
                </w14:textFill>
              </w:rPr>
            </w:pPr>
          </w:p>
        </w:tc>
        <w:tc>
          <w:tcPr>
            <w:tcW w:w="849" w:type="dxa"/>
            <w:noWrap w:val="0"/>
            <w:vAlign w:val="top"/>
          </w:tcPr>
          <w:p w14:paraId="30680694">
            <w:pPr>
              <w:rPr>
                <w:rFonts w:ascii="Arial"/>
                <w:color w:val="000000" w:themeColor="text1"/>
                <w:sz w:val="21"/>
                <w:highlight w:val="none"/>
                <w14:textFill>
                  <w14:solidFill>
                    <w14:schemeClr w14:val="tx1"/>
                  </w14:solidFill>
                </w14:textFill>
              </w:rPr>
            </w:pPr>
          </w:p>
        </w:tc>
        <w:tc>
          <w:tcPr>
            <w:tcW w:w="992" w:type="dxa"/>
            <w:noWrap w:val="0"/>
            <w:vAlign w:val="top"/>
          </w:tcPr>
          <w:p w14:paraId="2F215D12">
            <w:pPr>
              <w:rPr>
                <w:rFonts w:ascii="Arial"/>
                <w:color w:val="000000" w:themeColor="text1"/>
                <w:sz w:val="21"/>
                <w:highlight w:val="none"/>
                <w14:textFill>
                  <w14:solidFill>
                    <w14:schemeClr w14:val="tx1"/>
                  </w14:solidFill>
                </w14:textFill>
              </w:rPr>
            </w:pPr>
          </w:p>
        </w:tc>
        <w:tc>
          <w:tcPr>
            <w:tcW w:w="989" w:type="dxa"/>
            <w:noWrap w:val="0"/>
            <w:vAlign w:val="top"/>
          </w:tcPr>
          <w:p w14:paraId="71930FB5">
            <w:pPr>
              <w:rPr>
                <w:rFonts w:ascii="Arial"/>
                <w:color w:val="000000" w:themeColor="text1"/>
                <w:sz w:val="21"/>
                <w:highlight w:val="none"/>
                <w14:textFill>
                  <w14:solidFill>
                    <w14:schemeClr w14:val="tx1"/>
                  </w14:solidFill>
                </w14:textFill>
              </w:rPr>
            </w:pPr>
          </w:p>
        </w:tc>
        <w:tc>
          <w:tcPr>
            <w:tcW w:w="990" w:type="dxa"/>
            <w:noWrap w:val="0"/>
            <w:vAlign w:val="top"/>
          </w:tcPr>
          <w:p w14:paraId="1AA78DCA">
            <w:pPr>
              <w:rPr>
                <w:rFonts w:ascii="Arial"/>
                <w:color w:val="000000" w:themeColor="text1"/>
                <w:sz w:val="21"/>
                <w:highlight w:val="none"/>
                <w14:textFill>
                  <w14:solidFill>
                    <w14:schemeClr w14:val="tx1"/>
                  </w14:solidFill>
                </w14:textFill>
              </w:rPr>
            </w:pPr>
          </w:p>
        </w:tc>
        <w:tc>
          <w:tcPr>
            <w:tcW w:w="827" w:type="dxa"/>
            <w:tcBorders>
              <w:right w:val="single" w:color="000000" w:sz="6" w:space="0"/>
            </w:tcBorders>
            <w:noWrap w:val="0"/>
            <w:vAlign w:val="top"/>
          </w:tcPr>
          <w:p w14:paraId="5E669807">
            <w:pPr>
              <w:rPr>
                <w:rFonts w:ascii="Arial"/>
                <w:color w:val="000000" w:themeColor="text1"/>
                <w:sz w:val="21"/>
                <w:highlight w:val="none"/>
                <w14:textFill>
                  <w14:solidFill>
                    <w14:schemeClr w14:val="tx1"/>
                  </w14:solidFill>
                </w14:textFill>
              </w:rPr>
            </w:pPr>
          </w:p>
        </w:tc>
      </w:tr>
      <w:tr w14:paraId="44A0C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546" w:type="dxa"/>
            <w:tcBorders>
              <w:left w:val="single" w:color="000000" w:sz="6" w:space="0"/>
            </w:tcBorders>
            <w:noWrap w:val="0"/>
            <w:vAlign w:val="top"/>
          </w:tcPr>
          <w:p w14:paraId="5CE10384">
            <w:pPr>
              <w:rPr>
                <w:rFonts w:ascii="Arial"/>
                <w:color w:val="000000" w:themeColor="text1"/>
                <w:sz w:val="21"/>
                <w:highlight w:val="none"/>
                <w14:textFill>
                  <w14:solidFill>
                    <w14:schemeClr w14:val="tx1"/>
                  </w14:solidFill>
                </w14:textFill>
              </w:rPr>
            </w:pPr>
          </w:p>
        </w:tc>
        <w:tc>
          <w:tcPr>
            <w:tcW w:w="1133" w:type="dxa"/>
            <w:noWrap w:val="0"/>
            <w:vAlign w:val="top"/>
          </w:tcPr>
          <w:p w14:paraId="7DC4F8C8">
            <w:pPr>
              <w:rPr>
                <w:rFonts w:ascii="Arial"/>
                <w:color w:val="000000" w:themeColor="text1"/>
                <w:sz w:val="21"/>
                <w:highlight w:val="none"/>
                <w14:textFill>
                  <w14:solidFill>
                    <w14:schemeClr w14:val="tx1"/>
                  </w14:solidFill>
                </w14:textFill>
              </w:rPr>
            </w:pPr>
          </w:p>
        </w:tc>
        <w:tc>
          <w:tcPr>
            <w:tcW w:w="990" w:type="dxa"/>
            <w:noWrap w:val="0"/>
            <w:vAlign w:val="top"/>
          </w:tcPr>
          <w:p w14:paraId="386C1442">
            <w:pPr>
              <w:rPr>
                <w:rFonts w:ascii="Arial"/>
                <w:color w:val="000000" w:themeColor="text1"/>
                <w:sz w:val="21"/>
                <w:highlight w:val="none"/>
                <w14:textFill>
                  <w14:solidFill>
                    <w14:schemeClr w14:val="tx1"/>
                  </w14:solidFill>
                </w14:textFill>
              </w:rPr>
            </w:pPr>
          </w:p>
        </w:tc>
        <w:tc>
          <w:tcPr>
            <w:tcW w:w="851" w:type="dxa"/>
            <w:noWrap w:val="0"/>
            <w:vAlign w:val="top"/>
          </w:tcPr>
          <w:p w14:paraId="155A95AF">
            <w:pPr>
              <w:rPr>
                <w:rFonts w:ascii="Arial"/>
                <w:color w:val="000000" w:themeColor="text1"/>
                <w:sz w:val="21"/>
                <w:highlight w:val="none"/>
                <w14:textFill>
                  <w14:solidFill>
                    <w14:schemeClr w14:val="tx1"/>
                  </w14:solidFill>
                </w14:textFill>
              </w:rPr>
            </w:pPr>
          </w:p>
        </w:tc>
        <w:tc>
          <w:tcPr>
            <w:tcW w:w="848" w:type="dxa"/>
            <w:noWrap w:val="0"/>
            <w:vAlign w:val="top"/>
          </w:tcPr>
          <w:p w14:paraId="2FFB9F2B">
            <w:pPr>
              <w:rPr>
                <w:rFonts w:ascii="Arial"/>
                <w:color w:val="000000" w:themeColor="text1"/>
                <w:sz w:val="21"/>
                <w:highlight w:val="none"/>
                <w14:textFill>
                  <w14:solidFill>
                    <w14:schemeClr w14:val="tx1"/>
                  </w14:solidFill>
                </w14:textFill>
              </w:rPr>
            </w:pPr>
          </w:p>
        </w:tc>
        <w:tc>
          <w:tcPr>
            <w:tcW w:w="849" w:type="dxa"/>
            <w:noWrap w:val="0"/>
            <w:vAlign w:val="top"/>
          </w:tcPr>
          <w:p w14:paraId="3F5BA4F4">
            <w:pPr>
              <w:rPr>
                <w:rFonts w:ascii="Arial"/>
                <w:color w:val="000000" w:themeColor="text1"/>
                <w:sz w:val="21"/>
                <w:highlight w:val="none"/>
                <w14:textFill>
                  <w14:solidFill>
                    <w14:schemeClr w14:val="tx1"/>
                  </w14:solidFill>
                </w14:textFill>
              </w:rPr>
            </w:pPr>
          </w:p>
        </w:tc>
        <w:tc>
          <w:tcPr>
            <w:tcW w:w="992" w:type="dxa"/>
            <w:noWrap w:val="0"/>
            <w:vAlign w:val="top"/>
          </w:tcPr>
          <w:p w14:paraId="4886B366">
            <w:pPr>
              <w:rPr>
                <w:rFonts w:ascii="Arial"/>
                <w:color w:val="000000" w:themeColor="text1"/>
                <w:sz w:val="21"/>
                <w:highlight w:val="none"/>
                <w14:textFill>
                  <w14:solidFill>
                    <w14:schemeClr w14:val="tx1"/>
                  </w14:solidFill>
                </w14:textFill>
              </w:rPr>
            </w:pPr>
          </w:p>
        </w:tc>
        <w:tc>
          <w:tcPr>
            <w:tcW w:w="989" w:type="dxa"/>
            <w:noWrap w:val="0"/>
            <w:vAlign w:val="top"/>
          </w:tcPr>
          <w:p w14:paraId="091874FD">
            <w:pPr>
              <w:rPr>
                <w:rFonts w:ascii="Arial"/>
                <w:color w:val="000000" w:themeColor="text1"/>
                <w:sz w:val="21"/>
                <w:highlight w:val="none"/>
                <w14:textFill>
                  <w14:solidFill>
                    <w14:schemeClr w14:val="tx1"/>
                  </w14:solidFill>
                </w14:textFill>
              </w:rPr>
            </w:pPr>
          </w:p>
        </w:tc>
        <w:tc>
          <w:tcPr>
            <w:tcW w:w="990" w:type="dxa"/>
            <w:noWrap w:val="0"/>
            <w:vAlign w:val="top"/>
          </w:tcPr>
          <w:p w14:paraId="43941919">
            <w:pPr>
              <w:rPr>
                <w:rFonts w:ascii="Arial"/>
                <w:color w:val="000000" w:themeColor="text1"/>
                <w:sz w:val="21"/>
                <w:highlight w:val="none"/>
                <w14:textFill>
                  <w14:solidFill>
                    <w14:schemeClr w14:val="tx1"/>
                  </w14:solidFill>
                </w14:textFill>
              </w:rPr>
            </w:pPr>
          </w:p>
        </w:tc>
        <w:tc>
          <w:tcPr>
            <w:tcW w:w="827" w:type="dxa"/>
            <w:tcBorders>
              <w:right w:val="single" w:color="000000" w:sz="6" w:space="0"/>
            </w:tcBorders>
            <w:noWrap w:val="0"/>
            <w:vAlign w:val="top"/>
          </w:tcPr>
          <w:p w14:paraId="241FC8AB">
            <w:pPr>
              <w:rPr>
                <w:rFonts w:ascii="Arial"/>
                <w:color w:val="000000" w:themeColor="text1"/>
                <w:sz w:val="21"/>
                <w:highlight w:val="none"/>
                <w14:textFill>
                  <w14:solidFill>
                    <w14:schemeClr w14:val="tx1"/>
                  </w14:solidFill>
                </w14:textFill>
              </w:rPr>
            </w:pPr>
          </w:p>
        </w:tc>
      </w:tr>
    </w:tbl>
    <w:p w14:paraId="49190702">
      <w:pPr>
        <w:spacing w:before="122" w:line="345" w:lineRule="auto"/>
        <w:ind w:left="440" w:right="422"/>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备注：除合同另有约</w:t>
      </w:r>
      <w:r>
        <w:rPr>
          <w:rFonts w:ascii="宋体" w:hAnsi="宋体" w:eastAsia="宋体" w:cs="宋体"/>
          <w:color w:val="000000" w:themeColor="text1"/>
          <w:spacing w:val="-3"/>
          <w:sz w:val="21"/>
          <w:szCs w:val="21"/>
          <w:highlight w:val="none"/>
          <w14:textFill>
            <w14:solidFill>
              <w14:schemeClr w14:val="tx1"/>
            </w14:solidFill>
          </w14:textFill>
        </w:rPr>
        <w:t>定</w:t>
      </w:r>
      <w:r>
        <w:rPr>
          <w:rFonts w:ascii="宋体" w:hAnsi="宋体" w:eastAsia="宋体" w:cs="宋体"/>
          <w:color w:val="000000" w:themeColor="text1"/>
          <w:spacing w:val="-2"/>
          <w:sz w:val="21"/>
          <w:szCs w:val="21"/>
          <w:highlight w:val="none"/>
          <w14:textFill>
            <w14:solidFill>
              <w14:schemeClr w14:val="tx1"/>
            </w14:solidFill>
          </w14:textFill>
        </w:rPr>
        <w:t>外，本表所列发包人供应材料和工程设备的数量不考虑施工损耗，施</w:t>
      </w:r>
      <w:r>
        <w:rPr>
          <w:rFonts w:ascii="宋体" w:hAnsi="宋体" w:eastAsia="宋体" w:cs="宋体"/>
          <w:color w:val="000000" w:themeColor="text1"/>
          <w:spacing w:val="-1"/>
          <w:sz w:val="21"/>
          <w:szCs w:val="21"/>
          <w:highlight w:val="none"/>
          <w14:textFill>
            <w14:solidFill>
              <w14:schemeClr w14:val="tx1"/>
            </w14:solidFill>
          </w14:textFill>
        </w:rPr>
        <w:t>工损耗被认为</w:t>
      </w:r>
      <w:r>
        <w:rPr>
          <w:rFonts w:ascii="宋体" w:hAnsi="宋体" w:eastAsia="宋体" w:cs="宋体"/>
          <w:color w:val="000000" w:themeColor="text1"/>
          <w:sz w:val="21"/>
          <w:szCs w:val="21"/>
          <w:highlight w:val="none"/>
          <w14:textFill>
            <w14:solidFill>
              <w14:schemeClr w14:val="tx1"/>
            </w14:solidFill>
          </w14:textFill>
        </w:rPr>
        <w:t>已经包括在承包人的投标价格中。</w:t>
      </w:r>
    </w:p>
    <w:p w14:paraId="37B7C517">
      <w:pPr>
        <w:rPr>
          <w:color w:val="000000" w:themeColor="text1"/>
          <w:highlight w:val="none"/>
          <w14:textFill>
            <w14:solidFill>
              <w14:schemeClr w14:val="tx1"/>
            </w14:solidFill>
          </w14:textFill>
        </w:rPr>
        <w:sectPr>
          <w:headerReference r:id="rId10" w:type="default"/>
          <w:footerReference r:id="rId11" w:type="default"/>
          <w:pgSz w:w="11907" w:h="16839"/>
          <w:pgMar w:top="1440" w:right="1080" w:bottom="1440" w:left="1080" w:header="0" w:footer="1201" w:gutter="0"/>
          <w:pgNumType w:fmt="decimal"/>
          <w:cols w:space="720" w:num="1"/>
        </w:sectPr>
      </w:pPr>
    </w:p>
    <w:p w14:paraId="4B70852F">
      <w:pPr>
        <w:spacing w:before="68" w:line="220" w:lineRule="auto"/>
        <w:ind w:left="39"/>
        <w:rPr>
          <w:rFonts w:ascii="宋体" w:hAnsi="宋体" w:eastAsia="宋体" w:cs="宋体"/>
          <w:b/>
          <w:bCs/>
          <w:color w:val="000000" w:themeColor="text1"/>
          <w:spacing w:val="-2"/>
          <w:sz w:val="21"/>
          <w:szCs w:val="21"/>
          <w:highlight w:val="none"/>
          <w14:textFill>
            <w14:solidFill>
              <w14:schemeClr w14:val="tx1"/>
            </w14:solidFill>
          </w14:textFill>
        </w:rPr>
      </w:pPr>
      <w:r>
        <w:rPr>
          <w:rFonts w:ascii="宋体" w:hAnsi="宋体" w:eastAsia="宋体" w:cs="宋体"/>
          <w:b/>
          <w:bCs/>
          <w:color w:val="000000" w:themeColor="text1"/>
          <w:spacing w:val="-3"/>
          <w:sz w:val="21"/>
          <w:szCs w:val="21"/>
          <w:highlight w:val="none"/>
          <w14:textFill>
            <w14:solidFill>
              <w14:schemeClr w14:val="tx1"/>
            </w14:solidFill>
          </w14:textFill>
        </w:rPr>
        <w:t>附</w:t>
      </w:r>
      <w:r>
        <w:rPr>
          <w:rFonts w:ascii="宋体" w:hAnsi="宋体" w:eastAsia="宋体" w:cs="宋体"/>
          <w:b/>
          <w:bCs/>
          <w:color w:val="000000" w:themeColor="text1"/>
          <w:spacing w:val="-2"/>
          <w:sz w:val="21"/>
          <w:szCs w:val="21"/>
          <w:highlight w:val="none"/>
          <w14:textFill>
            <w14:solidFill>
              <w14:schemeClr w14:val="tx1"/>
            </w14:solidFill>
          </w14:textFill>
        </w:rPr>
        <w:t>件四：廉政合同格式</w:t>
      </w:r>
    </w:p>
    <w:p w14:paraId="513867DB">
      <w:pPr>
        <w:tabs>
          <w:tab w:val="left" w:pos="133"/>
        </w:tabs>
        <w:spacing w:before="0" w:line="360" w:lineRule="auto"/>
        <w:ind w:left="0" w:firstLine="428" w:firstLineChars="20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根据有关工程建设、廉政</w:t>
      </w:r>
      <w:r>
        <w:rPr>
          <w:rFonts w:ascii="宋体" w:hAnsi="宋体" w:eastAsia="宋体" w:cs="宋体"/>
          <w:color w:val="000000" w:themeColor="text1"/>
          <w:spacing w:val="1"/>
          <w:sz w:val="21"/>
          <w:szCs w:val="21"/>
          <w:highlight w:val="none"/>
          <w14:textFill>
            <w14:solidFill>
              <w14:schemeClr w14:val="tx1"/>
            </w14:solidFill>
          </w14:textFill>
        </w:rPr>
        <w:t>建设的规定，为做好工程建设中的党风廉政建设，保证工程</w:t>
      </w:r>
      <w:r>
        <w:rPr>
          <w:rFonts w:ascii="宋体" w:hAnsi="宋体" w:eastAsia="宋体" w:cs="宋体"/>
          <w:color w:val="000000" w:themeColor="text1"/>
          <w:spacing w:val="-10"/>
          <w:sz w:val="21"/>
          <w:szCs w:val="21"/>
          <w:highlight w:val="none"/>
          <w14:textFill>
            <w14:solidFill>
              <w14:schemeClr w14:val="tx1"/>
            </w14:solidFill>
          </w14:textFill>
        </w:rPr>
        <w:t>建设</w:t>
      </w:r>
      <w:r>
        <w:rPr>
          <w:rFonts w:ascii="宋体" w:hAnsi="宋体" w:eastAsia="宋体" w:cs="宋体"/>
          <w:color w:val="000000" w:themeColor="text1"/>
          <w:spacing w:val="-5"/>
          <w:sz w:val="21"/>
          <w:szCs w:val="21"/>
          <w:highlight w:val="none"/>
          <w14:textFill>
            <w14:solidFill>
              <w14:schemeClr w14:val="tx1"/>
            </w14:solidFill>
          </w14:textFill>
        </w:rPr>
        <w:t>高效优质，保证建设资金的安全和有效使用以及投资效益，建设工程的项目法人</w:t>
      </w:r>
      <w:r>
        <w:rPr>
          <w:rFonts w:ascii="宋体" w:hAnsi="宋体" w:eastAsia="宋体" w:cs="宋体"/>
          <w:color w:val="000000" w:themeColor="text1"/>
          <w:spacing w:val="-5"/>
          <w:sz w:val="21"/>
          <w:szCs w:val="21"/>
          <w:highlight w:val="none"/>
          <w:u w:val="single" w:color="auto"/>
          <w14:textFill>
            <w14:solidFill>
              <w14:schemeClr w14:val="tx1"/>
            </w14:solidFill>
          </w14:textFill>
        </w:rPr>
        <w:t>(全称)</w:t>
      </w:r>
      <w:r>
        <w:rPr>
          <w:rFonts w:ascii="宋体" w:hAnsi="宋体" w:eastAsia="宋体" w:cs="宋体"/>
          <w:color w:val="000000" w:themeColor="text1"/>
          <w:sz w:val="21"/>
          <w:szCs w:val="21"/>
          <w:highlight w:val="none"/>
          <w14:textFill>
            <w14:solidFill>
              <w14:schemeClr w14:val="tx1"/>
            </w14:solidFill>
          </w14:textFill>
        </w:rPr>
        <w:tab/>
      </w:r>
      <w:r>
        <w:rPr>
          <w:rFonts w:ascii="宋体" w:hAnsi="宋体" w:eastAsia="宋体" w:cs="宋体"/>
          <w:color w:val="000000" w:themeColor="text1"/>
          <w:spacing w:val="-1"/>
          <w:sz w:val="21"/>
          <w:szCs w:val="21"/>
          <w:highlight w:val="none"/>
          <w14:textFill>
            <w14:solidFill>
              <w14:schemeClr w14:val="tx1"/>
            </w14:solidFill>
          </w14:textFill>
        </w:rPr>
        <w:t>(以下简称“甲方”)与施工单位</w:t>
      </w:r>
      <w:r>
        <w:rPr>
          <w:rFonts w:ascii="宋体" w:hAnsi="宋体" w:eastAsia="宋体" w:cs="宋体"/>
          <w:color w:val="000000" w:themeColor="text1"/>
          <w:spacing w:val="-1"/>
          <w:sz w:val="21"/>
          <w:szCs w:val="21"/>
          <w:highlight w:val="none"/>
          <w:u w:val="single" w:color="auto"/>
          <w14:textFill>
            <w14:solidFill>
              <w14:schemeClr w14:val="tx1"/>
            </w14:solidFill>
          </w14:textFill>
        </w:rPr>
        <w:t>(全称)</w:t>
      </w:r>
      <w:r>
        <w:rPr>
          <w:rFonts w:ascii="宋体" w:hAnsi="宋体" w:eastAsia="宋体" w:cs="宋体"/>
          <w:color w:val="000000" w:themeColor="text1"/>
          <w:sz w:val="21"/>
          <w:szCs w:val="21"/>
          <w:highlight w:val="none"/>
          <w14:textFill>
            <w14:solidFill>
              <w14:schemeClr w14:val="tx1"/>
            </w14:solidFill>
          </w14:textFill>
        </w:rPr>
        <w:t>(以下简称“乙方”)，特订立如下合同。</w:t>
      </w:r>
    </w:p>
    <w:p w14:paraId="0B481160">
      <w:pPr>
        <w:spacing w:line="360" w:lineRule="auto"/>
        <w:ind w:left="0" w:firstLine="412" w:firstLineChars="20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1.甲乙双方的权利和义</w:t>
      </w:r>
      <w:r>
        <w:rPr>
          <w:rFonts w:ascii="宋体" w:hAnsi="宋体" w:eastAsia="宋体" w:cs="宋体"/>
          <w:color w:val="000000" w:themeColor="text1"/>
          <w:spacing w:val="-1"/>
          <w:sz w:val="21"/>
          <w:szCs w:val="21"/>
          <w:highlight w:val="none"/>
          <w14:textFill>
            <w14:solidFill>
              <w14:schemeClr w14:val="tx1"/>
            </w14:solidFill>
          </w14:textFill>
        </w:rPr>
        <w:t>务</w:t>
      </w:r>
    </w:p>
    <w:p w14:paraId="5B6FD53F">
      <w:pPr>
        <w:spacing w:before="0" w:line="360" w:lineRule="auto"/>
        <w:ind w:left="0" w:firstLine="436" w:firstLineChars="20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(1)严格</w:t>
      </w:r>
      <w:r>
        <w:rPr>
          <w:rFonts w:ascii="宋体" w:hAnsi="宋体" w:eastAsia="宋体" w:cs="宋体"/>
          <w:color w:val="000000" w:themeColor="text1"/>
          <w:spacing w:val="2"/>
          <w:sz w:val="21"/>
          <w:szCs w:val="21"/>
          <w:highlight w:val="none"/>
          <w14:textFill>
            <w14:solidFill>
              <w14:schemeClr w14:val="tx1"/>
            </w14:solidFill>
          </w14:textFill>
        </w:rPr>
        <w:t>遵守党的政策规定和国家有关法律法规及交通部的有关规定。</w:t>
      </w:r>
    </w:p>
    <w:p w14:paraId="0ADA3A21">
      <w:pPr>
        <w:spacing w:before="0" w:line="360" w:lineRule="auto"/>
        <w:ind w:left="0" w:firstLine="416" w:firstLineChars="20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
          <w:sz w:val="21"/>
          <w:szCs w:val="21"/>
          <w:highlight w:val="none"/>
          <w14:textFill>
            <w14:solidFill>
              <w14:schemeClr w14:val="tx1"/>
            </w14:solidFill>
          </w14:textFill>
        </w:rPr>
        <w:t>(2)严格执行</w:t>
      </w:r>
      <w:r>
        <w:rPr>
          <w:rFonts w:ascii="宋体" w:hAnsi="宋体" w:eastAsia="宋体" w:cs="宋体"/>
          <w:color w:val="000000" w:themeColor="text1"/>
          <w:spacing w:val="-1"/>
          <w:sz w:val="21"/>
          <w:szCs w:val="21"/>
          <w:highlight w:val="none"/>
          <w:u w:val="single" w:color="auto"/>
          <w14:textFill>
            <w14:solidFill>
              <w14:schemeClr w14:val="tx1"/>
            </w14:solidFill>
          </w14:textFill>
        </w:rPr>
        <w:t>(</w:t>
      </w:r>
      <w:r>
        <w:rPr>
          <w:rFonts w:ascii="宋体" w:hAnsi="宋体" w:eastAsia="宋体" w:cs="宋体"/>
          <w:color w:val="000000" w:themeColor="text1"/>
          <w:sz w:val="21"/>
          <w:szCs w:val="21"/>
          <w:highlight w:val="none"/>
          <w:u w:val="single" w:color="auto"/>
          <w14:textFill>
            <w14:solidFill>
              <w14:schemeClr w14:val="tx1"/>
            </w14:solidFill>
          </w14:textFill>
        </w:rPr>
        <w:t>项目名称)</w:t>
      </w:r>
      <w:r>
        <w:rPr>
          <w:rFonts w:ascii="宋体" w:hAnsi="宋体" w:eastAsia="宋体" w:cs="宋体"/>
          <w:color w:val="000000" w:themeColor="text1"/>
          <w:sz w:val="21"/>
          <w:szCs w:val="21"/>
          <w:highlight w:val="none"/>
          <w14:textFill>
            <w14:solidFill>
              <w14:schemeClr w14:val="tx1"/>
            </w14:solidFill>
          </w14:textFill>
        </w:rPr>
        <w:t>工程的合同文件，自觉按合同办事。</w:t>
      </w:r>
    </w:p>
    <w:p w14:paraId="4BBFE771">
      <w:pPr>
        <w:spacing w:before="0" w:line="360" w:lineRule="auto"/>
        <w:ind w:left="0" w:right="0" w:firstLine="484" w:firstLineChars="20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6"/>
          <w:sz w:val="21"/>
          <w:szCs w:val="21"/>
          <w:highlight w:val="none"/>
          <w14:textFill>
            <w14:solidFill>
              <w14:schemeClr w14:val="tx1"/>
            </w14:solidFill>
          </w14:textFill>
        </w:rPr>
        <w:t>(</w:t>
      </w:r>
      <w:r>
        <w:rPr>
          <w:rFonts w:ascii="宋体" w:hAnsi="宋体" w:eastAsia="宋体" w:cs="宋体"/>
          <w:color w:val="000000" w:themeColor="text1"/>
          <w:spacing w:val="11"/>
          <w:sz w:val="21"/>
          <w:szCs w:val="21"/>
          <w:highlight w:val="none"/>
          <w14:textFill>
            <w14:solidFill>
              <w14:schemeClr w14:val="tx1"/>
            </w14:solidFill>
          </w14:textFill>
        </w:rPr>
        <w:t>3</w:t>
      </w:r>
      <w:r>
        <w:rPr>
          <w:rFonts w:ascii="宋体" w:hAnsi="宋体" w:eastAsia="宋体" w:cs="宋体"/>
          <w:color w:val="000000" w:themeColor="text1"/>
          <w:spacing w:val="8"/>
          <w:sz w:val="21"/>
          <w:szCs w:val="21"/>
          <w:highlight w:val="none"/>
          <w14:textFill>
            <w14:solidFill>
              <w14:schemeClr w14:val="tx1"/>
            </w14:solidFill>
          </w14:textFill>
        </w:rPr>
        <w:t>)双方的业务活动坚持公开、公正、诚信、透明的原则(法律认定的商业秘密和合</w:t>
      </w:r>
      <w:r>
        <w:rPr>
          <w:rFonts w:ascii="宋体" w:hAnsi="宋体" w:eastAsia="宋体" w:cs="宋体"/>
          <w:color w:val="000000" w:themeColor="text1"/>
          <w:spacing w:val="-4"/>
          <w:sz w:val="21"/>
          <w:szCs w:val="21"/>
          <w:highlight w:val="none"/>
          <w14:textFill>
            <w14:solidFill>
              <w14:schemeClr w14:val="tx1"/>
            </w14:solidFill>
          </w14:textFill>
        </w:rPr>
        <w:t>同文件另有规定除外)，不得损害国家和集体利益，违反工程建设管理规章制度</w:t>
      </w:r>
      <w:r>
        <w:rPr>
          <w:rFonts w:ascii="宋体" w:hAnsi="宋体" w:eastAsia="宋体" w:cs="宋体"/>
          <w:color w:val="000000" w:themeColor="text1"/>
          <w:sz w:val="21"/>
          <w:szCs w:val="21"/>
          <w:highlight w:val="none"/>
          <w14:textFill>
            <w14:solidFill>
              <w14:schemeClr w14:val="tx1"/>
            </w14:solidFill>
          </w14:textFill>
        </w:rPr>
        <w:t>。</w:t>
      </w:r>
    </w:p>
    <w:p w14:paraId="631A179F">
      <w:pPr>
        <w:spacing w:before="0" w:line="360" w:lineRule="auto"/>
        <w:ind w:left="0" w:right="0" w:firstLine="420" w:firstLineChars="20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(4)建立健全廉政制度，开展廉政教育，设立廉政告示牌，公布举报电话，监督并认</w:t>
      </w:r>
      <w:r>
        <w:rPr>
          <w:rFonts w:ascii="宋体" w:hAnsi="宋体" w:eastAsia="宋体" w:cs="宋体"/>
          <w:color w:val="000000" w:themeColor="text1"/>
          <w:spacing w:val="-1"/>
          <w:sz w:val="21"/>
          <w:szCs w:val="21"/>
          <w:highlight w:val="none"/>
          <w14:textFill>
            <w14:solidFill>
              <w14:schemeClr w14:val="tx1"/>
            </w14:solidFill>
          </w14:textFill>
        </w:rPr>
        <w:t>真查处违法违纪</w:t>
      </w:r>
      <w:r>
        <w:rPr>
          <w:rFonts w:ascii="宋体" w:hAnsi="宋体" w:eastAsia="宋体" w:cs="宋体"/>
          <w:color w:val="000000" w:themeColor="text1"/>
          <w:sz w:val="21"/>
          <w:szCs w:val="21"/>
          <w:highlight w:val="none"/>
          <w14:textFill>
            <w14:solidFill>
              <w14:schemeClr w14:val="tx1"/>
            </w14:solidFill>
          </w14:textFill>
        </w:rPr>
        <w:t>行为。</w:t>
      </w:r>
    </w:p>
    <w:p w14:paraId="1B60BECC">
      <w:pPr>
        <w:spacing w:before="0" w:line="360" w:lineRule="auto"/>
        <w:ind w:left="0" w:right="0" w:firstLine="460" w:firstLineChars="20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(5)发</w:t>
      </w:r>
      <w:r>
        <w:rPr>
          <w:rFonts w:ascii="宋体" w:hAnsi="宋体" w:eastAsia="宋体" w:cs="宋体"/>
          <w:color w:val="000000" w:themeColor="text1"/>
          <w:spacing w:val="5"/>
          <w:sz w:val="21"/>
          <w:szCs w:val="21"/>
          <w:highlight w:val="none"/>
          <w14:textFill>
            <w14:solidFill>
              <w14:schemeClr w14:val="tx1"/>
            </w14:solidFill>
          </w14:textFill>
        </w:rPr>
        <w:t>现对方在业务活动中有违反廉政规定的行为，有及时提醒对方纠正的权利和义</w:t>
      </w:r>
      <w:r>
        <w:rPr>
          <w:rFonts w:ascii="宋体" w:hAnsi="宋体" w:eastAsia="宋体" w:cs="宋体"/>
          <w:color w:val="000000" w:themeColor="text1"/>
          <w:spacing w:val="-10"/>
          <w:sz w:val="21"/>
          <w:szCs w:val="21"/>
          <w:highlight w:val="none"/>
          <w14:textFill>
            <w14:solidFill>
              <w14:schemeClr w14:val="tx1"/>
            </w14:solidFill>
          </w14:textFill>
        </w:rPr>
        <w:t>务</w:t>
      </w:r>
      <w:r>
        <w:rPr>
          <w:rFonts w:ascii="宋体" w:hAnsi="宋体" w:eastAsia="宋体" w:cs="宋体"/>
          <w:color w:val="000000" w:themeColor="text1"/>
          <w:spacing w:val="-9"/>
          <w:sz w:val="21"/>
          <w:szCs w:val="21"/>
          <w:highlight w:val="none"/>
          <w14:textFill>
            <w14:solidFill>
              <w14:schemeClr w14:val="tx1"/>
            </w14:solidFill>
          </w14:textFill>
        </w:rPr>
        <w:t>。</w:t>
      </w:r>
    </w:p>
    <w:p w14:paraId="5972CB97">
      <w:pPr>
        <w:spacing w:before="0" w:line="360" w:lineRule="auto"/>
        <w:ind w:left="0" w:right="0" w:firstLine="460" w:firstLineChars="20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(6)发</w:t>
      </w:r>
      <w:r>
        <w:rPr>
          <w:rFonts w:ascii="宋体" w:hAnsi="宋体" w:eastAsia="宋体" w:cs="宋体"/>
          <w:color w:val="000000" w:themeColor="text1"/>
          <w:spacing w:val="5"/>
          <w:sz w:val="21"/>
          <w:szCs w:val="21"/>
          <w:highlight w:val="none"/>
          <w14:textFill>
            <w14:solidFill>
              <w14:schemeClr w14:val="tx1"/>
            </w14:solidFill>
          </w14:textFill>
        </w:rPr>
        <w:t>现对方严重违反本合同义务条款的行为，有向其上级有关部门举报、建议给予</w:t>
      </w:r>
      <w:r>
        <w:rPr>
          <w:rFonts w:ascii="宋体" w:hAnsi="宋体" w:eastAsia="宋体" w:cs="宋体"/>
          <w:color w:val="000000" w:themeColor="text1"/>
          <w:spacing w:val="-1"/>
          <w:sz w:val="21"/>
          <w:szCs w:val="21"/>
          <w:highlight w:val="none"/>
          <w14:textFill>
            <w14:solidFill>
              <w14:schemeClr w14:val="tx1"/>
            </w14:solidFill>
          </w14:textFill>
        </w:rPr>
        <w:t>处理并要求告知处</w:t>
      </w:r>
      <w:r>
        <w:rPr>
          <w:rFonts w:ascii="宋体" w:hAnsi="宋体" w:eastAsia="宋体" w:cs="宋体"/>
          <w:color w:val="000000" w:themeColor="text1"/>
          <w:sz w:val="21"/>
          <w:szCs w:val="21"/>
          <w:highlight w:val="none"/>
          <w14:textFill>
            <w14:solidFill>
              <w14:schemeClr w14:val="tx1"/>
            </w14:solidFill>
          </w14:textFill>
        </w:rPr>
        <w:t>理结果的权利。</w:t>
      </w:r>
    </w:p>
    <w:p w14:paraId="69E376E5">
      <w:pPr>
        <w:spacing w:before="0" w:line="360" w:lineRule="auto"/>
        <w:ind w:left="0" w:firstLine="412" w:firstLineChars="20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2.</w:t>
      </w:r>
      <w:r>
        <w:rPr>
          <w:rFonts w:ascii="宋体" w:hAnsi="宋体" w:eastAsia="宋体" w:cs="宋体"/>
          <w:color w:val="000000" w:themeColor="text1"/>
          <w:spacing w:val="-1"/>
          <w:sz w:val="21"/>
          <w:szCs w:val="21"/>
          <w:highlight w:val="none"/>
          <w14:textFill>
            <w14:solidFill>
              <w14:schemeClr w14:val="tx1"/>
            </w14:solidFill>
          </w14:textFill>
        </w:rPr>
        <w:t>甲方的义务</w:t>
      </w:r>
    </w:p>
    <w:p w14:paraId="52DD737D">
      <w:pPr>
        <w:spacing w:before="0" w:line="360" w:lineRule="auto"/>
        <w:ind w:left="0" w:right="0" w:firstLine="460" w:firstLineChars="20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(1)甲</w:t>
      </w:r>
      <w:r>
        <w:rPr>
          <w:rFonts w:ascii="宋体" w:hAnsi="宋体" w:eastAsia="宋体" w:cs="宋体"/>
          <w:color w:val="000000" w:themeColor="text1"/>
          <w:spacing w:val="5"/>
          <w:sz w:val="21"/>
          <w:szCs w:val="21"/>
          <w:highlight w:val="none"/>
          <w14:textFill>
            <w14:solidFill>
              <w14:schemeClr w14:val="tx1"/>
            </w14:solidFill>
          </w14:textFill>
        </w:rPr>
        <w:t>方及其工作人员不得索要或接受乙方的礼金、有价证券和贵重物品，不得在乙</w:t>
      </w:r>
      <w:r>
        <w:rPr>
          <w:rFonts w:ascii="宋体" w:hAnsi="宋体" w:eastAsia="宋体" w:cs="宋体"/>
          <w:color w:val="000000" w:themeColor="text1"/>
          <w:spacing w:val="-1"/>
          <w:sz w:val="21"/>
          <w:szCs w:val="21"/>
          <w:highlight w:val="none"/>
          <w14:textFill>
            <w14:solidFill>
              <w14:schemeClr w14:val="tx1"/>
            </w14:solidFill>
          </w14:textFill>
        </w:rPr>
        <w:t>方报销任何应由甲方或甲方工作人员个人支付的费用</w:t>
      </w:r>
      <w:r>
        <w:rPr>
          <w:rFonts w:ascii="宋体" w:hAnsi="宋体" w:eastAsia="宋体" w:cs="宋体"/>
          <w:color w:val="000000" w:themeColor="text1"/>
          <w:sz w:val="21"/>
          <w:szCs w:val="21"/>
          <w:highlight w:val="none"/>
          <w14:textFill>
            <w14:solidFill>
              <w14:schemeClr w14:val="tx1"/>
            </w14:solidFill>
          </w14:textFill>
        </w:rPr>
        <w:t>等。</w:t>
      </w:r>
    </w:p>
    <w:p w14:paraId="145BF17E">
      <w:pPr>
        <w:spacing w:before="0" w:line="360" w:lineRule="auto"/>
        <w:ind w:left="0" w:right="0" w:firstLine="460" w:firstLineChars="20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(2)甲</w:t>
      </w:r>
      <w:r>
        <w:rPr>
          <w:rFonts w:ascii="宋体" w:hAnsi="宋体" w:eastAsia="宋体" w:cs="宋体"/>
          <w:color w:val="000000" w:themeColor="text1"/>
          <w:spacing w:val="5"/>
          <w:sz w:val="21"/>
          <w:szCs w:val="21"/>
          <w:highlight w:val="none"/>
          <w14:textFill>
            <w14:solidFill>
              <w14:schemeClr w14:val="tx1"/>
            </w14:solidFill>
          </w14:textFill>
        </w:rPr>
        <w:t>方工作人员不得参加乙方安排的超标准宴请和娱乐活动；不得接受乙方提供的</w:t>
      </w:r>
      <w:r>
        <w:rPr>
          <w:rFonts w:ascii="宋体" w:hAnsi="宋体" w:eastAsia="宋体" w:cs="宋体"/>
          <w:color w:val="000000" w:themeColor="text1"/>
          <w:spacing w:val="-2"/>
          <w:sz w:val="21"/>
          <w:szCs w:val="21"/>
          <w:highlight w:val="none"/>
          <w14:textFill>
            <w14:solidFill>
              <w14:schemeClr w14:val="tx1"/>
            </w14:solidFill>
          </w14:textFill>
        </w:rPr>
        <w:t>通</w:t>
      </w:r>
      <w:r>
        <w:rPr>
          <w:rFonts w:ascii="宋体" w:hAnsi="宋体" w:eastAsia="宋体" w:cs="宋体"/>
          <w:color w:val="000000" w:themeColor="text1"/>
          <w:spacing w:val="-1"/>
          <w:sz w:val="21"/>
          <w:szCs w:val="21"/>
          <w:highlight w:val="none"/>
          <w14:textFill>
            <w14:solidFill>
              <w14:schemeClr w14:val="tx1"/>
            </w14:solidFill>
          </w14:textFill>
        </w:rPr>
        <w:t>讯工具、交通工具和高档办公用品等。</w:t>
      </w:r>
    </w:p>
    <w:p w14:paraId="6DBCB412">
      <w:pPr>
        <w:spacing w:before="0" w:line="360" w:lineRule="auto"/>
        <w:ind w:left="0" w:right="0" w:firstLine="460" w:firstLineChars="20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(3)甲</w:t>
      </w:r>
      <w:r>
        <w:rPr>
          <w:rFonts w:ascii="宋体" w:hAnsi="宋体" w:eastAsia="宋体" w:cs="宋体"/>
          <w:color w:val="000000" w:themeColor="text1"/>
          <w:spacing w:val="5"/>
          <w:sz w:val="21"/>
          <w:szCs w:val="21"/>
          <w:highlight w:val="none"/>
          <w14:textFill>
            <w14:solidFill>
              <w14:schemeClr w14:val="tx1"/>
            </w14:solidFill>
          </w14:textFill>
        </w:rPr>
        <w:t>方及其工作人员不得要求或者接受乙方为其住房装修、婚丧嫁聚活动、配偶子</w:t>
      </w:r>
      <w:r>
        <w:rPr>
          <w:rFonts w:ascii="宋体" w:hAnsi="宋体" w:eastAsia="宋体" w:cs="宋体"/>
          <w:color w:val="000000" w:themeColor="text1"/>
          <w:spacing w:val="-2"/>
          <w:sz w:val="21"/>
          <w:szCs w:val="21"/>
          <w:highlight w:val="none"/>
          <w14:textFill>
            <w14:solidFill>
              <w14:schemeClr w14:val="tx1"/>
            </w14:solidFill>
          </w14:textFill>
        </w:rPr>
        <w:t>女的</w:t>
      </w:r>
      <w:r>
        <w:rPr>
          <w:rFonts w:ascii="宋体" w:hAnsi="宋体" w:eastAsia="宋体" w:cs="宋体"/>
          <w:color w:val="000000" w:themeColor="text1"/>
          <w:spacing w:val="-1"/>
          <w:sz w:val="21"/>
          <w:szCs w:val="21"/>
          <w:highlight w:val="none"/>
          <w14:textFill>
            <w14:solidFill>
              <w14:schemeClr w14:val="tx1"/>
            </w14:solidFill>
          </w14:textFill>
        </w:rPr>
        <w:t>工作安排以及出国出境、旅游等提供方便等。</w:t>
      </w:r>
    </w:p>
    <w:p w14:paraId="15F174C6">
      <w:pPr>
        <w:spacing w:before="0" w:line="360" w:lineRule="auto"/>
        <w:ind w:left="0" w:right="0" w:firstLine="396" w:firstLineChars="20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(4)甲方</w:t>
      </w:r>
      <w:r>
        <w:rPr>
          <w:rFonts w:ascii="宋体" w:hAnsi="宋体" w:eastAsia="宋体" w:cs="宋体"/>
          <w:color w:val="000000" w:themeColor="text1"/>
          <w:spacing w:val="-4"/>
          <w:sz w:val="21"/>
          <w:szCs w:val="21"/>
          <w:highlight w:val="none"/>
          <w14:textFill>
            <w14:solidFill>
              <w14:schemeClr w14:val="tx1"/>
            </w14:solidFill>
          </w14:textFill>
        </w:rPr>
        <w:t>工</w:t>
      </w:r>
      <w:r>
        <w:rPr>
          <w:rFonts w:ascii="宋体" w:hAnsi="宋体" w:eastAsia="宋体" w:cs="宋体"/>
          <w:color w:val="000000" w:themeColor="text1"/>
          <w:spacing w:val="-3"/>
          <w:sz w:val="21"/>
          <w:szCs w:val="21"/>
          <w:highlight w:val="none"/>
          <w14:textFill>
            <w14:solidFill>
              <w14:schemeClr w14:val="tx1"/>
            </w14:solidFill>
          </w14:textFill>
        </w:rPr>
        <w:t>作人及其配偶、子女不得从事与甲方工程有关的材料设备供应、工程分包、</w:t>
      </w:r>
      <w:r>
        <w:rPr>
          <w:rFonts w:ascii="宋体" w:hAnsi="宋体" w:eastAsia="宋体" w:cs="宋体"/>
          <w:color w:val="000000" w:themeColor="text1"/>
          <w:spacing w:val="-4"/>
          <w:sz w:val="21"/>
          <w:szCs w:val="21"/>
          <w:highlight w:val="none"/>
          <w14:textFill>
            <w14:solidFill>
              <w14:schemeClr w14:val="tx1"/>
            </w14:solidFill>
          </w14:textFill>
        </w:rPr>
        <w:t>劳务等</w:t>
      </w:r>
      <w:r>
        <w:rPr>
          <w:rFonts w:ascii="宋体" w:hAnsi="宋体" w:eastAsia="宋体" w:cs="宋体"/>
          <w:color w:val="000000" w:themeColor="text1"/>
          <w:spacing w:val="-3"/>
          <w:sz w:val="21"/>
          <w:szCs w:val="21"/>
          <w:highlight w:val="none"/>
          <w14:textFill>
            <w14:solidFill>
              <w14:schemeClr w14:val="tx1"/>
            </w14:solidFill>
          </w14:textFill>
        </w:rPr>
        <w:t>经</w:t>
      </w:r>
      <w:r>
        <w:rPr>
          <w:rFonts w:ascii="宋体" w:hAnsi="宋体" w:eastAsia="宋体" w:cs="宋体"/>
          <w:color w:val="000000" w:themeColor="text1"/>
          <w:spacing w:val="-2"/>
          <w:sz w:val="21"/>
          <w:szCs w:val="21"/>
          <w:highlight w:val="none"/>
          <w14:textFill>
            <w14:solidFill>
              <w14:schemeClr w14:val="tx1"/>
            </w14:solidFill>
          </w14:textFill>
        </w:rPr>
        <w:t>济活动等。</w:t>
      </w:r>
    </w:p>
    <w:p w14:paraId="6C9BEEFB">
      <w:pPr>
        <w:spacing w:before="0" w:line="360" w:lineRule="auto"/>
        <w:ind w:left="0" w:right="0" w:firstLine="460" w:firstLineChars="20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(5)甲</w:t>
      </w:r>
      <w:r>
        <w:rPr>
          <w:rFonts w:ascii="宋体" w:hAnsi="宋体" w:eastAsia="宋体" w:cs="宋体"/>
          <w:color w:val="000000" w:themeColor="text1"/>
          <w:spacing w:val="5"/>
          <w:sz w:val="21"/>
          <w:szCs w:val="21"/>
          <w:highlight w:val="none"/>
          <w14:textFill>
            <w14:solidFill>
              <w14:schemeClr w14:val="tx1"/>
            </w14:solidFill>
          </w14:textFill>
        </w:rPr>
        <w:t>方及其工作人员不得以任何理由向乙方推荐分包单位或推销材料，不得要求乙</w:t>
      </w:r>
      <w:r>
        <w:rPr>
          <w:rFonts w:ascii="宋体" w:hAnsi="宋体" w:eastAsia="宋体" w:cs="宋体"/>
          <w:color w:val="000000" w:themeColor="text1"/>
          <w:spacing w:val="-1"/>
          <w:sz w:val="21"/>
          <w:szCs w:val="21"/>
          <w:highlight w:val="none"/>
          <w14:textFill>
            <w14:solidFill>
              <w14:schemeClr w14:val="tx1"/>
            </w14:solidFill>
          </w14:textFill>
        </w:rPr>
        <w:t>方购买合</w:t>
      </w:r>
      <w:r>
        <w:rPr>
          <w:rFonts w:ascii="宋体" w:hAnsi="宋体" w:eastAsia="宋体" w:cs="宋体"/>
          <w:color w:val="000000" w:themeColor="text1"/>
          <w:sz w:val="21"/>
          <w:szCs w:val="21"/>
          <w:highlight w:val="none"/>
          <w14:textFill>
            <w14:solidFill>
              <w14:schemeClr w14:val="tx1"/>
            </w14:solidFill>
          </w14:textFill>
        </w:rPr>
        <w:t>同规定外的材料和设备。</w:t>
      </w:r>
    </w:p>
    <w:p w14:paraId="409025EF">
      <w:pPr>
        <w:spacing w:before="0" w:line="360" w:lineRule="auto"/>
        <w:ind w:left="0" w:right="0" w:firstLine="460" w:firstLineChars="20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(6)甲</w:t>
      </w:r>
      <w:r>
        <w:rPr>
          <w:rFonts w:ascii="宋体" w:hAnsi="宋体" w:eastAsia="宋体" w:cs="宋体"/>
          <w:color w:val="000000" w:themeColor="text1"/>
          <w:spacing w:val="5"/>
          <w:sz w:val="21"/>
          <w:szCs w:val="21"/>
          <w:highlight w:val="none"/>
          <w14:textFill>
            <w14:solidFill>
              <w14:schemeClr w14:val="tx1"/>
            </w14:solidFill>
          </w14:textFill>
        </w:rPr>
        <w:t>方工作人员要秉公办事，不准营私舞弊，不准利用职权从事各种个人有偿中介</w:t>
      </w:r>
      <w:r>
        <w:rPr>
          <w:rFonts w:ascii="宋体" w:hAnsi="宋体" w:eastAsia="宋体" w:cs="宋体"/>
          <w:color w:val="000000" w:themeColor="text1"/>
          <w:spacing w:val="-1"/>
          <w:sz w:val="21"/>
          <w:szCs w:val="21"/>
          <w:highlight w:val="none"/>
          <w14:textFill>
            <w14:solidFill>
              <w14:schemeClr w14:val="tx1"/>
            </w14:solidFill>
          </w14:textFill>
        </w:rPr>
        <w:t>活动和安排个人施</w:t>
      </w:r>
      <w:r>
        <w:rPr>
          <w:rFonts w:ascii="宋体" w:hAnsi="宋体" w:eastAsia="宋体" w:cs="宋体"/>
          <w:color w:val="000000" w:themeColor="text1"/>
          <w:sz w:val="21"/>
          <w:szCs w:val="21"/>
          <w:highlight w:val="none"/>
          <w14:textFill>
            <w14:solidFill>
              <w14:schemeClr w14:val="tx1"/>
            </w14:solidFill>
          </w14:textFill>
        </w:rPr>
        <w:t>工队伍。</w:t>
      </w:r>
    </w:p>
    <w:p w14:paraId="156AF576">
      <w:pPr>
        <w:spacing w:before="2" w:line="360" w:lineRule="auto"/>
        <w:ind w:left="26" w:right="89" w:firstLine="425"/>
        <w:rPr>
          <w:rFonts w:ascii="宋体" w:hAnsi="宋体" w:eastAsia="宋体" w:cs="宋体"/>
          <w:color w:val="000000" w:themeColor="text1"/>
          <w:spacing w:val="10"/>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3.乙方义务</w:t>
      </w:r>
    </w:p>
    <w:p w14:paraId="24DEAE06">
      <w:pPr>
        <w:spacing w:before="2" w:line="360" w:lineRule="auto"/>
        <w:ind w:left="26" w:right="89" w:firstLine="425"/>
        <w:rPr>
          <w:rFonts w:ascii="宋体" w:hAnsi="宋体" w:eastAsia="宋体" w:cs="宋体"/>
          <w:color w:val="000000" w:themeColor="text1"/>
          <w:spacing w:val="10"/>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(1)乙方不得以任何理由向甲方及其工作人员行贿或馈赠礼金、有介证券、贵重礼品。</w:t>
      </w:r>
    </w:p>
    <w:p w14:paraId="436A8111">
      <w:pPr>
        <w:spacing w:before="2" w:line="360" w:lineRule="auto"/>
        <w:ind w:left="26" w:right="89" w:firstLine="425"/>
        <w:rPr>
          <w:rFonts w:ascii="宋体" w:hAnsi="宋体" w:eastAsia="宋体" w:cs="宋体"/>
          <w:color w:val="000000" w:themeColor="text1"/>
          <w:spacing w:val="10"/>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(2)乙方不得以任何名义为甲方及其工作人员报销应由甲方单位或个人支付的任何费用。</w:t>
      </w:r>
    </w:p>
    <w:p w14:paraId="0AE97B46">
      <w:pPr>
        <w:spacing w:before="2" w:line="360" w:lineRule="auto"/>
        <w:ind w:left="26" w:right="89" w:firstLine="425"/>
        <w:rPr>
          <w:rFonts w:ascii="宋体" w:hAnsi="宋体" w:eastAsia="宋体" w:cs="宋体"/>
          <w:color w:val="000000" w:themeColor="text1"/>
          <w:spacing w:val="10"/>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(3)乙方不得以任何理由安排甲方工作人员参加超标准宴请及娱乐活动。</w:t>
      </w:r>
    </w:p>
    <w:p w14:paraId="2E0FC486">
      <w:pPr>
        <w:spacing w:before="2" w:line="360" w:lineRule="auto"/>
        <w:ind w:left="26" w:right="89" w:firstLine="425"/>
        <w:rPr>
          <w:rFonts w:ascii="宋体" w:hAnsi="宋体" w:eastAsia="宋体" w:cs="宋体"/>
          <w:color w:val="000000" w:themeColor="text1"/>
          <w:spacing w:val="10"/>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(4)乙方不得为甲方单位和个人购置或提供通讯工具、交通工具和高档办公用吕等。</w:t>
      </w:r>
    </w:p>
    <w:p w14:paraId="70EFEA48">
      <w:pPr>
        <w:spacing w:before="2" w:line="360" w:lineRule="auto"/>
        <w:ind w:left="26" w:right="89" w:firstLine="425"/>
        <w:rPr>
          <w:rFonts w:ascii="宋体" w:hAnsi="宋体" w:eastAsia="宋体" w:cs="宋体"/>
          <w:color w:val="000000" w:themeColor="text1"/>
          <w:spacing w:val="10"/>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4.违约责任</w:t>
      </w:r>
    </w:p>
    <w:p w14:paraId="36E09D01">
      <w:pPr>
        <w:spacing w:before="2" w:line="360" w:lineRule="auto"/>
        <w:ind w:left="26" w:right="89" w:firstLine="425"/>
        <w:rPr>
          <w:rFonts w:ascii="宋体" w:hAnsi="宋体" w:eastAsia="宋体" w:cs="宋体"/>
          <w:color w:val="000000" w:themeColor="text1"/>
          <w:spacing w:val="10"/>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(1)甲方及其工作人员违反本合同第一、二条，按管理权限，依据有关规定给予党纪、政纪或组织处理；涉嫌犯罪的，移交司法机关追究刑事责任；给乙方单位造成经济损失的，应予以赔偿。</w:t>
      </w:r>
    </w:p>
    <w:p w14:paraId="2D665F3B">
      <w:pPr>
        <w:spacing w:before="2" w:line="360" w:lineRule="auto"/>
        <w:ind w:left="26" w:right="89" w:firstLine="425"/>
        <w:rPr>
          <w:rFonts w:ascii="宋体" w:hAnsi="宋体" w:eastAsia="宋体" w:cs="宋体"/>
          <w:color w:val="000000" w:themeColor="text1"/>
          <w:spacing w:val="10"/>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5AF982F1">
      <w:pPr>
        <w:spacing w:before="2" w:line="360" w:lineRule="auto"/>
        <w:ind w:left="26" w:right="89" w:firstLine="425"/>
        <w:rPr>
          <w:rFonts w:ascii="宋体" w:hAnsi="宋体" w:eastAsia="宋体" w:cs="宋体"/>
          <w:color w:val="000000" w:themeColor="text1"/>
          <w:spacing w:val="10"/>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39C97F9B">
      <w:pPr>
        <w:spacing w:before="2" w:line="360" w:lineRule="auto"/>
        <w:ind w:left="26" w:right="89" w:firstLine="425"/>
        <w:rPr>
          <w:rFonts w:ascii="宋体" w:hAnsi="宋体" w:eastAsia="宋体" w:cs="宋体"/>
          <w:color w:val="000000" w:themeColor="text1"/>
          <w:spacing w:val="10"/>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6.本合同有效期为甲乙双签署之日起至该工程项目竣工验收后止。</w:t>
      </w:r>
    </w:p>
    <w:p w14:paraId="2E6BB8F1">
      <w:pPr>
        <w:spacing w:before="2" w:line="360" w:lineRule="auto"/>
        <w:ind w:left="26" w:right="89" w:firstLine="425"/>
        <w:rPr>
          <w:rFonts w:ascii="宋体" w:hAnsi="宋体" w:eastAsia="宋体" w:cs="宋体"/>
          <w:color w:val="000000" w:themeColor="text1"/>
          <w:spacing w:val="10"/>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7.本合同作为</w:t>
      </w:r>
      <w:r>
        <w:rPr>
          <w:rFonts w:ascii="宋体" w:hAnsi="宋体" w:eastAsia="宋体" w:cs="宋体"/>
          <w:color w:val="000000" w:themeColor="text1"/>
          <w:spacing w:val="10"/>
          <w:sz w:val="21"/>
          <w:szCs w:val="21"/>
          <w:highlight w:val="none"/>
          <w:u w:val="none" w:color="auto"/>
          <w14:textFill>
            <w14:solidFill>
              <w14:schemeClr w14:val="tx1"/>
            </w14:solidFill>
          </w14:textFill>
        </w:rPr>
        <w:t>(项目名称)</w:t>
      </w:r>
      <w:r>
        <w:rPr>
          <w:rFonts w:ascii="宋体" w:hAnsi="宋体" w:eastAsia="宋体" w:cs="宋体"/>
          <w:color w:val="000000" w:themeColor="text1"/>
          <w:spacing w:val="10"/>
          <w:sz w:val="21"/>
          <w:szCs w:val="21"/>
          <w:highlight w:val="none"/>
          <w14:textFill>
            <w14:solidFill>
              <w14:schemeClr w14:val="tx1"/>
            </w14:solidFill>
          </w14:textFill>
        </w:rPr>
        <w:t>工程施工合同的附件，与工程施工合同具有同等的法律效力，经合同双方签署立即生效。</w:t>
      </w:r>
    </w:p>
    <w:p w14:paraId="5E361BD4">
      <w:pPr>
        <w:spacing w:before="2" w:line="360" w:lineRule="auto"/>
        <w:ind w:left="26" w:right="89" w:firstLine="425"/>
        <w:rPr>
          <w:rFonts w:ascii="宋体" w:hAnsi="宋体" w:eastAsia="宋体" w:cs="宋体"/>
          <w:color w:val="000000" w:themeColor="text1"/>
          <w:spacing w:val="10"/>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8.本合同一式四份，由甲乙双方各执一份，送交甲乙双方的监督单位各一份。</w:t>
      </w:r>
    </w:p>
    <w:p w14:paraId="32ADB71A">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甲方：（单位全称）（盖章）</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乙方：（单位全称）（盖章）</w:t>
      </w:r>
    </w:p>
    <w:p w14:paraId="5F0AB852">
      <w:pPr>
        <w:spacing w:line="360" w:lineRule="auto"/>
        <w:ind w:firstLine="1260" w:firstLineChars="6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法定代表人 </w:t>
      </w:r>
      <w:r>
        <w:rPr>
          <w:rFonts w:hint="eastAsia"/>
          <w:color w:val="000000" w:themeColor="text1"/>
          <w:highlight w:val="none"/>
          <w:lang w:val="en-US" w:eastAsia="zh-CN"/>
          <w14:textFill>
            <w14:solidFill>
              <w14:schemeClr w14:val="tx1"/>
            </w14:solidFill>
          </w14:textFill>
        </w:rPr>
        <w:t xml:space="preserve">                           法定代表人 </w:t>
      </w:r>
    </w:p>
    <w:p w14:paraId="4FC6AD6C">
      <w:pPr>
        <w:spacing w:line="360" w:lineRule="auto"/>
        <w:ind w:firstLine="0" w:firstLineChars="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 xml:space="preserve">（或）其授权的代理人： </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（职务）</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 xml:space="preserve">（或）其授权的代理人： </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（职务）</w:t>
      </w:r>
    </w:p>
    <w:p w14:paraId="0ECA6F18">
      <w:pPr>
        <w:spacing w:line="360" w:lineRule="auto"/>
        <w:ind w:firstLine="2940" w:firstLineChars="140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 xml:space="preserve">（签字） </w:t>
      </w:r>
      <w:r>
        <w:rPr>
          <w:rFonts w:hint="eastAsia"/>
          <w:color w:val="000000" w:themeColor="text1"/>
          <w:highlight w:val="none"/>
          <w:lang w:val="en-US" w:eastAsia="zh-CN"/>
          <w14:textFill>
            <w14:solidFill>
              <w14:schemeClr w14:val="tx1"/>
            </w14:solidFill>
          </w14:textFill>
        </w:rPr>
        <w:t xml:space="preserve">                                     （签字） </w:t>
      </w:r>
    </w:p>
    <w:p w14:paraId="05103750">
      <w:pPr>
        <w:spacing w:line="360" w:lineRule="auto"/>
        <w:ind w:firstLine="1470" w:firstLineChars="700"/>
        <w:rPr>
          <w:rFonts w:hint="eastAsia"/>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地 址：</w:t>
      </w:r>
      <w:r>
        <w:rPr>
          <w:rFonts w:hint="eastAsia"/>
          <w:color w:val="000000" w:themeColor="text1"/>
          <w:highlight w:val="none"/>
          <w:lang w:val="en-US" w:eastAsia="zh-CN"/>
          <w14:textFill>
            <w14:solidFill>
              <w14:schemeClr w14:val="tx1"/>
            </w14:solidFill>
          </w14:textFill>
        </w:rPr>
        <w:t xml:space="preserve">                                     地址：</w:t>
      </w:r>
    </w:p>
    <w:p w14:paraId="6AC8FFCF">
      <w:pPr>
        <w:spacing w:line="360" w:lineRule="auto"/>
        <w:ind w:firstLine="1470" w:firstLineChars="7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电话：                                      电话：</w:t>
      </w:r>
    </w:p>
    <w:p w14:paraId="37C12656">
      <w:pPr>
        <w:spacing w:line="360" w:lineRule="auto"/>
        <w:ind w:firstLine="1470" w:firstLineChars="7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日期：                                      日期：</w:t>
      </w:r>
    </w:p>
    <w:p w14:paraId="034AA346">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lang w:val="en-US" w:eastAsia="zh-CN"/>
          <w14:textFill>
            <w14:solidFill>
              <w14:schemeClr w14:val="tx1"/>
            </w14:solidFill>
          </w14:textFill>
        </w:rPr>
        <w:t>监督单位</w:t>
      </w:r>
      <w:r>
        <w:rPr>
          <w:rFonts w:hint="eastAsia"/>
          <w:color w:val="000000" w:themeColor="text1"/>
          <w:highlight w:val="none"/>
          <w14:textFill>
            <w14:solidFill>
              <w14:schemeClr w14:val="tx1"/>
            </w14:solidFill>
          </w14:textFill>
        </w:rPr>
        <w:t>：（全称）（盖章）</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乙方</w:t>
      </w:r>
      <w:r>
        <w:rPr>
          <w:rFonts w:hint="eastAsia"/>
          <w:color w:val="000000" w:themeColor="text1"/>
          <w:highlight w:val="none"/>
          <w:lang w:val="en-US" w:eastAsia="zh-CN"/>
          <w14:textFill>
            <w14:solidFill>
              <w14:schemeClr w14:val="tx1"/>
            </w14:solidFill>
          </w14:textFill>
        </w:rPr>
        <w:t>监督单位</w:t>
      </w:r>
      <w:r>
        <w:rPr>
          <w:rFonts w:hint="eastAsia"/>
          <w:color w:val="000000" w:themeColor="text1"/>
          <w:highlight w:val="none"/>
          <w14:textFill>
            <w14:solidFill>
              <w14:schemeClr w14:val="tx1"/>
            </w14:solidFill>
          </w14:textFill>
        </w:rPr>
        <w:t>：（全称）（盖章）</w:t>
      </w:r>
    </w:p>
    <w:p w14:paraId="5E572EC8">
      <w:pPr>
        <w:spacing w:line="360" w:lineRule="auto"/>
        <w:ind w:firstLine="1470" w:firstLineChars="700"/>
        <w:rPr>
          <w:rFonts w:hint="default"/>
          <w:color w:val="000000" w:themeColor="text1"/>
          <w:highlight w:val="none"/>
          <w:lang w:val="en-US" w:eastAsia="zh-CN"/>
          <w14:textFill>
            <w14:solidFill>
              <w14:schemeClr w14:val="tx1"/>
            </w14:solidFill>
          </w14:textFill>
        </w:rPr>
      </w:pPr>
    </w:p>
    <w:p w14:paraId="0C030695">
      <w:pPr>
        <w:spacing w:before="68" w:line="220" w:lineRule="auto"/>
        <w:ind w:left="39"/>
        <w:rPr>
          <w:rFonts w:ascii="宋体" w:hAnsi="宋体" w:eastAsia="宋体"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ascii="宋体" w:hAnsi="宋体" w:eastAsia="宋体" w:cs="宋体"/>
          <w:b/>
          <w:bCs/>
          <w:color w:val="000000" w:themeColor="text1"/>
          <w:spacing w:val="-3"/>
          <w:sz w:val="21"/>
          <w:szCs w:val="21"/>
          <w:highlight w:val="none"/>
          <w14:textFill>
            <w14:solidFill>
              <w14:schemeClr w14:val="tx1"/>
            </w14:solidFill>
          </w14:textFill>
        </w:rPr>
        <w:t>附件五：安全生产合同</w:t>
      </w:r>
    </w:p>
    <w:p w14:paraId="544C4494">
      <w:pPr>
        <w:spacing w:line="266" w:lineRule="auto"/>
        <w:rPr>
          <w:rFonts w:ascii="Arial"/>
          <w:color w:val="000000" w:themeColor="text1"/>
          <w:sz w:val="21"/>
          <w:highlight w:val="none"/>
          <w14:textFill>
            <w14:solidFill>
              <w14:schemeClr w14:val="tx1"/>
            </w14:solidFill>
          </w14:textFill>
        </w:rPr>
      </w:pPr>
    </w:p>
    <w:p w14:paraId="6EE96C67">
      <w:pPr>
        <w:spacing w:before="0" w:afterLines="0" w:line="360" w:lineRule="auto"/>
        <w:ind w:left="0" w:right="0" w:firstLine="422"/>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为在</w:t>
      </w:r>
      <w:r>
        <w:rPr>
          <w:rFonts w:hint="eastAsia" w:ascii="宋体" w:hAnsi="宋体" w:eastAsia="宋体" w:cs="宋体"/>
          <w:color w:val="000000" w:themeColor="text1"/>
          <w:spacing w:val="-4"/>
          <w:sz w:val="21"/>
          <w:szCs w:val="21"/>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4"/>
          <w:sz w:val="21"/>
          <w:szCs w:val="21"/>
          <w:highlight w:val="none"/>
          <w:u w:val="none" w:color="auto"/>
          <w14:textFill>
            <w14:solidFill>
              <w14:schemeClr w14:val="tx1"/>
            </w14:solidFill>
          </w14:textFill>
        </w:rPr>
        <w:t>(项目名称)</w:t>
      </w:r>
      <w:r>
        <w:rPr>
          <w:rFonts w:ascii="宋体" w:hAnsi="宋体" w:eastAsia="宋体" w:cs="宋体"/>
          <w:color w:val="000000" w:themeColor="text1"/>
          <w:spacing w:val="-4"/>
          <w:sz w:val="21"/>
          <w:szCs w:val="21"/>
          <w:highlight w:val="none"/>
          <w14:textFill>
            <w14:solidFill>
              <w14:schemeClr w14:val="tx1"/>
            </w14:solidFill>
          </w14:textFill>
        </w:rPr>
        <w:t>施工合同的实施过程中创造安全、高效的施工环境，切实搞好本项目的安全管理工作，本项目业主</w:t>
      </w:r>
      <w:r>
        <w:rPr>
          <w:rFonts w:hint="eastAsia" w:ascii="宋体" w:hAnsi="宋体" w:eastAsia="宋体" w:cs="宋体"/>
          <w:color w:val="000000" w:themeColor="text1"/>
          <w:spacing w:val="-4"/>
          <w:sz w:val="21"/>
          <w:szCs w:val="21"/>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4"/>
          <w:sz w:val="21"/>
          <w:szCs w:val="21"/>
          <w:highlight w:val="none"/>
          <w:u w:val="none" w:color="auto"/>
          <w14:textFill>
            <w14:solidFill>
              <w14:schemeClr w14:val="tx1"/>
            </w14:solidFill>
          </w14:textFill>
        </w:rPr>
        <w:t>(全称)</w:t>
      </w:r>
      <w:r>
        <w:rPr>
          <w:rFonts w:ascii="宋体" w:hAnsi="宋体" w:eastAsia="宋体" w:cs="宋体"/>
          <w:color w:val="000000" w:themeColor="text1"/>
          <w:spacing w:val="-4"/>
          <w:sz w:val="21"/>
          <w:szCs w:val="21"/>
          <w:highlight w:val="none"/>
          <w14:textFill>
            <w14:solidFill>
              <w14:schemeClr w14:val="tx1"/>
            </w14:solidFill>
          </w14:textFill>
        </w:rPr>
        <w:t>(以下简称“甲方”)与承包人</w:t>
      </w:r>
      <w:r>
        <w:rPr>
          <w:rFonts w:hint="eastAsia" w:ascii="宋体" w:hAnsi="宋体" w:eastAsia="宋体" w:cs="宋体"/>
          <w:color w:val="000000" w:themeColor="text1"/>
          <w:spacing w:val="-4"/>
          <w:sz w:val="21"/>
          <w:szCs w:val="21"/>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4"/>
          <w:sz w:val="21"/>
          <w:szCs w:val="21"/>
          <w:highlight w:val="none"/>
          <w:u w:val="none" w:color="auto"/>
          <w14:textFill>
            <w14:solidFill>
              <w14:schemeClr w14:val="tx1"/>
            </w14:solidFill>
          </w14:textFill>
        </w:rPr>
        <w:t>(全称)</w:t>
      </w:r>
      <w:r>
        <w:rPr>
          <w:rFonts w:ascii="宋体" w:hAnsi="宋体" w:eastAsia="宋体" w:cs="宋体"/>
          <w:color w:val="000000" w:themeColor="text1"/>
          <w:spacing w:val="-4"/>
          <w:sz w:val="21"/>
          <w:szCs w:val="21"/>
          <w:highlight w:val="none"/>
          <w14:textFill>
            <w14:solidFill>
              <w14:schemeClr w14:val="tx1"/>
            </w14:solidFill>
          </w14:textFill>
        </w:rPr>
        <w:t>(以下简称“乙方”)特此签订安全生产合同：</w:t>
      </w:r>
    </w:p>
    <w:p w14:paraId="2F782962">
      <w:pPr>
        <w:spacing w:afterLines="0" w:line="360" w:lineRule="auto"/>
        <w:ind w:left="0" w:firstLine="422"/>
        <w:outlineLvl w:val="9"/>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一、甲方职责</w:t>
      </w:r>
    </w:p>
    <w:p w14:paraId="520F3679">
      <w:pPr>
        <w:spacing w:before="0" w:afterLines="0" w:line="360" w:lineRule="auto"/>
        <w:ind w:left="0" w:firstLine="422"/>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1.严格遵守国家有关安全生产的法律法规，认真执行工程承包合同中的有关安全要求。</w:t>
      </w:r>
    </w:p>
    <w:p w14:paraId="333FA866">
      <w:pPr>
        <w:spacing w:before="0" w:afterLines="0" w:line="360" w:lineRule="auto"/>
        <w:ind w:left="0" w:right="0" w:firstLine="422"/>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2.按照“安全第一、预防为主”和坚持“管生产必须管安全”的原则进行安全生产管理，做到生产与安全工作同时计划、布置、检查、总结和评比。</w:t>
      </w:r>
    </w:p>
    <w:p w14:paraId="325FFD1C">
      <w:pPr>
        <w:spacing w:before="0" w:afterLines="0" w:line="360" w:lineRule="auto"/>
        <w:ind w:left="0" w:right="0" w:firstLine="422"/>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3.重要的安全设施必须坚持与主体工程“三同时”的原则，即：同时设计、审批，同时施工，同时验收，投入使用。</w:t>
      </w:r>
    </w:p>
    <w:p w14:paraId="5D43F38A">
      <w:pPr>
        <w:spacing w:afterLines="0" w:line="360" w:lineRule="auto"/>
        <w:ind w:left="0" w:firstLine="422"/>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4.定期召开安全生产调度会，及时传达中央及地方有关安全生产的精神。</w:t>
      </w:r>
    </w:p>
    <w:p w14:paraId="3BB87B61">
      <w:pPr>
        <w:spacing w:before="0" w:afterLines="0" w:line="360" w:lineRule="auto"/>
        <w:ind w:left="0" w:firstLine="422"/>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5.组织对乙方施工现场安全生产检查，监督乙方及时处理发现的各种安全隐患。</w:t>
      </w:r>
    </w:p>
    <w:p w14:paraId="1A7810D7">
      <w:pPr>
        <w:spacing w:before="0" w:afterLines="0" w:line="360" w:lineRule="auto"/>
        <w:ind w:left="0" w:firstLine="422"/>
        <w:outlineLvl w:val="9"/>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二、乙方职责</w:t>
      </w:r>
    </w:p>
    <w:p w14:paraId="2A290D04">
      <w:pPr>
        <w:spacing w:before="0" w:afterLines="0" w:line="360" w:lineRule="auto"/>
        <w:ind w:left="0" w:right="0" w:firstLine="422"/>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1.严格遵守国家有关安全生产的法律法规、交通部颁发的有关安全生产的规定，认真执行工程承包合同中的有关安全要求。</w:t>
      </w:r>
    </w:p>
    <w:p w14:paraId="7A88205F">
      <w:pPr>
        <w:spacing w:before="0" w:afterLines="0" w:line="360" w:lineRule="auto"/>
        <w:ind w:left="0" w:right="0" w:firstLine="422"/>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E7761E3">
      <w:pPr>
        <w:spacing w:before="0" w:afterLines="0" w:line="360" w:lineRule="auto"/>
        <w:ind w:left="0" w:right="0" w:firstLine="422"/>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83AFD16">
      <w:pPr>
        <w:spacing w:afterLines="0" w:line="360" w:lineRule="auto"/>
        <w:ind w:left="0" w:right="0" w:firstLine="422"/>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4.乙方在任何时候都应采取各种合理的预防措施，防止其员工发生任何违法、违禁、暴力或妨碍治安的行为。</w:t>
      </w:r>
    </w:p>
    <w:p w14:paraId="01E6F4E4">
      <w:pPr>
        <w:spacing w:before="0" w:afterLines="0" w:line="360" w:lineRule="auto"/>
        <w:ind w:left="0" w:right="0" w:firstLine="422"/>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755392E5">
      <w:pPr>
        <w:spacing w:before="0" w:afterLines="0" w:line="360" w:lineRule="auto"/>
        <w:ind w:left="0" w:right="0" w:firstLine="422"/>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0DA498E7">
      <w:pPr>
        <w:spacing w:before="0" w:afterLines="0" w:line="360" w:lineRule="auto"/>
        <w:ind w:left="0" w:right="0" w:firstLine="422"/>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7.操作人员上岗，必须按规定穿戴防护用品。施工负责人和安全检查员应随时检查劳动防护用品的穿戴情况，不按规定穿戴防护用品的人员不得上岗。</w:t>
      </w:r>
    </w:p>
    <w:p w14:paraId="7CBAD68B">
      <w:pPr>
        <w:spacing w:before="0" w:afterLines="0" w:line="360" w:lineRule="auto"/>
        <w:ind w:left="0" w:right="0" w:firstLine="422"/>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8.所有施工机具设备和高空作业的设备均应定期检查，并有安全员的签字记录，保证其经常处于完好状态；不合格的机具、设备和劳动保护用品严禁使用。</w:t>
      </w:r>
    </w:p>
    <w:p w14:paraId="3D5C3380">
      <w:pPr>
        <w:spacing w:before="0" w:afterLines="0" w:line="360" w:lineRule="auto"/>
        <w:ind w:left="0" w:right="0" w:firstLine="422"/>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9.施工中采用新技术、新工艺、新设备、新材料时，必须制定相应的安全技术措施，施工现场必须具有相关的安全标志牌。</w:t>
      </w:r>
    </w:p>
    <w:p w14:paraId="486B8C3D">
      <w:pPr>
        <w:spacing w:before="0" w:afterLines="0" w:line="360" w:lineRule="auto"/>
        <w:ind w:left="0" w:right="0" w:firstLine="422"/>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FC7CF68">
      <w:pPr>
        <w:spacing w:before="0" w:afterLines="0" w:line="360" w:lineRule="auto"/>
        <w:ind w:left="0" w:firstLine="422"/>
        <w:outlineLvl w:val="9"/>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三、违约责任</w:t>
      </w:r>
    </w:p>
    <w:p w14:paraId="77EAF80A">
      <w:pPr>
        <w:spacing w:before="0" w:afterLines="0" w:line="360" w:lineRule="auto"/>
        <w:ind w:left="0" w:firstLine="422"/>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如因甲方或乙方违约造成安全事故，将依法追究责任。</w:t>
      </w:r>
    </w:p>
    <w:p w14:paraId="51F3256C">
      <w:pPr>
        <w:spacing w:before="68" w:line="417" w:lineRule="auto"/>
        <w:ind w:left="24" w:right="7" w:firstLine="421"/>
        <w:rPr>
          <w:rFonts w:ascii="宋体" w:hAnsi="宋体" w:eastAsia="宋体" w:cs="宋体"/>
          <w:color w:val="000000" w:themeColor="text1"/>
          <w:spacing w:val="-3"/>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本合同正本一式二份，副本</w:t>
      </w:r>
      <w:r>
        <w:rPr>
          <w:rFonts w:ascii="宋体" w:hAnsi="宋体" w:eastAsia="宋体" w:cs="宋体"/>
          <w:color w:val="000000" w:themeColor="text1"/>
          <w:spacing w:val="-2"/>
          <w:sz w:val="21"/>
          <w:szCs w:val="21"/>
          <w:highlight w:val="none"/>
          <w14:textFill>
            <w14:solidFill>
              <w14:schemeClr w14:val="tx1"/>
            </w14:solidFill>
          </w14:textFill>
        </w:rPr>
        <w:t>八份，合同双方各执正本一份，副本四份。由双方法定代表</w:t>
      </w:r>
      <w:r>
        <w:rPr>
          <w:rFonts w:ascii="宋体" w:hAnsi="宋体" w:eastAsia="宋体" w:cs="宋体"/>
          <w:color w:val="000000" w:themeColor="text1"/>
          <w:spacing w:val="-6"/>
          <w:sz w:val="21"/>
          <w:szCs w:val="21"/>
          <w:highlight w:val="none"/>
          <w14:textFill>
            <w14:solidFill>
              <w14:schemeClr w14:val="tx1"/>
            </w14:solidFill>
          </w14:textFill>
        </w:rPr>
        <w:t>人或其</w:t>
      </w:r>
      <w:r>
        <w:rPr>
          <w:rFonts w:ascii="宋体" w:hAnsi="宋体" w:eastAsia="宋体" w:cs="宋体"/>
          <w:color w:val="000000" w:themeColor="text1"/>
          <w:spacing w:val="-3"/>
          <w:sz w:val="21"/>
          <w:szCs w:val="21"/>
          <w:highlight w:val="none"/>
          <w14:textFill>
            <w14:solidFill>
              <w14:schemeClr w14:val="tx1"/>
            </w14:solidFill>
          </w14:textFill>
        </w:rPr>
        <w:t>授权的代理人签署与加盖公章后生效，全部工程竣工验收后失效。</w:t>
      </w:r>
    </w:p>
    <w:p w14:paraId="15F135CA">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甲方：（单位全称）（盖章）</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乙方：（单位全称）（盖章）</w:t>
      </w:r>
    </w:p>
    <w:p w14:paraId="206F6A79">
      <w:pPr>
        <w:spacing w:line="360" w:lineRule="auto"/>
        <w:ind w:firstLine="1260" w:firstLineChars="6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法定代表人 </w:t>
      </w:r>
      <w:r>
        <w:rPr>
          <w:rFonts w:hint="eastAsia"/>
          <w:color w:val="000000" w:themeColor="text1"/>
          <w:highlight w:val="none"/>
          <w:lang w:val="en-US" w:eastAsia="zh-CN"/>
          <w14:textFill>
            <w14:solidFill>
              <w14:schemeClr w14:val="tx1"/>
            </w14:solidFill>
          </w14:textFill>
        </w:rPr>
        <w:t xml:space="preserve">                           法定代表人 </w:t>
      </w:r>
    </w:p>
    <w:p w14:paraId="50FFEEEF">
      <w:pPr>
        <w:spacing w:line="360" w:lineRule="auto"/>
        <w:ind w:firstLine="0" w:firstLineChars="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 xml:space="preserve">（或）其授权的代理人： </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（职务）</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 xml:space="preserve">（或）其授权的代理人： </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（职务）</w:t>
      </w:r>
    </w:p>
    <w:p w14:paraId="55C0F899">
      <w:pPr>
        <w:spacing w:line="360" w:lineRule="auto"/>
        <w:ind w:firstLine="2940" w:firstLineChars="140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 xml:space="preserve">（签字） </w:t>
      </w:r>
      <w:r>
        <w:rPr>
          <w:rFonts w:hint="eastAsia"/>
          <w:color w:val="000000" w:themeColor="text1"/>
          <w:highlight w:val="none"/>
          <w:lang w:val="en-US" w:eastAsia="zh-CN"/>
          <w14:textFill>
            <w14:solidFill>
              <w14:schemeClr w14:val="tx1"/>
            </w14:solidFill>
          </w14:textFill>
        </w:rPr>
        <w:t xml:space="preserve">                                     （签字） </w:t>
      </w:r>
    </w:p>
    <w:p w14:paraId="38E56C20">
      <w:pPr>
        <w:spacing w:line="360" w:lineRule="auto"/>
        <w:ind w:firstLine="1470" w:firstLineChars="700"/>
        <w:rPr>
          <w:rFonts w:hint="eastAsia"/>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地 址：</w:t>
      </w:r>
      <w:r>
        <w:rPr>
          <w:rFonts w:hint="eastAsia"/>
          <w:color w:val="000000" w:themeColor="text1"/>
          <w:highlight w:val="none"/>
          <w:lang w:val="en-US" w:eastAsia="zh-CN"/>
          <w14:textFill>
            <w14:solidFill>
              <w14:schemeClr w14:val="tx1"/>
            </w14:solidFill>
          </w14:textFill>
        </w:rPr>
        <w:t xml:space="preserve">                                     地址：</w:t>
      </w:r>
    </w:p>
    <w:p w14:paraId="04BBB575">
      <w:pPr>
        <w:spacing w:line="360" w:lineRule="auto"/>
        <w:ind w:firstLine="1470" w:firstLineChars="7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电话：                                      电话：</w:t>
      </w:r>
    </w:p>
    <w:p w14:paraId="5B751A85">
      <w:pPr>
        <w:spacing w:line="360" w:lineRule="auto"/>
        <w:ind w:firstLine="1470" w:firstLineChars="7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日期：                                      日期：</w:t>
      </w:r>
    </w:p>
    <w:p w14:paraId="0995B2A8">
      <w:pPr>
        <w:pStyle w:val="2"/>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826216D">
      <w:pPr>
        <w:pStyle w:val="2"/>
        <w:rPr>
          <w:rFonts w:hint="default" w:ascii="宋体" w:hAnsi="宋体" w:eastAsia="宋体" w:cs="宋体"/>
          <w:color w:val="000000" w:themeColor="text1"/>
          <w:sz w:val="24"/>
          <w:szCs w:val="24"/>
          <w:highlight w:val="none"/>
          <w:lang w:val="en-US" w:eastAsia="zh-CN"/>
          <w14:textFill>
            <w14:solidFill>
              <w14:schemeClr w14:val="tx1"/>
            </w14:solidFill>
          </w14:textFill>
        </w:rPr>
        <w:sectPr>
          <w:footerReference r:id="rId12" w:type="default"/>
          <w:pgSz w:w="11906" w:h="16838"/>
          <w:pgMar w:top="1418" w:right="1115" w:bottom="1418" w:left="1131" w:header="851" w:footer="992" w:gutter="0"/>
          <w:pgNumType w:fmt="decimal"/>
          <w:cols w:space="720" w:num="1"/>
          <w:titlePg/>
          <w:docGrid w:type="lines" w:linePitch="312" w:charSpace="0"/>
        </w:sectPr>
      </w:pPr>
    </w:p>
    <w:p w14:paraId="73EDDF7F">
      <w:pPr>
        <w:spacing w:line="480" w:lineRule="auto"/>
        <w:rPr>
          <w:rFonts w:hAnsi="宋体"/>
          <w:color w:val="000000" w:themeColor="text1"/>
          <w:sz w:val="24"/>
          <w:szCs w:val="24"/>
          <w:highlight w:val="none"/>
          <w14:textFill>
            <w14:solidFill>
              <w14:schemeClr w14:val="tx1"/>
            </w14:solidFill>
          </w14:textFill>
        </w:rPr>
      </w:pPr>
    </w:p>
    <w:p w14:paraId="74523480">
      <w:pPr>
        <w:pStyle w:val="4"/>
        <w:keepNext/>
        <w:keepLines/>
        <w:pageBreakBefore w:val="0"/>
        <w:widowControl w:val="0"/>
        <w:tabs>
          <w:tab w:val="left" w:pos="567"/>
        </w:tabs>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bookmarkStart w:id="212" w:name="_Toc12055"/>
      <w:bookmarkStart w:id="213" w:name="_Toc2274"/>
      <w:r>
        <w:rPr>
          <w:rFonts w:hint="eastAsia" w:ascii="宋体" w:hAnsi="宋体" w:eastAsia="宋体" w:cs="宋体"/>
          <w:b/>
          <w:bCs/>
          <w:color w:val="000000" w:themeColor="text1"/>
          <w:kern w:val="44"/>
          <w:sz w:val="24"/>
          <w:szCs w:val="24"/>
          <w:highlight w:val="none"/>
          <w14:textFill>
            <w14:solidFill>
              <w14:schemeClr w14:val="tx1"/>
            </w14:solidFill>
          </w14:textFill>
        </w:rPr>
        <w:t xml:space="preserve">第六章 </w:t>
      </w:r>
      <w:bookmarkEnd w:id="148"/>
      <w:bookmarkEnd w:id="149"/>
      <w:bookmarkStart w:id="214" w:name="_Toc13185"/>
      <w:r>
        <w:rPr>
          <w:rFonts w:hint="eastAsia" w:ascii="宋体" w:hAnsi="宋体" w:eastAsia="宋体" w:cs="宋体"/>
          <w:b/>
          <w:bCs/>
          <w:color w:val="000000" w:themeColor="text1"/>
          <w:sz w:val="24"/>
          <w:szCs w:val="24"/>
          <w:highlight w:val="none"/>
          <w14:textFill>
            <w14:solidFill>
              <w14:schemeClr w14:val="tx1"/>
            </w14:solidFill>
          </w14:textFill>
        </w:rPr>
        <w:t>响应文件（格式）</w:t>
      </w:r>
      <w:bookmarkEnd w:id="212"/>
      <w:bookmarkEnd w:id="213"/>
      <w:bookmarkEnd w:id="214"/>
    </w:p>
    <w:p w14:paraId="21F6AAC0">
      <w:pPr>
        <w:rPr>
          <w:rFonts w:hint="eastAsia" w:ascii="宋体" w:hAnsi="宋体" w:eastAsia="宋体" w:cs="宋体"/>
          <w:color w:val="000000" w:themeColor="text1"/>
          <w:sz w:val="24"/>
          <w:szCs w:val="24"/>
          <w:highlight w:val="none"/>
          <w14:textFill>
            <w14:solidFill>
              <w14:schemeClr w14:val="tx1"/>
            </w14:solidFill>
          </w14:textFill>
        </w:rPr>
      </w:pPr>
    </w:p>
    <w:p w14:paraId="0D40CC30">
      <w:pPr>
        <w:pStyle w:val="11"/>
        <w:jc w:val="both"/>
        <w:rPr>
          <w:rFonts w:hint="eastAsia" w:ascii="宋体" w:hAnsi="宋体" w:eastAsia="宋体" w:cs="宋体"/>
          <w:b/>
          <w:color w:val="000000" w:themeColor="text1"/>
          <w:sz w:val="24"/>
          <w:szCs w:val="24"/>
          <w:highlight w:val="none"/>
          <w:lang w:eastAsia="zh-CN"/>
          <w14:textFill>
            <w14:solidFill>
              <w14:schemeClr w14:val="tx1"/>
            </w14:solidFill>
          </w14:textFill>
        </w:rPr>
      </w:pPr>
      <w:bookmarkStart w:id="215" w:name="_Toc21496"/>
      <w:bookmarkStart w:id="216" w:name="_Toc497927069"/>
      <w:bookmarkStart w:id="217" w:name="_Toc18351"/>
      <w:r>
        <w:rPr>
          <w:rFonts w:hint="eastAsia" w:ascii="宋体" w:hAnsi="宋体" w:eastAsia="宋体" w:cs="宋体"/>
          <w:b/>
          <w:color w:val="000000" w:themeColor="text1"/>
          <w:sz w:val="24"/>
          <w:szCs w:val="24"/>
          <w:highlight w:val="none"/>
          <w:lang w:eastAsia="zh-CN"/>
          <w14:textFill>
            <w14:solidFill>
              <w14:schemeClr w14:val="tx1"/>
            </w14:solidFill>
          </w14:textFill>
        </w:rPr>
        <w:t>一、响应文件标记</w:t>
      </w:r>
      <w:bookmarkEnd w:id="215"/>
      <w:bookmarkEnd w:id="216"/>
      <w:bookmarkEnd w:id="217"/>
    </w:p>
    <w:p w14:paraId="0937C745">
      <w:pPr>
        <w:adjustRightInd w:val="0"/>
        <w:snapToGrid w:val="0"/>
        <w:rPr>
          <w:rFonts w:hint="eastAsia" w:ascii="宋体" w:hAnsi="宋体" w:eastAsia="宋体" w:cs="宋体"/>
          <w:b/>
          <w:color w:val="000000" w:themeColor="text1"/>
          <w:sz w:val="24"/>
          <w:szCs w:val="24"/>
          <w:highlight w:val="none"/>
          <w14:textFill>
            <w14:solidFill>
              <w14:schemeClr w14:val="tx1"/>
            </w14:solidFill>
          </w14:textFill>
        </w:rPr>
      </w:pPr>
    </w:p>
    <w:p w14:paraId="255DDD36">
      <w:pPr>
        <w:spacing w:line="500" w:lineRule="exact"/>
        <w:jc w:val="center"/>
        <w:rPr>
          <w:rFonts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cs="宋体"/>
          <w:color w:val="000000" w:themeColor="text1"/>
          <w:sz w:val="28"/>
          <w:szCs w:val="28"/>
          <w:highlight w:val="none"/>
          <w:shd w:val="clear" w:color="auto" w:fill="auto"/>
          <w14:textFill>
            <w14:solidFill>
              <w14:schemeClr w14:val="tx1"/>
            </w14:solidFill>
          </w14:textFill>
        </w:rPr>
        <w:t>（项目名称）</w:t>
      </w:r>
    </w:p>
    <w:p w14:paraId="239B1672">
      <w:pPr>
        <w:spacing w:before="312" w:beforeLines="100" w:line="500" w:lineRule="exact"/>
        <w:rPr>
          <w:rFonts w:ascii="宋体" w:hAnsi="宋体" w:cs="宋体"/>
          <w:color w:val="000000" w:themeColor="text1"/>
          <w:sz w:val="52"/>
          <w:szCs w:val="52"/>
          <w:highlight w:val="none"/>
          <w:shd w:val="clear" w:color="auto" w:fill="auto"/>
          <w14:textFill>
            <w14:solidFill>
              <w14:schemeClr w14:val="tx1"/>
            </w14:solidFill>
          </w14:textFill>
        </w:rPr>
      </w:pPr>
    </w:p>
    <w:p w14:paraId="06819EEA">
      <w:pPr>
        <w:spacing w:before="312" w:beforeLines="100" w:line="500" w:lineRule="exact"/>
        <w:jc w:val="center"/>
        <w:rPr>
          <w:rFonts w:ascii="宋体" w:hAnsi="宋体" w:cs="宋体"/>
          <w:color w:val="000000" w:themeColor="text1"/>
          <w:sz w:val="52"/>
          <w:szCs w:val="52"/>
          <w:highlight w:val="none"/>
          <w:shd w:val="clear" w:color="auto" w:fill="auto"/>
          <w14:textFill>
            <w14:solidFill>
              <w14:schemeClr w14:val="tx1"/>
            </w14:solidFill>
          </w14:textFill>
        </w:rPr>
      </w:pPr>
    </w:p>
    <w:p w14:paraId="69CC52DA">
      <w:pPr>
        <w:spacing w:before="312" w:beforeLines="100" w:line="500" w:lineRule="exact"/>
        <w:jc w:val="center"/>
        <w:rPr>
          <w:rFonts w:ascii="宋体" w:hAnsi="宋体" w:cs="宋体"/>
          <w:color w:val="000000" w:themeColor="text1"/>
          <w:sz w:val="52"/>
          <w:szCs w:val="52"/>
          <w:highlight w:val="none"/>
          <w:shd w:val="clear" w:color="auto" w:fill="auto"/>
          <w14:textFill>
            <w14:solidFill>
              <w14:schemeClr w14:val="tx1"/>
            </w14:solidFill>
          </w14:textFill>
        </w:rPr>
      </w:pPr>
      <w:r>
        <w:rPr>
          <w:rFonts w:hint="eastAsia" w:ascii="宋体" w:hAnsi="宋体" w:cs="宋体"/>
          <w:color w:val="000000" w:themeColor="text1"/>
          <w:sz w:val="52"/>
          <w:szCs w:val="52"/>
          <w:highlight w:val="none"/>
          <w:shd w:val="clear" w:color="auto" w:fill="auto"/>
          <w14:textFill>
            <w14:solidFill>
              <w14:schemeClr w14:val="tx1"/>
            </w14:solidFill>
          </w14:textFill>
        </w:rPr>
        <w:t>响  应  文  件</w:t>
      </w:r>
    </w:p>
    <w:p w14:paraId="33C96BBE">
      <w:pPr>
        <w:spacing w:line="500" w:lineRule="exact"/>
        <w:rPr>
          <w:rFonts w:ascii="宋体" w:hAnsi="宋体" w:cs="宋体"/>
          <w:color w:val="000000" w:themeColor="text1"/>
          <w:sz w:val="32"/>
          <w:szCs w:val="32"/>
          <w:highlight w:val="none"/>
          <w:shd w:val="clear" w:color="auto" w:fill="auto"/>
          <w14:textFill>
            <w14:solidFill>
              <w14:schemeClr w14:val="tx1"/>
            </w14:solidFill>
          </w14:textFill>
        </w:rPr>
      </w:pPr>
    </w:p>
    <w:p w14:paraId="0F5A6370">
      <w:pPr>
        <w:spacing w:line="500" w:lineRule="exact"/>
        <w:jc w:val="center"/>
        <w:rPr>
          <w:rFonts w:ascii="宋体" w:hAnsi="宋体" w:cs="宋体"/>
          <w:color w:val="000000" w:themeColor="text1"/>
          <w:sz w:val="32"/>
          <w:szCs w:val="32"/>
          <w:highlight w:val="none"/>
          <w:shd w:val="clear" w:color="auto" w:fill="auto"/>
          <w14:textFill>
            <w14:solidFill>
              <w14:schemeClr w14:val="tx1"/>
            </w14:solidFill>
          </w14:textFill>
        </w:rPr>
      </w:pPr>
    </w:p>
    <w:p w14:paraId="4B819EF4">
      <w:pPr>
        <w:spacing w:line="500" w:lineRule="exact"/>
        <w:ind w:firstLine="2380" w:firstLineChars="850"/>
        <w:rPr>
          <w:rFonts w:ascii="宋体" w:hAnsi="宋体" w:cs="宋体"/>
          <w:color w:val="000000" w:themeColor="text1"/>
          <w:sz w:val="28"/>
          <w:szCs w:val="28"/>
          <w:highlight w:val="none"/>
          <w:u w:val="singl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项目编号：</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xml:space="preserve">                   </w:t>
      </w:r>
    </w:p>
    <w:p w14:paraId="2B21AF49">
      <w:pPr>
        <w:spacing w:line="500" w:lineRule="exact"/>
        <w:jc w:val="center"/>
        <w:rPr>
          <w:rFonts w:ascii="宋体" w:hAnsi="宋体" w:cs="宋体"/>
          <w:color w:val="000000" w:themeColor="text1"/>
          <w:sz w:val="32"/>
          <w:szCs w:val="32"/>
          <w:highlight w:val="none"/>
          <w:shd w:val="clear" w:color="auto" w:fill="auto"/>
          <w14:textFill>
            <w14:solidFill>
              <w14:schemeClr w14:val="tx1"/>
            </w14:solidFill>
          </w14:textFill>
        </w:rPr>
      </w:pPr>
    </w:p>
    <w:p w14:paraId="36C419C6">
      <w:pPr>
        <w:spacing w:line="500" w:lineRule="exact"/>
        <w:jc w:val="center"/>
        <w:rPr>
          <w:rFonts w:ascii="宋体" w:hAnsi="宋体" w:cs="宋体"/>
          <w:color w:val="000000" w:themeColor="text1"/>
          <w:sz w:val="32"/>
          <w:szCs w:val="32"/>
          <w:highlight w:val="none"/>
          <w:shd w:val="clear" w:color="auto" w:fill="auto"/>
          <w14:textFill>
            <w14:solidFill>
              <w14:schemeClr w14:val="tx1"/>
            </w14:solidFill>
          </w14:textFill>
        </w:rPr>
      </w:pPr>
    </w:p>
    <w:p w14:paraId="70E0A1D6">
      <w:pPr>
        <w:spacing w:line="500" w:lineRule="exact"/>
        <w:jc w:val="center"/>
        <w:rPr>
          <w:rFonts w:ascii="宋体" w:hAnsi="宋体" w:cs="宋体"/>
          <w:color w:val="000000" w:themeColor="text1"/>
          <w:sz w:val="32"/>
          <w:szCs w:val="32"/>
          <w:highlight w:val="none"/>
          <w:shd w:val="clear" w:color="auto" w:fill="auto"/>
          <w14:textFill>
            <w14:solidFill>
              <w14:schemeClr w14:val="tx1"/>
            </w14:solidFill>
          </w14:textFill>
        </w:rPr>
      </w:pPr>
    </w:p>
    <w:p w14:paraId="0A458075">
      <w:pPr>
        <w:spacing w:line="500" w:lineRule="exact"/>
        <w:rPr>
          <w:rFonts w:ascii="宋体" w:hAnsi="宋体" w:cs="宋体"/>
          <w:color w:val="000000" w:themeColor="text1"/>
          <w:kern w:val="0"/>
          <w:sz w:val="16"/>
          <w:szCs w:val="16"/>
          <w:highlight w:val="none"/>
          <w:shd w:val="clear" w:color="auto" w:fill="auto"/>
          <w14:textFill>
            <w14:solidFill>
              <w14:schemeClr w14:val="tx1"/>
            </w14:solidFill>
          </w14:textFill>
        </w:rPr>
      </w:pPr>
    </w:p>
    <w:p w14:paraId="06D2E901">
      <w:pPr>
        <w:spacing w:line="500" w:lineRule="exact"/>
        <w:rPr>
          <w:rFonts w:ascii="宋体" w:hAnsi="宋体" w:cs="宋体"/>
          <w:color w:val="000000" w:themeColor="text1"/>
          <w:kern w:val="0"/>
          <w:sz w:val="16"/>
          <w:szCs w:val="16"/>
          <w:highlight w:val="none"/>
          <w:shd w:val="clear" w:color="auto" w:fill="auto"/>
          <w14:textFill>
            <w14:solidFill>
              <w14:schemeClr w14:val="tx1"/>
            </w14:solidFill>
          </w14:textFill>
        </w:rPr>
      </w:pPr>
    </w:p>
    <w:p w14:paraId="71E04780">
      <w:pPr>
        <w:spacing w:line="500" w:lineRule="exact"/>
        <w:rPr>
          <w:rFonts w:ascii="宋体" w:hAnsi="宋体" w:cs="宋体"/>
          <w:color w:val="000000" w:themeColor="text1"/>
          <w:kern w:val="0"/>
          <w:sz w:val="16"/>
          <w:szCs w:val="16"/>
          <w:highlight w:val="none"/>
          <w:shd w:val="clear" w:color="auto" w:fill="auto"/>
          <w14:textFill>
            <w14:solidFill>
              <w14:schemeClr w14:val="tx1"/>
            </w14:solidFill>
          </w14:textFill>
        </w:rPr>
      </w:pPr>
    </w:p>
    <w:p w14:paraId="4C5CB792">
      <w:pPr>
        <w:spacing w:line="500" w:lineRule="exact"/>
        <w:rPr>
          <w:rFonts w:ascii="宋体" w:hAnsi="宋体" w:cs="宋体"/>
          <w:color w:val="000000" w:themeColor="text1"/>
          <w:kern w:val="0"/>
          <w:sz w:val="16"/>
          <w:szCs w:val="16"/>
          <w:highlight w:val="none"/>
          <w:shd w:val="clear" w:color="auto" w:fill="auto"/>
          <w14:textFill>
            <w14:solidFill>
              <w14:schemeClr w14:val="tx1"/>
            </w14:solidFill>
          </w14:textFill>
        </w:rPr>
      </w:pPr>
    </w:p>
    <w:p w14:paraId="6A87E9E8">
      <w:pPr>
        <w:spacing w:line="500" w:lineRule="exact"/>
        <w:rPr>
          <w:rFonts w:ascii="宋体" w:hAnsi="宋体" w:cs="宋体"/>
          <w:color w:val="000000" w:themeColor="text1"/>
          <w:kern w:val="0"/>
          <w:sz w:val="20"/>
          <w:szCs w:val="20"/>
          <w:highlight w:val="none"/>
          <w:shd w:val="clear" w:color="auto" w:fill="auto"/>
          <w14:textFill>
            <w14:solidFill>
              <w14:schemeClr w14:val="tx1"/>
            </w14:solidFill>
          </w14:textFill>
        </w:rPr>
      </w:pPr>
    </w:p>
    <w:p w14:paraId="00EA9590">
      <w:pPr>
        <w:spacing w:line="360" w:lineRule="auto"/>
        <w:jc w:val="center"/>
        <w:rPr>
          <w:rFonts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w w:val="99"/>
          <w:kern w:val="0"/>
          <w:sz w:val="28"/>
          <w:szCs w:val="28"/>
          <w:highlight w:val="none"/>
          <w:shd w:val="clear" w:color="auto" w:fill="auto"/>
          <w14:textFill>
            <w14:solidFill>
              <w14:schemeClr w14:val="tx1"/>
            </w14:solidFill>
          </w14:textFill>
        </w:rPr>
        <w:t>供应商名称</w:t>
      </w:r>
      <w:r>
        <w:rPr>
          <w:rFonts w:hint="eastAsia" w:ascii="宋体" w:hAnsi="宋体" w:cs="宋体"/>
          <w:color w:val="000000" w:themeColor="text1"/>
          <w:spacing w:val="1"/>
          <w:w w:val="99"/>
          <w:kern w:val="0"/>
          <w:sz w:val="28"/>
          <w:szCs w:val="28"/>
          <w:highlight w:val="none"/>
          <w:shd w:val="clear" w:color="auto" w:fill="auto"/>
          <w14:textFill>
            <w14:solidFill>
              <w14:schemeClr w14:val="tx1"/>
            </w14:solidFill>
          </w14:textFill>
        </w:rPr>
        <w:t>：</w:t>
      </w:r>
      <w:r>
        <w:rPr>
          <w:rFonts w:hint="eastAsia" w:ascii="宋体" w:hAnsi="宋体" w:cs="宋体"/>
          <w:color w:val="000000" w:themeColor="text1"/>
          <w:w w:val="198"/>
          <w:kern w:val="0"/>
          <w:sz w:val="28"/>
          <w:szCs w:val="28"/>
          <w:highlight w:val="none"/>
          <w:u w:val="single"/>
          <w:shd w:val="clear" w:color="auto" w:fill="auto"/>
          <w14:textFill>
            <w14:solidFill>
              <w14:schemeClr w14:val="tx1"/>
            </w14:solidFill>
          </w14:textFill>
        </w:rPr>
        <w:t xml:space="preserve">           </w:t>
      </w:r>
      <w:r>
        <w:rPr>
          <w:rFonts w:hint="eastAsia" w:ascii="宋体" w:hAnsi="宋体" w:cs="宋体"/>
          <w:color w:val="000000" w:themeColor="text1"/>
          <w:kern w:val="0"/>
          <w:sz w:val="28"/>
          <w:szCs w:val="28"/>
          <w:highlight w:val="none"/>
          <w:u w:val="single"/>
          <w:shd w:val="clear" w:color="auto" w:fill="auto"/>
          <w14:textFill>
            <w14:solidFill>
              <w14:schemeClr w14:val="tx1"/>
            </w14:solidFill>
          </w14:textFill>
        </w:rPr>
        <w:tab/>
      </w:r>
      <w:r>
        <w:rPr>
          <w:rFonts w:hint="eastAsia" w:ascii="宋体" w:hAnsi="宋体" w:cs="宋体"/>
          <w:color w:val="000000" w:themeColor="text1"/>
          <w:sz w:val="28"/>
          <w:szCs w:val="28"/>
          <w:highlight w:val="none"/>
          <w:shd w:val="clear" w:color="auto" w:fill="auto"/>
          <w14:textFill>
            <w14:solidFill>
              <w14:schemeClr w14:val="tx1"/>
            </w14:solidFill>
          </w14:textFill>
        </w:rPr>
        <w:t>[盖单位公章（CA签章）]</w:t>
      </w:r>
    </w:p>
    <w:p w14:paraId="6AB25CE2">
      <w:pPr>
        <w:spacing w:line="360" w:lineRule="auto"/>
        <w:jc w:val="center"/>
        <w:rPr>
          <w:rFonts w:ascii="宋体" w:hAnsi="宋体" w:cs="宋体"/>
          <w:color w:val="000000" w:themeColor="text1"/>
          <w:sz w:val="28"/>
          <w:szCs w:val="28"/>
          <w:highlight w:val="none"/>
          <w:u w:val="singl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法定代表人或其委托代理人：</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cs="宋体"/>
          <w:color w:val="000000" w:themeColor="text1"/>
          <w:sz w:val="28"/>
          <w:szCs w:val="28"/>
          <w:highlight w:val="none"/>
          <w:shd w:val="clear" w:color="auto" w:fill="auto"/>
          <w14:textFill>
            <w14:solidFill>
              <w14:schemeClr w14:val="tx1"/>
            </w14:solidFill>
          </w14:textFill>
        </w:rPr>
        <w:t>[签字或盖章（CA签章）]</w:t>
      </w:r>
    </w:p>
    <w:p w14:paraId="11CF390D">
      <w:pPr>
        <w:spacing w:line="500" w:lineRule="exact"/>
        <w:ind w:firstLine="2004" w:firstLineChars="716"/>
        <w:rPr>
          <w:rFonts w:ascii="宋体" w:hAnsi="宋体" w:cs="宋体"/>
          <w:color w:val="000000" w:themeColor="text1"/>
          <w:kern w:val="0"/>
          <w:sz w:val="28"/>
          <w:szCs w:val="28"/>
          <w:highlight w:val="none"/>
          <w:shd w:val="clear" w:color="auto" w:fill="auto"/>
          <w14:textFill>
            <w14:solidFill>
              <w14:schemeClr w14:val="tx1"/>
            </w14:solidFill>
          </w14:textFill>
        </w:rPr>
      </w:pPr>
    </w:p>
    <w:p w14:paraId="3753704A">
      <w:pPr>
        <w:spacing w:line="500" w:lineRule="exact"/>
        <w:ind w:firstLine="3966" w:firstLineChars="716"/>
        <w:rPr>
          <w:rFonts w:ascii="宋体" w:hAnsi="宋体" w:cs="宋体"/>
          <w:color w:val="000000" w:themeColor="text1"/>
          <w:w w:val="198"/>
          <w:kern w:val="0"/>
          <w:sz w:val="28"/>
          <w:szCs w:val="28"/>
          <w:highlight w:val="none"/>
          <w:u w:val="single"/>
          <w:shd w:val="clear" w:color="auto" w:fill="auto"/>
          <w14:textFill>
            <w14:solidFill>
              <w14:schemeClr w14:val="tx1"/>
            </w14:solidFill>
          </w14:textFill>
        </w:rPr>
      </w:pPr>
    </w:p>
    <w:p w14:paraId="18D98639">
      <w:pPr>
        <w:spacing w:line="500" w:lineRule="exact"/>
        <w:ind w:firstLine="2548" w:firstLineChars="460"/>
        <w:rPr>
          <w:rFonts w:ascii="宋体" w:hAnsi="宋体" w:cs="宋体"/>
          <w:color w:val="000000" w:themeColor="text1"/>
          <w:w w:val="99"/>
          <w:kern w:val="0"/>
          <w:sz w:val="28"/>
          <w:szCs w:val="28"/>
          <w:highlight w:val="none"/>
          <w:shd w:val="clear" w:color="auto" w:fill="auto"/>
          <w14:textFill>
            <w14:solidFill>
              <w14:schemeClr w14:val="tx1"/>
            </w14:solidFill>
          </w14:textFill>
        </w:rPr>
      </w:pPr>
      <w:r>
        <w:rPr>
          <w:rFonts w:hint="eastAsia" w:ascii="宋体" w:hAnsi="宋体" w:cs="宋体"/>
          <w:color w:val="000000" w:themeColor="text1"/>
          <w:w w:val="198"/>
          <w:kern w:val="0"/>
          <w:sz w:val="28"/>
          <w:szCs w:val="28"/>
          <w:highlight w:val="none"/>
          <w:u w:val="single"/>
          <w:shd w:val="clear" w:color="auto" w:fill="auto"/>
          <w14:textFill>
            <w14:solidFill>
              <w14:schemeClr w14:val="tx1"/>
            </w14:solidFill>
          </w14:textFill>
        </w:rPr>
        <w:t xml:space="preserve">    </w:t>
      </w:r>
      <w:r>
        <w:rPr>
          <w:rFonts w:hint="eastAsia" w:ascii="宋体" w:hAnsi="宋体" w:cs="宋体"/>
          <w:color w:val="000000" w:themeColor="text1"/>
          <w:kern w:val="0"/>
          <w:sz w:val="28"/>
          <w:szCs w:val="28"/>
          <w:highlight w:val="none"/>
          <w:u w:val="single"/>
          <w:shd w:val="clear" w:color="auto" w:fill="auto"/>
          <w14:textFill>
            <w14:solidFill>
              <w14:schemeClr w14:val="tx1"/>
            </w14:solidFill>
          </w14:textFill>
        </w:rPr>
        <w:tab/>
      </w:r>
      <w:r>
        <w:rPr>
          <w:rFonts w:hint="eastAsia" w:ascii="宋体" w:hAnsi="宋体" w:cs="宋体"/>
          <w:color w:val="000000" w:themeColor="text1"/>
          <w:w w:val="99"/>
          <w:kern w:val="0"/>
          <w:sz w:val="28"/>
          <w:szCs w:val="28"/>
          <w:highlight w:val="none"/>
          <w:shd w:val="clear" w:color="auto" w:fill="auto"/>
          <w14:textFill>
            <w14:solidFill>
              <w14:schemeClr w14:val="tx1"/>
            </w14:solidFill>
          </w14:textFill>
        </w:rPr>
        <w:t>年</w:t>
      </w:r>
      <w:r>
        <w:rPr>
          <w:rFonts w:hint="eastAsia" w:ascii="宋体" w:hAnsi="宋体" w:cs="宋体"/>
          <w:color w:val="000000" w:themeColor="text1"/>
          <w:w w:val="198"/>
          <w:kern w:val="0"/>
          <w:sz w:val="28"/>
          <w:szCs w:val="28"/>
          <w:highlight w:val="none"/>
          <w:u w:val="single"/>
          <w:shd w:val="clear" w:color="auto" w:fill="auto"/>
          <w14:textFill>
            <w14:solidFill>
              <w14:schemeClr w14:val="tx1"/>
            </w14:solidFill>
          </w14:textFill>
        </w:rPr>
        <w:t xml:space="preserve"> </w:t>
      </w:r>
      <w:r>
        <w:rPr>
          <w:rFonts w:hint="eastAsia" w:ascii="宋体" w:hAnsi="宋体" w:cs="宋体"/>
          <w:color w:val="000000" w:themeColor="text1"/>
          <w:kern w:val="0"/>
          <w:sz w:val="28"/>
          <w:szCs w:val="28"/>
          <w:highlight w:val="none"/>
          <w:u w:val="single"/>
          <w:shd w:val="clear" w:color="auto" w:fill="auto"/>
          <w14:textFill>
            <w14:solidFill>
              <w14:schemeClr w14:val="tx1"/>
            </w14:solidFill>
          </w14:textFill>
        </w:rPr>
        <w:tab/>
      </w:r>
      <w:r>
        <w:rPr>
          <w:rFonts w:hint="eastAsia" w:ascii="宋体" w:hAnsi="宋体" w:cs="宋体"/>
          <w:color w:val="000000" w:themeColor="text1"/>
          <w:w w:val="99"/>
          <w:kern w:val="0"/>
          <w:sz w:val="28"/>
          <w:szCs w:val="28"/>
          <w:highlight w:val="none"/>
          <w:shd w:val="clear" w:color="auto" w:fill="auto"/>
          <w14:textFill>
            <w14:solidFill>
              <w14:schemeClr w14:val="tx1"/>
            </w14:solidFill>
          </w14:textFill>
        </w:rPr>
        <w:t>月</w:t>
      </w:r>
      <w:r>
        <w:rPr>
          <w:rFonts w:hint="eastAsia" w:ascii="宋体" w:hAnsi="宋体" w:cs="宋体"/>
          <w:color w:val="000000" w:themeColor="text1"/>
          <w:w w:val="198"/>
          <w:kern w:val="0"/>
          <w:sz w:val="28"/>
          <w:szCs w:val="28"/>
          <w:highlight w:val="none"/>
          <w:u w:val="single"/>
          <w:shd w:val="clear" w:color="auto" w:fill="auto"/>
          <w14:textFill>
            <w14:solidFill>
              <w14:schemeClr w14:val="tx1"/>
            </w14:solidFill>
          </w14:textFill>
        </w:rPr>
        <w:t xml:space="preserve"> </w:t>
      </w:r>
      <w:r>
        <w:rPr>
          <w:rFonts w:hint="eastAsia" w:ascii="宋体" w:hAnsi="宋体" w:cs="宋体"/>
          <w:color w:val="000000" w:themeColor="text1"/>
          <w:kern w:val="0"/>
          <w:sz w:val="28"/>
          <w:szCs w:val="28"/>
          <w:highlight w:val="none"/>
          <w:u w:val="single"/>
          <w:shd w:val="clear" w:color="auto" w:fill="auto"/>
          <w14:textFill>
            <w14:solidFill>
              <w14:schemeClr w14:val="tx1"/>
            </w14:solidFill>
          </w14:textFill>
        </w:rPr>
        <w:tab/>
      </w:r>
      <w:r>
        <w:rPr>
          <w:rFonts w:hint="eastAsia" w:ascii="宋体" w:hAnsi="宋体" w:cs="宋体"/>
          <w:color w:val="000000" w:themeColor="text1"/>
          <w:w w:val="99"/>
          <w:kern w:val="0"/>
          <w:sz w:val="28"/>
          <w:szCs w:val="28"/>
          <w:highlight w:val="none"/>
          <w:shd w:val="clear" w:color="auto" w:fill="auto"/>
          <w14:textFill>
            <w14:solidFill>
              <w14:schemeClr w14:val="tx1"/>
            </w14:solidFill>
          </w14:textFill>
        </w:rPr>
        <w:t>日</w:t>
      </w:r>
    </w:p>
    <w:p w14:paraId="35B19463">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p>
    <w:p w14:paraId="37A8833B">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p>
    <w:p w14:paraId="57420764">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p>
    <w:p w14:paraId="56290BE7">
      <w:pPr>
        <w:numPr>
          <w:ilvl w:val="0"/>
          <w:numId w:val="0"/>
        </w:numP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218" w:name="_Toc21615"/>
      <w:bookmarkStart w:id="219" w:name="_Toc19430"/>
      <w:bookmarkStart w:id="220" w:name="_Toc497927070"/>
    </w:p>
    <w:p w14:paraId="7D710DC3">
      <w:pPr>
        <w:numPr>
          <w:ilvl w:val="0"/>
          <w:numId w:val="0"/>
        </w:num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响应文件组成</w:t>
      </w:r>
      <w:bookmarkEnd w:id="218"/>
      <w:bookmarkEnd w:id="219"/>
      <w:bookmarkEnd w:id="220"/>
    </w:p>
    <w:p w14:paraId="25FB0917">
      <w:pPr>
        <w:pStyle w:val="2"/>
        <w:numPr>
          <w:ilvl w:val="0"/>
          <w:numId w:val="0"/>
        </w:numPr>
        <w:rPr>
          <w:rFonts w:hint="eastAsia" w:ascii="宋体" w:hAnsi="宋体" w:eastAsia="宋体" w:cs="宋体"/>
          <w:color w:val="000000" w:themeColor="text1"/>
          <w:sz w:val="24"/>
          <w:szCs w:val="24"/>
          <w:highlight w:val="none"/>
          <w14:textFill>
            <w14:solidFill>
              <w14:schemeClr w14:val="tx1"/>
            </w14:solidFill>
          </w14:textFill>
        </w:rPr>
      </w:pPr>
    </w:p>
    <w:p w14:paraId="229DB71B">
      <w:pPr>
        <w:pStyle w:val="2"/>
        <w:numPr>
          <w:ilvl w:val="0"/>
          <w:numId w:val="0"/>
        </w:numPr>
        <w:rPr>
          <w:rFonts w:hint="eastAsia" w:ascii="宋体" w:hAnsi="宋体" w:eastAsia="宋体" w:cs="宋体"/>
          <w:color w:val="000000" w:themeColor="text1"/>
          <w:sz w:val="24"/>
          <w:szCs w:val="24"/>
          <w:highlight w:val="none"/>
          <w14:textFill>
            <w14:solidFill>
              <w14:schemeClr w14:val="tx1"/>
            </w14:solidFill>
          </w14:textFill>
        </w:rPr>
      </w:pPr>
    </w:p>
    <w:p w14:paraId="01151698">
      <w:pPr>
        <w:numPr>
          <w:ilvl w:val="0"/>
          <w:numId w:val="0"/>
        </w:numPr>
        <w:spacing w:line="400" w:lineRule="exact"/>
        <w:rPr>
          <w:rFonts w:hint="eastAsia" w:ascii="宋体" w:hAnsi="宋体" w:eastAsia="宋体" w:cs="宋体"/>
          <w:b/>
          <w:bCs/>
          <w:color w:val="000000" w:themeColor="text1"/>
          <w:sz w:val="24"/>
          <w:szCs w:val="24"/>
          <w:highlight w:val="none"/>
          <w14:textFill>
            <w14:solidFill>
              <w14:schemeClr w14:val="tx1"/>
            </w14:solidFill>
          </w14:textFill>
        </w:rPr>
      </w:pPr>
    </w:p>
    <w:p w14:paraId="27AA8D60">
      <w:pPr>
        <w:pStyle w:val="2"/>
        <w:rPr>
          <w:rFonts w:hint="eastAsia" w:ascii="宋体" w:hAnsi="宋体" w:eastAsia="宋体" w:cs="宋体"/>
          <w:b/>
          <w:bCs/>
          <w:color w:val="000000" w:themeColor="text1"/>
          <w:sz w:val="24"/>
          <w:szCs w:val="24"/>
          <w:highlight w:val="none"/>
          <w:lang w:eastAsia="zh-CN"/>
          <w14:textFill>
            <w14:solidFill>
              <w14:schemeClr w14:val="tx1"/>
            </w14:solidFill>
          </w14:textFill>
        </w:rPr>
      </w:pPr>
    </w:p>
    <w:p w14:paraId="65DBD4B2">
      <w:pPr>
        <w:numPr>
          <w:ilvl w:val="0"/>
          <w:numId w:val="5"/>
        </w:numPr>
        <w:spacing w:line="400" w:lineRule="exact"/>
        <w:ind w:firstLine="487" w:firstLineChars="20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资格性响应证明材料</w:t>
      </w:r>
    </w:p>
    <w:p w14:paraId="1CF4B747">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391FD3AD">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151B8925">
      <w:pPr>
        <w:numPr>
          <w:ilvl w:val="0"/>
          <w:numId w:val="5"/>
        </w:numPr>
        <w:spacing w:line="400" w:lineRule="exact"/>
        <w:ind w:firstLine="487" w:firstLineChars="20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符合性响应证明材料</w:t>
      </w:r>
    </w:p>
    <w:p w14:paraId="36488688">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735AF3F4">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69C4260A">
      <w:pPr>
        <w:numPr>
          <w:ilvl w:val="0"/>
          <w:numId w:val="5"/>
        </w:numPr>
        <w:spacing w:line="400" w:lineRule="exact"/>
        <w:ind w:firstLine="487" w:firstLineChars="20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其</w:t>
      </w:r>
      <w:r>
        <w:rPr>
          <w:rFonts w:hint="eastAsia" w:ascii="宋体" w:hAnsi="宋体" w:eastAsia="宋体" w:cs="宋体"/>
          <w:b/>
          <w:bCs/>
          <w:color w:val="000000" w:themeColor="text1"/>
          <w:sz w:val="24"/>
          <w:szCs w:val="24"/>
          <w:highlight w:val="none"/>
          <w:lang w:eastAsia="zh-CN"/>
          <w14:textFill>
            <w14:solidFill>
              <w14:schemeClr w14:val="tx1"/>
            </w14:solidFill>
          </w14:textFill>
        </w:rPr>
        <w:t>他</w:t>
      </w:r>
      <w:r>
        <w:rPr>
          <w:rFonts w:hint="eastAsia" w:ascii="宋体" w:hAnsi="宋体" w:eastAsia="宋体" w:cs="宋体"/>
          <w:b/>
          <w:bCs/>
          <w:color w:val="000000" w:themeColor="text1"/>
          <w:sz w:val="24"/>
          <w:szCs w:val="24"/>
          <w:highlight w:val="none"/>
          <w14:textFill>
            <w14:solidFill>
              <w14:schemeClr w14:val="tx1"/>
            </w14:solidFill>
          </w14:textFill>
        </w:rPr>
        <w:t>有效证明材料</w:t>
      </w:r>
    </w:p>
    <w:p w14:paraId="5F597FDC">
      <w:pPr>
        <w:pStyle w:val="27"/>
        <w:rPr>
          <w:rFonts w:hint="eastAsia" w:ascii="宋体" w:hAnsi="宋体" w:eastAsia="宋体" w:cs="宋体"/>
          <w:color w:val="000000" w:themeColor="text1"/>
          <w:sz w:val="24"/>
          <w:szCs w:val="24"/>
          <w:highlight w:val="none"/>
          <w14:textFill>
            <w14:solidFill>
              <w14:schemeClr w14:val="tx1"/>
            </w14:solidFill>
          </w14:textFill>
        </w:rPr>
      </w:pPr>
    </w:p>
    <w:p w14:paraId="6F9BAAA1">
      <w:pPr>
        <w:tabs>
          <w:tab w:val="left" w:pos="504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p w14:paraId="23990D1D">
      <w:pPr>
        <w:pStyle w:val="2"/>
        <w:rPr>
          <w:rFonts w:hint="eastAsia" w:ascii="宋体" w:hAnsi="宋体" w:eastAsia="宋体" w:cs="宋体"/>
          <w:color w:val="000000" w:themeColor="text1"/>
          <w:sz w:val="24"/>
          <w:szCs w:val="24"/>
          <w:highlight w:val="none"/>
          <w14:textFill>
            <w14:solidFill>
              <w14:schemeClr w14:val="tx1"/>
            </w14:solidFill>
          </w14:textFill>
        </w:rPr>
      </w:pPr>
    </w:p>
    <w:p w14:paraId="4A538DE5">
      <w:pPr>
        <w:pStyle w:val="2"/>
        <w:rPr>
          <w:rFonts w:hint="eastAsia" w:ascii="宋体" w:hAnsi="宋体" w:eastAsia="宋体" w:cs="宋体"/>
          <w:color w:val="000000" w:themeColor="text1"/>
          <w:sz w:val="24"/>
          <w:szCs w:val="24"/>
          <w:highlight w:val="none"/>
          <w14:textFill>
            <w14:solidFill>
              <w14:schemeClr w14:val="tx1"/>
            </w14:solidFill>
          </w14:textFill>
        </w:rPr>
      </w:pPr>
    </w:p>
    <w:p w14:paraId="28F64481">
      <w:pPr>
        <w:pStyle w:val="2"/>
        <w:rPr>
          <w:rFonts w:hint="eastAsia" w:ascii="宋体" w:hAnsi="宋体" w:eastAsia="宋体" w:cs="宋体"/>
          <w:color w:val="000000" w:themeColor="text1"/>
          <w:sz w:val="24"/>
          <w:szCs w:val="24"/>
          <w:highlight w:val="none"/>
          <w14:textFill>
            <w14:solidFill>
              <w14:schemeClr w14:val="tx1"/>
            </w14:solidFill>
          </w14:textFill>
        </w:rPr>
      </w:pPr>
    </w:p>
    <w:p w14:paraId="1058BA95">
      <w:pPr>
        <w:pStyle w:val="2"/>
        <w:rPr>
          <w:rFonts w:hint="eastAsia" w:ascii="宋体" w:hAnsi="宋体" w:eastAsia="宋体" w:cs="宋体"/>
          <w:color w:val="000000" w:themeColor="text1"/>
          <w:sz w:val="24"/>
          <w:szCs w:val="24"/>
          <w:highlight w:val="none"/>
          <w14:textFill>
            <w14:solidFill>
              <w14:schemeClr w14:val="tx1"/>
            </w14:solidFill>
          </w14:textFill>
        </w:rPr>
      </w:pPr>
    </w:p>
    <w:p w14:paraId="62C6969F">
      <w:pPr>
        <w:rPr>
          <w:rFonts w:hint="eastAsia" w:ascii="宋体" w:hAnsi="宋体" w:eastAsia="宋体" w:cs="宋体"/>
          <w:color w:val="000000" w:themeColor="text1"/>
          <w:sz w:val="24"/>
          <w:szCs w:val="24"/>
          <w:highlight w:val="none"/>
          <w14:textFill>
            <w14:solidFill>
              <w14:schemeClr w14:val="tx1"/>
            </w14:solidFill>
          </w14:textFill>
        </w:rPr>
      </w:pPr>
    </w:p>
    <w:p w14:paraId="29035EBA">
      <w:pPr>
        <w:pStyle w:val="27"/>
        <w:rPr>
          <w:rFonts w:hint="eastAsia" w:ascii="宋体" w:hAnsi="宋体" w:eastAsia="宋体" w:cs="宋体"/>
          <w:color w:val="000000" w:themeColor="text1"/>
          <w:sz w:val="24"/>
          <w:szCs w:val="24"/>
          <w:highlight w:val="none"/>
          <w14:textFill>
            <w14:solidFill>
              <w14:schemeClr w14:val="tx1"/>
            </w14:solidFill>
          </w14:textFill>
        </w:rPr>
      </w:pPr>
    </w:p>
    <w:p w14:paraId="2A9EEE66">
      <w:pPr>
        <w:pStyle w:val="27"/>
        <w:rPr>
          <w:rFonts w:hint="eastAsia" w:ascii="宋体" w:hAnsi="宋体" w:eastAsia="宋体" w:cs="宋体"/>
          <w:color w:val="000000" w:themeColor="text1"/>
          <w:sz w:val="24"/>
          <w:szCs w:val="24"/>
          <w:highlight w:val="none"/>
          <w14:textFill>
            <w14:solidFill>
              <w14:schemeClr w14:val="tx1"/>
            </w14:solidFill>
          </w14:textFill>
        </w:rPr>
      </w:pPr>
    </w:p>
    <w:p w14:paraId="43108A57">
      <w:pPr>
        <w:pStyle w:val="27"/>
        <w:rPr>
          <w:rFonts w:hint="eastAsia" w:ascii="宋体" w:hAnsi="宋体" w:eastAsia="宋体" w:cs="宋体"/>
          <w:color w:val="000000" w:themeColor="text1"/>
          <w:sz w:val="24"/>
          <w:szCs w:val="24"/>
          <w:highlight w:val="none"/>
          <w14:textFill>
            <w14:solidFill>
              <w14:schemeClr w14:val="tx1"/>
            </w14:solidFill>
          </w14:textFill>
        </w:rPr>
      </w:pPr>
    </w:p>
    <w:p w14:paraId="20720EBF">
      <w:pPr>
        <w:pStyle w:val="27"/>
        <w:rPr>
          <w:rFonts w:hint="eastAsia" w:ascii="宋体" w:hAnsi="宋体" w:eastAsia="宋体" w:cs="宋体"/>
          <w:color w:val="000000" w:themeColor="text1"/>
          <w:sz w:val="24"/>
          <w:szCs w:val="24"/>
          <w:highlight w:val="none"/>
          <w14:textFill>
            <w14:solidFill>
              <w14:schemeClr w14:val="tx1"/>
            </w14:solidFill>
          </w14:textFill>
        </w:rPr>
      </w:pPr>
    </w:p>
    <w:p w14:paraId="5D299D1C">
      <w:pPr>
        <w:pStyle w:val="27"/>
        <w:rPr>
          <w:rFonts w:hint="eastAsia" w:ascii="宋体" w:hAnsi="宋体" w:eastAsia="宋体" w:cs="宋体"/>
          <w:color w:val="000000" w:themeColor="text1"/>
          <w:sz w:val="24"/>
          <w:szCs w:val="24"/>
          <w:highlight w:val="none"/>
          <w14:textFill>
            <w14:solidFill>
              <w14:schemeClr w14:val="tx1"/>
            </w14:solidFill>
          </w14:textFill>
        </w:rPr>
      </w:pPr>
    </w:p>
    <w:p w14:paraId="17002121">
      <w:pPr>
        <w:pStyle w:val="27"/>
        <w:rPr>
          <w:rFonts w:hint="eastAsia" w:ascii="宋体" w:hAnsi="宋体" w:eastAsia="宋体" w:cs="宋体"/>
          <w:color w:val="000000" w:themeColor="text1"/>
          <w:sz w:val="24"/>
          <w:szCs w:val="24"/>
          <w:highlight w:val="none"/>
          <w14:textFill>
            <w14:solidFill>
              <w14:schemeClr w14:val="tx1"/>
            </w14:solidFill>
          </w14:textFill>
        </w:rPr>
      </w:pPr>
    </w:p>
    <w:p w14:paraId="3B8AB700">
      <w:pPr>
        <w:pStyle w:val="27"/>
        <w:rPr>
          <w:rFonts w:hint="eastAsia" w:ascii="宋体" w:hAnsi="宋体" w:eastAsia="宋体" w:cs="宋体"/>
          <w:color w:val="000000" w:themeColor="text1"/>
          <w:sz w:val="24"/>
          <w:szCs w:val="24"/>
          <w:highlight w:val="none"/>
          <w14:textFill>
            <w14:solidFill>
              <w14:schemeClr w14:val="tx1"/>
            </w14:solidFill>
          </w14:textFill>
        </w:rPr>
      </w:pPr>
    </w:p>
    <w:p w14:paraId="6881E397">
      <w:pPr>
        <w:pStyle w:val="27"/>
        <w:rPr>
          <w:rFonts w:hint="eastAsia" w:ascii="宋体" w:hAnsi="宋体" w:eastAsia="宋体" w:cs="宋体"/>
          <w:color w:val="000000" w:themeColor="text1"/>
          <w:sz w:val="24"/>
          <w:szCs w:val="24"/>
          <w:highlight w:val="none"/>
          <w14:textFill>
            <w14:solidFill>
              <w14:schemeClr w14:val="tx1"/>
            </w14:solidFill>
          </w14:textFill>
        </w:rPr>
      </w:pPr>
    </w:p>
    <w:p w14:paraId="051A9A0B">
      <w:pPr>
        <w:pStyle w:val="27"/>
        <w:rPr>
          <w:rFonts w:hint="eastAsia" w:ascii="宋体" w:hAnsi="宋体" w:eastAsia="宋体" w:cs="宋体"/>
          <w:color w:val="000000" w:themeColor="text1"/>
          <w:sz w:val="24"/>
          <w:szCs w:val="24"/>
          <w:highlight w:val="none"/>
          <w14:textFill>
            <w14:solidFill>
              <w14:schemeClr w14:val="tx1"/>
            </w14:solidFill>
          </w14:textFill>
        </w:rPr>
      </w:pPr>
    </w:p>
    <w:p w14:paraId="42CA33D8">
      <w:pPr>
        <w:pStyle w:val="27"/>
        <w:rPr>
          <w:rFonts w:hint="eastAsia" w:ascii="宋体" w:hAnsi="宋体" w:eastAsia="宋体" w:cs="宋体"/>
          <w:color w:val="000000" w:themeColor="text1"/>
          <w:sz w:val="24"/>
          <w:szCs w:val="24"/>
          <w:highlight w:val="none"/>
          <w14:textFill>
            <w14:solidFill>
              <w14:schemeClr w14:val="tx1"/>
            </w14:solidFill>
          </w14:textFill>
        </w:rPr>
      </w:pPr>
    </w:p>
    <w:p w14:paraId="08852363">
      <w:pPr>
        <w:pStyle w:val="27"/>
        <w:rPr>
          <w:rFonts w:hint="eastAsia" w:ascii="宋体" w:hAnsi="宋体" w:eastAsia="宋体" w:cs="宋体"/>
          <w:color w:val="000000" w:themeColor="text1"/>
          <w:sz w:val="24"/>
          <w:szCs w:val="24"/>
          <w:highlight w:val="none"/>
          <w14:textFill>
            <w14:solidFill>
              <w14:schemeClr w14:val="tx1"/>
            </w14:solidFill>
          </w14:textFill>
        </w:rPr>
      </w:pPr>
    </w:p>
    <w:p w14:paraId="3E1B4990">
      <w:pPr>
        <w:pStyle w:val="27"/>
        <w:rPr>
          <w:rFonts w:hint="eastAsia" w:ascii="宋体" w:hAnsi="宋体" w:eastAsia="宋体" w:cs="宋体"/>
          <w:color w:val="000000" w:themeColor="text1"/>
          <w:sz w:val="24"/>
          <w:szCs w:val="24"/>
          <w:highlight w:val="none"/>
          <w14:textFill>
            <w14:solidFill>
              <w14:schemeClr w14:val="tx1"/>
            </w14:solidFill>
          </w14:textFill>
        </w:rPr>
      </w:pPr>
    </w:p>
    <w:p w14:paraId="20E18EDD">
      <w:pPr>
        <w:pStyle w:val="27"/>
        <w:rPr>
          <w:rFonts w:hint="eastAsia" w:ascii="宋体" w:hAnsi="宋体" w:eastAsia="宋体" w:cs="宋体"/>
          <w:color w:val="000000" w:themeColor="text1"/>
          <w:sz w:val="24"/>
          <w:szCs w:val="24"/>
          <w:highlight w:val="none"/>
          <w14:textFill>
            <w14:solidFill>
              <w14:schemeClr w14:val="tx1"/>
            </w14:solidFill>
          </w14:textFill>
        </w:rPr>
      </w:pPr>
    </w:p>
    <w:p w14:paraId="67287A1C">
      <w:pPr>
        <w:pStyle w:val="27"/>
        <w:rPr>
          <w:rFonts w:hint="eastAsia" w:ascii="宋体" w:hAnsi="宋体" w:eastAsia="宋体" w:cs="宋体"/>
          <w:color w:val="000000" w:themeColor="text1"/>
          <w:sz w:val="24"/>
          <w:szCs w:val="24"/>
          <w:highlight w:val="none"/>
          <w14:textFill>
            <w14:solidFill>
              <w14:schemeClr w14:val="tx1"/>
            </w14:solidFill>
          </w14:textFill>
        </w:rPr>
      </w:pPr>
    </w:p>
    <w:p w14:paraId="34059C5E">
      <w:pPr>
        <w:pStyle w:val="27"/>
        <w:rPr>
          <w:rFonts w:hint="eastAsia" w:ascii="宋体" w:hAnsi="宋体" w:eastAsia="宋体" w:cs="宋体"/>
          <w:color w:val="000000" w:themeColor="text1"/>
          <w:sz w:val="24"/>
          <w:szCs w:val="24"/>
          <w:highlight w:val="none"/>
          <w14:textFill>
            <w14:solidFill>
              <w14:schemeClr w14:val="tx1"/>
            </w14:solidFill>
          </w14:textFill>
        </w:rPr>
      </w:pPr>
    </w:p>
    <w:p w14:paraId="294E2705">
      <w:pPr>
        <w:pStyle w:val="27"/>
        <w:rPr>
          <w:rFonts w:hint="eastAsia" w:ascii="宋体" w:hAnsi="宋体" w:eastAsia="宋体" w:cs="宋体"/>
          <w:color w:val="000000" w:themeColor="text1"/>
          <w:sz w:val="24"/>
          <w:szCs w:val="24"/>
          <w:highlight w:val="none"/>
          <w14:textFill>
            <w14:solidFill>
              <w14:schemeClr w14:val="tx1"/>
            </w14:solidFill>
          </w14:textFill>
        </w:rPr>
      </w:pPr>
    </w:p>
    <w:p w14:paraId="180BD831">
      <w:pPr>
        <w:pStyle w:val="27"/>
        <w:rPr>
          <w:rFonts w:hint="eastAsia" w:ascii="宋体" w:hAnsi="宋体" w:eastAsia="宋体" w:cs="宋体"/>
          <w:color w:val="000000" w:themeColor="text1"/>
          <w:sz w:val="24"/>
          <w:szCs w:val="24"/>
          <w:highlight w:val="none"/>
          <w14:textFill>
            <w14:solidFill>
              <w14:schemeClr w14:val="tx1"/>
            </w14:solidFill>
          </w14:textFill>
        </w:rPr>
      </w:pPr>
    </w:p>
    <w:p w14:paraId="317A71F4">
      <w:pPr>
        <w:pStyle w:val="27"/>
        <w:rPr>
          <w:rFonts w:hint="eastAsia" w:ascii="宋体" w:hAnsi="宋体" w:eastAsia="宋体" w:cs="宋体"/>
          <w:color w:val="000000" w:themeColor="text1"/>
          <w:sz w:val="24"/>
          <w:szCs w:val="24"/>
          <w:highlight w:val="none"/>
          <w14:textFill>
            <w14:solidFill>
              <w14:schemeClr w14:val="tx1"/>
            </w14:solidFill>
          </w14:textFill>
        </w:rPr>
      </w:pPr>
    </w:p>
    <w:p w14:paraId="1321859E">
      <w:pPr>
        <w:pStyle w:val="27"/>
        <w:rPr>
          <w:rFonts w:hint="eastAsia" w:ascii="宋体" w:hAnsi="宋体" w:eastAsia="宋体" w:cs="宋体"/>
          <w:color w:val="000000" w:themeColor="text1"/>
          <w:sz w:val="24"/>
          <w:szCs w:val="24"/>
          <w:highlight w:val="none"/>
          <w14:textFill>
            <w14:solidFill>
              <w14:schemeClr w14:val="tx1"/>
            </w14:solidFill>
          </w14:textFill>
        </w:rPr>
      </w:pPr>
    </w:p>
    <w:p w14:paraId="00B813BB">
      <w:pPr>
        <w:pStyle w:val="27"/>
        <w:rPr>
          <w:rFonts w:hint="eastAsia" w:ascii="宋体" w:hAnsi="宋体" w:eastAsia="宋体" w:cs="宋体"/>
          <w:color w:val="000000" w:themeColor="text1"/>
          <w:sz w:val="24"/>
          <w:szCs w:val="24"/>
          <w:highlight w:val="none"/>
          <w14:textFill>
            <w14:solidFill>
              <w14:schemeClr w14:val="tx1"/>
            </w14:solidFill>
          </w14:textFill>
        </w:rPr>
      </w:pPr>
    </w:p>
    <w:p w14:paraId="585C6D64">
      <w:pPr>
        <w:pStyle w:val="6"/>
        <w:numPr>
          <w:ilvl w:val="0"/>
          <w:numId w:val="0"/>
        </w:num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bookmarkStart w:id="221" w:name="_Toc11067"/>
      <w:bookmarkStart w:id="222" w:name="_Toc7185"/>
      <w:bookmarkStart w:id="223" w:name="_Toc497927071"/>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一</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资格性响应证明材料目录</w:t>
      </w:r>
      <w:bookmarkEnd w:id="221"/>
      <w:bookmarkEnd w:id="222"/>
      <w:bookmarkEnd w:id="223"/>
      <w:r>
        <w:rPr>
          <w:rFonts w:hint="eastAsia" w:ascii="宋体" w:hAnsi="宋体" w:eastAsia="宋体" w:cs="宋体"/>
          <w:b/>
          <w:bCs/>
          <w:color w:val="000000" w:themeColor="text1"/>
          <w:sz w:val="24"/>
          <w:szCs w:val="24"/>
          <w:highlight w:val="none"/>
          <w:lang w:eastAsia="zh-CN"/>
          <w14:textFill>
            <w14:solidFill>
              <w14:schemeClr w14:val="tx1"/>
            </w14:solidFill>
          </w14:textFill>
        </w:rPr>
        <w:t>（根据所提供内容自行编写）</w:t>
      </w:r>
    </w:p>
    <w:p w14:paraId="74F61A49">
      <w:pPr>
        <w:rPr>
          <w:rFonts w:hint="eastAsia" w:ascii="宋体" w:hAnsi="宋体" w:eastAsia="宋体" w:cs="宋体"/>
          <w:b/>
          <w:bCs/>
          <w:color w:val="000000" w:themeColor="text1"/>
          <w:sz w:val="28"/>
          <w:szCs w:val="28"/>
          <w:highlight w:val="none"/>
          <w14:textFill>
            <w14:solidFill>
              <w14:schemeClr w14:val="tx1"/>
            </w14:solidFill>
          </w14:textFill>
        </w:rPr>
      </w:pPr>
    </w:p>
    <w:p w14:paraId="3BF77372">
      <w:pPr>
        <w:keepNext w:val="0"/>
        <w:keepLines w:val="0"/>
        <w:pageBreakBefore w:val="0"/>
        <w:widowControl w:val="0"/>
        <w:tabs>
          <w:tab w:val="left" w:pos="3570"/>
        </w:tabs>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供应商相应的法定代表人、负责人、自然人身份证正反两面复印件</w:t>
      </w:r>
      <w:r>
        <w:rPr>
          <w:rFonts w:hint="eastAsia" w:ascii="宋体" w:hAnsi="宋体" w:eastAsia="宋体" w:cs="宋体"/>
          <w:b/>
          <w:bCs/>
          <w:color w:val="000000" w:themeColor="text1"/>
          <w:sz w:val="21"/>
          <w:szCs w:val="21"/>
          <w:highlight w:val="none"/>
          <w14:textFill>
            <w14:solidFill>
              <w14:schemeClr w14:val="tx1"/>
            </w14:solidFill>
          </w14:textFill>
        </w:rPr>
        <w:t>（必须提供）</w:t>
      </w:r>
      <w:r>
        <w:rPr>
          <w:rFonts w:hint="eastAsia" w:ascii="宋体" w:hAnsi="宋体" w:eastAsia="宋体" w:cs="宋体"/>
          <w:color w:val="000000" w:themeColor="text1"/>
          <w:sz w:val="21"/>
          <w:szCs w:val="21"/>
          <w:highlight w:val="none"/>
          <w14:textFill>
            <w14:solidFill>
              <w14:schemeClr w14:val="tx1"/>
            </w14:solidFill>
          </w14:textFill>
        </w:rPr>
        <w:t>；</w:t>
      </w:r>
    </w:p>
    <w:p w14:paraId="2C8013E2">
      <w:pPr>
        <w:keepNext w:val="0"/>
        <w:keepLines w:val="0"/>
        <w:pageBreakBefore w:val="0"/>
        <w:widowControl w:val="0"/>
        <w:tabs>
          <w:tab w:val="left" w:pos="3570"/>
        </w:tabs>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.供应商的授权委托书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原件</w:t>
      </w:r>
      <w:r>
        <w:rPr>
          <w:rFonts w:hint="eastAsia" w:ascii="宋体" w:hAnsi="宋体" w:eastAsia="宋体" w:cs="宋体"/>
          <w:color w:val="000000" w:themeColor="text1"/>
          <w:sz w:val="21"/>
          <w:szCs w:val="21"/>
          <w:highlight w:val="none"/>
          <w14:textFill>
            <w14:solidFill>
              <w14:schemeClr w14:val="tx1"/>
            </w14:solidFill>
          </w14:textFill>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000000" w:themeColor="text1"/>
          <w:sz w:val="21"/>
          <w:szCs w:val="21"/>
          <w:highlight w:val="none"/>
          <w:lang w:eastAsia="zh-CN"/>
          <w14:textFill>
            <w14:solidFill>
              <w14:schemeClr w14:val="tx1"/>
            </w14:solidFill>
          </w14:textFill>
        </w:rPr>
        <w:t>（委托代理时必须提供）。</w:t>
      </w:r>
      <w:r>
        <w:rPr>
          <w:rFonts w:hint="eastAsia" w:ascii="宋体" w:hAnsi="宋体" w:eastAsia="宋体" w:cs="宋体"/>
          <w:color w:val="000000" w:themeColor="text1"/>
          <w:sz w:val="21"/>
          <w:szCs w:val="21"/>
          <w:highlight w:val="none"/>
          <w14:textFill>
            <w14:solidFill>
              <w14:schemeClr w14:val="tx1"/>
            </w14:solidFill>
          </w14:textFill>
        </w:rPr>
        <w:t>除供应商为以下三种情形的：</w:t>
      </w:r>
    </w:p>
    <w:p w14:paraId="0212AE8D">
      <w:pPr>
        <w:keepNext w:val="0"/>
        <w:keepLines w:val="0"/>
        <w:pageBreakBefore w:val="0"/>
        <w:widowControl w:val="0"/>
        <w:tabs>
          <w:tab w:val="left" w:pos="3570"/>
        </w:tabs>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如供应商为截标时间前60日以内成立的公司，可以提供供应商与委托代理人签订的劳动合同复印件代替社保证明复印件；</w:t>
      </w:r>
    </w:p>
    <w:p w14:paraId="31490CB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（2）如供应商为事业单位，可以提供事业单位机构编制管理证复印件或事业单位机构为其发放工资的工资条复印件代替社保证明复印件；</w:t>
      </w:r>
    </w:p>
    <w:p w14:paraId="783C899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（3）如委托代理人为免缴纳社保人员，提供免缴纳社保的证明材料复印件及供应商与委托代理人签订的劳动合同复印件代替社保证明复印件。</w:t>
      </w:r>
    </w:p>
    <w:p w14:paraId="71B004F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属</w:t>
      </w:r>
      <w:r>
        <w:rPr>
          <w:rFonts w:hint="eastAsia" w:ascii="宋体" w:hAnsi="宋体" w:eastAsia="宋体" w:cs="宋体"/>
          <w:b/>
          <w:bCs/>
          <w:color w:val="000000" w:themeColor="text1"/>
          <w:sz w:val="21"/>
          <w:szCs w:val="21"/>
          <w:highlight w:val="none"/>
          <w14:textFill>
            <w14:solidFill>
              <w14:schemeClr w14:val="tx1"/>
            </w14:solidFill>
          </w14:textFill>
        </w:rPr>
        <w:t>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（委托代理时必须提供）</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3104C35">
      <w:pPr>
        <w:keepNext w:val="0"/>
        <w:keepLines w:val="0"/>
        <w:pageBreakBefore w:val="0"/>
        <w:widowControl w:val="0"/>
        <w:tabs>
          <w:tab w:val="left" w:pos="3570"/>
        </w:tabs>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供应商参加政府采购活动前3年内在经营活动中没有重大违法记录及有关信用信息的书面声</w:t>
      </w:r>
      <w:r>
        <w:rPr>
          <w:rFonts w:hint="eastAsia" w:ascii="宋体" w:hAnsi="宋体" w:eastAsia="宋体" w:cs="宋体"/>
          <w:b/>
          <w:bCs/>
          <w:color w:val="000000" w:themeColor="text1"/>
          <w:sz w:val="21"/>
          <w:szCs w:val="21"/>
          <w:highlight w:val="none"/>
          <w14:textFill>
            <w14:solidFill>
              <w14:schemeClr w14:val="tx1"/>
            </w14:solidFill>
          </w14:textFill>
        </w:rPr>
        <w:t>（必须提供）</w:t>
      </w:r>
      <w:r>
        <w:rPr>
          <w:rFonts w:hint="eastAsia" w:ascii="宋体" w:hAnsi="宋体" w:eastAsia="宋体" w:cs="宋体"/>
          <w:color w:val="000000" w:themeColor="text1"/>
          <w:sz w:val="21"/>
          <w:szCs w:val="21"/>
          <w:highlight w:val="none"/>
          <w14:textFill>
            <w14:solidFill>
              <w14:schemeClr w14:val="tx1"/>
            </w14:solidFill>
          </w14:textFill>
        </w:rPr>
        <w:t>；</w:t>
      </w:r>
    </w:p>
    <w:p w14:paraId="3ED1E2E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kern w:val="0"/>
          <w:sz w:val="21"/>
          <w:szCs w:val="21"/>
          <w:highlight w:val="none"/>
          <w14:textFill>
            <w14:solidFill>
              <w14:schemeClr w14:val="tx1"/>
            </w14:solidFill>
          </w14:textFill>
        </w:rPr>
        <w:t>供应商的法人或者其他组织营业执照等证明文件复印件</w:t>
      </w:r>
      <w:r>
        <w:rPr>
          <w:rFonts w:hint="eastAsia" w:ascii="宋体" w:hAnsi="宋体" w:eastAsia="宋体" w:cs="宋体"/>
          <w:b/>
          <w:bCs w:val="0"/>
          <w:color w:val="000000" w:themeColor="text1"/>
          <w:kern w:val="0"/>
          <w:sz w:val="21"/>
          <w:szCs w:val="21"/>
          <w:highlight w:val="none"/>
          <w14:textFill>
            <w14:solidFill>
              <w14:schemeClr w14:val="tx1"/>
            </w14:solidFill>
          </w14:textFill>
        </w:rPr>
        <w:t>（必须提供，自然人除外）</w:t>
      </w:r>
      <w:r>
        <w:rPr>
          <w:rFonts w:hint="eastAsia" w:ascii="宋体" w:hAnsi="宋体" w:eastAsia="宋体" w:cs="宋体"/>
          <w:bCs/>
          <w:color w:val="000000" w:themeColor="text1"/>
          <w:kern w:val="0"/>
          <w:sz w:val="21"/>
          <w:szCs w:val="21"/>
          <w:highlight w:val="none"/>
          <w14:textFill>
            <w14:solidFill>
              <w14:schemeClr w14:val="tx1"/>
            </w14:solidFill>
          </w14:textFill>
        </w:rPr>
        <w:t>；</w:t>
      </w:r>
    </w:p>
    <w:p w14:paraId="4D75E5A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供应商有效的资质证书复印件</w:t>
      </w:r>
      <w:r>
        <w:rPr>
          <w:rFonts w:hint="eastAsia" w:ascii="宋体" w:hAnsi="宋体" w:eastAsia="宋体" w:cs="宋体"/>
          <w:b/>
          <w:bCs w:val="0"/>
          <w:color w:val="000000" w:themeColor="text1"/>
          <w:kern w:val="0"/>
          <w:sz w:val="21"/>
          <w:szCs w:val="21"/>
          <w:highlight w:val="none"/>
          <w:lang w:val="en-US" w:eastAsia="zh-CN"/>
          <w14:textFill>
            <w14:solidFill>
              <w14:schemeClr w14:val="tx1"/>
            </w14:solidFill>
          </w14:textFill>
        </w:rPr>
        <w:t>（必须提供）</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w:t>
      </w:r>
    </w:p>
    <w:p w14:paraId="48E1359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6.《中小企业声明函》或《残疾人福利性单位声明函》或省级以上监狱管理局、戒毒管理局（含新疆生产建设兵团）出具的属于监狱企业的证明文件复印件</w:t>
      </w:r>
      <w:r>
        <w:rPr>
          <w:rFonts w:hint="eastAsia" w:ascii="宋体" w:hAnsi="宋体" w:eastAsia="宋体" w:cs="宋体"/>
          <w:b/>
          <w:bCs w:val="0"/>
          <w:color w:val="000000" w:themeColor="text1"/>
          <w:kern w:val="0"/>
          <w:sz w:val="21"/>
          <w:szCs w:val="21"/>
          <w:highlight w:val="none"/>
          <w:lang w:val="en-US" w:eastAsia="zh-CN"/>
          <w14:textFill>
            <w14:solidFill>
              <w14:schemeClr w14:val="tx1"/>
            </w14:solidFill>
          </w14:textFill>
        </w:rPr>
        <w:t>（必须提供其中一项）</w:t>
      </w:r>
      <w:r>
        <w:rPr>
          <w:rFonts w:hint="eastAsia" w:ascii="宋体" w:hAnsi="宋体" w:eastAsia="宋体" w:cs="宋体"/>
          <w:bCs/>
          <w:color w:val="000000" w:themeColor="text1"/>
          <w:kern w:val="0"/>
          <w:sz w:val="21"/>
          <w:szCs w:val="21"/>
          <w:highlight w:val="none"/>
          <w14:textFill>
            <w14:solidFill>
              <w14:schemeClr w14:val="tx1"/>
            </w14:solidFill>
          </w14:textFill>
        </w:rPr>
        <w:t>；</w:t>
      </w:r>
    </w:p>
    <w:p w14:paraId="0096D79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7.</w:t>
      </w:r>
      <w:r>
        <w:rPr>
          <w:rFonts w:hint="eastAsia" w:ascii="宋体" w:hAnsi="宋体" w:cs="宋体"/>
          <w:bCs/>
          <w:color w:val="000000" w:themeColor="text1"/>
          <w:kern w:val="0"/>
          <w:sz w:val="21"/>
          <w:szCs w:val="21"/>
          <w:highlight w:val="none"/>
          <w14:textFill>
            <w14:solidFill>
              <w14:schemeClr w14:val="tx1"/>
            </w14:solidFill>
          </w14:textFill>
        </w:rPr>
        <w:t>供应商有效的安全生产许可证书复印件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（必须提供）</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14:paraId="2441FDE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cs="宋体"/>
          <w:bCs/>
          <w:color w:val="000000" w:themeColor="text1"/>
          <w:kern w:val="0"/>
          <w:sz w:val="21"/>
          <w:szCs w:val="21"/>
          <w:highlight w:val="none"/>
          <w:lang w:eastAsia="zh-CN"/>
          <w14:textFill>
            <w14:solidFill>
              <w14:schemeClr w14:val="tx1"/>
            </w14:solidFill>
          </w14:textFill>
        </w:rPr>
        <w:t>供应商2023年度财务状况报告复印件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（必须提供</w:t>
      </w:r>
      <w:r>
        <w:rPr>
          <w:rFonts w:hint="eastAsia" w:ascii="宋体" w:hAnsi="宋体" w:cs="宋体"/>
          <w:b/>
          <w:bCs/>
          <w:color w:val="000000" w:themeColor="text1"/>
          <w:sz w:val="21"/>
          <w:szCs w:val="21"/>
          <w:highlight w:val="none"/>
          <w:lang w:eastAsia="zh-CN"/>
          <w14:textFill>
            <w14:solidFill>
              <w14:schemeClr w14:val="tx1"/>
            </w14:solidFill>
          </w14:textFill>
        </w:rPr>
        <w:t>，</w:t>
      </w:r>
      <w:r>
        <w:rPr>
          <w:rFonts w:ascii="宋体" w:hAnsi="宋体" w:cs="宋体"/>
          <w:b/>
          <w:bCs/>
          <w:color w:val="000000" w:themeColor="text1"/>
          <w:sz w:val="21"/>
          <w:szCs w:val="21"/>
          <w:highlight w:val="none"/>
          <w14:textFill>
            <w14:solidFill>
              <w14:schemeClr w14:val="tx1"/>
            </w14:solidFill>
          </w14:textFill>
        </w:rPr>
        <w:t>可</w:t>
      </w:r>
      <w:r>
        <w:rPr>
          <w:rFonts w:hint="eastAsia" w:ascii="宋体" w:hAnsi="宋体" w:cs="宋体"/>
          <w:b/>
          <w:bCs/>
          <w:color w:val="000000" w:themeColor="text1"/>
          <w:sz w:val="21"/>
          <w:szCs w:val="21"/>
          <w:highlight w:val="none"/>
          <w:lang w:eastAsia="zh-CN"/>
          <w14:textFill>
            <w14:solidFill>
              <w14:schemeClr w14:val="tx1"/>
            </w14:solidFill>
          </w14:textFill>
        </w:rPr>
        <w:t>以是磋商供应商</w:t>
      </w:r>
      <w:r>
        <w:rPr>
          <w:rFonts w:ascii="宋体" w:hAnsi="宋体" w:cs="宋体"/>
          <w:b/>
          <w:bCs/>
          <w:color w:val="000000" w:themeColor="text1"/>
          <w:sz w:val="21"/>
          <w:szCs w:val="21"/>
          <w:highlight w:val="none"/>
          <w14:textFill>
            <w14:solidFill>
              <w14:schemeClr w14:val="tx1"/>
            </w14:solidFill>
          </w14:textFill>
        </w:rPr>
        <w:t>自行编制也可</w:t>
      </w:r>
      <w:r>
        <w:rPr>
          <w:rFonts w:hint="eastAsia" w:ascii="宋体" w:hAnsi="宋体" w:cs="宋体"/>
          <w:b/>
          <w:bCs/>
          <w:color w:val="000000" w:themeColor="text1"/>
          <w:sz w:val="21"/>
          <w:szCs w:val="21"/>
          <w:highlight w:val="none"/>
          <w:lang w:eastAsia="zh-CN"/>
          <w14:textFill>
            <w14:solidFill>
              <w14:schemeClr w14:val="tx1"/>
            </w14:solidFill>
          </w14:textFill>
        </w:rPr>
        <w:t>是</w:t>
      </w:r>
      <w:r>
        <w:rPr>
          <w:rFonts w:ascii="宋体" w:hAnsi="宋体" w:cs="宋体"/>
          <w:b/>
          <w:bCs/>
          <w:color w:val="000000" w:themeColor="text1"/>
          <w:sz w:val="21"/>
          <w:szCs w:val="21"/>
          <w:highlight w:val="none"/>
          <w14:textFill>
            <w14:solidFill>
              <w14:schemeClr w14:val="tx1"/>
            </w14:solidFill>
          </w14:textFill>
        </w:rPr>
        <w:t>通过</w:t>
      </w:r>
      <w:r>
        <w:rPr>
          <w:rFonts w:hint="eastAsia" w:ascii="宋体" w:hAnsi="宋体" w:cs="宋体"/>
          <w:b/>
          <w:bCs/>
          <w:color w:val="000000" w:themeColor="text1"/>
          <w:sz w:val="21"/>
          <w:szCs w:val="21"/>
          <w:highlight w:val="none"/>
          <w:lang w:eastAsia="zh-CN"/>
          <w14:textFill>
            <w14:solidFill>
              <w14:schemeClr w14:val="tx1"/>
            </w14:solidFill>
          </w14:textFill>
        </w:rPr>
        <w:t>第三方</w:t>
      </w:r>
      <w:r>
        <w:rPr>
          <w:rFonts w:ascii="宋体" w:hAnsi="宋体" w:cs="宋体"/>
          <w:b/>
          <w:bCs/>
          <w:color w:val="000000" w:themeColor="text1"/>
          <w:sz w:val="21"/>
          <w:szCs w:val="21"/>
          <w:highlight w:val="none"/>
          <w14:textFill>
            <w14:solidFill>
              <w14:schemeClr w14:val="tx1"/>
            </w14:solidFill>
          </w14:textFill>
        </w:rPr>
        <w:t>审计公司编制，如为自行编制至少须提供现金流量表、负债表及利润表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14:paraId="130953C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9.供应商近半年内任意一个月或任一季度依法缴纳税收的证明材料[增值税缴纳发票(税收完税证明)或企业所得税完税证明或税务部门出具的免税证明]复印件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（必须提供）</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14:paraId="6F9B02F4">
      <w:pPr>
        <w:spacing w:line="440" w:lineRule="atLeas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2DD28110">
      <w:pPr>
        <w:pStyle w:val="2"/>
        <w:rPr>
          <w:rFonts w:hint="eastAsia"/>
          <w:color w:val="000000" w:themeColor="text1"/>
          <w:highlight w:val="none"/>
          <w:lang w:val="en-US" w:eastAsia="zh-CN"/>
          <w14:textFill>
            <w14:solidFill>
              <w14:schemeClr w14:val="tx1"/>
            </w14:solidFill>
          </w14:textFill>
        </w:rPr>
      </w:pPr>
    </w:p>
    <w:p w14:paraId="72EE1C28">
      <w:pPr>
        <w:rPr>
          <w:rFonts w:hint="eastAsia"/>
          <w:color w:val="000000" w:themeColor="text1"/>
          <w:highlight w:val="none"/>
          <w:lang w:val="en-US" w:eastAsia="zh-CN"/>
          <w14:textFill>
            <w14:solidFill>
              <w14:schemeClr w14:val="tx1"/>
            </w14:solidFill>
          </w14:textFill>
        </w:rPr>
      </w:pPr>
    </w:p>
    <w:p w14:paraId="2933FED8">
      <w:pPr>
        <w:pStyle w:val="2"/>
        <w:rPr>
          <w:rFonts w:hint="eastAsia"/>
          <w:color w:val="000000" w:themeColor="text1"/>
          <w:highlight w:val="none"/>
          <w:lang w:val="en-US" w:eastAsia="zh-CN"/>
          <w14:textFill>
            <w14:solidFill>
              <w14:schemeClr w14:val="tx1"/>
            </w14:solidFill>
          </w14:textFill>
        </w:rPr>
      </w:pPr>
    </w:p>
    <w:p w14:paraId="48CA5990">
      <w:pPr>
        <w:rPr>
          <w:rFonts w:hint="eastAsia"/>
          <w:color w:val="000000" w:themeColor="text1"/>
          <w:highlight w:val="none"/>
          <w:lang w:val="en-US" w:eastAsia="zh-CN"/>
          <w14:textFill>
            <w14:solidFill>
              <w14:schemeClr w14:val="tx1"/>
            </w14:solidFill>
          </w14:textFill>
        </w:rPr>
      </w:pPr>
    </w:p>
    <w:p w14:paraId="27AE14CB">
      <w:pPr>
        <w:pStyle w:val="2"/>
        <w:rPr>
          <w:rFonts w:hint="eastAsia"/>
          <w:color w:val="000000" w:themeColor="text1"/>
          <w:highlight w:val="none"/>
          <w:lang w:val="en-US" w:eastAsia="zh-CN"/>
          <w14:textFill>
            <w14:solidFill>
              <w14:schemeClr w14:val="tx1"/>
            </w14:solidFill>
          </w14:textFill>
        </w:rPr>
      </w:pPr>
    </w:p>
    <w:p w14:paraId="6A2D3CCB">
      <w:pPr>
        <w:rPr>
          <w:rFonts w:hint="eastAsia"/>
          <w:color w:val="000000" w:themeColor="text1"/>
          <w:highlight w:val="none"/>
          <w:lang w:val="en-US" w:eastAsia="zh-CN"/>
          <w14:textFill>
            <w14:solidFill>
              <w14:schemeClr w14:val="tx1"/>
            </w14:solidFill>
          </w14:textFill>
        </w:rPr>
      </w:pPr>
    </w:p>
    <w:p w14:paraId="1EFF298B">
      <w:pPr>
        <w:pStyle w:val="2"/>
        <w:rPr>
          <w:rFonts w:hint="eastAsia"/>
          <w:color w:val="000000" w:themeColor="text1"/>
          <w:highlight w:val="none"/>
          <w:lang w:val="en-US" w:eastAsia="zh-CN"/>
          <w14:textFill>
            <w14:solidFill>
              <w14:schemeClr w14:val="tx1"/>
            </w14:solidFill>
          </w14:textFill>
        </w:rPr>
      </w:pPr>
    </w:p>
    <w:p w14:paraId="165AEFF7">
      <w:pPr>
        <w:rPr>
          <w:rFonts w:hint="eastAsia"/>
          <w:color w:val="000000" w:themeColor="text1"/>
          <w:highlight w:val="none"/>
          <w:lang w:val="en-US" w:eastAsia="zh-CN"/>
          <w14:textFill>
            <w14:solidFill>
              <w14:schemeClr w14:val="tx1"/>
            </w14:solidFill>
          </w14:textFill>
        </w:rPr>
      </w:pPr>
    </w:p>
    <w:p w14:paraId="7ECED9CD">
      <w:pPr>
        <w:pStyle w:val="2"/>
        <w:rPr>
          <w:rFonts w:hint="eastAsia"/>
          <w:color w:val="000000" w:themeColor="text1"/>
          <w:highlight w:val="none"/>
          <w:lang w:val="en-US" w:eastAsia="zh-CN"/>
          <w14:textFill>
            <w14:solidFill>
              <w14:schemeClr w14:val="tx1"/>
            </w14:solidFill>
          </w14:textFill>
        </w:rPr>
      </w:pPr>
    </w:p>
    <w:p w14:paraId="6A8159B9">
      <w:pPr>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br w:type="page"/>
      </w:r>
    </w:p>
    <w:p w14:paraId="42378F5F">
      <w:pPr>
        <w:pStyle w:val="10"/>
        <w:ind w:left="0" w:leftChars="0" w:firstLine="0" w:firstLineChars="0"/>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资格性响应证明材料排序：</w:t>
      </w:r>
    </w:p>
    <w:p w14:paraId="4ECBB71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
          <w:bCs w:val="0"/>
          <w:color w:val="000000" w:themeColor="text1"/>
          <w:sz w:val="24"/>
          <w:szCs w:val="24"/>
          <w:highlight w:val="none"/>
          <w14:textFill>
            <w14:solidFill>
              <w14:schemeClr w14:val="tx1"/>
            </w14:solidFill>
          </w14:textFill>
        </w:rPr>
        <w:t>供应商相应的法定代表人、负责人、自然人身份证正反两面复印件（必须提供）；</w:t>
      </w:r>
    </w:p>
    <w:p w14:paraId="1DB520F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val="0"/>
          <w:color w:val="000000" w:themeColor="text1"/>
          <w:sz w:val="24"/>
          <w:szCs w:val="24"/>
          <w:highlight w:val="none"/>
          <w14:textFill>
            <w14:solidFill>
              <w14:schemeClr w14:val="tx1"/>
            </w14:solidFill>
          </w14:textFill>
        </w:rPr>
        <w:t>.供应商的授权委托书</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原件</w:t>
      </w:r>
      <w:r>
        <w:rPr>
          <w:rFonts w:hint="eastAsia" w:ascii="宋体" w:hAnsi="宋体" w:eastAsia="宋体" w:cs="宋体"/>
          <w:b/>
          <w:bCs w:val="0"/>
          <w:color w:val="000000" w:themeColor="text1"/>
          <w:sz w:val="24"/>
          <w:szCs w:val="24"/>
          <w:highlight w:val="none"/>
          <w14:textFill>
            <w14:solidFill>
              <w14:schemeClr w14:val="tx1"/>
            </w14:solidFill>
          </w14:textFill>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（委托代理时必须提供）。</w:t>
      </w:r>
      <w:r>
        <w:rPr>
          <w:rFonts w:hint="eastAsia" w:ascii="宋体" w:hAnsi="宋体" w:eastAsia="宋体" w:cs="宋体"/>
          <w:b/>
          <w:bCs w:val="0"/>
          <w:color w:val="000000" w:themeColor="text1"/>
          <w:sz w:val="24"/>
          <w:szCs w:val="24"/>
          <w:highlight w:val="none"/>
          <w14:textFill>
            <w14:solidFill>
              <w14:schemeClr w14:val="tx1"/>
            </w14:solidFill>
          </w14:textFill>
        </w:rPr>
        <w:t>除供应商为以下三种情形的：</w:t>
      </w:r>
    </w:p>
    <w:p w14:paraId="789899A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 如供应商为截标时间前60日以内成立的公司，可以提供供应商与委托代理人签订的劳动合同复印件代替社保证明复印件；</w:t>
      </w:r>
    </w:p>
    <w:p w14:paraId="710900D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（2）如供应商为事业单位，可以提供事业单位机构编制管理证复印件或事业单位机构为其发放工资的工资条复印件代替社保证明复印件；</w:t>
      </w:r>
    </w:p>
    <w:p w14:paraId="39A654B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（3）如委托代理人为免缴纳社保人员，提供免缴纳社保的证明材料复印件及供应商与委托代理人签订的劳动合同复印件代替社保证明复印件。</w:t>
      </w:r>
    </w:p>
    <w:p w14:paraId="1E6CB1B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lang w:eastAsia="zh-CN"/>
          <w14:textFill>
            <w14:solidFill>
              <w14:schemeClr w14:val="tx1"/>
            </w14:solidFill>
          </w14:textFill>
        </w:rPr>
        <w:t>属</w:t>
      </w:r>
      <w:r>
        <w:rPr>
          <w:rFonts w:hint="eastAsia" w:ascii="宋体" w:hAnsi="宋体" w:eastAsia="宋体" w:cs="宋体"/>
          <w:b/>
          <w:color w:val="000000" w:themeColor="text1"/>
          <w:sz w:val="21"/>
          <w:szCs w:val="21"/>
          <w:highlight w:val="none"/>
          <w14:textFill>
            <w14:solidFill>
              <w14:schemeClr w14:val="tx1"/>
            </w14:solidFill>
          </w14:textFill>
        </w:rPr>
        <w:t>自然人的应提供由县级以上（含县级）社会养老保险经办机构出具的自然人本人及委托代理人所交纳的响应文件递交截止时间前半年内任意连续三个月社保证明复印件】（委托代理时必须提供）</w:t>
      </w:r>
    </w:p>
    <w:p w14:paraId="05F3D03C">
      <w:pPr>
        <w:spacing w:line="440" w:lineRule="atLeast"/>
        <w:rPr>
          <w:rFonts w:hint="eastAsia" w:ascii="宋体" w:hAnsi="宋体" w:eastAsia="宋体" w:cs="宋体"/>
          <w:b/>
          <w:color w:val="000000" w:themeColor="text1"/>
          <w:sz w:val="24"/>
          <w:szCs w:val="24"/>
          <w:highlight w:val="none"/>
          <w14:textFill>
            <w14:solidFill>
              <w14:schemeClr w14:val="tx1"/>
            </w14:solidFill>
          </w14:textFill>
        </w:rPr>
      </w:pPr>
    </w:p>
    <w:p w14:paraId="203FB3A5">
      <w:pPr>
        <w:pStyle w:val="11"/>
        <w:rPr>
          <w:rFonts w:hint="eastAsia" w:ascii="宋体" w:hAnsi="宋体" w:eastAsia="宋体" w:cs="宋体"/>
          <w:b/>
          <w:color w:val="000000" w:themeColor="text1"/>
          <w:sz w:val="24"/>
          <w:szCs w:val="24"/>
          <w:highlight w:val="none"/>
          <w14:textFill>
            <w14:solidFill>
              <w14:schemeClr w14:val="tx1"/>
            </w14:solidFill>
          </w14:textFill>
        </w:rPr>
      </w:pPr>
    </w:p>
    <w:p w14:paraId="55CBD842">
      <w:pPr>
        <w:rPr>
          <w:rFonts w:hint="eastAsia" w:ascii="宋体" w:hAnsi="宋体" w:eastAsia="宋体" w:cs="宋体"/>
          <w:b/>
          <w:color w:val="000000" w:themeColor="text1"/>
          <w:sz w:val="24"/>
          <w:szCs w:val="24"/>
          <w:highlight w:val="none"/>
          <w14:textFill>
            <w14:solidFill>
              <w14:schemeClr w14:val="tx1"/>
            </w14:solidFill>
          </w14:textFill>
        </w:rPr>
      </w:pPr>
    </w:p>
    <w:p w14:paraId="39CAE15D">
      <w:pPr>
        <w:pStyle w:val="4"/>
        <w:tabs>
          <w:tab w:val="left" w:pos="567"/>
        </w:tabs>
        <w:rPr>
          <w:rFonts w:hint="eastAsia"/>
          <w:color w:val="000000" w:themeColor="text1"/>
          <w:sz w:val="24"/>
          <w:szCs w:val="24"/>
          <w:highlight w:val="none"/>
          <w14:textFill>
            <w14:solidFill>
              <w14:schemeClr w14:val="tx1"/>
            </w14:solidFill>
          </w14:textFill>
        </w:rPr>
      </w:pPr>
    </w:p>
    <w:p w14:paraId="68C92790">
      <w:pPr>
        <w:rPr>
          <w:rFonts w:hint="eastAsia"/>
          <w:color w:val="000000" w:themeColor="text1"/>
          <w:sz w:val="24"/>
          <w:szCs w:val="24"/>
          <w:highlight w:val="none"/>
          <w14:textFill>
            <w14:solidFill>
              <w14:schemeClr w14:val="tx1"/>
            </w14:solidFill>
          </w14:textFill>
        </w:rPr>
      </w:pPr>
    </w:p>
    <w:p w14:paraId="5F2CADED">
      <w:pPr>
        <w:pStyle w:val="4"/>
        <w:rPr>
          <w:rFonts w:hint="eastAsia"/>
          <w:color w:val="000000" w:themeColor="text1"/>
          <w:sz w:val="24"/>
          <w:szCs w:val="24"/>
          <w:highlight w:val="none"/>
          <w14:textFill>
            <w14:solidFill>
              <w14:schemeClr w14:val="tx1"/>
            </w14:solidFill>
          </w14:textFill>
        </w:rPr>
      </w:pPr>
    </w:p>
    <w:p w14:paraId="3F4493A5">
      <w:pPr>
        <w:rPr>
          <w:rFonts w:hint="eastAsia"/>
          <w:color w:val="000000" w:themeColor="text1"/>
          <w:sz w:val="24"/>
          <w:szCs w:val="24"/>
          <w:highlight w:val="none"/>
          <w14:textFill>
            <w14:solidFill>
              <w14:schemeClr w14:val="tx1"/>
            </w14:solidFill>
          </w14:textFill>
        </w:rPr>
      </w:pPr>
    </w:p>
    <w:p w14:paraId="782B269C">
      <w:pPr>
        <w:pStyle w:val="2"/>
        <w:rPr>
          <w:rFonts w:hint="eastAsia"/>
          <w:color w:val="000000" w:themeColor="text1"/>
          <w:sz w:val="24"/>
          <w:szCs w:val="24"/>
          <w:highlight w:val="none"/>
          <w14:textFill>
            <w14:solidFill>
              <w14:schemeClr w14:val="tx1"/>
            </w14:solidFill>
          </w14:textFill>
        </w:rPr>
      </w:pPr>
    </w:p>
    <w:p w14:paraId="61FC8523">
      <w:pPr>
        <w:rPr>
          <w:rFonts w:hint="eastAsia"/>
          <w:color w:val="000000" w:themeColor="text1"/>
          <w:sz w:val="24"/>
          <w:szCs w:val="24"/>
          <w:highlight w:val="none"/>
          <w14:textFill>
            <w14:solidFill>
              <w14:schemeClr w14:val="tx1"/>
            </w14:solidFill>
          </w14:textFill>
        </w:rPr>
      </w:pPr>
    </w:p>
    <w:p w14:paraId="4B387529">
      <w:pPr>
        <w:pStyle w:val="2"/>
        <w:rPr>
          <w:rFonts w:hint="eastAsia"/>
          <w:color w:val="000000" w:themeColor="text1"/>
          <w:sz w:val="24"/>
          <w:szCs w:val="24"/>
          <w:highlight w:val="none"/>
          <w14:textFill>
            <w14:solidFill>
              <w14:schemeClr w14:val="tx1"/>
            </w14:solidFill>
          </w14:textFill>
        </w:rPr>
      </w:pPr>
    </w:p>
    <w:p w14:paraId="583E1B04">
      <w:pPr>
        <w:rPr>
          <w:rFonts w:hint="eastAsia"/>
          <w:color w:val="000000" w:themeColor="text1"/>
          <w:sz w:val="24"/>
          <w:szCs w:val="24"/>
          <w:highlight w:val="none"/>
          <w14:textFill>
            <w14:solidFill>
              <w14:schemeClr w14:val="tx1"/>
            </w14:solidFill>
          </w14:textFill>
        </w:rPr>
      </w:pPr>
    </w:p>
    <w:p w14:paraId="6D1AEAE1">
      <w:pPr>
        <w:pStyle w:val="2"/>
        <w:rPr>
          <w:rFonts w:hint="eastAsia"/>
          <w:color w:val="000000" w:themeColor="text1"/>
          <w:sz w:val="24"/>
          <w:szCs w:val="24"/>
          <w:highlight w:val="none"/>
          <w14:textFill>
            <w14:solidFill>
              <w14:schemeClr w14:val="tx1"/>
            </w14:solidFill>
          </w14:textFill>
        </w:rPr>
      </w:pPr>
    </w:p>
    <w:p w14:paraId="3AC48C05">
      <w:pPr>
        <w:rPr>
          <w:rFonts w:hint="eastAsia"/>
          <w:color w:val="000000" w:themeColor="text1"/>
          <w:sz w:val="24"/>
          <w:szCs w:val="24"/>
          <w:highlight w:val="none"/>
          <w14:textFill>
            <w14:solidFill>
              <w14:schemeClr w14:val="tx1"/>
            </w14:solidFill>
          </w14:textFill>
        </w:rPr>
      </w:pPr>
    </w:p>
    <w:p w14:paraId="35D8ECD3">
      <w:pPr>
        <w:pStyle w:val="2"/>
        <w:rPr>
          <w:rFonts w:hint="eastAsia"/>
          <w:color w:val="000000" w:themeColor="text1"/>
          <w:sz w:val="24"/>
          <w:szCs w:val="24"/>
          <w:highlight w:val="none"/>
          <w14:textFill>
            <w14:solidFill>
              <w14:schemeClr w14:val="tx1"/>
            </w14:solidFill>
          </w14:textFill>
        </w:rPr>
      </w:pPr>
    </w:p>
    <w:p w14:paraId="60221F62">
      <w:pPr>
        <w:rPr>
          <w:rFonts w:hint="eastAsia"/>
          <w:color w:val="000000" w:themeColor="text1"/>
          <w:highlight w:val="none"/>
          <w14:textFill>
            <w14:solidFill>
              <w14:schemeClr w14:val="tx1"/>
            </w14:solidFill>
          </w14:textFill>
        </w:rPr>
      </w:pPr>
    </w:p>
    <w:p w14:paraId="00EDA135">
      <w:pPr>
        <w:pStyle w:val="26"/>
        <w:rPr>
          <w:rFonts w:hint="eastAsia"/>
          <w:color w:val="000000" w:themeColor="text1"/>
          <w:sz w:val="24"/>
          <w:szCs w:val="24"/>
          <w:highlight w:val="none"/>
          <w14:textFill>
            <w14:solidFill>
              <w14:schemeClr w14:val="tx1"/>
            </w14:solidFill>
          </w14:textFill>
        </w:rPr>
      </w:pPr>
    </w:p>
    <w:p w14:paraId="1A3A998A">
      <w:pPr>
        <w:pStyle w:val="1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附件：            </w:t>
      </w:r>
    </w:p>
    <w:p w14:paraId="15D4727A">
      <w:pPr>
        <w:pStyle w:val="11"/>
        <w:ind w:firstLine="472" w:firstLineChars="196"/>
        <w:jc w:val="center"/>
        <w:rPr>
          <w:rFonts w:hint="eastAsia" w:ascii="宋体" w:hAnsi="宋体" w:eastAsia="宋体" w:cs="宋体"/>
          <w:b/>
          <w:color w:val="000000" w:themeColor="text1"/>
          <w:sz w:val="24"/>
          <w:szCs w:val="24"/>
          <w:highlight w:val="none"/>
          <w14:textFill>
            <w14:solidFill>
              <w14:schemeClr w14:val="tx1"/>
            </w14:solidFill>
          </w14:textFill>
        </w:rPr>
      </w:pPr>
      <w:bookmarkStart w:id="224" w:name="_Toc5420_WPSOffice_Level1"/>
      <w:bookmarkStart w:id="225" w:name="_Toc964_WPSOffice_Level1"/>
      <w:r>
        <w:rPr>
          <w:rFonts w:hint="eastAsia" w:ascii="宋体" w:hAnsi="宋体" w:eastAsia="宋体" w:cs="宋体"/>
          <w:b/>
          <w:color w:val="000000" w:themeColor="text1"/>
          <w:sz w:val="24"/>
          <w:szCs w:val="24"/>
          <w:highlight w:val="none"/>
          <w14:textFill>
            <w14:solidFill>
              <w14:schemeClr w14:val="tx1"/>
            </w14:solidFill>
          </w14:textFill>
        </w:rPr>
        <w:t>授权委托书（格式一）</w:t>
      </w:r>
      <w:bookmarkEnd w:id="224"/>
      <w:bookmarkEnd w:id="225"/>
    </w:p>
    <w:p w14:paraId="4AB73A07">
      <w:pPr>
        <w:pStyle w:val="11"/>
        <w:rPr>
          <w:rFonts w:hint="eastAsia" w:ascii="宋体" w:hAnsi="宋体" w:eastAsia="宋体" w:cs="宋体"/>
          <w:color w:val="000000" w:themeColor="text1"/>
          <w:sz w:val="24"/>
          <w:szCs w:val="24"/>
          <w:highlight w:val="none"/>
          <w14:textFill>
            <w14:solidFill>
              <w14:schemeClr w14:val="tx1"/>
            </w14:solidFill>
          </w14:textFill>
        </w:rPr>
      </w:pPr>
    </w:p>
    <w:p w14:paraId="592269ED">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p>
    <w:p w14:paraId="3C7291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cs="宋体"/>
          <w:color w:val="000000" w:themeColor="text1"/>
          <w:sz w:val="21"/>
          <w:szCs w:val="21"/>
          <w:highlight w:val="none"/>
          <w:lang w:eastAsia="zh-CN"/>
          <w14:textFill>
            <w14:solidFill>
              <w14:schemeClr w14:val="tx1"/>
            </w14:solidFill>
          </w14:textFill>
        </w:rPr>
        <w:t>广西嘉弘项目管理有限公司</w:t>
      </w:r>
    </w:p>
    <w:p w14:paraId="205F5E3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6ABD1C14">
      <w:pPr>
        <w:pStyle w:val="11"/>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我</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（姓名）系</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（供应商名称）的法定代表人（负责人），现授权委托本单位在职职工</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（姓 名）以我公司名义参加</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sz w:val="21"/>
          <w:szCs w:val="21"/>
          <w:highlight w:val="none"/>
          <w14:textFill>
            <w14:solidFill>
              <w14:schemeClr w14:val="tx1"/>
            </w14:solidFill>
          </w14:textFill>
        </w:rPr>
        <w:t>项目的磋商活动，并代表我方全权办理针对上述项目的磋商、签约等具体事务和签署相关文件。</w:t>
      </w:r>
    </w:p>
    <w:p w14:paraId="220C16AF">
      <w:pPr>
        <w:pStyle w:val="11"/>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我方对被授权人的签字事项负全部责任。</w:t>
      </w:r>
    </w:p>
    <w:p w14:paraId="0F8A79FB">
      <w:pPr>
        <w:pStyle w:val="11"/>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授权委托代理期限：从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日起至</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月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日止。</w:t>
      </w:r>
    </w:p>
    <w:p w14:paraId="47F50DD2">
      <w:pPr>
        <w:pStyle w:val="1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4CCC7C0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代理人无转委托权,特此委托。 </w:t>
      </w:r>
    </w:p>
    <w:p w14:paraId="6A64423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p w14:paraId="1F7B96C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我已在下面签字，以资证明。</w:t>
      </w:r>
    </w:p>
    <w:p w14:paraId="3366ED8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78EF97F5">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4F43F72F">
      <w:pPr>
        <w:snapToGrid w:val="0"/>
        <w:spacing w:line="40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[公章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84FB54E">
      <w:pPr>
        <w:snapToGrid w:val="0"/>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p>
    <w:p w14:paraId="1D6D24AA">
      <w:pPr>
        <w:snapToGrid w:val="0"/>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法定代表人（负责人）签字（或</w:t>
      </w:r>
      <w:r>
        <w:rPr>
          <w:rFonts w:hint="eastAsia" w:ascii="宋体" w:hAnsi="宋体" w:eastAsia="宋体" w:cs="宋体"/>
          <w:color w:val="000000" w:themeColor="text1"/>
          <w:sz w:val="21"/>
          <w:szCs w:val="21"/>
          <w:highlight w:val="none"/>
          <w:lang w:eastAsia="zh-CN"/>
          <w14:textFill>
            <w14:solidFill>
              <w14:schemeClr w14:val="tx1"/>
            </w14:solidFill>
          </w14:textFill>
        </w:rPr>
        <w:t>个人</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457B6B9B">
      <w:pPr>
        <w:snapToGrid w:val="0"/>
        <w:spacing w:line="40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14:paraId="2D06C819">
      <w:pPr>
        <w:pStyle w:val="2"/>
        <w:rPr>
          <w:rFonts w:hint="eastAsia" w:ascii="宋体" w:hAnsi="宋体" w:eastAsia="宋体" w:cs="宋体"/>
          <w:color w:val="000000" w:themeColor="text1"/>
          <w:sz w:val="24"/>
          <w:szCs w:val="24"/>
          <w:highlight w:val="none"/>
          <w14:textFill>
            <w14:solidFill>
              <w14:schemeClr w14:val="tx1"/>
            </w14:solidFill>
          </w14:textFill>
        </w:rPr>
      </w:pPr>
    </w:p>
    <w:p w14:paraId="2441B7A3">
      <w:pPr>
        <w:spacing w:line="440" w:lineRule="atLeas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附：供应商的授权委托书</w:t>
      </w:r>
      <w:r>
        <w:rPr>
          <w:rFonts w:hint="eastAsia" w:ascii="宋体" w:hAnsi="宋体" w:eastAsia="宋体" w:cs="宋体"/>
          <w:b/>
          <w:color w:val="000000" w:themeColor="text1"/>
          <w:sz w:val="21"/>
          <w:szCs w:val="21"/>
          <w:highlight w:val="none"/>
          <w:lang w:eastAsia="zh-CN"/>
          <w14:textFill>
            <w14:solidFill>
              <w14:schemeClr w14:val="tx1"/>
            </w14:solidFill>
          </w14:textFill>
        </w:rPr>
        <w:t>原件</w:t>
      </w:r>
      <w:r>
        <w:rPr>
          <w:rFonts w:hint="eastAsia" w:ascii="宋体" w:hAnsi="宋体" w:eastAsia="宋体" w:cs="宋体"/>
          <w:b/>
          <w:color w:val="000000" w:themeColor="text1"/>
          <w:sz w:val="21"/>
          <w:szCs w:val="21"/>
          <w:highlight w:val="none"/>
          <w14:textFill>
            <w14:solidFill>
              <w14:schemeClr w14:val="tx1"/>
            </w14:solidFill>
          </w14:textFill>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除供应商为以下三种情形的：</w:t>
      </w:r>
    </w:p>
    <w:p w14:paraId="7D83A3E1">
      <w:pPr>
        <w:spacing w:line="440" w:lineRule="atLeas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 如供应商为截标时间前60日以内成立的公司，可以提供供应商与委托代理人签订的劳动合同复印件代替社保证明复印件；</w:t>
      </w:r>
    </w:p>
    <w:p w14:paraId="700BF223">
      <w:pPr>
        <w:spacing w:line="440" w:lineRule="atLeas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（2）如供应商为事业单位，可以提供事业单位机构编制管理证复印件或事业单位机构为其发放工资的工资条复印件代替社保证明复印件；</w:t>
      </w:r>
    </w:p>
    <w:p w14:paraId="359E5C90">
      <w:pPr>
        <w:spacing w:line="440" w:lineRule="atLeas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（3）如委托代理人为免缴纳社保人员，提供免缴纳社保的证明材料复印件及供应商与委托代理人签订的劳动合同复印件代替社保证明复印件。</w:t>
      </w:r>
    </w:p>
    <w:p w14:paraId="2B6B567B">
      <w:pPr>
        <w:pStyle w:val="11"/>
        <w:spacing w:line="3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1E9170C">
      <w:pPr>
        <w:pStyle w:val="7"/>
        <w:rPr>
          <w:rFonts w:hint="eastAsia"/>
          <w:color w:val="000000" w:themeColor="text1"/>
          <w:sz w:val="24"/>
          <w:szCs w:val="24"/>
          <w:highlight w:val="none"/>
          <w14:textFill>
            <w14:solidFill>
              <w14:schemeClr w14:val="tx1"/>
            </w14:solidFill>
          </w14:textFill>
        </w:rPr>
      </w:pPr>
    </w:p>
    <w:p w14:paraId="01EEF923">
      <w:pPr>
        <w:pStyle w:val="11"/>
        <w:jc w:val="center"/>
        <w:rPr>
          <w:rFonts w:hint="eastAsia" w:ascii="宋体" w:hAnsi="宋体" w:eastAsia="宋体" w:cs="宋体"/>
          <w:b/>
          <w:color w:val="000000" w:themeColor="text1"/>
          <w:sz w:val="24"/>
          <w:szCs w:val="24"/>
          <w:highlight w:val="none"/>
          <w14:textFill>
            <w14:solidFill>
              <w14:schemeClr w14:val="tx1"/>
            </w14:solidFill>
          </w14:textFill>
        </w:rPr>
      </w:pPr>
      <w:bookmarkStart w:id="226" w:name="_Toc6975_WPSOffice_Level1"/>
      <w:bookmarkStart w:id="227" w:name="_Toc21370_WPSOffice_Level1"/>
    </w:p>
    <w:p w14:paraId="3B226178">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42808EA8">
      <w:pPr>
        <w:pStyle w:val="11"/>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授权委托书（格式二）</w:t>
      </w:r>
      <w:bookmarkEnd w:id="226"/>
      <w:bookmarkEnd w:id="227"/>
    </w:p>
    <w:p w14:paraId="0ACB421F">
      <w:pPr>
        <w:pStyle w:val="11"/>
        <w:jc w:val="both"/>
        <w:rPr>
          <w:rFonts w:hint="eastAsia" w:ascii="宋体" w:hAnsi="宋体" w:eastAsia="宋体" w:cs="宋体"/>
          <w:b/>
          <w:color w:val="000000" w:themeColor="text1"/>
          <w:sz w:val="24"/>
          <w:szCs w:val="24"/>
          <w:highlight w:val="none"/>
          <w14:textFill>
            <w14:solidFill>
              <w14:schemeClr w14:val="tx1"/>
            </w14:solidFill>
          </w14:textFill>
        </w:rPr>
      </w:pPr>
    </w:p>
    <w:p w14:paraId="2B54BA5C">
      <w:pPr>
        <w:pStyle w:val="11"/>
        <w:jc w:val="both"/>
        <w:rPr>
          <w:rFonts w:hint="eastAsia" w:ascii="宋体" w:hAnsi="宋体" w:eastAsia="宋体" w:cs="宋体"/>
          <w:b/>
          <w:color w:val="000000" w:themeColor="text1"/>
          <w:sz w:val="24"/>
          <w:szCs w:val="24"/>
          <w:highlight w:val="none"/>
          <w14:textFill>
            <w14:solidFill>
              <w14:schemeClr w14:val="tx1"/>
            </w14:solidFill>
          </w14:textFill>
        </w:rPr>
      </w:pPr>
    </w:p>
    <w:p w14:paraId="4979ACCD">
      <w:pPr>
        <w:pStyle w:val="11"/>
        <w:jc w:val="both"/>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lang w:eastAsia="zh-CN"/>
          <w14:textFill>
            <w14:solidFill>
              <w14:schemeClr w14:val="tx1"/>
            </w14:solidFill>
          </w14:textFill>
        </w:rPr>
        <w:t>广西嘉弘项目管理有限公司</w:t>
      </w:r>
    </w:p>
    <w:p w14:paraId="180FB3A8">
      <w:pPr>
        <w:rPr>
          <w:rFonts w:hint="eastAsia" w:ascii="宋体" w:hAnsi="宋体" w:eastAsia="宋体" w:cs="宋体"/>
          <w:color w:val="000000" w:themeColor="text1"/>
          <w:sz w:val="21"/>
          <w:szCs w:val="21"/>
          <w:highlight w:val="none"/>
          <w14:textFill>
            <w14:solidFill>
              <w14:schemeClr w14:val="tx1"/>
            </w14:solidFill>
          </w14:textFill>
        </w:rPr>
      </w:pPr>
    </w:p>
    <w:p w14:paraId="6F8946CD">
      <w:pPr>
        <w:pStyle w:val="11"/>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我</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（姓名）系自然人，现授权委托</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（姓 名）以本人名义参加</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sz w:val="21"/>
          <w:szCs w:val="21"/>
          <w:highlight w:val="none"/>
          <w14:textFill>
            <w14:solidFill>
              <w14:schemeClr w14:val="tx1"/>
            </w14:solidFill>
          </w14:textFill>
        </w:rPr>
        <w:t>项目的磋商活动，并代表本人全权办理针对上述项目的磋商、签约等具体事务和签署相关文件。</w:t>
      </w:r>
    </w:p>
    <w:p w14:paraId="2806996B">
      <w:pPr>
        <w:pStyle w:val="11"/>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本人对被授权人的签字事项负全部责任。</w:t>
      </w:r>
    </w:p>
    <w:p w14:paraId="26B36E86">
      <w:pPr>
        <w:pStyle w:val="11"/>
        <w:spacing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授权委托代理期限：从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月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日起至</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月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日止。</w:t>
      </w:r>
    </w:p>
    <w:p w14:paraId="11E759A4">
      <w:pPr>
        <w:pStyle w:val="11"/>
        <w:spacing w:line="36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4FFC203D">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代理人无转委托权,特此委托。 </w:t>
      </w:r>
    </w:p>
    <w:p w14:paraId="7B2FDDDC">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p>
    <w:p w14:paraId="2C5B030F">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我已在下面签字，以资证明。</w:t>
      </w:r>
    </w:p>
    <w:p w14:paraId="48FE8F27">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51D5647E">
      <w:pPr>
        <w:snapToGrid w:val="0"/>
        <w:spacing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自然人签字并在签名处加盖大拇指指印</w:t>
      </w:r>
      <w:r>
        <w:rPr>
          <w:rFonts w:hint="eastAsia" w:ascii="宋体" w:hAnsi="宋体" w:eastAsia="宋体" w:cs="宋体"/>
          <w:color w:val="000000" w:themeColor="text1"/>
          <w:sz w:val="21"/>
          <w:szCs w:val="21"/>
          <w:highlight w:val="none"/>
          <w:lang w:eastAsia="zh-CN"/>
          <w14:textFill>
            <w14:solidFill>
              <w14:schemeClr w14:val="tx1"/>
            </w14:solidFill>
          </w14:textFill>
        </w:rPr>
        <w:t>或个人</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1E368F8">
      <w:pPr>
        <w:snapToGrid w:val="0"/>
        <w:spacing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14:paraId="6336C0A8">
      <w:pPr>
        <w:pStyle w:val="11"/>
        <w:spacing w:line="400" w:lineRule="exact"/>
        <w:ind w:left="420" w:leftChars="200"/>
        <w:rPr>
          <w:rFonts w:hint="eastAsia" w:ascii="宋体" w:hAnsi="宋体" w:eastAsia="宋体" w:cs="宋体"/>
          <w:color w:val="000000" w:themeColor="text1"/>
          <w:sz w:val="21"/>
          <w:szCs w:val="21"/>
          <w:highlight w:val="none"/>
          <w14:textFill>
            <w14:solidFill>
              <w14:schemeClr w14:val="tx1"/>
            </w14:solidFill>
          </w14:textFill>
        </w:rPr>
      </w:pPr>
    </w:p>
    <w:p w14:paraId="0F7F08AF">
      <w:pPr>
        <w:pStyle w:val="11"/>
        <w:spacing w:line="40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附：委托代理人身份证正反面复印件</w:t>
      </w:r>
    </w:p>
    <w:p w14:paraId="008841B4">
      <w:pPr>
        <w:rPr>
          <w:rFonts w:hint="eastAsia" w:ascii="宋体" w:hAnsi="宋体" w:eastAsia="宋体" w:cs="宋体"/>
          <w:b/>
          <w:color w:val="000000" w:themeColor="text1"/>
          <w:sz w:val="24"/>
          <w:szCs w:val="24"/>
          <w:highlight w:val="none"/>
          <w14:textFill>
            <w14:solidFill>
              <w14:schemeClr w14:val="tx1"/>
            </w14:solidFill>
          </w14:textFill>
        </w:rPr>
      </w:pPr>
    </w:p>
    <w:p w14:paraId="13685331">
      <w:pPr>
        <w:pStyle w:val="2"/>
        <w:rPr>
          <w:rFonts w:hint="eastAsia" w:ascii="宋体" w:hAnsi="宋体" w:eastAsia="宋体" w:cs="宋体"/>
          <w:b/>
          <w:color w:val="000000" w:themeColor="text1"/>
          <w:sz w:val="24"/>
          <w:szCs w:val="24"/>
          <w:highlight w:val="none"/>
          <w14:textFill>
            <w14:solidFill>
              <w14:schemeClr w14:val="tx1"/>
            </w14:solidFill>
          </w14:textFill>
        </w:rPr>
      </w:pPr>
    </w:p>
    <w:p w14:paraId="16B445E2">
      <w:pPr>
        <w:pStyle w:val="2"/>
        <w:rPr>
          <w:rFonts w:hint="eastAsia" w:ascii="宋体" w:hAnsi="宋体" w:eastAsia="宋体" w:cs="宋体"/>
          <w:b/>
          <w:color w:val="000000" w:themeColor="text1"/>
          <w:sz w:val="24"/>
          <w:szCs w:val="24"/>
          <w:highlight w:val="none"/>
          <w14:textFill>
            <w14:solidFill>
              <w14:schemeClr w14:val="tx1"/>
            </w14:solidFill>
          </w14:textFill>
        </w:rPr>
      </w:pPr>
    </w:p>
    <w:p w14:paraId="4109B61F">
      <w:pPr>
        <w:pStyle w:val="2"/>
        <w:rPr>
          <w:rFonts w:hint="eastAsia" w:ascii="宋体" w:hAnsi="宋体" w:eastAsia="宋体" w:cs="宋体"/>
          <w:b/>
          <w:color w:val="000000" w:themeColor="text1"/>
          <w:sz w:val="24"/>
          <w:szCs w:val="24"/>
          <w:highlight w:val="none"/>
          <w14:textFill>
            <w14:solidFill>
              <w14:schemeClr w14:val="tx1"/>
            </w14:solidFill>
          </w14:textFill>
        </w:rPr>
      </w:pPr>
    </w:p>
    <w:p w14:paraId="350A53F0">
      <w:pPr>
        <w:pStyle w:val="2"/>
        <w:rPr>
          <w:rFonts w:hint="eastAsia" w:ascii="宋体" w:hAnsi="宋体" w:eastAsia="宋体" w:cs="宋体"/>
          <w:b/>
          <w:color w:val="000000" w:themeColor="text1"/>
          <w:sz w:val="24"/>
          <w:szCs w:val="24"/>
          <w:highlight w:val="none"/>
          <w14:textFill>
            <w14:solidFill>
              <w14:schemeClr w14:val="tx1"/>
            </w14:solidFill>
          </w14:textFill>
        </w:rPr>
      </w:pPr>
    </w:p>
    <w:p w14:paraId="08754176">
      <w:pPr>
        <w:pStyle w:val="2"/>
        <w:rPr>
          <w:rFonts w:hint="eastAsia" w:ascii="宋体" w:hAnsi="宋体" w:eastAsia="宋体" w:cs="宋体"/>
          <w:b/>
          <w:color w:val="000000" w:themeColor="text1"/>
          <w:sz w:val="24"/>
          <w:szCs w:val="24"/>
          <w:highlight w:val="none"/>
          <w14:textFill>
            <w14:solidFill>
              <w14:schemeClr w14:val="tx1"/>
            </w14:solidFill>
          </w14:textFill>
        </w:rPr>
      </w:pPr>
    </w:p>
    <w:p w14:paraId="0D962C40">
      <w:pPr>
        <w:pStyle w:val="2"/>
        <w:rPr>
          <w:rFonts w:hint="eastAsia" w:ascii="宋体" w:hAnsi="宋体" w:eastAsia="宋体" w:cs="宋体"/>
          <w:b/>
          <w:color w:val="000000" w:themeColor="text1"/>
          <w:sz w:val="24"/>
          <w:szCs w:val="24"/>
          <w:highlight w:val="none"/>
          <w14:textFill>
            <w14:solidFill>
              <w14:schemeClr w14:val="tx1"/>
            </w14:solidFill>
          </w14:textFill>
        </w:rPr>
      </w:pPr>
    </w:p>
    <w:p w14:paraId="2218760C">
      <w:pPr>
        <w:pStyle w:val="2"/>
        <w:rPr>
          <w:rFonts w:hint="eastAsia" w:ascii="宋体" w:hAnsi="宋体" w:eastAsia="宋体" w:cs="宋体"/>
          <w:b/>
          <w:color w:val="000000" w:themeColor="text1"/>
          <w:sz w:val="24"/>
          <w:szCs w:val="24"/>
          <w:highlight w:val="none"/>
          <w14:textFill>
            <w14:solidFill>
              <w14:schemeClr w14:val="tx1"/>
            </w14:solidFill>
          </w14:textFill>
        </w:rPr>
      </w:pPr>
    </w:p>
    <w:p w14:paraId="1D185A04">
      <w:pPr>
        <w:pStyle w:val="2"/>
        <w:rPr>
          <w:rFonts w:hint="eastAsia" w:ascii="宋体" w:hAnsi="宋体" w:eastAsia="宋体" w:cs="宋体"/>
          <w:b/>
          <w:color w:val="000000" w:themeColor="text1"/>
          <w:sz w:val="24"/>
          <w:szCs w:val="24"/>
          <w:highlight w:val="none"/>
          <w14:textFill>
            <w14:solidFill>
              <w14:schemeClr w14:val="tx1"/>
            </w14:solidFill>
          </w14:textFill>
        </w:rPr>
      </w:pPr>
    </w:p>
    <w:p w14:paraId="4CF85179">
      <w:pPr>
        <w:pStyle w:val="2"/>
        <w:rPr>
          <w:rFonts w:hint="eastAsia" w:ascii="宋体" w:hAnsi="宋体" w:eastAsia="宋体" w:cs="宋体"/>
          <w:b/>
          <w:color w:val="000000" w:themeColor="text1"/>
          <w:sz w:val="24"/>
          <w:szCs w:val="24"/>
          <w:highlight w:val="none"/>
          <w14:textFill>
            <w14:solidFill>
              <w14:schemeClr w14:val="tx1"/>
            </w14:solidFill>
          </w14:textFill>
        </w:rPr>
      </w:pPr>
    </w:p>
    <w:p w14:paraId="68C846C8">
      <w:pPr>
        <w:pStyle w:val="2"/>
        <w:rPr>
          <w:rFonts w:hint="eastAsia" w:ascii="宋体" w:hAnsi="宋体" w:eastAsia="宋体" w:cs="宋体"/>
          <w:b/>
          <w:color w:val="000000" w:themeColor="text1"/>
          <w:sz w:val="24"/>
          <w:szCs w:val="24"/>
          <w:highlight w:val="none"/>
          <w14:textFill>
            <w14:solidFill>
              <w14:schemeClr w14:val="tx1"/>
            </w14:solidFill>
          </w14:textFill>
        </w:rPr>
      </w:pPr>
    </w:p>
    <w:p w14:paraId="7CECF5C0">
      <w:pPr>
        <w:pStyle w:val="2"/>
        <w:rPr>
          <w:rFonts w:hint="eastAsia" w:ascii="宋体" w:hAnsi="宋体" w:eastAsia="宋体" w:cs="宋体"/>
          <w:b/>
          <w:color w:val="000000" w:themeColor="text1"/>
          <w:sz w:val="24"/>
          <w:szCs w:val="24"/>
          <w:highlight w:val="none"/>
          <w14:textFill>
            <w14:solidFill>
              <w14:schemeClr w14:val="tx1"/>
            </w14:solidFill>
          </w14:textFill>
        </w:rPr>
      </w:pPr>
    </w:p>
    <w:p w14:paraId="78DE8454">
      <w:pPr>
        <w:pStyle w:val="2"/>
        <w:rPr>
          <w:rFonts w:hint="eastAsia" w:ascii="宋体" w:hAnsi="宋体" w:eastAsia="宋体" w:cs="宋体"/>
          <w:b/>
          <w:color w:val="000000" w:themeColor="text1"/>
          <w:sz w:val="24"/>
          <w:szCs w:val="24"/>
          <w:highlight w:val="none"/>
          <w14:textFill>
            <w14:solidFill>
              <w14:schemeClr w14:val="tx1"/>
            </w14:solidFill>
          </w14:textFill>
        </w:rPr>
      </w:pPr>
    </w:p>
    <w:p w14:paraId="509E2F59">
      <w:pPr>
        <w:pStyle w:val="2"/>
        <w:rPr>
          <w:rFonts w:hint="eastAsia" w:ascii="宋体" w:hAnsi="宋体" w:eastAsia="宋体" w:cs="宋体"/>
          <w:b/>
          <w:color w:val="000000" w:themeColor="text1"/>
          <w:sz w:val="24"/>
          <w:szCs w:val="24"/>
          <w:highlight w:val="none"/>
          <w14:textFill>
            <w14:solidFill>
              <w14:schemeClr w14:val="tx1"/>
            </w14:solidFill>
          </w14:textFill>
        </w:rPr>
      </w:pPr>
    </w:p>
    <w:p w14:paraId="5CBD9982">
      <w:pPr>
        <w:pStyle w:val="2"/>
        <w:rPr>
          <w:rFonts w:hint="eastAsia" w:ascii="宋体" w:hAnsi="宋体" w:eastAsia="宋体" w:cs="宋体"/>
          <w:b/>
          <w:color w:val="000000" w:themeColor="text1"/>
          <w:sz w:val="24"/>
          <w:szCs w:val="24"/>
          <w:highlight w:val="none"/>
          <w14:textFill>
            <w14:solidFill>
              <w14:schemeClr w14:val="tx1"/>
            </w14:solidFill>
          </w14:textFill>
        </w:rPr>
      </w:pPr>
    </w:p>
    <w:p w14:paraId="3B270289">
      <w:pPr>
        <w:rPr>
          <w:rFonts w:hint="eastAsia" w:ascii="宋体" w:hAnsi="宋体" w:eastAsia="宋体" w:cs="宋体"/>
          <w:b/>
          <w:color w:val="000000" w:themeColor="text1"/>
          <w:sz w:val="24"/>
          <w:szCs w:val="24"/>
          <w:highlight w:val="none"/>
          <w14:textFill>
            <w14:solidFill>
              <w14:schemeClr w14:val="tx1"/>
            </w14:solidFill>
          </w14:textFill>
        </w:rPr>
      </w:pPr>
    </w:p>
    <w:p w14:paraId="6C826CCB">
      <w:pPr>
        <w:spacing w:line="440" w:lineRule="atLeas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3B5A2749">
      <w:pPr>
        <w:spacing w:line="440" w:lineRule="atLeas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.供应商参加政府采购活动前3年内在经营活动中没有重大违法记录及有关信用信息的书面声明（必须提供）；</w:t>
      </w:r>
    </w:p>
    <w:p w14:paraId="26ADF832">
      <w:pPr>
        <w:pStyle w:val="11"/>
        <w:spacing w:line="400" w:lineRule="exact"/>
        <w:ind w:left="420" w:leftChars="200" w:firstLine="118" w:firstLineChars="4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p>
    <w:p w14:paraId="143B11A4">
      <w:pPr>
        <w:pStyle w:val="11"/>
        <w:spacing w:line="40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w:t>
      </w:r>
    </w:p>
    <w:p w14:paraId="59E25E34">
      <w:pPr>
        <w:pStyle w:val="11"/>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bookmarkStart w:id="228" w:name="_Toc30890_WPSOffice_Level1"/>
      <w:bookmarkStart w:id="229" w:name="_Toc30304_WPSOffice_Level1"/>
      <w:r>
        <w:rPr>
          <w:rFonts w:hint="eastAsia" w:ascii="宋体" w:hAnsi="宋体" w:eastAsia="宋体" w:cs="宋体"/>
          <w:b/>
          <w:color w:val="000000" w:themeColor="text1"/>
          <w:sz w:val="24"/>
          <w:szCs w:val="24"/>
          <w:highlight w:val="none"/>
          <w14:textFill>
            <w14:solidFill>
              <w14:schemeClr w14:val="tx1"/>
            </w14:solidFill>
          </w14:textFill>
        </w:rPr>
        <w:t>声   明</w:t>
      </w:r>
      <w:bookmarkEnd w:id="228"/>
      <w:bookmarkEnd w:id="229"/>
    </w:p>
    <w:p w14:paraId="784D0964">
      <w:pPr>
        <w:pStyle w:val="11"/>
        <w:spacing w:line="400" w:lineRule="exact"/>
        <w:jc w:val="both"/>
        <w:rPr>
          <w:rFonts w:hint="eastAsia" w:ascii="宋体" w:hAnsi="宋体" w:eastAsia="宋体" w:cs="宋体"/>
          <w:b/>
          <w:color w:val="000000" w:themeColor="text1"/>
          <w:sz w:val="24"/>
          <w:szCs w:val="24"/>
          <w:highlight w:val="none"/>
          <w14:textFill>
            <w14:solidFill>
              <w14:schemeClr w14:val="tx1"/>
            </w14:solidFill>
          </w14:textFill>
        </w:rPr>
      </w:pPr>
    </w:p>
    <w:p w14:paraId="3CD60DE1">
      <w:pPr>
        <w:pStyle w:val="11"/>
        <w:spacing w:line="400" w:lineRule="exact"/>
        <w:jc w:val="both"/>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lang w:eastAsia="zh-CN"/>
          <w14:textFill>
            <w14:solidFill>
              <w14:schemeClr w14:val="tx1"/>
            </w14:solidFill>
          </w14:textFill>
        </w:rPr>
        <w:t>广西嘉弘项目管理有限公司</w:t>
      </w:r>
    </w:p>
    <w:p w14:paraId="6EABC3E5">
      <w:pPr>
        <w:rPr>
          <w:rFonts w:hint="eastAsia" w:ascii="宋体" w:hAnsi="宋体" w:eastAsia="宋体" w:cs="宋体"/>
          <w:color w:val="000000" w:themeColor="text1"/>
          <w:sz w:val="21"/>
          <w:szCs w:val="21"/>
          <w:highlight w:val="none"/>
          <w:u w:val="single"/>
          <w14:textFill>
            <w14:solidFill>
              <w14:schemeClr w14:val="tx1"/>
            </w14:solidFill>
          </w14:textFill>
        </w:rPr>
      </w:pPr>
    </w:p>
    <w:p w14:paraId="2C79FACE">
      <w:pPr>
        <w:pStyle w:val="2"/>
        <w:rPr>
          <w:rFonts w:hint="eastAsia" w:ascii="宋体" w:hAnsi="宋体" w:eastAsia="宋体" w:cs="宋体"/>
          <w:color w:val="000000" w:themeColor="text1"/>
          <w:sz w:val="21"/>
          <w:szCs w:val="21"/>
          <w:highlight w:val="none"/>
          <w14:textFill>
            <w14:solidFill>
              <w14:schemeClr w14:val="tx1"/>
            </w14:solidFill>
          </w14:textFill>
        </w:rPr>
      </w:pPr>
    </w:p>
    <w:p w14:paraId="161ACDF5">
      <w:pPr>
        <w:pStyle w:val="11"/>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6D88A9A">
      <w:pPr>
        <w:rPr>
          <w:rFonts w:hint="eastAsia" w:ascii="宋体" w:hAnsi="宋体" w:eastAsia="宋体" w:cs="宋体"/>
          <w:color w:val="000000" w:themeColor="text1"/>
          <w:sz w:val="21"/>
          <w:szCs w:val="21"/>
          <w:highlight w:val="none"/>
          <w14:textFill>
            <w14:solidFill>
              <w14:schemeClr w14:val="tx1"/>
            </w14:solidFill>
          </w14:textFill>
        </w:rPr>
      </w:pPr>
    </w:p>
    <w:p w14:paraId="0B4A5449">
      <w:pPr>
        <w:snapToGrid w:val="0"/>
        <w:spacing w:line="400" w:lineRule="exact"/>
        <w:ind w:firstLine="1890" w:firstLineChars="9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，自然人</w:t>
      </w:r>
      <w:r>
        <w:rPr>
          <w:rFonts w:hint="eastAsia" w:ascii="宋体" w:hAnsi="宋体" w:eastAsia="宋体" w:cs="宋体"/>
          <w:color w:val="000000" w:themeColor="text1"/>
          <w:sz w:val="21"/>
          <w:szCs w:val="21"/>
          <w:highlight w:val="none"/>
          <w:lang w:eastAsia="zh-CN"/>
          <w14:textFill>
            <w14:solidFill>
              <w14:schemeClr w14:val="tx1"/>
            </w14:solidFill>
          </w14:textFill>
        </w:rPr>
        <w:t>签字或个人</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B131D74">
      <w:pPr>
        <w:pStyle w:val="11"/>
        <w:ind w:firstLine="3990" w:firstLineChars="1900"/>
        <w:rPr>
          <w:rFonts w:hint="eastAsia" w:ascii="宋体" w:hAnsi="宋体" w:eastAsia="宋体" w:cs="宋体"/>
          <w:color w:val="000000" w:themeColor="text1"/>
          <w:sz w:val="21"/>
          <w:szCs w:val="21"/>
          <w:highlight w:val="none"/>
          <w14:textFill>
            <w14:solidFill>
              <w14:schemeClr w14:val="tx1"/>
            </w14:solidFill>
          </w14:textFill>
        </w:rPr>
      </w:pPr>
    </w:p>
    <w:p w14:paraId="43EA737B">
      <w:pPr>
        <w:pStyle w:val="11"/>
        <w:ind w:firstLine="3990" w:firstLineChars="19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1D58D3D">
      <w:pPr>
        <w:pStyle w:val="11"/>
        <w:spacing w:line="340" w:lineRule="exact"/>
        <w:rPr>
          <w:rFonts w:hint="eastAsia" w:ascii="宋体" w:hAnsi="宋体" w:eastAsia="宋体" w:cs="宋体"/>
          <w:b/>
          <w:color w:val="000000" w:themeColor="text1"/>
          <w:sz w:val="24"/>
          <w:szCs w:val="24"/>
          <w:highlight w:val="none"/>
          <w14:textFill>
            <w14:solidFill>
              <w14:schemeClr w14:val="tx1"/>
            </w14:solidFill>
          </w14:textFill>
        </w:rPr>
      </w:pPr>
    </w:p>
    <w:p w14:paraId="5C3B7A99">
      <w:pPr>
        <w:pStyle w:val="11"/>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066447DE">
      <w:pPr>
        <w:pStyle w:val="11"/>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323DF40C">
      <w:pPr>
        <w:pStyle w:val="11"/>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21C2881E">
      <w:pPr>
        <w:pStyle w:val="11"/>
        <w:spacing w:line="34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.供应商的法人或者其他组织营业执照等证明文件复印件（必须提供，自然人除外）；</w:t>
      </w:r>
    </w:p>
    <w:p w14:paraId="0982CABB">
      <w:pPr>
        <w:tabs>
          <w:tab w:val="left" w:pos="1305"/>
        </w:tabs>
        <w:spacing w:line="340" w:lineRule="exact"/>
        <w:rPr>
          <w:rFonts w:hint="eastAsia" w:ascii="宋体" w:hAnsi="宋体" w:eastAsia="宋体" w:cs="宋体"/>
          <w:b/>
          <w:color w:val="000000" w:themeColor="text1"/>
          <w:sz w:val="24"/>
          <w:szCs w:val="24"/>
          <w:highlight w:val="none"/>
          <w14:textFill>
            <w14:solidFill>
              <w14:schemeClr w14:val="tx1"/>
            </w14:solidFill>
          </w14:textFill>
        </w:rPr>
      </w:pPr>
    </w:p>
    <w:p w14:paraId="6B638D7A">
      <w:pPr>
        <w:tabs>
          <w:tab w:val="left" w:pos="1305"/>
        </w:tabs>
        <w:spacing w:line="40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；供应商为事业单位，应提供有效的“事业单位法人证书”；供应商为非企业专业服务机构的，应提供执业许可证等证明文件；供应商为个体工商户，应提供有效的“个体工商户营业执照”。</w:t>
      </w:r>
    </w:p>
    <w:p w14:paraId="2D5BA61F">
      <w:pPr>
        <w:rPr>
          <w:rFonts w:hint="eastAsia" w:ascii="宋体" w:hAnsi="宋体" w:eastAsia="宋体" w:cs="宋体"/>
          <w:b/>
          <w:bCs/>
          <w:color w:val="000000" w:themeColor="text1"/>
          <w:sz w:val="24"/>
          <w:szCs w:val="24"/>
          <w:highlight w:val="none"/>
          <w14:textFill>
            <w14:solidFill>
              <w14:schemeClr w14:val="tx1"/>
            </w14:solidFill>
          </w14:textFill>
        </w:rPr>
      </w:pPr>
    </w:p>
    <w:p w14:paraId="6AF2020E">
      <w:pPr>
        <w:pStyle w:val="11"/>
        <w:numPr>
          <w:ilvl w:val="0"/>
          <w:numId w:val="0"/>
        </w:numPr>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5E033CB4">
      <w:pPr>
        <w:pStyle w:val="11"/>
        <w:numPr>
          <w:ilvl w:val="0"/>
          <w:numId w:val="0"/>
        </w:numPr>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2E8AADEF">
      <w:pPr>
        <w:pStyle w:val="11"/>
        <w:numPr>
          <w:ilvl w:val="0"/>
          <w:numId w:val="0"/>
        </w:numPr>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2FCBAC89">
      <w:pPr>
        <w:pStyle w:val="11"/>
        <w:numPr>
          <w:ilvl w:val="0"/>
          <w:numId w:val="0"/>
        </w:numPr>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5.供应商有效的资质证书复印件（必须提供）；</w:t>
      </w:r>
    </w:p>
    <w:p w14:paraId="69CCC32A">
      <w:pPr>
        <w:pStyle w:val="7"/>
        <w:numPr>
          <w:ilvl w:val="0"/>
          <w:numId w:val="0"/>
        </w:numPr>
        <w:ind w:leftChars="200"/>
        <w:rPr>
          <w:rFonts w:hint="eastAsia"/>
          <w:color w:val="000000" w:themeColor="text1"/>
          <w:sz w:val="24"/>
          <w:szCs w:val="24"/>
          <w:highlight w:val="none"/>
          <w:lang w:val="en-US" w:eastAsia="zh-CN"/>
          <w14:textFill>
            <w14:solidFill>
              <w14:schemeClr w14:val="tx1"/>
            </w14:solidFill>
          </w14:textFill>
        </w:rPr>
      </w:pPr>
    </w:p>
    <w:p w14:paraId="2EB52BFC">
      <w:pPr>
        <w:pStyle w:val="11"/>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71ADAA44">
      <w:pPr>
        <w:pStyle w:val="11"/>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47D7BE11">
      <w:pPr>
        <w:pStyle w:val="11"/>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4A04B366">
      <w:pPr>
        <w:pStyle w:val="11"/>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3D14EC4F">
      <w:pPr>
        <w:spacing w:line="240" w:lineRule="auto"/>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t>6.《中小企业声明函》或《残疾人福利性单位声明函》或省级以上监狱管理局、戒毒管理局（含新疆生产建设兵团）出具的属于监狱企业的证明文件复印件（必须提供其中一项）；</w:t>
      </w:r>
    </w:p>
    <w:p w14:paraId="23852006">
      <w:pPr>
        <w:jc w:val="center"/>
        <w:outlineLvl w:val="9"/>
        <w:rPr>
          <w:rStyle w:val="44"/>
          <w:rFonts w:ascii="宋体" w:hAnsi="宋体" w:cs="宋体"/>
          <w:b/>
          <w:bCs/>
          <w:color w:val="000000" w:themeColor="text1"/>
          <w:kern w:val="0"/>
          <w:sz w:val="24"/>
          <w:szCs w:val="24"/>
          <w:highlight w:val="none"/>
          <w14:textFill>
            <w14:solidFill>
              <w14:schemeClr w14:val="tx1"/>
            </w14:solidFill>
          </w14:textFill>
        </w:rPr>
      </w:pPr>
    </w:p>
    <w:p w14:paraId="1532BABB">
      <w:pPr>
        <w:jc w:val="center"/>
        <w:outlineLvl w:val="9"/>
        <w:rPr>
          <w:rStyle w:val="44"/>
          <w:rFonts w:ascii="宋体" w:hAnsi="宋体" w:cs="宋体"/>
          <w:b/>
          <w:bCs/>
          <w:color w:val="000000" w:themeColor="text1"/>
          <w:kern w:val="0"/>
          <w:sz w:val="24"/>
          <w:szCs w:val="24"/>
          <w:highlight w:val="none"/>
          <w14:textFill>
            <w14:solidFill>
              <w14:schemeClr w14:val="tx1"/>
            </w14:solidFill>
          </w14:textFill>
        </w:rPr>
      </w:pPr>
      <w:r>
        <w:rPr>
          <w:rStyle w:val="44"/>
          <w:rFonts w:hint="eastAsia" w:ascii="宋体" w:hAnsi="宋体" w:cs="宋体"/>
          <w:b/>
          <w:bCs/>
          <w:color w:val="000000" w:themeColor="text1"/>
          <w:kern w:val="0"/>
          <w:sz w:val="24"/>
          <w:szCs w:val="24"/>
          <w:highlight w:val="none"/>
          <w:lang w:eastAsia="zh-CN"/>
          <w14:textFill>
            <w14:solidFill>
              <w14:schemeClr w14:val="tx1"/>
            </w14:solidFill>
          </w14:textFill>
        </w:rPr>
        <w:t>（</w:t>
      </w:r>
      <w:r>
        <w:rPr>
          <w:rStyle w:val="44"/>
          <w:rFonts w:hint="eastAsia" w:ascii="宋体" w:hAnsi="宋体" w:cs="宋体"/>
          <w:b/>
          <w:bCs/>
          <w:color w:val="000000" w:themeColor="text1"/>
          <w:kern w:val="0"/>
          <w:sz w:val="24"/>
          <w:szCs w:val="24"/>
          <w:highlight w:val="none"/>
          <w:lang w:val="en-US" w:eastAsia="zh-CN"/>
          <w14:textFill>
            <w14:solidFill>
              <w14:schemeClr w14:val="tx1"/>
            </w14:solidFill>
          </w14:textFill>
        </w:rPr>
        <w:t>1</w:t>
      </w:r>
      <w:r>
        <w:rPr>
          <w:rStyle w:val="44"/>
          <w:rFonts w:hint="eastAsia" w:ascii="宋体" w:hAnsi="宋体" w:cs="宋体"/>
          <w:b/>
          <w:bCs/>
          <w:color w:val="000000" w:themeColor="text1"/>
          <w:kern w:val="0"/>
          <w:sz w:val="24"/>
          <w:szCs w:val="24"/>
          <w:highlight w:val="none"/>
          <w:lang w:eastAsia="zh-CN"/>
          <w14:textFill>
            <w14:solidFill>
              <w14:schemeClr w14:val="tx1"/>
            </w14:solidFill>
          </w14:textFill>
        </w:rPr>
        <w:t>）</w:t>
      </w:r>
      <w:r>
        <w:rPr>
          <w:rStyle w:val="44"/>
          <w:rFonts w:ascii="宋体" w:hAnsi="宋体" w:cs="宋体"/>
          <w:b/>
          <w:bCs/>
          <w:color w:val="000000" w:themeColor="text1"/>
          <w:kern w:val="0"/>
          <w:sz w:val="24"/>
          <w:szCs w:val="24"/>
          <w:highlight w:val="none"/>
          <w14:textFill>
            <w14:solidFill>
              <w14:schemeClr w14:val="tx1"/>
            </w14:solidFill>
          </w14:textFill>
        </w:rPr>
        <w:t>中小企业声明函（</w:t>
      </w:r>
      <w:r>
        <w:rPr>
          <w:rStyle w:val="44"/>
          <w:rFonts w:hint="eastAsia" w:ascii="宋体" w:hAnsi="宋体" w:cs="宋体"/>
          <w:b/>
          <w:bCs/>
          <w:color w:val="000000" w:themeColor="text1"/>
          <w:kern w:val="0"/>
          <w:sz w:val="24"/>
          <w:szCs w:val="24"/>
          <w:highlight w:val="none"/>
          <w14:textFill>
            <w14:solidFill>
              <w14:schemeClr w14:val="tx1"/>
            </w14:solidFill>
          </w14:textFill>
        </w:rPr>
        <w:t>工程</w:t>
      </w:r>
      <w:r>
        <w:rPr>
          <w:rStyle w:val="44"/>
          <w:rFonts w:ascii="宋体" w:hAnsi="宋体" w:cs="宋体"/>
          <w:b/>
          <w:bCs/>
          <w:color w:val="000000" w:themeColor="text1"/>
          <w:kern w:val="0"/>
          <w:sz w:val="24"/>
          <w:szCs w:val="24"/>
          <w:highlight w:val="none"/>
          <w14:textFill>
            <w14:solidFill>
              <w14:schemeClr w14:val="tx1"/>
            </w14:solidFill>
          </w14:textFill>
        </w:rPr>
        <w:t>）</w:t>
      </w:r>
    </w:p>
    <w:p w14:paraId="148CCE85">
      <w:pPr>
        <w:pStyle w:val="24"/>
        <w:ind w:left="63" w:right="63"/>
        <w:rPr>
          <w:color w:val="000000" w:themeColor="text1"/>
          <w:sz w:val="24"/>
          <w:szCs w:val="24"/>
          <w:highlight w:val="none"/>
          <w14:textFill>
            <w14:solidFill>
              <w14:schemeClr w14:val="tx1"/>
            </w14:solidFill>
          </w14:textFill>
        </w:rPr>
      </w:pPr>
    </w:p>
    <w:p w14:paraId="79BB6D05">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4"/>
          <w:rFonts w:ascii="宋体" w:hAnsi="宋体"/>
          <w:color w:val="000000" w:themeColor="text1"/>
          <w:kern w:val="0"/>
          <w:sz w:val="21"/>
          <w:szCs w:val="21"/>
          <w:highlight w:val="none"/>
          <w14:textFill>
            <w14:solidFill>
              <w14:schemeClr w14:val="tx1"/>
            </w14:solidFill>
          </w14:textFill>
        </w:rPr>
      </w:pPr>
      <w:r>
        <w:rPr>
          <w:rStyle w:val="44"/>
          <w:rFonts w:ascii="宋体" w:hAnsi="宋体"/>
          <w:color w:val="000000" w:themeColor="text1"/>
          <w:kern w:val="0"/>
          <w:sz w:val="21"/>
          <w:szCs w:val="21"/>
          <w:highlight w:val="none"/>
          <w14:textFill>
            <w14:solidFill>
              <w14:schemeClr w14:val="tx1"/>
            </w14:solidFill>
          </w14:textFill>
        </w:rPr>
        <w:t>本公司郑重声明，根据《政府采购促进中小企业发展管理办法》（财库﹝2020﹞46 号）的规定，本公司参加</w:t>
      </w:r>
      <w:r>
        <w:rPr>
          <w:rStyle w:val="44"/>
          <w:rFonts w:ascii="宋体" w:hAnsi="宋体"/>
          <w:color w:val="000000" w:themeColor="text1"/>
          <w:kern w:val="0"/>
          <w:sz w:val="21"/>
          <w:szCs w:val="21"/>
          <w:highlight w:val="none"/>
          <w:u w:val="single" w:color="000000"/>
          <w14:textFill>
            <w14:solidFill>
              <w14:schemeClr w14:val="tx1"/>
            </w14:solidFill>
          </w14:textFill>
        </w:rPr>
        <w:t>（单位名称）</w:t>
      </w:r>
      <w:r>
        <w:rPr>
          <w:rStyle w:val="44"/>
          <w:rFonts w:ascii="宋体" w:hAnsi="宋体"/>
          <w:color w:val="000000" w:themeColor="text1"/>
          <w:kern w:val="0"/>
          <w:sz w:val="21"/>
          <w:szCs w:val="21"/>
          <w:highlight w:val="none"/>
          <w14:textFill>
            <w14:solidFill>
              <w14:schemeClr w14:val="tx1"/>
            </w14:solidFill>
          </w14:textFill>
        </w:rPr>
        <w:t>的</w:t>
      </w:r>
      <w:r>
        <w:rPr>
          <w:rStyle w:val="44"/>
          <w:rFonts w:ascii="宋体" w:hAnsi="宋体"/>
          <w:color w:val="000000" w:themeColor="text1"/>
          <w:kern w:val="0"/>
          <w:sz w:val="21"/>
          <w:szCs w:val="21"/>
          <w:highlight w:val="none"/>
          <w:u w:val="single" w:color="000000"/>
          <w14:textFill>
            <w14:solidFill>
              <w14:schemeClr w14:val="tx1"/>
            </w14:solidFill>
          </w14:textFill>
        </w:rPr>
        <w:t>（项目名称）</w:t>
      </w:r>
      <w:r>
        <w:rPr>
          <w:rStyle w:val="44"/>
          <w:rFonts w:ascii="宋体" w:hAnsi="宋体"/>
          <w:color w:val="000000" w:themeColor="text1"/>
          <w:kern w:val="0"/>
          <w:sz w:val="21"/>
          <w:szCs w:val="21"/>
          <w:highlight w:val="none"/>
          <w14:textFill>
            <w14:solidFill>
              <w14:schemeClr w14:val="tx1"/>
            </w14:solidFill>
          </w14:textFill>
        </w:rPr>
        <w:t>采购活动，</w:t>
      </w:r>
      <w:r>
        <w:rPr>
          <w:rStyle w:val="44"/>
          <w:rFonts w:hint="eastAsia" w:ascii="宋体" w:hAnsi="宋体" w:eastAsia="宋体"/>
          <w:color w:val="000000" w:themeColor="text1"/>
          <w:kern w:val="0"/>
          <w:sz w:val="21"/>
          <w:szCs w:val="21"/>
          <w:highlight w:val="none"/>
          <w:lang w:val="en-US" w:eastAsia="zh-CN"/>
          <w14:textFill>
            <w14:solidFill>
              <w14:schemeClr w14:val="tx1"/>
            </w14:solidFill>
          </w14:textFill>
        </w:rPr>
        <w:t>工程的施工单位</w:t>
      </w:r>
      <w:r>
        <w:rPr>
          <w:rStyle w:val="44"/>
          <w:rFonts w:ascii="宋体" w:hAnsi="宋体"/>
          <w:color w:val="000000" w:themeColor="text1"/>
          <w:kern w:val="0"/>
          <w:sz w:val="21"/>
          <w:szCs w:val="21"/>
          <w:highlight w:val="none"/>
          <w14:textFill>
            <w14:solidFill>
              <w14:schemeClr w14:val="tx1"/>
            </w14:solidFill>
          </w14:textFill>
        </w:rPr>
        <w:t>全部</w:t>
      </w:r>
      <w:r>
        <w:rPr>
          <w:rStyle w:val="44"/>
          <w:rFonts w:hint="eastAsia" w:ascii="宋体" w:hAnsi="宋体" w:eastAsia="宋体"/>
          <w:color w:val="000000" w:themeColor="text1"/>
          <w:kern w:val="0"/>
          <w:sz w:val="21"/>
          <w:szCs w:val="21"/>
          <w:highlight w:val="none"/>
          <w:lang w:val="en-US" w:eastAsia="zh-CN"/>
          <w14:textFill>
            <w14:solidFill>
              <w14:schemeClr w14:val="tx1"/>
            </w14:solidFill>
          </w14:textFill>
        </w:rPr>
        <w:t>为</w:t>
      </w:r>
      <w:r>
        <w:rPr>
          <w:rStyle w:val="44"/>
          <w:rFonts w:ascii="宋体" w:hAnsi="宋体"/>
          <w:color w:val="000000" w:themeColor="text1"/>
          <w:kern w:val="0"/>
          <w:sz w:val="21"/>
          <w:szCs w:val="21"/>
          <w:highlight w:val="none"/>
          <w14:textFill>
            <w14:solidFill>
              <w14:schemeClr w14:val="tx1"/>
            </w14:solidFill>
          </w14:textFill>
        </w:rPr>
        <w:t>符合政策要求的中小企业。相关企业（含联合体中的中小企业、签订分包意向协议的中小企业）的具体情况如下：</w:t>
      </w:r>
    </w:p>
    <w:p w14:paraId="38E5724D">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4"/>
          <w:rFonts w:ascii="宋体" w:hAnsi="宋体"/>
          <w:color w:val="000000" w:themeColor="text1"/>
          <w:kern w:val="0"/>
          <w:sz w:val="21"/>
          <w:szCs w:val="21"/>
          <w:highlight w:val="none"/>
          <w14:textFill>
            <w14:solidFill>
              <w14:schemeClr w14:val="tx1"/>
            </w14:solidFill>
          </w14:textFill>
        </w:rPr>
      </w:pPr>
      <w:r>
        <w:rPr>
          <w:rStyle w:val="44"/>
          <w:rFonts w:ascii="宋体" w:hAnsi="宋体"/>
          <w:color w:val="000000" w:themeColor="text1"/>
          <w:kern w:val="0"/>
          <w:sz w:val="21"/>
          <w:szCs w:val="21"/>
          <w:highlight w:val="none"/>
          <w14:textFill>
            <w14:solidFill>
              <w14:schemeClr w14:val="tx1"/>
            </w14:solidFill>
          </w14:textFill>
        </w:rPr>
        <w:t xml:space="preserve">1. </w:t>
      </w:r>
      <w:r>
        <w:rPr>
          <w:rStyle w:val="44"/>
          <w:rFonts w:ascii="宋体" w:hAnsi="宋体"/>
          <w:color w:val="000000" w:themeColor="text1"/>
          <w:kern w:val="0"/>
          <w:sz w:val="21"/>
          <w:szCs w:val="21"/>
          <w:highlight w:val="none"/>
          <w:u w:val="single" w:color="000000"/>
          <w14:textFill>
            <w14:solidFill>
              <w14:schemeClr w14:val="tx1"/>
            </w14:solidFill>
          </w14:textFill>
        </w:rPr>
        <w:t xml:space="preserve">（标的名称） </w:t>
      </w:r>
      <w:r>
        <w:rPr>
          <w:rStyle w:val="44"/>
          <w:rFonts w:ascii="宋体" w:hAnsi="宋体"/>
          <w:color w:val="000000" w:themeColor="text1"/>
          <w:kern w:val="0"/>
          <w:sz w:val="21"/>
          <w:szCs w:val="21"/>
          <w:highlight w:val="none"/>
          <w14:textFill>
            <w14:solidFill>
              <w14:schemeClr w14:val="tx1"/>
            </w14:solidFill>
          </w14:textFill>
        </w:rPr>
        <w:t xml:space="preserve">，属于 </w:t>
      </w:r>
      <w:r>
        <w:rPr>
          <w:rStyle w:val="44"/>
          <w:rFonts w:ascii="宋体" w:hAnsi="宋体"/>
          <w:color w:val="000000" w:themeColor="text1"/>
          <w:kern w:val="0"/>
          <w:sz w:val="21"/>
          <w:szCs w:val="21"/>
          <w:highlight w:val="none"/>
          <w:u w:val="single" w:color="000000"/>
          <w14:textFill>
            <w14:solidFill>
              <w14:schemeClr w14:val="tx1"/>
            </w14:solidFill>
          </w14:textFill>
        </w:rPr>
        <w:t>（</w:t>
      </w:r>
      <w:r>
        <w:rPr>
          <w:rStyle w:val="44"/>
          <w:rFonts w:hint="eastAsia" w:ascii="宋体" w:hAnsi="宋体"/>
          <w:color w:val="000000" w:themeColor="text1"/>
          <w:kern w:val="0"/>
          <w:sz w:val="21"/>
          <w:szCs w:val="21"/>
          <w:highlight w:val="none"/>
          <w:u w:val="single" w:color="000000"/>
          <w14:textFill>
            <w14:solidFill>
              <w14:schemeClr w14:val="tx1"/>
            </w14:solidFill>
          </w14:textFill>
        </w:rPr>
        <w:t>招标</w:t>
      </w:r>
      <w:r>
        <w:rPr>
          <w:rStyle w:val="44"/>
          <w:rFonts w:ascii="宋体" w:hAnsi="宋体"/>
          <w:color w:val="000000" w:themeColor="text1"/>
          <w:kern w:val="0"/>
          <w:sz w:val="21"/>
          <w:szCs w:val="21"/>
          <w:highlight w:val="none"/>
          <w:u w:val="single" w:color="000000"/>
          <w14:textFill>
            <w14:solidFill>
              <w14:schemeClr w14:val="tx1"/>
            </w14:solidFill>
          </w14:textFill>
        </w:rPr>
        <w:t xml:space="preserve">文件中明确的所属行业） </w:t>
      </w:r>
      <w:r>
        <w:rPr>
          <w:rStyle w:val="44"/>
          <w:rFonts w:ascii="宋体" w:hAnsi="宋体"/>
          <w:color w:val="000000" w:themeColor="text1"/>
          <w:kern w:val="0"/>
          <w:sz w:val="21"/>
          <w:szCs w:val="21"/>
          <w:highlight w:val="none"/>
          <w14:textFill>
            <w14:solidFill>
              <w14:schemeClr w14:val="tx1"/>
            </w14:solidFill>
          </w14:textFill>
        </w:rPr>
        <w:t>； 承接企业为</w:t>
      </w:r>
      <w:r>
        <w:rPr>
          <w:rStyle w:val="44"/>
          <w:rFonts w:ascii="宋体" w:hAnsi="宋体"/>
          <w:color w:val="000000" w:themeColor="text1"/>
          <w:kern w:val="0"/>
          <w:sz w:val="21"/>
          <w:szCs w:val="21"/>
          <w:highlight w:val="none"/>
          <w:u w:val="single" w:color="000000"/>
          <w14:textFill>
            <w14:solidFill>
              <w14:schemeClr w14:val="tx1"/>
            </w14:solidFill>
          </w14:textFill>
        </w:rPr>
        <w:t>（企业名称）</w:t>
      </w:r>
      <w:r>
        <w:rPr>
          <w:rStyle w:val="44"/>
          <w:rFonts w:ascii="宋体" w:hAnsi="宋体"/>
          <w:color w:val="000000" w:themeColor="text1"/>
          <w:kern w:val="0"/>
          <w:sz w:val="21"/>
          <w:szCs w:val="21"/>
          <w:highlight w:val="none"/>
          <w14:textFill>
            <w14:solidFill>
              <w14:schemeClr w14:val="tx1"/>
            </w14:solidFill>
          </w14:textFill>
        </w:rPr>
        <w:t>，从业人员</w:t>
      </w:r>
      <w:r>
        <w:rPr>
          <w:rStyle w:val="44"/>
          <w:rFonts w:ascii="宋体" w:hAnsi="宋体"/>
          <w:color w:val="000000" w:themeColor="text1"/>
          <w:kern w:val="0"/>
          <w:sz w:val="21"/>
          <w:szCs w:val="21"/>
          <w:highlight w:val="none"/>
          <w:u w:val="single" w:color="000000"/>
          <w14:textFill>
            <w14:solidFill>
              <w14:schemeClr w14:val="tx1"/>
            </w14:solidFill>
          </w14:textFill>
        </w:rPr>
        <w:t xml:space="preserve">    </w:t>
      </w:r>
      <w:r>
        <w:rPr>
          <w:rStyle w:val="44"/>
          <w:rFonts w:ascii="宋体" w:hAnsi="宋体"/>
          <w:color w:val="000000" w:themeColor="text1"/>
          <w:kern w:val="0"/>
          <w:sz w:val="21"/>
          <w:szCs w:val="21"/>
          <w:highlight w:val="none"/>
          <w14:textFill>
            <w14:solidFill>
              <w14:schemeClr w14:val="tx1"/>
            </w14:solidFill>
          </w14:textFill>
        </w:rPr>
        <w:t>人，营业收入为</w:t>
      </w:r>
      <w:r>
        <w:rPr>
          <w:rStyle w:val="44"/>
          <w:rFonts w:ascii="宋体" w:hAnsi="宋体"/>
          <w:color w:val="000000" w:themeColor="text1"/>
          <w:kern w:val="0"/>
          <w:sz w:val="21"/>
          <w:szCs w:val="21"/>
          <w:highlight w:val="none"/>
          <w:u w:val="single" w:color="000000"/>
          <w14:textFill>
            <w14:solidFill>
              <w14:schemeClr w14:val="tx1"/>
            </w14:solidFill>
          </w14:textFill>
        </w:rPr>
        <w:t xml:space="preserve">    </w:t>
      </w:r>
      <w:r>
        <w:rPr>
          <w:rStyle w:val="44"/>
          <w:rFonts w:ascii="宋体" w:hAnsi="宋体"/>
          <w:color w:val="000000" w:themeColor="text1"/>
          <w:kern w:val="0"/>
          <w:sz w:val="21"/>
          <w:szCs w:val="21"/>
          <w:highlight w:val="none"/>
          <w14:textFill>
            <w14:solidFill>
              <w14:schemeClr w14:val="tx1"/>
            </w14:solidFill>
          </w14:textFill>
        </w:rPr>
        <w:t>万元，资产总额为</w:t>
      </w:r>
      <w:r>
        <w:rPr>
          <w:rStyle w:val="44"/>
          <w:rFonts w:ascii="宋体" w:hAnsi="宋体"/>
          <w:color w:val="000000" w:themeColor="text1"/>
          <w:kern w:val="0"/>
          <w:sz w:val="21"/>
          <w:szCs w:val="21"/>
          <w:highlight w:val="none"/>
          <w:u w:val="single" w:color="000000"/>
          <w14:textFill>
            <w14:solidFill>
              <w14:schemeClr w14:val="tx1"/>
            </w14:solidFill>
          </w14:textFill>
        </w:rPr>
        <w:t xml:space="preserve">    </w:t>
      </w:r>
      <w:r>
        <w:rPr>
          <w:rStyle w:val="44"/>
          <w:rFonts w:ascii="宋体" w:hAnsi="宋体"/>
          <w:color w:val="000000" w:themeColor="text1"/>
          <w:kern w:val="0"/>
          <w:sz w:val="21"/>
          <w:szCs w:val="21"/>
          <w:highlight w:val="none"/>
          <w14:textFill>
            <w14:solidFill>
              <w14:schemeClr w14:val="tx1"/>
            </w14:solidFill>
          </w14:textFill>
        </w:rPr>
        <w:t>万元，属于</w:t>
      </w:r>
      <w:r>
        <w:rPr>
          <w:rStyle w:val="44"/>
          <w:rFonts w:ascii="宋体" w:hAnsi="宋体"/>
          <w:color w:val="000000" w:themeColor="text1"/>
          <w:kern w:val="0"/>
          <w:sz w:val="21"/>
          <w:szCs w:val="21"/>
          <w:highlight w:val="none"/>
          <w:u w:val="single" w:color="000000"/>
          <w14:textFill>
            <w14:solidFill>
              <w14:schemeClr w14:val="tx1"/>
            </w14:solidFill>
          </w14:textFill>
        </w:rPr>
        <w:t>（中型企业、 小型企业、微型企业）</w:t>
      </w:r>
      <w:r>
        <w:rPr>
          <w:rStyle w:val="44"/>
          <w:rFonts w:ascii="宋体" w:hAnsi="宋体"/>
          <w:color w:val="000000" w:themeColor="text1"/>
          <w:kern w:val="0"/>
          <w:sz w:val="21"/>
          <w:szCs w:val="21"/>
          <w:highlight w:val="none"/>
          <w14:textFill>
            <w14:solidFill>
              <w14:schemeClr w14:val="tx1"/>
            </w14:solidFill>
          </w14:textFill>
        </w:rPr>
        <w:t xml:space="preserve">； </w:t>
      </w:r>
    </w:p>
    <w:p w14:paraId="2068D6F1">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4"/>
          <w:rFonts w:ascii="宋体" w:hAnsi="宋体"/>
          <w:color w:val="000000" w:themeColor="text1"/>
          <w:kern w:val="0"/>
          <w:sz w:val="21"/>
          <w:szCs w:val="21"/>
          <w:highlight w:val="none"/>
          <w14:textFill>
            <w14:solidFill>
              <w14:schemeClr w14:val="tx1"/>
            </w14:solidFill>
          </w14:textFill>
        </w:rPr>
      </w:pPr>
      <w:r>
        <w:rPr>
          <w:rStyle w:val="44"/>
          <w:rFonts w:ascii="宋体" w:hAnsi="宋体"/>
          <w:color w:val="000000" w:themeColor="text1"/>
          <w:kern w:val="0"/>
          <w:sz w:val="21"/>
          <w:szCs w:val="21"/>
          <w:highlight w:val="none"/>
          <w14:textFill>
            <w14:solidFill>
              <w14:schemeClr w14:val="tx1"/>
            </w14:solidFill>
          </w14:textFill>
        </w:rPr>
        <w:t>以上企业，不属于大企业的分支机构，不存在控股股东 为大企业的情形，也不存在与大企业的负责人为同一人的情形。</w:t>
      </w:r>
    </w:p>
    <w:p w14:paraId="6751C83D">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4"/>
          <w:rFonts w:ascii="宋体" w:hAnsi="宋体"/>
          <w:color w:val="000000" w:themeColor="text1"/>
          <w:kern w:val="0"/>
          <w:sz w:val="21"/>
          <w:szCs w:val="21"/>
          <w:highlight w:val="none"/>
          <w14:textFill>
            <w14:solidFill>
              <w14:schemeClr w14:val="tx1"/>
            </w14:solidFill>
          </w14:textFill>
        </w:rPr>
      </w:pPr>
      <w:r>
        <w:rPr>
          <w:rStyle w:val="44"/>
          <w:rFonts w:ascii="宋体" w:hAnsi="宋体"/>
          <w:color w:val="000000" w:themeColor="text1"/>
          <w:kern w:val="0"/>
          <w:sz w:val="21"/>
          <w:szCs w:val="21"/>
          <w:highlight w:val="none"/>
          <w14:textFill>
            <w14:solidFill>
              <w14:schemeClr w14:val="tx1"/>
            </w14:solidFill>
          </w14:textFill>
        </w:rPr>
        <w:t xml:space="preserve">本企业对上述声明内容的真实性负责。如有虚假，将依法承担相应责任。 </w:t>
      </w:r>
    </w:p>
    <w:p w14:paraId="001CC4C4">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4"/>
          <w:rFonts w:ascii="宋体" w:hAnsi="宋体"/>
          <w:color w:val="000000" w:themeColor="text1"/>
          <w:kern w:val="0"/>
          <w:sz w:val="21"/>
          <w:szCs w:val="21"/>
          <w:highlight w:val="none"/>
          <w14:textFill>
            <w14:solidFill>
              <w14:schemeClr w14:val="tx1"/>
            </w14:solidFill>
          </w14:textFill>
        </w:rPr>
      </w:pPr>
    </w:p>
    <w:p w14:paraId="48E7BE36">
      <w:pPr>
        <w:widowControl/>
        <w:ind w:firstLine="2310" w:firstLineChars="11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7079B61">
      <w:pPr>
        <w:pStyle w:val="11"/>
        <w:spacing w:line="300" w:lineRule="exact"/>
        <w:ind w:left="2940" w:leftChars="1400" w:firstLine="630" w:firstLineChars="300"/>
        <w:rPr>
          <w:rFonts w:hint="eastAsia" w:ascii="宋体" w:hAnsi="宋体" w:eastAsia="宋体" w:cs="宋体"/>
          <w:color w:val="000000" w:themeColor="text1"/>
          <w:sz w:val="21"/>
          <w:szCs w:val="21"/>
          <w:highlight w:val="none"/>
          <w14:textFill>
            <w14:solidFill>
              <w14:schemeClr w14:val="tx1"/>
            </w14:solidFill>
          </w14:textFill>
        </w:rPr>
      </w:pPr>
    </w:p>
    <w:p w14:paraId="4A1D91DE">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2B04E1C">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4"/>
          <w:rFonts w:ascii="宋体" w:hAnsi="宋体"/>
          <w:color w:val="000000" w:themeColor="text1"/>
          <w:kern w:val="0"/>
          <w:sz w:val="24"/>
          <w:szCs w:val="24"/>
          <w:highlight w:val="none"/>
          <w14:textFill>
            <w14:solidFill>
              <w14:schemeClr w14:val="tx1"/>
            </w14:solidFill>
          </w14:textFill>
        </w:rPr>
      </w:pPr>
    </w:p>
    <w:p w14:paraId="07016AE5">
      <w:pPr>
        <w:pStyle w:val="16"/>
        <w:rPr>
          <w:rFonts w:hint="eastAsia" w:ascii="宋体" w:hAnsi="宋体" w:eastAsia="宋体" w:cs="宋体"/>
          <w:b/>
          <w:color w:val="000000" w:themeColor="text1"/>
          <w:sz w:val="24"/>
          <w:szCs w:val="24"/>
          <w:highlight w:val="none"/>
          <w14:textFill>
            <w14:solidFill>
              <w14:schemeClr w14:val="tx1"/>
            </w14:solidFill>
          </w14:textFill>
        </w:rPr>
      </w:pPr>
    </w:p>
    <w:p w14:paraId="659F73B5">
      <w:pPr>
        <w:pStyle w:val="16"/>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备注：供应商应按照</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中小微型企业划分标准按照《国家统计局关于印发《统计上大中小微型企业划分办法〔2017〕》的通知》（国统字〔2017〕213号）</w:t>
      </w:r>
      <w:r>
        <w:rPr>
          <w:rFonts w:hint="eastAsia" w:ascii="宋体" w:hAnsi="宋体" w:eastAsia="宋体" w:cs="宋体"/>
          <w:b/>
          <w:color w:val="000000" w:themeColor="text1"/>
          <w:sz w:val="21"/>
          <w:szCs w:val="21"/>
          <w:highlight w:val="none"/>
          <w14:textFill>
            <w14:solidFill>
              <w14:schemeClr w14:val="tx1"/>
            </w14:solidFill>
          </w14:textFill>
        </w:rPr>
        <w:t>的划分标准进行如实申明，如提供虚假申明应依法承担相应法律责任。如成交人为小型和微型企业的，</w:t>
      </w:r>
      <w:r>
        <w:rPr>
          <w:rFonts w:hint="eastAsia" w:eastAsia="宋体" w:cs="宋体"/>
          <w:b/>
          <w:color w:val="000000" w:themeColor="text1"/>
          <w:sz w:val="21"/>
          <w:szCs w:val="21"/>
          <w:highlight w:val="none"/>
          <w:lang w:val="en-US" w:eastAsia="zh-CN"/>
          <w14:textFill>
            <w14:solidFill>
              <w14:schemeClr w14:val="tx1"/>
            </w14:solidFill>
          </w14:textFill>
        </w:rPr>
        <w:t>成交</w:t>
      </w:r>
      <w:r>
        <w:rPr>
          <w:rFonts w:hint="eastAsia" w:ascii="宋体" w:hAnsi="宋体" w:eastAsia="宋体" w:cs="宋体"/>
          <w:b/>
          <w:color w:val="000000" w:themeColor="text1"/>
          <w:sz w:val="21"/>
          <w:szCs w:val="21"/>
          <w:highlight w:val="none"/>
          <w14:textFill>
            <w14:solidFill>
              <w14:schemeClr w14:val="tx1"/>
            </w14:solidFill>
          </w14:textFill>
        </w:rPr>
        <w:t>结果将同时公告（或成交人的《中小企业声明函》，接受社会监督。</w:t>
      </w:r>
    </w:p>
    <w:p w14:paraId="0D57154B">
      <w:pPr>
        <w:spacing w:line="360" w:lineRule="auto"/>
        <w:rPr>
          <w:rFonts w:hint="eastAsia" w:ascii="宋体" w:hAnsi="宋体" w:eastAsia="宋体" w:cs="宋体"/>
          <w:b/>
          <w:color w:val="000000" w:themeColor="text1"/>
          <w:kern w:val="0"/>
          <w:sz w:val="24"/>
          <w:szCs w:val="24"/>
          <w:highlight w:val="none"/>
          <w14:textFill>
            <w14:solidFill>
              <w14:schemeClr w14:val="tx1"/>
            </w14:solidFill>
          </w14:textFill>
        </w:rPr>
      </w:pPr>
    </w:p>
    <w:p w14:paraId="039CFB44">
      <w:pPr>
        <w:spacing w:line="460" w:lineRule="exact"/>
        <w:rPr>
          <w:rFonts w:hint="eastAsia" w:ascii="宋体" w:hAnsi="宋体" w:eastAsia="宋体" w:cs="宋体"/>
          <w:b/>
          <w:color w:val="000000" w:themeColor="text1"/>
          <w:kern w:val="0"/>
          <w:sz w:val="24"/>
          <w:szCs w:val="24"/>
          <w:highlight w:val="none"/>
          <w14:textFill>
            <w14:solidFill>
              <w14:schemeClr w14:val="tx1"/>
            </w14:solidFill>
          </w14:textFill>
        </w:rPr>
      </w:pPr>
    </w:p>
    <w:p w14:paraId="653F405B">
      <w:pPr>
        <w:pStyle w:val="2"/>
        <w:rPr>
          <w:rFonts w:hint="eastAsia" w:ascii="宋体" w:hAnsi="宋体" w:eastAsia="宋体" w:cs="宋体"/>
          <w:b/>
          <w:color w:val="000000" w:themeColor="text1"/>
          <w:kern w:val="0"/>
          <w:sz w:val="24"/>
          <w:szCs w:val="24"/>
          <w:highlight w:val="none"/>
          <w14:textFill>
            <w14:solidFill>
              <w14:schemeClr w14:val="tx1"/>
            </w14:solidFill>
          </w14:textFill>
        </w:rPr>
      </w:pPr>
    </w:p>
    <w:p w14:paraId="4FA674E9">
      <w:pPr>
        <w:rPr>
          <w:rFonts w:hint="eastAsia"/>
          <w:color w:val="000000" w:themeColor="text1"/>
          <w:sz w:val="24"/>
          <w:szCs w:val="24"/>
          <w:highlight w:val="none"/>
          <w14:textFill>
            <w14:solidFill>
              <w14:schemeClr w14:val="tx1"/>
            </w14:solidFill>
          </w14:textFill>
        </w:rPr>
      </w:pPr>
    </w:p>
    <w:p w14:paraId="70BAC7DC">
      <w:pPr>
        <w:rPr>
          <w:rStyle w:val="44"/>
          <w:rFonts w:ascii="宋体" w:hAnsi="宋体" w:cs="宋体"/>
          <w:b/>
          <w:bCs/>
          <w:color w:val="000000" w:themeColor="text1"/>
          <w:sz w:val="24"/>
          <w:szCs w:val="24"/>
          <w:highlight w:val="none"/>
          <w14:textFill>
            <w14:solidFill>
              <w14:schemeClr w14:val="tx1"/>
            </w14:solidFill>
          </w14:textFill>
        </w:rPr>
      </w:pPr>
    </w:p>
    <w:p w14:paraId="0294902D">
      <w:pPr>
        <w:rPr>
          <w:rStyle w:val="44"/>
          <w:rFonts w:ascii="宋体" w:hAnsi="宋体" w:cs="宋体"/>
          <w:b/>
          <w:bCs/>
          <w:color w:val="000000" w:themeColor="text1"/>
          <w:sz w:val="24"/>
          <w:szCs w:val="24"/>
          <w:highlight w:val="none"/>
          <w14:textFill>
            <w14:solidFill>
              <w14:schemeClr w14:val="tx1"/>
            </w14:solidFill>
          </w14:textFill>
        </w:rPr>
      </w:pPr>
    </w:p>
    <w:p w14:paraId="71DAE6DC">
      <w:pPr>
        <w:rPr>
          <w:rStyle w:val="44"/>
          <w:rFonts w:ascii="宋体" w:hAnsi="宋体" w:cs="宋体"/>
          <w:b/>
          <w:bCs/>
          <w:color w:val="000000" w:themeColor="text1"/>
          <w:sz w:val="24"/>
          <w:szCs w:val="24"/>
          <w:highlight w:val="none"/>
          <w14:textFill>
            <w14:solidFill>
              <w14:schemeClr w14:val="tx1"/>
            </w14:solidFill>
          </w14:textFill>
        </w:rPr>
      </w:pPr>
    </w:p>
    <w:p w14:paraId="09726A04">
      <w:pPr>
        <w:rPr>
          <w:rStyle w:val="44"/>
          <w:rFonts w:ascii="宋体" w:hAnsi="宋体" w:cs="宋体"/>
          <w:b/>
          <w:bCs/>
          <w:color w:val="000000" w:themeColor="text1"/>
          <w:sz w:val="24"/>
          <w:szCs w:val="24"/>
          <w:highlight w:val="none"/>
          <w14:textFill>
            <w14:solidFill>
              <w14:schemeClr w14:val="tx1"/>
            </w14:solidFill>
          </w14:textFill>
        </w:rPr>
      </w:pPr>
    </w:p>
    <w:p w14:paraId="022EF477">
      <w:pPr>
        <w:rPr>
          <w:rStyle w:val="44"/>
          <w:rFonts w:ascii="宋体" w:hAnsi="宋体" w:cs="宋体"/>
          <w:b/>
          <w:bCs/>
          <w:color w:val="000000" w:themeColor="text1"/>
          <w:sz w:val="24"/>
          <w:szCs w:val="24"/>
          <w:highlight w:val="none"/>
          <w14:textFill>
            <w14:solidFill>
              <w14:schemeClr w14:val="tx1"/>
            </w14:solidFill>
          </w14:textFill>
        </w:rPr>
      </w:pPr>
    </w:p>
    <w:p w14:paraId="140D028A">
      <w:pPr>
        <w:pStyle w:val="2"/>
        <w:rPr>
          <w:rStyle w:val="44"/>
          <w:rFonts w:ascii="宋体" w:hAnsi="宋体" w:cs="宋体"/>
          <w:b/>
          <w:bCs/>
          <w:color w:val="000000" w:themeColor="text1"/>
          <w:sz w:val="24"/>
          <w:szCs w:val="24"/>
          <w:highlight w:val="none"/>
          <w14:textFill>
            <w14:solidFill>
              <w14:schemeClr w14:val="tx1"/>
            </w14:solidFill>
          </w14:textFill>
        </w:rPr>
      </w:pPr>
    </w:p>
    <w:p w14:paraId="5C7D4FAD">
      <w:pPr>
        <w:rPr>
          <w:rStyle w:val="44"/>
          <w:rFonts w:ascii="宋体" w:hAnsi="宋体" w:cs="宋体"/>
          <w:b/>
          <w:bCs/>
          <w:color w:val="000000" w:themeColor="text1"/>
          <w:sz w:val="24"/>
          <w:szCs w:val="24"/>
          <w:highlight w:val="none"/>
          <w14:textFill>
            <w14:solidFill>
              <w14:schemeClr w14:val="tx1"/>
            </w14:solidFill>
          </w14:textFill>
        </w:rPr>
      </w:pPr>
    </w:p>
    <w:p w14:paraId="7976AFB3">
      <w:pPr>
        <w:pStyle w:val="2"/>
        <w:rPr>
          <w:color w:val="000000" w:themeColor="text1"/>
          <w:highlight w:val="none"/>
          <w14:textFill>
            <w14:solidFill>
              <w14:schemeClr w14:val="tx1"/>
            </w14:solidFill>
          </w14:textFill>
        </w:rPr>
      </w:pPr>
    </w:p>
    <w:p w14:paraId="5147DC28">
      <w:pPr>
        <w:rPr>
          <w:rStyle w:val="44"/>
          <w:rFonts w:ascii="宋体" w:hAnsi="宋体" w:cs="宋体"/>
          <w:b/>
          <w:bCs/>
          <w:color w:val="000000" w:themeColor="text1"/>
          <w:sz w:val="24"/>
          <w:szCs w:val="24"/>
          <w:highlight w:val="none"/>
          <w14:textFill>
            <w14:solidFill>
              <w14:schemeClr w14:val="tx1"/>
            </w14:solidFill>
          </w14:textFill>
        </w:rPr>
      </w:pPr>
    </w:p>
    <w:p w14:paraId="5B27E6FA">
      <w:pPr>
        <w:rPr>
          <w:rStyle w:val="44"/>
          <w:rFonts w:ascii="宋体" w:hAnsi="宋体" w:cs="宋体"/>
          <w:b/>
          <w:bCs/>
          <w:color w:val="000000" w:themeColor="text1"/>
          <w:sz w:val="24"/>
          <w:szCs w:val="24"/>
          <w:highlight w:val="none"/>
          <w14:textFill>
            <w14:solidFill>
              <w14:schemeClr w14:val="tx1"/>
            </w14:solidFill>
          </w14:textFill>
        </w:rPr>
      </w:pPr>
    </w:p>
    <w:p w14:paraId="4E3DC383">
      <w:pPr>
        <w:rPr>
          <w:rStyle w:val="44"/>
          <w:rFonts w:ascii="宋体" w:hAnsi="宋体" w:cs="宋体"/>
          <w:b/>
          <w:bCs/>
          <w:color w:val="000000" w:themeColor="text1"/>
          <w:sz w:val="24"/>
          <w:szCs w:val="24"/>
          <w:highlight w:val="none"/>
          <w14:textFill>
            <w14:solidFill>
              <w14:schemeClr w14:val="tx1"/>
            </w14:solidFill>
          </w14:textFill>
        </w:rPr>
      </w:pPr>
    </w:p>
    <w:p w14:paraId="1FC0CB0F">
      <w:pPr>
        <w:rPr>
          <w:rStyle w:val="44"/>
          <w:rFonts w:ascii="宋体" w:hAnsi="宋体" w:cs="宋体"/>
          <w:b/>
          <w:bCs/>
          <w:color w:val="000000" w:themeColor="text1"/>
          <w:sz w:val="24"/>
          <w:szCs w:val="24"/>
          <w:highlight w:val="none"/>
          <w14:textFill>
            <w14:solidFill>
              <w14:schemeClr w14:val="tx1"/>
            </w14:solidFill>
          </w14:textFill>
        </w:rPr>
      </w:pPr>
      <w:r>
        <w:rPr>
          <w:rStyle w:val="44"/>
          <w:rFonts w:ascii="宋体" w:hAnsi="宋体" w:cs="宋体"/>
          <w:b/>
          <w:bCs/>
          <w:color w:val="000000" w:themeColor="text1"/>
          <w:sz w:val="24"/>
          <w:szCs w:val="24"/>
          <w:highlight w:val="none"/>
          <w14:textFill>
            <w14:solidFill>
              <w14:schemeClr w14:val="tx1"/>
            </w14:solidFill>
          </w14:textFill>
        </w:rPr>
        <w:t>附表</w:t>
      </w:r>
    </w:p>
    <w:p w14:paraId="09BAE33B">
      <w:pPr>
        <w:spacing w:before="120" w:after="120" w:line="400" w:lineRule="exact"/>
        <w:jc w:val="center"/>
        <w:rPr>
          <w:rStyle w:val="44"/>
          <w:rFonts w:ascii="宋体" w:hAnsi="宋体" w:cs="宋体"/>
          <w:b/>
          <w:bCs/>
          <w:color w:val="000000" w:themeColor="text1"/>
          <w:kern w:val="0"/>
          <w:sz w:val="24"/>
          <w:szCs w:val="24"/>
          <w:highlight w:val="none"/>
          <w14:textFill>
            <w14:solidFill>
              <w14:schemeClr w14:val="tx1"/>
            </w14:solidFill>
          </w14:textFill>
        </w:rPr>
      </w:pPr>
      <w:r>
        <w:rPr>
          <w:rStyle w:val="44"/>
          <w:rFonts w:ascii="宋体" w:hAnsi="宋体" w:cs="宋体"/>
          <w:b/>
          <w:bCs/>
          <w:color w:val="000000" w:themeColor="text1"/>
          <w:kern w:val="0"/>
          <w:sz w:val="24"/>
          <w:szCs w:val="24"/>
          <w:highlight w:val="none"/>
          <w14:textFill>
            <w14:solidFill>
              <w14:schemeClr w14:val="tx1"/>
            </w14:solidFill>
          </w14:textFill>
        </w:rPr>
        <w:t>统计上大中小微型企业划分标准</w:t>
      </w:r>
    </w:p>
    <w:tbl>
      <w:tblPr>
        <w:tblStyle w:val="19"/>
        <w:tblW w:w="94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7800A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trPr>
        <w:tc>
          <w:tcPr>
            <w:tcW w:w="2113"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512B82E0">
            <w:pPr>
              <w:spacing w:line="240" w:lineRule="exact"/>
              <w:jc w:val="center"/>
              <w:rPr>
                <w:rStyle w:val="44"/>
                <w:rFonts w:hint="eastAsia" w:ascii="宋体" w:hAnsi="宋体" w:eastAsia="宋体" w:cs="宋体"/>
                <w:b/>
                <w:bCs/>
                <w:color w:val="000000" w:themeColor="text1"/>
                <w:kern w:val="0"/>
                <w:sz w:val="21"/>
                <w:szCs w:val="21"/>
                <w:highlight w:val="none"/>
                <w14:textFill>
                  <w14:solidFill>
                    <w14:schemeClr w14:val="tx1"/>
                  </w14:solidFill>
                </w14:textFill>
              </w:rPr>
            </w:pPr>
            <w:r>
              <w:rPr>
                <w:rStyle w:val="44"/>
                <w:rFonts w:hint="eastAsia" w:ascii="宋体" w:hAnsi="宋体" w:eastAsia="宋体" w:cs="宋体"/>
                <w:b/>
                <w:bCs/>
                <w:color w:val="000000" w:themeColor="text1"/>
                <w:kern w:val="0"/>
                <w:sz w:val="21"/>
                <w:szCs w:val="21"/>
                <w:highlight w:val="none"/>
                <w14:textFill>
                  <w14:solidFill>
                    <w14:schemeClr w14:val="tx1"/>
                  </w14:solidFill>
                </w14:textFill>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5572BDE0">
            <w:pPr>
              <w:jc w:val="center"/>
              <w:rPr>
                <w:rStyle w:val="44"/>
                <w:rFonts w:hint="eastAsia" w:ascii="宋体" w:hAnsi="宋体" w:eastAsia="宋体" w:cs="宋体"/>
                <w:b/>
                <w:bCs/>
                <w:color w:val="000000" w:themeColor="text1"/>
                <w:kern w:val="0"/>
                <w:sz w:val="21"/>
                <w:szCs w:val="21"/>
                <w:highlight w:val="none"/>
                <w14:textFill>
                  <w14:solidFill>
                    <w14:schemeClr w14:val="tx1"/>
                  </w14:solidFill>
                </w14:textFill>
              </w:rPr>
            </w:pPr>
            <w:r>
              <w:rPr>
                <w:rStyle w:val="44"/>
                <w:rFonts w:hint="eastAsia" w:ascii="宋体" w:hAnsi="宋体" w:eastAsia="宋体" w:cs="宋体"/>
                <w:b/>
                <w:bCs/>
                <w:color w:val="000000" w:themeColor="text1"/>
                <w:kern w:val="0"/>
                <w:sz w:val="21"/>
                <w:szCs w:val="21"/>
                <w:highlight w:val="none"/>
                <w14:textFill>
                  <w14:solidFill>
                    <w14:schemeClr w14:val="tx1"/>
                  </w14:solidFill>
                </w14:textFill>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35B6459F">
            <w:pPr>
              <w:jc w:val="center"/>
              <w:rPr>
                <w:rStyle w:val="44"/>
                <w:rFonts w:hint="eastAsia" w:ascii="宋体" w:hAnsi="宋体" w:eastAsia="宋体" w:cs="宋体"/>
                <w:b/>
                <w:bCs/>
                <w:color w:val="000000" w:themeColor="text1"/>
                <w:kern w:val="0"/>
                <w:sz w:val="21"/>
                <w:szCs w:val="21"/>
                <w:highlight w:val="none"/>
                <w:lang w:eastAsia="zh-CN"/>
                <w14:textFill>
                  <w14:solidFill>
                    <w14:schemeClr w14:val="tx1"/>
                  </w14:solidFill>
                </w14:textFill>
              </w:rPr>
            </w:pPr>
            <w:r>
              <w:rPr>
                <w:rStyle w:val="44"/>
                <w:rFonts w:hint="eastAsia" w:ascii="宋体" w:hAnsi="宋体" w:eastAsia="宋体" w:cs="宋体"/>
                <w:b/>
                <w:bCs/>
                <w:color w:val="000000" w:themeColor="text1"/>
                <w:kern w:val="0"/>
                <w:sz w:val="21"/>
                <w:szCs w:val="21"/>
                <w:highlight w:val="none"/>
                <w14:textFill>
                  <w14:solidFill>
                    <w14:schemeClr w14:val="tx1"/>
                  </w14:solidFill>
                </w14:textFill>
              </w:rPr>
              <w:t>计量</w:t>
            </w:r>
          </w:p>
          <w:p w14:paraId="03B1ACF1">
            <w:pPr>
              <w:jc w:val="center"/>
              <w:rPr>
                <w:rStyle w:val="44"/>
                <w:rFonts w:hint="eastAsia" w:ascii="宋体" w:hAnsi="宋体" w:eastAsia="宋体" w:cs="宋体"/>
                <w:b/>
                <w:bCs/>
                <w:color w:val="000000" w:themeColor="text1"/>
                <w:kern w:val="0"/>
                <w:sz w:val="21"/>
                <w:szCs w:val="21"/>
                <w:highlight w:val="none"/>
                <w14:textFill>
                  <w14:solidFill>
                    <w14:schemeClr w14:val="tx1"/>
                  </w14:solidFill>
                </w14:textFill>
              </w:rPr>
            </w:pPr>
            <w:r>
              <w:rPr>
                <w:rStyle w:val="44"/>
                <w:rFonts w:hint="eastAsia" w:ascii="宋体" w:hAnsi="宋体" w:eastAsia="宋体" w:cs="宋体"/>
                <w:b/>
                <w:bCs/>
                <w:color w:val="000000" w:themeColor="text1"/>
                <w:kern w:val="0"/>
                <w:sz w:val="21"/>
                <w:szCs w:val="21"/>
                <w:highlight w:val="none"/>
                <w14:textFill>
                  <w14:solidFill>
                    <w14:schemeClr w14:val="tx1"/>
                  </w14:solidFill>
                </w14:textFill>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0436B882">
            <w:pPr>
              <w:jc w:val="center"/>
              <w:rPr>
                <w:rStyle w:val="44"/>
                <w:rFonts w:hint="eastAsia" w:ascii="宋体" w:hAnsi="宋体" w:eastAsia="宋体" w:cs="宋体"/>
                <w:b/>
                <w:bCs/>
                <w:color w:val="000000" w:themeColor="text1"/>
                <w:kern w:val="0"/>
                <w:sz w:val="21"/>
                <w:szCs w:val="21"/>
                <w:highlight w:val="none"/>
                <w14:textFill>
                  <w14:solidFill>
                    <w14:schemeClr w14:val="tx1"/>
                  </w14:solidFill>
                </w14:textFill>
              </w:rPr>
            </w:pPr>
            <w:r>
              <w:rPr>
                <w:rStyle w:val="44"/>
                <w:rFonts w:hint="eastAsia" w:ascii="宋体" w:hAnsi="宋体" w:eastAsia="宋体" w:cs="宋体"/>
                <w:b/>
                <w:bCs/>
                <w:color w:val="000000" w:themeColor="text1"/>
                <w:kern w:val="0"/>
                <w:sz w:val="21"/>
                <w:szCs w:val="21"/>
                <w:highlight w:val="none"/>
                <w14:textFill>
                  <w14:solidFill>
                    <w14:schemeClr w14:val="tx1"/>
                  </w14:solidFill>
                </w14:textFill>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04B9D0D5">
            <w:pPr>
              <w:jc w:val="center"/>
              <w:rPr>
                <w:rStyle w:val="44"/>
                <w:rFonts w:hint="eastAsia" w:ascii="宋体" w:hAnsi="宋体" w:eastAsia="宋体" w:cs="宋体"/>
                <w:b/>
                <w:bCs/>
                <w:color w:val="000000" w:themeColor="text1"/>
                <w:kern w:val="0"/>
                <w:sz w:val="21"/>
                <w:szCs w:val="21"/>
                <w:highlight w:val="none"/>
                <w14:textFill>
                  <w14:solidFill>
                    <w14:schemeClr w14:val="tx1"/>
                  </w14:solidFill>
                </w14:textFill>
              </w:rPr>
            </w:pPr>
            <w:r>
              <w:rPr>
                <w:rStyle w:val="44"/>
                <w:rFonts w:hint="eastAsia" w:ascii="宋体" w:hAnsi="宋体" w:eastAsia="宋体" w:cs="宋体"/>
                <w:b/>
                <w:bCs/>
                <w:color w:val="000000" w:themeColor="text1"/>
                <w:kern w:val="0"/>
                <w:sz w:val="21"/>
                <w:szCs w:val="21"/>
                <w:highlight w:val="none"/>
                <w14:textFill>
                  <w14:solidFill>
                    <w14:schemeClr w14:val="tx1"/>
                  </w14:solidFill>
                </w14:textFill>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52A50C76">
            <w:pPr>
              <w:jc w:val="center"/>
              <w:rPr>
                <w:rStyle w:val="44"/>
                <w:rFonts w:hint="eastAsia" w:ascii="宋体" w:hAnsi="宋体" w:eastAsia="宋体" w:cs="宋体"/>
                <w:b/>
                <w:bCs/>
                <w:color w:val="000000" w:themeColor="text1"/>
                <w:kern w:val="0"/>
                <w:sz w:val="21"/>
                <w:szCs w:val="21"/>
                <w:highlight w:val="none"/>
                <w14:textFill>
                  <w14:solidFill>
                    <w14:schemeClr w14:val="tx1"/>
                  </w14:solidFill>
                </w14:textFill>
              </w:rPr>
            </w:pPr>
            <w:r>
              <w:rPr>
                <w:rStyle w:val="44"/>
                <w:rFonts w:hint="eastAsia" w:ascii="宋体" w:hAnsi="宋体" w:eastAsia="宋体" w:cs="宋体"/>
                <w:b/>
                <w:bCs/>
                <w:color w:val="000000" w:themeColor="text1"/>
                <w:kern w:val="0"/>
                <w:sz w:val="21"/>
                <w:szCs w:val="21"/>
                <w:highlight w:val="none"/>
                <w14:textFill>
                  <w14:solidFill>
                    <w14:schemeClr w14:val="tx1"/>
                  </w14:solidFill>
                </w14:textFill>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278D7240">
            <w:pPr>
              <w:jc w:val="center"/>
              <w:rPr>
                <w:rStyle w:val="44"/>
                <w:rFonts w:hint="eastAsia" w:ascii="宋体" w:hAnsi="宋体" w:eastAsia="宋体" w:cs="宋体"/>
                <w:b/>
                <w:bCs/>
                <w:color w:val="000000" w:themeColor="text1"/>
                <w:kern w:val="0"/>
                <w:sz w:val="21"/>
                <w:szCs w:val="21"/>
                <w:highlight w:val="none"/>
                <w14:textFill>
                  <w14:solidFill>
                    <w14:schemeClr w14:val="tx1"/>
                  </w14:solidFill>
                </w14:textFill>
              </w:rPr>
            </w:pPr>
            <w:r>
              <w:rPr>
                <w:rStyle w:val="44"/>
                <w:rFonts w:hint="eastAsia" w:ascii="宋体" w:hAnsi="宋体" w:eastAsia="宋体" w:cs="宋体"/>
                <w:b/>
                <w:bCs/>
                <w:color w:val="000000" w:themeColor="text1"/>
                <w:kern w:val="0"/>
                <w:sz w:val="21"/>
                <w:szCs w:val="21"/>
                <w:highlight w:val="none"/>
                <w14:textFill>
                  <w14:solidFill>
                    <w14:schemeClr w14:val="tx1"/>
                  </w14:solidFill>
                </w14:textFill>
              </w:rPr>
              <w:t>微型</w:t>
            </w:r>
          </w:p>
        </w:tc>
      </w:tr>
      <w:tr w14:paraId="02A43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vAlign w:val="center"/>
          </w:tcPr>
          <w:p w14:paraId="15548F23">
            <w:pPr>
              <w:spacing w:line="240" w:lineRule="exact"/>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农、林、牧、渔业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6939C4B6">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254CDFF">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C1C67B1">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E2756C4">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4940727">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50≤Y＜500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1C937A8F">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Y＜50</w:t>
            </w:r>
          </w:p>
        </w:tc>
      </w:tr>
      <w:tr w14:paraId="64754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45F4CFC9">
            <w:pPr>
              <w:spacing w:line="240" w:lineRule="exact"/>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工业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7C534775">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1682A40">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0BAA7D0">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5B9AF9C">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4FDA830">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48A93485">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X＜20</w:t>
            </w:r>
          </w:p>
        </w:tc>
      </w:tr>
      <w:tr w14:paraId="1E9B4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44598B46">
            <w:pPr>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5BF5FE8">
            <w:pPr>
              <w:spacing w:line="240" w:lineRule="exact"/>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056E703">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2344D821">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1B6B165">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C22C4CF">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300≤Y＜2000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E50F2DD">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Y＜300</w:t>
            </w:r>
          </w:p>
        </w:tc>
      </w:tr>
      <w:tr w14:paraId="0A673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BE9B1FF">
            <w:pPr>
              <w:spacing w:line="240" w:lineRule="exact"/>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建筑业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71075BE">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C5B6A33">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46E9651">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986B294">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6E047CC">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300≤Y＜6000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3E3BDFF">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Y＜300</w:t>
            </w:r>
          </w:p>
        </w:tc>
      </w:tr>
      <w:tr w14:paraId="3E4C2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34CB6C13">
            <w:pPr>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DCDC43C">
            <w:pPr>
              <w:spacing w:line="240" w:lineRule="exact"/>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7EB7C293">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C149B37">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Z≥80000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42B816D">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5A64606">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300≤Z＜5000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C455328">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Z＜300</w:t>
            </w:r>
          </w:p>
        </w:tc>
      </w:tr>
      <w:tr w14:paraId="1002F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9436E88">
            <w:pPr>
              <w:spacing w:line="240" w:lineRule="exact"/>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批发业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4D9A1FE">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2A1AF1A">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77A781E">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4DBA987">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7F98B11">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5≤X＜20</w:t>
            </w:r>
          </w:p>
        </w:tc>
        <w:tc>
          <w:tcPr>
            <w:tcW w:w="992" w:type="dxa"/>
            <w:tcBorders>
              <w:top w:val="single" w:color="000000" w:sz="4" w:space="0"/>
              <w:left w:val="single" w:color="000000" w:sz="4" w:space="0"/>
              <w:bottom w:val="single" w:color="000000" w:sz="4" w:space="0"/>
              <w:right w:val="single" w:color="000000" w:sz="4" w:space="0"/>
            </w:tcBorders>
            <w:vAlign w:val="center"/>
          </w:tcPr>
          <w:p w14:paraId="74FCE6CC">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X＜5</w:t>
            </w:r>
          </w:p>
        </w:tc>
      </w:tr>
      <w:tr w14:paraId="7FBA1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8B4169C">
            <w:pPr>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0FFDFE1">
            <w:pPr>
              <w:spacing w:line="240" w:lineRule="exact"/>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61A6EB9">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14DCD00">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1427FD9">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E0056DD">
            <w:pPr>
              <w:ind w:left="-1" w:leftChars="-1" w:hanging="1"/>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0845EF5">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Y＜1000</w:t>
            </w:r>
          </w:p>
        </w:tc>
      </w:tr>
      <w:tr w14:paraId="52322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3B802EE">
            <w:pPr>
              <w:spacing w:line="240" w:lineRule="exact"/>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零售业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6D4ACB2F">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9A8BF64">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44F4CF6">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76BA352">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D106E06">
            <w:pPr>
              <w:ind w:left="-1" w:leftChars="-1" w:hanging="1"/>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14:paraId="2A0E3724">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X＜10</w:t>
            </w:r>
          </w:p>
        </w:tc>
      </w:tr>
      <w:tr w14:paraId="2A96A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A855094">
            <w:pPr>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9AA5C11">
            <w:pPr>
              <w:spacing w:line="240" w:lineRule="exact"/>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463C2C7">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E651191">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1C6E734">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CED2754">
            <w:pPr>
              <w:ind w:left="-1" w:leftChars="-1" w:hanging="1"/>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330C9BEA">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Y＜100</w:t>
            </w:r>
          </w:p>
        </w:tc>
      </w:tr>
      <w:tr w14:paraId="3BB97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F789826">
            <w:pPr>
              <w:spacing w:line="240" w:lineRule="exact"/>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交通运输业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73BCAC3E">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5077F39">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73AD9D7">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DDC4DA2">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D5047FC">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64B24FB7">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X＜20</w:t>
            </w:r>
          </w:p>
        </w:tc>
      </w:tr>
      <w:tr w14:paraId="33ABC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5B7041F9">
            <w:pPr>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9F8A129">
            <w:pPr>
              <w:spacing w:line="240" w:lineRule="exact"/>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99D4BB9">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951901F">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3856DEC">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BF7796B">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200≤Y＜3000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069DFB3">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Y＜200</w:t>
            </w:r>
          </w:p>
        </w:tc>
      </w:tr>
      <w:tr w14:paraId="2D8D6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D23F756">
            <w:pPr>
              <w:spacing w:line="240" w:lineRule="exact"/>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仓储业*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6DD5AB57">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977BCBE">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E604ED5">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3816272">
            <w:pPr>
              <w:ind w:left="1" w:leftChars="-51" w:hanging="108"/>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BD5BD5E">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20≤X＜100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5A209F11">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X＜20</w:t>
            </w:r>
          </w:p>
        </w:tc>
      </w:tr>
      <w:tr w14:paraId="433F6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4E89010">
            <w:pPr>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682111C">
            <w:pPr>
              <w:spacing w:line="240" w:lineRule="exact"/>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EA74A59">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D9108F2">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DE9A155">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D2628BA">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1596E89">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Y＜100</w:t>
            </w:r>
          </w:p>
        </w:tc>
      </w:tr>
      <w:tr w14:paraId="3ADFE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0592720">
            <w:pPr>
              <w:spacing w:line="240" w:lineRule="exact"/>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邮政业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44F55F78">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C85803B">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3661E08">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C15BAD">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AE353C4">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5E05BDE3">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X＜20</w:t>
            </w:r>
          </w:p>
        </w:tc>
      </w:tr>
      <w:tr w14:paraId="770B4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444DCEA0">
            <w:pPr>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E9AE046">
            <w:pPr>
              <w:spacing w:line="240" w:lineRule="exact"/>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124BADD">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4BBB0D5">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4DB4B54">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F6621CC">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E474031">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Y＜100</w:t>
            </w:r>
          </w:p>
        </w:tc>
      </w:tr>
      <w:tr w14:paraId="575E0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936326F">
            <w:pPr>
              <w:spacing w:line="240" w:lineRule="exact"/>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住宿业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68EF97B">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37AEA5B">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4671B1AA">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793A134">
            <w:pPr>
              <w:ind w:left="1" w:leftChars="-51" w:hanging="108"/>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2FCAC19">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0ED766C4">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X＜10</w:t>
            </w:r>
          </w:p>
        </w:tc>
      </w:tr>
      <w:tr w14:paraId="7A633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93E97DC">
            <w:pPr>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F5F9E2C">
            <w:pPr>
              <w:spacing w:line="240" w:lineRule="exact"/>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E4FC36D">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A4E4905">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BDBD236">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7C250A0">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8036354">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Y＜100</w:t>
            </w:r>
          </w:p>
        </w:tc>
      </w:tr>
      <w:tr w14:paraId="71676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0FE08A38">
            <w:pPr>
              <w:spacing w:line="240" w:lineRule="exact"/>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餐饮业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3BEAA23">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DC79F71">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65E6AF1">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CA7D312">
            <w:pPr>
              <w:ind w:left="1" w:leftChars="-51" w:hanging="108"/>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6F6A2901">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1723563B">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X＜10</w:t>
            </w:r>
          </w:p>
        </w:tc>
      </w:tr>
      <w:tr w14:paraId="5935D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303A7EB8">
            <w:pPr>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5AF3364">
            <w:pPr>
              <w:spacing w:line="240" w:lineRule="exact"/>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A202B67">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F4AA90B">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A74B4C1">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A5D2168">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DCBE19B">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Y＜100</w:t>
            </w:r>
          </w:p>
        </w:tc>
      </w:tr>
      <w:tr w14:paraId="73078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5279045">
            <w:pPr>
              <w:spacing w:line="240" w:lineRule="exact"/>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信息传输业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7753055A">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5DED3411">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EC23E6A">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X≥2000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4047DB0">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6B67FB2">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77754EA2">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X＜10</w:t>
            </w:r>
          </w:p>
        </w:tc>
      </w:tr>
      <w:tr w14:paraId="7EECE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0EB4D68">
            <w:pPr>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E5EC6EE">
            <w:pPr>
              <w:spacing w:line="240" w:lineRule="exact"/>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54EFF23">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A9150F2">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Y≥100000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A27A295">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9922186">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AC66949">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Y＜100</w:t>
            </w:r>
          </w:p>
        </w:tc>
      </w:tr>
      <w:tr w14:paraId="4FE13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5B78EA9">
            <w:pPr>
              <w:spacing w:line="240" w:lineRule="exact"/>
              <w:jc w:val="left"/>
              <w:rPr>
                <w:rStyle w:val="44"/>
                <w:rFonts w:hint="eastAsia" w:ascii="宋体" w:hAnsi="宋体" w:eastAsia="宋体" w:cs="宋体"/>
                <w:color w:val="000000" w:themeColor="text1"/>
                <w:spacing w:val="-12"/>
                <w:kern w:val="0"/>
                <w:sz w:val="21"/>
                <w:szCs w:val="21"/>
                <w:highlight w:val="none"/>
                <w14:textFill>
                  <w14:solidFill>
                    <w14:schemeClr w14:val="tx1"/>
                  </w14:solidFill>
                </w14:textFill>
              </w:rPr>
            </w:pPr>
            <w:r>
              <w:rPr>
                <w:rStyle w:val="44"/>
                <w:rFonts w:hint="eastAsia" w:ascii="宋体" w:hAnsi="宋体" w:eastAsia="宋体" w:cs="宋体"/>
                <w:color w:val="000000" w:themeColor="text1"/>
                <w:spacing w:val="-12"/>
                <w:kern w:val="0"/>
                <w:sz w:val="21"/>
                <w:szCs w:val="21"/>
                <w:highlight w:val="none"/>
                <w14:textFill>
                  <w14:solidFill>
                    <w14:schemeClr w14:val="tx1"/>
                  </w14:solidFill>
                </w14:textFill>
              </w:rPr>
              <w:t>软件和信息技术服</w:t>
            </w:r>
            <w:r>
              <w:rPr>
                <w:rStyle w:val="44"/>
                <w:rFonts w:hint="eastAsia" w:ascii="宋体" w:hAnsi="宋体" w:eastAsia="宋体" w:cs="宋体"/>
                <w:color w:val="000000" w:themeColor="text1"/>
                <w:kern w:val="0"/>
                <w:sz w:val="21"/>
                <w:szCs w:val="21"/>
                <w:highlight w:val="none"/>
                <w14:textFill>
                  <w14:solidFill>
                    <w14:schemeClr w14:val="tx1"/>
                  </w14:solidFill>
                </w14:textFill>
              </w:rPr>
              <w:t>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45F3EB5B">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426DADB">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0CCBE141">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768414A">
            <w:pPr>
              <w:ind w:left="1" w:leftChars="-51" w:hanging="108"/>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1CAF0E40">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51A6CE81">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X＜10</w:t>
            </w:r>
          </w:p>
        </w:tc>
      </w:tr>
      <w:tr w14:paraId="7D2D4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3100678B">
            <w:pPr>
              <w:jc w:val="left"/>
              <w:rPr>
                <w:rStyle w:val="44"/>
                <w:rFonts w:hint="eastAsia" w:ascii="宋体" w:hAnsi="宋体" w:eastAsia="宋体" w:cs="宋体"/>
                <w:color w:val="000000" w:themeColor="text1"/>
                <w:spacing w:val="-12"/>
                <w:kern w:val="0"/>
                <w:sz w:val="21"/>
                <w:szCs w:val="21"/>
                <w:highlight w:val="none"/>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EE5F3E6">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B81EE72">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480F695">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1CCA3A7">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8A89572">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50≤Y＜1000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C9E43BF">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Y＜50</w:t>
            </w:r>
          </w:p>
        </w:tc>
      </w:tr>
      <w:tr w14:paraId="48EDD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8F158EF">
            <w:pPr>
              <w:spacing w:line="240" w:lineRule="exact"/>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房地产开发经营</w:t>
            </w:r>
          </w:p>
        </w:tc>
        <w:tc>
          <w:tcPr>
            <w:tcW w:w="1369" w:type="dxa"/>
            <w:tcBorders>
              <w:top w:val="single" w:color="000000" w:sz="4" w:space="0"/>
              <w:left w:val="single" w:color="000000" w:sz="4" w:space="0"/>
              <w:bottom w:val="single" w:color="000000" w:sz="4" w:space="0"/>
              <w:right w:val="single" w:color="000000" w:sz="4" w:space="0"/>
            </w:tcBorders>
            <w:vAlign w:val="center"/>
          </w:tcPr>
          <w:p w14:paraId="475F820B">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F68C44A">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AB7EA23">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Y≥200000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14C3E60">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16C8995">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C4A17A9">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Y＜100</w:t>
            </w:r>
          </w:p>
        </w:tc>
      </w:tr>
      <w:tr w14:paraId="45FC7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4F00D7C">
            <w:pPr>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FCC0A9F">
            <w:pPr>
              <w:spacing w:line="240" w:lineRule="exact"/>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3CDEF9E4">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26A8FC8F">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Z≥10000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3D70ABB">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B13F01C">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2000≤Z＜5000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DFA46D3">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Z＜2000</w:t>
            </w:r>
          </w:p>
        </w:tc>
      </w:tr>
      <w:tr w14:paraId="2AABF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535CCD9">
            <w:pPr>
              <w:spacing w:line="240" w:lineRule="exact"/>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物业管理</w:t>
            </w:r>
          </w:p>
        </w:tc>
        <w:tc>
          <w:tcPr>
            <w:tcW w:w="1369" w:type="dxa"/>
            <w:tcBorders>
              <w:top w:val="single" w:color="000000" w:sz="4" w:space="0"/>
              <w:left w:val="single" w:color="000000" w:sz="4" w:space="0"/>
              <w:bottom w:val="single" w:color="000000" w:sz="4" w:space="0"/>
              <w:right w:val="single" w:color="000000" w:sz="4" w:space="0"/>
            </w:tcBorders>
            <w:vAlign w:val="center"/>
          </w:tcPr>
          <w:p w14:paraId="22201B70">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5F5A4D7">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4E297A81">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FBB4AD4">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135633D">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28F7BAD9">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X＜100</w:t>
            </w:r>
          </w:p>
        </w:tc>
      </w:tr>
      <w:tr w14:paraId="4BE50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FD012D4">
            <w:pPr>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C2B7BBC">
            <w:pPr>
              <w:spacing w:line="240" w:lineRule="exact"/>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02377FB4">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82A6B15">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Y≥5000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AC3CF9D">
            <w:pPr>
              <w:ind w:left="1" w:leftChars="-51" w:hanging="108"/>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1000≤Y＜5000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6EFF1A3">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500≤Y＜1000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D380C04">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Y＜500</w:t>
            </w:r>
          </w:p>
        </w:tc>
      </w:tr>
      <w:tr w14:paraId="75975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4DC64317">
            <w:pPr>
              <w:spacing w:line="240" w:lineRule="exact"/>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租赁和商务服务业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0AD687B">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109688D">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8D5E2FE">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AE70468">
            <w:pPr>
              <w:ind w:left="1" w:leftChars="-51" w:hanging="108"/>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F89379B">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29BA27DF">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X＜10</w:t>
            </w:r>
          </w:p>
        </w:tc>
      </w:tr>
      <w:tr w14:paraId="2D796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6EA382F4">
            <w:pPr>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5D4C179">
            <w:pPr>
              <w:spacing w:line="240" w:lineRule="exact"/>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71F88B8B">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B308ECC">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Z≥120000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81B5F78">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B44C46C">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100≤Z＜8000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C3B8B53">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Z＜100</w:t>
            </w:r>
          </w:p>
        </w:tc>
      </w:tr>
      <w:tr w14:paraId="43F3A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vAlign w:val="center"/>
          </w:tcPr>
          <w:p w14:paraId="5D51A7B4">
            <w:pPr>
              <w:spacing w:line="240" w:lineRule="exact"/>
              <w:jc w:val="left"/>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其他未列明行业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1D332EF7">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331AE95">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E693EC4">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E6B67F6">
            <w:pPr>
              <w:ind w:left="1" w:leftChars="-51" w:hanging="108"/>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D4C8A0B">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4011DE3C">
            <w:pPr>
              <w:jc w:val="center"/>
              <w:rPr>
                <w:rStyle w:val="44"/>
                <w:rFonts w:hint="eastAsia" w:ascii="宋体" w:hAnsi="宋体" w:eastAsia="宋体" w:cs="宋体"/>
                <w:color w:val="000000" w:themeColor="text1"/>
                <w:kern w:val="0"/>
                <w:sz w:val="21"/>
                <w:szCs w:val="21"/>
                <w:highlight w:val="none"/>
                <w14:textFill>
                  <w14:solidFill>
                    <w14:schemeClr w14:val="tx1"/>
                  </w14:solidFill>
                </w14:textFill>
              </w:rPr>
            </w:pPr>
            <w:r>
              <w:rPr>
                <w:rStyle w:val="44"/>
                <w:rFonts w:hint="eastAsia" w:ascii="宋体" w:hAnsi="宋体" w:eastAsia="宋体" w:cs="宋体"/>
                <w:color w:val="000000" w:themeColor="text1"/>
                <w:kern w:val="0"/>
                <w:sz w:val="21"/>
                <w:szCs w:val="21"/>
                <w:highlight w:val="none"/>
                <w14:textFill>
                  <w14:solidFill>
                    <w14:schemeClr w14:val="tx1"/>
                  </w14:solidFill>
                </w14:textFill>
              </w:rPr>
              <w:t>X＜10</w:t>
            </w:r>
          </w:p>
        </w:tc>
      </w:tr>
    </w:tbl>
    <w:p w14:paraId="67D7F645">
      <w:pPr>
        <w:spacing w:line="540" w:lineRule="exact"/>
        <w:rPr>
          <w:rStyle w:val="44"/>
          <w:rFonts w:ascii="宋体" w:hAnsi="宋体"/>
          <w:color w:val="000000" w:themeColor="text1"/>
          <w:spacing w:val="8"/>
          <w:kern w:val="0"/>
          <w:sz w:val="24"/>
          <w:szCs w:val="24"/>
          <w:highlight w:val="none"/>
          <w14:textFill>
            <w14:solidFill>
              <w14:schemeClr w14:val="tx1"/>
            </w14:solidFill>
          </w14:textFill>
        </w:rPr>
      </w:pPr>
    </w:p>
    <w:p w14:paraId="7BE46304">
      <w:pPr>
        <w:spacing w:line="540" w:lineRule="exact"/>
        <w:rPr>
          <w:rStyle w:val="44"/>
          <w:rFonts w:ascii="宋体" w:hAnsi="宋体"/>
          <w:color w:val="000000" w:themeColor="text1"/>
          <w:spacing w:val="8"/>
          <w:kern w:val="0"/>
          <w:sz w:val="24"/>
          <w:szCs w:val="24"/>
          <w:highlight w:val="none"/>
          <w14:textFill>
            <w14:solidFill>
              <w14:schemeClr w14:val="tx1"/>
            </w14:solidFill>
          </w14:textFill>
        </w:rPr>
      </w:pPr>
    </w:p>
    <w:p w14:paraId="07B40B3F">
      <w:pPr>
        <w:spacing w:line="540" w:lineRule="exact"/>
        <w:rPr>
          <w:rStyle w:val="44"/>
          <w:rFonts w:ascii="宋体" w:hAnsi="宋体"/>
          <w:color w:val="000000" w:themeColor="text1"/>
          <w:spacing w:val="8"/>
          <w:kern w:val="0"/>
          <w:sz w:val="21"/>
          <w:szCs w:val="21"/>
          <w:highlight w:val="none"/>
          <w14:textFill>
            <w14:solidFill>
              <w14:schemeClr w14:val="tx1"/>
            </w14:solidFill>
          </w14:textFill>
        </w:rPr>
      </w:pPr>
      <w:r>
        <w:rPr>
          <w:rStyle w:val="44"/>
          <w:rFonts w:ascii="宋体" w:hAnsi="宋体"/>
          <w:color w:val="000000" w:themeColor="text1"/>
          <w:spacing w:val="8"/>
          <w:kern w:val="0"/>
          <w:sz w:val="21"/>
          <w:szCs w:val="21"/>
          <w:highlight w:val="none"/>
          <w14:textFill>
            <w14:solidFill>
              <w14:schemeClr w14:val="tx1"/>
            </w14:solidFill>
          </w14:textFill>
        </w:rPr>
        <w:t>说明：</w:t>
      </w:r>
    </w:p>
    <w:p w14:paraId="07337835">
      <w:pPr>
        <w:pStyle w:val="45"/>
        <w:spacing w:line="380" w:lineRule="exact"/>
        <w:ind w:firstLine="452" w:firstLineChars="200"/>
        <w:rPr>
          <w:rStyle w:val="44"/>
          <w:rFonts w:hAnsi="宋体"/>
          <w:color w:val="000000" w:themeColor="text1"/>
          <w:spacing w:val="8"/>
          <w:sz w:val="21"/>
          <w:szCs w:val="21"/>
          <w:highlight w:val="none"/>
          <w14:textFill>
            <w14:solidFill>
              <w14:schemeClr w14:val="tx1"/>
            </w14:solidFill>
          </w14:textFill>
        </w:rPr>
      </w:pPr>
      <w:r>
        <w:rPr>
          <w:rStyle w:val="44"/>
          <w:rFonts w:hAnsi="宋体"/>
          <w:color w:val="000000" w:themeColor="text1"/>
          <w:spacing w:val="8"/>
          <w:sz w:val="21"/>
          <w:szCs w:val="21"/>
          <w:highlight w:val="none"/>
          <w14:textFill>
            <w14:solidFill>
              <w14:schemeClr w14:val="tx1"/>
            </w14:solidFill>
          </w14:textFill>
        </w:rPr>
        <w:t>1.大型、中型和小型企业须同时满足所列指标的下限，否则下划一档；微型企业只须满足所列指标中的一项即可。</w:t>
      </w:r>
    </w:p>
    <w:p w14:paraId="05C6E264">
      <w:pPr>
        <w:pStyle w:val="45"/>
        <w:spacing w:line="380" w:lineRule="exact"/>
        <w:ind w:firstLine="452" w:firstLineChars="200"/>
        <w:rPr>
          <w:rStyle w:val="44"/>
          <w:rFonts w:hAnsi="宋体"/>
          <w:color w:val="000000" w:themeColor="text1"/>
          <w:spacing w:val="8"/>
          <w:sz w:val="21"/>
          <w:szCs w:val="21"/>
          <w:highlight w:val="none"/>
          <w14:textFill>
            <w14:solidFill>
              <w14:schemeClr w14:val="tx1"/>
            </w14:solidFill>
          </w14:textFill>
        </w:rPr>
      </w:pPr>
      <w:r>
        <w:rPr>
          <w:rStyle w:val="44"/>
          <w:rFonts w:hAnsi="宋体"/>
          <w:color w:val="000000" w:themeColor="text1"/>
          <w:spacing w:val="8"/>
          <w:sz w:val="21"/>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76F28D1">
      <w:pPr>
        <w:pStyle w:val="11"/>
        <w:spacing w:line="340" w:lineRule="exact"/>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Style w:val="44"/>
          <w:rFonts w:hAnsi="宋体"/>
          <w:color w:val="000000" w:themeColor="text1"/>
          <w:spacing w:val="8"/>
          <w:sz w:val="21"/>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A5E1771">
      <w:pPr>
        <w:pStyle w:val="11"/>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661EE718">
      <w:pPr>
        <w:pStyle w:val="6"/>
        <w:rPr>
          <w:rFonts w:hint="eastAsia" w:hAnsi="宋体" w:eastAsia="宋体" w:cs="宋体"/>
          <w:b/>
          <w:color w:val="000000" w:themeColor="text1"/>
          <w:sz w:val="24"/>
          <w:szCs w:val="24"/>
          <w:highlight w:val="none"/>
          <w:lang w:val="en-US" w:eastAsia="zh-CN"/>
          <w14:textFill>
            <w14:solidFill>
              <w14:schemeClr w14:val="tx1"/>
            </w14:solidFill>
          </w14:textFill>
        </w:rPr>
      </w:pPr>
    </w:p>
    <w:p w14:paraId="69556D9D">
      <w:pPr>
        <w:rPr>
          <w:rFonts w:hint="eastAsia"/>
          <w:color w:val="000000" w:themeColor="text1"/>
          <w:sz w:val="24"/>
          <w:szCs w:val="24"/>
          <w:highlight w:val="none"/>
          <w:lang w:val="en-US" w:eastAsia="zh-CN"/>
          <w14:textFill>
            <w14:solidFill>
              <w14:schemeClr w14:val="tx1"/>
            </w14:solidFill>
          </w14:textFill>
        </w:rPr>
      </w:pPr>
    </w:p>
    <w:p w14:paraId="478C345C">
      <w:pPr>
        <w:pStyle w:val="2"/>
        <w:rPr>
          <w:rFonts w:hint="eastAsia"/>
          <w:color w:val="000000" w:themeColor="text1"/>
          <w:highlight w:val="none"/>
          <w:lang w:val="en-US" w:eastAsia="zh-CN"/>
          <w14:textFill>
            <w14:solidFill>
              <w14:schemeClr w14:val="tx1"/>
            </w14:solidFill>
          </w14:textFill>
        </w:rPr>
      </w:pPr>
    </w:p>
    <w:p w14:paraId="20E33F21">
      <w:pPr>
        <w:rPr>
          <w:rFonts w:hint="eastAsia"/>
          <w:color w:val="000000" w:themeColor="text1"/>
          <w:highlight w:val="none"/>
          <w:lang w:val="en-US" w:eastAsia="zh-CN"/>
          <w14:textFill>
            <w14:solidFill>
              <w14:schemeClr w14:val="tx1"/>
            </w14:solidFill>
          </w14:textFill>
        </w:rPr>
      </w:pPr>
    </w:p>
    <w:p w14:paraId="775A76ED">
      <w:pPr>
        <w:pStyle w:val="2"/>
        <w:rPr>
          <w:rFonts w:hint="eastAsia"/>
          <w:color w:val="000000" w:themeColor="text1"/>
          <w:highlight w:val="none"/>
          <w:lang w:val="en-US" w:eastAsia="zh-CN"/>
          <w14:textFill>
            <w14:solidFill>
              <w14:schemeClr w14:val="tx1"/>
            </w14:solidFill>
          </w14:textFill>
        </w:rPr>
      </w:pPr>
    </w:p>
    <w:p w14:paraId="3C2B4556">
      <w:pPr>
        <w:rPr>
          <w:rFonts w:hint="eastAsia"/>
          <w:color w:val="000000" w:themeColor="text1"/>
          <w:highlight w:val="none"/>
          <w:lang w:val="en-US" w:eastAsia="zh-CN"/>
          <w14:textFill>
            <w14:solidFill>
              <w14:schemeClr w14:val="tx1"/>
            </w14:solidFill>
          </w14:textFill>
        </w:rPr>
      </w:pPr>
    </w:p>
    <w:p w14:paraId="0DBF01CA">
      <w:pPr>
        <w:pStyle w:val="2"/>
        <w:rPr>
          <w:rFonts w:hint="eastAsia"/>
          <w:color w:val="000000" w:themeColor="text1"/>
          <w:highlight w:val="none"/>
          <w:lang w:val="en-US" w:eastAsia="zh-CN"/>
          <w14:textFill>
            <w14:solidFill>
              <w14:schemeClr w14:val="tx1"/>
            </w14:solidFill>
          </w14:textFill>
        </w:rPr>
      </w:pPr>
    </w:p>
    <w:p w14:paraId="14748905">
      <w:pPr>
        <w:rPr>
          <w:rFonts w:hint="eastAsia"/>
          <w:color w:val="000000" w:themeColor="text1"/>
          <w:highlight w:val="none"/>
          <w:lang w:val="en-US" w:eastAsia="zh-CN"/>
          <w14:textFill>
            <w14:solidFill>
              <w14:schemeClr w14:val="tx1"/>
            </w14:solidFill>
          </w14:textFill>
        </w:rPr>
      </w:pPr>
    </w:p>
    <w:p w14:paraId="0B3810BF">
      <w:pPr>
        <w:pStyle w:val="2"/>
        <w:rPr>
          <w:rFonts w:hint="eastAsia"/>
          <w:color w:val="000000" w:themeColor="text1"/>
          <w:highlight w:val="none"/>
          <w:lang w:val="en-US" w:eastAsia="zh-CN"/>
          <w14:textFill>
            <w14:solidFill>
              <w14:schemeClr w14:val="tx1"/>
            </w14:solidFill>
          </w14:textFill>
        </w:rPr>
      </w:pPr>
    </w:p>
    <w:p w14:paraId="77080628">
      <w:pPr>
        <w:rPr>
          <w:rFonts w:hint="eastAsia"/>
          <w:color w:val="000000" w:themeColor="text1"/>
          <w:highlight w:val="none"/>
          <w:lang w:val="en-US" w:eastAsia="zh-CN"/>
          <w14:textFill>
            <w14:solidFill>
              <w14:schemeClr w14:val="tx1"/>
            </w14:solidFill>
          </w14:textFill>
        </w:rPr>
      </w:pPr>
    </w:p>
    <w:p w14:paraId="47AB2804">
      <w:pPr>
        <w:pStyle w:val="2"/>
        <w:rPr>
          <w:rFonts w:hint="eastAsia"/>
          <w:color w:val="000000" w:themeColor="text1"/>
          <w:highlight w:val="none"/>
          <w:lang w:val="en-US" w:eastAsia="zh-CN"/>
          <w14:textFill>
            <w14:solidFill>
              <w14:schemeClr w14:val="tx1"/>
            </w14:solidFill>
          </w14:textFill>
        </w:rPr>
      </w:pPr>
    </w:p>
    <w:p w14:paraId="5A812B42">
      <w:pPr>
        <w:rPr>
          <w:rFonts w:hint="eastAsia"/>
          <w:color w:val="000000" w:themeColor="text1"/>
          <w:highlight w:val="none"/>
          <w:lang w:val="en-US" w:eastAsia="zh-CN"/>
          <w14:textFill>
            <w14:solidFill>
              <w14:schemeClr w14:val="tx1"/>
            </w14:solidFill>
          </w14:textFill>
        </w:rPr>
      </w:pPr>
    </w:p>
    <w:p w14:paraId="1D52FEA3">
      <w:pPr>
        <w:pStyle w:val="2"/>
        <w:rPr>
          <w:rFonts w:hint="eastAsia"/>
          <w:color w:val="000000" w:themeColor="text1"/>
          <w:highlight w:val="none"/>
          <w:lang w:val="en-US" w:eastAsia="zh-CN"/>
          <w14:textFill>
            <w14:solidFill>
              <w14:schemeClr w14:val="tx1"/>
            </w14:solidFill>
          </w14:textFill>
        </w:rPr>
      </w:pPr>
    </w:p>
    <w:p w14:paraId="0116B351">
      <w:pPr>
        <w:rPr>
          <w:rFonts w:hint="eastAsia"/>
          <w:color w:val="000000" w:themeColor="text1"/>
          <w:highlight w:val="none"/>
          <w:lang w:val="en-US" w:eastAsia="zh-CN"/>
          <w14:textFill>
            <w14:solidFill>
              <w14:schemeClr w14:val="tx1"/>
            </w14:solidFill>
          </w14:textFill>
        </w:rPr>
      </w:pPr>
    </w:p>
    <w:p w14:paraId="57BE43A5">
      <w:pPr>
        <w:pStyle w:val="2"/>
        <w:rPr>
          <w:rFonts w:hint="eastAsia"/>
          <w:color w:val="000000" w:themeColor="text1"/>
          <w:highlight w:val="none"/>
          <w:lang w:val="en-US" w:eastAsia="zh-CN"/>
          <w14:textFill>
            <w14:solidFill>
              <w14:schemeClr w14:val="tx1"/>
            </w14:solidFill>
          </w14:textFill>
        </w:rPr>
      </w:pPr>
    </w:p>
    <w:p w14:paraId="49D02949">
      <w:pPr>
        <w:rPr>
          <w:rFonts w:hint="eastAsia"/>
          <w:color w:val="000000" w:themeColor="text1"/>
          <w:highlight w:val="none"/>
          <w:lang w:val="en-US" w:eastAsia="zh-CN"/>
          <w14:textFill>
            <w14:solidFill>
              <w14:schemeClr w14:val="tx1"/>
            </w14:solidFill>
          </w14:textFill>
        </w:rPr>
      </w:pPr>
    </w:p>
    <w:p w14:paraId="63A3CDE4">
      <w:pPr>
        <w:pStyle w:val="2"/>
        <w:rPr>
          <w:rFonts w:hint="eastAsia"/>
          <w:color w:val="000000" w:themeColor="text1"/>
          <w:highlight w:val="none"/>
          <w:lang w:val="en-US" w:eastAsia="zh-CN"/>
          <w14:textFill>
            <w14:solidFill>
              <w14:schemeClr w14:val="tx1"/>
            </w14:solidFill>
          </w14:textFill>
        </w:rPr>
      </w:pPr>
    </w:p>
    <w:p w14:paraId="181D23DD">
      <w:pPr>
        <w:rPr>
          <w:rFonts w:hint="eastAsia"/>
          <w:color w:val="000000" w:themeColor="text1"/>
          <w:highlight w:val="none"/>
          <w:lang w:val="en-US" w:eastAsia="zh-CN"/>
          <w14:textFill>
            <w14:solidFill>
              <w14:schemeClr w14:val="tx1"/>
            </w14:solidFill>
          </w14:textFill>
        </w:rPr>
      </w:pPr>
    </w:p>
    <w:p w14:paraId="1897236F">
      <w:pPr>
        <w:pStyle w:val="2"/>
        <w:rPr>
          <w:rFonts w:hint="eastAsia"/>
          <w:color w:val="000000" w:themeColor="text1"/>
          <w:highlight w:val="none"/>
          <w:lang w:val="en-US" w:eastAsia="zh-CN"/>
          <w14:textFill>
            <w14:solidFill>
              <w14:schemeClr w14:val="tx1"/>
            </w14:solidFill>
          </w14:textFill>
        </w:rPr>
      </w:pPr>
    </w:p>
    <w:p w14:paraId="73CE54D2">
      <w:pPr>
        <w:rPr>
          <w:rFonts w:hint="eastAsia"/>
          <w:color w:val="000000" w:themeColor="text1"/>
          <w:highlight w:val="none"/>
          <w:lang w:val="en-US" w:eastAsia="zh-CN"/>
          <w14:textFill>
            <w14:solidFill>
              <w14:schemeClr w14:val="tx1"/>
            </w14:solidFill>
          </w14:textFill>
        </w:rPr>
      </w:pPr>
    </w:p>
    <w:p w14:paraId="2BFE93BD">
      <w:pPr>
        <w:pStyle w:val="2"/>
        <w:rPr>
          <w:rFonts w:hint="eastAsia"/>
          <w:color w:val="000000" w:themeColor="text1"/>
          <w:highlight w:val="none"/>
          <w:lang w:val="en-US" w:eastAsia="zh-CN"/>
          <w14:textFill>
            <w14:solidFill>
              <w14:schemeClr w14:val="tx1"/>
            </w14:solidFill>
          </w14:textFill>
        </w:rPr>
      </w:pPr>
    </w:p>
    <w:p w14:paraId="12AB5400">
      <w:pPr>
        <w:rPr>
          <w:rFonts w:hint="eastAsia"/>
          <w:color w:val="000000" w:themeColor="text1"/>
          <w:highlight w:val="none"/>
          <w:lang w:val="en-US" w:eastAsia="zh-CN"/>
          <w14:textFill>
            <w14:solidFill>
              <w14:schemeClr w14:val="tx1"/>
            </w14:solidFill>
          </w14:textFill>
        </w:rPr>
      </w:pPr>
    </w:p>
    <w:p w14:paraId="0BBB6EB5">
      <w:pPr>
        <w:pStyle w:val="2"/>
        <w:rPr>
          <w:rFonts w:hint="eastAsia"/>
          <w:color w:val="000000" w:themeColor="text1"/>
          <w:highlight w:val="none"/>
          <w:lang w:val="en-US" w:eastAsia="zh-CN"/>
          <w14:textFill>
            <w14:solidFill>
              <w14:schemeClr w14:val="tx1"/>
            </w14:solidFill>
          </w14:textFill>
        </w:rPr>
      </w:pPr>
    </w:p>
    <w:p w14:paraId="5783502D">
      <w:pPr>
        <w:rPr>
          <w:rFonts w:hint="eastAsia"/>
          <w:color w:val="000000" w:themeColor="text1"/>
          <w:highlight w:val="none"/>
          <w:lang w:val="en-US" w:eastAsia="zh-CN"/>
          <w14:textFill>
            <w14:solidFill>
              <w14:schemeClr w14:val="tx1"/>
            </w14:solidFill>
          </w14:textFill>
        </w:rPr>
      </w:pPr>
    </w:p>
    <w:p w14:paraId="1864753D">
      <w:pPr>
        <w:pStyle w:val="2"/>
        <w:rPr>
          <w:rFonts w:hint="eastAsia"/>
          <w:color w:val="000000" w:themeColor="text1"/>
          <w:highlight w:val="none"/>
          <w:lang w:val="en-US" w:eastAsia="zh-CN"/>
          <w14:textFill>
            <w14:solidFill>
              <w14:schemeClr w14:val="tx1"/>
            </w14:solidFill>
          </w14:textFill>
        </w:rPr>
      </w:pPr>
    </w:p>
    <w:p w14:paraId="4E52D241">
      <w:pPr>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br w:type="page"/>
      </w:r>
    </w:p>
    <w:p w14:paraId="2AD75946">
      <w:pPr>
        <w:spacing w:line="588"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color w:val="000000" w:themeColor="text1"/>
          <w:kern w:val="0"/>
          <w:sz w:val="21"/>
          <w:szCs w:val="21"/>
          <w:highlight w:val="none"/>
          <w14:textFill>
            <w14:solidFill>
              <w14:schemeClr w14:val="tx1"/>
            </w14:solidFill>
          </w14:textFill>
        </w:rPr>
        <w:t>残疾人福利性单位声明函（格式）</w:t>
      </w:r>
    </w:p>
    <w:p w14:paraId="095859CD">
      <w:pPr>
        <w:spacing w:line="588" w:lineRule="exact"/>
        <w:rPr>
          <w:rFonts w:hint="eastAsia" w:ascii="宋体" w:hAnsi="宋体" w:eastAsia="宋体" w:cs="宋体"/>
          <w:b/>
          <w:color w:val="000000" w:themeColor="text1"/>
          <w:kern w:val="0"/>
          <w:sz w:val="21"/>
          <w:szCs w:val="21"/>
          <w:highlight w:val="none"/>
          <w14:textFill>
            <w14:solidFill>
              <w14:schemeClr w14:val="tx1"/>
            </w14:solidFill>
          </w14:textFill>
        </w:rPr>
      </w:pPr>
    </w:p>
    <w:p w14:paraId="3F97D285">
      <w:pPr>
        <w:spacing w:line="588"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A961BD">
      <w:pPr>
        <w:spacing w:line="588"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本单位对上述声明的真实性负责。如有虚假，将依法承担相应责任。</w:t>
      </w:r>
    </w:p>
    <w:p w14:paraId="07C7D0EF">
      <w:pPr>
        <w:spacing w:line="588"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p>
    <w:p w14:paraId="187C90B1">
      <w:pPr>
        <w:widowControl/>
        <w:ind w:firstLine="2310" w:firstLineChars="11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磋商供应商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291C170">
      <w:pPr>
        <w:pStyle w:val="11"/>
        <w:spacing w:line="300" w:lineRule="exact"/>
        <w:ind w:left="2940" w:leftChars="1400" w:firstLine="630" w:firstLineChars="300"/>
        <w:rPr>
          <w:rFonts w:hint="eastAsia" w:ascii="宋体" w:hAnsi="宋体" w:eastAsia="宋体" w:cs="宋体"/>
          <w:color w:val="000000" w:themeColor="text1"/>
          <w:sz w:val="21"/>
          <w:szCs w:val="21"/>
          <w:highlight w:val="none"/>
          <w14:textFill>
            <w14:solidFill>
              <w14:schemeClr w14:val="tx1"/>
            </w14:solidFill>
          </w14:textFill>
        </w:rPr>
      </w:pPr>
    </w:p>
    <w:p w14:paraId="16589F74">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C05D08B">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p>
    <w:p w14:paraId="01B06666">
      <w:pPr>
        <w:spacing w:line="240" w:lineRule="auto"/>
        <w:rPr>
          <w:rFonts w:hint="eastAsia" w:ascii="宋体" w:hAnsi="宋体" w:eastAsia="宋体" w:cs="宋体"/>
          <w:b/>
          <w:bCs/>
          <w:iCs/>
          <w:color w:val="000000" w:themeColor="text1"/>
          <w:kern w:val="2"/>
          <w:sz w:val="21"/>
          <w:szCs w:val="21"/>
          <w:highlight w:val="none"/>
          <w:lang w:val="en-US" w:eastAsia="zh-CN" w:bidi="ar-SA"/>
          <w14:textFill>
            <w14:solidFill>
              <w14:schemeClr w14:val="tx1"/>
            </w14:solidFill>
          </w14:textFill>
        </w:rPr>
      </w:pPr>
    </w:p>
    <w:p w14:paraId="73512F36">
      <w:pPr>
        <w:pStyle w:val="4"/>
        <w:rPr>
          <w:rFonts w:hint="eastAsia" w:ascii="宋体" w:hAnsi="宋体" w:eastAsia="宋体" w:cs="宋体"/>
          <w:b/>
          <w:bCs/>
          <w:iCs/>
          <w:color w:val="000000" w:themeColor="text1"/>
          <w:kern w:val="2"/>
          <w:sz w:val="21"/>
          <w:szCs w:val="21"/>
          <w:highlight w:val="none"/>
          <w:lang w:val="en-US" w:eastAsia="zh-CN" w:bidi="ar-SA"/>
          <w14:textFill>
            <w14:solidFill>
              <w14:schemeClr w14:val="tx1"/>
            </w14:solidFill>
          </w14:textFill>
        </w:rPr>
      </w:pPr>
    </w:p>
    <w:p w14:paraId="710C70CC">
      <w:pPr>
        <w:rPr>
          <w:rFonts w:hint="eastAsia"/>
          <w:color w:val="000000" w:themeColor="text1"/>
          <w:highlight w:val="none"/>
          <w:lang w:val="en-US" w:eastAsia="zh-CN"/>
          <w14:textFill>
            <w14:solidFill>
              <w14:schemeClr w14:val="tx1"/>
            </w14:solidFill>
          </w14:textFill>
        </w:rPr>
      </w:pPr>
    </w:p>
    <w:p w14:paraId="0E9E2BF8">
      <w:pPr>
        <w:spacing w:line="240" w:lineRule="auto"/>
        <w:rPr>
          <w:rFonts w:hint="eastAsia" w:ascii="宋体" w:hAnsi="宋体" w:cs="宋体"/>
          <w:b/>
          <w:bCs/>
          <w:iCs/>
          <w:color w:val="000000" w:themeColor="text1"/>
          <w:kern w:val="2"/>
          <w:sz w:val="21"/>
          <w:szCs w:val="21"/>
          <w:highlight w:val="none"/>
          <w:lang w:val="en-US" w:eastAsia="zh-CN" w:bidi="ar-SA"/>
          <w14:textFill>
            <w14:solidFill>
              <w14:schemeClr w14:val="tx1"/>
            </w14:solidFill>
          </w14:textFill>
        </w:rPr>
      </w:pPr>
    </w:p>
    <w:p w14:paraId="1B0C13CF">
      <w:pPr>
        <w:spacing w:line="240" w:lineRule="auto"/>
        <w:rPr>
          <w:rFonts w:hint="eastAsia" w:ascii="宋体" w:hAnsi="宋体" w:cs="宋体"/>
          <w:b/>
          <w:bCs/>
          <w:iCs/>
          <w:color w:val="000000" w:themeColor="text1"/>
          <w:kern w:val="2"/>
          <w:sz w:val="21"/>
          <w:szCs w:val="21"/>
          <w:highlight w:val="none"/>
          <w:lang w:val="en-US" w:eastAsia="zh-CN" w:bidi="ar-SA"/>
          <w14:textFill>
            <w14:solidFill>
              <w14:schemeClr w14:val="tx1"/>
            </w14:solidFill>
          </w14:textFill>
        </w:rPr>
      </w:pPr>
    </w:p>
    <w:p w14:paraId="2401FF39">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
          <w:bCs/>
          <w:iCs/>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b/>
          <w:color w:val="000000" w:themeColor="text1"/>
          <w:sz w:val="21"/>
          <w:szCs w:val="21"/>
          <w:highlight w:val="none"/>
          <w:lang w:val="en-US" w:eastAsia="zh-CN" w:bidi="ar"/>
          <w14:textFill>
            <w14:solidFill>
              <w14:schemeClr w14:val="tx1"/>
            </w14:solidFill>
          </w14:textFill>
        </w:rPr>
        <w:t>监狱企业的证明文件复印件[供应商如为监狱企业的，应当提供由省级以上监狱管理局、戒毒管理局（含新疆生产建设兵团）出具的属于监狱企业的证明文件, 否则不予享受优惠政策]</w:t>
      </w:r>
    </w:p>
    <w:p w14:paraId="68F81985">
      <w:pPr>
        <w:pStyle w:val="2"/>
        <w:rPr>
          <w:rFonts w:hint="eastAsia"/>
          <w:color w:val="000000" w:themeColor="text1"/>
          <w:highlight w:val="none"/>
          <w:lang w:val="en-US" w:eastAsia="zh-CN"/>
          <w14:textFill>
            <w14:solidFill>
              <w14:schemeClr w14:val="tx1"/>
            </w14:solidFill>
          </w14:textFill>
        </w:rPr>
      </w:pPr>
    </w:p>
    <w:p w14:paraId="20897D44">
      <w:pPr>
        <w:rPr>
          <w:rFonts w:hint="eastAsia"/>
          <w:color w:val="000000" w:themeColor="text1"/>
          <w:highlight w:val="none"/>
          <w:lang w:val="en-US" w:eastAsia="zh-CN"/>
          <w14:textFill>
            <w14:solidFill>
              <w14:schemeClr w14:val="tx1"/>
            </w14:solidFill>
          </w14:textFill>
        </w:rPr>
      </w:pPr>
    </w:p>
    <w:p w14:paraId="2C1B60A5">
      <w:pPr>
        <w:pStyle w:val="4"/>
        <w:rPr>
          <w:rFonts w:hint="eastAsia"/>
          <w:color w:val="000000" w:themeColor="text1"/>
          <w:highlight w:val="none"/>
          <w:lang w:val="en-US" w:eastAsia="zh-CN"/>
          <w14:textFill>
            <w14:solidFill>
              <w14:schemeClr w14:val="tx1"/>
            </w14:solidFill>
          </w14:textFill>
        </w:rPr>
      </w:pPr>
    </w:p>
    <w:p w14:paraId="1F25A18C">
      <w:pPr>
        <w:rPr>
          <w:rFonts w:hint="eastAsia" w:hAnsi="宋体" w:eastAsia="宋体" w:cs="宋体"/>
          <w:b/>
          <w:color w:val="000000" w:themeColor="text1"/>
          <w:sz w:val="24"/>
          <w:szCs w:val="24"/>
          <w:highlight w:val="none"/>
          <w:lang w:val="en-US" w:eastAsia="zh-CN"/>
          <w14:textFill>
            <w14:solidFill>
              <w14:schemeClr w14:val="tx1"/>
            </w14:solidFill>
          </w14:textFill>
        </w:rPr>
      </w:pPr>
    </w:p>
    <w:p w14:paraId="14B9FC1D">
      <w:pPr>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br w:type="page"/>
      </w:r>
    </w:p>
    <w:p w14:paraId="7853649E">
      <w:pPr>
        <w:pStyle w:val="11"/>
        <w:spacing w:line="340" w:lineRule="exact"/>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.供应商有效的安全生产许可证书复印件（必须提供）；</w:t>
      </w:r>
    </w:p>
    <w:p w14:paraId="53664BFB">
      <w:pPr>
        <w:pStyle w:val="11"/>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07DD6AA1">
      <w:pPr>
        <w:pStyle w:val="11"/>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2F794683">
      <w:pPr>
        <w:rPr>
          <w:rFonts w:hint="eastAsia"/>
          <w:color w:val="000000" w:themeColor="text1"/>
          <w:sz w:val="24"/>
          <w:szCs w:val="24"/>
          <w:highlight w:val="none"/>
          <w:lang w:val="en-US" w:eastAsia="zh-CN"/>
          <w14:textFill>
            <w14:solidFill>
              <w14:schemeClr w14:val="tx1"/>
            </w14:solidFill>
          </w14:textFill>
        </w:rPr>
      </w:pPr>
    </w:p>
    <w:p w14:paraId="0A8A7E39">
      <w:pPr>
        <w:pStyle w:val="11"/>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w:t>
      </w:r>
      <w:r>
        <w:rPr>
          <w:rFonts w:hint="eastAsia" w:hAnsi="宋体" w:cs="宋体"/>
          <w:b/>
          <w:color w:val="000000" w:themeColor="text1"/>
          <w:sz w:val="24"/>
          <w:szCs w:val="24"/>
          <w:highlight w:val="none"/>
          <w:lang w:val="en-US" w:eastAsia="zh-CN"/>
          <w14:textFill>
            <w14:solidFill>
              <w14:schemeClr w14:val="tx1"/>
            </w14:solidFill>
          </w14:textFill>
        </w:rPr>
        <w:t>供应商2023年度财务状况报告复印件</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（必须提供，可以是磋商供应商自行编制也可是通过第三方审计公司编制，如为自行编制至少须提供现金流量表、负债表及利润表）；</w:t>
      </w:r>
    </w:p>
    <w:p w14:paraId="1D9F5A0D">
      <w:pPr>
        <w:pStyle w:val="7"/>
        <w:numPr>
          <w:ilvl w:val="0"/>
          <w:numId w:val="0"/>
        </w:numPr>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2FA7BE87">
      <w:pPr>
        <w:pStyle w:val="2"/>
        <w:rPr>
          <w:rFonts w:hint="eastAsia"/>
          <w:color w:val="000000" w:themeColor="text1"/>
          <w:sz w:val="24"/>
          <w:szCs w:val="24"/>
          <w:highlight w:val="none"/>
          <w:lang w:val="en-US" w:eastAsia="zh-CN"/>
          <w14:textFill>
            <w14:solidFill>
              <w14:schemeClr w14:val="tx1"/>
            </w14:solidFill>
          </w14:textFill>
        </w:rPr>
      </w:pPr>
    </w:p>
    <w:p w14:paraId="5BBC1D31">
      <w:pPr>
        <w:rPr>
          <w:rFonts w:hint="eastAsia"/>
          <w:color w:val="000000" w:themeColor="text1"/>
          <w:highlight w:val="none"/>
          <w:lang w:val="en-US" w:eastAsia="zh-CN"/>
          <w14:textFill>
            <w14:solidFill>
              <w14:schemeClr w14:val="tx1"/>
            </w14:solidFill>
          </w14:textFill>
        </w:rPr>
      </w:pPr>
    </w:p>
    <w:p w14:paraId="6ED0FB1F">
      <w:pPr>
        <w:rPr>
          <w:rFonts w:hint="eastAsia"/>
          <w:color w:val="000000" w:themeColor="text1"/>
          <w:highlight w:val="none"/>
          <w:lang w:val="en-US" w:eastAsia="zh-CN"/>
          <w14:textFill>
            <w14:solidFill>
              <w14:schemeClr w14:val="tx1"/>
            </w14:solidFill>
          </w14:textFill>
        </w:rPr>
      </w:pPr>
    </w:p>
    <w:p w14:paraId="07F38CE8">
      <w:pPr>
        <w:pStyle w:val="7"/>
        <w:numPr>
          <w:ilvl w:val="0"/>
          <w:numId w:val="0"/>
        </w:numP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9.供应商在磋商当天前近半年内任意一个月或任一季度依法缴纳税收的证明材料（增值税发票(税收完税证明)或企业所得税完税证明或税务部门出具的免税证明）复印件（必须提供）。</w:t>
      </w:r>
    </w:p>
    <w:p w14:paraId="21ADC6B8">
      <w:pPr>
        <w:numPr>
          <w:ilvl w:val="0"/>
          <w:numId w:val="0"/>
        </w:numPr>
        <w:ind w:left="420" w:leftChars="0"/>
        <w:jc w:val="center"/>
        <w:rPr>
          <w:rFonts w:hint="eastAsia" w:ascii="宋体" w:hAnsi="宋体" w:cs="宋体"/>
          <w:b/>
          <w:bCs/>
          <w:color w:val="000000" w:themeColor="text1"/>
          <w:sz w:val="24"/>
          <w:szCs w:val="24"/>
          <w:highlight w:val="none"/>
          <w:lang w:eastAsia="zh-CN"/>
          <w14:textFill>
            <w14:solidFill>
              <w14:schemeClr w14:val="tx1"/>
            </w14:solidFill>
          </w14:textFill>
        </w:rPr>
      </w:pPr>
    </w:p>
    <w:p w14:paraId="3F9FD5FF">
      <w:pPr>
        <w:numPr>
          <w:ilvl w:val="0"/>
          <w:numId w:val="0"/>
        </w:numPr>
        <w:ind w:left="420" w:leftChars="0"/>
        <w:jc w:val="center"/>
        <w:rPr>
          <w:rFonts w:hint="eastAsia" w:ascii="宋体" w:hAnsi="宋体" w:cs="宋体"/>
          <w:b/>
          <w:bCs/>
          <w:color w:val="000000" w:themeColor="text1"/>
          <w:sz w:val="24"/>
          <w:szCs w:val="24"/>
          <w:highlight w:val="none"/>
          <w:lang w:eastAsia="zh-CN"/>
          <w14:textFill>
            <w14:solidFill>
              <w14:schemeClr w14:val="tx1"/>
            </w14:solidFill>
          </w14:textFill>
        </w:rPr>
      </w:pPr>
    </w:p>
    <w:p w14:paraId="7DE7D32A">
      <w:pPr>
        <w:pStyle w:val="2"/>
        <w:rPr>
          <w:rFonts w:hint="eastAsia" w:ascii="宋体" w:hAnsi="宋体" w:cs="宋体"/>
          <w:b/>
          <w:bCs/>
          <w:color w:val="000000" w:themeColor="text1"/>
          <w:sz w:val="24"/>
          <w:szCs w:val="24"/>
          <w:highlight w:val="none"/>
          <w:lang w:eastAsia="zh-CN"/>
          <w14:textFill>
            <w14:solidFill>
              <w14:schemeClr w14:val="tx1"/>
            </w14:solidFill>
          </w14:textFill>
        </w:rPr>
      </w:pPr>
    </w:p>
    <w:p w14:paraId="667666A7">
      <w:pPr>
        <w:rPr>
          <w:rFonts w:hint="eastAsia" w:ascii="宋体" w:hAnsi="宋体" w:cs="宋体"/>
          <w:b/>
          <w:bCs/>
          <w:color w:val="000000" w:themeColor="text1"/>
          <w:sz w:val="24"/>
          <w:szCs w:val="24"/>
          <w:highlight w:val="none"/>
          <w:lang w:eastAsia="zh-CN"/>
          <w14:textFill>
            <w14:solidFill>
              <w14:schemeClr w14:val="tx1"/>
            </w14:solidFill>
          </w14:textFill>
        </w:rPr>
      </w:pPr>
    </w:p>
    <w:p w14:paraId="41807968">
      <w:pPr>
        <w:pStyle w:val="2"/>
        <w:rPr>
          <w:rFonts w:hint="eastAsia" w:ascii="宋体" w:hAnsi="宋体" w:cs="宋体"/>
          <w:b/>
          <w:bCs/>
          <w:color w:val="000000" w:themeColor="text1"/>
          <w:sz w:val="24"/>
          <w:szCs w:val="24"/>
          <w:highlight w:val="none"/>
          <w:lang w:eastAsia="zh-CN"/>
          <w14:textFill>
            <w14:solidFill>
              <w14:schemeClr w14:val="tx1"/>
            </w14:solidFill>
          </w14:textFill>
        </w:rPr>
      </w:pPr>
    </w:p>
    <w:p w14:paraId="52FCBB4C">
      <w:pPr>
        <w:rPr>
          <w:rFonts w:hint="eastAsia"/>
          <w:color w:val="000000" w:themeColor="text1"/>
          <w:highlight w:val="none"/>
          <w:lang w:eastAsia="zh-CN"/>
          <w14:textFill>
            <w14:solidFill>
              <w14:schemeClr w14:val="tx1"/>
            </w14:solidFill>
          </w14:textFill>
        </w:rPr>
      </w:pPr>
    </w:p>
    <w:p w14:paraId="089D09BC">
      <w:pPr>
        <w:pStyle w:val="26"/>
        <w:rPr>
          <w:rFonts w:hint="eastAsia" w:ascii="宋体" w:hAnsi="宋体" w:cs="宋体"/>
          <w:b/>
          <w:bCs/>
          <w:color w:val="000000" w:themeColor="text1"/>
          <w:sz w:val="24"/>
          <w:szCs w:val="24"/>
          <w:highlight w:val="none"/>
          <w:lang w:eastAsia="zh-CN"/>
          <w14:textFill>
            <w14:solidFill>
              <w14:schemeClr w14:val="tx1"/>
            </w14:solidFill>
          </w14:textFill>
        </w:rPr>
      </w:pPr>
    </w:p>
    <w:p w14:paraId="78EB2569">
      <w:pPr>
        <w:pStyle w:val="26"/>
        <w:rPr>
          <w:rFonts w:hint="eastAsia" w:ascii="宋体" w:hAnsi="宋体" w:cs="宋体"/>
          <w:b/>
          <w:bCs/>
          <w:color w:val="000000" w:themeColor="text1"/>
          <w:sz w:val="24"/>
          <w:szCs w:val="24"/>
          <w:highlight w:val="none"/>
          <w:lang w:eastAsia="zh-CN"/>
          <w14:textFill>
            <w14:solidFill>
              <w14:schemeClr w14:val="tx1"/>
            </w14:solidFill>
          </w14:textFill>
        </w:rPr>
      </w:pPr>
    </w:p>
    <w:p w14:paraId="0419DD36">
      <w:pPr>
        <w:pStyle w:val="26"/>
        <w:rPr>
          <w:rFonts w:hint="eastAsia" w:ascii="宋体" w:hAnsi="宋体" w:cs="宋体"/>
          <w:b/>
          <w:bCs/>
          <w:color w:val="000000" w:themeColor="text1"/>
          <w:sz w:val="24"/>
          <w:szCs w:val="24"/>
          <w:highlight w:val="none"/>
          <w:lang w:eastAsia="zh-CN"/>
          <w14:textFill>
            <w14:solidFill>
              <w14:schemeClr w14:val="tx1"/>
            </w14:solidFill>
          </w14:textFill>
        </w:rPr>
      </w:pPr>
    </w:p>
    <w:p w14:paraId="71700D4A">
      <w:pPr>
        <w:numPr>
          <w:ilvl w:val="0"/>
          <w:numId w:val="0"/>
        </w:numPr>
        <w:jc w:val="center"/>
        <w:rPr>
          <w:rFonts w:hint="eastAsia" w:ascii="宋体" w:hAnsi="宋体" w:cs="宋体"/>
          <w:b/>
          <w:bCs/>
          <w:color w:val="000000" w:themeColor="text1"/>
          <w:sz w:val="24"/>
          <w:szCs w:val="24"/>
          <w:highlight w:val="none"/>
          <w:lang w:eastAsia="zh-CN"/>
          <w14:textFill>
            <w14:solidFill>
              <w14:schemeClr w14:val="tx1"/>
            </w14:solidFill>
          </w14:textFill>
        </w:rPr>
      </w:pPr>
    </w:p>
    <w:p w14:paraId="546C640A">
      <w:pPr>
        <w:pStyle w:val="2"/>
        <w:rPr>
          <w:rFonts w:hint="eastAsia" w:ascii="宋体" w:hAnsi="宋体" w:cs="宋体"/>
          <w:b/>
          <w:bCs/>
          <w:color w:val="000000" w:themeColor="text1"/>
          <w:sz w:val="24"/>
          <w:szCs w:val="24"/>
          <w:highlight w:val="none"/>
          <w:lang w:eastAsia="zh-CN"/>
          <w14:textFill>
            <w14:solidFill>
              <w14:schemeClr w14:val="tx1"/>
            </w14:solidFill>
          </w14:textFill>
        </w:rPr>
      </w:pPr>
    </w:p>
    <w:p w14:paraId="1DC4BE3E">
      <w:pPr>
        <w:rPr>
          <w:rFonts w:hint="eastAsia" w:ascii="宋体" w:hAnsi="宋体" w:cs="宋体"/>
          <w:b/>
          <w:bCs/>
          <w:color w:val="000000" w:themeColor="text1"/>
          <w:sz w:val="24"/>
          <w:szCs w:val="24"/>
          <w:highlight w:val="none"/>
          <w:lang w:eastAsia="zh-CN"/>
          <w14:textFill>
            <w14:solidFill>
              <w14:schemeClr w14:val="tx1"/>
            </w14:solidFill>
          </w14:textFill>
        </w:rPr>
      </w:pPr>
    </w:p>
    <w:p w14:paraId="39A5BACB">
      <w:pPr>
        <w:pStyle w:val="2"/>
        <w:rPr>
          <w:rFonts w:hint="eastAsia" w:ascii="宋体" w:hAnsi="宋体" w:cs="宋体"/>
          <w:b/>
          <w:bCs/>
          <w:color w:val="000000" w:themeColor="text1"/>
          <w:sz w:val="24"/>
          <w:szCs w:val="24"/>
          <w:highlight w:val="none"/>
          <w:lang w:eastAsia="zh-CN"/>
          <w14:textFill>
            <w14:solidFill>
              <w14:schemeClr w14:val="tx1"/>
            </w14:solidFill>
          </w14:textFill>
        </w:rPr>
      </w:pPr>
    </w:p>
    <w:p w14:paraId="74B7F8B1">
      <w:pPr>
        <w:rPr>
          <w:rFonts w:hint="eastAsia" w:ascii="宋体" w:hAnsi="宋体" w:cs="宋体"/>
          <w:b/>
          <w:bCs/>
          <w:color w:val="000000" w:themeColor="text1"/>
          <w:sz w:val="24"/>
          <w:szCs w:val="24"/>
          <w:highlight w:val="none"/>
          <w:lang w:eastAsia="zh-CN"/>
          <w14:textFill>
            <w14:solidFill>
              <w14:schemeClr w14:val="tx1"/>
            </w14:solidFill>
          </w14:textFill>
        </w:rPr>
      </w:pPr>
    </w:p>
    <w:p w14:paraId="50FFAB8E">
      <w:pPr>
        <w:pStyle w:val="2"/>
        <w:rPr>
          <w:rFonts w:hint="eastAsia" w:ascii="宋体" w:hAnsi="宋体" w:cs="宋体"/>
          <w:b/>
          <w:bCs/>
          <w:color w:val="000000" w:themeColor="text1"/>
          <w:sz w:val="24"/>
          <w:szCs w:val="24"/>
          <w:highlight w:val="none"/>
          <w:lang w:eastAsia="zh-CN"/>
          <w14:textFill>
            <w14:solidFill>
              <w14:schemeClr w14:val="tx1"/>
            </w14:solidFill>
          </w14:textFill>
        </w:rPr>
      </w:pPr>
    </w:p>
    <w:p w14:paraId="051CDF25">
      <w:pPr>
        <w:rPr>
          <w:rFonts w:hint="eastAsia" w:ascii="宋体" w:hAnsi="宋体" w:cs="宋体"/>
          <w:b/>
          <w:bCs/>
          <w:color w:val="000000" w:themeColor="text1"/>
          <w:sz w:val="24"/>
          <w:szCs w:val="24"/>
          <w:highlight w:val="none"/>
          <w:lang w:eastAsia="zh-CN"/>
          <w14:textFill>
            <w14:solidFill>
              <w14:schemeClr w14:val="tx1"/>
            </w14:solidFill>
          </w14:textFill>
        </w:rPr>
      </w:pPr>
    </w:p>
    <w:p w14:paraId="12C259CA">
      <w:pPr>
        <w:pStyle w:val="2"/>
        <w:rPr>
          <w:rFonts w:hint="eastAsia" w:ascii="宋体" w:hAnsi="宋体" w:cs="宋体"/>
          <w:b/>
          <w:bCs/>
          <w:color w:val="000000" w:themeColor="text1"/>
          <w:sz w:val="24"/>
          <w:szCs w:val="24"/>
          <w:highlight w:val="none"/>
          <w:lang w:eastAsia="zh-CN"/>
          <w14:textFill>
            <w14:solidFill>
              <w14:schemeClr w14:val="tx1"/>
            </w14:solidFill>
          </w14:textFill>
        </w:rPr>
      </w:pPr>
    </w:p>
    <w:p w14:paraId="096E071A">
      <w:pPr>
        <w:rPr>
          <w:rFonts w:hint="eastAsia" w:ascii="宋体" w:hAnsi="宋体" w:cs="宋体"/>
          <w:b/>
          <w:bCs/>
          <w:color w:val="000000" w:themeColor="text1"/>
          <w:sz w:val="24"/>
          <w:szCs w:val="24"/>
          <w:highlight w:val="none"/>
          <w:lang w:eastAsia="zh-CN"/>
          <w14:textFill>
            <w14:solidFill>
              <w14:schemeClr w14:val="tx1"/>
            </w14:solidFill>
          </w14:textFill>
        </w:rPr>
      </w:pPr>
    </w:p>
    <w:p w14:paraId="27657D26">
      <w:pPr>
        <w:pStyle w:val="2"/>
        <w:rPr>
          <w:rFonts w:hint="eastAsia" w:ascii="宋体" w:hAnsi="宋体" w:cs="宋体"/>
          <w:b/>
          <w:bCs/>
          <w:color w:val="000000" w:themeColor="text1"/>
          <w:sz w:val="24"/>
          <w:szCs w:val="24"/>
          <w:highlight w:val="none"/>
          <w:lang w:eastAsia="zh-CN"/>
          <w14:textFill>
            <w14:solidFill>
              <w14:schemeClr w14:val="tx1"/>
            </w14:solidFill>
          </w14:textFill>
        </w:rPr>
      </w:pPr>
    </w:p>
    <w:p w14:paraId="5AF51E43">
      <w:pPr>
        <w:rPr>
          <w:rFonts w:hint="eastAsia" w:ascii="宋体" w:hAnsi="宋体" w:cs="宋体"/>
          <w:b/>
          <w:bCs/>
          <w:color w:val="000000" w:themeColor="text1"/>
          <w:sz w:val="24"/>
          <w:szCs w:val="24"/>
          <w:highlight w:val="none"/>
          <w:lang w:eastAsia="zh-CN"/>
          <w14:textFill>
            <w14:solidFill>
              <w14:schemeClr w14:val="tx1"/>
            </w14:solidFill>
          </w14:textFill>
        </w:rPr>
      </w:pPr>
    </w:p>
    <w:p w14:paraId="3FE944F9">
      <w:pPr>
        <w:pStyle w:val="2"/>
        <w:rPr>
          <w:rFonts w:hint="eastAsia" w:ascii="宋体" w:hAnsi="宋体" w:cs="宋体"/>
          <w:b/>
          <w:bCs/>
          <w:color w:val="000000" w:themeColor="text1"/>
          <w:sz w:val="24"/>
          <w:szCs w:val="24"/>
          <w:highlight w:val="none"/>
          <w:lang w:eastAsia="zh-CN"/>
          <w14:textFill>
            <w14:solidFill>
              <w14:schemeClr w14:val="tx1"/>
            </w14:solidFill>
          </w14:textFill>
        </w:rPr>
      </w:pPr>
    </w:p>
    <w:p w14:paraId="5F12B7CD">
      <w:pPr>
        <w:rPr>
          <w:rFonts w:hint="eastAsia" w:ascii="宋体" w:hAnsi="宋体" w:cs="宋体"/>
          <w:b/>
          <w:bCs/>
          <w:color w:val="000000" w:themeColor="text1"/>
          <w:sz w:val="24"/>
          <w:szCs w:val="24"/>
          <w:highlight w:val="none"/>
          <w:lang w:eastAsia="zh-CN"/>
          <w14:textFill>
            <w14:solidFill>
              <w14:schemeClr w14:val="tx1"/>
            </w14:solidFill>
          </w14:textFill>
        </w:rPr>
      </w:pPr>
    </w:p>
    <w:p w14:paraId="4CD996A6">
      <w:pPr>
        <w:pStyle w:val="2"/>
        <w:rPr>
          <w:rFonts w:hint="eastAsia" w:ascii="宋体" w:hAnsi="宋体" w:cs="宋体"/>
          <w:b/>
          <w:bCs/>
          <w:color w:val="000000" w:themeColor="text1"/>
          <w:sz w:val="24"/>
          <w:szCs w:val="24"/>
          <w:highlight w:val="none"/>
          <w:lang w:eastAsia="zh-CN"/>
          <w14:textFill>
            <w14:solidFill>
              <w14:schemeClr w14:val="tx1"/>
            </w14:solidFill>
          </w14:textFill>
        </w:rPr>
      </w:pPr>
    </w:p>
    <w:p w14:paraId="7844485D">
      <w:pPr>
        <w:rPr>
          <w:rFonts w:hint="eastAsia" w:ascii="宋体" w:hAnsi="宋体" w:cs="宋体"/>
          <w:b/>
          <w:bCs/>
          <w:color w:val="000000" w:themeColor="text1"/>
          <w:sz w:val="24"/>
          <w:szCs w:val="24"/>
          <w:highlight w:val="none"/>
          <w:lang w:eastAsia="zh-CN"/>
          <w14:textFill>
            <w14:solidFill>
              <w14:schemeClr w14:val="tx1"/>
            </w14:solidFill>
          </w14:textFill>
        </w:rPr>
      </w:pPr>
    </w:p>
    <w:p w14:paraId="405B5A0F">
      <w:pPr>
        <w:pStyle w:val="2"/>
        <w:rPr>
          <w:rFonts w:hint="eastAsia" w:ascii="宋体" w:hAnsi="宋体" w:cs="宋体"/>
          <w:b/>
          <w:bCs/>
          <w:color w:val="000000" w:themeColor="text1"/>
          <w:sz w:val="24"/>
          <w:szCs w:val="24"/>
          <w:highlight w:val="none"/>
          <w:lang w:eastAsia="zh-CN"/>
          <w14:textFill>
            <w14:solidFill>
              <w14:schemeClr w14:val="tx1"/>
            </w14:solidFill>
          </w14:textFill>
        </w:rPr>
      </w:pPr>
    </w:p>
    <w:p w14:paraId="5D3B7000">
      <w:pPr>
        <w:rPr>
          <w:rFonts w:hint="eastAsia" w:ascii="宋体" w:hAnsi="宋体" w:cs="宋体"/>
          <w:b/>
          <w:bCs/>
          <w:color w:val="000000" w:themeColor="text1"/>
          <w:sz w:val="24"/>
          <w:szCs w:val="24"/>
          <w:highlight w:val="none"/>
          <w:lang w:eastAsia="zh-CN"/>
          <w14:textFill>
            <w14:solidFill>
              <w14:schemeClr w14:val="tx1"/>
            </w14:solidFill>
          </w14:textFill>
        </w:rPr>
      </w:pPr>
    </w:p>
    <w:p w14:paraId="426E7009">
      <w:pPr>
        <w:pStyle w:val="2"/>
        <w:rPr>
          <w:rFonts w:hint="eastAsia" w:ascii="宋体" w:hAnsi="宋体" w:cs="宋体"/>
          <w:b/>
          <w:bCs/>
          <w:color w:val="000000" w:themeColor="text1"/>
          <w:sz w:val="24"/>
          <w:szCs w:val="24"/>
          <w:highlight w:val="none"/>
          <w:lang w:eastAsia="zh-CN"/>
          <w14:textFill>
            <w14:solidFill>
              <w14:schemeClr w14:val="tx1"/>
            </w14:solidFill>
          </w14:textFill>
        </w:rPr>
      </w:pPr>
    </w:p>
    <w:p w14:paraId="74D2872C">
      <w:pPr>
        <w:rPr>
          <w:rFonts w:hint="eastAsia" w:ascii="宋体" w:hAnsi="宋体" w:cs="宋体"/>
          <w:b/>
          <w:bCs/>
          <w:color w:val="000000" w:themeColor="text1"/>
          <w:sz w:val="24"/>
          <w:szCs w:val="24"/>
          <w:highlight w:val="none"/>
          <w:lang w:eastAsia="zh-CN"/>
          <w14:textFill>
            <w14:solidFill>
              <w14:schemeClr w14:val="tx1"/>
            </w14:solidFill>
          </w14:textFill>
        </w:rPr>
      </w:pPr>
    </w:p>
    <w:p w14:paraId="1429C322">
      <w:pPr>
        <w:pStyle w:val="2"/>
        <w:rPr>
          <w:rFonts w:hint="eastAsia"/>
          <w:color w:val="000000" w:themeColor="text1"/>
          <w:highlight w:val="none"/>
          <w:lang w:eastAsia="zh-CN"/>
          <w14:textFill>
            <w14:solidFill>
              <w14:schemeClr w14:val="tx1"/>
            </w14:solidFill>
          </w14:textFill>
        </w:rPr>
      </w:pPr>
    </w:p>
    <w:p w14:paraId="101371D4">
      <w:pPr>
        <w:pStyle w:val="6"/>
        <w:numPr>
          <w:ilvl w:val="0"/>
          <w:numId w:val="0"/>
        </w:num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（二）符合性响应证明材料目录</w:t>
      </w:r>
    </w:p>
    <w:p w14:paraId="3AE12112">
      <w:pPr>
        <w:numPr>
          <w:ilvl w:val="0"/>
          <w:numId w:val="0"/>
        </w:numPr>
        <w:spacing w:line="360" w:lineRule="auto"/>
        <w:ind w:left="420"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1B4AA43">
      <w:pPr>
        <w:pageBreakBefore w:val="0"/>
        <w:widowControl w:val="0"/>
        <w:numPr>
          <w:ilvl w:val="0"/>
          <w:numId w:val="0"/>
        </w:numPr>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响应函</w:t>
      </w:r>
      <w:r>
        <w:rPr>
          <w:rFonts w:hint="eastAsia" w:ascii="宋体" w:hAnsi="宋体" w:eastAsia="宋体" w:cs="宋体"/>
          <w:b/>
          <w:bCs/>
          <w:color w:val="000000" w:themeColor="text1"/>
          <w:sz w:val="21"/>
          <w:szCs w:val="21"/>
          <w:highlight w:val="none"/>
          <w14:textFill>
            <w14:solidFill>
              <w14:schemeClr w14:val="tx1"/>
            </w14:solidFill>
          </w14:textFill>
        </w:rPr>
        <w:t>（格式见附件）（必须提供</w:t>
      </w:r>
      <w:r>
        <w:rPr>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5A8B4D07">
      <w:pPr>
        <w:pageBreakBefore w:val="0"/>
        <w:widowControl w:val="0"/>
        <w:numPr>
          <w:ilvl w:val="0"/>
          <w:numId w:val="0"/>
        </w:numPr>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2.响应函附录</w:t>
      </w:r>
      <w:r>
        <w:rPr>
          <w:rFonts w:hint="eastAsia" w:ascii="宋体" w:hAnsi="宋体" w:eastAsia="宋体" w:cs="宋体"/>
          <w:b/>
          <w:bCs/>
          <w:color w:val="000000" w:themeColor="text1"/>
          <w:sz w:val="21"/>
          <w:szCs w:val="21"/>
          <w:highlight w:val="none"/>
          <w14:textFill>
            <w14:solidFill>
              <w14:schemeClr w14:val="tx1"/>
            </w14:solidFill>
          </w14:textFill>
        </w:rPr>
        <w:t>（格式见附件）（必须提供）；</w:t>
      </w:r>
    </w:p>
    <w:p w14:paraId="7017CEB8">
      <w:pPr>
        <w:pageBreakBefore w:val="0"/>
        <w:widowControl w:val="0"/>
        <w:numPr>
          <w:ilvl w:val="0"/>
          <w:numId w:val="0"/>
        </w:numPr>
        <w:kinsoku/>
        <w:wordWrap/>
        <w:overflowPunct/>
        <w:topLinePunct w:val="0"/>
        <w:autoSpaceDE/>
        <w:autoSpaceDN/>
        <w:bidi w:val="0"/>
        <w:adjustRightInd/>
        <w:snapToGrid/>
        <w:spacing w:line="480" w:lineRule="auto"/>
        <w:ind w:left="0" w:leftChars="0"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3.标价工程量清单</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（必须提供）</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14:paraId="056E0FC8">
      <w:pPr>
        <w:pageBreakBefore w:val="0"/>
        <w:widowControl w:val="0"/>
        <w:numPr>
          <w:ilvl w:val="0"/>
          <w:numId w:val="0"/>
        </w:numPr>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拟投入本工程主要施工管理人员表</w:t>
      </w:r>
      <w:r>
        <w:rPr>
          <w:rFonts w:hint="eastAsia" w:ascii="宋体" w:hAnsi="宋体" w:eastAsia="宋体" w:cs="宋体"/>
          <w:b/>
          <w:bCs/>
          <w:color w:val="000000" w:themeColor="text1"/>
          <w:sz w:val="21"/>
          <w:szCs w:val="21"/>
          <w:highlight w:val="none"/>
          <w14:textFill>
            <w14:solidFill>
              <w14:schemeClr w14:val="tx1"/>
            </w14:solidFill>
          </w14:textFill>
        </w:rPr>
        <w:t>（必须提供）；</w:t>
      </w:r>
    </w:p>
    <w:p w14:paraId="7777CA70">
      <w:pPr>
        <w:pageBreakBefore w:val="0"/>
        <w:widowControl w:val="0"/>
        <w:numPr>
          <w:ilvl w:val="0"/>
          <w:numId w:val="0"/>
        </w:numPr>
        <w:kinsoku/>
        <w:wordWrap/>
        <w:overflowPunct/>
        <w:topLinePunct w:val="0"/>
        <w:autoSpaceDE/>
        <w:autoSpaceDN/>
        <w:bidi w:val="0"/>
        <w:adjustRightInd/>
        <w:snapToGrid/>
        <w:spacing w:line="480" w:lineRule="auto"/>
        <w:ind w:left="0" w:leftChars="0"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并一起提供由县级以上（含县级）社会养老保险经办机构出具的供应商为项目实施人员交纳的响应文件递交截止时间前半年内任意连续三个月社保证明复印件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除供应商为以下三种情形的：</w:t>
      </w:r>
    </w:p>
    <w:p w14:paraId="43D92694">
      <w:pPr>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①如供应商为截标时间前60日以内成立的公司，可以提供供应商与委托代理人签订的劳动合同复印件代替社保证明复印件；</w:t>
      </w:r>
    </w:p>
    <w:p w14:paraId="2585429A">
      <w:pPr>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②如供应商为事业单位，可以提供事业单位机构编制管理证复印件或事业单位机构为其发放工资的工资条复印件代替社保证明复印件；</w:t>
      </w:r>
    </w:p>
    <w:p w14:paraId="48423A14">
      <w:pPr>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③如委托代理人为免缴纳社保人员，提供免缴纳社保的证明材料复印件及供应商与委托代理人签订的劳动合同复印件代替社保证明复印件。</w:t>
      </w:r>
      <w:r>
        <w:rPr>
          <w:rFonts w:hint="eastAsia" w:ascii="宋体" w:hAnsi="宋体" w:eastAsia="宋体" w:cs="宋体"/>
          <w:b w:val="0"/>
          <w:bCs w:val="0"/>
          <w:color w:val="000000" w:themeColor="text1"/>
          <w:sz w:val="21"/>
          <w:szCs w:val="21"/>
          <w:highlight w:val="none"/>
          <w14:textFill>
            <w14:solidFill>
              <w14:schemeClr w14:val="tx1"/>
            </w14:solidFill>
          </w14:textFill>
        </w:rPr>
        <w:t>）；</w:t>
      </w:r>
    </w:p>
    <w:p w14:paraId="27C4F498">
      <w:pPr>
        <w:pageBreakBefore w:val="0"/>
        <w:widowControl w:val="0"/>
        <w:numPr>
          <w:ilvl w:val="0"/>
          <w:numId w:val="0"/>
        </w:numPr>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担任本工程的项目经理简历表（应附相关证书、身份证复印件）</w:t>
      </w:r>
      <w:r>
        <w:rPr>
          <w:rFonts w:hint="eastAsia" w:ascii="宋体" w:hAnsi="宋体" w:eastAsia="宋体" w:cs="宋体"/>
          <w:b/>
          <w:bCs/>
          <w:color w:val="000000" w:themeColor="text1"/>
          <w:sz w:val="21"/>
          <w:szCs w:val="21"/>
          <w:highlight w:val="none"/>
          <w:lang w:eastAsia="zh-CN"/>
          <w14:textFill>
            <w14:solidFill>
              <w14:schemeClr w14:val="tx1"/>
            </w14:solidFill>
          </w14:textFill>
        </w:rPr>
        <w:t>（必须提供）</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5B4B296">
      <w:pPr>
        <w:pageBreakBefore w:val="0"/>
        <w:widowControl w:val="0"/>
        <w:numPr>
          <w:ilvl w:val="0"/>
          <w:numId w:val="0"/>
        </w:numPr>
        <w:kinsoku/>
        <w:wordWrap/>
        <w:overflowPunct/>
        <w:topLinePunct w:val="0"/>
        <w:autoSpaceDE/>
        <w:autoSpaceDN/>
        <w:bidi w:val="0"/>
        <w:adjustRightInd/>
        <w:snapToGrid/>
        <w:spacing w:line="480" w:lineRule="auto"/>
        <w:ind w:left="0" w:leftChars="0" w:firstLine="420" w:firstLineChars="200"/>
        <w:textAlignment w:val="auto"/>
        <w:rPr>
          <w:rFonts w:hint="default"/>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施工组织设计方案</w:t>
      </w:r>
      <w:r>
        <w:rPr>
          <w:rFonts w:hint="eastAsia" w:ascii="宋体" w:hAnsi="宋体" w:eastAsia="宋体" w:cs="宋体"/>
          <w:b/>
          <w:bCs/>
          <w:color w:val="000000" w:themeColor="text1"/>
          <w:sz w:val="21"/>
          <w:szCs w:val="21"/>
          <w:highlight w:val="none"/>
          <w:lang w:eastAsia="zh-CN"/>
          <w14:textFill>
            <w14:solidFill>
              <w14:schemeClr w14:val="tx1"/>
            </w14:solidFill>
          </w14:textFill>
        </w:rPr>
        <w:t>（必须提供）</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F3FFF04">
      <w:pPr>
        <w:pageBreakBefore w:val="0"/>
        <w:widowControl w:val="0"/>
        <w:numPr>
          <w:ilvl w:val="0"/>
          <w:numId w:val="0"/>
        </w:numPr>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工程完工服务承诺书</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（必须提供）</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14:paraId="62F60693">
      <w:pPr>
        <w:pStyle w:val="4"/>
        <w:pageBreakBefore w:val="0"/>
        <w:widowControl w:val="0"/>
        <w:numPr>
          <w:ilvl w:val="0"/>
          <w:numId w:val="0"/>
        </w:numPr>
        <w:kinsoku/>
        <w:wordWrap/>
        <w:overflowPunct/>
        <w:topLinePunct w:val="0"/>
        <w:autoSpaceDE/>
        <w:autoSpaceDN/>
        <w:bidi w:val="0"/>
        <w:adjustRightInd/>
        <w:snapToGrid/>
        <w:spacing w:before="0" w:after="0" w:line="480" w:lineRule="auto"/>
        <w:ind w:left="0" w:leftChars="0" w:firstLine="420" w:firstLineChars="200"/>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230" w:name="_Toc1014"/>
      <w:bookmarkStart w:id="231" w:name="_Toc6633"/>
      <w:bookmarkStart w:id="232" w:name="_Toc10365"/>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8.农民工</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工资保障金缴纳与使用</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承诺书</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（必须提供）</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w:t>
      </w:r>
      <w:bookmarkEnd w:id="230"/>
      <w:bookmarkEnd w:id="231"/>
      <w:bookmarkEnd w:id="232"/>
    </w:p>
    <w:p w14:paraId="23809189">
      <w:pPr>
        <w:pStyle w:val="27"/>
        <w:rPr>
          <w:rFonts w:hint="eastAsia" w:ascii="宋体" w:hAnsi="宋体" w:eastAsia="宋体" w:cs="宋体"/>
          <w:color w:val="000000" w:themeColor="text1"/>
          <w:sz w:val="24"/>
          <w:szCs w:val="24"/>
          <w:highlight w:val="none"/>
          <w14:textFill>
            <w14:solidFill>
              <w14:schemeClr w14:val="tx1"/>
            </w14:solidFill>
          </w14:textFill>
        </w:rPr>
      </w:pPr>
    </w:p>
    <w:p w14:paraId="040730E8">
      <w:pPr>
        <w:pStyle w:val="27"/>
        <w:rPr>
          <w:rFonts w:hint="eastAsia" w:ascii="宋体" w:hAnsi="宋体" w:eastAsia="宋体" w:cs="宋体"/>
          <w:color w:val="000000" w:themeColor="text1"/>
          <w:sz w:val="24"/>
          <w:szCs w:val="24"/>
          <w:highlight w:val="none"/>
          <w14:textFill>
            <w14:solidFill>
              <w14:schemeClr w14:val="tx1"/>
            </w14:solidFill>
          </w14:textFill>
        </w:rPr>
      </w:pPr>
    </w:p>
    <w:p w14:paraId="7C7363B6">
      <w:pPr>
        <w:pStyle w:val="27"/>
        <w:rPr>
          <w:rFonts w:hint="eastAsia" w:ascii="宋体" w:hAnsi="宋体" w:eastAsia="宋体" w:cs="宋体"/>
          <w:color w:val="000000" w:themeColor="text1"/>
          <w:sz w:val="24"/>
          <w:szCs w:val="24"/>
          <w:highlight w:val="none"/>
          <w14:textFill>
            <w14:solidFill>
              <w14:schemeClr w14:val="tx1"/>
            </w14:solidFill>
          </w14:textFill>
        </w:rPr>
      </w:pPr>
    </w:p>
    <w:p w14:paraId="2E8781D8">
      <w:pPr>
        <w:pStyle w:val="27"/>
        <w:rPr>
          <w:rFonts w:hint="eastAsia" w:ascii="宋体" w:hAnsi="宋体" w:eastAsia="宋体" w:cs="宋体"/>
          <w:color w:val="000000" w:themeColor="text1"/>
          <w:sz w:val="24"/>
          <w:szCs w:val="24"/>
          <w:highlight w:val="none"/>
          <w14:textFill>
            <w14:solidFill>
              <w14:schemeClr w14:val="tx1"/>
            </w14:solidFill>
          </w14:textFill>
        </w:rPr>
      </w:pPr>
    </w:p>
    <w:p w14:paraId="72B65318">
      <w:pPr>
        <w:pStyle w:val="2"/>
        <w:rPr>
          <w:rFonts w:hint="eastAsia" w:ascii="宋体" w:hAnsi="宋体" w:eastAsia="宋体" w:cs="宋体"/>
          <w:color w:val="000000" w:themeColor="text1"/>
          <w:sz w:val="24"/>
          <w:szCs w:val="24"/>
          <w:highlight w:val="none"/>
          <w14:textFill>
            <w14:solidFill>
              <w14:schemeClr w14:val="tx1"/>
            </w14:solidFill>
          </w14:textFill>
        </w:rPr>
      </w:pPr>
    </w:p>
    <w:p w14:paraId="73885A98">
      <w:pPr>
        <w:rPr>
          <w:rFonts w:hint="eastAsia" w:ascii="宋体" w:hAnsi="宋体" w:eastAsia="宋体" w:cs="宋体"/>
          <w:color w:val="000000" w:themeColor="text1"/>
          <w:sz w:val="24"/>
          <w:szCs w:val="24"/>
          <w:highlight w:val="none"/>
          <w14:textFill>
            <w14:solidFill>
              <w14:schemeClr w14:val="tx1"/>
            </w14:solidFill>
          </w14:textFill>
        </w:rPr>
      </w:pPr>
    </w:p>
    <w:p w14:paraId="2997AE06">
      <w:pPr>
        <w:pStyle w:val="2"/>
        <w:rPr>
          <w:rFonts w:hint="eastAsia" w:ascii="宋体" w:hAnsi="宋体" w:eastAsia="宋体" w:cs="宋体"/>
          <w:color w:val="000000" w:themeColor="text1"/>
          <w:sz w:val="24"/>
          <w:szCs w:val="24"/>
          <w:highlight w:val="none"/>
          <w14:textFill>
            <w14:solidFill>
              <w14:schemeClr w14:val="tx1"/>
            </w14:solidFill>
          </w14:textFill>
        </w:rPr>
      </w:pPr>
    </w:p>
    <w:p w14:paraId="06230D67">
      <w:pPr>
        <w:rPr>
          <w:rFonts w:hint="eastAsia" w:ascii="宋体" w:hAnsi="宋体" w:eastAsia="宋体" w:cs="宋体"/>
          <w:color w:val="000000" w:themeColor="text1"/>
          <w:sz w:val="24"/>
          <w:szCs w:val="24"/>
          <w:highlight w:val="none"/>
          <w14:textFill>
            <w14:solidFill>
              <w14:schemeClr w14:val="tx1"/>
            </w14:solidFill>
          </w14:textFill>
        </w:rPr>
      </w:pPr>
    </w:p>
    <w:p w14:paraId="4C58BE2A">
      <w:pPr>
        <w:pStyle w:val="2"/>
        <w:rPr>
          <w:rFonts w:hint="eastAsia" w:ascii="宋体" w:hAnsi="宋体" w:eastAsia="宋体" w:cs="宋体"/>
          <w:color w:val="000000" w:themeColor="text1"/>
          <w:sz w:val="24"/>
          <w:szCs w:val="24"/>
          <w:highlight w:val="none"/>
          <w14:textFill>
            <w14:solidFill>
              <w14:schemeClr w14:val="tx1"/>
            </w14:solidFill>
          </w14:textFill>
        </w:rPr>
      </w:pPr>
    </w:p>
    <w:p w14:paraId="2F35781D">
      <w:pPr>
        <w:rPr>
          <w:rFonts w:hint="eastAsia" w:ascii="宋体" w:hAnsi="宋体" w:eastAsia="宋体" w:cs="宋体"/>
          <w:color w:val="000000" w:themeColor="text1"/>
          <w:sz w:val="24"/>
          <w:szCs w:val="24"/>
          <w:highlight w:val="none"/>
          <w14:textFill>
            <w14:solidFill>
              <w14:schemeClr w14:val="tx1"/>
            </w14:solidFill>
          </w14:textFill>
        </w:rPr>
      </w:pPr>
    </w:p>
    <w:p w14:paraId="0901CCA4">
      <w:pPr>
        <w:pStyle w:val="2"/>
        <w:rPr>
          <w:rFonts w:hint="eastAsia" w:ascii="宋体" w:hAnsi="宋体" w:eastAsia="宋体" w:cs="宋体"/>
          <w:color w:val="000000" w:themeColor="text1"/>
          <w:sz w:val="24"/>
          <w:szCs w:val="24"/>
          <w:highlight w:val="none"/>
          <w14:textFill>
            <w14:solidFill>
              <w14:schemeClr w14:val="tx1"/>
            </w14:solidFill>
          </w14:textFill>
        </w:rPr>
      </w:pPr>
    </w:p>
    <w:p w14:paraId="207676D5">
      <w:pPr>
        <w:rPr>
          <w:rFonts w:hint="eastAsia" w:ascii="宋体" w:hAnsi="宋体" w:eastAsia="宋体" w:cs="宋体"/>
          <w:color w:val="000000" w:themeColor="text1"/>
          <w:sz w:val="24"/>
          <w:szCs w:val="24"/>
          <w:highlight w:val="none"/>
          <w14:textFill>
            <w14:solidFill>
              <w14:schemeClr w14:val="tx1"/>
            </w14:solidFill>
          </w14:textFill>
        </w:rPr>
      </w:pPr>
    </w:p>
    <w:p w14:paraId="19B366D7">
      <w:pPr>
        <w:pStyle w:val="2"/>
        <w:rPr>
          <w:rFonts w:hint="eastAsia" w:ascii="宋体" w:hAnsi="宋体" w:eastAsia="宋体" w:cs="宋体"/>
          <w:color w:val="000000" w:themeColor="text1"/>
          <w:sz w:val="24"/>
          <w:szCs w:val="24"/>
          <w:highlight w:val="none"/>
          <w14:textFill>
            <w14:solidFill>
              <w14:schemeClr w14:val="tx1"/>
            </w14:solidFill>
          </w14:textFill>
        </w:rPr>
      </w:pPr>
    </w:p>
    <w:p w14:paraId="1D9ED303">
      <w:pPr>
        <w:pStyle w:val="2"/>
        <w:rPr>
          <w:rFonts w:hint="eastAsia" w:ascii="宋体" w:hAnsi="宋体" w:eastAsia="宋体" w:cs="宋体"/>
          <w:color w:val="000000" w:themeColor="text1"/>
          <w:sz w:val="24"/>
          <w:szCs w:val="24"/>
          <w:highlight w:val="none"/>
          <w14:textFill>
            <w14:solidFill>
              <w14:schemeClr w14:val="tx1"/>
            </w14:solidFill>
          </w14:textFill>
        </w:rPr>
      </w:pPr>
    </w:p>
    <w:p w14:paraId="3F0134EA">
      <w:pPr>
        <w:numPr>
          <w:ilvl w:val="0"/>
          <w:numId w:val="0"/>
        </w:numPr>
        <w:spacing w:line="400" w:lineRule="exact"/>
        <w:rPr>
          <w:rFonts w:hint="eastAsia" w:ascii="宋体" w:hAnsi="宋体" w:eastAsia="宋体" w:cs="宋体"/>
          <w:b/>
          <w:bCs/>
          <w:color w:val="000000" w:themeColor="text1"/>
          <w:sz w:val="24"/>
          <w:szCs w:val="24"/>
          <w:highlight w:val="none"/>
          <w14:textFill>
            <w14:solidFill>
              <w14:schemeClr w14:val="tx1"/>
            </w14:solidFill>
          </w14:textFill>
        </w:rPr>
      </w:pPr>
      <w:bookmarkStart w:id="233" w:name="_Toc17617"/>
      <w:bookmarkStart w:id="234" w:name="_Toc12920"/>
      <w:bookmarkStart w:id="235" w:name="_Toc497927072"/>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响应函（格式见附件）（必须提供）</w:t>
      </w:r>
      <w:bookmarkEnd w:id="233"/>
      <w:bookmarkEnd w:id="234"/>
      <w:bookmarkEnd w:id="235"/>
    </w:p>
    <w:p w14:paraId="56A07083">
      <w:pPr>
        <w:pStyle w:val="27"/>
        <w:rPr>
          <w:rFonts w:hint="eastAsia" w:ascii="宋体" w:hAnsi="宋体" w:eastAsia="宋体" w:cs="宋体"/>
          <w:color w:val="000000" w:themeColor="text1"/>
          <w:sz w:val="24"/>
          <w:szCs w:val="24"/>
          <w:highlight w:val="none"/>
          <w14:textFill>
            <w14:solidFill>
              <w14:schemeClr w14:val="tx1"/>
            </w14:solidFill>
          </w14:textFill>
        </w:rPr>
      </w:pPr>
    </w:p>
    <w:p w14:paraId="30ACE024">
      <w:pPr>
        <w:pStyle w:val="1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w:t>
      </w:r>
    </w:p>
    <w:p w14:paraId="41A3804B">
      <w:pPr>
        <w:pStyle w:val="11"/>
        <w:ind w:firstLine="527" w:firstLineChars="250"/>
        <w:jc w:val="center"/>
        <w:rPr>
          <w:rFonts w:hint="eastAsia" w:ascii="宋体" w:hAnsi="宋体" w:eastAsia="宋体" w:cs="宋体"/>
          <w:b/>
          <w:color w:val="000000" w:themeColor="text1"/>
          <w:sz w:val="21"/>
          <w:szCs w:val="21"/>
          <w:highlight w:val="none"/>
          <w14:textFill>
            <w14:solidFill>
              <w14:schemeClr w14:val="tx1"/>
            </w14:solidFill>
          </w14:textFill>
        </w:rPr>
      </w:pPr>
      <w:bookmarkStart w:id="236" w:name="_Toc7273_WPSOffice_Level1"/>
      <w:bookmarkStart w:id="237" w:name="_Toc17832_WPSOffice_Level1"/>
      <w:r>
        <w:rPr>
          <w:rFonts w:hint="eastAsia" w:ascii="宋体" w:hAnsi="宋体" w:eastAsia="宋体" w:cs="宋体"/>
          <w:b/>
          <w:color w:val="000000" w:themeColor="text1"/>
          <w:sz w:val="21"/>
          <w:szCs w:val="21"/>
          <w:highlight w:val="none"/>
          <w14:textFill>
            <w14:solidFill>
              <w14:schemeClr w14:val="tx1"/>
            </w14:solidFill>
          </w14:textFill>
        </w:rPr>
        <w:t>响应函（格式）</w:t>
      </w:r>
      <w:bookmarkEnd w:id="236"/>
      <w:bookmarkEnd w:id="237"/>
    </w:p>
    <w:p w14:paraId="01E7E757">
      <w:pPr>
        <w:pStyle w:val="2"/>
        <w:keepNext w:val="0"/>
        <w:keepLines w:val="0"/>
        <w:pageBreakBefore w:val="0"/>
        <w:widowControl w:val="0"/>
        <w:kinsoku/>
        <w:wordWrap/>
        <w:overflowPunct/>
        <w:topLinePunct w:val="0"/>
        <w:autoSpaceDE/>
        <w:autoSpaceDN/>
        <w:bidi w:val="0"/>
        <w:adjustRightInd/>
        <w:snapToGrid/>
        <w:spacing w:before="71" w:line="400" w:lineRule="exact"/>
        <w:ind w:left="12" w:firstLine="468"/>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根据贵方</w:t>
      </w:r>
      <w:r>
        <w:rPr>
          <w:rFonts w:hint="eastAsia" w:ascii="宋体" w:hAnsi="宋体" w:eastAsia="宋体" w:cs="宋体"/>
          <w:color w:val="000000" w:themeColor="text1"/>
          <w:spacing w:val="11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（项目名称）</w:t>
      </w:r>
      <w:r>
        <w:rPr>
          <w:rFonts w:hint="eastAsia" w:ascii="宋体" w:hAnsi="宋体" w:eastAsia="宋体" w:cs="宋体"/>
          <w:color w:val="000000" w:themeColor="text1"/>
          <w:spacing w:val="10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0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项目磋商文件，项</w:t>
      </w:r>
      <w:r>
        <w:rPr>
          <w:rFonts w:hint="eastAsia" w:ascii="宋体" w:hAnsi="宋体" w:eastAsia="宋体" w:cs="宋体"/>
          <w:color w:val="000000" w:themeColor="text1"/>
          <w:spacing w:val="-11"/>
          <w:sz w:val="21"/>
          <w:szCs w:val="21"/>
          <w:highlight w:val="none"/>
          <w14:textFill>
            <w14:solidFill>
              <w14:schemeClr w14:val="tx1"/>
            </w14:solidFill>
          </w14:textFill>
        </w:rPr>
        <w:t>目</w:t>
      </w:r>
      <w:r>
        <w:rPr>
          <w:rFonts w:hint="eastAsia" w:ascii="宋体" w:hAnsi="宋体" w:eastAsia="宋体" w:cs="宋体"/>
          <w:color w:val="000000" w:themeColor="text1"/>
          <w:spacing w:val="-5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编</w:t>
      </w:r>
      <w:r>
        <w:rPr>
          <w:rFonts w:hint="eastAsia" w:ascii="宋体" w:hAnsi="宋体" w:eastAsia="宋体" w:cs="宋体"/>
          <w:color w:val="000000" w:themeColor="text1"/>
          <w:spacing w:val="-6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号</w:t>
      </w:r>
      <w:r>
        <w:rPr>
          <w:rFonts w:hint="eastAsia" w:ascii="宋体" w:hAnsi="宋体" w:eastAsia="宋体" w:cs="宋体"/>
          <w:color w:val="000000" w:themeColor="text1"/>
          <w:spacing w:val="-7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w:t>
      </w:r>
      <w:r>
        <w:rPr>
          <w:rFonts w:hint="eastAsia" w:ascii="宋体" w:hAnsi="宋体" w:eastAsia="宋体" w:cs="宋体"/>
          <w:color w:val="000000" w:themeColor="text1"/>
          <w:spacing w:val="-6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签</w:t>
      </w:r>
      <w:r>
        <w:rPr>
          <w:rFonts w:hint="eastAsia" w:ascii="宋体" w:hAnsi="宋体" w:eastAsia="宋体" w:cs="宋体"/>
          <w:color w:val="000000" w:themeColor="text1"/>
          <w:spacing w:val="-6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字</w:t>
      </w:r>
      <w:r>
        <w:rPr>
          <w:rFonts w:hint="eastAsia" w:ascii="宋体" w:hAnsi="宋体" w:eastAsia="宋体" w:cs="宋体"/>
          <w:color w:val="000000" w:themeColor="text1"/>
          <w:spacing w:val="-6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代</w:t>
      </w:r>
      <w:r>
        <w:rPr>
          <w:rFonts w:hint="eastAsia" w:ascii="宋体" w:hAnsi="宋体" w:eastAsia="宋体" w:cs="宋体"/>
          <w:color w:val="000000" w:themeColor="text1"/>
          <w:spacing w:val="-6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表</w:t>
      </w:r>
      <w:r>
        <w:rPr>
          <w:rFonts w:hint="eastAsia" w:ascii="宋体" w:hAnsi="宋体" w:eastAsia="宋体" w:cs="宋体"/>
          <w:color w:val="000000" w:themeColor="text1"/>
          <w:spacing w:val="-7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（姓</w:t>
      </w:r>
      <w:r>
        <w:rPr>
          <w:rFonts w:hint="eastAsia" w:ascii="宋体" w:hAnsi="宋体" w:eastAsia="宋体" w:cs="宋体"/>
          <w:color w:val="000000" w:themeColor="text1"/>
          <w:spacing w:val="-6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名</w:t>
      </w:r>
      <w:r>
        <w:rPr>
          <w:rFonts w:hint="eastAsia" w:ascii="宋体" w:hAnsi="宋体" w:eastAsia="宋体" w:cs="宋体"/>
          <w:color w:val="000000" w:themeColor="text1"/>
          <w:spacing w:val="-4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w:t>
      </w:r>
      <w:r>
        <w:rPr>
          <w:rFonts w:hint="eastAsia" w:ascii="宋体" w:hAnsi="宋体" w:eastAsia="宋体" w:cs="宋体"/>
          <w:color w:val="000000" w:themeColor="text1"/>
          <w:spacing w:val="-6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经</w:t>
      </w:r>
      <w:r>
        <w:rPr>
          <w:rFonts w:hint="eastAsia" w:ascii="宋体" w:hAnsi="宋体" w:eastAsia="宋体" w:cs="宋体"/>
          <w:color w:val="000000" w:themeColor="text1"/>
          <w:spacing w:val="-6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正</w:t>
      </w:r>
      <w:r>
        <w:rPr>
          <w:rFonts w:hint="eastAsia" w:ascii="宋体" w:hAnsi="宋体" w:eastAsia="宋体" w:cs="宋体"/>
          <w:color w:val="000000" w:themeColor="text1"/>
          <w:spacing w:val="-6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式</w:t>
      </w:r>
      <w:r>
        <w:rPr>
          <w:rFonts w:hint="eastAsia" w:ascii="宋体" w:hAnsi="宋体" w:eastAsia="宋体" w:cs="宋体"/>
          <w:color w:val="000000" w:themeColor="text1"/>
          <w:spacing w:val="-6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授</w:t>
      </w:r>
      <w:r>
        <w:rPr>
          <w:rFonts w:hint="eastAsia" w:ascii="宋体" w:hAnsi="宋体" w:eastAsia="宋体" w:cs="宋体"/>
          <w:color w:val="000000" w:themeColor="text1"/>
          <w:spacing w:val="-7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权</w:t>
      </w:r>
      <w:r>
        <w:rPr>
          <w:rFonts w:hint="eastAsia" w:ascii="宋体" w:hAnsi="宋体" w:eastAsia="宋体" w:cs="宋体"/>
          <w:color w:val="000000" w:themeColor="text1"/>
          <w:spacing w:val="-6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并</w:t>
      </w:r>
      <w:r>
        <w:rPr>
          <w:rFonts w:hint="eastAsia" w:ascii="宋体" w:hAnsi="宋体" w:eastAsia="宋体" w:cs="宋体"/>
          <w:color w:val="000000" w:themeColor="text1"/>
          <w:spacing w:val="-6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代</w:t>
      </w:r>
      <w:r>
        <w:rPr>
          <w:rFonts w:hint="eastAsia" w:ascii="宋体" w:hAnsi="宋体" w:eastAsia="宋体" w:cs="宋体"/>
          <w:color w:val="000000" w:themeColor="text1"/>
          <w:spacing w:val="-7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表</w:t>
      </w:r>
      <w:r>
        <w:rPr>
          <w:rFonts w:hint="eastAsia" w:ascii="宋体" w:hAnsi="宋体" w:eastAsia="宋体" w:cs="宋体"/>
          <w:color w:val="000000" w:themeColor="text1"/>
          <w:spacing w:val="-6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供</w:t>
      </w:r>
      <w:r>
        <w:rPr>
          <w:rFonts w:hint="eastAsia" w:ascii="宋体" w:hAnsi="宋体" w:eastAsia="宋体" w:cs="宋体"/>
          <w:color w:val="000000" w:themeColor="text1"/>
          <w:spacing w:val="-7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应</w:t>
      </w:r>
      <w:r>
        <w:rPr>
          <w:rFonts w:hint="eastAsia" w:ascii="宋体" w:hAnsi="宋体" w:eastAsia="宋体" w:cs="宋体"/>
          <w:color w:val="000000" w:themeColor="text1"/>
          <w:spacing w:val="-6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商</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（供应商单位名称</w:t>
      </w:r>
      <w:r>
        <w:rPr>
          <w:rFonts w:hint="eastAsia" w:ascii="宋体" w:hAnsi="宋体" w:eastAsia="宋体" w:cs="宋体"/>
          <w:color w:val="000000" w:themeColor="text1"/>
          <w:spacing w:val="6"/>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14:textFill>
            <w14:solidFill>
              <w14:schemeClr w14:val="tx1"/>
            </w14:solidFill>
          </w14:textFill>
        </w:rPr>
        <w:t>提交电子响应文件。</w:t>
      </w:r>
    </w:p>
    <w:p w14:paraId="37325CDC">
      <w:pPr>
        <w:pStyle w:val="2"/>
        <w:keepNext w:val="0"/>
        <w:keepLines w:val="0"/>
        <w:pageBreakBefore w:val="0"/>
        <w:widowControl w:val="0"/>
        <w:kinsoku/>
        <w:wordWrap/>
        <w:overflowPunct/>
        <w:topLinePunct w:val="0"/>
        <w:autoSpaceDE/>
        <w:autoSpaceDN/>
        <w:bidi w:val="0"/>
        <w:adjustRightInd/>
        <w:snapToGrid/>
        <w:spacing w:before="75" w:line="400" w:lineRule="exact"/>
        <w:ind w:left="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据此函，签字代表宣布同意如下：</w:t>
      </w:r>
    </w:p>
    <w:p w14:paraId="26014ADC">
      <w:pPr>
        <w:pStyle w:val="2"/>
        <w:keepNext w:val="0"/>
        <w:keepLines w:val="0"/>
        <w:pageBreakBefore w:val="0"/>
        <w:widowControl w:val="0"/>
        <w:tabs>
          <w:tab w:val="left" w:pos="126"/>
        </w:tabs>
        <w:kinsoku/>
        <w:wordWrap/>
        <w:overflowPunct/>
        <w:topLinePunct w:val="0"/>
        <w:autoSpaceDE/>
        <w:autoSpaceDN/>
        <w:bidi w:val="0"/>
        <w:adjustRightInd/>
        <w:snapToGrid/>
        <w:spacing w:before="75" w:line="400" w:lineRule="exact"/>
        <w:ind w:left="6" w:firstLine="49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1.我方已仔细研究磋商文件的全部内容，愿意以人民币（大写）</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8"/>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pacing w:val="1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pacing w:val="4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的磋商报价（或根据磋商文件规定修正核实后确定的另一金额</w:t>
      </w:r>
      <w:r>
        <w:rPr>
          <w:rFonts w:hint="eastAsia" w:ascii="宋体" w:hAnsi="宋体" w:eastAsia="宋体" w:cs="宋体"/>
          <w:color w:val="000000" w:themeColor="text1"/>
          <w:spacing w:val="13"/>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按合同</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约定实施和完成承包工程，修补工程中的任何缺陷。</w:t>
      </w:r>
    </w:p>
    <w:p w14:paraId="0F7949AA">
      <w:pPr>
        <w:pStyle w:val="2"/>
        <w:keepNext w:val="0"/>
        <w:keepLines w:val="0"/>
        <w:pageBreakBefore w:val="0"/>
        <w:widowControl w:val="0"/>
        <w:kinsoku/>
        <w:wordWrap/>
        <w:overflowPunct/>
        <w:topLinePunct w:val="0"/>
        <w:autoSpaceDE/>
        <w:autoSpaceDN/>
        <w:bidi w:val="0"/>
        <w:adjustRightInd/>
        <w:snapToGrid/>
        <w:spacing w:before="75" w:line="400" w:lineRule="exact"/>
        <w:ind w:left="483"/>
        <w:textAlignment w:val="auto"/>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2.工程质量</w:t>
      </w:r>
      <w:r>
        <w:rPr>
          <w:rFonts w:hint="eastAsia" w:ascii="宋体" w:hAnsi="宋体" w:eastAsia="宋体" w:cs="宋体"/>
          <w:color w:val="000000" w:themeColor="text1"/>
          <w:spacing w:val="-8"/>
          <w:sz w:val="21"/>
          <w:szCs w:val="21"/>
          <w:highlight w:val="none"/>
          <w14:textFill>
            <w14:solidFill>
              <w14:schemeClr w14:val="tx1"/>
            </w14:solidFill>
          </w14:textFill>
        </w:rPr>
        <w:t>：</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8"/>
          <w:sz w:val="21"/>
          <w:szCs w:val="21"/>
          <w:highlight w:val="none"/>
          <w14:textFill>
            <w14:solidFill>
              <w14:schemeClr w14:val="tx1"/>
            </w14:solidFill>
          </w14:textFill>
        </w:rPr>
        <w:t>，</w:t>
      </w:r>
    </w:p>
    <w:p w14:paraId="729762E9">
      <w:pPr>
        <w:pStyle w:val="2"/>
        <w:keepNext w:val="0"/>
        <w:keepLines w:val="0"/>
        <w:pageBreakBefore w:val="0"/>
        <w:widowControl w:val="0"/>
        <w:kinsoku/>
        <w:wordWrap/>
        <w:overflowPunct/>
        <w:topLinePunct w:val="0"/>
        <w:autoSpaceDE/>
        <w:autoSpaceDN/>
        <w:bidi w:val="0"/>
        <w:adjustRightInd/>
        <w:snapToGrid/>
        <w:spacing w:before="75" w:line="400" w:lineRule="exact"/>
        <w:ind w:left="483"/>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6"/>
          <w:sz w:val="21"/>
          <w:szCs w:val="21"/>
          <w:highlight w:val="none"/>
          <w14:textFill>
            <w14:solidFill>
              <w14:schemeClr w14:val="tx1"/>
            </w14:solidFill>
          </w14:textFill>
        </w:rPr>
        <w:t>工期：</w:t>
      </w:r>
      <w:r>
        <w:rPr>
          <w:rFonts w:hint="eastAsia" w:ascii="宋体" w:hAnsi="宋体" w:eastAsia="宋体" w:cs="宋体"/>
          <w:color w:val="000000" w:themeColor="text1"/>
          <w:spacing w:val="1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0"/>
          <w:sz w:val="21"/>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1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日历天。</w:t>
      </w:r>
    </w:p>
    <w:p w14:paraId="76D795AC">
      <w:pPr>
        <w:pStyle w:val="2"/>
        <w:keepNext w:val="0"/>
        <w:keepLines w:val="0"/>
        <w:pageBreakBefore w:val="0"/>
        <w:widowControl w:val="0"/>
        <w:kinsoku/>
        <w:wordWrap/>
        <w:overflowPunct/>
        <w:topLinePunct w:val="0"/>
        <w:autoSpaceDE/>
        <w:autoSpaceDN/>
        <w:bidi w:val="0"/>
        <w:adjustRightInd/>
        <w:snapToGrid/>
        <w:spacing w:before="73" w:line="400" w:lineRule="exact"/>
        <w:ind w:left="48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pacing w:val="-1"/>
          <w:sz w:val="21"/>
          <w:szCs w:val="21"/>
          <w:highlight w:val="none"/>
          <w14:textFill>
            <w14:solidFill>
              <w14:schemeClr w14:val="tx1"/>
            </w14:solidFill>
          </w14:textFill>
        </w:rPr>
        <w:t>.我方承诺已具备磋商文件规定的供应商资格条件。</w:t>
      </w:r>
    </w:p>
    <w:p w14:paraId="39FE4029">
      <w:pPr>
        <w:pStyle w:val="2"/>
        <w:keepNext w:val="0"/>
        <w:keepLines w:val="0"/>
        <w:pageBreakBefore w:val="0"/>
        <w:widowControl w:val="0"/>
        <w:kinsoku/>
        <w:wordWrap/>
        <w:overflowPunct/>
        <w:topLinePunct w:val="0"/>
        <w:autoSpaceDE/>
        <w:autoSpaceDN/>
        <w:bidi w:val="0"/>
        <w:adjustRightInd/>
        <w:snapToGrid/>
        <w:spacing w:before="76" w:line="400" w:lineRule="exact"/>
        <w:ind w:left="19" w:firstLine="46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2"/>
          <w:sz w:val="21"/>
          <w:szCs w:val="21"/>
          <w:highlight w:val="none"/>
          <w14:textFill>
            <w14:solidFill>
              <w14:schemeClr w14:val="tx1"/>
            </w14:solidFill>
          </w14:textFill>
        </w:rPr>
        <w:t>.我方已详细审核磋商文件，包括修改文件（如有的话）和有关附件</w:t>
      </w:r>
      <w:r>
        <w:rPr>
          <w:rFonts w:hint="eastAsia" w:ascii="宋体" w:hAnsi="宋体" w:eastAsia="宋体" w:cs="宋体"/>
          <w:color w:val="000000" w:themeColor="text1"/>
          <w:spacing w:val="-3"/>
          <w:sz w:val="21"/>
          <w:szCs w:val="21"/>
          <w:highlight w:val="none"/>
          <w14:textFill>
            <w14:solidFill>
              <w14:schemeClr w14:val="tx1"/>
            </w14:solidFill>
          </w14:textFill>
        </w:rPr>
        <w:t>，将自行承担</w:t>
      </w:r>
      <w:r>
        <w:rPr>
          <w:rFonts w:hint="eastAsia" w:ascii="宋体" w:hAnsi="宋体" w:eastAsia="宋体" w:cs="宋体"/>
          <w:color w:val="000000" w:themeColor="text1"/>
          <w:spacing w:val="-1"/>
          <w:sz w:val="21"/>
          <w:szCs w:val="21"/>
          <w:highlight w:val="none"/>
          <w14:textFill>
            <w14:solidFill>
              <w14:schemeClr w14:val="tx1"/>
            </w14:solidFill>
          </w14:textFill>
        </w:rPr>
        <w:t>因对全部磋商文件理解不正确或误解而产生的</w:t>
      </w:r>
      <w:r>
        <w:rPr>
          <w:rFonts w:hint="eastAsia" w:ascii="宋体" w:hAnsi="宋体" w:eastAsia="宋体" w:cs="宋体"/>
          <w:color w:val="000000" w:themeColor="text1"/>
          <w:spacing w:val="-2"/>
          <w:sz w:val="21"/>
          <w:szCs w:val="21"/>
          <w:highlight w:val="none"/>
          <w14:textFill>
            <w14:solidFill>
              <w14:schemeClr w14:val="tx1"/>
            </w14:solidFill>
          </w14:textFill>
        </w:rPr>
        <w:t>相应后果。</w:t>
      </w:r>
    </w:p>
    <w:p w14:paraId="32391C09">
      <w:pPr>
        <w:pStyle w:val="2"/>
        <w:keepNext w:val="0"/>
        <w:keepLines w:val="0"/>
        <w:pageBreakBefore w:val="0"/>
        <w:widowControl w:val="0"/>
        <w:kinsoku/>
        <w:wordWrap/>
        <w:overflowPunct/>
        <w:topLinePunct w:val="0"/>
        <w:autoSpaceDE/>
        <w:autoSpaceDN/>
        <w:bidi w:val="0"/>
        <w:adjustRightInd/>
        <w:snapToGrid/>
        <w:spacing w:before="75" w:line="400" w:lineRule="exact"/>
        <w:ind w:left="48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position w:val="8"/>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pacing w:val="-2"/>
          <w:position w:val="8"/>
          <w:sz w:val="21"/>
          <w:szCs w:val="21"/>
          <w:highlight w:val="none"/>
          <w14:textFill>
            <w14:solidFill>
              <w14:schemeClr w14:val="tx1"/>
            </w14:solidFill>
          </w14:textFill>
        </w:rPr>
        <w:t>.响应文件有效期为响应文件递交截止时间之日起</w:t>
      </w:r>
      <w:r>
        <w:rPr>
          <w:rFonts w:hint="eastAsia" w:ascii="宋体" w:hAnsi="宋体" w:eastAsia="宋体" w:cs="宋体"/>
          <w:color w:val="000000" w:themeColor="text1"/>
          <w:spacing w:val="-36"/>
          <w:position w:val="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position w:val="8"/>
          <w:sz w:val="21"/>
          <w:szCs w:val="21"/>
          <w:highlight w:val="none"/>
          <w14:textFill>
            <w14:solidFill>
              <w14:schemeClr w14:val="tx1"/>
            </w14:solidFill>
          </w14:textFill>
        </w:rPr>
        <w:t>90</w:t>
      </w:r>
      <w:r>
        <w:rPr>
          <w:rFonts w:hint="eastAsia" w:ascii="宋体" w:hAnsi="宋体" w:eastAsia="宋体" w:cs="宋体"/>
          <w:color w:val="000000" w:themeColor="text1"/>
          <w:spacing w:val="-46"/>
          <w:position w:val="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position w:val="8"/>
          <w:sz w:val="21"/>
          <w:szCs w:val="21"/>
          <w:highlight w:val="none"/>
          <w14:textFill>
            <w14:solidFill>
              <w14:schemeClr w14:val="tx1"/>
            </w14:solidFill>
          </w14:textFill>
        </w:rPr>
        <w:t>天。</w:t>
      </w:r>
    </w:p>
    <w:p w14:paraId="739783D3">
      <w:pPr>
        <w:pStyle w:val="2"/>
        <w:keepNext w:val="0"/>
        <w:keepLines w:val="0"/>
        <w:pageBreakBefore w:val="0"/>
        <w:widowControl w:val="0"/>
        <w:kinsoku/>
        <w:wordWrap/>
        <w:overflowPunct/>
        <w:topLinePunct w:val="0"/>
        <w:autoSpaceDE/>
        <w:autoSpaceDN/>
        <w:bidi w:val="0"/>
        <w:adjustRightInd/>
        <w:snapToGrid/>
        <w:spacing w:line="400" w:lineRule="exact"/>
        <w:ind w:left="48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pacing w:val="-2"/>
          <w:sz w:val="21"/>
          <w:szCs w:val="21"/>
          <w:highlight w:val="none"/>
          <w14:textFill>
            <w14:solidFill>
              <w14:schemeClr w14:val="tx1"/>
            </w14:solidFill>
          </w14:textFill>
        </w:rPr>
        <w:t>.如我方成交：</w:t>
      </w:r>
    </w:p>
    <w:p w14:paraId="511FAC51">
      <w:pPr>
        <w:pStyle w:val="2"/>
        <w:keepNext w:val="0"/>
        <w:keepLines w:val="0"/>
        <w:pageBreakBefore w:val="0"/>
        <w:widowControl w:val="0"/>
        <w:kinsoku/>
        <w:wordWrap/>
        <w:overflowPunct/>
        <w:topLinePunct w:val="0"/>
        <w:autoSpaceDE/>
        <w:autoSpaceDN/>
        <w:bidi w:val="0"/>
        <w:adjustRightInd/>
        <w:snapToGrid/>
        <w:spacing w:before="75" w:line="400" w:lineRule="exact"/>
        <w:ind w:left="24" w:firstLine="467"/>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（1）我方承诺在收到成交通知书后，在成交通知书规定的期限</w:t>
      </w:r>
      <w:r>
        <w:rPr>
          <w:rFonts w:hint="eastAsia" w:ascii="宋体" w:hAnsi="宋体" w:eastAsia="宋体" w:cs="宋体"/>
          <w:color w:val="000000" w:themeColor="text1"/>
          <w:sz w:val="21"/>
          <w:szCs w:val="21"/>
          <w:highlight w:val="none"/>
          <w14:textFill>
            <w14:solidFill>
              <w14:schemeClr w14:val="tx1"/>
            </w14:solidFill>
          </w14:textFill>
        </w:rPr>
        <w:t>内与采购人签订合</w:t>
      </w:r>
      <w:r>
        <w:rPr>
          <w:rFonts w:hint="eastAsia" w:ascii="宋体" w:hAnsi="宋体" w:eastAsia="宋体" w:cs="宋体"/>
          <w:color w:val="000000" w:themeColor="text1"/>
          <w:spacing w:val="-17"/>
          <w:sz w:val="21"/>
          <w:szCs w:val="21"/>
          <w:highlight w:val="none"/>
          <w14:textFill>
            <w14:solidFill>
              <w14:schemeClr w14:val="tx1"/>
            </w14:solidFill>
          </w14:textFill>
        </w:rPr>
        <w:t>同。</w:t>
      </w:r>
    </w:p>
    <w:p w14:paraId="1DF429CB">
      <w:pPr>
        <w:pStyle w:val="2"/>
        <w:keepNext w:val="0"/>
        <w:keepLines w:val="0"/>
        <w:pageBreakBefore w:val="0"/>
        <w:widowControl w:val="0"/>
        <w:kinsoku/>
        <w:wordWrap/>
        <w:overflowPunct/>
        <w:topLinePunct w:val="0"/>
        <w:autoSpaceDE/>
        <w:autoSpaceDN/>
        <w:bidi w:val="0"/>
        <w:adjustRightInd/>
        <w:snapToGrid/>
        <w:spacing w:before="72" w:line="400" w:lineRule="exact"/>
        <w:ind w:left="49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（2）我方承诺按照磋商文件规定递交履约担保。</w:t>
      </w:r>
    </w:p>
    <w:p w14:paraId="4BB5C159">
      <w:pPr>
        <w:pStyle w:val="2"/>
        <w:keepNext w:val="0"/>
        <w:keepLines w:val="0"/>
        <w:pageBreakBefore w:val="0"/>
        <w:widowControl w:val="0"/>
        <w:kinsoku/>
        <w:wordWrap/>
        <w:overflowPunct/>
        <w:topLinePunct w:val="0"/>
        <w:autoSpaceDE/>
        <w:autoSpaceDN/>
        <w:bidi w:val="0"/>
        <w:adjustRightInd/>
        <w:snapToGrid/>
        <w:spacing w:before="75" w:line="400" w:lineRule="exact"/>
        <w:ind w:firstLine="49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（3）我方承诺本响应文件至本项目合同履行完毕止均保持有效</w:t>
      </w:r>
      <w:r>
        <w:rPr>
          <w:rFonts w:hint="eastAsia" w:ascii="宋体" w:hAnsi="宋体" w:eastAsia="宋体" w:cs="宋体"/>
          <w:color w:val="000000" w:themeColor="text1"/>
          <w:sz w:val="21"/>
          <w:szCs w:val="21"/>
          <w:highlight w:val="none"/>
          <w14:textFill>
            <w14:solidFill>
              <w14:schemeClr w14:val="tx1"/>
            </w14:solidFill>
          </w14:textFill>
        </w:rPr>
        <w:t>，按磋商文件及政</w:t>
      </w:r>
      <w:r>
        <w:rPr>
          <w:rFonts w:hint="eastAsia" w:ascii="宋体" w:hAnsi="宋体" w:eastAsia="宋体" w:cs="宋体"/>
          <w:color w:val="000000" w:themeColor="text1"/>
          <w:spacing w:val="-1"/>
          <w:sz w:val="21"/>
          <w:szCs w:val="21"/>
          <w:highlight w:val="none"/>
          <w14:textFill>
            <w14:solidFill>
              <w14:schemeClr w14:val="tx1"/>
            </w14:solidFill>
          </w14:textFill>
        </w:rPr>
        <w:t>府采购法律、法规的规定履行合同责任和义务。</w:t>
      </w:r>
    </w:p>
    <w:p w14:paraId="198290BD">
      <w:pPr>
        <w:pStyle w:val="2"/>
        <w:spacing w:before="78" w:line="219" w:lineRule="auto"/>
        <w:ind w:left="485"/>
        <w:rPr>
          <w:rFonts w:hint="eastAsia" w:ascii="宋体" w:hAnsi="宋体" w:eastAsia="宋体" w:cs="宋体"/>
          <w:color w:val="000000" w:themeColor="text1"/>
          <w:spacing w:val="-1"/>
          <w:sz w:val="21"/>
          <w:szCs w:val="21"/>
          <w:highlight w:val="none"/>
          <w14:textFill>
            <w14:solidFill>
              <w14:schemeClr w14:val="tx1"/>
            </w14:solidFill>
          </w14:textFill>
        </w:rPr>
      </w:pPr>
    </w:p>
    <w:p w14:paraId="1A852CE8">
      <w:pPr>
        <w:pStyle w:val="2"/>
        <w:spacing w:before="78" w:line="219" w:lineRule="auto"/>
        <w:ind w:left="48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与本项目有关的正式通讯地址为：</w:t>
      </w:r>
    </w:p>
    <w:p w14:paraId="287C0846">
      <w:pPr>
        <w:pStyle w:val="2"/>
        <w:spacing w:before="76" w:line="219" w:lineRule="auto"/>
        <w:ind w:left="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地址：</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邮编：</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邮箱：</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 xml:space="preserve">      </w:t>
      </w:r>
    </w:p>
    <w:p w14:paraId="2D564305">
      <w:pPr>
        <w:pStyle w:val="2"/>
        <w:spacing w:before="75" w:line="277" w:lineRule="auto"/>
        <w:ind w:left="48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办公电话：</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传真：</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315F9490">
      <w:pPr>
        <w:pStyle w:val="2"/>
        <w:spacing w:line="219" w:lineRule="auto"/>
        <w:ind w:left="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委托代理人联系电话：</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cs="宋体"/>
          <w:color w:val="000000" w:themeColor="text1"/>
          <w:sz w:val="21"/>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3BA89864">
      <w:pPr>
        <w:pStyle w:val="2"/>
        <w:spacing w:before="43" w:line="246" w:lineRule="auto"/>
        <w:ind w:left="48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开户名称：</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6A5D72B2">
      <w:pPr>
        <w:pStyle w:val="2"/>
        <w:spacing w:line="220" w:lineRule="auto"/>
        <w:ind w:left="48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673F5412">
      <w:pPr>
        <w:pStyle w:val="2"/>
        <w:spacing w:before="33" w:line="221" w:lineRule="auto"/>
        <w:ind w:left="48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账号：</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w:t>
      </w:r>
    </w:p>
    <w:p w14:paraId="7C660607">
      <w:pPr>
        <w:pStyle w:val="2"/>
        <w:spacing w:before="49" w:line="219" w:lineRule="auto"/>
        <w:ind w:left="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供应商[公章(CA</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签章)]：</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4BE416D1">
      <w:pPr>
        <w:pStyle w:val="11"/>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法定代表人、负责人、自然人或相应的委托代理人签字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或盖章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（属自然人的应在签名处加盖大拇指指印</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lang w:val="en-US" w:eastAsia="zh-CN"/>
          <w14:textFill>
            <w14:solidFill>
              <w14:schemeClr w14:val="tx1"/>
            </w14:solidFill>
          </w14:textFill>
        </w:rPr>
        <w:t>个人CA签章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63A8100">
      <w:pPr>
        <w:pStyle w:val="2"/>
        <w:spacing w:before="56" w:line="241" w:lineRule="auto"/>
        <w:ind w:left="492" w:hanging="1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响应日期：</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cs="宋体"/>
          <w:color w:val="000000" w:themeColor="text1"/>
          <w:sz w:val="21"/>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08C579F1">
      <w:pPr>
        <w:spacing w:line="241" w:lineRule="auto"/>
        <w:rPr>
          <w:rFonts w:hint="eastAsia" w:ascii="宋体" w:hAnsi="宋体" w:eastAsia="宋体" w:cs="宋体"/>
          <w:color w:val="000000" w:themeColor="text1"/>
          <w:sz w:val="21"/>
          <w:szCs w:val="21"/>
          <w:highlight w:val="none"/>
          <w14:textFill>
            <w14:solidFill>
              <w14:schemeClr w14:val="tx1"/>
            </w14:solidFill>
          </w14:textFill>
        </w:rPr>
        <w:sectPr>
          <w:footerReference r:id="rId13" w:type="default"/>
          <w:pgSz w:w="11910" w:h="16840"/>
          <w:pgMar w:top="1431" w:right="1179" w:bottom="863" w:left="1688" w:header="0" w:footer="701" w:gutter="0"/>
          <w:pgNumType w:fmt="decimal"/>
          <w:cols w:space="720" w:num="1"/>
        </w:sectPr>
      </w:pPr>
    </w:p>
    <w:p w14:paraId="304A6833">
      <w:pPr>
        <w:pStyle w:val="2"/>
        <w:spacing w:before="59" w:line="219"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Outline w14:w="5448" w14:cap="sq" w14:cmpd="sng">
            <w14:solidFill>
              <w14:srgbClr w14:val="000000"/>
            </w14:solidFill>
            <w14:prstDash w14:val="solid"/>
            <w14:bevel/>
          </w14:textOutline>
          <w14:textFill>
            <w14:solidFill>
              <w14:schemeClr w14:val="tx1"/>
            </w14:solidFill>
          </w14:textFill>
        </w:rPr>
        <w:t>2.</w:t>
      </w:r>
      <w:r>
        <w:rPr>
          <w:rFonts w:hint="eastAsia" w:ascii="宋体" w:hAnsi="宋体" w:eastAsia="宋体" w:cs="宋体"/>
          <w:b w:val="0"/>
          <w:bCs w:val="0"/>
          <w:color w:val="000000" w:themeColor="text1"/>
          <w:spacing w:val="-3"/>
          <w:sz w:val="24"/>
          <w:szCs w:val="24"/>
          <w:highlight w:val="none"/>
          <w:lang w:val="en-US" w:eastAsia="zh-CN"/>
          <w14:textOutline w14:w="5448" w14:cap="sq" w14:cmpd="sng">
            <w14:solidFill>
              <w14:srgbClr w14:val="000000"/>
            </w14:solidFill>
            <w14:prstDash w14:val="solid"/>
            <w14:bevel/>
          </w14:textOutline>
          <w14:textFill>
            <w14:solidFill>
              <w14:schemeClr w14:val="tx1"/>
            </w14:solidFill>
          </w14:textFill>
        </w:rPr>
        <w:t>响应函</w:t>
      </w:r>
      <w:r>
        <w:rPr>
          <w:rFonts w:hint="eastAsia" w:ascii="宋体" w:hAnsi="宋体" w:eastAsia="宋体" w:cs="宋体"/>
          <w:b w:val="0"/>
          <w:bCs w:val="0"/>
          <w:color w:val="000000" w:themeColor="text1"/>
          <w:spacing w:val="-3"/>
          <w:sz w:val="24"/>
          <w:szCs w:val="24"/>
          <w:highlight w:val="none"/>
          <w14:textOutline w14:w="5448" w14:cap="sq" w14:cmpd="sng">
            <w14:solidFill>
              <w14:srgbClr w14:val="000000"/>
            </w14:solidFill>
            <w14:prstDash w14:val="solid"/>
            <w14:bevel/>
          </w14:textOutline>
          <w14:textFill>
            <w14:solidFill>
              <w14:schemeClr w14:val="tx1"/>
            </w14:solidFill>
          </w14:textFill>
        </w:rPr>
        <w:t>附录</w:t>
      </w:r>
    </w:p>
    <w:p w14:paraId="6CC96134">
      <w:pPr>
        <w:spacing w:before="53"/>
        <w:rPr>
          <w:color w:val="000000" w:themeColor="text1"/>
          <w:highlight w:val="none"/>
          <w14:textFill>
            <w14:solidFill>
              <w14:schemeClr w14:val="tx1"/>
            </w14:solidFill>
          </w14:textFill>
        </w:rPr>
      </w:pPr>
    </w:p>
    <w:tbl>
      <w:tblPr>
        <w:tblStyle w:val="50"/>
        <w:tblW w:w="9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1350"/>
      </w:tblGrid>
      <w:tr w14:paraId="09A8E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18EADC4F">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w:t>
            </w:r>
            <w:r>
              <w:rPr>
                <w:rFonts w:hint="eastAsia" w:ascii="宋体" w:hAnsi="宋体" w:eastAsia="宋体" w:cs="宋体"/>
                <w:color w:val="000000" w:themeColor="text1"/>
                <w:spacing w:val="2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号</w:t>
            </w:r>
          </w:p>
        </w:tc>
        <w:tc>
          <w:tcPr>
            <w:tcW w:w="2189" w:type="dxa"/>
            <w:vAlign w:val="top"/>
          </w:tcPr>
          <w:p w14:paraId="215C59D5">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条款内容</w:t>
            </w:r>
          </w:p>
        </w:tc>
        <w:tc>
          <w:tcPr>
            <w:tcW w:w="2344" w:type="dxa"/>
            <w:vAlign w:val="top"/>
          </w:tcPr>
          <w:p w14:paraId="04979E20">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合同条款号</w:t>
            </w:r>
          </w:p>
        </w:tc>
        <w:tc>
          <w:tcPr>
            <w:tcW w:w="2189" w:type="dxa"/>
            <w:vAlign w:val="top"/>
          </w:tcPr>
          <w:p w14:paraId="468EF7F7">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约定内容</w:t>
            </w:r>
          </w:p>
        </w:tc>
        <w:tc>
          <w:tcPr>
            <w:tcW w:w="1350" w:type="dxa"/>
            <w:vAlign w:val="top"/>
          </w:tcPr>
          <w:p w14:paraId="1D3C9977">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备注</w:t>
            </w:r>
          </w:p>
        </w:tc>
      </w:tr>
      <w:tr w14:paraId="077B6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5FE19654">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189" w:type="dxa"/>
            <w:vAlign w:val="top"/>
          </w:tcPr>
          <w:p w14:paraId="1D94DAD5">
            <w:pPr>
              <w:pStyle w:val="49"/>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项目经理</w:t>
            </w:r>
          </w:p>
        </w:tc>
        <w:tc>
          <w:tcPr>
            <w:tcW w:w="2344" w:type="dxa"/>
            <w:vAlign w:val="top"/>
          </w:tcPr>
          <w:p w14:paraId="2AEE6C77">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专用合同条款</w:t>
            </w:r>
          </w:p>
        </w:tc>
        <w:tc>
          <w:tcPr>
            <w:tcW w:w="2189" w:type="dxa"/>
            <w:vAlign w:val="top"/>
          </w:tcPr>
          <w:p w14:paraId="0035DAC7">
            <w:pPr>
              <w:pStyle w:val="49"/>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姓名：</w:t>
            </w:r>
          </w:p>
        </w:tc>
        <w:tc>
          <w:tcPr>
            <w:tcW w:w="1350" w:type="dxa"/>
            <w:vAlign w:val="top"/>
          </w:tcPr>
          <w:p w14:paraId="33F4E56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096F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ADD046D">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189" w:type="dxa"/>
            <w:vAlign w:val="top"/>
          </w:tcPr>
          <w:p w14:paraId="60DD0CA5">
            <w:pPr>
              <w:pStyle w:val="49"/>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工期</w:t>
            </w:r>
          </w:p>
        </w:tc>
        <w:tc>
          <w:tcPr>
            <w:tcW w:w="2344" w:type="dxa"/>
            <w:vAlign w:val="top"/>
          </w:tcPr>
          <w:p w14:paraId="24BFFE22">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合同协议书</w:t>
            </w:r>
          </w:p>
        </w:tc>
        <w:tc>
          <w:tcPr>
            <w:tcW w:w="2189" w:type="dxa"/>
            <w:vAlign w:val="top"/>
          </w:tcPr>
          <w:p w14:paraId="0D379043">
            <w:pPr>
              <w:pStyle w:val="49"/>
              <w:keepNext w:val="0"/>
              <w:keepLines w:val="0"/>
              <w:pageBreakBefore w:val="0"/>
              <w:widowControl w:val="0"/>
              <w:tabs>
                <w:tab w:val="left" w:pos="1301"/>
              </w:tabs>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日历天</w:t>
            </w:r>
          </w:p>
        </w:tc>
        <w:tc>
          <w:tcPr>
            <w:tcW w:w="1350" w:type="dxa"/>
            <w:vAlign w:val="top"/>
          </w:tcPr>
          <w:p w14:paraId="0EC9DAD1">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5EFC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084EFA51">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189" w:type="dxa"/>
            <w:vAlign w:val="top"/>
          </w:tcPr>
          <w:p w14:paraId="6AB745C4">
            <w:pPr>
              <w:pStyle w:val="49"/>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缺陷责任期</w:t>
            </w:r>
          </w:p>
        </w:tc>
        <w:tc>
          <w:tcPr>
            <w:tcW w:w="2344" w:type="dxa"/>
            <w:vAlign w:val="top"/>
          </w:tcPr>
          <w:p w14:paraId="677D4720">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专用合同条款</w:t>
            </w:r>
          </w:p>
        </w:tc>
        <w:tc>
          <w:tcPr>
            <w:tcW w:w="2189" w:type="dxa"/>
            <w:vAlign w:val="top"/>
          </w:tcPr>
          <w:p w14:paraId="7F215D95">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50" w:type="dxa"/>
            <w:vAlign w:val="top"/>
          </w:tcPr>
          <w:p w14:paraId="7741948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1A24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2B6CC027">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2189" w:type="dxa"/>
            <w:vAlign w:val="top"/>
          </w:tcPr>
          <w:p w14:paraId="05723262">
            <w:pPr>
              <w:pStyle w:val="49"/>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发包人支付担保</w:t>
            </w:r>
          </w:p>
        </w:tc>
        <w:tc>
          <w:tcPr>
            <w:tcW w:w="2344" w:type="dxa"/>
            <w:vAlign w:val="top"/>
          </w:tcPr>
          <w:p w14:paraId="347BC05C">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专用合同条款</w:t>
            </w:r>
          </w:p>
        </w:tc>
        <w:tc>
          <w:tcPr>
            <w:tcW w:w="2189" w:type="dxa"/>
            <w:vAlign w:val="top"/>
          </w:tcPr>
          <w:p w14:paraId="74EADA91">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50" w:type="dxa"/>
            <w:vAlign w:val="top"/>
          </w:tcPr>
          <w:p w14:paraId="492CBEF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0639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2027957B">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2189" w:type="dxa"/>
            <w:vAlign w:val="top"/>
          </w:tcPr>
          <w:p w14:paraId="6809DC2F">
            <w:pPr>
              <w:pStyle w:val="49"/>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承包人履约担保金额</w:t>
            </w:r>
          </w:p>
        </w:tc>
        <w:tc>
          <w:tcPr>
            <w:tcW w:w="2344" w:type="dxa"/>
            <w:vAlign w:val="top"/>
          </w:tcPr>
          <w:p w14:paraId="5D8E2CDC">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专用合同条款</w:t>
            </w:r>
          </w:p>
        </w:tc>
        <w:tc>
          <w:tcPr>
            <w:tcW w:w="2189" w:type="dxa"/>
            <w:vAlign w:val="top"/>
          </w:tcPr>
          <w:p w14:paraId="1D6DA98B">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50" w:type="dxa"/>
            <w:vAlign w:val="top"/>
          </w:tcPr>
          <w:p w14:paraId="64B1C6E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982B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E76C863">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2189" w:type="dxa"/>
            <w:vAlign w:val="top"/>
          </w:tcPr>
          <w:p w14:paraId="72F0A6E7">
            <w:pPr>
              <w:pStyle w:val="49"/>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分包</w:t>
            </w:r>
          </w:p>
        </w:tc>
        <w:tc>
          <w:tcPr>
            <w:tcW w:w="2344" w:type="dxa"/>
            <w:vAlign w:val="top"/>
          </w:tcPr>
          <w:p w14:paraId="45DF899F">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专用合同条款</w:t>
            </w:r>
          </w:p>
        </w:tc>
        <w:tc>
          <w:tcPr>
            <w:tcW w:w="2189" w:type="dxa"/>
            <w:vAlign w:val="top"/>
          </w:tcPr>
          <w:p w14:paraId="47CF6399">
            <w:pPr>
              <w:pStyle w:val="49"/>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见分包项目情况表</w:t>
            </w:r>
          </w:p>
        </w:tc>
        <w:tc>
          <w:tcPr>
            <w:tcW w:w="1350" w:type="dxa"/>
            <w:vAlign w:val="top"/>
          </w:tcPr>
          <w:p w14:paraId="19ABE5E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5FAB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38DD63B3">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2189" w:type="dxa"/>
            <w:vAlign w:val="top"/>
          </w:tcPr>
          <w:p w14:paraId="595B7AD0">
            <w:pPr>
              <w:pStyle w:val="49"/>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质量标准</w:t>
            </w:r>
          </w:p>
        </w:tc>
        <w:tc>
          <w:tcPr>
            <w:tcW w:w="2344" w:type="dxa"/>
            <w:vAlign w:val="top"/>
          </w:tcPr>
          <w:p w14:paraId="7A9A29F8">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专用合同条款</w:t>
            </w:r>
          </w:p>
        </w:tc>
        <w:tc>
          <w:tcPr>
            <w:tcW w:w="2189" w:type="dxa"/>
            <w:vAlign w:val="top"/>
          </w:tcPr>
          <w:p w14:paraId="2815CDBA">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50" w:type="dxa"/>
            <w:vAlign w:val="top"/>
          </w:tcPr>
          <w:p w14:paraId="763228E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C09D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2283F393">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2189" w:type="dxa"/>
            <w:vAlign w:val="top"/>
          </w:tcPr>
          <w:p w14:paraId="51F27259">
            <w:pPr>
              <w:pStyle w:val="49"/>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预付款额度</w:t>
            </w:r>
          </w:p>
        </w:tc>
        <w:tc>
          <w:tcPr>
            <w:tcW w:w="2344" w:type="dxa"/>
            <w:vAlign w:val="top"/>
          </w:tcPr>
          <w:p w14:paraId="46BBAA55">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专用合同条款</w:t>
            </w:r>
          </w:p>
        </w:tc>
        <w:tc>
          <w:tcPr>
            <w:tcW w:w="2189" w:type="dxa"/>
            <w:vAlign w:val="top"/>
          </w:tcPr>
          <w:p w14:paraId="1D32F048">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50" w:type="dxa"/>
            <w:vAlign w:val="top"/>
          </w:tcPr>
          <w:p w14:paraId="388BC06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24D7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703BE87">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2189" w:type="dxa"/>
            <w:vAlign w:val="top"/>
          </w:tcPr>
          <w:p w14:paraId="5A53DB6A">
            <w:pPr>
              <w:pStyle w:val="49"/>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预付款保函金额</w:t>
            </w:r>
          </w:p>
        </w:tc>
        <w:tc>
          <w:tcPr>
            <w:tcW w:w="2344" w:type="dxa"/>
            <w:vAlign w:val="top"/>
          </w:tcPr>
          <w:p w14:paraId="467B9345">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专用合同条款</w:t>
            </w:r>
          </w:p>
        </w:tc>
        <w:tc>
          <w:tcPr>
            <w:tcW w:w="2189" w:type="dxa"/>
            <w:vAlign w:val="top"/>
          </w:tcPr>
          <w:p w14:paraId="089E7902">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50" w:type="dxa"/>
            <w:vAlign w:val="top"/>
          </w:tcPr>
          <w:p w14:paraId="344DEBC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A204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3077408D">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10</w:t>
            </w:r>
          </w:p>
        </w:tc>
        <w:tc>
          <w:tcPr>
            <w:tcW w:w="2189" w:type="dxa"/>
            <w:vAlign w:val="top"/>
          </w:tcPr>
          <w:p w14:paraId="1281E4D5">
            <w:pPr>
              <w:pStyle w:val="49"/>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质量保证金额度</w:t>
            </w:r>
          </w:p>
        </w:tc>
        <w:tc>
          <w:tcPr>
            <w:tcW w:w="2344" w:type="dxa"/>
            <w:vAlign w:val="top"/>
          </w:tcPr>
          <w:p w14:paraId="44961001">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专用合同条款</w:t>
            </w:r>
          </w:p>
        </w:tc>
        <w:tc>
          <w:tcPr>
            <w:tcW w:w="2189" w:type="dxa"/>
            <w:vAlign w:val="top"/>
          </w:tcPr>
          <w:p w14:paraId="7372E529">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50" w:type="dxa"/>
            <w:vAlign w:val="top"/>
          </w:tcPr>
          <w:p w14:paraId="78E94B5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F1E1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FC1021F">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position w:val="2"/>
                <w:sz w:val="21"/>
                <w:szCs w:val="21"/>
                <w:highlight w:val="none"/>
                <w14:textFill>
                  <w14:solidFill>
                    <w14:schemeClr w14:val="tx1"/>
                  </w14:solidFill>
                </w14:textFill>
              </w:rPr>
              <w:t>……</w:t>
            </w:r>
          </w:p>
        </w:tc>
        <w:tc>
          <w:tcPr>
            <w:tcW w:w="2189" w:type="dxa"/>
            <w:vAlign w:val="top"/>
          </w:tcPr>
          <w:p w14:paraId="15DC6436">
            <w:pPr>
              <w:pStyle w:val="4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position w:val="2"/>
                <w:sz w:val="21"/>
                <w:szCs w:val="21"/>
                <w:highlight w:val="none"/>
                <w14:textFill>
                  <w14:solidFill>
                    <w14:schemeClr w14:val="tx1"/>
                  </w14:solidFill>
                </w14:textFill>
              </w:rPr>
              <w:t>……</w:t>
            </w:r>
          </w:p>
        </w:tc>
        <w:tc>
          <w:tcPr>
            <w:tcW w:w="2344" w:type="dxa"/>
            <w:vAlign w:val="top"/>
          </w:tcPr>
          <w:p w14:paraId="43CDFD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189" w:type="dxa"/>
            <w:vAlign w:val="top"/>
          </w:tcPr>
          <w:p w14:paraId="60757AC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50" w:type="dxa"/>
            <w:vAlign w:val="top"/>
          </w:tcPr>
          <w:p w14:paraId="428BAD01">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9870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169" w:type="dxa"/>
            <w:gridSpan w:val="5"/>
            <w:vAlign w:val="top"/>
          </w:tcPr>
          <w:p w14:paraId="510065BD">
            <w:pPr>
              <w:pStyle w:val="49"/>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备注：供应商在响应招标文件中规定的实质性要求和条件的基础上，可做出其他有利于招标人的承诺。此</w:t>
            </w:r>
            <w:r>
              <w:rPr>
                <w:rFonts w:hint="eastAsia" w:ascii="宋体" w:hAnsi="宋体" w:eastAsia="宋体" w:cs="宋体"/>
                <w:color w:val="000000" w:themeColor="text1"/>
                <w:spacing w:val="8"/>
                <w:sz w:val="21"/>
                <w:szCs w:val="21"/>
                <w:highlight w:val="none"/>
                <w14:textFill>
                  <w14:solidFill>
                    <w14:schemeClr w14:val="tx1"/>
                  </w14:solidFill>
                </w14:textFill>
              </w:rPr>
              <w:t>类承诺可在本表中予以补充填写。</w:t>
            </w:r>
          </w:p>
        </w:tc>
      </w:tr>
    </w:tbl>
    <w:p w14:paraId="4289FA60">
      <w:pPr>
        <w:spacing w:line="241" w:lineRule="auto"/>
        <w:rPr>
          <w:rFonts w:ascii="Arial"/>
          <w:color w:val="000000" w:themeColor="text1"/>
          <w:sz w:val="21"/>
          <w:highlight w:val="none"/>
          <w14:textFill>
            <w14:solidFill>
              <w14:schemeClr w14:val="tx1"/>
            </w14:solidFill>
          </w14:textFill>
        </w:rPr>
      </w:pPr>
    </w:p>
    <w:p w14:paraId="6CE0E1D1">
      <w:pPr>
        <w:spacing w:line="241" w:lineRule="auto"/>
        <w:rPr>
          <w:rFonts w:ascii="Arial"/>
          <w:color w:val="000000" w:themeColor="text1"/>
          <w:sz w:val="21"/>
          <w:highlight w:val="none"/>
          <w14:textFill>
            <w14:solidFill>
              <w14:schemeClr w14:val="tx1"/>
            </w14:solidFill>
          </w14:textFill>
        </w:rPr>
      </w:pPr>
    </w:p>
    <w:p w14:paraId="74F6CF6B">
      <w:pPr>
        <w:spacing w:line="242" w:lineRule="auto"/>
        <w:rPr>
          <w:rFonts w:ascii="Arial"/>
          <w:color w:val="000000" w:themeColor="text1"/>
          <w:sz w:val="21"/>
          <w:highlight w:val="none"/>
          <w14:textFill>
            <w14:solidFill>
              <w14:schemeClr w14:val="tx1"/>
            </w14:solidFill>
          </w14:textFill>
        </w:rPr>
      </w:pPr>
    </w:p>
    <w:p w14:paraId="3AA0BF9C">
      <w:pPr>
        <w:pStyle w:val="2"/>
        <w:keepNext w:val="0"/>
        <w:keepLines w:val="0"/>
        <w:pageBreakBefore w:val="0"/>
        <w:widowControl w:val="0"/>
        <w:kinsoku/>
        <w:wordWrap/>
        <w:overflowPunct/>
        <w:topLinePunct w:val="0"/>
        <w:autoSpaceDE/>
        <w:autoSpaceDN/>
        <w:bidi w:val="0"/>
        <w:adjustRightInd/>
        <w:snapToGrid/>
        <w:spacing w:after="0" w:line="40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供应商[公章(CA</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签章)]：</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cs="宋体"/>
          <w:color w:val="000000" w:themeColor="text1"/>
          <w:sz w:val="21"/>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76DD1CDE">
      <w:pPr>
        <w:pStyle w:val="2"/>
        <w:keepNext w:val="0"/>
        <w:keepLines w:val="0"/>
        <w:pageBreakBefore w:val="0"/>
        <w:widowControl w:val="0"/>
        <w:kinsoku/>
        <w:wordWrap/>
        <w:overflowPunct/>
        <w:topLinePunct w:val="0"/>
        <w:autoSpaceDE/>
        <w:autoSpaceDN/>
        <w:bidi w:val="0"/>
        <w:adjustRightInd/>
        <w:snapToGrid/>
        <w:spacing w:after="0" w:line="400" w:lineRule="exact"/>
        <w:ind w:left="0" w:right="0" w:hanging="11"/>
        <w:textAlignment w:val="auto"/>
        <w:rPr>
          <w:rFonts w:hint="eastAsia" w:ascii="宋体" w:hAnsi="宋体" w:eastAsia="宋体" w:cs="宋体"/>
          <w:color w:val="000000" w:themeColor="text1"/>
          <w:spacing w:val="10"/>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法定代表人或相应的委托代理人签字[或盖章(CA</w:t>
      </w:r>
      <w:r>
        <w:rPr>
          <w:rFonts w:hint="eastAsia" w:ascii="宋体" w:hAnsi="宋体" w:eastAsia="宋体" w:cs="宋体"/>
          <w:color w:val="000000" w:themeColor="text1"/>
          <w:spacing w:val="-4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签章)]：</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0"/>
          <w:sz w:val="21"/>
          <w:szCs w:val="21"/>
          <w:highlight w:val="none"/>
          <w14:textFill>
            <w14:solidFill>
              <w14:schemeClr w14:val="tx1"/>
            </w14:solidFill>
          </w14:textFill>
        </w:rPr>
        <w:t xml:space="preserve"> </w:t>
      </w:r>
    </w:p>
    <w:p w14:paraId="50F6B911">
      <w:pPr>
        <w:pStyle w:val="2"/>
        <w:keepNext w:val="0"/>
        <w:keepLines w:val="0"/>
        <w:pageBreakBefore w:val="0"/>
        <w:widowControl w:val="0"/>
        <w:kinsoku/>
        <w:wordWrap/>
        <w:overflowPunct/>
        <w:topLinePunct w:val="0"/>
        <w:autoSpaceDE/>
        <w:autoSpaceDN/>
        <w:bidi w:val="0"/>
        <w:adjustRightInd/>
        <w:snapToGrid/>
        <w:spacing w:after="0" w:line="400" w:lineRule="exact"/>
        <w:ind w:left="0" w:right="0" w:hanging="1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响应日期：</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622767A0">
      <w:pPr>
        <w:spacing w:line="259" w:lineRule="auto"/>
        <w:rPr>
          <w:color w:val="000000" w:themeColor="text1"/>
          <w:sz w:val="24"/>
          <w:szCs w:val="24"/>
          <w:highlight w:val="none"/>
          <w14:textFill>
            <w14:solidFill>
              <w14:schemeClr w14:val="tx1"/>
            </w14:solidFill>
          </w14:textFill>
        </w:rPr>
        <w:sectPr>
          <w:footerReference r:id="rId14" w:type="default"/>
          <w:pgSz w:w="11910" w:h="16840"/>
          <w:pgMar w:top="1344" w:right="479" w:bottom="863" w:left="1567" w:header="0" w:footer="701" w:gutter="0"/>
          <w:pgNumType w:fmt="decimal"/>
          <w:cols w:space="720" w:num="1"/>
        </w:sectPr>
      </w:pPr>
    </w:p>
    <w:p w14:paraId="6C10F96D">
      <w:pPr>
        <w:pStyle w:val="11"/>
        <w:numPr>
          <w:ilvl w:val="0"/>
          <w:numId w:val="0"/>
        </w:numPr>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hAnsi="宋体" w:eastAsia="宋体" w:cs="宋体"/>
          <w:b/>
          <w:color w:val="000000" w:themeColor="text1"/>
          <w:sz w:val="24"/>
          <w:szCs w:val="24"/>
          <w:highlight w:val="none"/>
          <w:lang w:val="en-US" w:eastAsia="zh-CN"/>
          <w14:textFill>
            <w14:solidFill>
              <w14:schemeClr w14:val="tx1"/>
            </w14:solidFill>
          </w14:textFill>
        </w:rPr>
        <w:t>已</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标价工程量清单（必须提供）</w:t>
      </w:r>
    </w:p>
    <w:p w14:paraId="55C4E35F">
      <w:pPr>
        <w:snapToGrid w:val="0"/>
        <w:spacing w:line="240" w:lineRule="auto"/>
        <w:ind w:firstLine="420"/>
        <w:jc w:val="right"/>
        <w:rPr>
          <w:rFonts w:hint="eastAsia" w:ascii="宋体" w:hAnsi="宋体" w:eastAsia="宋体" w:cs="宋体"/>
          <w:color w:val="000000" w:themeColor="text1"/>
          <w:sz w:val="24"/>
          <w:szCs w:val="24"/>
          <w:highlight w:val="none"/>
          <w14:textFill>
            <w14:solidFill>
              <w14:schemeClr w14:val="tx1"/>
            </w14:solidFill>
          </w14:textFill>
        </w:rPr>
      </w:pPr>
    </w:p>
    <w:p w14:paraId="16C33A14">
      <w:pPr>
        <w:pStyle w:val="6"/>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bookmarkStart w:id="238" w:name="_Toc234659851"/>
      <w:bookmarkStart w:id="239" w:name="_Toc446943082"/>
      <w:bookmarkStart w:id="240" w:name="_Toc271557289"/>
      <w:bookmarkStart w:id="241" w:name="_Toc394929435"/>
      <w:r>
        <w:rPr>
          <w:rFonts w:hint="eastAsia" w:ascii="宋体" w:hAnsi="宋体" w:eastAsia="宋体" w:cs="宋体"/>
          <w:color w:val="000000" w:themeColor="text1"/>
          <w:sz w:val="24"/>
          <w:szCs w:val="24"/>
          <w:highlight w:val="none"/>
          <w14:textFill>
            <w14:solidFill>
              <w14:schemeClr w14:val="tx1"/>
            </w14:solidFill>
          </w14:textFill>
        </w:rPr>
        <w:t>已标价工程量清单</w:t>
      </w:r>
      <w:bookmarkEnd w:id="238"/>
      <w:bookmarkEnd w:id="239"/>
      <w:bookmarkEnd w:id="240"/>
      <w:bookmarkEnd w:id="241"/>
    </w:p>
    <w:p w14:paraId="7813933D">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p w14:paraId="37FDB205">
      <w:pPr>
        <w:spacing w:line="48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应按照第</w:t>
      </w:r>
      <w:r>
        <w:rPr>
          <w:rFonts w:hint="eastAsia" w:ascii="宋体" w:hAnsi="宋体" w:eastAsia="宋体" w:cs="宋体"/>
          <w:color w:val="000000" w:themeColor="text1"/>
          <w:sz w:val="21"/>
          <w:szCs w:val="21"/>
          <w:highlight w:val="none"/>
          <w:lang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章“工程量清单”的要求逐项填报工程量清单，包括工程量清单说明、</w:t>
      </w:r>
      <w:r>
        <w:rPr>
          <w:rFonts w:hint="eastAsia" w:ascii="宋体" w:hAnsi="宋体" w:eastAsia="宋体" w:cs="宋体"/>
          <w:color w:val="000000" w:themeColor="text1"/>
          <w:sz w:val="21"/>
          <w:szCs w:val="21"/>
          <w:highlight w:val="none"/>
          <w:lang w:eastAsia="zh-CN"/>
          <w14:textFill>
            <w14:solidFill>
              <w14:schemeClr w14:val="tx1"/>
            </w14:solidFill>
          </w14:textFill>
        </w:rPr>
        <w:t>磋商报价</w:t>
      </w:r>
      <w:r>
        <w:rPr>
          <w:rFonts w:hint="eastAsia" w:ascii="宋体" w:hAnsi="宋体" w:eastAsia="宋体" w:cs="宋体"/>
          <w:color w:val="000000" w:themeColor="text1"/>
          <w:sz w:val="21"/>
          <w:szCs w:val="21"/>
          <w:highlight w:val="none"/>
          <w14:textFill>
            <w14:solidFill>
              <w14:schemeClr w14:val="tx1"/>
            </w14:solidFill>
          </w14:textFill>
        </w:rPr>
        <w:t>说明及工程量清单各项表格</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采购人</w:t>
      </w:r>
      <w:r>
        <w:rPr>
          <w:rFonts w:hint="eastAsia" w:ascii="宋体" w:hAnsi="宋体" w:eastAsia="宋体" w:cs="宋体"/>
          <w:b/>
          <w:bCs/>
          <w:color w:val="000000" w:themeColor="text1"/>
          <w:sz w:val="21"/>
          <w:szCs w:val="21"/>
          <w:highlight w:val="none"/>
          <w14:textFill>
            <w14:solidFill>
              <w14:schemeClr w14:val="tx1"/>
            </w14:solidFill>
          </w14:textFill>
        </w:rPr>
        <w:t>提供的工程量清单）。</w:t>
      </w:r>
    </w:p>
    <w:p w14:paraId="32898C88">
      <w:pPr>
        <w:spacing w:line="340" w:lineRule="exact"/>
        <w:rPr>
          <w:rFonts w:hint="eastAsia" w:ascii="宋体" w:hAnsi="宋体" w:eastAsia="宋体" w:cs="宋体"/>
          <w:color w:val="000000" w:themeColor="text1"/>
          <w:sz w:val="21"/>
          <w:szCs w:val="21"/>
          <w:highlight w:val="none"/>
          <w14:textFill>
            <w14:solidFill>
              <w14:schemeClr w14:val="tx1"/>
            </w14:solidFill>
          </w14:textFill>
        </w:rPr>
      </w:pPr>
    </w:p>
    <w:p w14:paraId="12340572">
      <w:pPr>
        <w:spacing w:line="400" w:lineRule="exac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w:t>
      </w:r>
      <w:r>
        <w:rPr>
          <w:rFonts w:hint="eastAsia" w:ascii="宋体" w:hAnsi="宋体" w:eastAsia="宋体" w:cs="宋体"/>
          <w:b/>
          <w:color w:val="000000" w:themeColor="text1"/>
          <w:sz w:val="21"/>
          <w:szCs w:val="21"/>
          <w:highlight w:val="none"/>
          <w14:textFill>
            <w14:solidFill>
              <w14:schemeClr w14:val="tx1"/>
            </w14:solidFill>
          </w14:textFill>
        </w:rPr>
        <w:t>当本</w:t>
      </w:r>
      <w:r>
        <w:rPr>
          <w:rFonts w:hint="eastAsia" w:ascii="宋体" w:hAnsi="宋体" w:eastAsia="宋体" w:cs="宋体"/>
          <w:b/>
          <w:color w:val="000000" w:themeColor="text1"/>
          <w:sz w:val="21"/>
          <w:szCs w:val="21"/>
          <w:highlight w:val="none"/>
          <w:lang w:eastAsia="zh-CN"/>
          <w14:textFill>
            <w14:solidFill>
              <w14:schemeClr w14:val="tx1"/>
            </w14:solidFill>
          </w14:textFill>
        </w:rPr>
        <w:t>清单</w:t>
      </w:r>
      <w:r>
        <w:rPr>
          <w:rFonts w:hint="eastAsia" w:ascii="宋体" w:hAnsi="宋体" w:eastAsia="宋体" w:cs="宋体"/>
          <w:b/>
          <w:color w:val="000000" w:themeColor="text1"/>
          <w:sz w:val="21"/>
          <w:szCs w:val="21"/>
          <w:highlight w:val="none"/>
          <w14:textFill>
            <w14:solidFill>
              <w14:schemeClr w14:val="tx1"/>
            </w14:solidFill>
          </w14:textFill>
        </w:rPr>
        <w:t>由多页构成时，需逐页加盖</w:t>
      </w:r>
      <w:r>
        <w:rPr>
          <w:rFonts w:hint="eastAsia" w:ascii="宋体" w:hAnsi="宋体" w:eastAsia="宋体" w:cs="宋体"/>
          <w:b/>
          <w:color w:val="000000" w:themeColor="text1"/>
          <w:sz w:val="21"/>
          <w:szCs w:val="21"/>
          <w:highlight w:val="none"/>
          <w:lang w:eastAsia="zh-CN"/>
          <w14:textFill>
            <w14:solidFill>
              <w14:schemeClr w14:val="tx1"/>
            </w14:solidFill>
          </w14:textFill>
        </w:rPr>
        <w:t>磋商供应商</w:t>
      </w:r>
      <w:r>
        <w:rPr>
          <w:rFonts w:hint="eastAsia" w:ascii="宋体" w:hAnsi="宋体" w:eastAsia="宋体" w:cs="宋体"/>
          <w:b/>
          <w:color w:val="000000" w:themeColor="text1"/>
          <w:sz w:val="21"/>
          <w:szCs w:val="21"/>
          <w:highlight w:val="none"/>
          <w14:textFill>
            <w14:solidFill>
              <w14:schemeClr w14:val="tx1"/>
            </w14:solidFill>
          </w14:textFill>
        </w:rPr>
        <w:t>公章</w:t>
      </w: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（属自然人的须逐页签字</w:t>
      </w:r>
      <w:r>
        <w:rPr>
          <w:rFonts w:hint="eastAsia" w:ascii="宋体" w:hAnsi="宋体" w:eastAsia="宋体" w:cs="宋体"/>
          <w:b/>
          <w:color w:val="000000" w:themeColor="text1"/>
          <w:sz w:val="21"/>
          <w:szCs w:val="21"/>
          <w:highlight w:val="none"/>
          <w:lang w:eastAsia="zh-CN"/>
          <w14:textFill>
            <w14:solidFill>
              <w14:schemeClr w14:val="tx1"/>
            </w14:solidFill>
          </w14:textFill>
        </w:rPr>
        <w:t>或</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个人CA签章</w:t>
      </w:r>
      <w:r>
        <w:rPr>
          <w:rFonts w:hint="eastAsia" w:ascii="宋体" w:hAnsi="宋体" w:eastAsia="宋体" w:cs="宋体"/>
          <w:b/>
          <w:color w:val="000000" w:themeColor="text1"/>
          <w:sz w:val="21"/>
          <w:szCs w:val="21"/>
          <w:highlight w:val="none"/>
          <w14:textFill>
            <w14:solidFill>
              <w14:schemeClr w14:val="tx1"/>
            </w14:solidFill>
          </w14:textFill>
        </w:rPr>
        <w:t>）。</w:t>
      </w:r>
    </w:p>
    <w:p w14:paraId="04C17EE4">
      <w:pPr>
        <w:pStyle w:val="2"/>
        <w:rPr>
          <w:rFonts w:hint="eastAsia" w:ascii="宋体" w:hAnsi="宋体" w:eastAsia="宋体" w:cs="宋体"/>
          <w:color w:val="000000" w:themeColor="text1"/>
          <w:sz w:val="24"/>
          <w:szCs w:val="24"/>
          <w:highlight w:val="none"/>
          <w14:textFill>
            <w14:solidFill>
              <w14:schemeClr w14:val="tx1"/>
            </w14:solidFill>
          </w14:textFill>
        </w:rPr>
      </w:pPr>
    </w:p>
    <w:p w14:paraId="40F96E55">
      <w:pPr>
        <w:pStyle w:val="2"/>
        <w:rPr>
          <w:rFonts w:hint="eastAsia" w:ascii="宋体" w:hAnsi="宋体" w:eastAsia="宋体" w:cs="宋体"/>
          <w:color w:val="000000" w:themeColor="text1"/>
          <w:sz w:val="24"/>
          <w:szCs w:val="24"/>
          <w:highlight w:val="none"/>
          <w14:textFill>
            <w14:solidFill>
              <w14:schemeClr w14:val="tx1"/>
            </w14:solidFill>
          </w14:textFill>
        </w:rPr>
      </w:pPr>
    </w:p>
    <w:p w14:paraId="17ADA630">
      <w:pPr>
        <w:pStyle w:val="2"/>
        <w:rPr>
          <w:rFonts w:hint="eastAsia" w:ascii="宋体" w:hAnsi="宋体" w:eastAsia="宋体" w:cs="宋体"/>
          <w:color w:val="000000" w:themeColor="text1"/>
          <w:sz w:val="24"/>
          <w:szCs w:val="24"/>
          <w:highlight w:val="none"/>
          <w14:textFill>
            <w14:solidFill>
              <w14:schemeClr w14:val="tx1"/>
            </w14:solidFill>
          </w14:textFill>
        </w:rPr>
      </w:pPr>
    </w:p>
    <w:p w14:paraId="70D66CAA">
      <w:pPr>
        <w:pStyle w:val="2"/>
        <w:rPr>
          <w:rFonts w:hint="eastAsia" w:ascii="宋体" w:hAnsi="宋体" w:eastAsia="宋体" w:cs="宋体"/>
          <w:color w:val="000000" w:themeColor="text1"/>
          <w:sz w:val="24"/>
          <w:szCs w:val="24"/>
          <w:highlight w:val="none"/>
          <w14:textFill>
            <w14:solidFill>
              <w14:schemeClr w14:val="tx1"/>
            </w14:solidFill>
          </w14:textFill>
        </w:rPr>
      </w:pPr>
    </w:p>
    <w:p w14:paraId="25E0267D">
      <w:pPr>
        <w:pStyle w:val="2"/>
        <w:rPr>
          <w:rFonts w:hint="eastAsia" w:ascii="宋体" w:hAnsi="宋体" w:eastAsia="宋体" w:cs="宋体"/>
          <w:color w:val="000000" w:themeColor="text1"/>
          <w:sz w:val="24"/>
          <w:szCs w:val="24"/>
          <w:highlight w:val="none"/>
          <w14:textFill>
            <w14:solidFill>
              <w14:schemeClr w14:val="tx1"/>
            </w14:solidFill>
          </w14:textFill>
        </w:rPr>
      </w:pPr>
    </w:p>
    <w:p w14:paraId="6DC4D3BA">
      <w:pPr>
        <w:pStyle w:val="2"/>
        <w:rPr>
          <w:rFonts w:hint="eastAsia" w:ascii="宋体" w:hAnsi="宋体" w:eastAsia="宋体" w:cs="宋体"/>
          <w:color w:val="000000" w:themeColor="text1"/>
          <w:sz w:val="24"/>
          <w:szCs w:val="24"/>
          <w:highlight w:val="none"/>
          <w14:textFill>
            <w14:solidFill>
              <w14:schemeClr w14:val="tx1"/>
            </w14:solidFill>
          </w14:textFill>
        </w:rPr>
      </w:pPr>
    </w:p>
    <w:p w14:paraId="3E84FB3B">
      <w:pPr>
        <w:pStyle w:val="2"/>
        <w:rPr>
          <w:rFonts w:hint="eastAsia" w:ascii="宋体" w:hAnsi="宋体" w:eastAsia="宋体" w:cs="宋体"/>
          <w:color w:val="000000" w:themeColor="text1"/>
          <w:sz w:val="24"/>
          <w:szCs w:val="24"/>
          <w:highlight w:val="none"/>
          <w14:textFill>
            <w14:solidFill>
              <w14:schemeClr w14:val="tx1"/>
            </w14:solidFill>
          </w14:textFill>
        </w:rPr>
      </w:pPr>
    </w:p>
    <w:p w14:paraId="1503BC19">
      <w:pPr>
        <w:rPr>
          <w:rFonts w:hint="eastAsia" w:ascii="宋体" w:hAnsi="宋体" w:eastAsia="宋体" w:cs="宋体"/>
          <w:color w:val="000000" w:themeColor="text1"/>
          <w:sz w:val="24"/>
          <w:szCs w:val="24"/>
          <w:highlight w:val="none"/>
          <w14:textFill>
            <w14:solidFill>
              <w14:schemeClr w14:val="tx1"/>
            </w14:solidFill>
          </w14:textFill>
        </w:rPr>
      </w:pPr>
    </w:p>
    <w:p w14:paraId="2F851CD9">
      <w:pPr>
        <w:pStyle w:val="27"/>
        <w:rPr>
          <w:rFonts w:hint="eastAsia" w:ascii="宋体" w:hAnsi="宋体" w:eastAsia="宋体" w:cs="宋体"/>
          <w:color w:val="000000" w:themeColor="text1"/>
          <w:sz w:val="24"/>
          <w:szCs w:val="24"/>
          <w:highlight w:val="none"/>
          <w14:textFill>
            <w14:solidFill>
              <w14:schemeClr w14:val="tx1"/>
            </w14:solidFill>
          </w14:textFill>
        </w:rPr>
      </w:pPr>
    </w:p>
    <w:p w14:paraId="7A935837">
      <w:pPr>
        <w:pStyle w:val="27"/>
        <w:rPr>
          <w:rFonts w:hint="eastAsia" w:ascii="宋体" w:hAnsi="宋体" w:eastAsia="宋体" w:cs="宋体"/>
          <w:color w:val="000000" w:themeColor="text1"/>
          <w:sz w:val="24"/>
          <w:szCs w:val="24"/>
          <w:highlight w:val="none"/>
          <w14:textFill>
            <w14:solidFill>
              <w14:schemeClr w14:val="tx1"/>
            </w14:solidFill>
          </w14:textFill>
        </w:rPr>
      </w:pPr>
    </w:p>
    <w:p w14:paraId="396E9AAA">
      <w:pPr>
        <w:pStyle w:val="27"/>
        <w:rPr>
          <w:rFonts w:hint="eastAsia" w:ascii="宋体" w:hAnsi="宋体" w:eastAsia="宋体" w:cs="宋体"/>
          <w:color w:val="000000" w:themeColor="text1"/>
          <w:sz w:val="24"/>
          <w:szCs w:val="24"/>
          <w:highlight w:val="none"/>
          <w14:textFill>
            <w14:solidFill>
              <w14:schemeClr w14:val="tx1"/>
            </w14:solidFill>
          </w14:textFill>
        </w:rPr>
      </w:pPr>
    </w:p>
    <w:p w14:paraId="30AE8FF8">
      <w:pPr>
        <w:pStyle w:val="27"/>
        <w:rPr>
          <w:rFonts w:hint="eastAsia" w:ascii="宋体" w:hAnsi="宋体" w:eastAsia="宋体" w:cs="宋体"/>
          <w:color w:val="000000" w:themeColor="text1"/>
          <w:sz w:val="24"/>
          <w:szCs w:val="24"/>
          <w:highlight w:val="none"/>
          <w14:textFill>
            <w14:solidFill>
              <w14:schemeClr w14:val="tx1"/>
            </w14:solidFill>
          </w14:textFill>
        </w:rPr>
      </w:pPr>
    </w:p>
    <w:p w14:paraId="0FC4FDCD">
      <w:pPr>
        <w:pStyle w:val="27"/>
        <w:rPr>
          <w:rFonts w:hint="eastAsia" w:ascii="宋体" w:hAnsi="宋体" w:eastAsia="宋体" w:cs="宋体"/>
          <w:color w:val="000000" w:themeColor="text1"/>
          <w:sz w:val="24"/>
          <w:szCs w:val="24"/>
          <w:highlight w:val="none"/>
          <w14:textFill>
            <w14:solidFill>
              <w14:schemeClr w14:val="tx1"/>
            </w14:solidFill>
          </w14:textFill>
        </w:rPr>
      </w:pPr>
    </w:p>
    <w:p w14:paraId="69B68FCE">
      <w:pPr>
        <w:pStyle w:val="27"/>
        <w:rPr>
          <w:rFonts w:hint="eastAsia" w:ascii="宋体" w:hAnsi="宋体" w:eastAsia="宋体" w:cs="宋体"/>
          <w:color w:val="000000" w:themeColor="text1"/>
          <w:sz w:val="24"/>
          <w:szCs w:val="24"/>
          <w:highlight w:val="none"/>
          <w14:textFill>
            <w14:solidFill>
              <w14:schemeClr w14:val="tx1"/>
            </w14:solidFill>
          </w14:textFill>
        </w:rPr>
      </w:pPr>
    </w:p>
    <w:p w14:paraId="10EDAF9B">
      <w:pPr>
        <w:pStyle w:val="27"/>
        <w:rPr>
          <w:rFonts w:hint="eastAsia" w:ascii="宋体" w:hAnsi="宋体" w:eastAsia="宋体" w:cs="宋体"/>
          <w:color w:val="000000" w:themeColor="text1"/>
          <w:sz w:val="24"/>
          <w:szCs w:val="24"/>
          <w:highlight w:val="none"/>
          <w14:textFill>
            <w14:solidFill>
              <w14:schemeClr w14:val="tx1"/>
            </w14:solidFill>
          </w14:textFill>
        </w:rPr>
      </w:pPr>
    </w:p>
    <w:p w14:paraId="3246320F">
      <w:pPr>
        <w:pStyle w:val="2"/>
        <w:rPr>
          <w:rFonts w:hint="eastAsia" w:ascii="宋体" w:hAnsi="宋体" w:eastAsia="宋体" w:cs="宋体"/>
          <w:color w:val="000000" w:themeColor="text1"/>
          <w:sz w:val="24"/>
          <w:szCs w:val="24"/>
          <w:highlight w:val="none"/>
          <w14:textFill>
            <w14:solidFill>
              <w14:schemeClr w14:val="tx1"/>
            </w14:solidFill>
          </w14:textFill>
        </w:rPr>
      </w:pPr>
    </w:p>
    <w:p w14:paraId="01A86F96">
      <w:pPr>
        <w:rPr>
          <w:rFonts w:hint="eastAsia" w:ascii="宋体" w:hAnsi="宋体" w:eastAsia="宋体" w:cs="宋体"/>
          <w:color w:val="000000" w:themeColor="text1"/>
          <w:sz w:val="24"/>
          <w:szCs w:val="24"/>
          <w:highlight w:val="none"/>
          <w14:textFill>
            <w14:solidFill>
              <w14:schemeClr w14:val="tx1"/>
            </w14:solidFill>
          </w14:textFill>
        </w:rPr>
      </w:pPr>
    </w:p>
    <w:p w14:paraId="3911DA5C">
      <w:pPr>
        <w:rPr>
          <w:rFonts w:hint="eastAsia" w:ascii="宋体" w:hAnsi="宋体" w:eastAsia="宋体" w:cs="宋体"/>
          <w:color w:val="000000" w:themeColor="text1"/>
          <w:sz w:val="24"/>
          <w:szCs w:val="24"/>
          <w:highlight w:val="none"/>
          <w14:textFill>
            <w14:solidFill>
              <w14:schemeClr w14:val="tx1"/>
            </w14:solidFill>
          </w14:textFill>
        </w:rPr>
      </w:pPr>
    </w:p>
    <w:p w14:paraId="6925B94E">
      <w:pPr>
        <w:pStyle w:val="12"/>
        <w:rPr>
          <w:rFonts w:hint="eastAsia" w:ascii="宋体" w:hAnsi="宋体" w:eastAsia="宋体" w:cs="宋体"/>
          <w:color w:val="000000" w:themeColor="text1"/>
          <w:sz w:val="24"/>
          <w:szCs w:val="24"/>
          <w:highlight w:val="none"/>
          <w14:textFill>
            <w14:solidFill>
              <w14:schemeClr w14:val="tx1"/>
            </w14:solidFill>
          </w14:textFill>
        </w:rPr>
      </w:pPr>
    </w:p>
    <w:p w14:paraId="320EEAA4">
      <w:pPr>
        <w:pStyle w:val="12"/>
        <w:rPr>
          <w:rFonts w:hint="eastAsia" w:ascii="宋体" w:hAnsi="宋体" w:eastAsia="宋体" w:cs="宋体"/>
          <w:color w:val="000000" w:themeColor="text1"/>
          <w:sz w:val="24"/>
          <w:szCs w:val="24"/>
          <w:highlight w:val="none"/>
          <w14:textFill>
            <w14:solidFill>
              <w14:schemeClr w14:val="tx1"/>
            </w14:solidFill>
          </w14:textFill>
        </w:rPr>
      </w:pPr>
    </w:p>
    <w:p w14:paraId="0E26F1AC">
      <w:pPr>
        <w:pStyle w:val="12"/>
        <w:rPr>
          <w:rFonts w:hint="eastAsia" w:ascii="宋体" w:hAnsi="宋体" w:eastAsia="宋体" w:cs="宋体"/>
          <w:color w:val="000000" w:themeColor="text1"/>
          <w:sz w:val="24"/>
          <w:szCs w:val="24"/>
          <w:highlight w:val="none"/>
          <w14:textFill>
            <w14:solidFill>
              <w14:schemeClr w14:val="tx1"/>
            </w14:solidFill>
          </w14:textFill>
        </w:rPr>
      </w:pPr>
    </w:p>
    <w:p w14:paraId="3CA1660E">
      <w:pPr>
        <w:pStyle w:val="12"/>
        <w:rPr>
          <w:rFonts w:hint="eastAsia" w:ascii="宋体" w:hAnsi="宋体" w:eastAsia="宋体" w:cs="宋体"/>
          <w:color w:val="000000" w:themeColor="text1"/>
          <w:sz w:val="24"/>
          <w:szCs w:val="24"/>
          <w:highlight w:val="none"/>
          <w14:textFill>
            <w14:solidFill>
              <w14:schemeClr w14:val="tx1"/>
            </w14:solidFill>
          </w14:textFill>
        </w:rPr>
      </w:pPr>
    </w:p>
    <w:p w14:paraId="1827501E">
      <w:pPr>
        <w:pStyle w:val="12"/>
        <w:rPr>
          <w:rFonts w:hint="eastAsia" w:ascii="宋体" w:hAnsi="宋体" w:eastAsia="宋体" w:cs="宋体"/>
          <w:color w:val="000000" w:themeColor="text1"/>
          <w:sz w:val="24"/>
          <w:szCs w:val="24"/>
          <w:highlight w:val="none"/>
          <w14:textFill>
            <w14:solidFill>
              <w14:schemeClr w14:val="tx1"/>
            </w14:solidFill>
          </w14:textFill>
        </w:rPr>
      </w:pPr>
    </w:p>
    <w:p w14:paraId="7CB3EFA7">
      <w:pPr>
        <w:pStyle w:val="12"/>
        <w:rPr>
          <w:rFonts w:hint="eastAsia" w:ascii="宋体" w:hAnsi="宋体" w:eastAsia="宋体" w:cs="宋体"/>
          <w:color w:val="000000" w:themeColor="text1"/>
          <w:sz w:val="24"/>
          <w:szCs w:val="24"/>
          <w:highlight w:val="none"/>
          <w14:textFill>
            <w14:solidFill>
              <w14:schemeClr w14:val="tx1"/>
            </w14:solidFill>
          </w14:textFill>
        </w:rPr>
      </w:pPr>
    </w:p>
    <w:p w14:paraId="69D786F9">
      <w:pPr>
        <w:pStyle w:val="12"/>
        <w:rPr>
          <w:rFonts w:hint="eastAsia" w:ascii="宋体" w:hAnsi="宋体" w:eastAsia="宋体" w:cs="宋体"/>
          <w:color w:val="000000" w:themeColor="text1"/>
          <w:sz w:val="24"/>
          <w:szCs w:val="24"/>
          <w:highlight w:val="none"/>
          <w14:textFill>
            <w14:solidFill>
              <w14:schemeClr w14:val="tx1"/>
            </w14:solidFill>
          </w14:textFill>
        </w:rPr>
      </w:pPr>
    </w:p>
    <w:p w14:paraId="143FE3D2">
      <w:pPr>
        <w:pStyle w:val="12"/>
        <w:rPr>
          <w:rFonts w:hint="eastAsia" w:ascii="宋体" w:hAnsi="宋体" w:eastAsia="宋体" w:cs="宋体"/>
          <w:color w:val="000000" w:themeColor="text1"/>
          <w:sz w:val="24"/>
          <w:szCs w:val="24"/>
          <w:highlight w:val="none"/>
          <w14:textFill>
            <w14:solidFill>
              <w14:schemeClr w14:val="tx1"/>
            </w14:solidFill>
          </w14:textFill>
        </w:rPr>
      </w:pPr>
    </w:p>
    <w:p w14:paraId="249FB960">
      <w:pPr>
        <w:pStyle w:val="12"/>
        <w:rPr>
          <w:rFonts w:hint="eastAsia" w:ascii="宋体" w:hAnsi="宋体" w:eastAsia="宋体" w:cs="宋体"/>
          <w:color w:val="000000" w:themeColor="text1"/>
          <w:sz w:val="24"/>
          <w:szCs w:val="24"/>
          <w:highlight w:val="none"/>
          <w14:textFill>
            <w14:solidFill>
              <w14:schemeClr w14:val="tx1"/>
            </w14:solidFill>
          </w14:textFill>
        </w:rPr>
      </w:pPr>
    </w:p>
    <w:p w14:paraId="2C59AE56">
      <w:pPr>
        <w:pStyle w:val="12"/>
        <w:rPr>
          <w:rFonts w:hint="eastAsia" w:ascii="宋体" w:hAnsi="宋体" w:eastAsia="宋体" w:cs="宋体"/>
          <w:color w:val="000000" w:themeColor="text1"/>
          <w:sz w:val="24"/>
          <w:szCs w:val="24"/>
          <w:highlight w:val="none"/>
          <w14:textFill>
            <w14:solidFill>
              <w14:schemeClr w14:val="tx1"/>
            </w14:solidFill>
          </w14:textFill>
        </w:rPr>
      </w:pPr>
    </w:p>
    <w:p w14:paraId="5EF5591D">
      <w:pPr>
        <w:pStyle w:val="10"/>
        <w:rPr>
          <w:rFonts w:hint="eastAsia"/>
          <w:color w:val="000000" w:themeColor="text1"/>
          <w:sz w:val="24"/>
          <w:szCs w:val="24"/>
          <w:highlight w:val="none"/>
          <w14:textFill>
            <w14:solidFill>
              <w14:schemeClr w14:val="tx1"/>
            </w14:solidFill>
          </w14:textFill>
        </w:rPr>
      </w:pPr>
    </w:p>
    <w:p w14:paraId="0508C511">
      <w:pPr>
        <w:spacing w:line="240" w:lineRule="auto"/>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r>
        <w:rPr>
          <w:rFonts w:hint="eastAsia" w:hAnsi="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t>拟投入本工程主要施工管理人员表（必须提供）；</w:t>
      </w:r>
    </w:p>
    <w:p w14:paraId="48B1FDDC">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主要施工管理人员表</w:t>
      </w:r>
    </w:p>
    <w:p w14:paraId="6669E91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bl>
      <w:tblPr>
        <w:tblStyle w:val="1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14:paraId="05DF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50D63B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   称</w:t>
            </w:r>
          </w:p>
        </w:tc>
        <w:tc>
          <w:tcPr>
            <w:tcW w:w="793" w:type="dxa"/>
            <w:tcBorders>
              <w:top w:val="single" w:color="auto" w:sz="4" w:space="0"/>
              <w:left w:val="single" w:color="auto" w:sz="4" w:space="0"/>
              <w:bottom w:val="single" w:color="auto" w:sz="4" w:space="0"/>
              <w:right w:val="single" w:color="auto" w:sz="4" w:space="0"/>
            </w:tcBorders>
            <w:vAlign w:val="center"/>
          </w:tcPr>
          <w:p w14:paraId="79E995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姓名</w:t>
            </w:r>
          </w:p>
        </w:tc>
        <w:tc>
          <w:tcPr>
            <w:tcW w:w="792" w:type="dxa"/>
            <w:tcBorders>
              <w:top w:val="single" w:color="auto" w:sz="4" w:space="0"/>
              <w:left w:val="single" w:color="auto" w:sz="4" w:space="0"/>
              <w:bottom w:val="single" w:color="auto" w:sz="4" w:space="0"/>
              <w:right w:val="single" w:color="auto" w:sz="4" w:space="0"/>
            </w:tcBorders>
            <w:vAlign w:val="center"/>
          </w:tcPr>
          <w:p w14:paraId="3F6DF0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职务</w:t>
            </w:r>
          </w:p>
        </w:tc>
        <w:tc>
          <w:tcPr>
            <w:tcW w:w="1447" w:type="dxa"/>
            <w:tcBorders>
              <w:top w:val="single" w:color="auto" w:sz="4" w:space="0"/>
              <w:left w:val="single" w:color="auto" w:sz="4" w:space="0"/>
              <w:bottom w:val="single" w:color="auto" w:sz="4" w:space="0"/>
              <w:right w:val="single" w:color="auto" w:sz="4" w:space="0"/>
            </w:tcBorders>
            <w:vAlign w:val="center"/>
          </w:tcPr>
          <w:p w14:paraId="23BAA4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资质/职称</w:t>
            </w:r>
          </w:p>
        </w:tc>
        <w:tc>
          <w:tcPr>
            <w:tcW w:w="3672" w:type="dxa"/>
            <w:tcBorders>
              <w:top w:val="single" w:color="auto" w:sz="4" w:space="0"/>
              <w:left w:val="single" w:color="auto" w:sz="4" w:space="0"/>
              <w:bottom w:val="single" w:color="auto" w:sz="4" w:space="0"/>
              <w:right w:val="single" w:color="auto" w:sz="4" w:space="0"/>
            </w:tcBorders>
            <w:vAlign w:val="center"/>
          </w:tcPr>
          <w:p w14:paraId="7D6F55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执业资格证号/上岗证号</w:t>
            </w:r>
          </w:p>
        </w:tc>
      </w:tr>
      <w:tr w14:paraId="5F3B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11AEDE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一、总部</w:t>
            </w:r>
          </w:p>
        </w:tc>
        <w:tc>
          <w:tcPr>
            <w:tcW w:w="793" w:type="dxa"/>
            <w:tcBorders>
              <w:top w:val="single" w:color="auto" w:sz="4" w:space="0"/>
              <w:left w:val="single" w:color="auto" w:sz="4" w:space="0"/>
              <w:bottom w:val="single" w:color="auto" w:sz="4" w:space="0"/>
              <w:right w:val="single" w:color="auto" w:sz="4" w:space="0"/>
            </w:tcBorders>
            <w:vAlign w:val="center"/>
          </w:tcPr>
          <w:p w14:paraId="550AD1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557D32A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486830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654C65E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0BB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4CC9EE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1.项目主管</w:t>
            </w:r>
          </w:p>
        </w:tc>
        <w:tc>
          <w:tcPr>
            <w:tcW w:w="793" w:type="dxa"/>
            <w:tcBorders>
              <w:top w:val="single" w:color="auto" w:sz="4" w:space="0"/>
              <w:left w:val="single" w:color="auto" w:sz="4" w:space="0"/>
              <w:bottom w:val="single" w:color="auto" w:sz="4" w:space="0"/>
              <w:right w:val="single" w:color="auto" w:sz="4" w:space="0"/>
            </w:tcBorders>
            <w:vAlign w:val="center"/>
          </w:tcPr>
          <w:p w14:paraId="541180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4C723B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1B6C05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458807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5F5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3DE94F0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2.其他人员</w:t>
            </w:r>
          </w:p>
        </w:tc>
        <w:tc>
          <w:tcPr>
            <w:tcW w:w="793" w:type="dxa"/>
            <w:tcBorders>
              <w:top w:val="single" w:color="auto" w:sz="4" w:space="0"/>
              <w:left w:val="single" w:color="auto" w:sz="4" w:space="0"/>
              <w:bottom w:val="single" w:color="auto" w:sz="4" w:space="0"/>
              <w:right w:val="single" w:color="auto" w:sz="4" w:space="0"/>
            </w:tcBorders>
            <w:vAlign w:val="center"/>
          </w:tcPr>
          <w:p w14:paraId="7204BC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3F2AE7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09BDEBF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0751D50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1A7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05386CD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cBorders>
            <w:vAlign w:val="center"/>
          </w:tcPr>
          <w:p w14:paraId="090DAAB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6C26BB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581DD6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306B045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972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69FC9A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二、现场</w:t>
            </w:r>
          </w:p>
        </w:tc>
        <w:tc>
          <w:tcPr>
            <w:tcW w:w="793" w:type="dxa"/>
            <w:tcBorders>
              <w:top w:val="single" w:color="auto" w:sz="4" w:space="0"/>
              <w:left w:val="single" w:color="auto" w:sz="4" w:space="0"/>
              <w:bottom w:val="single" w:color="auto" w:sz="4" w:space="0"/>
              <w:right w:val="single" w:color="auto" w:sz="4" w:space="0"/>
            </w:tcBorders>
            <w:vAlign w:val="center"/>
          </w:tcPr>
          <w:p w14:paraId="51F34C4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151F08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6998D3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0EC43F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3D7C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1B0104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项目经理</w:t>
            </w:r>
          </w:p>
        </w:tc>
        <w:tc>
          <w:tcPr>
            <w:tcW w:w="793" w:type="dxa"/>
            <w:tcBorders>
              <w:top w:val="single" w:color="auto" w:sz="4" w:space="0"/>
              <w:left w:val="single" w:color="auto" w:sz="4" w:space="0"/>
              <w:bottom w:val="single" w:color="auto" w:sz="4" w:space="0"/>
              <w:right w:val="single" w:color="auto" w:sz="4" w:space="0"/>
            </w:tcBorders>
            <w:vAlign w:val="center"/>
          </w:tcPr>
          <w:p w14:paraId="262954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557EA27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02C0F4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55966FE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3060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5B0D2F2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2.项目副经理（如有）</w:t>
            </w:r>
          </w:p>
        </w:tc>
        <w:tc>
          <w:tcPr>
            <w:tcW w:w="793" w:type="dxa"/>
            <w:tcBorders>
              <w:top w:val="single" w:color="auto" w:sz="4" w:space="0"/>
              <w:left w:val="single" w:color="auto" w:sz="4" w:space="0"/>
              <w:bottom w:val="single" w:color="auto" w:sz="4" w:space="0"/>
              <w:right w:val="single" w:color="auto" w:sz="4" w:space="0"/>
            </w:tcBorders>
            <w:vAlign w:val="center"/>
          </w:tcPr>
          <w:p w14:paraId="74E2CF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1EE704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36AA5F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329E0C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BA8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0D63324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3.技术负责人</w:t>
            </w:r>
          </w:p>
        </w:tc>
        <w:tc>
          <w:tcPr>
            <w:tcW w:w="793" w:type="dxa"/>
            <w:tcBorders>
              <w:top w:val="single" w:color="auto" w:sz="4" w:space="0"/>
              <w:left w:val="single" w:color="auto" w:sz="4" w:space="0"/>
              <w:bottom w:val="single" w:color="auto" w:sz="4" w:space="0"/>
              <w:right w:val="single" w:color="auto" w:sz="4" w:space="0"/>
            </w:tcBorders>
            <w:vAlign w:val="center"/>
          </w:tcPr>
          <w:p w14:paraId="55277A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578ABB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68A72CC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66D8D6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E4B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70BE20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4.施工员</w:t>
            </w:r>
          </w:p>
        </w:tc>
        <w:tc>
          <w:tcPr>
            <w:tcW w:w="793" w:type="dxa"/>
            <w:tcBorders>
              <w:top w:val="single" w:color="auto" w:sz="4" w:space="0"/>
              <w:left w:val="single" w:color="auto" w:sz="4" w:space="0"/>
              <w:bottom w:val="single" w:color="auto" w:sz="4" w:space="0"/>
              <w:right w:val="single" w:color="auto" w:sz="4" w:space="0"/>
            </w:tcBorders>
            <w:vAlign w:val="center"/>
          </w:tcPr>
          <w:p w14:paraId="0B96B84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748B96E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5BC0BBE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14013E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7E7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679D15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5.质检</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员</w:t>
            </w:r>
          </w:p>
        </w:tc>
        <w:tc>
          <w:tcPr>
            <w:tcW w:w="793" w:type="dxa"/>
            <w:tcBorders>
              <w:top w:val="single" w:color="auto" w:sz="4" w:space="0"/>
              <w:left w:val="single" w:color="auto" w:sz="4" w:space="0"/>
              <w:bottom w:val="single" w:color="auto" w:sz="4" w:space="0"/>
              <w:right w:val="single" w:color="auto" w:sz="4" w:space="0"/>
            </w:tcBorders>
            <w:vAlign w:val="center"/>
          </w:tcPr>
          <w:p w14:paraId="6B0580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09DB1B4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748E7D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2F5CAC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D9B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3F0B69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6.专职安全生产管理人员</w:t>
            </w:r>
          </w:p>
        </w:tc>
        <w:tc>
          <w:tcPr>
            <w:tcW w:w="793" w:type="dxa"/>
            <w:tcBorders>
              <w:top w:val="single" w:color="auto" w:sz="4" w:space="0"/>
              <w:left w:val="single" w:color="auto" w:sz="4" w:space="0"/>
              <w:bottom w:val="single" w:color="auto" w:sz="4" w:space="0"/>
              <w:right w:val="single" w:color="auto" w:sz="4" w:space="0"/>
            </w:tcBorders>
            <w:vAlign w:val="center"/>
          </w:tcPr>
          <w:p w14:paraId="5F68CD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60ABF1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21F2114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5E5C7B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530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21A2EE4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7.材料员</w:t>
            </w:r>
          </w:p>
        </w:tc>
        <w:tc>
          <w:tcPr>
            <w:tcW w:w="793" w:type="dxa"/>
            <w:tcBorders>
              <w:top w:val="single" w:color="auto" w:sz="4" w:space="0"/>
              <w:left w:val="single" w:color="auto" w:sz="4" w:space="0"/>
              <w:bottom w:val="single" w:color="auto" w:sz="4" w:space="0"/>
              <w:right w:val="single" w:color="auto" w:sz="4" w:space="0"/>
            </w:tcBorders>
            <w:vAlign w:val="center"/>
          </w:tcPr>
          <w:p w14:paraId="426D00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266FBA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42C8749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17170C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333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5B0B445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793" w:type="dxa"/>
            <w:tcBorders>
              <w:top w:val="single" w:color="auto" w:sz="4" w:space="0"/>
              <w:left w:val="single" w:color="auto" w:sz="4" w:space="0"/>
              <w:bottom w:val="single" w:color="auto" w:sz="4" w:space="0"/>
              <w:right w:val="single" w:color="auto" w:sz="4" w:space="0"/>
            </w:tcBorders>
            <w:vAlign w:val="center"/>
          </w:tcPr>
          <w:p w14:paraId="2DFB14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5D9777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08495E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3CAA244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14:paraId="2389FB5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pacing w:val="-2"/>
          <w:kern w:val="0"/>
          <w:sz w:val="21"/>
          <w:szCs w:val="21"/>
          <w:highlight w:val="none"/>
          <w14:textFill>
            <w14:solidFill>
              <w14:schemeClr w14:val="tx1"/>
            </w14:solidFill>
          </w14:textFill>
        </w:rPr>
      </w:pPr>
      <w:r>
        <w:rPr>
          <w:rFonts w:hint="eastAsia" w:ascii="宋体" w:hAnsi="宋体" w:eastAsia="宋体" w:cs="宋体"/>
          <w:bCs/>
          <w:color w:val="000000" w:themeColor="text1"/>
          <w:spacing w:val="-2"/>
          <w:sz w:val="21"/>
          <w:szCs w:val="21"/>
          <w:highlight w:val="none"/>
          <w14:textFill>
            <w14:solidFill>
              <w14:schemeClr w14:val="tx1"/>
            </w14:solidFill>
          </w14:textFill>
        </w:rPr>
        <w:t>注：人员配备</w:t>
      </w:r>
      <w:r>
        <w:rPr>
          <w:rFonts w:hint="eastAsia" w:ascii="宋体" w:hAnsi="宋体" w:eastAsia="宋体" w:cs="宋体"/>
          <w:color w:val="000000" w:themeColor="text1"/>
          <w:spacing w:val="-2"/>
          <w:sz w:val="21"/>
          <w:szCs w:val="21"/>
          <w:highlight w:val="none"/>
          <w14:textFill>
            <w14:solidFill>
              <w14:schemeClr w14:val="tx1"/>
            </w14:solidFill>
          </w14:textFill>
        </w:rPr>
        <w:t>应按桂林市建设与规划委员会市建规〔2006〕270号文《关于调整建筑施工现场项目部管理的通知》的规定执行，须满足最低要求。</w:t>
      </w:r>
      <w:r>
        <w:rPr>
          <w:rFonts w:hint="eastAsia" w:ascii="宋体" w:hAnsi="宋体" w:eastAsia="宋体" w:cs="宋体"/>
          <w:color w:val="000000" w:themeColor="text1"/>
          <w:spacing w:val="-2"/>
          <w:kern w:val="0"/>
          <w:sz w:val="21"/>
          <w:szCs w:val="21"/>
          <w:highlight w:val="none"/>
          <w14:textFill>
            <w14:solidFill>
              <w14:schemeClr w14:val="tx1"/>
            </w14:solidFill>
          </w14:textFill>
        </w:rPr>
        <w:t>其中，</w:t>
      </w:r>
      <w:r>
        <w:rPr>
          <w:rFonts w:hint="eastAsia" w:ascii="宋体" w:hAnsi="宋体" w:eastAsia="宋体" w:cs="宋体"/>
          <w:color w:val="000000" w:themeColor="text1"/>
          <w:spacing w:val="-2"/>
          <w:kern w:val="0"/>
          <w:sz w:val="21"/>
          <w:szCs w:val="21"/>
          <w:highlight w:val="none"/>
          <w:lang w:eastAsia="zh-CN"/>
          <w14:textFill>
            <w14:solidFill>
              <w14:schemeClr w14:val="tx1"/>
            </w14:solidFill>
          </w14:textFill>
        </w:rPr>
        <w:t>项目经理</w:t>
      </w:r>
      <w:r>
        <w:rPr>
          <w:rFonts w:hint="eastAsia" w:ascii="宋体" w:hAnsi="宋体" w:eastAsia="宋体" w:cs="宋体"/>
          <w:color w:val="000000" w:themeColor="text1"/>
          <w:spacing w:val="-2"/>
          <w:kern w:val="0"/>
          <w:sz w:val="21"/>
          <w:szCs w:val="21"/>
          <w:highlight w:val="none"/>
          <w14:textFill>
            <w14:solidFill>
              <w14:schemeClr w14:val="tx1"/>
            </w14:solidFill>
          </w14:textFill>
        </w:rPr>
        <w:t>至少应附身份证复印件、</w:t>
      </w:r>
      <w:r>
        <w:rPr>
          <w:rFonts w:hint="eastAsia" w:ascii="宋体" w:hAnsi="宋体" w:eastAsia="宋体" w:cs="宋体"/>
          <w:color w:val="000000" w:themeColor="text1"/>
          <w:spacing w:val="-2"/>
          <w:kern w:val="0"/>
          <w:sz w:val="21"/>
          <w:szCs w:val="21"/>
          <w:highlight w:val="none"/>
          <w:lang w:val="en-US" w:eastAsia="zh-CN"/>
          <w14:textFill>
            <w14:solidFill>
              <w14:schemeClr w14:val="tx1"/>
            </w14:solidFill>
          </w14:textFill>
        </w:rPr>
        <w:t>建造师注册证书</w:t>
      </w:r>
      <w:r>
        <w:rPr>
          <w:rFonts w:hint="eastAsia" w:ascii="宋体" w:hAnsi="宋体" w:eastAsia="宋体" w:cs="宋体"/>
          <w:color w:val="000000" w:themeColor="text1"/>
          <w:spacing w:val="-2"/>
          <w:kern w:val="0"/>
          <w:sz w:val="21"/>
          <w:szCs w:val="21"/>
          <w:highlight w:val="none"/>
          <w14:textFill>
            <w14:solidFill>
              <w14:schemeClr w14:val="tx1"/>
            </w14:solidFill>
          </w14:textFill>
        </w:rPr>
        <w:t>复印件、安全生产考核合格证书（B类）复印件；技术负责人应附身份证复印件、职称证复印件；专职安全生产管理人员至少应附身份证复印件、专职安全员安全生产考核合格证书（C类）复印件；其他主要人员（施工员、质检</w:t>
      </w:r>
      <w:r>
        <w:rPr>
          <w:rFonts w:hint="eastAsia" w:ascii="宋体" w:hAnsi="宋体" w:eastAsia="宋体" w:cs="宋体"/>
          <w:color w:val="000000" w:themeColor="text1"/>
          <w:spacing w:val="-2"/>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
          <w:kern w:val="0"/>
          <w:sz w:val="21"/>
          <w:szCs w:val="21"/>
          <w:highlight w:val="none"/>
          <w:lang w:val="en-US" w:eastAsia="zh-CN"/>
          <w14:textFill>
            <w14:solidFill>
              <w14:schemeClr w14:val="tx1"/>
            </w14:solidFill>
          </w14:textFill>
        </w:rPr>
        <w:t>量</w:t>
      </w:r>
      <w:r>
        <w:rPr>
          <w:rFonts w:hint="eastAsia" w:ascii="宋体" w:hAnsi="宋体" w:eastAsia="宋体" w:cs="宋体"/>
          <w:color w:val="000000" w:themeColor="text1"/>
          <w:spacing w:val="-2"/>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
          <w:kern w:val="0"/>
          <w:sz w:val="21"/>
          <w:szCs w:val="21"/>
          <w:highlight w:val="none"/>
          <w14:textFill>
            <w14:solidFill>
              <w14:schemeClr w14:val="tx1"/>
            </w14:solidFill>
          </w14:textFill>
        </w:rPr>
        <w:t>员、材料员）应附执业证或上岗证书复印件。</w:t>
      </w:r>
      <w:r>
        <w:rPr>
          <w:rFonts w:hint="eastAsia" w:ascii="宋体" w:hAnsi="宋体" w:eastAsia="宋体" w:cs="宋体"/>
          <w:color w:val="000000" w:themeColor="text1"/>
          <w:kern w:val="0"/>
          <w:sz w:val="21"/>
          <w:szCs w:val="21"/>
          <w:highlight w:val="none"/>
          <w14:textFill>
            <w14:solidFill>
              <w14:schemeClr w14:val="tx1"/>
            </w14:solidFill>
          </w14:textFill>
        </w:rPr>
        <w:t>同时还需提供社保部门出具</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为项目管理机构成员（包含项目经理、技术负责人、专职安全员、施工员、质检</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量</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员、材料员）缴纳的响应文件递交截止时间前半年内任意连续三个月社保证明复印件。若为近期新聘员工的，以提供劳动合同证明材料复印件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若</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为退休员工则需提供退休证明及劳动合同</w:t>
      </w:r>
      <w:r>
        <w:rPr>
          <w:rFonts w:hint="eastAsia" w:ascii="宋体" w:hAnsi="宋体" w:eastAsia="宋体" w:cs="宋体"/>
          <w:color w:val="000000" w:themeColor="text1"/>
          <w:kern w:val="0"/>
          <w:sz w:val="21"/>
          <w:szCs w:val="21"/>
          <w:highlight w:val="none"/>
          <w14:textFill>
            <w14:solidFill>
              <w14:schemeClr w14:val="tx1"/>
            </w14:solidFill>
          </w14:textFill>
        </w:rPr>
        <w:t>为准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
          <w:kern w:val="0"/>
          <w:sz w:val="21"/>
          <w:szCs w:val="21"/>
          <w:highlight w:val="none"/>
          <w14:textFill>
            <w14:solidFill>
              <w14:schemeClr w14:val="tx1"/>
            </w14:solidFill>
          </w14:textFill>
        </w:rPr>
        <w:t>上述复印件均需加盖</w:t>
      </w:r>
      <w:r>
        <w:rPr>
          <w:rFonts w:hint="eastAsia" w:ascii="宋体" w:hAnsi="宋体" w:eastAsia="宋体" w:cs="宋体"/>
          <w:color w:val="000000" w:themeColor="text1"/>
          <w:spacing w:val="-2"/>
          <w:kern w:val="0"/>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pacing w:val="-2"/>
          <w:kern w:val="0"/>
          <w:sz w:val="21"/>
          <w:szCs w:val="21"/>
          <w:highlight w:val="none"/>
          <w14:textFill>
            <w14:solidFill>
              <w14:schemeClr w14:val="tx1"/>
            </w14:solidFill>
          </w14:textFill>
        </w:rPr>
        <w:t>公章。</w:t>
      </w:r>
    </w:p>
    <w:p w14:paraId="6FAE9DBB">
      <w:pPr>
        <w:pStyle w:val="11"/>
        <w:spacing w:line="340" w:lineRule="exact"/>
        <w:jc w:val="center"/>
        <w:rPr>
          <w:rFonts w:hint="eastAsia" w:ascii="宋体" w:hAnsi="宋体" w:eastAsia="宋体" w:cs="宋体"/>
          <w:b/>
          <w:color w:val="000000" w:themeColor="text1"/>
          <w:sz w:val="21"/>
          <w:szCs w:val="21"/>
          <w:highlight w:val="none"/>
          <w14:textFill>
            <w14:solidFill>
              <w14:schemeClr w14:val="tx1"/>
            </w14:solidFill>
          </w14:textFill>
        </w:rPr>
      </w:pPr>
    </w:p>
    <w:p w14:paraId="6B9E1BC0">
      <w:pPr>
        <w:pStyle w:val="7"/>
        <w:rPr>
          <w:rFonts w:hint="eastAsia"/>
          <w:color w:val="000000" w:themeColor="text1"/>
          <w:sz w:val="21"/>
          <w:szCs w:val="21"/>
          <w:highlight w:val="none"/>
          <w14:textFill>
            <w14:solidFill>
              <w14:schemeClr w14:val="tx1"/>
            </w14:solidFill>
          </w14:textFill>
        </w:rPr>
      </w:pPr>
    </w:p>
    <w:p w14:paraId="07E8248A">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，自然人</w:t>
      </w:r>
      <w:r>
        <w:rPr>
          <w:rFonts w:hint="eastAsia" w:ascii="宋体" w:hAnsi="宋体" w:eastAsia="宋体" w:cs="宋体"/>
          <w:color w:val="000000" w:themeColor="text1"/>
          <w:sz w:val="21"/>
          <w:szCs w:val="21"/>
          <w:highlight w:val="none"/>
          <w:lang w:eastAsia="zh-CN"/>
          <w14:textFill>
            <w14:solidFill>
              <w14:schemeClr w14:val="tx1"/>
            </w14:solidFill>
          </w14:textFill>
        </w:rPr>
        <w:t>签字或个人</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F05B42D">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E0B0D8A">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6A554309">
      <w:pPr>
        <w:pStyle w:val="11"/>
        <w:numPr>
          <w:ilvl w:val="0"/>
          <w:numId w:val="0"/>
        </w:numPr>
        <w:spacing w:line="340" w:lineRule="exact"/>
        <w:ind w:left="0" w:firstLine="0"/>
        <w:rPr>
          <w:rFonts w:hint="eastAsia" w:hAnsi="宋体" w:cs="宋体"/>
          <w:b/>
          <w:color w:val="000000" w:themeColor="text1"/>
          <w:sz w:val="24"/>
          <w:szCs w:val="24"/>
          <w:highlight w:val="none"/>
          <w:lang w:val="en-US" w:eastAsia="zh-CN"/>
          <w14:textFill>
            <w14:solidFill>
              <w14:schemeClr w14:val="tx1"/>
            </w14:solidFill>
          </w14:textFill>
        </w:rPr>
      </w:pPr>
    </w:p>
    <w:p w14:paraId="0E027DEF">
      <w:pPr>
        <w:pStyle w:val="11"/>
        <w:numPr>
          <w:ilvl w:val="0"/>
          <w:numId w:val="0"/>
        </w:numPr>
        <w:spacing w:line="340" w:lineRule="exact"/>
        <w:ind w:left="0" w:firstLine="0"/>
        <w:rPr>
          <w:rFonts w:hint="eastAsia" w:hAnsi="宋体" w:cs="宋体"/>
          <w:b/>
          <w:color w:val="000000" w:themeColor="text1"/>
          <w:sz w:val="24"/>
          <w:szCs w:val="24"/>
          <w:highlight w:val="none"/>
          <w:lang w:val="en-US" w:eastAsia="zh-CN"/>
          <w14:textFill>
            <w14:solidFill>
              <w14:schemeClr w14:val="tx1"/>
            </w14:solidFill>
          </w14:textFill>
        </w:rPr>
      </w:pPr>
    </w:p>
    <w:p w14:paraId="0AF1F7AC">
      <w:pPr>
        <w:pStyle w:val="11"/>
        <w:numPr>
          <w:ilvl w:val="0"/>
          <w:numId w:val="0"/>
        </w:numPr>
        <w:spacing w:line="340" w:lineRule="exact"/>
        <w:ind w:left="0" w:firstLine="0"/>
        <w:rPr>
          <w:rFonts w:hint="eastAsia" w:hAnsi="宋体" w:cs="宋体"/>
          <w:b/>
          <w:color w:val="000000" w:themeColor="text1"/>
          <w:sz w:val="24"/>
          <w:szCs w:val="24"/>
          <w:highlight w:val="none"/>
          <w:lang w:val="en-US" w:eastAsia="zh-CN"/>
          <w14:textFill>
            <w14:solidFill>
              <w14:schemeClr w14:val="tx1"/>
            </w14:solidFill>
          </w14:textFill>
        </w:rPr>
      </w:pPr>
    </w:p>
    <w:p w14:paraId="0F795135">
      <w:pPr>
        <w:rPr>
          <w:rFonts w:hint="eastAsia" w:hAnsi="宋体" w:cs="宋体"/>
          <w:b/>
          <w:color w:val="000000" w:themeColor="text1"/>
          <w:sz w:val="24"/>
          <w:szCs w:val="24"/>
          <w:highlight w:val="none"/>
          <w:lang w:val="en-US" w:eastAsia="zh-CN"/>
          <w14:textFill>
            <w14:solidFill>
              <w14:schemeClr w14:val="tx1"/>
            </w14:solidFill>
          </w14:textFill>
        </w:rPr>
      </w:pPr>
      <w:r>
        <w:rPr>
          <w:rFonts w:hint="eastAsia" w:hAnsi="宋体" w:cs="宋体"/>
          <w:b/>
          <w:color w:val="000000" w:themeColor="text1"/>
          <w:sz w:val="24"/>
          <w:szCs w:val="24"/>
          <w:highlight w:val="none"/>
          <w:lang w:val="en-US" w:eastAsia="zh-CN"/>
          <w14:textFill>
            <w14:solidFill>
              <w14:schemeClr w14:val="tx1"/>
            </w14:solidFill>
          </w14:textFill>
        </w:rPr>
        <w:br w:type="page"/>
      </w:r>
    </w:p>
    <w:p w14:paraId="06260BDF">
      <w:pPr>
        <w:pStyle w:val="11"/>
        <w:numPr>
          <w:ilvl w:val="0"/>
          <w:numId w:val="0"/>
        </w:numPr>
        <w:spacing w:line="340" w:lineRule="exact"/>
        <w:ind w:left="0" w:firstLine="0"/>
        <w:rPr>
          <w:rFonts w:hint="eastAsia" w:ascii="宋体" w:hAnsi="宋体" w:eastAsia="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.担任本工程的</w:t>
      </w:r>
      <w:r>
        <w:rPr>
          <w:rFonts w:hint="eastAsia" w:hAnsi="宋体" w:eastAsia="宋体" w:cs="宋体"/>
          <w:b/>
          <w:color w:val="000000" w:themeColor="text1"/>
          <w:sz w:val="24"/>
          <w:szCs w:val="24"/>
          <w:highlight w:val="none"/>
          <w:lang w:val="en-US" w:eastAsia="zh-CN"/>
          <w14:textFill>
            <w14:solidFill>
              <w14:schemeClr w14:val="tx1"/>
            </w14:solidFill>
          </w14:textFill>
        </w:rPr>
        <w:t>项目经理</w:t>
      </w:r>
      <w:r>
        <w:rPr>
          <w:rFonts w:hint="eastAsia" w:ascii="宋体" w:hAnsi="宋体" w:eastAsia="宋体" w:cs="宋体"/>
          <w:b/>
          <w:color w:val="000000" w:themeColor="text1"/>
          <w:sz w:val="24"/>
          <w:szCs w:val="24"/>
          <w:highlight w:val="none"/>
          <w:lang w:val="en-US" w:eastAsia="zh-CN"/>
          <w14:textFill>
            <w14:solidFill>
              <w14:schemeClr w14:val="tx1"/>
            </w14:solidFill>
          </w14:textFill>
        </w:rPr>
        <w:t>简历表（应附相关证书、身份证复印件）（必须提供）</w:t>
      </w:r>
      <w:r>
        <w:rPr>
          <w:rFonts w:hint="eastAsia" w:ascii="宋体" w:hAnsi="宋体" w:eastAsia="宋体" w:cs="宋体"/>
          <w:b/>
          <w:color w:val="000000" w:themeColor="text1"/>
          <w:sz w:val="24"/>
          <w:szCs w:val="24"/>
          <w:highlight w:val="none"/>
          <w14:textFill>
            <w14:solidFill>
              <w14:schemeClr w14:val="tx1"/>
            </w14:solidFill>
          </w14:textFill>
        </w:rPr>
        <w:t>；</w:t>
      </w:r>
    </w:p>
    <w:p w14:paraId="47216229">
      <w:pPr>
        <w:rPr>
          <w:rFonts w:hint="eastAsia" w:ascii="宋体" w:hAnsi="宋体" w:eastAsia="宋体" w:cs="宋体"/>
          <w:color w:val="000000" w:themeColor="text1"/>
          <w:sz w:val="24"/>
          <w:szCs w:val="24"/>
          <w:highlight w:val="none"/>
          <w14:textFill>
            <w14:solidFill>
              <w14:schemeClr w14:val="tx1"/>
            </w14:solidFill>
          </w14:textFill>
        </w:rPr>
      </w:pPr>
    </w:p>
    <w:p w14:paraId="774A964A">
      <w:pPr>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担任本工程的项目经理简历表</w:t>
      </w:r>
    </w:p>
    <w:p w14:paraId="5564DE58">
      <w:pPr>
        <w:jc w:val="center"/>
        <w:rPr>
          <w:rFonts w:hint="eastAsia" w:ascii="宋体" w:hAnsi="宋体" w:cs="宋体"/>
          <w:b/>
          <w:color w:val="000000" w:themeColor="text1"/>
          <w:sz w:val="24"/>
          <w:szCs w:val="24"/>
          <w:highlight w:val="none"/>
          <w14:textFill>
            <w14:solidFill>
              <w14:schemeClr w14:val="tx1"/>
            </w14:solidFill>
          </w14:textFill>
        </w:rPr>
      </w:pPr>
    </w:p>
    <w:tbl>
      <w:tblPr>
        <w:tblStyle w:val="19"/>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0647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vAlign w:val="top"/>
          </w:tcPr>
          <w:p w14:paraId="5E5E1B50">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姓  名</w:t>
            </w:r>
          </w:p>
        </w:tc>
        <w:tc>
          <w:tcPr>
            <w:tcW w:w="1608" w:type="dxa"/>
            <w:tcBorders>
              <w:top w:val="single" w:color="auto" w:sz="8" w:space="0"/>
            </w:tcBorders>
            <w:vAlign w:val="top"/>
          </w:tcPr>
          <w:p w14:paraId="05D76758">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072" w:type="dxa"/>
            <w:tcBorders>
              <w:top w:val="single" w:color="auto" w:sz="8" w:space="0"/>
            </w:tcBorders>
            <w:vAlign w:val="top"/>
          </w:tcPr>
          <w:p w14:paraId="3F9B2414">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性  别</w:t>
            </w:r>
          </w:p>
        </w:tc>
        <w:tc>
          <w:tcPr>
            <w:tcW w:w="1072" w:type="dxa"/>
            <w:gridSpan w:val="3"/>
            <w:tcBorders>
              <w:top w:val="single" w:color="auto" w:sz="8" w:space="0"/>
            </w:tcBorders>
            <w:vAlign w:val="top"/>
          </w:tcPr>
          <w:p w14:paraId="46E71E95">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340" w:type="dxa"/>
            <w:gridSpan w:val="2"/>
            <w:tcBorders>
              <w:top w:val="single" w:color="auto" w:sz="8" w:space="0"/>
            </w:tcBorders>
            <w:vAlign w:val="top"/>
          </w:tcPr>
          <w:p w14:paraId="527ABE01">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年  龄</w:t>
            </w:r>
          </w:p>
        </w:tc>
        <w:tc>
          <w:tcPr>
            <w:tcW w:w="2144" w:type="dxa"/>
            <w:gridSpan w:val="3"/>
            <w:tcBorders>
              <w:top w:val="single" w:color="auto" w:sz="8" w:space="0"/>
              <w:right w:val="single" w:color="auto" w:sz="8" w:space="0"/>
            </w:tcBorders>
            <w:vAlign w:val="top"/>
          </w:tcPr>
          <w:p w14:paraId="07959A9E">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7FE0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14:paraId="243A42E5">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职  务</w:t>
            </w:r>
          </w:p>
        </w:tc>
        <w:tc>
          <w:tcPr>
            <w:tcW w:w="1608" w:type="dxa"/>
            <w:vAlign w:val="top"/>
          </w:tcPr>
          <w:p w14:paraId="725DD65B">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072" w:type="dxa"/>
            <w:vAlign w:val="top"/>
          </w:tcPr>
          <w:p w14:paraId="0D55B51B">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职  称</w:t>
            </w:r>
          </w:p>
        </w:tc>
        <w:tc>
          <w:tcPr>
            <w:tcW w:w="1072" w:type="dxa"/>
            <w:gridSpan w:val="3"/>
            <w:vAlign w:val="top"/>
          </w:tcPr>
          <w:p w14:paraId="135D0531">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340" w:type="dxa"/>
            <w:gridSpan w:val="2"/>
            <w:vAlign w:val="top"/>
          </w:tcPr>
          <w:p w14:paraId="5A2C8832">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学  历</w:t>
            </w:r>
          </w:p>
        </w:tc>
        <w:tc>
          <w:tcPr>
            <w:tcW w:w="2144" w:type="dxa"/>
            <w:gridSpan w:val="3"/>
            <w:tcBorders>
              <w:right w:val="single" w:color="auto" w:sz="8" w:space="0"/>
            </w:tcBorders>
            <w:vAlign w:val="top"/>
          </w:tcPr>
          <w:p w14:paraId="4D413912">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0A8D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vAlign w:val="top"/>
          </w:tcPr>
          <w:p w14:paraId="0C38AD45">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专  业</w:t>
            </w:r>
          </w:p>
        </w:tc>
        <w:tc>
          <w:tcPr>
            <w:tcW w:w="2708" w:type="dxa"/>
            <w:gridSpan w:val="3"/>
            <w:vAlign w:val="top"/>
          </w:tcPr>
          <w:p w14:paraId="4DC39BF1">
            <w:pPr>
              <w:spacing w:line="440" w:lineRule="exact"/>
              <w:rPr>
                <w:rFonts w:hint="eastAsia" w:ascii="宋体" w:hAnsi="宋体" w:cs="宋体"/>
                <w:color w:val="000000" w:themeColor="text1"/>
                <w:sz w:val="21"/>
                <w:szCs w:val="21"/>
                <w:highlight w:val="none"/>
                <w14:textFill>
                  <w14:solidFill>
                    <w14:schemeClr w14:val="tx1"/>
                  </w14:solidFill>
                </w14:textFill>
              </w:rPr>
            </w:pPr>
          </w:p>
        </w:tc>
        <w:tc>
          <w:tcPr>
            <w:tcW w:w="2880" w:type="dxa"/>
            <w:gridSpan w:val="5"/>
            <w:vAlign w:val="top"/>
          </w:tcPr>
          <w:p w14:paraId="5E2794F6">
            <w:pPr>
              <w:spacing w:line="44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从事项目经理或建造师年限</w:t>
            </w:r>
          </w:p>
        </w:tc>
        <w:tc>
          <w:tcPr>
            <w:tcW w:w="1648" w:type="dxa"/>
            <w:gridSpan w:val="2"/>
            <w:tcBorders>
              <w:right w:val="single" w:color="auto" w:sz="8" w:space="0"/>
            </w:tcBorders>
            <w:vAlign w:val="top"/>
          </w:tcPr>
          <w:p w14:paraId="2C96EDF4">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(年)</w:t>
            </w:r>
          </w:p>
        </w:tc>
      </w:tr>
      <w:tr w14:paraId="334D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vAlign w:val="top"/>
          </w:tcPr>
          <w:p w14:paraId="46FBE426">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已完工程项目情况</w:t>
            </w:r>
          </w:p>
        </w:tc>
      </w:tr>
      <w:tr w14:paraId="0786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14:paraId="408A7036">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建设单位</w:t>
            </w:r>
          </w:p>
        </w:tc>
        <w:tc>
          <w:tcPr>
            <w:tcW w:w="1608" w:type="dxa"/>
            <w:vAlign w:val="top"/>
          </w:tcPr>
          <w:p w14:paraId="5B718A88">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项目名称</w:t>
            </w:r>
          </w:p>
        </w:tc>
        <w:tc>
          <w:tcPr>
            <w:tcW w:w="1608" w:type="dxa"/>
            <w:gridSpan w:val="3"/>
            <w:vAlign w:val="top"/>
          </w:tcPr>
          <w:p w14:paraId="621AE693">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建设规模</w:t>
            </w:r>
          </w:p>
        </w:tc>
        <w:tc>
          <w:tcPr>
            <w:tcW w:w="1608" w:type="dxa"/>
            <w:gridSpan w:val="2"/>
            <w:vAlign w:val="top"/>
          </w:tcPr>
          <w:p w14:paraId="6E339869">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开、竣工日期</w:t>
            </w:r>
          </w:p>
        </w:tc>
        <w:tc>
          <w:tcPr>
            <w:tcW w:w="1206" w:type="dxa"/>
            <w:gridSpan w:val="3"/>
            <w:vAlign w:val="top"/>
          </w:tcPr>
          <w:p w14:paraId="60EEF940">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工程质量</w:t>
            </w:r>
          </w:p>
        </w:tc>
        <w:tc>
          <w:tcPr>
            <w:tcW w:w="1206" w:type="dxa"/>
            <w:tcBorders>
              <w:right w:val="single" w:color="auto" w:sz="8" w:space="0"/>
            </w:tcBorders>
            <w:vAlign w:val="top"/>
          </w:tcPr>
          <w:p w14:paraId="60D344ED">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受奖情况</w:t>
            </w:r>
          </w:p>
        </w:tc>
      </w:tr>
      <w:tr w14:paraId="7D02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14:paraId="516DE1D6">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vAlign w:val="top"/>
          </w:tcPr>
          <w:p w14:paraId="46B66D08">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gridSpan w:val="3"/>
            <w:vAlign w:val="top"/>
          </w:tcPr>
          <w:p w14:paraId="0B112D3B">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gridSpan w:val="2"/>
            <w:vAlign w:val="top"/>
          </w:tcPr>
          <w:p w14:paraId="20635ED1">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206" w:type="dxa"/>
            <w:gridSpan w:val="3"/>
            <w:vAlign w:val="top"/>
          </w:tcPr>
          <w:p w14:paraId="5CB568A3">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206" w:type="dxa"/>
            <w:tcBorders>
              <w:right w:val="single" w:color="auto" w:sz="8" w:space="0"/>
            </w:tcBorders>
            <w:vAlign w:val="top"/>
          </w:tcPr>
          <w:p w14:paraId="03574CD9">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63AE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14:paraId="262E14A5">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vAlign w:val="top"/>
          </w:tcPr>
          <w:p w14:paraId="65251A30">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gridSpan w:val="3"/>
            <w:vAlign w:val="top"/>
          </w:tcPr>
          <w:p w14:paraId="5BEE009E">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gridSpan w:val="2"/>
            <w:vAlign w:val="top"/>
          </w:tcPr>
          <w:p w14:paraId="77405B22">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206" w:type="dxa"/>
            <w:gridSpan w:val="3"/>
            <w:vAlign w:val="top"/>
          </w:tcPr>
          <w:p w14:paraId="3BAD3674">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206" w:type="dxa"/>
            <w:tcBorders>
              <w:right w:val="single" w:color="auto" w:sz="8" w:space="0"/>
            </w:tcBorders>
            <w:vAlign w:val="top"/>
          </w:tcPr>
          <w:p w14:paraId="2B634EF2">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464D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14:paraId="4323DAF7">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vAlign w:val="top"/>
          </w:tcPr>
          <w:p w14:paraId="1685A0CF">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gridSpan w:val="3"/>
            <w:vAlign w:val="top"/>
          </w:tcPr>
          <w:p w14:paraId="3CAAE763">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gridSpan w:val="2"/>
            <w:vAlign w:val="top"/>
          </w:tcPr>
          <w:p w14:paraId="645433BD">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206" w:type="dxa"/>
            <w:gridSpan w:val="3"/>
            <w:vAlign w:val="top"/>
          </w:tcPr>
          <w:p w14:paraId="03B902FF">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206" w:type="dxa"/>
            <w:tcBorders>
              <w:right w:val="single" w:color="auto" w:sz="8" w:space="0"/>
            </w:tcBorders>
            <w:vAlign w:val="top"/>
          </w:tcPr>
          <w:p w14:paraId="189FA5FA">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7DEB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14:paraId="5DEAE0BF">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vAlign w:val="top"/>
          </w:tcPr>
          <w:p w14:paraId="20A7102C">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gridSpan w:val="3"/>
            <w:vAlign w:val="top"/>
          </w:tcPr>
          <w:p w14:paraId="0C6E02FC">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gridSpan w:val="2"/>
            <w:vAlign w:val="top"/>
          </w:tcPr>
          <w:p w14:paraId="5989FCCB">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206" w:type="dxa"/>
            <w:gridSpan w:val="3"/>
            <w:vAlign w:val="top"/>
          </w:tcPr>
          <w:p w14:paraId="16500A18">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206" w:type="dxa"/>
            <w:tcBorders>
              <w:right w:val="single" w:color="auto" w:sz="8" w:space="0"/>
            </w:tcBorders>
            <w:vAlign w:val="top"/>
          </w:tcPr>
          <w:p w14:paraId="4FE44280">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1578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14:paraId="26F37063">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vAlign w:val="top"/>
          </w:tcPr>
          <w:p w14:paraId="643B8A21">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gridSpan w:val="3"/>
            <w:vAlign w:val="top"/>
          </w:tcPr>
          <w:p w14:paraId="0E9729EA">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gridSpan w:val="2"/>
            <w:vAlign w:val="top"/>
          </w:tcPr>
          <w:p w14:paraId="7EDCA4F3">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206" w:type="dxa"/>
            <w:gridSpan w:val="3"/>
            <w:vAlign w:val="top"/>
          </w:tcPr>
          <w:p w14:paraId="4B3B5734">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206" w:type="dxa"/>
            <w:tcBorders>
              <w:right w:val="single" w:color="auto" w:sz="8" w:space="0"/>
            </w:tcBorders>
            <w:vAlign w:val="top"/>
          </w:tcPr>
          <w:p w14:paraId="7F20CB30">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339A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14:paraId="70EA142A">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vAlign w:val="top"/>
          </w:tcPr>
          <w:p w14:paraId="3AEA83E2">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gridSpan w:val="3"/>
            <w:vAlign w:val="top"/>
          </w:tcPr>
          <w:p w14:paraId="14F10FF7">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gridSpan w:val="2"/>
            <w:vAlign w:val="top"/>
          </w:tcPr>
          <w:p w14:paraId="1D2D9CEE">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206" w:type="dxa"/>
            <w:gridSpan w:val="3"/>
            <w:vAlign w:val="top"/>
          </w:tcPr>
          <w:p w14:paraId="47F607F6">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206" w:type="dxa"/>
            <w:tcBorders>
              <w:right w:val="single" w:color="auto" w:sz="8" w:space="0"/>
            </w:tcBorders>
            <w:vAlign w:val="top"/>
          </w:tcPr>
          <w:p w14:paraId="60B8EB7D">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66A2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14:paraId="264EF051">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vAlign w:val="top"/>
          </w:tcPr>
          <w:p w14:paraId="39C156EF">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gridSpan w:val="3"/>
            <w:vAlign w:val="top"/>
          </w:tcPr>
          <w:p w14:paraId="2AFF2C17">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gridSpan w:val="2"/>
            <w:vAlign w:val="top"/>
          </w:tcPr>
          <w:p w14:paraId="7AF016BE">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206" w:type="dxa"/>
            <w:gridSpan w:val="3"/>
            <w:vAlign w:val="top"/>
          </w:tcPr>
          <w:p w14:paraId="2190A735">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206" w:type="dxa"/>
            <w:tcBorders>
              <w:right w:val="single" w:color="auto" w:sz="8" w:space="0"/>
            </w:tcBorders>
            <w:vAlign w:val="top"/>
          </w:tcPr>
          <w:p w14:paraId="184CC420">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1A71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vAlign w:val="top"/>
          </w:tcPr>
          <w:p w14:paraId="3C436AAC">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tcBorders>
              <w:bottom w:val="single" w:color="auto" w:sz="8" w:space="0"/>
            </w:tcBorders>
            <w:vAlign w:val="top"/>
          </w:tcPr>
          <w:p w14:paraId="3B4F9D49">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gridSpan w:val="3"/>
            <w:tcBorders>
              <w:bottom w:val="single" w:color="auto" w:sz="8" w:space="0"/>
            </w:tcBorders>
            <w:vAlign w:val="top"/>
          </w:tcPr>
          <w:p w14:paraId="06A5C765">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8" w:type="dxa"/>
            <w:gridSpan w:val="2"/>
            <w:tcBorders>
              <w:bottom w:val="single" w:color="auto" w:sz="8" w:space="0"/>
            </w:tcBorders>
            <w:vAlign w:val="top"/>
          </w:tcPr>
          <w:p w14:paraId="51FB760B">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206" w:type="dxa"/>
            <w:gridSpan w:val="3"/>
            <w:tcBorders>
              <w:bottom w:val="single" w:color="auto" w:sz="8" w:space="0"/>
            </w:tcBorders>
            <w:vAlign w:val="top"/>
          </w:tcPr>
          <w:p w14:paraId="106129A0">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206" w:type="dxa"/>
            <w:tcBorders>
              <w:bottom w:val="single" w:color="auto" w:sz="8" w:space="0"/>
              <w:right w:val="single" w:color="auto" w:sz="8" w:space="0"/>
            </w:tcBorders>
            <w:vAlign w:val="top"/>
          </w:tcPr>
          <w:p w14:paraId="7EF26294">
            <w:pPr>
              <w:spacing w:line="440" w:lineRule="exact"/>
              <w:jc w:val="center"/>
              <w:rPr>
                <w:rFonts w:hint="eastAsia" w:ascii="宋体" w:hAnsi="宋体" w:cs="宋体"/>
                <w:color w:val="000000" w:themeColor="text1"/>
                <w:sz w:val="21"/>
                <w:szCs w:val="21"/>
                <w:highlight w:val="none"/>
                <w14:textFill>
                  <w14:solidFill>
                    <w14:schemeClr w14:val="tx1"/>
                  </w14:solidFill>
                </w14:textFill>
              </w:rPr>
            </w:pPr>
          </w:p>
        </w:tc>
      </w:tr>
    </w:tbl>
    <w:p w14:paraId="5FD8194A">
      <w:pPr>
        <w:snapToGrid w:val="0"/>
        <w:spacing w:line="400" w:lineRule="exact"/>
        <w:outlineLvl w:val="4"/>
        <w:rPr>
          <w:rFonts w:hint="eastAsia" w:ascii="宋体" w:hAnsi="宋体" w:cs="宋体"/>
          <w:b/>
          <w:color w:val="000000" w:themeColor="text1"/>
          <w:sz w:val="24"/>
          <w:szCs w:val="24"/>
          <w:highlight w:val="none"/>
          <w14:textFill>
            <w14:solidFill>
              <w14:schemeClr w14:val="tx1"/>
            </w14:solidFill>
          </w14:textFill>
        </w:rPr>
      </w:pPr>
    </w:p>
    <w:p w14:paraId="630E6491">
      <w:pPr>
        <w:widowControl/>
        <w:ind w:firstLine="2650" w:firstLineChars="1100"/>
        <w:jc w:val="left"/>
        <w:rPr>
          <w:rFonts w:hint="eastAsia" w:ascii="宋体" w:hAnsi="宋体" w:eastAsia="宋体" w:cs="宋体"/>
          <w:b/>
          <w:color w:val="000000" w:themeColor="text1"/>
          <w:kern w:val="0"/>
          <w:sz w:val="24"/>
          <w:szCs w:val="24"/>
          <w:highlight w:val="none"/>
          <w14:textFill>
            <w14:solidFill>
              <w14:schemeClr w14:val="tx1"/>
            </w14:solidFill>
          </w14:textFill>
        </w:rPr>
      </w:pPr>
    </w:p>
    <w:p w14:paraId="3ABDC89F">
      <w:pPr>
        <w:widowControl/>
        <w:ind w:firstLine="1470" w:firstLineChars="7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，自然人</w:t>
      </w:r>
      <w:r>
        <w:rPr>
          <w:rFonts w:hint="eastAsia" w:ascii="宋体" w:hAnsi="宋体" w:eastAsia="宋体" w:cs="宋体"/>
          <w:color w:val="000000" w:themeColor="text1"/>
          <w:sz w:val="21"/>
          <w:szCs w:val="21"/>
          <w:highlight w:val="none"/>
          <w:lang w:eastAsia="zh-CN"/>
          <w14:textFill>
            <w14:solidFill>
              <w14:schemeClr w14:val="tx1"/>
            </w14:solidFill>
          </w14:textFill>
        </w:rPr>
        <w:t>签字或个人</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F34D54E">
      <w:pPr>
        <w:pStyle w:val="11"/>
        <w:spacing w:line="300" w:lineRule="exact"/>
        <w:ind w:left="2940" w:leftChars="1400" w:firstLine="630" w:firstLineChars="300"/>
        <w:rPr>
          <w:rFonts w:hint="eastAsia" w:ascii="宋体" w:hAnsi="宋体" w:eastAsia="宋体" w:cs="宋体"/>
          <w:color w:val="000000" w:themeColor="text1"/>
          <w:sz w:val="21"/>
          <w:szCs w:val="21"/>
          <w:highlight w:val="none"/>
          <w14:textFill>
            <w14:solidFill>
              <w14:schemeClr w14:val="tx1"/>
            </w14:solidFill>
          </w14:textFill>
        </w:rPr>
      </w:pPr>
    </w:p>
    <w:p w14:paraId="796EB9E9">
      <w:pPr>
        <w:pStyle w:val="11"/>
        <w:spacing w:line="300" w:lineRule="exact"/>
        <w:ind w:firstLine="3479" w:firstLineChars="165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w:t>
      </w:r>
    </w:p>
    <w:p w14:paraId="300BF098">
      <w:pPr>
        <w:snapToGrid w:val="0"/>
        <w:spacing w:line="300" w:lineRule="exact"/>
        <w:ind w:firstLine="4830" w:firstLineChars="23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549A904">
      <w:pPr>
        <w:snapToGrid w:val="0"/>
        <w:spacing w:line="300" w:lineRule="exact"/>
        <w:ind w:firstLine="3570" w:firstLineChars="1700"/>
        <w:rPr>
          <w:rFonts w:hint="eastAsia" w:ascii="宋体" w:hAnsi="宋体" w:eastAsia="宋体" w:cs="宋体"/>
          <w:color w:val="000000" w:themeColor="text1"/>
          <w:sz w:val="21"/>
          <w:szCs w:val="21"/>
          <w:highlight w:val="none"/>
          <w:u w:val="single"/>
          <w14:textFill>
            <w14:solidFill>
              <w14:schemeClr w14:val="tx1"/>
            </w14:solidFill>
          </w14:textFill>
        </w:rPr>
      </w:pPr>
    </w:p>
    <w:p w14:paraId="1B5D0B6B">
      <w:pPr>
        <w:pStyle w:val="2"/>
        <w:rPr>
          <w:rFonts w:hint="eastAsia" w:ascii="宋体" w:hAnsi="宋体" w:eastAsia="宋体" w:cs="宋体"/>
          <w:color w:val="000000" w:themeColor="text1"/>
          <w:sz w:val="24"/>
          <w:szCs w:val="24"/>
          <w:highlight w:val="none"/>
          <w:u w:val="single"/>
          <w14:textFill>
            <w14:solidFill>
              <w14:schemeClr w14:val="tx1"/>
            </w14:solidFill>
          </w14:textFill>
        </w:rPr>
      </w:pPr>
    </w:p>
    <w:p w14:paraId="1FDAFA62">
      <w:pPr>
        <w:pStyle w:val="2"/>
        <w:rPr>
          <w:rFonts w:hint="eastAsia" w:ascii="宋体" w:hAnsi="宋体" w:eastAsia="宋体" w:cs="宋体"/>
          <w:color w:val="000000" w:themeColor="text1"/>
          <w:sz w:val="24"/>
          <w:szCs w:val="24"/>
          <w:highlight w:val="none"/>
          <w:u w:val="single"/>
          <w14:textFill>
            <w14:solidFill>
              <w14:schemeClr w14:val="tx1"/>
            </w14:solidFill>
          </w14:textFill>
        </w:rPr>
      </w:pPr>
    </w:p>
    <w:p w14:paraId="3A4E517A">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41EED889">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5B342872">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0A40CA5E">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6EBC07E1">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07E66A7E">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75FF1301">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6AB5A4E3">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1EB3E82A">
      <w:pPr>
        <w:rPr>
          <w:rFonts w:hint="eastAsia"/>
          <w:color w:val="000000" w:themeColor="text1"/>
          <w:highlight w:val="none"/>
          <w14:textFill>
            <w14:solidFill>
              <w14:schemeClr w14:val="tx1"/>
            </w14:solidFill>
          </w14:textFill>
        </w:rPr>
      </w:pPr>
    </w:p>
    <w:p w14:paraId="6E195964">
      <w:pPr>
        <w:pStyle w:val="11"/>
        <w:numPr>
          <w:ilvl w:val="0"/>
          <w:numId w:val="0"/>
        </w:numPr>
        <w:spacing w:line="34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6.施工组织设计方案（必须提供）</w:t>
      </w:r>
      <w:r>
        <w:rPr>
          <w:rFonts w:hint="eastAsia" w:ascii="宋体" w:hAnsi="宋体" w:eastAsia="宋体" w:cs="宋体"/>
          <w:b/>
          <w:color w:val="000000" w:themeColor="text1"/>
          <w:sz w:val="24"/>
          <w:szCs w:val="24"/>
          <w:highlight w:val="none"/>
          <w14:textFill>
            <w14:solidFill>
              <w14:schemeClr w14:val="tx1"/>
            </w14:solidFill>
          </w14:textFill>
        </w:rPr>
        <w:t>；</w:t>
      </w:r>
    </w:p>
    <w:p w14:paraId="321D597A">
      <w:pPr>
        <w:snapToGrid w:val="0"/>
        <w:spacing w:line="400" w:lineRule="exact"/>
        <w:jc w:val="center"/>
        <w:outlineLvl w:val="4"/>
        <w:rPr>
          <w:rFonts w:hint="eastAsia" w:ascii="宋体" w:hAnsi="宋体" w:cs="宋体"/>
          <w:b/>
          <w:color w:val="000000" w:themeColor="text1"/>
          <w:sz w:val="24"/>
          <w:szCs w:val="24"/>
          <w:highlight w:val="none"/>
          <w:lang w:val="en-US" w:eastAsia="zh-CN"/>
          <w14:textFill>
            <w14:solidFill>
              <w14:schemeClr w14:val="tx1"/>
            </w14:solidFill>
          </w14:textFill>
        </w:rPr>
      </w:pPr>
    </w:p>
    <w:p w14:paraId="53E2ABBB">
      <w:pPr>
        <w:snapToGrid w:val="0"/>
        <w:spacing w:line="400" w:lineRule="exact"/>
        <w:jc w:val="center"/>
        <w:outlineLvl w:val="4"/>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施工组织设计方案</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格式</w:t>
      </w:r>
      <w:r>
        <w:rPr>
          <w:rFonts w:hint="eastAsia" w:ascii="宋体" w:hAnsi="宋体" w:cs="宋体"/>
          <w:b/>
          <w:color w:val="000000" w:themeColor="text1"/>
          <w:sz w:val="24"/>
          <w:szCs w:val="24"/>
          <w:highlight w:val="none"/>
          <w:lang w:eastAsia="zh-CN"/>
          <w14:textFill>
            <w14:solidFill>
              <w14:schemeClr w14:val="tx1"/>
            </w14:solidFill>
          </w14:textFill>
        </w:rPr>
        <w:t>）</w:t>
      </w:r>
    </w:p>
    <w:p w14:paraId="37BF0C62">
      <w:pPr>
        <w:snapToGrid w:val="0"/>
        <w:spacing w:line="400" w:lineRule="exact"/>
        <w:jc w:val="center"/>
        <w:outlineLvl w:val="4"/>
        <w:rPr>
          <w:rFonts w:hint="eastAsia" w:ascii="宋体" w:hAnsi="宋体" w:cs="宋体"/>
          <w:b/>
          <w:color w:val="000000" w:themeColor="text1"/>
          <w:sz w:val="24"/>
          <w:szCs w:val="24"/>
          <w:highlight w:val="none"/>
          <w14:textFill>
            <w14:solidFill>
              <w14:schemeClr w14:val="tx1"/>
            </w14:solidFill>
          </w14:textFill>
        </w:rPr>
      </w:pPr>
    </w:p>
    <w:p w14:paraId="728F4CA9">
      <w:pPr>
        <w:pStyle w:val="30"/>
        <w:spacing w:line="300" w:lineRule="exact"/>
        <w:ind w:firstLine="425"/>
        <w:rPr>
          <w:rFonts w:hint="eastAsia" w:ascii="宋体" w:hAnsi="宋体" w:eastAsia="宋体" w:cs="宋体"/>
          <w:color w:val="000000" w:themeColor="text1"/>
          <w:sz w:val="24"/>
          <w:szCs w:val="24"/>
          <w:highlight w:val="none"/>
          <w14:textFill>
            <w14:solidFill>
              <w14:schemeClr w14:val="tx1"/>
            </w14:solidFill>
          </w14:textFill>
        </w:rPr>
      </w:pPr>
    </w:p>
    <w:p w14:paraId="16D91A42">
      <w:pPr>
        <w:pStyle w:val="30"/>
        <w:spacing w:line="300" w:lineRule="exact"/>
        <w:ind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编制施工组织设计的要求：</w:t>
      </w:r>
    </w:p>
    <w:p w14:paraId="21135B44">
      <w:pPr>
        <w:pStyle w:val="30"/>
        <w:spacing w:line="300" w:lineRule="exact"/>
        <w:ind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编制时应按以下章顺序采用文字并结合图表形式进行说明：</w:t>
      </w:r>
    </w:p>
    <w:p w14:paraId="773E4393">
      <w:pPr>
        <w:pStyle w:val="30"/>
        <w:numPr>
          <w:ilvl w:val="0"/>
          <w:numId w:val="0"/>
        </w:numPr>
        <w:spacing w:line="300" w:lineRule="exact"/>
        <w:ind w:left="0" w:leftChars="0" w:firstLine="425"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第一章</w:t>
      </w:r>
      <w:r>
        <w:rPr>
          <w:rFonts w:hint="eastAsia" w:ascii="Times New Roman" w:hAnsi="Times New Roman" w:cs="Times New Roman"/>
          <w:color w:val="000000" w:themeColor="text1"/>
          <w:kern w:val="0"/>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总体概述；</w:t>
      </w:r>
    </w:p>
    <w:p w14:paraId="4EB4B4AA">
      <w:pPr>
        <w:pStyle w:val="30"/>
        <w:numPr>
          <w:ilvl w:val="0"/>
          <w:numId w:val="0"/>
        </w:numPr>
        <w:spacing w:line="300" w:lineRule="exact"/>
        <w:ind w:left="0" w:leftChars="0" w:firstLine="425"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第二章</w:t>
      </w:r>
      <w:r>
        <w:rPr>
          <w:rFonts w:hint="eastAsia" w:ascii="Times New Roman" w:hAnsi="Times New Roman" w:cs="Times New Roman"/>
          <w:color w:val="000000" w:themeColor="text1"/>
          <w:kern w:val="0"/>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主要施工方法；</w:t>
      </w:r>
    </w:p>
    <w:p w14:paraId="2124A12C">
      <w:pPr>
        <w:pStyle w:val="30"/>
        <w:numPr>
          <w:ilvl w:val="0"/>
          <w:numId w:val="0"/>
        </w:numPr>
        <w:spacing w:line="300" w:lineRule="exact"/>
        <w:ind w:left="0" w:leftChars="0" w:firstLine="425"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第三章</w:t>
      </w:r>
      <w:r>
        <w:rPr>
          <w:rFonts w:hint="eastAsia" w:ascii="Times New Roman" w:hAnsi="Times New Roman" w:cs="Times New Roman"/>
          <w:color w:val="000000" w:themeColor="text1"/>
          <w:kern w:val="0"/>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施工进度、施工进度计划和各阶段进度的保证措施；</w:t>
      </w:r>
    </w:p>
    <w:p w14:paraId="68FA57F9">
      <w:pPr>
        <w:pStyle w:val="30"/>
        <w:numPr>
          <w:ilvl w:val="0"/>
          <w:numId w:val="0"/>
        </w:numPr>
        <w:spacing w:line="300" w:lineRule="exact"/>
        <w:ind w:left="0" w:leftChars="0" w:firstLine="425"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第四章</w:t>
      </w:r>
      <w:r>
        <w:rPr>
          <w:rFonts w:hint="eastAsia" w:ascii="Times New Roman" w:hAnsi="Times New Roman" w:cs="Times New Roman"/>
          <w:color w:val="000000" w:themeColor="text1"/>
          <w:kern w:val="0"/>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劳动力和材料投入计划及其保证措施；</w:t>
      </w:r>
    </w:p>
    <w:p w14:paraId="7DBC0C9C">
      <w:pPr>
        <w:pStyle w:val="30"/>
        <w:numPr>
          <w:ilvl w:val="0"/>
          <w:numId w:val="0"/>
        </w:numPr>
        <w:spacing w:line="300" w:lineRule="exact"/>
        <w:ind w:left="0" w:leftChars="0" w:firstLine="425"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第五章</w:t>
      </w:r>
      <w:r>
        <w:rPr>
          <w:rFonts w:hint="eastAsia" w:ascii="Times New Roman" w:hAnsi="Times New Roman" w:cs="Times New Roman"/>
          <w:color w:val="000000" w:themeColor="text1"/>
          <w:kern w:val="0"/>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施工平面布置和临时设施布置；</w:t>
      </w:r>
    </w:p>
    <w:p w14:paraId="6A214F16">
      <w:pPr>
        <w:pStyle w:val="30"/>
        <w:numPr>
          <w:ilvl w:val="0"/>
          <w:numId w:val="0"/>
        </w:numPr>
        <w:spacing w:line="300" w:lineRule="exact"/>
        <w:ind w:left="0" w:leftChars="0" w:firstLine="425"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第六章</w:t>
      </w:r>
      <w:r>
        <w:rPr>
          <w:rFonts w:hint="eastAsia" w:ascii="Times New Roman" w:hAnsi="Times New Roman" w:cs="Times New Roman"/>
          <w:color w:val="000000" w:themeColor="text1"/>
          <w:kern w:val="0"/>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关键施工技术、工艺及工程实施的重点、难点和解决方案；</w:t>
      </w:r>
    </w:p>
    <w:p w14:paraId="22F63B9A">
      <w:pPr>
        <w:pStyle w:val="30"/>
        <w:numPr>
          <w:ilvl w:val="0"/>
          <w:numId w:val="0"/>
        </w:numPr>
        <w:spacing w:line="300" w:lineRule="exact"/>
        <w:ind w:left="0" w:leftChars="0" w:firstLine="425"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第七章</w:t>
      </w:r>
      <w:r>
        <w:rPr>
          <w:rFonts w:hint="eastAsia" w:ascii="Times New Roman" w:hAnsi="Times New Roman" w:cs="Times New Roman"/>
          <w:color w:val="000000" w:themeColor="text1"/>
          <w:kern w:val="0"/>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安全文明施工措施；</w:t>
      </w:r>
    </w:p>
    <w:p w14:paraId="2EF91FD2">
      <w:pPr>
        <w:pStyle w:val="30"/>
        <w:numPr>
          <w:ilvl w:val="0"/>
          <w:numId w:val="0"/>
        </w:numPr>
        <w:spacing w:line="300" w:lineRule="exact"/>
        <w:ind w:left="0" w:leftChars="0" w:firstLine="425"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第八章</w:t>
      </w:r>
      <w:r>
        <w:rPr>
          <w:rFonts w:hint="eastAsia" w:ascii="Times New Roman" w:hAnsi="Times New Roman" w:cs="Times New Roman"/>
          <w:color w:val="000000" w:themeColor="text1"/>
          <w:kern w:val="0"/>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质量保证与承诺；</w:t>
      </w:r>
    </w:p>
    <w:p w14:paraId="70EBF59A">
      <w:pPr>
        <w:pStyle w:val="30"/>
        <w:numPr>
          <w:ilvl w:val="0"/>
          <w:numId w:val="0"/>
        </w:numPr>
        <w:spacing w:line="300" w:lineRule="exact"/>
        <w:ind w:left="0" w:leftChars="0" w:firstLine="425"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第九章</w:t>
      </w:r>
      <w:r>
        <w:rPr>
          <w:rFonts w:hint="eastAsia" w:ascii="Times New Roman" w:hAnsi="Times New Roman" w:cs="Times New Roman"/>
          <w:color w:val="000000" w:themeColor="text1"/>
          <w:kern w:val="0"/>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新技术应用与承诺</w:t>
      </w:r>
      <w:r>
        <w:rPr>
          <w:rFonts w:hint="eastAsia" w:ascii="宋体" w:hAnsi="宋体" w:cs="宋体"/>
          <w:color w:val="000000" w:themeColor="text1"/>
          <w:sz w:val="21"/>
          <w:szCs w:val="21"/>
          <w:highlight w:val="none"/>
          <w:lang w:eastAsia="zh-CN"/>
          <w14:textFill>
            <w14:solidFill>
              <w14:schemeClr w14:val="tx1"/>
            </w14:solidFill>
          </w14:textFill>
        </w:rPr>
        <w:t>。</w:t>
      </w:r>
    </w:p>
    <w:p w14:paraId="042C0948">
      <w:pPr>
        <w:pStyle w:val="30"/>
        <w:spacing w:line="300" w:lineRule="exact"/>
        <w:ind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2.施工组织设计除采用文字表述外可附下列图表，图表及格式要求附后。</w:t>
      </w:r>
    </w:p>
    <w:p w14:paraId="03FE53A8">
      <w:pPr>
        <w:pStyle w:val="30"/>
        <w:spacing w:line="300" w:lineRule="exact"/>
        <w:ind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附表一</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pacing w:val="-1"/>
          <w:sz w:val="21"/>
          <w:szCs w:val="21"/>
          <w:highlight w:val="none"/>
          <w14:textFill>
            <w14:solidFill>
              <w14:schemeClr w14:val="tx1"/>
            </w14:solidFill>
          </w14:textFill>
        </w:rPr>
        <w:t>拟</w:t>
      </w:r>
      <w:r>
        <w:rPr>
          <w:rFonts w:hint="eastAsia" w:ascii="宋体" w:hAnsi="宋体" w:eastAsia="宋体" w:cs="宋体"/>
          <w:color w:val="000000" w:themeColor="text1"/>
          <w:sz w:val="21"/>
          <w:szCs w:val="21"/>
          <w:highlight w:val="none"/>
          <w14:textFill>
            <w14:solidFill>
              <w14:schemeClr w14:val="tx1"/>
            </w14:solidFill>
          </w14:textFill>
        </w:rPr>
        <w:t>投入本项目的主要施工设备表</w:t>
      </w:r>
    </w:p>
    <w:p w14:paraId="31A58A15">
      <w:pPr>
        <w:pStyle w:val="30"/>
        <w:spacing w:line="300" w:lineRule="exact"/>
        <w:ind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附表二</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pacing w:val="-1"/>
          <w:sz w:val="21"/>
          <w:szCs w:val="21"/>
          <w:highlight w:val="none"/>
          <w14:textFill>
            <w14:solidFill>
              <w14:schemeClr w14:val="tx1"/>
            </w14:solidFill>
          </w14:textFill>
        </w:rPr>
        <w:t>拟</w:t>
      </w:r>
      <w:r>
        <w:rPr>
          <w:rFonts w:hint="eastAsia" w:ascii="宋体" w:hAnsi="宋体" w:eastAsia="宋体" w:cs="宋体"/>
          <w:color w:val="000000" w:themeColor="text1"/>
          <w:sz w:val="21"/>
          <w:szCs w:val="21"/>
          <w:highlight w:val="none"/>
          <w14:textFill>
            <w14:solidFill>
              <w14:schemeClr w14:val="tx1"/>
            </w14:solidFill>
          </w14:textFill>
        </w:rPr>
        <w:t>配备本项目的试验和检测仪器设备表</w:t>
      </w:r>
    </w:p>
    <w:p w14:paraId="254A4E44">
      <w:pPr>
        <w:pStyle w:val="30"/>
        <w:spacing w:line="300" w:lineRule="exact"/>
        <w:ind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附表三</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pacing w:val="-1"/>
          <w:sz w:val="21"/>
          <w:szCs w:val="21"/>
          <w:highlight w:val="none"/>
          <w14:textFill>
            <w14:solidFill>
              <w14:schemeClr w14:val="tx1"/>
            </w14:solidFill>
          </w14:textFill>
        </w:rPr>
        <w:t>劳</w:t>
      </w:r>
      <w:r>
        <w:rPr>
          <w:rFonts w:hint="eastAsia" w:ascii="宋体" w:hAnsi="宋体" w:eastAsia="宋体" w:cs="宋体"/>
          <w:color w:val="000000" w:themeColor="text1"/>
          <w:sz w:val="21"/>
          <w:szCs w:val="21"/>
          <w:highlight w:val="none"/>
          <w14:textFill>
            <w14:solidFill>
              <w14:schemeClr w14:val="tx1"/>
            </w14:solidFill>
          </w14:textFill>
        </w:rPr>
        <w:t>动力计划表</w:t>
      </w:r>
    </w:p>
    <w:p w14:paraId="2BCFC77A">
      <w:pPr>
        <w:pStyle w:val="30"/>
        <w:spacing w:line="300" w:lineRule="exact"/>
        <w:ind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附表四</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计划开、竣工日期和施工进度网络图</w:t>
      </w:r>
      <w:r>
        <w:rPr>
          <w:rFonts w:hint="eastAsia" w:ascii="宋体" w:hAnsi="宋体" w:eastAsia="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横道图</w:t>
      </w:r>
    </w:p>
    <w:p w14:paraId="39C09C84">
      <w:pPr>
        <w:pStyle w:val="30"/>
        <w:spacing w:line="300" w:lineRule="exact"/>
        <w:ind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附表五</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pacing w:val="-1"/>
          <w:sz w:val="21"/>
          <w:szCs w:val="21"/>
          <w:highlight w:val="none"/>
          <w14:textFill>
            <w14:solidFill>
              <w14:schemeClr w14:val="tx1"/>
            </w14:solidFill>
          </w14:textFill>
        </w:rPr>
        <w:t>施</w:t>
      </w:r>
      <w:r>
        <w:rPr>
          <w:rFonts w:hint="eastAsia" w:ascii="宋体" w:hAnsi="宋体" w:eastAsia="宋体" w:cs="宋体"/>
          <w:color w:val="000000" w:themeColor="text1"/>
          <w:sz w:val="21"/>
          <w:szCs w:val="21"/>
          <w:highlight w:val="none"/>
          <w14:textFill>
            <w14:solidFill>
              <w14:schemeClr w14:val="tx1"/>
            </w14:solidFill>
          </w14:textFill>
        </w:rPr>
        <w:t>工总平面图</w:t>
      </w:r>
    </w:p>
    <w:p w14:paraId="1BEE1195">
      <w:pPr>
        <w:pStyle w:val="30"/>
        <w:spacing w:line="300" w:lineRule="exact"/>
        <w:ind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position w:val="-2"/>
          <w:sz w:val="21"/>
          <w:szCs w:val="21"/>
          <w:highlight w:val="none"/>
          <w14:textFill>
            <w14:solidFill>
              <w14:schemeClr w14:val="tx1"/>
            </w14:solidFill>
          </w14:textFill>
        </w:rPr>
        <w:t>附表六</w:t>
      </w:r>
      <w:r>
        <w:rPr>
          <w:rFonts w:hint="eastAsia" w:ascii="宋体" w:hAnsi="宋体" w:eastAsia="宋体" w:cs="宋体"/>
          <w:color w:val="000000" w:themeColor="text1"/>
          <w:position w:val="-2"/>
          <w:sz w:val="21"/>
          <w:szCs w:val="21"/>
          <w:highlight w:val="none"/>
          <w14:textFill>
            <w14:solidFill>
              <w14:schemeClr w14:val="tx1"/>
            </w14:solidFill>
          </w14:textFill>
        </w:rPr>
        <w:tab/>
      </w:r>
      <w:r>
        <w:rPr>
          <w:rFonts w:hint="eastAsia" w:ascii="宋体" w:hAnsi="宋体" w:eastAsia="宋体" w:cs="宋体"/>
          <w:color w:val="000000" w:themeColor="text1"/>
          <w:spacing w:val="-1"/>
          <w:position w:val="-2"/>
          <w:sz w:val="21"/>
          <w:szCs w:val="21"/>
          <w:highlight w:val="none"/>
          <w14:textFill>
            <w14:solidFill>
              <w14:schemeClr w14:val="tx1"/>
            </w14:solidFill>
          </w14:textFill>
        </w:rPr>
        <w:t>临</w:t>
      </w:r>
      <w:r>
        <w:rPr>
          <w:rFonts w:hint="eastAsia" w:ascii="宋体" w:hAnsi="宋体" w:eastAsia="宋体" w:cs="宋体"/>
          <w:color w:val="000000" w:themeColor="text1"/>
          <w:position w:val="-2"/>
          <w:sz w:val="21"/>
          <w:szCs w:val="21"/>
          <w:highlight w:val="none"/>
          <w14:textFill>
            <w14:solidFill>
              <w14:schemeClr w14:val="tx1"/>
            </w14:solidFill>
          </w14:textFill>
        </w:rPr>
        <w:t>时用地表</w:t>
      </w:r>
    </w:p>
    <w:p w14:paraId="693C3890">
      <w:pPr>
        <w:rPr>
          <w:rFonts w:hint="eastAsia" w:ascii="宋体" w:hAnsi="宋体" w:eastAsia="宋体" w:cs="宋体"/>
          <w:color w:val="000000" w:themeColor="text1"/>
          <w:sz w:val="21"/>
          <w:szCs w:val="21"/>
          <w:highlight w:val="none"/>
          <w14:textFill>
            <w14:solidFill>
              <w14:schemeClr w14:val="tx1"/>
            </w14:solidFill>
          </w14:textFill>
        </w:rPr>
      </w:pPr>
      <w:bookmarkStart w:id="242" w:name="_Toc418752351"/>
      <w:bookmarkStart w:id="243" w:name="_Toc483317224"/>
      <w:bookmarkStart w:id="244" w:name="_Toc418751905"/>
    </w:p>
    <w:p w14:paraId="7AF020F8">
      <w:pP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附表一：拟投入本项目的主要施工设备表</w:t>
      </w:r>
      <w:bookmarkEnd w:id="242"/>
      <w:bookmarkEnd w:id="243"/>
      <w:bookmarkEnd w:id="244"/>
    </w:p>
    <w:tbl>
      <w:tblPr>
        <w:tblStyle w:val="19"/>
        <w:tblW w:w="9648" w:type="dxa"/>
        <w:tblInd w:w="-5" w:type="dxa"/>
        <w:tblLayout w:type="fixed"/>
        <w:tblCellMar>
          <w:top w:w="0" w:type="dxa"/>
          <w:left w:w="0" w:type="dxa"/>
          <w:bottom w:w="0" w:type="dxa"/>
          <w:right w:w="0" w:type="dxa"/>
        </w:tblCellMar>
      </w:tblPr>
      <w:tblGrid>
        <w:gridCol w:w="734"/>
        <w:gridCol w:w="1198"/>
        <w:gridCol w:w="839"/>
        <w:gridCol w:w="1092"/>
        <w:gridCol w:w="741"/>
        <w:gridCol w:w="814"/>
        <w:gridCol w:w="1337"/>
        <w:gridCol w:w="965"/>
        <w:gridCol w:w="1164"/>
        <w:gridCol w:w="764"/>
      </w:tblGrid>
      <w:tr w14:paraId="393C24AE">
        <w:tblPrEx>
          <w:tblCellMar>
            <w:top w:w="0" w:type="dxa"/>
            <w:left w:w="0" w:type="dxa"/>
            <w:bottom w:w="0" w:type="dxa"/>
            <w:right w:w="0" w:type="dxa"/>
          </w:tblCellMar>
        </w:tblPrEx>
        <w:trPr>
          <w:trHeight w:val="827" w:hRule="atLeast"/>
        </w:trPr>
        <w:tc>
          <w:tcPr>
            <w:tcW w:w="734" w:type="dxa"/>
            <w:tcBorders>
              <w:top w:val="single" w:color="000000" w:sz="4" w:space="0"/>
              <w:left w:val="single" w:color="000000" w:sz="4" w:space="0"/>
              <w:bottom w:val="single" w:color="000000" w:sz="4" w:space="0"/>
              <w:right w:val="single" w:color="000000" w:sz="4" w:space="0"/>
            </w:tcBorders>
            <w:vAlign w:val="center"/>
          </w:tcPr>
          <w:p w14:paraId="2D5129E3">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198" w:type="dxa"/>
            <w:tcBorders>
              <w:top w:val="single" w:color="000000" w:sz="4" w:space="0"/>
              <w:left w:val="nil"/>
              <w:bottom w:val="single" w:color="000000" w:sz="4" w:space="0"/>
              <w:right w:val="single" w:color="000000" w:sz="4" w:space="0"/>
            </w:tcBorders>
            <w:vAlign w:val="center"/>
          </w:tcPr>
          <w:p w14:paraId="5106C61E">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设备名称</w:t>
            </w:r>
          </w:p>
        </w:tc>
        <w:tc>
          <w:tcPr>
            <w:tcW w:w="839" w:type="dxa"/>
            <w:tcBorders>
              <w:top w:val="single" w:color="000000" w:sz="4" w:space="0"/>
              <w:left w:val="nil"/>
              <w:bottom w:val="single" w:color="000000" w:sz="4" w:space="0"/>
              <w:right w:val="single" w:color="000000" w:sz="4" w:space="0"/>
            </w:tcBorders>
            <w:vAlign w:val="center"/>
          </w:tcPr>
          <w:p w14:paraId="4D472544">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型号</w:t>
            </w:r>
          </w:p>
          <w:p w14:paraId="7F94ACD5">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w:t>
            </w:r>
          </w:p>
        </w:tc>
        <w:tc>
          <w:tcPr>
            <w:tcW w:w="1092" w:type="dxa"/>
            <w:tcBorders>
              <w:top w:val="single" w:color="000000" w:sz="4" w:space="0"/>
              <w:left w:val="nil"/>
              <w:bottom w:val="single" w:color="000000" w:sz="4" w:space="0"/>
              <w:right w:val="single" w:color="000000" w:sz="4" w:space="0"/>
            </w:tcBorders>
            <w:vAlign w:val="center"/>
          </w:tcPr>
          <w:p w14:paraId="15932D4E">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741" w:type="dxa"/>
            <w:tcBorders>
              <w:top w:val="single" w:color="000000" w:sz="4" w:space="0"/>
              <w:left w:val="nil"/>
              <w:bottom w:val="single" w:color="000000" w:sz="4" w:space="0"/>
              <w:right w:val="single" w:color="000000" w:sz="4" w:space="0"/>
            </w:tcBorders>
            <w:vAlign w:val="center"/>
          </w:tcPr>
          <w:p w14:paraId="210F027A">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国别</w:t>
            </w:r>
          </w:p>
          <w:p w14:paraId="139AA55F">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w:t>
            </w:r>
          </w:p>
        </w:tc>
        <w:tc>
          <w:tcPr>
            <w:tcW w:w="814" w:type="dxa"/>
            <w:tcBorders>
              <w:top w:val="single" w:color="000000" w:sz="4" w:space="0"/>
              <w:left w:val="nil"/>
              <w:bottom w:val="single" w:color="000000" w:sz="4" w:space="0"/>
              <w:right w:val="single" w:color="000000" w:sz="4" w:space="0"/>
            </w:tcBorders>
            <w:vAlign w:val="center"/>
          </w:tcPr>
          <w:p w14:paraId="601919F7">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w:t>
            </w:r>
          </w:p>
          <w:p w14:paraId="4DBA158C">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年份</w:t>
            </w:r>
          </w:p>
        </w:tc>
        <w:tc>
          <w:tcPr>
            <w:tcW w:w="1337" w:type="dxa"/>
            <w:tcBorders>
              <w:top w:val="single" w:color="000000" w:sz="4" w:space="0"/>
              <w:left w:val="nil"/>
              <w:bottom w:val="single" w:color="000000" w:sz="4" w:space="0"/>
              <w:right w:val="single" w:color="000000" w:sz="4" w:space="0"/>
            </w:tcBorders>
            <w:vAlign w:val="center"/>
          </w:tcPr>
          <w:p w14:paraId="0EA77A16">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额定功率</w:t>
            </w:r>
          </w:p>
          <w:p w14:paraId="47598876">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（KW）</w:t>
            </w:r>
          </w:p>
        </w:tc>
        <w:tc>
          <w:tcPr>
            <w:tcW w:w="965" w:type="dxa"/>
            <w:tcBorders>
              <w:top w:val="single" w:color="000000" w:sz="4" w:space="0"/>
              <w:left w:val="nil"/>
              <w:bottom w:val="single" w:color="000000" w:sz="4" w:space="0"/>
              <w:right w:val="single" w:color="000000" w:sz="4" w:space="0"/>
            </w:tcBorders>
            <w:vAlign w:val="center"/>
          </w:tcPr>
          <w:p w14:paraId="190F2C97">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生产</w:t>
            </w:r>
          </w:p>
          <w:p w14:paraId="3E7865C4">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能力</w:t>
            </w:r>
          </w:p>
        </w:tc>
        <w:tc>
          <w:tcPr>
            <w:tcW w:w="1164" w:type="dxa"/>
            <w:tcBorders>
              <w:top w:val="single" w:color="000000" w:sz="4" w:space="0"/>
              <w:left w:val="nil"/>
              <w:bottom w:val="single" w:color="000000" w:sz="4" w:space="0"/>
              <w:right w:val="single" w:color="000000" w:sz="4" w:space="0"/>
            </w:tcBorders>
            <w:vAlign w:val="center"/>
          </w:tcPr>
          <w:p w14:paraId="4F8BA60C">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用于施</w:t>
            </w:r>
          </w:p>
          <w:p w14:paraId="4011B890">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工部位</w:t>
            </w:r>
          </w:p>
        </w:tc>
        <w:tc>
          <w:tcPr>
            <w:tcW w:w="764" w:type="dxa"/>
            <w:tcBorders>
              <w:top w:val="single" w:color="000000" w:sz="4" w:space="0"/>
              <w:left w:val="nil"/>
              <w:bottom w:val="single" w:color="000000" w:sz="4" w:space="0"/>
              <w:right w:val="single" w:color="000000" w:sz="4" w:space="0"/>
            </w:tcBorders>
            <w:vAlign w:val="center"/>
          </w:tcPr>
          <w:p w14:paraId="0E84283A">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4CD5E4B5">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14:paraId="71FD8E63">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198" w:type="dxa"/>
            <w:tcBorders>
              <w:top w:val="single" w:color="000000" w:sz="4" w:space="0"/>
              <w:left w:val="nil"/>
              <w:bottom w:val="single" w:color="000000" w:sz="4" w:space="0"/>
              <w:right w:val="single" w:color="000000" w:sz="4" w:space="0"/>
            </w:tcBorders>
            <w:vAlign w:val="top"/>
          </w:tcPr>
          <w:p w14:paraId="4183BBDB">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839" w:type="dxa"/>
            <w:tcBorders>
              <w:top w:val="single" w:color="000000" w:sz="4" w:space="0"/>
              <w:left w:val="nil"/>
              <w:bottom w:val="single" w:color="000000" w:sz="4" w:space="0"/>
              <w:right w:val="single" w:color="000000" w:sz="4" w:space="0"/>
            </w:tcBorders>
            <w:vAlign w:val="top"/>
          </w:tcPr>
          <w:p w14:paraId="67A95685">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092" w:type="dxa"/>
            <w:tcBorders>
              <w:top w:val="single" w:color="000000" w:sz="4" w:space="0"/>
              <w:left w:val="nil"/>
              <w:bottom w:val="single" w:color="000000" w:sz="4" w:space="0"/>
              <w:right w:val="single" w:color="000000" w:sz="4" w:space="0"/>
            </w:tcBorders>
            <w:vAlign w:val="top"/>
          </w:tcPr>
          <w:p w14:paraId="600C2896">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741" w:type="dxa"/>
            <w:tcBorders>
              <w:top w:val="single" w:color="000000" w:sz="4" w:space="0"/>
              <w:left w:val="nil"/>
              <w:bottom w:val="single" w:color="000000" w:sz="4" w:space="0"/>
              <w:right w:val="single" w:color="000000" w:sz="4" w:space="0"/>
            </w:tcBorders>
            <w:vAlign w:val="top"/>
          </w:tcPr>
          <w:p w14:paraId="22B0B8CA">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814" w:type="dxa"/>
            <w:tcBorders>
              <w:top w:val="single" w:color="000000" w:sz="4" w:space="0"/>
              <w:left w:val="nil"/>
              <w:bottom w:val="single" w:color="000000" w:sz="4" w:space="0"/>
              <w:right w:val="single" w:color="000000" w:sz="4" w:space="0"/>
            </w:tcBorders>
            <w:vAlign w:val="top"/>
          </w:tcPr>
          <w:p w14:paraId="57CC6180">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337" w:type="dxa"/>
            <w:tcBorders>
              <w:top w:val="single" w:color="000000" w:sz="4" w:space="0"/>
              <w:left w:val="nil"/>
              <w:bottom w:val="single" w:color="000000" w:sz="4" w:space="0"/>
              <w:right w:val="single" w:color="000000" w:sz="4" w:space="0"/>
            </w:tcBorders>
            <w:vAlign w:val="top"/>
          </w:tcPr>
          <w:p w14:paraId="417CC6BC">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965" w:type="dxa"/>
            <w:tcBorders>
              <w:top w:val="single" w:color="000000" w:sz="4" w:space="0"/>
              <w:left w:val="nil"/>
              <w:bottom w:val="single" w:color="000000" w:sz="4" w:space="0"/>
              <w:right w:val="single" w:color="000000" w:sz="4" w:space="0"/>
            </w:tcBorders>
            <w:vAlign w:val="top"/>
          </w:tcPr>
          <w:p w14:paraId="457B90AE">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164" w:type="dxa"/>
            <w:tcBorders>
              <w:top w:val="single" w:color="000000" w:sz="4" w:space="0"/>
              <w:left w:val="nil"/>
              <w:bottom w:val="single" w:color="000000" w:sz="4" w:space="0"/>
              <w:right w:val="single" w:color="000000" w:sz="4" w:space="0"/>
            </w:tcBorders>
            <w:vAlign w:val="top"/>
          </w:tcPr>
          <w:p w14:paraId="49A4804D">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000000" w:sz="4" w:space="0"/>
              <w:left w:val="nil"/>
              <w:bottom w:val="single" w:color="000000" w:sz="4" w:space="0"/>
              <w:right w:val="single" w:color="000000" w:sz="4" w:space="0"/>
            </w:tcBorders>
            <w:vAlign w:val="top"/>
          </w:tcPr>
          <w:p w14:paraId="5E23F422">
            <w:pPr>
              <w:pStyle w:val="30"/>
              <w:rPr>
                <w:rFonts w:hint="eastAsia" w:ascii="宋体" w:hAnsi="宋体" w:eastAsia="宋体" w:cs="宋体"/>
                <w:color w:val="000000" w:themeColor="text1"/>
                <w:sz w:val="21"/>
                <w:szCs w:val="21"/>
                <w:highlight w:val="none"/>
                <w14:textFill>
                  <w14:solidFill>
                    <w14:schemeClr w14:val="tx1"/>
                  </w14:solidFill>
                </w14:textFill>
              </w:rPr>
            </w:pPr>
          </w:p>
        </w:tc>
      </w:tr>
      <w:tr w14:paraId="177526F6">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14:paraId="2DDFAEB8">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198" w:type="dxa"/>
            <w:tcBorders>
              <w:top w:val="single" w:color="000000" w:sz="4" w:space="0"/>
              <w:left w:val="nil"/>
              <w:bottom w:val="single" w:color="000000" w:sz="4" w:space="0"/>
              <w:right w:val="single" w:color="000000" w:sz="4" w:space="0"/>
            </w:tcBorders>
            <w:vAlign w:val="top"/>
          </w:tcPr>
          <w:p w14:paraId="557169F2">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839" w:type="dxa"/>
            <w:tcBorders>
              <w:top w:val="single" w:color="000000" w:sz="4" w:space="0"/>
              <w:left w:val="nil"/>
              <w:bottom w:val="single" w:color="000000" w:sz="4" w:space="0"/>
              <w:right w:val="single" w:color="000000" w:sz="4" w:space="0"/>
            </w:tcBorders>
            <w:vAlign w:val="top"/>
          </w:tcPr>
          <w:p w14:paraId="041B43EC">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092" w:type="dxa"/>
            <w:tcBorders>
              <w:top w:val="single" w:color="000000" w:sz="4" w:space="0"/>
              <w:left w:val="nil"/>
              <w:bottom w:val="single" w:color="000000" w:sz="4" w:space="0"/>
              <w:right w:val="single" w:color="000000" w:sz="4" w:space="0"/>
            </w:tcBorders>
            <w:vAlign w:val="top"/>
          </w:tcPr>
          <w:p w14:paraId="22F79A3B">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741" w:type="dxa"/>
            <w:tcBorders>
              <w:top w:val="single" w:color="000000" w:sz="4" w:space="0"/>
              <w:left w:val="nil"/>
              <w:bottom w:val="single" w:color="000000" w:sz="4" w:space="0"/>
              <w:right w:val="single" w:color="000000" w:sz="4" w:space="0"/>
            </w:tcBorders>
            <w:vAlign w:val="top"/>
          </w:tcPr>
          <w:p w14:paraId="3B6BCC38">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814" w:type="dxa"/>
            <w:tcBorders>
              <w:top w:val="single" w:color="000000" w:sz="4" w:space="0"/>
              <w:left w:val="nil"/>
              <w:bottom w:val="single" w:color="000000" w:sz="4" w:space="0"/>
              <w:right w:val="single" w:color="000000" w:sz="4" w:space="0"/>
            </w:tcBorders>
            <w:vAlign w:val="top"/>
          </w:tcPr>
          <w:p w14:paraId="0677AC67">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337" w:type="dxa"/>
            <w:tcBorders>
              <w:top w:val="single" w:color="000000" w:sz="4" w:space="0"/>
              <w:left w:val="nil"/>
              <w:bottom w:val="single" w:color="000000" w:sz="4" w:space="0"/>
              <w:right w:val="single" w:color="000000" w:sz="4" w:space="0"/>
            </w:tcBorders>
            <w:vAlign w:val="top"/>
          </w:tcPr>
          <w:p w14:paraId="6BD38845">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965" w:type="dxa"/>
            <w:tcBorders>
              <w:top w:val="single" w:color="000000" w:sz="4" w:space="0"/>
              <w:left w:val="nil"/>
              <w:bottom w:val="single" w:color="000000" w:sz="4" w:space="0"/>
              <w:right w:val="single" w:color="000000" w:sz="4" w:space="0"/>
            </w:tcBorders>
            <w:vAlign w:val="top"/>
          </w:tcPr>
          <w:p w14:paraId="39940989">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164" w:type="dxa"/>
            <w:tcBorders>
              <w:top w:val="single" w:color="000000" w:sz="4" w:space="0"/>
              <w:left w:val="nil"/>
              <w:bottom w:val="single" w:color="000000" w:sz="4" w:space="0"/>
              <w:right w:val="single" w:color="000000" w:sz="4" w:space="0"/>
            </w:tcBorders>
            <w:vAlign w:val="top"/>
          </w:tcPr>
          <w:p w14:paraId="67F32595">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000000" w:sz="4" w:space="0"/>
              <w:left w:val="nil"/>
              <w:bottom w:val="single" w:color="000000" w:sz="4" w:space="0"/>
              <w:right w:val="single" w:color="000000" w:sz="4" w:space="0"/>
            </w:tcBorders>
            <w:vAlign w:val="top"/>
          </w:tcPr>
          <w:p w14:paraId="717A7491">
            <w:pPr>
              <w:pStyle w:val="30"/>
              <w:rPr>
                <w:rFonts w:hint="eastAsia" w:ascii="宋体" w:hAnsi="宋体" w:eastAsia="宋体" w:cs="宋体"/>
                <w:color w:val="000000" w:themeColor="text1"/>
                <w:sz w:val="21"/>
                <w:szCs w:val="21"/>
                <w:highlight w:val="none"/>
                <w14:textFill>
                  <w14:solidFill>
                    <w14:schemeClr w14:val="tx1"/>
                  </w14:solidFill>
                </w14:textFill>
              </w:rPr>
            </w:pPr>
          </w:p>
        </w:tc>
      </w:tr>
      <w:tr w14:paraId="36EE1512">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14:paraId="0C3B5505">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198" w:type="dxa"/>
            <w:tcBorders>
              <w:top w:val="single" w:color="000000" w:sz="4" w:space="0"/>
              <w:left w:val="nil"/>
              <w:bottom w:val="single" w:color="000000" w:sz="4" w:space="0"/>
              <w:right w:val="single" w:color="000000" w:sz="4" w:space="0"/>
            </w:tcBorders>
            <w:vAlign w:val="top"/>
          </w:tcPr>
          <w:p w14:paraId="7A7F5DB5">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839" w:type="dxa"/>
            <w:tcBorders>
              <w:top w:val="single" w:color="000000" w:sz="4" w:space="0"/>
              <w:left w:val="nil"/>
              <w:bottom w:val="single" w:color="000000" w:sz="4" w:space="0"/>
              <w:right w:val="single" w:color="000000" w:sz="4" w:space="0"/>
            </w:tcBorders>
            <w:vAlign w:val="top"/>
          </w:tcPr>
          <w:p w14:paraId="23AF8696">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092" w:type="dxa"/>
            <w:tcBorders>
              <w:top w:val="single" w:color="000000" w:sz="4" w:space="0"/>
              <w:left w:val="nil"/>
              <w:bottom w:val="single" w:color="000000" w:sz="4" w:space="0"/>
              <w:right w:val="single" w:color="000000" w:sz="4" w:space="0"/>
            </w:tcBorders>
            <w:vAlign w:val="top"/>
          </w:tcPr>
          <w:p w14:paraId="7DE46A51">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741" w:type="dxa"/>
            <w:tcBorders>
              <w:top w:val="single" w:color="000000" w:sz="4" w:space="0"/>
              <w:left w:val="nil"/>
              <w:bottom w:val="single" w:color="000000" w:sz="4" w:space="0"/>
              <w:right w:val="single" w:color="000000" w:sz="4" w:space="0"/>
            </w:tcBorders>
            <w:vAlign w:val="top"/>
          </w:tcPr>
          <w:p w14:paraId="41CA62D2">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814" w:type="dxa"/>
            <w:tcBorders>
              <w:top w:val="single" w:color="000000" w:sz="4" w:space="0"/>
              <w:left w:val="nil"/>
              <w:bottom w:val="single" w:color="000000" w:sz="4" w:space="0"/>
              <w:right w:val="single" w:color="000000" w:sz="4" w:space="0"/>
            </w:tcBorders>
            <w:vAlign w:val="top"/>
          </w:tcPr>
          <w:p w14:paraId="7159B8DC">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337" w:type="dxa"/>
            <w:tcBorders>
              <w:top w:val="single" w:color="000000" w:sz="4" w:space="0"/>
              <w:left w:val="nil"/>
              <w:bottom w:val="single" w:color="000000" w:sz="4" w:space="0"/>
              <w:right w:val="single" w:color="000000" w:sz="4" w:space="0"/>
            </w:tcBorders>
            <w:vAlign w:val="top"/>
          </w:tcPr>
          <w:p w14:paraId="0CD9C293">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965" w:type="dxa"/>
            <w:tcBorders>
              <w:top w:val="single" w:color="000000" w:sz="4" w:space="0"/>
              <w:left w:val="nil"/>
              <w:bottom w:val="single" w:color="000000" w:sz="4" w:space="0"/>
              <w:right w:val="single" w:color="000000" w:sz="4" w:space="0"/>
            </w:tcBorders>
            <w:vAlign w:val="top"/>
          </w:tcPr>
          <w:p w14:paraId="459ECF3E">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164" w:type="dxa"/>
            <w:tcBorders>
              <w:top w:val="single" w:color="000000" w:sz="4" w:space="0"/>
              <w:left w:val="nil"/>
              <w:bottom w:val="single" w:color="000000" w:sz="4" w:space="0"/>
              <w:right w:val="single" w:color="000000" w:sz="4" w:space="0"/>
            </w:tcBorders>
            <w:vAlign w:val="top"/>
          </w:tcPr>
          <w:p w14:paraId="3A20D313">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000000" w:sz="4" w:space="0"/>
              <w:left w:val="nil"/>
              <w:bottom w:val="single" w:color="000000" w:sz="4" w:space="0"/>
              <w:right w:val="single" w:color="000000" w:sz="4" w:space="0"/>
            </w:tcBorders>
            <w:vAlign w:val="top"/>
          </w:tcPr>
          <w:p w14:paraId="4EE9EC17">
            <w:pPr>
              <w:pStyle w:val="30"/>
              <w:rPr>
                <w:rFonts w:hint="eastAsia" w:ascii="宋体" w:hAnsi="宋体" w:eastAsia="宋体" w:cs="宋体"/>
                <w:color w:val="000000" w:themeColor="text1"/>
                <w:sz w:val="21"/>
                <w:szCs w:val="21"/>
                <w:highlight w:val="none"/>
                <w14:textFill>
                  <w14:solidFill>
                    <w14:schemeClr w14:val="tx1"/>
                  </w14:solidFill>
                </w14:textFill>
              </w:rPr>
            </w:pPr>
          </w:p>
        </w:tc>
      </w:tr>
      <w:tr w14:paraId="4493E411">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14:paraId="0C04938E">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198" w:type="dxa"/>
            <w:tcBorders>
              <w:top w:val="single" w:color="000000" w:sz="4" w:space="0"/>
              <w:left w:val="nil"/>
              <w:bottom w:val="single" w:color="000000" w:sz="4" w:space="0"/>
              <w:right w:val="single" w:color="000000" w:sz="4" w:space="0"/>
            </w:tcBorders>
            <w:vAlign w:val="top"/>
          </w:tcPr>
          <w:p w14:paraId="42E87609">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839" w:type="dxa"/>
            <w:tcBorders>
              <w:top w:val="single" w:color="000000" w:sz="4" w:space="0"/>
              <w:left w:val="nil"/>
              <w:bottom w:val="single" w:color="000000" w:sz="4" w:space="0"/>
              <w:right w:val="single" w:color="000000" w:sz="4" w:space="0"/>
            </w:tcBorders>
            <w:vAlign w:val="top"/>
          </w:tcPr>
          <w:p w14:paraId="7E1E89AB">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092" w:type="dxa"/>
            <w:tcBorders>
              <w:top w:val="single" w:color="000000" w:sz="4" w:space="0"/>
              <w:left w:val="nil"/>
              <w:bottom w:val="single" w:color="000000" w:sz="4" w:space="0"/>
              <w:right w:val="single" w:color="000000" w:sz="4" w:space="0"/>
            </w:tcBorders>
            <w:vAlign w:val="top"/>
          </w:tcPr>
          <w:p w14:paraId="78FB3944">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741" w:type="dxa"/>
            <w:tcBorders>
              <w:top w:val="single" w:color="000000" w:sz="4" w:space="0"/>
              <w:left w:val="nil"/>
              <w:bottom w:val="single" w:color="000000" w:sz="4" w:space="0"/>
              <w:right w:val="single" w:color="000000" w:sz="4" w:space="0"/>
            </w:tcBorders>
            <w:vAlign w:val="top"/>
          </w:tcPr>
          <w:p w14:paraId="46ADDD7E">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814" w:type="dxa"/>
            <w:tcBorders>
              <w:top w:val="single" w:color="000000" w:sz="4" w:space="0"/>
              <w:left w:val="nil"/>
              <w:bottom w:val="single" w:color="000000" w:sz="4" w:space="0"/>
              <w:right w:val="single" w:color="000000" w:sz="4" w:space="0"/>
            </w:tcBorders>
            <w:vAlign w:val="top"/>
          </w:tcPr>
          <w:p w14:paraId="6C9AFE6F">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337" w:type="dxa"/>
            <w:tcBorders>
              <w:top w:val="single" w:color="000000" w:sz="4" w:space="0"/>
              <w:left w:val="nil"/>
              <w:bottom w:val="single" w:color="000000" w:sz="4" w:space="0"/>
              <w:right w:val="single" w:color="000000" w:sz="4" w:space="0"/>
            </w:tcBorders>
            <w:vAlign w:val="top"/>
          </w:tcPr>
          <w:p w14:paraId="3C6A6AAB">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965" w:type="dxa"/>
            <w:tcBorders>
              <w:top w:val="single" w:color="000000" w:sz="4" w:space="0"/>
              <w:left w:val="nil"/>
              <w:bottom w:val="single" w:color="000000" w:sz="4" w:space="0"/>
              <w:right w:val="single" w:color="000000" w:sz="4" w:space="0"/>
            </w:tcBorders>
            <w:vAlign w:val="top"/>
          </w:tcPr>
          <w:p w14:paraId="7B7E6FA1">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164" w:type="dxa"/>
            <w:tcBorders>
              <w:top w:val="single" w:color="000000" w:sz="4" w:space="0"/>
              <w:left w:val="nil"/>
              <w:bottom w:val="single" w:color="000000" w:sz="4" w:space="0"/>
              <w:right w:val="single" w:color="000000" w:sz="4" w:space="0"/>
            </w:tcBorders>
            <w:vAlign w:val="top"/>
          </w:tcPr>
          <w:p w14:paraId="42F03CE1">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000000" w:sz="4" w:space="0"/>
              <w:left w:val="nil"/>
              <w:bottom w:val="single" w:color="000000" w:sz="4" w:space="0"/>
              <w:right w:val="single" w:color="000000" w:sz="4" w:space="0"/>
            </w:tcBorders>
            <w:vAlign w:val="top"/>
          </w:tcPr>
          <w:p w14:paraId="695DA9F5">
            <w:pPr>
              <w:pStyle w:val="30"/>
              <w:rPr>
                <w:rFonts w:hint="eastAsia" w:ascii="宋体" w:hAnsi="宋体" w:eastAsia="宋体" w:cs="宋体"/>
                <w:color w:val="000000" w:themeColor="text1"/>
                <w:sz w:val="21"/>
                <w:szCs w:val="21"/>
                <w:highlight w:val="none"/>
                <w14:textFill>
                  <w14:solidFill>
                    <w14:schemeClr w14:val="tx1"/>
                  </w14:solidFill>
                </w14:textFill>
              </w:rPr>
            </w:pPr>
          </w:p>
        </w:tc>
      </w:tr>
    </w:tbl>
    <w:p w14:paraId="31650239">
      <w:pPr>
        <w:pStyle w:val="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4B67ABB">
      <w:pPr>
        <w:rPr>
          <w:rFonts w:hint="eastAsia" w:ascii="宋体" w:hAnsi="宋体" w:eastAsia="宋体" w:cs="宋体"/>
          <w:b/>
          <w:color w:val="000000" w:themeColor="text1"/>
          <w:sz w:val="21"/>
          <w:szCs w:val="21"/>
          <w:highlight w:val="none"/>
          <w14:textFill>
            <w14:solidFill>
              <w14:schemeClr w14:val="tx1"/>
            </w14:solidFill>
          </w14:textFill>
        </w:rPr>
      </w:pPr>
      <w:bookmarkStart w:id="245" w:name="_Toc483317225"/>
      <w:bookmarkStart w:id="246" w:name="_Toc418751906"/>
      <w:bookmarkStart w:id="247" w:name="_Toc418752352"/>
      <w:r>
        <w:rPr>
          <w:rFonts w:hint="eastAsia" w:ascii="宋体" w:hAnsi="宋体" w:eastAsia="宋体" w:cs="宋体"/>
          <w:b/>
          <w:color w:val="000000" w:themeColor="text1"/>
          <w:sz w:val="21"/>
          <w:szCs w:val="21"/>
          <w:highlight w:val="none"/>
          <w14:textFill>
            <w14:solidFill>
              <w14:schemeClr w14:val="tx1"/>
            </w14:solidFill>
          </w14:textFill>
        </w:rPr>
        <w:t>附表二：拟配备本项目的试验和检测仪器设备表</w:t>
      </w:r>
      <w:bookmarkEnd w:id="245"/>
      <w:bookmarkEnd w:id="246"/>
      <w:bookmarkEnd w:id="247"/>
    </w:p>
    <w:tbl>
      <w:tblPr>
        <w:tblStyle w:val="19"/>
        <w:tblW w:w="9648" w:type="dxa"/>
        <w:tblInd w:w="-5" w:type="dxa"/>
        <w:tblLayout w:type="fixed"/>
        <w:tblCellMar>
          <w:top w:w="0" w:type="dxa"/>
          <w:left w:w="0" w:type="dxa"/>
          <w:bottom w:w="0" w:type="dxa"/>
          <w:right w:w="0" w:type="dxa"/>
        </w:tblCellMar>
      </w:tblPr>
      <w:tblGrid>
        <w:gridCol w:w="759"/>
        <w:gridCol w:w="1239"/>
        <w:gridCol w:w="866"/>
        <w:gridCol w:w="1129"/>
        <w:gridCol w:w="766"/>
        <w:gridCol w:w="841"/>
        <w:gridCol w:w="1382"/>
        <w:gridCol w:w="1885"/>
        <w:gridCol w:w="781"/>
      </w:tblGrid>
      <w:tr w14:paraId="0BB6E59A">
        <w:tblPrEx>
          <w:tblCellMar>
            <w:top w:w="0" w:type="dxa"/>
            <w:left w:w="0" w:type="dxa"/>
            <w:bottom w:w="0" w:type="dxa"/>
            <w:right w:w="0" w:type="dxa"/>
          </w:tblCellMar>
        </w:tblPrEx>
        <w:trPr>
          <w:trHeight w:val="889"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6A96A4D6">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239" w:type="dxa"/>
            <w:tcBorders>
              <w:top w:val="single" w:color="000000" w:sz="4" w:space="0"/>
              <w:left w:val="nil"/>
              <w:bottom w:val="single" w:color="000000" w:sz="4" w:space="0"/>
              <w:right w:val="single" w:color="000000" w:sz="4" w:space="0"/>
            </w:tcBorders>
            <w:vAlign w:val="center"/>
          </w:tcPr>
          <w:p w14:paraId="1C043CD9">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仪器设备</w:t>
            </w:r>
          </w:p>
          <w:p w14:paraId="300BDB1B">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名称</w:t>
            </w:r>
          </w:p>
        </w:tc>
        <w:tc>
          <w:tcPr>
            <w:tcW w:w="866" w:type="dxa"/>
            <w:tcBorders>
              <w:top w:val="single" w:color="000000" w:sz="4" w:space="0"/>
              <w:left w:val="nil"/>
              <w:bottom w:val="single" w:color="000000" w:sz="4" w:space="0"/>
              <w:right w:val="single" w:color="000000" w:sz="4" w:space="0"/>
            </w:tcBorders>
            <w:vAlign w:val="center"/>
          </w:tcPr>
          <w:p w14:paraId="3C20FE2A">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型号</w:t>
            </w:r>
          </w:p>
          <w:p w14:paraId="7DF23638">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w:t>
            </w:r>
          </w:p>
        </w:tc>
        <w:tc>
          <w:tcPr>
            <w:tcW w:w="1129" w:type="dxa"/>
            <w:tcBorders>
              <w:top w:val="single" w:color="000000" w:sz="4" w:space="0"/>
              <w:left w:val="nil"/>
              <w:bottom w:val="single" w:color="000000" w:sz="4" w:space="0"/>
              <w:right w:val="single" w:color="000000" w:sz="4" w:space="0"/>
            </w:tcBorders>
            <w:vAlign w:val="center"/>
          </w:tcPr>
          <w:p w14:paraId="37E7726E">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766" w:type="dxa"/>
            <w:tcBorders>
              <w:top w:val="single" w:color="000000" w:sz="4" w:space="0"/>
              <w:left w:val="nil"/>
              <w:bottom w:val="single" w:color="000000" w:sz="4" w:space="0"/>
              <w:right w:val="single" w:color="000000" w:sz="4" w:space="0"/>
            </w:tcBorders>
            <w:vAlign w:val="center"/>
          </w:tcPr>
          <w:p w14:paraId="768BFBAF">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国别</w:t>
            </w:r>
          </w:p>
          <w:p w14:paraId="1034E57C">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w:t>
            </w:r>
          </w:p>
        </w:tc>
        <w:tc>
          <w:tcPr>
            <w:tcW w:w="841" w:type="dxa"/>
            <w:tcBorders>
              <w:top w:val="single" w:color="000000" w:sz="4" w:space="0"/>
              <w:left w:val="nil"/>
              <w:bottom w:val="single" w:color="000000" w:sz="4" w:space="0"/>
              <w:right w:val="single" w:color="000000" w:sz="4" w:space="0"/>
            </w:tcBorders>
            <w:vAlign w:val="center"/>
          </w:tcPr>
          <w:p w14:paraId="16EDF2B1">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w:t>
            </w:r>
          </w:p>
          <w:p w14:paraId="2F569AEA">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年份</w:t>
            </w:r>
          </w:p>
        </w:tc>
        <w:tc>
          <w:tcPr>
            <w:tcW w:w="1382" w:type="dxa"/>
            <w:tcBorders>
              <w:top w:val="single" w:color="000000" w:sz="4" w:space="0"/>
              <w:left w:val="nil"/>
              <w:bottom w:val="single" w:color="000000" w:sz="4" w:space="0"/>
              <w:right w:val="single" w:color="000000" w:sz="4" w:space="0"/>
            </w:tcBorders>
            <w:vAlign w:val="center"/>
          </w:tcPr>
          <w:p w14:paraId="3FC2C404">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已使用</w:t>
            </w:r>
          </w:p>
          <w:p w14:paraId="758A1E95">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台时数</w:t>
            </w:r>
          </w:p>
        </w:tc>
        <w:tc>
          <w:tcPr>
            <w:tcW w:w="1885" w:type="dxa"/>
            <w:tcBorders>
              <w:top w:val="single" w:color="000000" w:sz="4" w:space="0"/>
              <w:left w:val="nil"/>
              <w:bottom w:val="single" w:color="000000" w:sz="4" w:space="0"/>
              <w:right w:val="single" w:color="000000" w:sz="4" w:space="0"/>
            </w:tcBorders>
            <w:vAlign w:val="center"/>
          </w:tcPr>
          <w:p w14:paraId="68F1F08E">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用途</w:t>
            </w:r>
          </w:p>
        </w:tc>
        <w:tc>
          <w:tcPr>
            <w:tcW w:w="781" w:type="dxa"/>
            <w:tcBorders>
              <w:top w:val="single" w:color="000000" w:sz="4" w:space="0"/>
              <w:left w:val="nil"/>
              <w:bottom w:val="single" w:color="000000" w:sz="4" w:space="0"/>
              <w:right w:val="single" w:color="000000" w:sz="4" w:space="0"/>
            </w:tcBorders>
            <w:vAlign w:val="center"/>
          </w:tcPr>
          <w:p w14:paraId="75EC9654">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7348E321">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14:paraId="167CE5BC">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39" w:type="dxa"/>
            <w:tcBorders>
              <w:top w:val="single" w:color="000000" w:sz="4" w:space="0"/>
              <w:left w:val="nil"/>
              <w:bottom w:val="single" w:color="000000" w:sz="4" w:space="0"/>
              <w:right w:val="single" w:color="000000" w:sz="4" w:space="0"/>
            </w:tcBorders>
            <w:vAlign w:val="top"/>
          </w:tcPr>
          <w:p w14:paraId="53622C00">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866" w:type="dxa"/>
            <w:tcBorders>
              <w:top w:val="single" w:color="000000" w:sz="4" w:space="0"/>
              <w:left w:val="nil"/>
              <w:bottom w:val="single" w:color="000000" w:sz="4" w:space="0"/>
              <w:right w:val="single" w:color="000000" w:sz="4" w:space="0"/>
            </w:tcBorders>
            <w:vAlign w:val="top"/>
          </w:tcPr>
          <w:p w14:paraId="3A18486D">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129" w:type="dxa"/>
            <w:tcBorders>
              <w:top w:val="single" w:color="000000" w:sz="4" w:space="0"/>
              <w:left w:val="nil"/>
              <w:bottom w:val="single" w:color="000000" w:sz="4" w:space="0"/>
              <w:right w:val="single" w:color="000000" w:sz="4" w:space="0"/>
            </w:tcBorders>
            <w:vAlign w:val="top"/>
          </w:tcPr>
          <w:p w14:paraId="336F0E12">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766" w:type="dxa"/>
            <w:tcBorders>
              <w:top w:val="single" w:color="000000" w:sz="4" w:space="0"/>
              <w:left w:val="nil"/>
              <w:bottom w:val="single" w:color="000000" w:sz="4" w:space="0"/>
              <w:right w:val="single" w:color="000000" w:sz="4" w:space="0"/>
            </w:tcBorders>
            <w:vAlign w:val="top"/>
          </w:tcPr>
          <w:p w14:paraId="36516B0B">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841" w:type="dxa"/>
            <w:tcBorders>
              <w:top w:val="single" w:color="000000" w:sz="4" w:space="0"/>
              <w:left w:val="nil"/>
              <w:bottom w:val="single" w:color="000000" w:sz="4" w:space="0"/>
              <w:right w:val="single" w:color="000000" w:sz="4" w:space="0"/>
            </w:tcBorders>
            <w:vAlign w:val="top"/>
          </w:tcPr>
          <w:p w14:paraId="512FA4B3">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tcBorders>
              <w:top w:val="single" w:color="000000" w:sz="4" w:space="0"/>
              <w:left w:val="nil"/>
              <w:bottom w:val="single" w:color="000000" w:sz="4" w:space="0"/>
              <w:right w:val="single" w:color="000000" w:sz="4" w:space="0"/>
            </w:tcBorders>
            <w:vAlign w:val="top"/>
          </w:tcPr>
          <w:p w14:paraId="3F43247F">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885" w:type="dxa"/>
            <w:tcBorders>
              <w:top w:val="single" w:color="000000" w:sz="4" w:space="0"/>
              <w:left w:val="nil"/>
              <w:bottom w:val="single" w:color="000000" w:sz="4" w:space="0"/>
              <w:right w:val="single" w:color="000000" w:sz="4" w:space="0"/>
            </w:tcBorders>
            <w:vAlign w:val="top"/>
          </w:tcPr>
          <w:p w14:paraId="7FA308C5">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781" w:type="dxa"/>
            <w:tcBorders>
              <w:top w:val="single" w:color="000000" w:sz="4" w:space="0"/>
              <w:left w:val="nil"/>
              <w:bottom w:val="single" w:color="000000" w:sz="4" w:space="0"/>
              <w:right w:val="single" w:color="000000" w:sz="4" w:space="0"/>
            </w:tcBorders>
            <w:vAlign w:val="top"/>
          </w:tcPr>
          <w:p w14:paraId="59BDC405">
            <w:pPr>
              <w:pStyle w:val="30"/>
              <w:rPr>
                <w:rFonts w:hint="eastAsia" w:ascii="宋体" w:hAnsi="宋体" w:eastAsia="宋体" w:cs="宋体"/>
                <w:color w:val="000000" w:themeColor="text1"/>
                <w:sz w:val="21"/>
                <w:szCs w:val="21"/>
                <w:highlight w:val="none"/>
                <w14:textFill>
                  <w14:solidFill>
                    <w14:schemeClr w14:val="tx1"/>
                  </w14:solidFill>
                </w14:textFill>
              </w:rPr>
            </w:pPr>
          </w:p>
        </w:tc>
      </w:tr>
      <w:tr w14:paraId="53581253">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14:paraId="161458EA">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39" w:type="dxa"/>
            <w:tcBorders>
              <w:top w:val="single" w:color="000000" w:sz="4" w:space="0"/>
              <w:left w:val="nil"/>
              <w:bottom w:val="single" w:color="000000" w:sz="4" w:space="0"/>
              <w:right w:val="single" w:color="000000" w:sz="4" w:space="0"/>
            </w:tcBorders>
            <w:vAlign w:val="top"/>
          </w:tcPr>
          <w:p w14:paraId="1015A421">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866" w:type="dxa"/>
            <w:tcBorders>
              <w:top w:val="single" w:color="000000" w:sz="4" w:space="0"/>
              <w:left w:val="nil"/>
              <w:bottom w:val="single" w:color="000000" w:sz="4" w:space="0"/>
              <w:right w:val="single" w:color="000000" w:sz="4" w:space="0"/>
            </w:tcBorders>
            <w:vAlign w:val="top"/>
          </w:tcPr>
          <w:p w14:paraId="0FDA7AC5">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129" w:type="dxa"/>
            <w:tcBorders>
              <w:top w:val="single" w:color="000000" w:sz="4" w:space="0"/>
              <w:left w:val="nil"/>
              <w:bottom w:val="single" w:color="000000" w:sz="4" w:space="0"/>
              <w:right w:val="single" w:color="000000" w:sz="4" w:space="0"/>
            </w:tcBorders>
            <w:vAlign w:val="top"/>
          </w:tcPr>
          <w:p w14:paraId="7AED96F0">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766" w:type="dxa"/>
            <w:tcBorders>
              <w:top w:val="single" w:color="000000" w:sz="4" w:space="0"/>
              <w:left w:val="nil"/>
              <w:bottom w:val="single" w:color="000000" w:sz="4" w:space="0"/>
              <w:right w:val="single" w:color="000000" w:sz="4" w:space="0"/>
            </w:tcBorders>
            <w:vAlign w:val="top"/>
          </w:tcPr>
          <w:p w14:paraId="22443F32">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841" w:type="dxa"/>
            <w:tcBorders>
              <w:top w:val="single" w:color="000000" w:sz="4" w:space="0"/>
              <w:left w:val="nil"/>
              <w:bottom w:val="single" w:color="000000" w:sz="4" w:space="0"/>
              <w:right w:val="single" w:color="000000" w:sz="4" w:space="0"/>
            </w:tcBorders>
            <w:vAlign w:val="top"/>
          </w:tcPr>
          <w:p w14:paraId="0E5D138B">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tcBorders>
              <w:top w:val="single" w:color="000000" w:sz="4" w:space="0"/>
              <w:left w:val="nil"/>
              <w:bottom w:val="single" w:color="000000" w:sz="4" w:space="0"/>
              <w:right w:val="single" w:color="000000" w:sz="4" w:space="0"/>
            </w:tcBorders>
            <w:vAlign w:val="top"/>
          </w:tcPr>
          <w:p w14:paraId="192F0DA6">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885" w:type="dxa"/>
            <w:tcBorders>
              <w:top w:val="single" w:color="000000" w:sz="4" w:space="0"/>
              <w:left w:val="nil"/>
              <w:bottom w:val="single" w:color="000000" w:sz="4" w:space="0"/>
              <w:right w:val="single" w:color="000000" w:sz="4" w:space="0"/>
            </w:tcBorders>
            <w:vAlign w:val="top"/>
          </w:tcPr>
          <w:p w14:paraId="5978CDC9">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781" w:type="dxa"/>
            <w:tcBorders>
              <w:top w:val="single" w:color="000000" w:sz="4" w:space="0"/>
              <w:left w:val="nil"/>
              <w:bottom w:val="single" w:color="000000" w:sz="4" w:space="0"/>
              <w:right w:val="single" w:color="000000" w:sz="4" w:space="0"/>
            </w:tcBorders>
            <w:vAlign w:val="top"/>
          </w:tcPr>
          <w:p w14:paraId="1FE45B62">
            <w:pPr>
              <w:pStyle w:val="30"/>
              <w:rPr>
                <w:rFonts w:hint="eastAsia" w:ascii="宋体" w:hAnsi="宋体" w:eastAsia="宋体" w:cs="宋体"/>
                <w:color w:val="000000" w:themeColor="text1"/>
                <w:sz w:val="21"/>
                <w:szCs w:val="21"/>
                <w:highlight w:val="none"/>
                <w14:textFill>
                  <w14:solidFill>
                    <w14:schemeClr w14:val="tx1"/>
                  </w14:solidFill>
                </w14:textFill>
              </w:rPr>
            </w:pPr>
          </w:p>
        </w:tc>
      </w:tr>
      <w:tr w14:paraId="7C3B27B3">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14:paraId="15B035CF">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39" w:type="dxa"/>
            <w:tcBorders>
              <w:top w:val="single" w:color="000000" w:sz="4" w:space="0"/>
              <w:left w:val="nil"/>
              <w:bottom w:val="single" w:color="000000" w:sz="4" w:space="0"/>
              <w:right w:val="single" w:color="000000" w:sz="4" w:space="0"/>
            </w:tcBorders>
            <w:vAlign w:val="top"/>
          </w:tcPr>
          <w:p w14:paraId="682E9CDB">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866" w:type="dxa"/>
            <w:tcBorders>
              <w:top w:val="single" w:color="000000" w:sz="4" w:space="0"/>
              <w:left w:val="nil"/>
              <w:bottom w:val="single" w:color="000000" w:sz="4" w:space="0"/>
              <w:right w:val="single" w:color="000000" w:sz="4" w:space="0"/>
            </w:tcBorders>
            <w:vAlign w:val="top"/>
          </w:tcPr>
          <w:p w14:paraId="72FCD0D7">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129" w:type="dxa"/>
            <w:tcBorders>
              <w:top w:val="single" w:color="000000" w:sz="4" w:space="0"/>
              <w:left w:val="nil"/>
              <w:bottom w:val="single" w:color="000000" w:sz="4" w:space="0"/>
              <w:right w:val="single" w:color="000000" w:sz="4" w:space="0"/>
            </w:tcBorders>
            <w:vAlign w:val="top"/>
          </w:tcPr>
          <w:p w14:paraId="1707DF96">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766" w:type="dxa"/>
            <w:tcBorders>
              <w:top w:val="single" w:color="000000" w:sz="4" w:space="0"/>
              <w:left w:val="nil"/>
              <w:bottom w:val="single" w:color="000000" w:sz="4" w:space="0"/>
              <w:right w:val="single" w:color="000000" w:sz="4" w:space="0"/>
            </w:tcBorders>
            <w:vAlign w:val="top"/>
          </w:tcPr>
          <w:p w14:paraId="5DBF2484">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841" w:type="dxa"/>
            <w:tcBorders>
              <w:top w:val="single" w:color="000000" w:sz="4" w:space="0"/>
              <w:left w:val="nil"/>
              <w:bottom w:val="single" w:color="000000" w:sz="4" w:space="0"/>
              <w:right w:val="single" w:color="000000" w:sz="4" w:space="0"/>
            </w:tcBorders>
            <w:vAlign w:val="top"/>
          </w:tcPr>
          <w:p w14:paraId="4AD8658C">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tcBorders>
              <w:top w:val="single" w:color="000000" w:sz="4" w:space="0"/>
              <w:left w:val="nil"/>
              <w:bottom w:val="single" w:color="000000" w:sz="4" w:space="0"/>
              <w:right w:val="single" w:color="000000" w:sz="4" w:space="0"/>
            </w:tcBorders>
            <w:vAlign w:val="top"/>
          </w:tcPr>
          <w:p w14:paraId="598B9524">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885" w:type="dxa"/>
            <w:tcBorders>
              <w:top w:val="single" w:color="000000" w:sz="4" w:space="0"/>
              <w:left w:val="nil"/>
              <w:bottom w:val="single" w:color="000000" w:sz="4" w:space="0"/>
              <w:right w:val="single" w:color="000000" w:sz="4" w:space="0"/>
            </w:tcBorders>
            <w:vAlign w:val="top"/>
          </w:tcPr>
          <w:p w14:paraId="32E39D96">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781" w:type="dxa"/>
            <w:tcBorders>
              <w:top w:val="single" w:color="000000" w:sz="4" w:space="0"/>
              <w:left w:val="nil"/>
              <w:bottom w:val="single" w:color="000000" w:sz="4" w:space="0"/>
              <w:right w:val="single" w:color="000000" w:sz="4" w:space="0"/>
            </w:tcBorders>
            <w:vAlign w:val="top"/>
          </w:tcPr>
          <w:p w14:paraId="57FFA867">
            <w:pPr>
              <w:pStyle w:val="30"/>
              <w:rPr>
                <w:rFonts w:hint="eastAsia" w:ascii="宋体" w:hAnsi="宋体" w:eastAsia="宋体" w:cs="宋体"/>
                <w:color w:val="000000" w:themeColor="text1"/>
                <w:sz w:val="21"/>
                <w:szCs w:val="21"/>
                <w:highlight w:val="none"/>
                <w14:textFill>
                  <w14:solidFill>
                    <w14:schemeClr w14:val="tx1"/>
                  </w14:solidFill>
                </w14:textFill>
              </w:rPr>
            </w:pPr>
          </w:p>
        </w:tc>
      </w:tr>
      <w:tr w14:paraId="0AE64321">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14:paraId="2B163B9C">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39" w:type="dxa"/>
            <w:tcBorders>
              <w:top w:val="single" w:color="000000" w:sz="4" w:space="0"/>
              <w:left w:val="nil"/>
              <w:bottom w:val="single" w:color="000000" w:sz="4" w:space="0"/>
              <w:right w:val="single" w:color="000000" w:sz="4" w:space="0"/>
            </w:tcBorders>
            <w:vAlign w:val="top"/>
          </w:tcPr>
          <w:p w14:paraId="36272282">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866" w:type="dxa"/>
            <w:tcBorders>
              <w:top w:val="single" w:color="000000" w:sz="4" w:space="0"/>
              <w:left w:val="nil"/>
              <w:bottom w:val="single" w:color="000000" w:sz="4" w:space="0"/>
              <w:right w:val="single" w:color="000000" w:sz="4" w:space="0"/>
            </w:tcBorders>
            <w:vAlign w:val="top"/>
          </w:tcPr>
          <w:p w14:paraId="6409EE50">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129" w:type="dxa"/>
            <w:tcBorders>
              <w:top w:val="single" w:color="000000" w:sz="4" w:space="0"/>
              <w:left w:val="nil"/>
              <w:bottom w:val="single" w:color="000000" w:sz="4" w:space="0"/>
              <w:right w:val="single" w:color="000000" w:sz="4" w:space="0"/>
            </w:tcBorders>
            <w:vAlign w:val="top"/>
          </w:tcPr>
          <w:p w14:paraId="7623CE4A">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766" w:type="dxa"/>
            <w:tcBorders>
              <w:top w:val="single" w:color="000000" w:sz="4" w:space="0"/>
              <w:left w:val="nil"/>
              <w:bottom w:val="single" w:color="000000" w:sz="4" w:space="0"/>
              <w:right w:val="single" w:color="000000" w:sz="4" w:space="0"/>
            </w:tcBorders>
            <w:vAlign w:val="top"/>
          </w:tcPr>
          <w:p w14:paraId="1ABB806F">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841" w:type="dxa"/>
            <w:tcBorders>
              <w:top w:val="single" w:color="000000" w:sz="4" w:space="0"/>
              <w:left w:val="nil"/>
              <w:bottom w:val="single" w:color="000000" w:sz="4" w:space="0"/>
              <w:right w:val="single" w:color="000000" w:sz="4" w:space="0"/>
            </w:tcBorders>
            <w:vAlign w:val="top"/>
          </w:tcPr>
          <w:p w14:paraId="0F51629A">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tcBorders>
              <w:top w:val="single" w:color="000000" w:sz="4" w:space="0"/>
              <w:left w:val="nil"/>
              <w:bottom w:val="single" w:color="000000" w:sz="4" w:space="0"/>
              <w:right w:val="single" w:color="000000" w:sz="4" w:space="0"/>
            </w:tcBorders>
            <w:vAlign w:val="top"/>
          </w:tcPr>
          <w:p w14:paraId="26CCACA9">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885" w:type="dxa"/>
            <w:tcBorders>
              <w:top w:val="single" w:color="000000" w:sz="4" w:space="0"/>
              <w:left w:val="nil"/>
              <w:bottom w:val="single" w:color="000000" w:sz="4" w:space="0"/>
              <w:right w:val="single" w:color="000000" w:sz="4" w:space="0"/>
            </w:tcBorders>
            <w:vAlign w:val="top"/>
          </w:tcPr>
          <w:p w14:paraId="7A49E302">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781" w:type="dxa"/>
            <w:tcBorders>
              <w:top w:val="single" w:color="000000" w:sz="4" w:space="0"/>
              <w:left w:val="nil"/>
              <w:bottom w:val="single" w:color="000000" w:sz="4" w:space="0"/>
              <w:right w:val="single" w:color="000000" w:sz="4" w:space="0"/>
            </w:tcBorders>
            <w:vAlign w:val="top"/>
          </w:tcPr>
          <w:p w14:paraId="0D530DCC">
            <w:pPr>
              <w:pStyle w:val="30"/>
              <w:rPr>
                <w:rFonts w:hint="eastAsia" w:ascii="宋体" w:hAnsi="宋体" w:eastAsia="宋体" w:cs="宋体"/>
                <w:color w:val="000000" w:themeColor="text1"/>
                <w:sz w:val="21"/>
                <w:szCs w:val="21"/>
                <w:highlight w:val="none"/>
                <w14:textFill>
                  <w14:solidFill>
                    <w14:schemeClr w14:val="tx1"/>
                  </w14:solidFill>
                </w14:textFill>
              </w:rPr>
            </w:pPr>
          </w:p>
        </w:tc>
      </w:tr>
    </w:tbl>
    <w:p w14:paraId="1E71E25A">
      <w:pPr>
        <w:pStyle w:val="3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bookmarkStart w:id="248" w:name="_Toc418751907"/>
      <w:bookmarkStart w:id="249" w:name="_Toc418752353"/>
      <w:bookmarkStart w:id="250" w:name="_Toc483317226"/>
      <w:r>
        <w:rPr>
          <w:rFonts w:hint="eastAsia" w:ascii="宋体" w:hAnsi="宋体" w:eastAsia="宋体" w:cs="宋体"/>
          <w:b/>
          <w:color w:val="000000" w:themeColor="text1"/>
          <w:sz w:val="21"/>
          <w:szCs w:val="21"/>
          <w:highlight w:val="none"/>
          <w14:textFill>
            <w14:solidFill>
              <w14:schemeClr w14:val="tx1"/>
            </w14:solidFill>
          </w14:textFill>
        </w:rPr>
        <w:t>附表三：劳动力计划表</w:t>
      </w:r>
      <w:bookmarkEnd w:id="248"/>
      <w:bookmarkEnd w:id="249"/>
      <w:bookmarkEnd w:id="250"/>
    </w:p>
    <w:p w14:paraId="50A4194C">
      <w:pPr>
        <w:pStyle w:val="30"/>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单位：人</w:t>
      </w:r>
    </w:p>
    <w:tbl>
      <w:tblPr>
        <w:tblStyle w:val="19"/>
        <w:tblW w:w="9648" w:type="dxa"/>
        <w:tblInd w:w="-5" w:type="dxa"/>
        <w:tblLayout w:type="fixed"/>
        <w:tblCellMar>
          <w:top w:w="0" w:type="dxa"/>
          <w:left w:w="0" w:type="dxa"/>
          <w:bottom w:w="0" w:type="dxa"/>
          <w:right w:w="0" w:type="dxa"/>
        </w:tblCellMar>
      </w:tblPr>
      <w:tblGrid>
        <w:gridCol w:w="938"/>
        <w:gridCol w:w="1478"/>
        <w:gridCol w:w="1204"/>
        <w:gridCol w:w="1206"/>
        <w:gridCol w:w="1204"/>
        <w:gridCol w:w="1206"/>
        <w:gridCol w:w="1204"/>
        <w:gridCol w:w="1208"/>
      </w:tblGrid>
      <w:tr w14:paraId="3E51A6D1">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center"/>
          </w:tcPr>
          <w:p w14:paraId="5B94267E">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工种</w:t>
            </w:r>
          </w:p>
        </w:tc>
        <w:tc>
          <w:tcPr>
            <w:tcW w:w="8710" w:type="dxa"/>
            <w:gridSpan w:val="7"/>
            <w:tcBorders>
              <w:top w:val="single" w:color="000000" w:sz="4" w:space="0"/>
              <w:left w:val="nil"/>
              <w:bottom w:val="single" w:color="000000" w:sz="4" w:space="0"/>
              <w:right w:val="single" w:color="000000" w:sz="4" w:space="0"/>
            </w:tcBorders>
            <w:vAlign w:val="center"/>
          </w:tcPr>
          <w:p w14:paraId="53443D5A">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按工程施工阶段投入劳动力情况</w:t>
            </w:r>
          </w:p>
        </w:tc>
      </w:tr>
      <w:tr w14:paraId="736DBBB5">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14:paraId="42A0E0AA">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478" w:type="dxa"/>
            <w:tcBorders>
              <w:top w:val="single" w:color="000000" w:sz="4" w:space="0"/>
              <w:left w:val="nil"/>
              <w:bottom w:val="single" w:color="000000" w:sz="4" w:space="0"/>
              <w:right w:val="single" w:color="000000" w:sz="4" w:space="0"/>
            </w:tcBorders>
            <w:vAlign w:val="top"/>
          </w:tcPr>
          <w:p w14:paraId="10B3CD4E">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vAlign w:val="top"/>
          </w:tcPr>
          <w:p w14:paraId="19189FE0">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vAlign w:val="top"/>
          </w:tcPr>
          <w:p w14:paraId="407DDA6B">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vAlign w:val="top"/>
          </w:tcPr>
          <w:p w14:paraId="315D1FCA">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vAlign w:val="top"/>
          </w:tcPr>
          <w:p w14:paraId="790B2B53">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vAlign w:val="top"/>
          </w:tcPr>
          <w:p w14:paraId="044572BC">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8" w:type="dxa"/>
            <w:tcBorders>
              <w:top w:val="single" w:color="000000" w:sz="4" w:space="0"/>
              <w:left w:val="nil"/>
              <w:bottom w:val="single" w:color="000000" w:sz="4" w:space="0"/>
              <w:right w:val="single" w:color="000000" w:sz="4" w:space="0"/>
            </w:tcBorders>
            <w:vAlign w:val="top"/>
          </w:tcPr>
          <w:p w14:paraId="2172669C">
            <w:pPr>
              <w:pStyle w:val="30"/>
              <w:rPr>
                <w:rFonts w:hint="eastAsia" w:ascii="宋体" w:hAnsi="宋体" w:eastAsia="宋体" w:cs="宋体"/>
                <w:color w:val="000000" w:themeColor="text1"/>
                <w:sz w:val="21"/>
                <w:szCs w:val="21"/>
                <w:highlight w:val="none"/>
                <w14:textFill>
                  <w14:solidFill>
                    <w14:schemeClr w14:val="tx1"/>
                  </w14:solidFill>
                </w14:textFill>
              </w:rPr>
            </w:pPr>
          </w:p>
        </w:tc>
      </w:tr>
      <w:tr w14:paraId="1BE24C20">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14:paraId="16EE7456">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478" w:type="dxa"/>
            <w:tcBorders>
              <w:top w:val="single" w:color="000000" w:sz="4" w:space="0"/>
              <w:left w:val="nil"/>
              <w:bottom w:val="single" w:color="000000" w:sz="4" w:space="0"/>
              <w:right w:val="single" w:color="000000" w:sz="4" w:space="0"/>
            </w:tcBorders>
            <w:vAlign w:val="top"/>
          </w:tcPr>
          <w:p w14:paraId="683A8D4E">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vAlign w:val="top"/>
          </w:tcPr>
          <w:p w14:paraId="0F4A28B8">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vAlign w:val="top"/>
          </w:tcPr>
          <w:p w14:paraId="63C157D1">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vAlign w:val="top"/>
          </w:tcPr>
          <w:p w14:paraId="7E20DBD7">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vAlign w:val="top"/>
          </w:tcPr>
          <w:p w14:paraId="43894E4D">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vAlign w:val="top"/>
          </w:tcPr>
          <w:p w14:paraId="5A83BC86">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8" w:type="dxa"/>
            <w:tcBorders>
              <w:top w:val="single" w:color="000000" w:sz="4" w:space="0"/>
              <w:left w:val="nil"/>
              <w:bottom w:val="single" w:color="000000" w:sz="4" w:space="0"/>
              <w:right w:val="single" w:color="000000" w:sz="4" w:space="0"/>
            </w:tcBorders>
            <w:vAlign w:val="top"/>
          </w:tcPr>
          <w:p w14:paraId="78488B9E">
            <w:pPr>
              <w:pStyle w:val="30"/>
              <w:rPr>
                <w:rFonts w:hint="eastAsia" w:ascii="宋体" w:hAnsi="宋体" w:eastAsia="宋体" w:cs="宋体"/>
                <w:color w:val="000000" w:themeColor="text1"/>
                <w:sz w:val="21"/>
                <w:szCs w:val="21"/>
                <w:highlight w:val="none"/>
                <w14:textFill>
                  <w14:solidFill>
                    <w14:schemeClr w14:val="tx1"/>
                  </w14:solidFill>
                </w14:textFill>
              </w:rPr>
            </w:pPr>
          </w:p>
        </w:tc>
      </w:tr>
      <w:tr w14:paraId="30C71F28">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14:paraId="5B51A0F3">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478" w:type="dxa"/>
            <w:tcBorders>
              <w:top w:val="single" w:color="000000" w:sz="4" w:space="0"/>
              <w:left w:val="nil"/>
              <w:bottom w:val="single" w:color="000000" w:sz="4" w:space="0"/>
              <w:right w:val="single" w:color="000000" w:sz="4" w:space="0"/>
            </w:tcBorders>
            <w:vAlign w:val="top"/>
          </w:tcPr>
          <w:p w14:paraId="5ECC11C3">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vAlign w:val="top"/>
          </w:tcPr>
          <w:p w14:paraId="2AE214DF">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vAlign w:val="top"/>
          </w:tcPr>
          <w:p w14:paraId="1D9E12E3">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vAlign w:val="top"/>
          </w:tcPr>
          <w:p w14:paraId="2B2534D0">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vAlign w:val="top"/>
          </w:tcPr>
          <w:p w14:paraId="19921F22">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vAlign w:val="top"/>
          </w:tcPr>
          <w:p w14:paraId="5C1AA557">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8" w:type="dxa"/>
            <w:tcBorders>
              <w:top w:val="single" w:color="000000" w:sz="4" w:space="0"/>
              <w:left w:val="nil"/>
              <w:bottom w:val="single" w:color="000000" w:sz="4" w:space="0"/>
              <w:right w:val="single" w:color="000000" w:sz="4" w:space="0"/>
            </w:tcBorders>
            <w:vAlign w:val="top"/>
          </w:tcPr>
          <w:p w14:paraId="3D69A26D">
            <w:pPr>
              <w:pStyle w:val="30"/>
              <w:rPr>
                <w:rFonts w:hint="eastAsia" w:ascii="宋体" w:hAnsi="宋体" w:eastAsia="宋体" w:cs="宋体"/>
                <w:color w:val="000000" w:themeColor="text1"/>
                <w:sz w:val="21"/>
                <w:szCs w:val="21"/>
                <w:highlight w:val="none"/>
                <w14:textFill>
                  <w14:solidFill>
                    <w14:schemeClr w14:val="tx1"/>
                  </w14:solidFill>
                </w14:textFill>
              </w:rPr>
            </w:pPr>
          </w:p>
        </w:tc>
      </w:tr>
      <w:tr w14:paraId="7424E762">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14:paraId="770F185D">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478" w:type="dxa"/>
            <w:tcBorders>
              <w:top w:val="single" w:color="000000" w:sz="4" w:space="0"/>
              <w:left w:val="nil"/>
              <w:bottom w:val="single" w:color="000000" w:sz="4" w:space="0"/>
              <w:right w:val="single" w:color="000000" w:sz="4" w:space="0"/>
            </w:tcBorders>
            <w:vAlign w:val="top"/>
          </w:tcPr>
          <w:p w14:paraId="5F1503BB">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vAlign w:val="top"/>
          </w:tcPr>
          <w:p w14:paraId="252A596B">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vAlign w:val="top"/>
          </w:tcPr>
          <w:p w14:paraId="4F21404D">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vAlign w:val="top"/>
          </w:tcPr>
          <w:p w14:paraId="075A20E8">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vAlign w:val="top"/>
          </w:tcPr>
          <w:p w14:paraId="2E7992A1">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vAlign w:val="top"/>
          </w:tcPr>
          <w:p w14:paraId="3C9A5B69">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1208" w:type="dxa"/>
            <w:tcBorders>
              <w:top w:val="single" w:color="000000" w:sz="4" w:space="0"/>
              <w:left w:val="nil"/>
              <w:bottom w:val="single" w:color="000000" w:sz="4" w:space="0"/>
              <w:right w:val="single" w:color="000000" w:sz="4" w:space="0"/>
            </w:tcBorders>
            <w:vAlign w:val="top"/>
          </w:tcPr>
          <w:p w14:paraId="5B0BAF8D">
            <w:pPr>
              <w:pStyle w:val="30"/>
              <w:rPr>
                <w:rFonts w:hint="eastAsia" w:ascii="宋体" w:hAnsi="宋体" w:eastAsia="宋体" w:cs="宋体"/>
                <w:color w:val="000000" w:themeColor="text1"/>
                <w:sz w:val="21"/>
                <w:szCs w:val="21"/>
                <w:highlight w:val="none"/>
                <w14:textFill>
                  <w14:solidFill>
                    <w14:schemeClr w14:val="tx1"/>
                  </w14:solidFill>
                </w14:textFill>
              </w:rPr>
            </w:pPr>
          </w:p>
        </w:tc>
      </w:tr>
    </w:tbl>
    <w:p w14:paraId="1E21F019">
      <w:pPr>
        <w:pStyle w:val="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1052C97">
      <w:pPr>
        <w:rPr>
          <w:rFonts w:hint="eastAsia" w:ascii="宋体" w:hAnsi="宋体" w:eastAsia="宋体" w:cs="宋体"/>
          <w:b/>
          <w:color w:val="000000" w:themeColor="text1"/>
          <w:sz w:val="21"/>
          <w:szCs w:val="21"/>
          <w:highlight w:val="none"/>
          <w14:textFill>
            <w14:solidFill>
              <w14:schemeClr w14:val="tx1"/>
            </w14:solidFill>
          </w14:textFill>
        </w:rPr>
      </w:pPr>
      <w:bookmarkStart w:id="251" w:name="_Toc418752354"/>
      <w:bookmarkStart w:id="252" w:name="_Toc418751908"/>
      <w:bookmarkStart w:id="253" w:name="_Toc483317227"/>
      <w:r>
        <w:rPr>
          <w:rFonts w:hint="eastAsia" w:ascii="宋体" w:hAnsi="宋体" w:eastAsia="宋体" w:cs="宋体"/>
          <w:b/>
          <w:color w:val="000000" w:themeColor="text1"/>
          <w:sz w:val="21"/>
          <w:szCs w:val="21"/>
          <w:highlight w:val="none"/>
          <w14:textFill>
            <w14:solidFill>
              <w14:schemeClr w14:val="tx1"/>
            </w14:solidFill>
          </w14:textFill>
        </w:rPr>
        <w:t>附表四：计划开、竣工日期和施工进度网络图</w:t>
      </w:r>
      <w:r>
        <w:rPr>
          <w:rFonts w:hint="eastAsia" w:ascii="宋体" w:hAnsi="宋体" w:eastAsia="宋体" w:cs="宋体"/>
          <w:b/>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b/>
          <w:color w:val="000000" w:themeColor="text1"/>
          <w:sz w:val="21"/>
          <w:szCs w:val="21"/>
          <w:highlight w:val="none"/>
          <w14:textFill>
            <w14:solidFill>
              <w14:schemeClr w14:val="tx1"/>
            </w14:solidFill>
          </w14:textFill>
        </w:rPr>
        <w:t>横道图</w:t>
      </w:r>
      <w:bookmarkEnd w:id="251"/>
      <w:bookmarkEnd w:id="252"/>
      <w:bookmarkEnd w:id="253"/>
    </w:p>
    <w:p w14:paraId="4CBD562E">
      <w:pPr>
        <w:pStyle w:val="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CC0598F">
      <w:pPr>
        <w:pStyle w:val="30"/>
        <w:ind w:firstLine="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应递交施工进度网络图</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横道图</w:t>
      </w:r>
      <w:r>
        <w:rPr>
          <w:rFonts w:hint="eastAsia" w:ascii="宋体" w:hAnsi="宋体" w:eastAsia="宋体" w:cs="宋体"/>
          <w:color w:val="000000" w:themeColor="text1"/>
          <w:spacing w:val="1"/>
          <w:sz w:val="21"/>
          <w:szCs w:val="21"/>
          <w:highlight w:val="none"/>
          <w14:textFill>
            <w14:solidFill>
              <w14:schemeClr w14:val="tx1"/>
            </w14:solidFill>
          </w14:textFill>
        </w:rPr>
        <w:t>，说</w:t>
      </w:r>
      <w:r>
        <w:rPr>
          <w:rFonts w:hint="eastAsia" w:ascii="宋体" w:hAnsi="宋体" w:eastAsia="宋体" w:cs="宋体"/>
          <w:color w:val="000000" w:themeColor="text1"/>
          <w:spacing w:val="2"/>
          <w:sz w:val="21"/>
          <w:szCs w:val="21"/>
          <w:highlight w:val="none"/>
          <w14:textFill>
            <w14:solidFill>
              <w14:schemeClr w14:val="tx1"/>
            </w14:solidFill>
          </w14:textFill>
        </w:rPr>
        <w:t>明</w:t>
      </w:r>
      <w:r>
        <w:rPr>
          <w:rFonts w:hint="eastAsia" w:ascii="宋体" w:hAnsi="宋体" w:eastAsia="宋体" w:cs="宋体"/>
          <w:color w:val="000000" w:themeColor="text1"/>
          <w:spacing w:val="1"/>
          <w:sz w:val="21"/>
          <w:szCs w:val="21"/>
          <w:highlight w:val="none"/>
          <w14:textFill>
            <w14:solidFill>
              <w14:schemeClr w14:val="tx1"/>
            </w14:solidFill>
          </w14:textFill>
        </w:rPr>
        <w:t>按</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竞争性磋商</w:t>
      </w:r>
      <w:r>
        <w:rPr>
          <w:rFonts w:hint="eastAsia" w:ascii="宋体" w:hAnsi="宋体" w:eastAsia="宋体" w:cs="宋体"/>
          <w:color w:val="000000" w:themeColor="text1"/>
          <w:spacing w:val="1"/>
          <w:sz w:val="21"/>
          <w:szCs w:val="21"/>
          <w:highlight w:val="none"/>
          <w14:textFill>
            <w14:solidFill>
              <w14:schemeClr w14:val="tx1"/>
            </w14:solidFill>
          </w14:textFill>
        </w:rPr>
        <w:t>文</w:t>
      </w:r>
      <w:r>
        <w:rPr>
          <w:rFonts w:hint="eastAsia" w:ascii="宋体" w:hAnsi="宋体" w:eastAsia="宋体" w:cs="宋体"/>
          <w:color w:val="000000" w:themeColor="text1"/>
          <w:spacing w:val="2"/>
          <w:sz w:val="21"/>
          <w:szCs w:val="21"/>
          <w:highlight w:val="none"/>
          <w14:textFill>
            <w14:solidFill>
              <w14:schemeClr w14:val="tx1"/>
            </w14:solidFill>
          </w14:textFill>
        </w:rPr>
        <w:t>件</w:t>
      </w:r>
      <w:r>
        <w:rPr>
          <w:rFonts w:hint="eastAsia" w:ascii="宋体" w:hAnsi="宋体" w:eastAsia="宋体" w:cs="宋体"/>
          <w:color w:val="000000" w:themeColor="text1"/>
          <w:spacing w:val="1"/>
          <w:sz w:val="21"/>
          <w:szCs w:val="21"/>
          <w:highlight w:val="none"/>
          <w14:textFill>
            <w14:solidFill>
              <w14:schemeClr w14:val="tx1"/>
            </w14:solidFill>
          </w14:textFill>
        </w:rPr>
        <w:t>要</w:t>
      </w:r>
      <w:r>
        <w:rPr>
          <w:rFonts w:hint="eastAsia" w:ascii="宋体" w:hAnsi="宋体" w:eastAsia="宋体" w:cs="宋体"/>
          <w:color w:val="000000" w:themeColor="text1"/>
          <w:spacing w:val="2"/>
          <w:sz w:val="21"/>
          <w:szCs w:val="21"/>
          <w:highlight w:val="none"/>
          <w14:textFill>
            <w14:solidFill>
              <w14:schemeClr w14:val="tx1"/>
            </w14:solidFill>
          </w14:textFill>
        </w:rPr>
        <w:t>求</w:t>
      </w:r>
      <w:r>
        <w:rPr>
          <w:rFonts w:hint="eastAsia" w:ascii="宋体" w:hAnsi="宋体" w:eastAsia="宋体" w:cs="宋体"/>
          <w:color w:val="000000" w:themeColor="text1"/>
          <w:spacing w:val="1"/>
          <w:sz w:val="21"/>
          <w:szCs w:val="21"/>
          <w:highlight w:val="none"/>
          <w14:textFill>
            <w14:solidFill>
              <w14:schemeClr w14:val="tx1"/>
            </w14:solidFill>
          </w14:textFill>
        </w:rPr>
        <w:t>的计</w:t>
      </w:r>
      <w:r>
        <w:rPr>
          <w:rFonts w:hint="eastAsia" w:ascii="宋体" w:hAnsi="宋体" w:eastAsia="宋体" w:cs="宋体"/>
          <w:color w:val="000000" w:themeColor="text1"/>
          <w:spacing w:val="2"/>
          <w:sz w:val="21"/>
          <w:szCs w:val="21"/>
          <w:highlight w:val="none"/>
          <w14:textFill>
            <w14:solidFill>
              <w14:schemeClr w14:val="tx1"/>
            </w14:solidFill>
          </w14:textFill>
        </w:rPr>
        <w:t>划</w:t>
      </w:r>
      <w:r>
        <w:rPr>
          <w:rFonts w:hint="eastAsia" w:ascii="宋体" w:hAnsi="宋体" w:eastAsia="宋体" w:cs="宋体"/>
          <w:color w:val="000000" w:themeColor="text1"/>
          <w:spacing w:val="1"/>
          <w:sz w:val="21"/>
          <w:szCs w:val="21"/>
          <w:highlight w:val="none"/>
          <w14:textFill>
            <w14:solidFill>
              <w14:schemeClr w14:val="tx1"/>
            </w14:solidFill>
          </w14:textFill>
        </w:rPr>
        <w:t>工</w:t>
      </w:r>
      <w:r>
        <w:rPr>
          <w:rFonts w:hint="eastAsia" w:ascii="宋体" w:hAnsi="宋体" w:eastAsia="宋体" w:cs="宋体"/>
          <w:color w:val="000000" w:themeColor="text1"/>
          <w:spacing w:val="4"/>
          <w:sz w:val="21"/>
          <w:szCs w:val="21"/>
          <w:highlight w:val="none"/>
          <w14:textFill>
            <w14:solidFill>
              <w14:schemeClr w14:val="tx1"/>
            </w14:solidFill>
          </w14:textFill>
        </w:rPr>
        <w:t>期</w:t>
      </w:r>
      <w:r>
        <w:rPr>
          <w:rFonts w:hint="eastAsia" w:ascii="宋体" w:hAnsi="宋体" w:eastAsia="宋体" w:cs="宋体"/>
          <w:color w:val="000000" w:themeColor="text1"/>
          <w:spacing w:val="2"/>
          <w:sz w:val="21"/>
          <w:szCs w:val="21"/>
          <w:highlight w:val="none"/>
          <w14:textFill>
            <w14:solidFill>
              <w14:schemeClr w14:val="tx1"/>
            </w14:solidFill>
          </w14:textFill>
        </w:rPr>
        <w:t>进</w:t>
      </w:r>
      <w:r>
        <w:rPr>
          <w:rFonts w:hint="eastAsia" w:ascii="宋体" w:hAnsi="宋体" w:eastAsia="宋体" w:cs="宋体"/>
          <w:color w:val="000000" w:themeColor="text1"/>
          <w:spacing w:val="1"/>
          <w:sz w:val="21"/>
          <w:szCs w:val="21"/>
          <w:highlight w:val="none"/>
          <w14:textFill>
            <w14:solidFill>
              <w14:schemeClr w14:val="tx1"/>
            </w14:solidFill>
          </w14:textFill>
        </w:rPr>
        <w:t>行</w:t>
      </w:r>
      <w:r>
        <w:rPr>
          <w:rFonts w:hint="eastAsia" w:ascii="宋体" w:hAnsi="宋体" w:eastAsia="宋体" w:cs="宋体"/>
          <w:color w:val="000000" w:themeColor="text1"/>
          <w:sz w:val="21"/>
          <w:szCs w:val="21"/>
          <w:highlight w:val="none"/>
          <w14:textFill>
            <w14:solidFill>
              <w14:schemeClr w14:val="tx1"/>
            </w14:solidFill>
          </w14:textFill>
        </w:rPr>
        <w:t>施工的各个关键日期。</w:t>
      </w:r>
    </w:p>
    <w:p w14:paraId="2D430EC3">
      <w:pPr>
        <w:pStyle w:val="30"/>
        <w:ind w:firstLine="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2.计划开工日期：</w:t>
      </w:r>
      <w:r>
        <w:rPr>
          <w:rFonts w:hint="eastAsia" w:ascii="宋体" w:hAnsi="宋体"/>
          <w:color w:val="000000" w:themeColor="text1"/>
          <w:sz w:val="21"/>
          <w:szCs w:val="21"/>
          <w:highlight w:val="none"/>
          <w:lang w:val="en-US" w:eastAsia="zh-CN"/>
          <w14:textFill>
            <w14:solidFill>
              <w14:schemeClr w14:val="tx1"/>
            </w14:solidFill>
          </w14:textFill>
        </w:rPr>
        <w:t>自合同签订之日起至 年 月 日</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w:t>
      </w:r>
    </w:p>
    <w:p w14:paraId="27C696D1">
      <w:pPr>
        <w:pStyle w:val="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B122FD2">
      <w:pPr>
        <w:rPr>
          <w:rFonts w:hint="eastAsia" w:ascii="宋体" w:hAnsi="宋体" w:eastAsia="宋体" w:cs="宋体"/>
          <w:b/>
          <w:color w:val="000000" w:themeColor="text1"/>
          <w:sz w:val="21"/>
          <w:szCs w:val="21"/>
          <w:highlight w:val="none"/>
          <w14:textFill>
            <w14:solidFill>
              <w14:schemeClr w14:val="tx1"/>
            </w14:solidFill>
          </w14:textFill>
        </w:rPr>
      </w:pPr>
      <w:bookmarkStart w:id="254" w:name="_Toc483317228"/>
      <w:bookmarkStart w:id="255" w:name="_Toc418751909"/>
      <w:bookmarkStart w:id="256" w:name="_Toc418752355"/>
      <w:r>
        <w:rPr>
          <w:rFonts w:hint="eastAsia" w:ascii="宋体" w:hAnsi="宋体" w:eastAsia="宋体" w:cs="宋体"/>
          <w:b/>
          <w:color w:val="000000" w:themeColor="text1"/>
          <w:sz w:val="21"/>
          <w:szCs w:val="21"/>
          <w:highlight w:val="none"/>
          <w14:textFill>
            <w14:solidFill>
              <w14:schemeClr w14:val="tx1"/>
            </w14:solidFill>
          </w14:textFill>
        </w:rPr>
        <w:t>附表五：施工总平面图</w:t>
      </w:r>
      <w:bookmarkEnd w:id="254"/>
      <w:bookmarkEnd w:id="255"/>
      <w:bookmarkEnd w:id="256"/>
    </w:p>
    <w:p w14:paraId="73B7335A">
      <w:pPr>
        <w:pStyle w:val="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FB74056">
      <w:pPr>
        <w:pStyle w:val="30"/>
        <w:ind w:firstLine="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应递交一份施工总平面图</w:t>
      </w:r>
      <w:r>
        <w:rPr>
          <w:rFonts w:hint="eastAsia" w:ascii="宋体" w:hAnsi="宋体" w:eastAsia="宋体" w:cs="宋体"/>
          <w:color w:val="000000" w:themeColor="text1"/>
          <w:spacing w:val="-47"/>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绘出现场临时设施布置图表并附文字说明</w:t>
      </w:r>
      <w:r>
        <w:rPr>
          <w:rFonts w:hint="eastAsia" w:ascii="宋体" w:hAnsi="宋体" w:eastAsia="宋体" w:cs="宋体"/>
          <w:color w:val="000000" w:themeColor="text1"/>
          <w:spacing w:val="-47"/>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说明临时设施</w:t>
      </w:r>
      <w:r>
        <w:rPr>
          <w:rFonts w:hint="eastAsia" w:ascii="宋体" w:hAnsi="宋体" w:eastAsia="宋体" w:cs="宋体"/>
          <w:color w:val="000000" w:themeColor="text1"/>
          <w:spacing w:val="-1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加工车间</w:t>
      </w:r>
      <w:r>
        <w:rPr>
          <w:rFonts w:hint="eastAsia" w:ascii="宋体" w:hAnsi="宋体" w:eastAsia="宋体" w:cs="宋体"/>
          <w:color w:val="000000" w:themeColor="text1"/>
          <w:spacing w:val="-1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现场办公</w:t>
      </w:r>
      <w:r>
        <w:rPr>
          <w:rFonts w:hint="eastAsia" w:ascii="宋体" w:hAnsi="宋体" w:eastAsia="宋体" w:cs="宋体"/>
          <w:color w:val="000000" w:themeColor="text1"/>
          <w:spacing w:val="-1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设备及仓储</w:t>
      </w:r>
      <w:r>
        <w:rPr>
          <w:rFonts w:hint="eastAsia" w:ascii="宋体" w:hAnsi="宋体" w:eastAsia="宋体" w:cs="宋体"/>
          <w:color w:val="000000" w:themeColor="text1"/>
          <w:spacing w:val="-1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供电</w:t>
      </w:r>
      <w:r>
        <w:rPr>
          <w:rFonts w:hint="eastAsia" w:ascii="宋体" w:hAnsi="宋体" w:eastAsia="宋体" w:cs="宋体"/>
          <w:color w:val="000000" w:themeColor="text1"/>
          <w:spacing w:val="-1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供水</w:t>
      </w:r>
      <w:r>
        <w:rPr>
          <w:rFonts w:hint="eastAsia" w:ascii="宋体" w:hAnsi="宋体" w:eastAsia="宋体" w:cs="宋体"/>
          <w:color w:val="000000" w:themeColor="text1"/>
          <w:spacing w:val="-1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卫生</w:t>
      </w:r>
      <w:r>
        <w:rPr>
          <w:rFonts w:hint="eastAsia" w:ascii="宋体" w:hAnsi="宋体" w:eastAsia="宋体" w:cs="宋体"/>
          <w:color w:val="000000" w:themeColor="text1"/>
          <w:spacing w:val="-1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生活</w:t>
      </w:r>
      <w:r>
        <w:rPr>
          <w:rFonts w:hint="eastAsia" w:ascii="宋体" w:hAnsi="宋体" w:eastAsia="宋体" w:cs="宋体"/>
          <w:color w:val="000000" w:themeColor="text1"/>
          <w:spacing w:val="-1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道路</w:t>
      </w:r>
      <w:r>
        <w:rPr>
          <w:rFonts w:hint="eastAsia" w:ascii="宋体" w:hAnsi="宋体" w:eastAsia="宋体" w:cs="宋体"/>
          <w:color w:val="000000" w:themeColor="text1"/>
          <w:spacing w:val="-11"/>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消</w:t>
      </w:r>
      <w:r>
        <w:rPr>
          <w:rFonts w:hint="eastAsia" w:ascii="宋体" w:hAnsi="宋体" w:eastAsia="宋体" w:cs="宋体"/>
          <w:color w:val="000000" w:themeColor="text1"/>
          <w:sz w:val="21"/>
          <w:szCs w:val="21"/>
          <w:highlight w:val="none"/>
          <w14:textFill>
            <w14:solidFill>
              <w14:schemeClr w14:val="tx1"/>
            </w14:solidFill>
          </w14:textFill>
        </w:rPr>
        <w:t>防等设施的情况和布置。</w:t>
      </w:r>
    </w:p>
    <w:p w14:paraId="430EBA7E">
      <w:pPr>
        <w:pStyle w:val="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638C7FC1">
      <w:pPr>
        <w:rPr>
          <w:rFonts w:hint="eastAsia" w:ascii="宋体" w:hAnsi="宋体" w:eastAsia="宋体" w:cs="宋体"/>
          <w:b/>
          <w:color w:val="000000" w:themeColor="text1"/>
          <w:sz w:val="21"/>
          <w:szCs w:val="21"/>
          <w:highlight w:val="none"/>
          <w14:textFill>
            <w14:solidFill>
              <w14:schemeClr w14:val="tx1"/>
            </w14:solidFill>
          </w14:textFill>
        </w:rPr>
      </w:pPr>
      <w:bookmarkStart w:id="257" w:name="_Toc418751910"/>
      <w:bookmarkStart w:id="258" w:name="_Toc418752356"/>
      <w:bookmarkStart w:id="259" w:name="_Toc483317229"/>
      <w:r>
        <w:rPr>
          <w:rFonts w:hint="eastAsia" w:ascii="宋体" w:hAnsi="宋体" w:eastAsia="宋体" w:cs="宋体"/>
          <w:b/>
          <w:color w:val="000000" w:themeColor="text1"/>
          <w:sz w:val="21"/>
          <w:szCs w:val="21"/>
          <w:highlight w:val="none"/>
          <w14:textFill>
            <w14:solidFill>
              <w14:schemeClr w14:val="tx1"/>
            </w14:solidFill>
          </w14:textFill>
        </w:rPr>
        <w:t>附表六：临时用地表</w:t>
      </w:r>
      <w:bookmarkEnd w:id="257"/>
      <w:bookmarkEnd w:id="258"/>
      <w:bookmarkEnd w:id="259"/>
    </w:p>
    <w:tbl>
      <w:tblPr>
        <w:tblStyle w:val="19"/>
        <w:tblW w:w="9648" w:type="dxa"/>
        <w:tblInd w:w="-5" w:type="dxa"/>
        <w:tblLayout w:type="fixed"/>
        <w:tblCellMar>
          <w:top w:w="0" w:type="dxa"/>
          <w:left w:w="0" w:type="dxa"/>
          <w:bottom w:w="0" w:type="dxa"/>
          <w:right w:w="0" w:type="dxa"/>
        </w:tblCellMar>
      </w:tblPr>
      <w:tblGrid>
        <w:gridCol w:w="2412"/>
        <w:gridCol w:w="2412"/>
        <w:gridCol w:w="2412"/>
        <w:gridCol w:w="2412"/>
      </w:tblGrid>
      <w:tr w14:paraId="15D01289">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center"/>
          </w:tcPr>
          <w:p w14:paraId="18746D49">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用 </w:t>
            </w:r>
            <w:r>
              <w:rPr>
                <w:rFonts w:hint="eastAsia" w:ascii="宋体" w:hAnsi="宋体" w:eastAsia="宋体" w:cs="宋体"/>
                <w:color w:val="000000" w:themeColor="text1"/>
                <w:spacing w:val="1"/>
                <w:sz w:val="21"/>
                <w:szCs w:val="21"/>
                <w:highlight w:val="non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途</w:t>
            </w:r>
          </w:p>
        </w:tc>
        <w:tc>
          <w:tcPr>
            <w:tcW w:w="2412" w:type="dxa"/>
            <w:tcBorders>
              <w:top w:val="single" w:color="000000" w:sz="4" w:space="0"/>
              <w:left w:val="nil"/>
              <w:bottom w:val="single" w:color="000000" w:sz="4" w:space="0"/>
              <w:right w:val="single" w:color="000000" w:sz="4" w:space="0"/>
            </w:tcBorders>
            <w:vAlign w:val="center"/>
          </w:tcPr>
          <w:p w14:paraId="42354392">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面 </w:t>
            </w:r>
            <w:r>
              <w:rPr>
                <w:rFonts w:hint="eastAsia" w:ascii="宋体" w:hAnsi="宋体" w:eastAsia="宋体" w:cs="宋体"/>
                <w:color w:val="000000" w:themeColor="text1"/>
                <w:spacing w:val="1"/>
                <w:sz w:val="21"/>
                <w:szCs w:val="21"/>
                <w:highlight w:val="non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积（平</w:t>
            </w:r>
            <w:r>
              <w:rPr>
                <w:rFonts w:hint="eastAsia" w:ascii="宋体" w:hAnsi="宋体" w:eastAsia="宋体" w:cs="宋体"/>
                <w:color w:val="000000" w:themeColor="text1"/>
                <w:spacing w:val="-1"/>
                <w:sz w:val="21"/>
                <w:szCs w:val="21"/>
                <w:highlight w:val="none"/>
                <w14:textFill>
                  <w14:solidFill>
                    <w14:schemeClr w14:val="tx1"/>
                  </w14:solidFill>
                </w14:textFill>
              </w:rPr>
              <w:t>方</w:t>
            </w:r>
            <w:r>
              <w:rPr>
                <w:rFonts w:hint="eastAsia" w:ascii="宋体" w:hAnsi="宋体" w:eastAsia="宋体" w:cs="宋体"/>
                <w:color w:val="000000" w:themeColor="text1"/>
                <w:sz w:val="21"/>
                <w:szCs w:val="21"/>
                <w:highlight w:val="none"/>
                <w14:textFill>
                  <w14:solidFill>
                    <w14:schemeClr w14:val="tx1"/>
                  </w14:solidFill>
                </w14:textFill>
              </w:rPr>
              <w:t>米）</w:t>
            </w:r>
          </w:p>
        </w:tc>
        <w:tc>
          <w:tcPr>
            <w:tcW w:w="2412" w:type="dxa"/>
            <w:tcBorders>
              <w:top w:val="single" w:color="000000" w:sz="4" w:space="0"/>
              <w:left w:val="nil"/>
              <w:bottom w:val="single" w:color="000000" w:sz="4" w:space="0"/>
              <w:right w:val="single" w:color="000000" w:sz="4" w:space="0"/>
            </w:tcBorders>
            <w:vAlign w:val="center"/>
          </w:tcPr>
          <w:p w14:paraId="169B4F54">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位 </w:t>
            </w:r>
            <w:r>
              <w:rPr>
                <w:rFonts w:hint="eastAsia" w:ascii="宋体" w:hAnsi="宋体" w:eastAsia="宋体" w:cs="宋体"/>
                <w:color w:val="000000" w:themeColor="text1"/>
                <w:spacing w:val="1"/>
                <w:sz w:val="21"/>
                <w:szCs w:val="21"/>
                <w:highlight w:val="non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置</w:t>
            </w:r>
          </w:p>
        </w:tc>
        <w:tc>
          <w:tcPr>
            <w:tcW w:w="2412" w:type="dxa"/>
            <w:tcBorders>
              <w:top w:val="single" w:color="000000" w:sz="4" w:space="0"/>
              <w:left w:val="nil"/>
              <w:bottom w:val="single" w:color="000000" w:sz="4" w:space="0"/>
              <w:right w:val="single" w:color="000000" w:sz="4" w:space="0"/>
            </w:tcBorders>
            <w:vAlign w:val="center"/>
          </w:tcPr>
          <w:p w14:paraId="549757E4">
            <w:pPr>
              <w:pStyle w:val="3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需用时间</w:t>
            </w:r>
          </w:p>
        </w:tc>
      </w:tr>
      <w:tr w14:paraId="53BA317F">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top"/>
          </w:tcPr>
          <w:p w14:paraId="57D85694">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vAlign w:val="top"/>
          </w:tcPr>
          <w:p w14:paraId="2B239750">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vAlign w:val="top"/>
          </w:tcPr>
          <w:p w14:paraId="62081A02">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vAlign w:val="top"/>
          </w:tcPr>
          <w:p w14:paraId="1341DED5">
            <w:pPr>
              <w:pStyle w:val="30"/>
              <w:rPr>
                <w:rFonts w:hint="eastAsia" w:ascii="宋体" w:hAnsi="宋体" w:eastAsia="宋体" w:cs="宋体"/>
                <w:color w:val="000000" w:themeColor="text1"/>
                <w:sz w:val="21"/>
                <w:szCs w:val="21"/>
                <w:highlight w:val="none"/>
                <w14:textFill>
                  <w14:solidFill>
                    <w14:schemeClr w14:val="tx1"/>
                  </w14:solidFill>
                </w14:textFill>
              </w:rPr>
            </w:pPr>
          </w:p>
        </w:tc>
      </w:tr>
      <w:tr w14:paraId="34CDED4D">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top"/>
          </w:tcPr>
          <w:p w14:paraId="3770FCBF">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vAlign w:val="top"/>
          </w:tcPr>
          <w:p w14:paraId="76340FB2">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vAlign w:val="top"/>
          </w:tcPr>
          <w:p w14:paraId="6551BBCF">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vAlign w:val="top"/>
          </w:tcPr>
          <w:p w14:paraId="7CD4094A">
            <w:pPr>
              <w:pStyle w:val="30"/>
              <w:rPr>
                <w:rFonts w:hint="eastAsia" w:ascii="宋体" w:hAnsi="宋体" w:eastAsia="宋体" w:cs="宋体"/>
                <w:color w:val="000000" w:themeColor="text1"/>
                <w:sz w:val="21"/>
                <w:szCs w:val="21"/>
                <w:highlight w:val="none"/>
                <w14:textFill>
                  <w14:solidFill>
                    <w14:schemeClr w14:val="tx1"/>
                  </w14:solidFill>
                </w14:textFill>
              </w:rPr>
            </w:pPr>
          </w:p>
        </w:tc>
      </w:tr>
      <w:tr w14:paraId="6769662B">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top"/>
          </w:tcPr>
          <w:p w14:paraId="5356F80B">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vAlign w:val="top"/>
          </w:tcPr>
          <w:p w14:paraId="4C9C5A6F">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vAlign w:val="top"/>
          </w:tcPr>
          <w:p w14:paraId="3DDF4E1D">
            <w:pPr>
              <w:pStyle w:val="30"/>
              <w:rPr>
                <w:rFonts w:hint="eastAsia" w:ascii="宋体" w:hAnsi="宋体" w:eastAsia="宋体" w:cs="宋体"/>
                <w:color w:val="000000" w:themeColor="text1"/>
                <w:sz w:val="21"/>
                <w:szCs w:val="21"/>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vAlign w:val="top"/>
          </w:tcPr>
          <w:p w14:paraId="64EB57B2">
            <w:pPr>
              <w:pStyle w:val="30"/>
              <w:rPr>
                <w:rFonts w:hint="eastAsia" w:ascii="宋体" w:hAnsi="宋体" w:eastAsia="宋体" w:cs="宋体"/>
                <w:color w:val="000000" w:themeColor="text1"/>
                <w:sz w:val="21"/>
                <w:szCs w:val="21"/>
                <w:highlight w:val="none"/>
                <w14:textFill>
                  <w14:solidFill>
                    <w14:schemeClr w14:val="tx1"/>
                  </w14:solidFill>
                </w14:textFill>
              </w:rPr>
            </w:pPr>
          </w:p>
        </w:tc>
      </w:tr>
    </w:tbl>
    <w:p w14:paraId="27977F50">
      <w:pPr>
        <w:pStyle w:val="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22655C8">
      <w:pPr>
        <w:pStyle w:val="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0A941616">
      <w:pPr>
        <w:pStyle w:val="30"/>
        <w:rPr>
          <w:rFonts w:hint="eastAsia" w:ascii="宋体" w:hAnsi="宋体" w:eastAsia="宋体" w:cs="宋体"/>
          <w:color w:val="000000" w:themeColor="text1"/>
          <w:sz w:val="21"/>
          <w:szCs w:val="21"/>
          <w:highlight w:val="none"/>
          <w14:textFill>
            <w14:solidFill>
              <w14:schemeClr w14:val="tx1"/>
            </w14:solidFill>
          </w14:textFill>
        </w:rPr>
      </w:pPr>
    </w:p>
    <w:p w14:paraId="30B98C1D">
      <w:pPr>
        <w:pStyle w:val="7"/>
        <w:widowControl w:val="0"/>
        <w:numPr>
          <w:ilvl w:val="0"/>
          <w:numId w:val="0"/>
        </w:numPr>
        <w:jc w:val="both"/>
        <w:rPr>
          <w:rFonts w:hint="eastAsia"/>
          <w:color w:val="000000" w:themeColor="text1"/>
          <w:sz w:val="21"/>
          <w:szCs w:val="21"/>
          <w:highlight w:val="none"/>
          <w14:textFill>
            <w14:solidFill>
              <w14:schemeClr w14:val="tx1"/>
            </w14:solidFill>
          </w14:textFill>
        </w:rPr>
      </w:pPr>
    </w:p>
    <w:p w14:paraId="088E79A8">
      <w:pPr>
        <w:widowControl/>
        <w:ind w:firstLine="1470" w:firstLineChars="7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，自然人</w:t>
      </w:r>
      <w:r>
        <w:rPr>
          <w:rFonts w:hint="eastAsia" w:ascii="宋体" w:hAnsi="宋体" w:eastAsia="宋体" w:cs="宋体"/>
          <w:color w:val="000000" w:themeColor="text1"/>
          <w:sz w:val="21"/>
          <w:szCs w:val="21"/>
          <w:highlight w:val="none"/>
          <w:lang w:eastAsia="zh-CN"/>
          <w14:textFill>
            <w14:solidFill>
              <w14:schemeClr w14:val="tx1"/>
            </w14:solidFill>
          </w14:textFill>
        </w:rPr>
        <w:t>签字或个人</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FF6CEAA">
      <w:pPr>
        <w:pStyle w:val="11"/>
        <w:spacing w:line="300" w:lineRule="exact"/>
        <w:rPr>
          <w:rFonts w:hint="eastAsia" w:ascii="宋体" w:hAnsi="宋体" w:eastAsia="宋体" w:cs="宋体"/>
          <w:b/>
          <w:color w:val="000000" w:themeColor="text1"/>
          <w:sz w:val="21"/>
          <w:szCs w:val="21"/>
          <w:highlight w:val="none"/>
          <w14:textFill>
            <w14:solidFill>
              <w14:schemeClr w14:val="tx1"/>
            </w14:solidFill>
          </w14:textFill>
        </w:rPr>
      </w:pPr>
    </w:p>
    <w:p w14:paraId="695631BF">
      <w:pPr>
        <w:ind w:firstLine="1470" w:firstLineChars="700"/>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A7CDCC2">
      <w:pPr>
        <w:rPr>
          <w:rFonts w:hint="eastAsia"/>
          <w:color w:val="000000" w:themeColor="text1"/>
          <w:sz w:val="24"/>
          <w:szCs w:val="24"/>
          <w:highlight w:val="none"/>
          <w14:textFill>
            <w14:solidFill>
              <w14:schemeClr w14:val="tx1"/>
            </w14:solidFill>
          </w14:textFill>
        </w:rPr>
      </w:pPr>
    </w:p>
    <w:p w14:paraId="3247F298">
      <w:pPr>
        <w:pStyle w:val="2"/>
        <w:rPr>
          <w:rFonts w:hint="eastAsia"/>
          <w:color w:val="000000" w:themeColor="text1"/>
          <w:highlight w:val="none"/>
          <w14:textFill>
            <w14:solidFill>
              <w14:schemeClr w14:val="tx1"/>
            </w14:solidFill>
          </w14:textFill>
        </w:rPr>
      </w:pPr>
    </w:p>
    <w:p w14:paraId="1FDAF002">
      <w:pPr>
        <w:rPr>
          <w:rFonts w:hint="eastAsia"/>
          <w:color w:val="000000" w:themeColor="text1"/>
          <w:highlight w:val="none"/>
          <w14:textFill>
            <w14:solidFill>
              <w14:schemeClr w14:val="tx1"/>
            </w14:solidFill>
          </w14:textFill>
        </w:rPr>
      </w:pPr>
    </w:p>
    <w:p w14:paraId="03BD1C22">
      <w:pPr>
        <w:pStyle w:val="2"/>
        <w:rPr>
          <w:rFonts w:hint="eastAsia"/>
          <w:color w:val="000000" w:themeColor="text1"/>
          <w:highlight w:val="none"/>
          <w14:textFill>
            <w14:solidFill>
              <w14:schemeClr w14:val="tx1"/>
            </w14:solidFill>
          </w14:textFill>
        </w:rPr>
      </w:pPr>
    </w:p>
    <w:p w14:paraId="789D97E3">
      <w:pPr>
        <w:pStyle w:val="11"/>
        <w:numPr>
          <w:ilvl w:val="0"/>
          <w:numId w:val="0"/>
        </w:numPr>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2CAD0E21">
      <w:pPr>
        <w:pStyle w:val="11"/>
        <w:numPr>
          <w:ilvl w:val="0"/>
          <w:numId w:val="0"/>
        </w:numPr>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06A88C6D">
      <w:pPr>
        <w:pStyle w:val="11"/>
        <w:numPr>
          <w:ilvl w:val="0"/>
          <w:numId w:val="0"/>
        </w:numPr>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6667B5C6">
      <w:pPr>
        <w:pStyle w:val="11"/>
        <w:numPr>
          <w:ilvl w:val="0"/>
          <w:numId w:val="0"/>
        </w:numPr>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3FBABD22">
      <w:pPr>
        <w:pStyle w:val="11"/>
        <w:numPr>
          <w:ilvl w:val="0"/>
          <w:numId w:val="0"/>
        </w:numPr>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7518834E">
      <w:pPr>
        <w:pStyle w:val="11"/>
        <w:numPr>
          <w:ilvl w:val="0"/>
          <w:numId w:val="0"/>
        </w:numPr>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420C1DFF">
      <w:pPr>
        <w:pStyle w:val="11"/>
        <w:numPr>
          <w:ilvl w:val="0"/>
          <w:numId w:val="0"/>
        </w:numPr>
        <w:spacing w:line="34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2461C44D">
      <w:pPr>
        <w:pStyle w:val="11"/>
        <w:numPr>
          <w:ilvl w:val="0"/>
          <w:numId w:val="0"/>
        </w:numPr>
        <w:spacing w:line="34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7.</w:t>
      </w:r>
      <w:r>
        <w:rPr>
          <w:rFonts w:hint="eastAsia" w:hAnsi="宋体" w:cs="宋体"/>
          <w:b/>
          <w:color w:val="000000" w:themeColor="text1"/>
          <w:sz w:val="24"/>
          <w:szCs w:val="24"/>
          <w:highlight w:val="none"/>
          <w:lang w:val="en-US" w:eastAsia="zh-CN"/>
          <w14:textFill>
            <w14:solidFill>
              <w14:schemeClr w14:val="tx1"/>
            </w14:solidFill>
          </w14:textFill>
        </w:rPr>
        <w:t>工程完工服务承诺书</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（必须提供）</w:t>
      </w:r>
      <w:r>
        <w:rPr>
          <w:rFonts w:hint="eastAsia" w:ascii="宋体" w:hAnsi="宋体" w:eastAsia="宋体" w:cs="宋体"/>
          <w:b/>
          <w:color w:val="000000" w:themeColor="text1"/>
          <w:sz w:val="24"/>
          <w:szCs w:val="24"/>
          <w:highlight w:val="none"/>
          <w14:textFill>
            <w14:solidFill>
              <w14:schemeClr w14:val="tx1"/>
            </w14:solidFill>
          </w14:textFill>
        </w:rPr>
        <w:t>；</w:t>
      </w:r>
    </w:p>
    <w:p w14:paraId="7566BBD8">
      <w:pPr>
        <w:spacing w:line="360" w:lineRule="auto"/>
        <w:jc w:val="center"/>
        <w:rPr>
          <w:rFonts w:hint="eastAsia" w:ascii="宋体" w:hAnsi="宋体" w:cs="宋体"/>
          <w:b/>
          <w:color w:val="000000" w:themeColor="text1"/>
          <w:sz w:val="24"/>
          <w:szCs w:val="24"/>
          <w:highlight w:val="none"/>
          <w14:textFill>
            <w14:solidFill>
              <w14:schemeClr w14:val="tx1"/>
            </w14:solidFill>
          </w14:textFill>
        </w:rPr>
      </w:pPr>
    </w:p>
    <w:p w14:paraId="55E3D590">
      <w:pPr>
        <w:spacing w:line="360" w:lineRule="auto"/>
        <w:jc w:val="center"/>
        <w:rPr>
          <w:rFonts w:hint="eastAsia" w:ascii="宋体"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lang w:val="en-US" w:eastAsia="zh-CN"/>
          <w14:textFill>
            <w14:solidFill>
              <w14:schemeClr w14:val="tx1"/>
            </w14:solidFill>
          </w14:textFill>
        </w:rPr>
        <w:t>工程完工服务承诺书</w:t>
      </w:r>
      <w:r>
        <w:rPr>
          <w:rFonts w:hint="eastAsia" w:ascii="宋体" w:hAnsi="宋体" w:cs="宋体"/>
          <w:b/>
          <w:color w:val="000000" w:themeColor="text1"/>
          <w:sz w:val="24"/>
          <w:szCs w:val="24"/>
          <w:highlight w:val="none"/>
          <w14:textFill>
            <w14:solidFill>
              <w14:schemeClr w14:val="tx1"/>
            </w14:solidFill>
          </w14:textFill>
        </w:rPr>
        <w:t>（格式）</w:t>
      </w:r>
    </w:p>
    <w:p w14:paraId="215FCFF7">
      <w:pPr>
        <w:pStyle w:val="11"/>
        <w:jc w:val="center"/>
        <w:rPr>
          <w:rFonts w:hint="eastAsia" w:hAnsi="宋体" w:cs="宋体"/>
          <w:color w:val="000000" w:themeColor="text1"/>
          <w:sz w:val="21"/>
          <w:szCs w:val="21"/>
          <w:highlight w:val="none"/>
          <w14:textFill>
            <w14:solidFill>
              <w14:schemeClr w14:val="tx1"/>
            </w14:solidFill>
          </w14:textFill>
        </w:rPr>
      </w:pPr>
    </w:p>
    <w:p w14:paraId="27B85244">
      <w:pPr>
        <w:pStyle w:val="11"/>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（由供应商按《工程量清单》中工程完工服务及要求自行填写）</w:t>
      </w:r>
    </w:p>
    <w:p w14:paraId="07B3E012">
      <w:pPr>
        <w:pStyle w:val="11"/>
        <w:rPr>
          <w:rFonts w:hint="eastAsia" w:hAnsi="宋体" w:cs="宋体"/>
          <w:color w:val="000000" w:themeColor="text1"/>
          <w:sz w:val="21"/>
          <w:szCs w:val="21"/>
          <w:highlight w:val="none"/>
          <w14:textFill>
            <w14:solidFill>
              <w14:schemeClr w14:val="tx1"/>
            </w14:solidFill>
          </w14:textFill>
        </w:rPr>
      </w:pPr>
    </w:p>
    <w:p w14:paraId="07227187">
      <w:pPr>
        <w:widowControl/>
        <w:ind w:firstLine="1470" w:firstLineChars="700"/>
        <w:jc w:val="left"/>
        <w:rPr>
          <w:rFonts w:hint="eastAsia" w:ascii="宋体" w:hAnsi="宋体" w:eastAsia="宋体" w:cs="宋体"/>
          <w:color w:val="000000" w:themeColor="text1"/>
          <w:sz w:val="21"/>
          <w:szCs w:val="21"/>
          <w:highlight w:val="none"/>
          <w:lang w:eastAsia="zh-CN"/>
          <w14:textFill>
            <w14:solidFill>
              <w14:schemeClr w14:val="tx1"/>
            </w14:solidFill>
          </w14:textFill>
        </w:rPr>
      </w:pPr>
    </w:p>
    <w:p w14:paraId="471292AE">
      <w:pPr>
        <w:widowControl/>
        <w:ind w:firstLine="1470" w:firstLineChars="700"/>
        <w:jc w:val="left"/>
        <w:rPr>
          <w:rFonts w:hint="eastAsia" w:ascii="宋体" w:hAnsi="宋体" w:eastAsia="宋体" w:cs="宋体"/>
          <w:color w:val="000000" w:themeColor="text1"/>
          <w:sz w:val="21"/>
          <w:szCs w:val="21"/>
          <w:highlight w:val="none"/>
          <w:lang w:eastAsia="zh-CN"/>
          <w14:textFill>
            <w14:solidFill>
              <w14:schemeClr w14:val="tx1"/>
            </w14:solidFill>
          </w14:textFill>
        </w:rPr>
      </w:pPr>
    </w:p>
    <w:p w14:paraId="40233BCA">
      <w:pPr>
        <w:widowControl/>
        <w:ind w:firstLine="1470" w:firstLineChars="7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，自然人</w:t>
      </w:r>
      <w:r>
        <w:rPr>
          <w:rFonts w:hint="eastAsia" w:ascii="宋体" w:hAnsi="宋体" w:eastAsia="宋体" w:cs="宋体"/>
          <w:color w:val="000000" w:themeColor="text1"/>
          <w:sz w:val="21"/>
          <w:szCs w:val="21"/>
          <w:highlight w:val="none"/>
          <w:lang w:eastAsia="zh-CN"/>
          <w14:textFill>
            <w14:solidFill>
              <w14:schemeClr w14:val="tx1"/>
            </w14:solidFill>
          </w14:textFill>
        </w:rPr>
        <w:t>签字或个人</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9447F8A">
      <w:pPr>
        <w:pStyle w:val="11"/>
        <w:spacing w:line="300" w:lineRule="exact"/>
        <w:ind w:left="2940" w:leftChars="1400" w:firstLine="630" w:firstLineChars="300"/>
        <w:rPr>
          <w:rFonts w:hint="eastAsia" w:ascii="宋体" w:hAnsi="宋体" w:eastAsia="宋体" w:cs="宋体"/>
          <w:color w:val="000000" w:themeColor="text1"/>
          <w:sz w:val="21"/>
          <w:szCs w:val="21"/>
          <w:highlight w:val="none"/>
          <w14:textFill>
            <w14:solidFill>
              <w14:schemeClr w14:val="tx1"/>
            </w14:solidFill>
          </w14:textFill>
        </w:rPr>
      </w:pPr>
    </w:p>
    <w:p w14:paraId="3D77BC6E">
      <w:pPr>
        <w:ind w:firstLine="1470" w:firstLineChars="700"/>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4427972">
      <w:pPr>
        <w:pStyle w:val="4"/>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1C5CA7C8">
      <w:pPr>
        <w:pStyle w:val="4"/>
        <w:numPr>
          <w:ilvl w:val="0"/>
          <w:numId w:val="0"/>
        </w:numPr>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260" w:name="_Toc32582"/>
      <w:bookmarkStart w:id="261" w:name="_Toc24798"/>
      <w:bookmarkStart w:id="262" w:name="_Toc28299"/>
      <w:r>
        <w:rPr>
          <w:rFonts w:hint="eastAsia" w:ascii="宋体" w:hAnsi="宋体" w:eastAsia="宋体" w:cs="宋体"/>
          <w:b/>
          <w:color w:val="000000" w:themeColor="text1"/>
          <w:sz w:val="24"/>
          <w:szCs w:val="24"/>
          <w:highlight w:val="none"/>
          <w:lang w:val="en-US" w:eastAsia="zh-CN"/>
          <w14:textFill>
            <w14:solidFill>
              <w14:schemeClr w14:val="tx1"/>
            </w14:solidFill>
          </w14:textFill>
        </w:rPr>
        <w:t>8.农民工</w:t>
      </w:r>
      <w:r>
        <w:rPr>
          <w:rFonts w:hint="eastAsia" w:ascii="宋体" w:hAnsi="宋体" w:cs="宋体"/>
          <w:b/>
          <w:color w:val="000000" w:themeColor="text1"/>
          <w:sz w:val="24"/>
          <w:szCs w:val="24"/>
          <w:highlight w:val="none"/>
          <w:lang w:val="en-US" w:eastAsia="zh-CN"/>
          <w14:textFill>
            <w14:solidFill>
              <w14:schemeClr w14:val="tx1"/>
            </w14:solidFill>
          </w14:textFill>
        </w:rPr>
        <w:t>工资保障金缴纳与使用</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承诺书（必须提供）</w:t>
      </w:r>
      <w:bookmarkEnd w:id="260"/>
      <w:bookmarkEnd w:id="261"/>
      <w:r>
        <w:rPr>
          <w:rFonts w:hint="eastAsia" w:ascii="宋体" w:hAnsi="宋体" w:eastAsia="宋体" w:cs="宋体"/>
          <w:b/>
          <w:color w:val="000000" w:themeColor="text1"/>
          <w:sz w:val="24"/>
          <w:szCs w:val="24"/>
          <w:highlight w:val="none"/>
          <w:lang w:val="en-US" w:eastAsia="zh-CN"/>
          <w14:textFill>
            <w14:solidFill>
              <w14:schemeClr w14:val="tx1"/>
            </w14:solidFill>
          </w14:textFill>
        </w:rPr>
        <w:t>；</w:t>
      </w:r>
      <w:bookmarkEnd w:id="262"/>
    </w:p>
    <w:p w14:paraId="6DC5EC56">
      <w:pPr>
        <w:spacing w:line="420" w:lineRule="exact"/>
        <w:ind w:firstLine="482" w:firstLineChars="200"/>
        <w:jc w:val="center"/>
        <w:rPr>
          <w:rFonts w:hint="eastAsia"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eastAsia="zh-CN"/>
          <w14:textFill>
            <w14:solidFill>
              <w14:schemeClr w14:val="tx1"/>
            </w14:solidFill>
          </w14:textFill>
        </w:rPr>
        <w:t>农民工工资保证金缴纳与使用</w:t>
      </w:r>
      <w:r>
        <w:rPr>
          <w:rFonts w:hint="eastAsia" w:ascii="宋体" w:hAnsi="宋体" w:cs="宋体"/>
          <w:b/>
          <w:color w:val="000000" w:themeColor="text1"/>
          <w:kern w:val="0"/>
          <w:sz w:val="24"/>
          <w:szCs w:val="24"/>
          <w:highlight w:val="none"/>
          <w14:textFill>
            <w14:solidFill>
              <w14:schemeClr w14:val="tx1"/>
            </w14:solidFill>
          </w14:textFill>
        </w:rPr>
        <w:t>承诺书</w:t>
      </w:r>
      <w:r>
        <w:rPr>
          <w:rFonts w:hint="eastAsia" w:ascii="宋体" w:hAnsi="宋体" w:cs="宋体"/>
          <w:b/>
          <w:color w:val="000000" w:themeColor="text1"/>
          <w:kern w:val="0"/>
          <w:sz w:val="24"/>
          <w:szCs w:val="24"/>
          <w:highlight w:val="none"/>
          <w:lang w:val="en-US" w:eastAsia="zh-CN"/>
          <w14:textFill>
            <w14:solidFill>
              <w14:schemeClr w14:val="tx1"/>
            </w14:solidFill>
          </w14:textFill>
        </w:rPr>
        <w:t>（格式）</w:t>
      </w:r>
    </w:p>
    <w:p w14:paraId="7D84B5AF">
      <w:pPr>
        <w:spacing w:line="420" w:lineRule="exact"/>
        <w:rPr>
          <w:rFonts w:hint="eastAsia" w:ascii="宋体" w:hAnsi="宋体" w:cs="宋体"/>
          <w:color w:val="000000" w:themeColor="text1"/>
          <w:kern w:val="0"/>
          <w:sz w:val="24"/>
          <w:szCs w:val="24"/>
          <w:highlight w:val="none"/>
          <w14:textFill>
            <w14:solidFill>
              <w14:schemeClr w14:val="tx1"/>
            </w14:solidFill>
          </w14:textFill>
        </w:rPr>
      </w:pPr>
    </w:p>
    <w:p w14:paraId="11806FD1">
      <w:pPr>
        <w:spacing w:line="420" w:lineRule="exact"/>
        <w:rPr>
          <w:rFonts w:hint="eastAsia" w:ascii="宋体" w:hAnsi="宋体" w:eastAsia="宋体" w:cs="宋体"/>
          <w:b/>
          <w:color w:val="000000" w:themeColor="text1"/>
          <w:kern w:val="0"/>
          <w:sz w:val="21"/>
          <w:szCs w:val="21"/>
          <w:highlight w:val="none"/>
          <w:u w:val="single"/>
          <w:lang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致：</w:t>
      </w:r>
      <w:r>
        <w:rPr>
          <w:rFonts w:hint="eastAsia" w:ascii="宋体" w:hAnsi="宋体" w:cs="宋体"/>
          <w:color w:val="000000" w:themeColor="text1"/>
          <w:kern w:val="0"/>
          <w:sz w:val="21"/>
          <w:szCs w:val="21"/>
          <w:highlight w:val="none"/>
          <w:lang w:eastAsia="zh-CN"/>
          <w14:textFill>
            <w14:solidFill>
              <w14:schemeClr w14:val="tx1"/>
            </w14:solidFill>
          </w14:textFill>
        </w:rPr>
        <w:t>广西嘉弘项目管理有限公司</w:t>
      </w:r>
    </w:p>
    <w:p w14:paraId="1B331007">
      <w:pPr>
        <w:spacing w:line="420" w:lineRule="exact"/>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我方在此承诺：</w:t>
      </w:r>
    </w:p>
    <w:p w14:paraId="7DE28931">
      <w:pPr>
        <w:spacing w:line="420" w:lineRule="exact"/>
        <w:ind w:firstLine="525" w:firstLineChars="25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1.我方在本项目</w:t>
      </w:r>
      <w:r>
        <w:rPr>
          <w:rFonts w:hint="eastAsia" w:ascii="宋体" w:hAnsi="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（项目名称及编号）响应文件递交截止之日前所承建工程中，无拖欠或克扣农民工工资的行为。</w:t>
      </w:r>
    </w:p>
    <w:p w14:paraId="3B0085AA">
      <w:pPr>
        <w:spacing w:line="420" w:lineRule="exact"/>
        <w:ind w:firstLine="495"/>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2.我方参与</w:t>
      </w:r>
      <w:r>
        <w:rPr>
          <w:rFonts w:hint="eastAsia" w:ascii="宋体" w:hAnsi="宋体" w:cs="宋体"/>
          <w:color w:val="000000" w:themeColor="text1"/>
          <w:kern w:val="0"/>
          <w:sz w:val="21"/>
          <w:szCs w:val="21"/>
          <w:highlight w:val="none"/>
          <w:lang w:val="en-US" w:eastAsia="zh-CN"/>
          <w14:textFill>
            <w14:solidFill>
              <w14:schemeClr w14:val="tx1"/>
            </w14:solidFill>
          </w14:textFill>
        </w:rPr>
        <w:t>磋商</w:t>
      </w:r>
      <w:r>
        <w:rPr>
          <w:rFonts w:hint="eastAsia" w:ascii="宋体" w:hAnsi="宋体" w:cs="宋体"/>
          <w:color w:val="000000" w:themeColor="text1"/>
          <w:kern w:val="0"/>
          <w:sz w:val="21"/>
          <w:szCs w:val="21"/>
          <w:highlight w:val="none"/>
          <w14:textFill>
            <w14:solidFill>
              <w14:schemeClr w14:val="tx1"/>
            </w14:solidFill>
          </w14:textFill>
        </w:rPr>
        <w:t>的</w:t>
      </w:r>
      <w:r>
        <w:rPr>
          <w:rFonts w:hint="eastAsia" w:ascii="宋体" w:hAnsi="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项目，一旦成交，我方保证在签订施工合同后，及时并足额将农民工工资保证金足额存入指定的账户，作为本项目农民工工资保证金。</w:t>
      </w:r>
    </w:p>
    <w:p w14:paraId="1D74AEA1">
      <w:pPr>
        <w:spacing w:line="420" w:lineRule="exact"/>
        <w:ind w:firstLine="495"/>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3.如我方在承包的</w:t>
      </w:r>
      <w:r>
        <w:rPr>
          <w:rFonts w:hint="eastAsia" w:ascii="宋体" w:hAnsi="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项目中出现拖欠农民工和工人工资情况的，由相关部门从其农民工工资保证金中先予划支。</w:t>
      </w:r>
    </w:p>
    <w:p w14:paraId="68217FCF">
      <w:pPr>
        <w:numPr>
          <w:ilvl w:val="0"/>
          <w:numId w:val="0"/>
        </w:numPr>
        <w:ind w:leftChars="200"/>
        <w:rPr>
          <w:rFonts w:hint="eastAsia"/>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4.如我方不按时、足额存入农民工工资保证金，采购人有权取消我方承包资格。</w:t>
      </w:r>
    </w:p>
    <w:p w14:paraId="0B538D57">
      <w:pPr>
        <w:pStyle w:val="11"/>
        <w:spacing w:line="340" w:lineRule="exact"/>
        <w:rPr>
          <w:rFonts w:hint="eastAsia" w:ascii="宋体" w:hAnsi="宋体" w:eastAsia="宋体" w:cs="宋体"/>
          <w:b/>
          <w:color w:val="000000" w:themeColor="text1"/>
          <w:sz w:val="21"/>
          <w:szCs w:val="21"/>
          <w:highlight w:val="none"/>
          <w14:textFill>
            <w14:solidFill>
              <w14:schemeClr w14:val="tx1"/>
            </w14:solidFill>
          </w14:textFill>
        </w:rPr>
      </w:pPr>
    </w:p>
    <w:p w14:paraId="6304CEB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bookmarkStart w:id="263" w:name="_Toc28672"/>
      <w:bookmarkStart w:id="264" w:name="_Toc9339"/>
      <w:bookmarkStart w:id="265" w:name="_Toc497927084"/>
    </w:p>
    <w:p w14:paraId="7010ECB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p>
    <w:p w14:paraId="1C52D4D5">
      <w:pPr>
        <w:widowControl/>
        <w:ind w:firstLine="1470" w:firstLineChars="7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，自然人</w:t>
      </w:r>
      <w:r>
        <w:rPr>
          <w:rFonts w:hint="eastAsia" w:ascii="宋体" w:hAnsi="宋体" w:eastAsia="宋体" w:cs="宋体"/>
          <w:color w:val="000000" w:themeColor="text1"/>
          <w:sz w:val="21"/>
          <w:szCs w:val="21"/>
          <w:highlight w:val="none"/>
          <w:lang w:eastAsia="zh-CN"/>
          <w14:textFill>
            <w14:solidFill>
              <w14:schemeClr w14:val="tx1"/>
            </w14:solidFill>
          </w14:textFill>
        </w:rPr>
        <w:t>签字或个人</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1355FCF">
      <w:pPr>
        <w:pStyle w:val="11"/>
        <w:spacing w:line="300" w:lineRule="exact"/>
        <w:ind w:left="2940" w:leftChars="1400" w:firstLine="630" w:firstLineChars="300"/>
        <w:rPr>
          <w:rFonts w:hint="eastAsia" w:ascii="宋体" w:hAnsi="宋体" w:eastAsia="宋体" w:cs="宋体"/>
          <w:color w:val="000000" w:themeColor="text1"/>
          <w:sz w:val="21"/>
          <w:szCs w:val="21"/>
          <w:highlight w:val="none"/>
          <w14:textFill>
            <w14:solidFill>
              <w14:schemeClr w14:val="tx1"/>
            </w14:solidFill>
          </w14:textFill>
        </w:rPr>
      </w:pPr>
    </w:p>
    <w:p w14:paraId="1533CFD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4ED6FD5">
      <w:pPr>
        <w:pStyle w:val="4"/>
        <w:numPr>
          <w:ilvl w:val="0"/>
          <w:numId w:val="0"/>
        </w:numPr>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4309AC27">
      <w:pPr>
        <w:widowControl w:val="0"/>
        <w:numPr>
          <w:ilvl w:val="0"/>
          <w:numId w:val="0"/>
        </w:numPr>
        <w:jc w:val="both"/>
        <w:rPr>
          <w:rFonts w:hint="eastAsia"/>
          <w:color w:val="000000" w:themeColor="text1"/>
          <w:sz w:val="24"/>
          <w:szCs w:val="24"/>
          <w:highlight w:val="none"/>
          <w14:textFill>
            <w14:solidFill>
              <w14:schemeClr w14:val="tx1"/>
            </w14:solidFill>
          </w14:textFill>
        </w:rPr>
      </w:pPr>
    </w:p>
    <w:p w14:paraId="1BD10566">
      <w:pPr>
        <w:rPr>
          <w:rFonts w:hint="eastAsia"/>
          <w:color w:val="000000" w:themeColor="text1"/>
          <w:sz w:val="24"/>
          <w:szCs w:val="24"/>
          <w:highlight w:val="none"/>
          <w14:textFill>
            <w14:solidFill>
              <w14:schemeClr w14:val="tx1"/>
            </w14:solidFill>
          </w14:textFill>
        </w:rPr>
      </w:pPr>
    </w:p>
    <w:p w14:paraId="28E8CCFB">
      <w:pPr>
        <w:pStyle w:val="6"/>
        <w:numPr>
          <w:ilvl w:val="0"/>
          <w:numId w:val="0"/>
        </w:num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（三）其他有效证明材料目录</w:t>
      </w:r>
      <w:bookmarkEnd w:id="263"/>
      <w:bookmarkEnd w:id="264"/>
      <w:bookmarkEnd w:id="265"/>
    </w:p>
    <w:p w14:paraId="03BCD69D">
      <w:pPr>
        <w:pStyle w:val="26"/>
        <w:rPr>
          <w:rFonts w:hint="eastAsia"/>
          <w:color w:val="000000" w:themeColor="text1"/>
          <w:sz w:val="24"/>
          <w:szCs w:val="24"/>
          <w:highlight w:val="none"/>
          <w:lang w:val="en-US" w:eastAsia="zh-CN"/>
          <w14:textFill>
            <w14:solidFill>
              <w14:schemeClr w14:val="tx1"/>
            </w14:solidFill>
          </w14:textFill>
        </w:rPr>
      </w:pPr>
    </w:p>
    <w:p w14:paraId="6A5648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供应商2021年1月1日以来</w:t>
      </w:r>
      <w:r>
        <w:rPr>
          <w:rFonts w:hint="eastAsia" w:ascii="宋体" w:hAnsi="宋体" w:eastAsia="宋体" w:cs="宋体"/>
          <w:color w:val="000000" w:themeColor="text1"/>
          <w:sz w:val="21"/>
          <w:szCs w:val="21"/>
          <w:highlight w:val="none"/>
          <w:lang w:val="zh-CN" w:eastAsia="zh-CN"/>
          <w14:textFill>
            <w14:solidFill>
              <w14:schemeClr w14:val="tx1"/>
            </w14:solidFill>
          </w14:textFill>
        </w:rPr>
        <w:t>承接过</w:t>
      </w:r>
      <w:r>
        <w:rPr>
          <w:rFonts w:hint="eastAsia" w:ascii="宋体" w:hAnsi="宋体" w:eastAsia="宋体" w:cs="宋体"/>
          <w:color w:val="000000" w:themeColor="text1"/>
          <w:sz w:val="21"/>
          <w:szCs w:val="21"/>
          <w:highlight w:val="none"/>
          <w:lang w:val="en-US" w:eastAsia="zh-CN"/>
          <w14:textFill>
            <w14:solidFill>
              <w14:schemeClr w14:val="tx1"/>
            </w14:solidFill>
          </w14:textFill>
        </w:rPr>
        <w:t>综合整治</w:t>
      </w:r>
      <w:r>
        <w:rPr>
          <w:rFonts w:hint="eastAsia" w:ascii="宋体" w:hAnsi="宋体" w:eastAsia="宋体" w:cs="宋体"/>
          <w:color w:val="000000" w:themeColor="text1"/>
          <w:sz w:val="21"/>
          <w:szCs w:val="21"/>
          <w:highlight w:val="none"/>
          <w:lang w:val="zh-CN" w:eastAsia="zh-CN"/>
          <w14:textFill>
            <w14:solidFill>
              <w14:schemeClr w14:val="tx1"/>
            </w14:solidFill>
          </w14:textFill>
        </w:rPr>
        <w:t>类（含</w:t>
      </w:r>
      <w:r>
        <w:rPr>
          <w:rFonts w:hint="eastAsia" w:ascii="宋体" w:hAnsi="宋体" w:eastAsia="宋体" w:cs="宋体"/>
          <w:color w:val="000000" w:themeColor="text1"/>
          <w:sz w:val="21"/>
          <w:szCs w:val="21"/>
          <w:highlight w:val="none"/>
          <w:lang w:val="en-US" w:eastAsia="zh-CN"/>
          <w14:textFill>
            <w14:solidFill>
              <w14:schemeClr w14:val="tx1"/>
            </w14:solidFill>
          </w14:textFill>
        </w:rPr>
        <w:t>水土保持综合治理及河道整治、</w:t>
      </w:r>
      <w:r>
        <w:rPr>
          <w:rFonts w:hint="eastAsia" w:ascii="宋体" w:hAnsi="宋体" w:eastAsia="宋体" w:cs="宋体"/>
          <w:color w:val="000000" w:themeColor="text1"/>
          <w:sz w:val="21"/>
          <w:szCs w:val="21"/>
          <w:highlight w:val="none"/>
          <w:lang w:val="zh-CN" w:eastAsia="zh-CN"/>
          <w14:textFill>
            <w14:solidFill>
              <w14:schemeClr w14:val="tx1"/>
            </w14:solidFill>
          </w14:textFill>
        </w:rPr>
        <w:t>高标准农田建设</w:t>
      </w:r>
      <w:r>
        <w:rPr>
          <w:rFonts w:hint="eastAsia" w:ascii="宋体" w:hAnsi="宋体" w:eastAsia="宋体" w:cs="宋体"/>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业绩相关证明材料（无不良记录，以中标、成交通知书或签订的合同为准，并能清晰反映</w:t>
      </w:r>
      <w:r>
        <w:rPr>
          <w:rFonts w:hint="eastAsia" w:ascii="宋体" w:hAnsi="宋体" w:eastAsia="宋体" w:cs="宋体"/>
          <w:color w:val="000000" w:themeColor="text1"/>
          <w:sz w:val="21"/>
          <w:szCs w:val="21"/>
          <w:highlight w:val="none"/>
          <w:lang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的名称、</w:t>
      </w:r>
      <w:r>
        <w:rPr>
          <w:rFonts w:hint="eastAsia" w:ascii="宋体" w:hAnsi="宋体" w:eastAsia="宋体" w:cs="宋体"/>
          <w:color w:val="000000" w:themeColor="text1"/>
          <w:sz w:val="21"/>
          <w:szCs w:val="21"/>
          <w:highlight w:val="none"/>
          <w:lang w:eastAsia="zh-CN"/>
          <w14:textFill>
            <w14:solidFill>
              <w14:schemeClr w14:val="tx1"/>
            </w14:solidFill>
          </w14:textFill>
        </w:rPr>
        <w:t>采购内容</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金额</w:t>
      </w:r>
      <w:r>
        <w:rPr>
          <w:rFonts w:hint="eastAsia" w:ascii="宋体" w:hAnsi="宋体" w:eastAsia="宋体" w:cs="宋体"/>
          <w:color w:val="000000" w:themeColor="text1"/>
          <w:sz w:val="21"/>
          <w:szCs w:val="21"/>
          <w:highlight w:val="none"/>
          <w:lang w:eastAsia="zh-CN"/>
          <w14:textFill>
            <w14:solidFill>
              <w14:schemeClr w14:val="tx1"/>
            </w14:solidFill>
          </w14:textFill>
        </w:rPr>
        <w:t>、采购时间</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（如有，请提供）；</w:t>
      </w:r>
    </w:p>
    <w:p w14:paraId="77D172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供应商可结合本项目的评审办法视自身情况自行提交其它相关证明材料。</w:t>
      </w:r>
    </w:p>
    <w:p w14:paraId="0A6C4D1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172982C">
      <w:pPr>
        <w:pStyle w:val="27"/>
        <w:rPr>
          <w:rFonts w:hint="eastAsia" w:ascii="宋体" w:hAnsi="宋体" w:eastAsia="宋体" w:cs="宋体"/>
          <w:b/>
          <w:bCs/>
          <w:color w:val="000000" w:themeColor="text1"/>
          <w:sz w:val="24"/>
          <w:szCs w:val="24"/>
          <w:highlight w:val="none"/>
          <w14:textFill>
            <w14:solidFill>
              <w14:schemeClr w14:val="tx1"/>
            </w14:solidFill>
          </w14:textFill>
        </w:rPr>
      </w:pPr>
    </w:p>
    <w:p w14:paraId="7584F230">
      <w:pPr>
        <w:pStyle w:val="27"/>
        <w:rPr>
          <w:rFonts w:hint="eastAsia" w:ascii="宋体" w:hAnsi="宋体" w:eastAsia="宋体" w:cs="宋体"/>
          <w:b/>
          <w:bCs/>
          <w:color w:val="000000" w:themeColor="text1"/>
          <w:sz w:val="24"/>
          <w:szCs w:val="24"/>
          <w:highlight w:val="none"/>
          <w14:textFill>
            <w14:solidFill>
              <w14:schemeClr w14:val="tx1"/>
            </w14:solidFill>
          </w14:textFill>
        </w:rPr>
      </w:pPr>
    </w:p>
    <w:p w14:paraId="599E6EE9">
      <w:pPr>
        <w:pStyle w:val="27"/>
        <w:rPr>
          <w:rFonts w:hint="eastAsia" w:ascii="宋体" w:hAnsi="宋体" w:eastAsia="宋体" w:cs="宋体"/>
          <w:b/>
          <w:bCs/>
          <w:color w:val="000000" w:themeColor="text1"/>
          <w:sz w:val="24"/>
          <w:szCs w:val="24"/>
          <w:highlight w:val="none"/>
          <w14:textFill>
            <w14:solidFill>
              <w14:schemeClr w14:val="tx1"/>
            </w14:solidFill>
          </w14:textFill>
        </w:rPr>
      </w:pPr>
    </w:p>
    <w:p w14:paraId="5B895BF2">
      <w:pPr>
        <w:pStyle w:val="27"/>
        <w:rPr>
          <w:rFonts w:hint="eastAsia" w:ascii="宋体" w:hAnsi="宋体" w:eastAsia="宋体" w:cs="宋体"/>
          <w:b/>
          <w:bCs/>
          <w:color w:val="000000" w:themeColor="text1"/>
          <w:sz w:val="24"/>
          <w:szCs w:val="24"/>
          <w:highlight w:val="none"/>
          <w14:textFill>
            <w14:solidFill>
              <w14:schemeClr w14:val="tx1"/>
            </w14:solidFill>
          </w14:textFill>
        </w:rPr>
      </w:pPr>
    </w:p>
    <w:p w14:paraId="07703511">
      <w:pPr>
        <w:pStyle w:val="27"/>
        <w:rPr>
          <w:rFonts w:hint="eastAsia" w:ascii="宋体" w:hAnsi="宋体" w:eastAsia="宋体" w:cs="宋体"/>
          <w:b/>
          <w:bCs/>
          <w:color w:val="000000" w:themeColor="text1"/>
          <w:sz w:val="24"/>
          <w:szCs w:val="24"/>
          <w:highlight w:val="none"/>
          <w14:textFill>
            <w14:solidFill>
              <w14:schemeClr w14:val="tx1"/>
            </w14:solidFill>
          </w14:textFill>
        </w:rPr>
      </w:pPr>
    </w:p>
    <w:p w14:paraId="51B946E0">
      <w:pPr>
        <w:pStyle w:val="27"/>
        <w:rPr>
          <w:rFonts w:hint="eastAsia" w:ascii="宋体" w:hAnsi="宋体" w:eastAsia="宋体" w:cs="宋体"/>
          <w:b/>
          <w:bCs/>
          <w:color w:val="000000" w:themeColor="text1"/>
          <w:sz w:val="24"/>
          <w:szCs w:val="24"/>
          <w:highlight w:val="none"/>
          <w14:textFill>
            <w14:solidFill>
              <w14:schemeClr w14:val="tx1"/>
            </w14:solidFill>
          </w14:textFill>
        </w:rPr>
      </w:pPr>
    </w:p>
    <w:p w14:paraId="68D79355">
      <w:pPr>
        <w:pStyle w:val="27"/>
        <w:rPr>
          <w:rFonts w:hint="eastAsia" w:ascii="宋体" w:hAnsi="宋体" w:eastAsia="宋体" w:cs="宋体"/>
          <w:b/>
          <w:bCs/>
          <w:color w:val="000000" w:themeColor="text1"/>
          <w:sz w:val="24"/>
          <w:szCs w:val="24"/>
          <w:highlight w:val="none"/>
          <w14:textFill>
            <w14:solidFill>
              <w14:schemeClr w14:val="tx1"/>
            </w14:solidFill>
          </w14:textFill>
        </w:rPr>
      </w:pPr>
    </w:p>
    <w:p w14:paraId="533D93B5">
      <w:pPr>
        <w:pStyle w:val="27"/>
        <w:rPr>
          <w:rFonts w:hint="eastAsia" w:ascii="宋体" w:hAnsi="宋体" w:eastAsia="宋体" w:cs="宋体"/>
          <w:b/>
          <w:bCs/>
          <w:color w:val="000000" w:themeColor="text1"/>
          <w:sz w:val="24"/>
          <w:szCs w:val="24"/>
          <w:highlight w:val="none"/>
          <w14:textFill>
            <w14:solidFill>
              <w14:schemeClr w14:val="tx1"/>
            </w14:solidFill>
          </w14:textFill>
        </w:rPr>
      </w:pPr>
    </w:p>
    <w:p w14:paraId="173081CC">
      <w:pPr>
        <w:pStyle w:val="27"/>
        <w:rPr>
          <w:rFonts w:hint="eastAsia" w:ascii="宋体" w:hAnsi="宋体" w:eastAsia="宋体" w:cs="宋体"/>
          <w:b/>
          <w:bCs/>
          <w:color w:val="000000" w:themeColor="text1"/>
          <w:sz w:val="24"/>
          <w:szCs w:val="24"/>
          <w:highlight w:val="none"/>
          <w14:textFill>
            <w14:solidFill>
              <w14:schemeClr w14:val="tx1"/>
            </w14:solidFill>
          </w14:textFill>
        </w:rPr>
      </w:pPr>
    </w:p>
    <w:p w14:paraId="485617A9">
      <w:pPr>
        <w:pStyle w:val="27"/>
        <w:rPr>
          <w:rFonts w:hint="eastAsia" w:ascii="宋体" w:hAnsi="宋体" w:eastAsia="宋体" w:cs="宋体"/>
          <w:b/>
          <w:bCs/>
          <w:color w:val="000000" w:themeColor="text1"/>
          <w:sz w:val="24"/>
          <w:szCs w:val="24"/>
          <w:highlight w:val="none"/>
          <w14:textFill>
            <w14:solidFill>
              <w14:schemeClr w14:val="tx1"/>
            </w14:solidFill>
          </w14:textFill>
        </w:rPr>
      </w:pPr>
    </w:p>
    <w:p w14:paraId="6950BA20">
      <w:pPr>
        <w:pStyle w:val="27"/>
        <w:rPr>
          <w:rFonts w:hint="eastAsia" w:ascii="宋体" w:hAnsi="宋体" w:eastAsia="宋体" w:cs="宋体"/>
          <w:b/>
          <w:bCs/>
          <w:color w:val="000000" w:themeColor="text1"/>
          <w:sz w:val="24"/>
          <w:szCs w:val="24"/>
          <w:highlight w:val="none"/>
          <w14:textFill>
            <w14:solidFill>
              <w14:schemeClr w14:val="tx1"/>
            </w14:solidFill>
          </w14:textFill>
        </w:rPr>
      </w:pPr>
    </w:p>
    <w:p w14:paraId="504CE65D">
      <w:pPr>
        <w:pStyle w:val="2"/>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p>
    <w:p w14:paraId="6BA12B41">
      <w:pPr>
        <w:spacing w:line="240" w:lineRule="auto"/>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p>
    <w:p w14:paraId="21EE6341">
      <w:pPr>
        <w:spacing w:line="240" w:lineRule="auto"/>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p>
    <w:p w14:paraId="468F720E">
      <w:pPr>
        <w:pStyle w:val="2"/>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p>
    <w:p w14:paraId="6DA44578">
      <w:pPr>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p>
    <w:p w14:paraId="0AE2B797">
      <w:pPr>
        <w:pStyle w:val="2"/>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p>
    <w:p w14:paraId="6C6B8684">
      <w:pPr>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p>
    <w:p w14:paraId="1114BB74">
      <w:pPr>
        <w:pStyle w:val="2"/>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p>
    <w:p w14:paraId="69837BB4">
      <w:pPr>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p>
    <w:p w14:paraId="2CB6A510">
      <w:pPr>
        <w:pStyle w:val="2"/>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p>
    <w:p w14:paraId="070D2FC7">
      <w:pPr>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p>
    <w:p w14:paraId="7AB7D182">
      <w:pPr>
        <w:pStyle w:val="2"/>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p>
    <w:p w14:paraId="773F69C0">
      <w:pPr>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p>
    <w:p w14:paraId="22D8507B">
      <w:pPr>
        <w:pStyle w:val="2"/>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p>
    <w:p w14:paraId="0D5EB68F">
      <w:pPr>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p>
    <w:p w14:paraId="4ACE1D9B">
      <w:pPr>
        <w:pStyle w:val="2"/>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p>
    <w:p w14:paraId="362E3FA7">
      <w:pPr>
        <w:rPr>
          <w:rFonts w:hint="eastAsia"/>
          <w:color w:val="000000" w:themeColor="text1"/>
          <w:highlight w:val="none"/>
          <w:lang w:val="en-US" w:eastAsia="zh-CN"/>
          <w14:textFill>
            <w14:solidFill>
              <w14:schemeClr w14:val="tx1"/>
            </w14:solidFill>
          </w14:textFill>
        </w:rPr>
      </w:pPr>
    </w:p>
    <w:p w14:paraId="71087D7F">
      <w:pPr>
        <w:rPr>
          <w:rFonts w:hint="eastAsia" w:ascii="宋体" w:hAnsi="宋体" w:cs="宋体"/>
          <w:b/>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iCs/>
          <w:color w:val="000000" w:themeColor="text1"/>
          <w:kern w:val="2"/>
          <w:sz w:val="24"/>
          <w:szCs w:val="24"/>
          <w:highlight w:val="none"/>
          <w:lang w:val="en-US" w:eastAsia="zh-CN" w:bidi="ar-SA"/>
          <w14:textFill>
            <w14:solidFill>
              <w14:schemeClr w14:val="tx1"/>
            </w14:solidFill>
          </w14:textFill>
        </w:rPr>
        <w:br w:type="page"/>
      </w:r>
    </w:p>
    <w:p w14:paraId="47ADB03B">
      <w:pPr>
        <w:spacing w:line="240" w:lineRule="auto"/>
        <w:rPr>
          <w:rFonts w:hint="eastAsia" w:ascii="宋体" w:hAnsi="宋体" w:cs="宋体"/>
          <w:b/>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iCs/>
          <w:color w:val="000000" w:themeColor="text1"/>
          <w:kern w:val="2"/>
          <w:sz w:val="24"/>
          <w:szCs w:val="24"/>
          <w:highlight w:val="none"/>
          <w:lang w:val="en-US" w:eastAsia="zh-CN" w:bidi="ar-SA"/>
          <w14:textFill>
            <w14:solidFill>
              <w14:schemeClr w14:val="tx1"/>
            </w14:solidFill>
          </w14:textFill>
        </w:rPr>
        <w:t>1.供应商2021年1月1日以来承接过综合整治类（含水土保持综合治理及河道整治、高标准农田建设等）项目业绩相关证明材料（无不良记录，以中标、成交通知书或签订的合同为准，并能清晰反映项目的名称、采购内容、采购金额、采购时间）（如有，请提供）</w:t>
      </w:r>
    </w:p>
    <w:p w14:paraId="0271C291">
      <w:pPr>
        <w:spacing w:line="240" w:lineRule="auto"/>
        <w:rPr>
          <w:rFonts w:hint="eastAsia" w:ascii="宋体" w:hAnsi="宋体" w:cs="宋体"/>
          <w:b/>
          <w:bCs/>
          <w:iCs/>
          <w:color w:val="000000" w:themeColor="text1"/>
          <w:kern w:val="2"/>
          <w:sz w:val="24"/>
          <w:szCs w:val="24"/>
          <w:highlight w:val="none"/>
          <w:lang w:val="en-US" w:eastAsia="zh-CN" w:bidi="ar-SA"/>
          <w14:textFill>
            <w14:solidFill>
              <w14:schemeClr w14:val="tx1"/>
            </w14:solidFill>
          </w14:textFill>
        </w:rPr>
      </w:pPr>
    </w:p>
    <w:p w14:paraId="0FA2DCF5">
      <w:pPr>
        <w:spacing w:line="240" w:lineRule="auto"/>
        <w:rPr>
          <w:rFonts w:hint="eastAsia" w:ascii="宋体" w:hAnsi="宋体" w:cs="宋体"/>
          <w:b/>
          <w:bCs/>
          <w:iCs/>
          <w:color w:val="000000" w:themeColor="text1"/>
          <w:kern w:val="2"/>
          <w:sz w:val="24"/>
          <w:szCs w:val="24"/>
          <w:highlight w:val="none"/>
          <w:lang w:val="en-US" w:eastAsia="zh-CN" w:bidi="ar-SA"/>
          <w14:textFill>
            <w14:solidFill>
              <w14:schemeClr w14:val="tx1"/>
            </w14:solidFill>
          </w14:textFill>
        </w:rPr>
      </w:pPr>
    </w:p>
    <w:p w14:paraId="010E590C">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80" w:firstLineChars="20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p>
    <w:p w14:paraId="33C01DC8">
      <w:pPr>
        <w:spacing w:line="240" w:lineRule="auto"/>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p>
    <w:p w14:paraId="6B9EF247">
      <w:pPr>
        <w:pStyle w:val="2"/>
        <w:rPr>
          <w:rFonts w:hint="eastAsia"/>
          <w:color w:val="000000" w:themeColor="text1"/>
          <w:highlight w:val="none"/>
          <w:lang w:val="en-US" w:eastAsia="zh-CN"/>
          <w14:textFill>
            <w14:solidFill>
              <w14:schemeClr w14:val="tx1"/>
            </w14:solidFill>
          </w14:textFill>
        </w:rPr>
      </w:pPr>
    </w:p>
    <w:p w14:paraId="650956F5">
      <w:pPr>
        <w:spacing w:line="240" w:lineRule="auto"/>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i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bCs/>
          <w:iCs/>
          <w:color w:val="000000" w:themeColor="text1"/>
          <w:kern w:val="2"/>
          <w:sz w:val="24"/>
          <w:szCs w:val="24"/>
          <w:highlight w:val="none"/>
          <w:lang w:val="en-US" w:eastAsia="zh-CN" w:bidi="ar-SA"/>
          <w14:textFill>
            <w14:solidFill>
              <w14:schemeClr w14:val="tx1"/>
            </w14:solidFill>
          </w14:textFill>
        </w:rPr>
        <w:t>.供应商可结合本项目自身情况自行提交其它相关证明材料。</w:t>
      </w:r>
    </w:p>
    <w:p w14:paraId="1224C001">
      <w:pPr>
        <w:bidi w:val="0"/>
        <w:rPr>
          <w:rFonts w:hint="default"/>
          <w:color w:val="000000" w:themeColor="text1"/>
          <w:sz w:val="24"/>
          <w:szCs w:val="24"/>
          <w:highlight w:val="none"/>
          <w:lang w:val="en-US" w:eastAsia="zh-CN"/>
          <w14:textFill>
            <w14:solidFill>
              <w14:schemeClr w14:val="tx1"/>
            </w14:solidFill>
          </w14:textFill>
        </w:rPr>
      </w:pPr>
    </w:p>
    <w:p w14:paraId="4CDF0FBE">
      <w:pPr>
        <w:rPr>
          <w:rFonts w:hint="default"/>
          <w:color w:val="000000" w:themeColor="text1"/>
          <w:sz w:val="24"/>
          <w:szCs w:val="24"/>
          <w:highlight w:val="none"/>
          <w:lang w:val="en-US" w:eastAsia="zh-CN"/>
          <w14:textFill>
            <w14:solidFill>
              <w14:schemeClr w14:val="tx1"/>
            </w14:solidFill>
          </w14:textFill>
        </w:rPr>
      </w:pPr>
    </w:p>
    <w:p w14:paraId="0538ADF2">
      <w:pPr>
        <w:pStyle w:val="3"/>
        <w:spacing w:line="240" w:lineRule="auto"/>
        <w:jc w:val="center"/>
        <w:rPr>
          <w:rFonts w:hint="eastAsia"/>
          <w:color w:val="000000" w:themeColor="text1"/>
          <w:sz w:val="24"/>
          <w:szCs w:val="24"/>
          <w:highlight w:val="none"/>
          <w14:textFill>
            <w14:solidFill>
              <w14:schemeClr w14:val="tx1"/>
            </w14:solidFill>
          </w14:textFill>
        </w:rPr>
      </w:pPr>
      <w:bookmarkStart w:id="266" w:name="_Toc6973"/>
      <w:bookmarkStart w:id="267" w:name="_Toc22545"/>
      <w:bookmarkStart w:id="268" w:name="_Toc18780"/>
      <w:bookmarkStart w:id="269" w:name="_Toc16390"/>
      <w:bookmarkStart w:id="270" w:name="_Toc2237"/>
      <w:bookmarkStart w:id="271" w:name="_Toc12385"/>
      <w:bookmarkStart w:id="272" w:name="_Toc1637952"/>
    </w:p>
    <w:p w14:paraId="7B801095">
      <w:pPr>
        <w:pStyle w:val="3"/>
        <w:spacing w:line="240" w:lineRule="auto"/>
        <w:jc w:val="center"/>
        <w:rPr>
          <w:rFonts w:hint="eastAsia"/>
          <w:color w:val="000000" w:themeColor="text1"/>
          <w:sz w:val="24"/>
          <w:szCs w:val="24"/>
          <w:highlight w:val="none"/>
          <w14:textFill>
            <w14:solidFill>
              <w14:schemeClr w14:val="tx1"/>
            </w14:solidFill>
          </w14:textFill>
        </w:rPr>
      </w:pPr>
    </w:p>
    <w:p w14:paraId="4D04F120">
      <w:pPr>
        <w:pStyle w:val="3"/>
        <w:spacing w:line="240" w:lineRule="auto"/>
        <w:jc w:val="center"/>
        <w:rPr>
          <w:rFonts w:hint="eastAsia"/>
          <w:color w:val="000000" w:themeColor="text1"/>
          <w:sz w:val="24"/>
          <w:szCs w:val="24"/>
          <w:highlight w:val="none"/>
          <w14:textFill>
            <w14:solidFill>
              <w14:schemeClr w14:val="tx1"/>
            </w14:solidFill>
          </w14:textFill>
        </w:rPr>
      </w:pPr>
    </w:p>
    <w:p w14:paraId="1295C2D7">
      <w:pPr>
        <w:pStyle w:val="3"/>
        <w:spacing w:line="240" w:lineRule="auto"/>
        <w:jc w:val="center"/>
        <w:rPr>
          <w:rFonts w:hint="eastAsia"/>
          <w:color w:val="000000" w:themeColor="text1"/>
          <w:sz w:val="24"/>
          <w:szCs w:val="24"/>
          <w:highlight w:val="none"/>
          <w14:textFill>
            <w14:solidFill>
              <w14:schemeClr w14:val="tx1"/>
            </w14:solidFill>
          </w14:textFill>
        </w:rPr>
      </w:pPr>
    </w:p>
    <w:p w14:paraId="7D0D01B6">
      <w:pPr>
        <w:pStyle w:val="3"/>
        <w:spacing w:line="240" w:lineRule="auto"/>
        <w:jc w:val="center"/>
        <w:rPr>
          <w:rFonts w:hint="eastAsia"/>
          <w:color w:val="000000" w:themeColor="text1"/>
          <w:sz w:val="24"/>
          <w:szCs w:val="24"/>
          <w:highlight w:val="none"/>
          <w14:textFill>
            <w14:solidFill>
              <w14:schemeClr w14:val="tx1"/>
            </w14:solidFill>
          </w14:textFill>
        </w:rPr>
      </w:pPr>
    </w:p>
    <w:p w14:paraId="22D44FE0">
      <w:pPr>
        <w:rPr>
          <w:rFonts w:hint="eastAsia"/>
          <w:color w:val="000000" w:themeColor="text1"/>
          <w:sz w:val="24"/>
          <w:szCs w:val="24"/>
          <w:highlight w:val="none"/>
          <w14:textFill>
            <w14:solidFill>
              <w14:schemeClr w14:val="tx1"/>
            </w14:solidFill>
          </w14:textFill>
        </w:rPr>
      </w:pPr>
      <w:bookmarkStart w:id="273" w:name="_Toc22749"/>
      <w:r>
        <w:rPr>
          <w:rFonts w:hint="eastAsia"/>
          <w:color w:val="000000" w:themeColor="text1"/>
          <w:sz w:val="24"/>
          <w:szCs w:val="24"/>
          <w:highlight w:val="none"/>
          <w14:textFill>
            <w14:solidFill>
              <w14:schemeClr w14:val="tx1"/>
            </w14:solidFill>
          </w14:textFill>
        </w:rPr>
        <w:br w:type="page"/>
      </w:r>
    </w:p>
    <w:p w14:paraId="6C56CA36">
      <w:pPr>
        <w:pStyle w:val="3"/>
        <w:spacing w:line="240"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第七章</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图纸</w:t>
      </w:r>
      <w:bookmarkEnd w:id="266"/>
      <w:bookmarkEnd w:id="267"/>
      <w:bookmarkEnd w:id="268"/>
      <w:bookmarkEnd w:id="269"/>
      <w:bookmarkEnd w:id="270"/>
      <w:bookmarkEnd w:id="271"/>
      <w:bookmarkEnd w:id="273"/>
    </w:p>
    <w:bookmarkEnd w:id="272"/>
    <w:p w14:paraId="6483FEE6">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另附</w:t>
      </w:r>
    </w:p>
    <w:sectPr>
      <w:headerReference r:id="rId15" w:type="default"/>
      <w:footerReference r:id="rId16" w:type="default"/>
      <w:pgSz w:w="11910" w:h="16850"/>
      <w:pgMar w:top="1417" w:right="1417" w:bottom="1417" w:left="1417"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7C5ED">
    <w:pPr>
      <w:pStyle w:val="12"/>
      <w:framePr w:wrap="around" w:vAnchor="text" w:hAnchor="margin" w:xAlign="center" w:y="1"/>
      <w:rPr>
        <w:rStyle w:val="22"/>
      </w:rPr>
    </w:pPr>
    <w:r>
      <w:fldChar w:fldCharType="begin"/>
    </w:r>
    <w:r>
      <w:rPr>
        <w:rStyle w:val="22"/>
      </w:rPr>
      <w:instrText xml:space="preserve">PAGE  </w:instrText>
    </w:r>
    <w:r>
      <w:fldChar w:fldCharType="end"/>
    </w:r>
  </w:p>
  <w:p w14:paraId="5C5C189E">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D4E18">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1B477">
                          <w:pPr>
                            <w:pStyle w:val="1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5A1B477">
                    <w:pPr>
                      <w:pStyle w:val="12"/>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BA85">
    <w:pPr>
      <w:pStyle w:val="1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71151">
                          <w:pPr>
                            <w:pStyle w:val="12"/>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BC71151">
                    <w:pPr>
                      <w:pStyle w:val="12"/>
                    </w:pPr>
                    <w:r>
                      <w:fldChar w:fldCharType="begin"/>
                    </w:r>
                    <w:r>
                      <w:instrText xml:space="preserve"> PAGE  \* MERGEFORMAT </w:instrText>
                    </w:r>
                    <w:r>
                      <w:fldChar w:fldCharType="separate"/>
                    </w:r>
                    <w:r>
                      <w:t>87</w:t>
                    </w:r>
                    <w:r>
                      <w:fldChar w:fldCharType="end"/>
                    </w:r>
                  </w:p>
                </w:txbxContent>
              </v:textbox>
            </v:shape>
          </w:pict>
        </mc:Fallback>
      </mc:AlternateContent>
    </w:r>
  </w:p>
  <w:p w14:paraId="7D5C0C3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0C1BD">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B84E">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6126">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851E0">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2851E0">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9DAA3">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ED0A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6ED0AD">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AE814">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2E751">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62E751">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A3511">
    <w:pPr>
      <w:spacing w:line="18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137A2">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B4137A2">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FC9A6">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0F6FA">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5D0F6FA">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FB749">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AB0F6">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BAB0F6">
                    <w:pPr>
                      <w:pStyle w:val="1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B395C">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48110">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6065A">
    <w:pPr>
      <w:pStyle w:val="13"/>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decimal"/>
      <w:suff w:val="nothing"/>
      <w:lvlText w:val="（%1）"/>
      <w:lvlJc w:val="left"/>
    </w:lvl>
  </w:abstractNum>
  <w:abstractNum w:abstractNumId="1">
    <w:nsid w:val="00000005"/>
    <w:multiLevelType w:val="multilevel"/>
    <w:tmpl w:val="00000005"/>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00000006"/>
    <w:multiLevelType w:val="singleLevel"/>
    <w:tmpl w:val="00000006"/>
    <w:lvl w:ilvl="0" w:tentative="0">
      <w:start w:val="1"/>
      <w:numFmt w:val="chineseCounting"/>
      <w:suff w:val="nothing"/>
      <w:lvlText w:val="（%1）"/>
      <w:lvlJc w:val="left"/>
      <w:rPr>
        <w:rFonts w:hint="eastAsia"/>
      </w:rPr>
    </w:lvl>
  </w:abstractNum>
  <w:abstractNum w:abstractNumId="3">
    <w:nsid w:val="00000008"/>
    <w:multiLevelType w:val="singleLevel"/>
    <w:tmpl w:val="00000008"/>
    <w:lvl w:ilvl="0" w:tentative="0">
      <w:start w:val="26"/>
      <w:numFmt w:val="decimal"/>
      <w:suff w:val="space"/>
      <w:lvlText w:val="%1."/>
      <w:lvlJc w:val="left"/>
    </w:lvl>
  </w:abstractNum>
  <w:abstractNum w:abstractNumId="4">
    <w:nsid w:val="00000010"/>
    <w:multiLevelType w:val="singleLevel"/>
    <w:tmpl w:val="00000010"/>
    <w:lvl w:ilvl="0" w:tentative="0">
      <w:start w:val="5"/>
      <w:numFmt w:val="decimal"/>
      <w:suff w:val="space"/>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NzNjOGM3NzJmZDFkMTNlNDE0ZTJjMzZkNDRhNmQifQ=="/>
    <w:docVar w:name="KSO_WPS_MARK_KEY" w:val="a565c4c6-cdbb-421b-a993-67cfb3d4f25f"/>
  </w:docVars>
  <w:rsids>
    <w:rsidRoot w:val="5EF00040"/>
    <w:rsid w:val="000507AF"/>
    <w:rsid w:val="00866147"/>
    <w:rsid w:val="00A3018A"/>
    <w:rsid w:val="013B030B"/>
    <w:rsid w:val="014324AF"/>
    <w:rsid w:val="01A71FD9"/>
    <w:rsid w:val="01D03512"/>
    <w:rsid w:val="01D86637"/>
    <w:rsid w:val="01E574A6"/>
    <w:rsid w:val="02A9590D"/>
    <w:rsid w:val="02D54924"/>
    <w:rsid w:val="03EB630D"/>
    <w:rsid w:val="04021749"/>
    <w:rsid w:val="047C2ABE"/>
    <w:rsid w:val="04801176"/>
    <w:rsid w:val="04B51295"/>
    <w:rsid w:val="054A43E4"/>
    <w:rsid w:val="05A36F5B"/>
    <w:rsid w:val="05C30EC5"/>
    <w:rsid w:val="05DE7C4F"/>
    <w:rsid w:val="05F20D79"/>
    <w:rsid w:val="05F72E03"/>
    <w:rsid w:val="066F0F41"/>
    <w:rsid w:val="06BD404D"/>
    <w:rsid w:val="06ED3844"/>
    <w:rsid w:val="0749768F"/>
    <w:rsid w:val="07860F6D"/>
    <w:rsid w:val="07BB058C"/>
    <w:rsid w:val="080D4B60"/>
    <w:rsid w:val="08F31FA8"/>
    <w:rsid w:val="091259B7"/>
    <w:rsid w:val="09496807"/>
    <w:rsid w:val="09591B1D"/>
    <w:rsid w:val="0A3A73E9"/>
    <w:rsid w:val="0A74381B"/>
    <w:rsid w:val="0B49177F"/>
    <w:rsid w:val="0B60380B"/>
    <w:rsid w:val="0B770C6E"/>
    <w:rsid w:val="0BB774B4"/>
    <w:rsid w:val="0BCF7E8A"/>
    <w:rsid w:val="0BDC67A9"/>
    <w:rsid w:val="0C8E2713"/>
    <w:rsid w:val="0DA23A2F"/>
    <w:rsid w:val="0DE82A89"/>
    <w:rsid w:val="0E456E02"/>
    <w:rsid w:val="0E4E4F37"/>
    <w:rsid w:val="0E501A21"/>
    <w:rsid w:val="0EE16D35"/>
    <w:rsid w:val="0F36499C"/>
    <w:rsid w:val="0F427144"/>
    <w:rsid w:val="0F5020F8"/>
    <w:rsid w:val="0F5C492A"/>
    <w:rsid w:val="0F68332B"/>
    <w:rsid w:val="0FC95811"/>
    <w:rsid w:val="0FD42EAB"/>
    <w:rsid w:val="10843F90"/>
    <w:rsid w:val="109776BD"/>
    <w:rsid w:val="10BC637C"/>
    <w:rsid w:val="10D12BCF"/>
    <w:rsid w:val="10E42CCD"/>
    <w:rsid w:val="11113542"/>
    <w:rsid w:val="11C42733"/>
    <w:rsid w:val="12081E21"/>
    <w:rsid w:val="122B4561"/>
    <w:rsid w:val="1238629D"/>
    <w:rsid w:val="12647A72"/>
    <w:rsid w:val="12655CC4"/>
    <w:rsid w:val="130B54D0"/>
    <w:rsid w:val="13960100"/>
    <w:rsid w:val="139D0965"/>
    <w:rsid w:val="13AD1B9A"/>
    <w:rsid w:val="142B4CEC"/>
    <w:rsid w:val="149E2B48"/>
    <w:rsid w:val="155F2B5D"/>
    <w:rsid w:val="1565422D"/>
    <w:rsid w:val="15915022"/>
    <w:rsid w:val="15960B40"/>
    <w:rsid w:val="16747CB5"/>
    <w:rsid w:val="16A6065A"/>
    <w:rsid w:val="171C00F0"/>
    <w:rsid w:val="17285513"/>
    <w:rsid w:val="179A6980"/>
    <w:rsid w:val="17D26BDD"/>
    <w:rsid w:val="187355C6"/>
    <w:rsid w:val="187C0550"/>
    <w:rsid w:val="189362B8"/>
    <w:rsid w:val="18D94D16"/>
    <w:rsid w:val="19546C0C"/>
    <w:rsid w:val="195645B9"/>
    <w:rsid w:val="19B7492C"/>
    <w:rsid w:val="19EE7B83"/>
    <w:rsid w:val="1A2C70C8"/>
    <w:rsid w:val="1A903A63"/>
    <w:rsid w:val="1B0F0EC3"/>
    <w:rsid w:val="1B1262BE"/>
    <w:rsid w:val="1B943177"/>
    <w:rsid w:val="1BB235FD"/>
    <w:rsid w:val="1BD3623E"/>
    <w:rsid w:val="1BD417C5"/>
    <w:rsid w:val="1BD9502D"/>
    <w:rsid w:val="1C024584"/>
    <w:rsid w:val="1CD35F20"/>
    <w:rsid w:val="1D0608B0"/>
    <w:rsid w:val="1D1410B4"/>
    <w:rsid w:val="1D5F4EFF"/>
    <w:rsid w:val="1DE5415D"/>
    <w:rsid w:val="1DE63A32"/>
    <w:rsid w:val="1F7C464D"/>
    <w:rsid w:val="1F9300B0"/>
    <w:rsid w:val="1FF754EA"/>
    <w:rsid w:val="2000702C"/>
    <w:rsid w:val="20D07FE6"/>
    <w:rsid w:val="20EF1320"/>
    <w:rsid w:val="21486EDD"/>
    <w:rsid w:val="217A0AD8"/>
    <w:rsid w:val="217D240C"/>
    <w:rsid w:val="21A63C04"/>
    <w:rsid w:val="21AB205E"/>
    <w:rsid w:val="21CA5B44"/>
    <w:rsid w:val="21D841C9"/>
    <w:rsid w:val="22552E0E"/>
    <w:rsid w:val="226D1856"/>
    <w:rsid w:val="22BC5584"/>
    <w:rsid w:val="22E87592"/>
    <w:rsid w:val="23627FFE"/>
    <w:rsid w:val="23D9206E"/>
    <w:rsid w:val="2415396C"/>
    <w:rsid w:val="241E3F25"/>
    <w:rsid w:val="246A0F18"/>
    <w:rsid w:val="24AC7783"/>
    <w:rsid w:val="25532B3E"/>
    <w:rsid w:val="25556C7E"/>
    <w:rsid w:val="25620520"/>
    <w:rsid w:val="258506D6"/>
    <w:rsid w:val="25920CD2"/>
    <w:rsid w:val="2694142A"/>
    <w:rsid w:val="2694227D"/>
    <w:rsid w:val="26A6525E"/>
    <w:rsid w:val="26D4495E"/>
    <w:rsid w:val="26F23447"/>
    <w:rsid w:val="26F455FF"/>
    <w:rsid w:val="2707548E"/>
    <w:rsid w:val="274A6DDF"/>
    <w:rsid w:val="27B07790"/>
    <w:rsid w:val="27C2106B"/>
    <w:rsid w:val="27C4236E"/>
    <w:rsid w:val="28A256FD"/>
    <w:rsid w:val="290E0BBE"/>
    <w:rsid w:val="2984482A"/>
    <w:rsid w:val="29863A77"/>
    <w:rsid w:val="29891E41"/>
    <w:rsid w:val="29BA214C"/>
    <w:rsid w:val="29DF7110"/>
    <w:rsid w:val="2A0E5353"/>
    <w:rsid w:val="2A107348"/>
    <w:rsid w:val="2A224043"/>
    <w:rsid w:val="2A3873C3"/>
    <w:rsid w:val="2A4E1729"/>
    <w:rsid w:val="2A505BBC"/>
    <w:rsid w:val="2A7D39F2"/>
    <w:rsid w:val="2A8B54E6"/>
    <w:rsid w:val="2ABD7112"/>
    <w:rsid w:val="2AF27AE1"/>
    <w:rsid w:val="2B2C5617"/>
    <w:rsid w:val="2B2D0EF2"/>
    <w:rsid w:val="2B31789F"/>
    <w:rsid w:val="2B4D50F0"/>
    <w:rsid w:val="2B6D2330"/>
    <w:rsid w:val="2B8A4B60"/>
    <w:rsid w:val="2BB05DAB"/>
    <w:rsid w:val="2BE658D5"/>
    <w:rsid w:val="2BF76EE4"/>
    <w:rsid w:val="2C2426F0"/>
    <w:rsid w:val="2C312A6D"/>
    <w:rsid w:val="2CA5221B"/>
    <w:rsid w:val="2CA70830"/>
    <w:rsid w:val="2D972D0B"/>
    <w:rsid w:val="2DA86915"/>
    <w:rsid w:val="2E157848"/>
    <w:rsid w:val="2E162111"/>
    <w:rsid w:val="2E562A17"/>
    <w:rsid w:val="2E9A4AF0"/>
    <w:rsid w:val="2F307202"/>
    <w:rsid w:val="2F32242C"/>
    <w:rsid w:val="2F397EA0"/>
    <w:rsid w:val="2F462582"/>
    <w:rsid w:val="2FAD2629"/>
    <w:rsid w:val="2FBA08FB"/>
    <w:rsid w:val="300456D0"/>
    <w:rsid w:val="30882505"/>
    <w:rsid w:val="30C75DA8"/>
    <w:rsid w:val="30E57CC9"/>
    <w:rsid w:val="3102368A"/>
    <w:rsid w:val="31413001"/>
    <w:rsid w:val="32132053"/>
    <w:rsid w:val="32180206"/>
    <w:rsid w:val="3220530C"/>
    <w:rsid w:val="3239556F"/>
    <w:rsid w:val="32FA30D2"/>
    <w:rsid w:val="334157D8"/>
    <w:rsid w:val="33A92EB8"/>
    <w:rsid w:val="33F84DAC"/>
    <w:rsid w:val="33FB7DDF"/>
    <w:rsid w:val="34520411"/>
    <w:rsid w:val="34532B23"/>
    <w:rsid w:val="34815534"/>
    <w:rsid w:val="34B36291"/>
    <w:rsid w:val="34C74867"/>
    <w:rsid w:val="35156C7E"/>
    <w:rsid w:val="353510CF"/>
    <w:rsid w:val="354328A8"/>
    <w:rsid w:val="35E059DE"/>
    <w:rsid w:val="35FD06A3"/>
    <w:rsid w:val="36025624"/>
    <w:rsid w:val="36343134"/>
    <w:rsid w:val="36504619"/>
    <w:rsid w:val="371604FC"/>
    <w:rsid w:val="3732290D"/>
    <w:rsid w:val="376E6341"/>
    <w:rsid w:val="378543D1"/>
    <w:rsid w:val="37EB2F17"/>
    <w:rsid w:val="38034F2F"/>
    <w:rsid w:val="38174ABC"/>
    <w:rsid w:val="38387E65"/>
    <w:rsid w:val="38631FB3"/>
    <w:rsid w:val="3885236D"/>
    <w:rsid w:val="38D34E86"/>
    <w:rsid w:val="38F52C52"/>
    <w:rsid w:val="3929283B"/>
    <w:rsid w:val="39477622"/>
    <w:rsid w:val="39553D5C"/>
    <w:rsid w:val="39803FB1"/>
    <w:rsid w:val="39883865"/>
    <w:rsid w:val="39F35C9D"/>
    <w:rsid w:val="3A685AA2"/>
    <w:rsid w:val="3A711DFA"/>
    <w:rsid w:val="3AB531AD"/>
    <w:rsid w:val="3ADE7B13"/>
    <w:rsid w:val="3B2E4C72"/>
    <w:rsid w:val="3B5D312D"/>
    <w:rsid w:val="3BD86BE2"/>
    <w:rsid w:val="3C1F7AE4"/>
    <w:rsid w:val="3C6A5FB1"/>
    <w:rsid w:val="3C9568F7"/>
    <w:rsid w:val="3CF8720E"/>
    <w:rsid w:val="3D22462E"/>
    <w:rsid w:val="3D7F43FF"/>
    <w:rsid w:val="3E0028BE"/>
    <w:rsid w:val="3E1D2CF3"/>
    <w:rsid w:val="3E811382"/>
    <w:rsid w:val="3EE23869"/>
    <w:rsid w:val="3F052174"/>
    <w:rsid w:val="3F1C1B1A"/>
    <w:rsid w:val="3F3F6F12"/>
    <w:rsid w:val="3FB23F0B"/>
    <w:rsid w:val="3FBF6165"/>
    <w:rsid w:val="3FC01A98"/>
    <w:rsid w:val="401215CC"/>
    <w:rsid w:val="40A02991"/>
    <w:rsid w:val="412A083E"/>
    <w:rsid w:val="41393870"/>
    <w:rsid w:val="41EF14D0"/>
    <w:rsid w:val="41F04B62"/>
    <w:rsid w:val="42C674C6"/>
    <w:rsid w:val="42E87780"/>
    <w:rsid w:val="43020853"/>
    <w:rsid w:val="4341737A"/>
    <w:rsid w:val="439A7D6E"/>
    <w:rsid w:val="43E268C5"/>
    <w:rsid w:val="440A3726"/>
    <w:rsid w:val="4432135E"/>
    <w:rsid w:val="4471493B"/>
    <w:rsid w:val="447B63D2"/>
    <w:rsid w:val="448B4FEE"/>
    <w:rsid w:val="44B00772"/>
    <w:rsid w:val="44DF2E05"/>
    <w:rsid w:val="45390767"/>
    <w:rsid w:val="45592BB7"/>
    <w:rsid w:val="459B6790"/>
    <w:rsid w:val="469F45FA"/>
    <w:rsid w:val="46B06807"/>
    <w:rsid w:val="477879E4"/>
    <w:rsid w:val="47AC7348"/>
    <w:rsid w:val="47AD21BF"/>
    <w:rsid w:val="487B18D3"/>
    <w:rsid w:val="488F069E"/>
    <w:rsid w:val="489A227C"/>
    <w:rsid w:val="49B44860"/>
    <w:rsid w:val="49C56A6D"/>
    <w:rsid w:val="49DB44C1"/>
    <w:rsid w:val="4B0F0BCB"/>
    <w:rsid w:val="4B327D9A"/>
    <w:rsid w:val="4B4E65EF"/>
    <w:rsid w:val="4BA27C60"/>
    <w:rsid w:val="4CA26BF2"/>
    <w:rsid w:val="4D38222F"/>
    <w:rsid w:val="4DD31BD8"/>
    <w:rsid w:val="4FA9337C"/>
    <w:rsid w:val="4FB70C06"/>
    <w:rsid w:val="50575F45"/>
    <w:rsid w:val="50F73284"/>
    <w:rsid w:val="510F39DF"/>
    <w:rsid w:val="51330760"/>
    <w:rsid w:val="513B4196"/>
    <w:rsid w:val="51C615D4"/>
    <w:rsid w:val="52A46500"/>
    <w:rsid w:val="52F80B75"/>
    <w:rsid w:val="533D2B81"/>
    <w:rsid w:val="536C61AC"/>
    <w:rsid w:val="53BF452D"/>
    <w:rsid w:val="54B06E11"/>
    <w:rsid w:val="54D062C6"/>
    <w:rsid w:val="55266B59"/>
    <w:rsid w:val="55A75279"/>
    <w:rsid w:val="565F12D1"/>
    <w:rsid w:val="5673166F"/>
    <w:rsid w:val="567C6706"/>
    <w:rsid w:val="56B04601"/>
    <w:rsid w:val="56CB0260"/>
    <w:rsid w:val="57AF2B0B"/>
    <w:rsid w:val="57C34E44"/>
    <w:rsid w:val="57CD0385"/>
    <w:rsid w:val="57EF1047"/>
    <w:rsid w:val="586D09FC"/>
    <w:rsid w:val="58797859"/>
    <w:rsid w:val="588F30E3"/>
    <w:rsid w:val="58A44605"/>
    <w:rsid w:val="58F95DD6"/>
    <w:rsid w:val="591A2206"/>
    <w:rsid w:val="592D4D7B"/>
    <w:rsid w:val="593001D6"/>
    <w:rsid w:val="59480B21"/>
    <w:rsid w:val="598E2237"/>
    <w:rsid w:val="59A246D5"/>
    <w:rsid w:val="5A207BEF"/>
    <w:rsid w:val="5ACF2DCE"/>
    <w:rsid w:val="5AFC3496"/>
    <w:rsid w:val="5BE74621"/>
    <w:rsid w:val="5C0D1BAE"/>
    <w:rsid w:val="5C1E3DBB"/>
    <w:rsid w:val="5C215F1B"/>
    <w:rsid w:val="5C591079"/>
    <w:rsid w:val="5C60526B"/>
    <w:rsid w:val="5D184CAE"/>
    <w:rsid w:val="5D4616EB"/>
    <w:rsid w:val="5D7A6B92"/>
    <w:rsid w:val="5DD65765"/>
    <w:rsid w:val="5DDB6650"/>
    <w:rsid w:val="5E0F0A83"/>
    <w:rsid w:val="5E2E21CB"/>
    <w:rsid w:val="5EF00040"/>
    <w:rsid w:val="5FA82319"/>
    <w:rsid w:val="610D0E27"/>
    <w:rsid w:val="61422D0A"/>
    <w:rsid w:val="61646714"/>
    <w:rsid w:val="617E51CD"/>
    <w:rsid w:val="61AD1E69"/>
    <w:rsid w:val="61E4459E"/>
    <w:rsid w:val="621913BE"/>
    <w:rsid w:val="6236127F"/>
    <w:rsid w:val="62907608"/>
    <w:rsid w:val="62AB3E7A"/>
    <w:rsid w:val="637302F6"/>
    <w:rsid w:val="63B14E71"/>
    <w:rsid w:val="64485E79"/>
    <w:rsid w:val="646D768E"/>
    <w:rsid w:val="647A1DAB"/>
    <w:rsid w:val="64992502"/>
    <w:rsid w:val="64DD3D63"/>
    <w:rsid w:val="652F0123"/>
    <w:rsid w:val="6534564A"/>
    <w:rsid w:val="65BF65BC"/>
    <w:rsid w:val="6601121B"/>
    <w:rsid w:val="66613222"/>
    <w:rsid w:val="667967BE"/>
    <w:rsid w:val="66CB4B3F"/>
    <w:rsid w:val="66D765C3"/>
    <w:rsid w:val="66E4687E"/>
    <w:rsid w:val="66EF09FF"/>
    <w:rsid w:val="671B1623"/>
    <w:rsid w:val="68116E94"/>
    <w:rsid w:val="68350CAD"/>
    <w:rsid w:val="685F19E3"/>
    <w:rsid w:val="68984032"/>
    <w:rsid w:val="68EA0173"/>
    <w:rsid w:val="690507DD"/>
    <w:rsid w:val="69256789"/>
    <w:rsid w:val="69474951"/>
    <w:rsid w:val="6A106603"/>
    <w:rsid w:val="6A835E5D"/>
    <w:rsid w:val="6B3233DF"/>
    <w:rsid w:val="6B4D0219"/>
    <w:rsid w:val="6BC64891"/>
    <w:rsid w:val="6BDB5825"/>
    <w:rsid w:val="6C111246"/>
    <w:rsid w:val="6C4976D6"/>
    <w:rsid w:val="6D1F1741"/>
    <w:rsid w:val="6D206A21"/>
    <w:rsid w:val="6D667493"/>
    <w:rsid w:val="6D9263B7"/>
    <w:rsid w:val="6D9D0662"/>
    <w:rsid w:val="6DAA462E"/>
    <w:rsid w:val="6DF74E2C"/>
    <w:rsid w:val="6E3C0331"/>
    <w:rsid w:val="6EB75678"/>
    <w:rsid w:val="6EC35B23"/>
    <w:rsid w:val="6EC43FE5"/>
    <w:rsid w:val="6ED85A05"/>
    <w:rsid w:val="6F154C6B"/>
    <w:rsid w:val="6F2F0361"/>
    <w:rsid w:val="6F6D70DC"/>
    <w:rsid w:val="6FA04DBB"/>
    <w:rsid w:val="70090BB2"/>
    <w:rsid w:val="704F233D"/>
    <w:rsid w:val="706F2F57"/>
    <w:rsid w:val="7097629B"/>
    <w:rsid w:val="70F27898"/>
    <w:rsid w:val="710B2708"/>
    <w:rsid w:val="716924B1"/>
    <w:rsid w:val="71BF3A88"/>
    <w:rsid w:val="71D427BA"/>
    <w:rsid w:val="71ED0060"/>
    <w:rsid w:val="71F5795B"/>
    <w:rsid w:val="724A54B2"/>
    <w:rsid w:val="7258064C"/>
    <w:rsid w:val="72620A4E"/>
    <w:rsid w:val="72620D2E"/>
    <w:rsid w:val="72ED78F9"/>
    <w:rsid w:val="736F0495"/>
    <w:rsid w:val="740F0761"/>
    <w:rsid w:val="74137BE7"/>
    <w:rsid w:val="74EE65C9"/>
    <w:rsid w:val="756F67BD"/>
    <w:rsid w:val="75BD46DB"/>
    <w:rsid w:val="75C018B9"/>
    <w:rsid w:val="75DB4FB9"/>
    <w:rsid w:val="761D55D2"/>
    <w:rsid w:val="76436F48"/>
    <w:rsid w:val="76932CC2"/>
    <w:rsid w:val="76A4069C"/>
    <w:rsid w:val="76D67314"/>
    <w:rsid w:val="76DC7606"/>
    <w:rsid w:val="76F4770E"/>
    <w:rsid w:val="77003ECB"/>
    <w:rsid w:val="770976EA"/>
    <w:rsid w:val="770E660D"/>
    <w:rsid w:val="77A92C7B"/>
    <w:rsid w:val="77B25A30"/>
    <w:rsid w:val="78495AE4"/>
    <w:rsid w:val="78B5342E"/>
    <w:rsid w:val="78DB6E64"/>
    <w:rsid w:val="794F33AE"/>
    <w:rsid w:val="79A457A7"/>
    <w:rsid w:val="79D815F5"/>
    <w:rsid w:val="7A4642E6"/>
    <w:rsid w:val="7A5A50FB"/>
    <w:rsid w:val="7A8D393C"/>
    <w:rsid w:val="7AAF419E"/>
    <w:rsid w:val="7AB77BD9"/>
    <w:rsid w:val="7AC322A6"/>
    <w:rsid w:val="7AEE65ED"/>
    <w:rsid w:val="7B226FCC"/>
    <w:rsid w:val="7B256ABC"/>
    <w:rsid w:val="7B454A69"/>
    <w:rsid w:val="7B7B1D2B"/>
    <w:rsid w:val="7BC72719"/>
    <w:rsid w:val="7BCC7A34"/>
    <w:rsid w:val="7BCE0F02"/>
    <w:rsid w:val="7BF5648F"/>
    <w:rsid w:val="7C44734B"/>
    <w:rsid w:val="7C484924"/>
    <w:rsid w:val="7CE64A4C"/>
    <w:rsid w:val="7CF84488"/>
    <w:rsid w:val="7D423956"/>
    <w:rsid w:val="7DAE00ED"/>
    <w:rsid w:val="7DE400C9"/>
    <w:rsid w:val="7DEE3BA9"/>
    <w:rsid w:val="7E764CEF"/>
    <w:rsid w:val="7EF401A0"/>
    <w:rsid w:val="7F3C671A"/>
    <w:rsid w:val="7F741F0B"/>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36"/>
      <w:szCs w:val="44"/>
    </w:rPr>
  </w:style>
  <w:style w:type="paragraph" w:styleId="4">
    <w:name w:val="heading 2"/>
    <w:basedOn w:val="1"/>
    <w:next w:val="1"/>
    <w:autoRedefine/>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29"/>
    <w:autoRedefine/>
    <w:qFormat/>
    <w:uiPriority w:val="0"/>
    <w:pPr>
      <w:keepNext/>
      <w:keepLines/>
      <w:widowControl/>
      <w:spacing w:before="260" w:after="260" w:line="416" w:lineRule="auto"/>
      <w:outlineLvl w:val="2"/>
    </w:pPr>
    <w:rPr>
      <w:b/>
      <w:bCs/>
      <w:sz w:val="24"/>
      <w:szCs w:val="32"/>
    </w:rPr>
  </w:style>
  <w:style w:type="paragraph" w:styleId="6">
    <w:name w:val="heading 4"/>
    <w:basedOn w:val="1"/>
    <w:next w:val="1"/>
    <w:autoRedefine/>
    <w:qFormat/>
    <w:uiPriority w:val="0"/>
    <w:pPr>
      <w:keepNext/>
      <w:keepLines/>
      <w:widowControl/>
      <w:spacing w:before="200" w:line="276" w:lineRule="auto"/>
      <w:jc w:val="left"/>
      <w:outlineLvl w:val="3"/>
    </w:pPr>
    <w:rPr>
      <w:rFonts w:ascii="Calibri Light" w:hAnsi="Calibri Light" w:cs="Times New Roman"/>
      <w:b/>
      <w:bCs/>
      <w:iCs/>
      <w:szCs w:val="2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7">
    <w:name w:val="index 8"/>
    <w:basedOn w:val="1"/>
    <w:next w:val="1"/>
    <w:autoRedefine/>
    <w:qFormat/>
    <w:uiPriority w:val="0"/>
    <w:pPr>
      <w:ind w:left="1400" w:leftChars="1400" w:firstLine="0"/>
    </w:pPr>
  </w:style>
  <w:style w:type="paragraph" w:styleId="8">
    <w:name w:val="annotation text"/>
    <w:basedOn w:val="1"/>
    <w:autoRedefine/>
    <w:qFormat/>
    <w:uiPriority w:val="0"/>
    <w:pPr>
      <w:widowControl/>
      <w:jc w:val="left"/>
    </w:pPr>
    <w:rPr>
      <w:rFonts w:ascii="Calibri" w:hAnsi="Calibri" w:eastAsia="宋体" w:cs="Times New Roman"/>
    </w:rPr>
  </w:style>
  <w:style w:type="paragraph" w:styleId="9">
    <w:name w:val="Body Text Indent"/>
    <w:basedOn w:val="1"/>
    <w:autoRedefine/>
    <w:qFormat/>
    <w:uiPriority w:val="0"/>
    <w:pPr>
      <w:spacing w:after="120" w:line="360" w:lineRule="exact"/>
      <w:ind w:left="420" w:leftChars="200" w:firstLine="200" w:firstLineChars="200"/>
    </w:pPr>
  </w:style>
  <w:style w:type="paragraph" w:styleId="10">
    <w:name w:val="Block Text"/>
    <w:basedOn w:val="1"/>
    <w:autoRedefine/>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1">
    <w:name w:val="Plain Text"/>
    <w:basedOn w:val="1"/>
    <w:next w:val="6"/>
    <w:autoRedefine/>
    <w:qFormat/>
    <w:uiPriority w:val="0"/>
    <w:rPr>
      <w:rFonts w:ascii="宋体" w:hAnsi="Courier New" w:cs="Times New Roman"/>
      <w:szCs w:val="22"/>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toc 2"/>
    <w:basedOn w:val="1"/>
    <w:next w:val="1"/>
    <w:autoRedefine/>
    <w:qFormat/>
    <w:uiPriority w:val="39"/>
    <w:pPr>
      <w:ind w:left="420" w:leftChars="200"/>
    </w:p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2"/>
    <w:autoRedefine/>
    <w:qFormat/>
    <w:uiPriority w:val="99"/>
    <w:pPr>
      <w:ind w:firstLine="420" w:firstLineChars="100"/>
    </w:pPr>
  </w:style>
  <w:style w:type="paragraph" w:styleId="18">
    <w:name w:val="Body Text First Indent 2"/>
    <w:basedOn w:val="9"/>
    <w:autoRedefine/>
    <w:qFormat/>
    <w:uiPriority w:val="99"/>
    <w:pPr>
      <w:ind w:firstLine="420" w:firstLineChars="200"/>
    </w:p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99"/>
  </w:style>
  <w:style w:type="character" w:styleId="23">
    <w:name w:val="Hyperlink"/>
    <w:basedOn w:val="21"/>
    <w:autoRedefine/>
    <w:qFormat/>
    <w:uiPriority w:val="0"/>
    <w:rPr>
      <w:color w:val="333333"/>
      <w:u w:val="none"/>
    </w:rPr>
  </w:style>
  <w:style w:type="paragraph" w:customStyle="1" w:styleId="24">
    <w:name w:val="BodyText"/>
    <w:basedOn w:val="1"/>
    <w:next w:val="25"/>
    <w:autoRedefine/>
    <w:qFormat/>
    <w:uiPriority w:val="0"/>
    <w:pPr>
      <w:spacing w:after="60" w:line="360" w:lineRule="atLeast"/>
      <w:ind w:left="72" w:leftChars="30" w:right="30" w:rightChars="30"/>
      <w:jc w:val="center"/>
    </w:pPr>
    <w:rPr>
      <w:kern w:val="0"/>
      <w:sz w:val="20"/>
      <w:szCs w:val="20"/>
    </w:rPr>
  </w:style>
  <w:style w:type="paragraph" w:customStyle="1" w:styleId="25">
    <w:name w:val="181"/>
    <w:next w:val="1"/>
    <w:autoRedefine/>
    <w:qFormat/>
    <w:uiPriority w:val="99"/>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paragraph" w:customStyle="1" w:styleId="26">
    <w:name w:val="表格文字"/>
    <w:basedOn w:val="1"/>
    <w:autoRedefine/>
    <w:qFormat/>
    <w:uiPriority w:val="0"/>
    <w:pPr>
      <w:spacing w:before="25" w:after="25" w:line="240" w:lineRule="auto"/>
      <w:ind w:firstLine="0"/>
      <w:jc w:val="left"/>
    </w:pPr>
    <w:rPr>
      <w:bCs/>
      <w:spacing w:val="10"/>
      <w:kern w:val="0"/>
      <w:sz w:val="24"/>
    </w:rPr>
  </w:style>
  <w:style w:type="paragraph" w:customStyle="1" w:styleId="27">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28">
    <w:name w:val="List Paragraph"/>
    <w:basedOn w:val="1"/>
    <w:autoRedefine/>
    <w:qFormat/>
    <w:uiPriority w:val="0"/>
    <w:pPr>
      <w:ind w:firstLine="420" w:firstLineChars="200"/>
    </w:pPr>
  </w:style>
  <w:style w:type="character" w:customStyle="1" w:styleId="29">
    <w:name w:val="标题 3 字符"/>
    <w:link w:val="5"/>
    <w:autoRedefine/>
    <w:qFormat/>
    <w:uiPriority w:val="0"/>
    <w:rPr>
      <w:b/>
      <w:bCs/>
      <w:sz w:val="24"/>
      <w:szCs w:val="32"/>
    </w:rPr>
  </w:style>
  <w:style w:type="paragraph" w:customStyle="1" w:styleId="30">
    <w:name w:val="p0"/>
    <w:basedOn w:val="1"/>
    <w:autoRedefine/>
    <w:qFormat/>
    <w:uiPriority w:val="0"/>
    <w:pPr>
      <w:widowControl/>
    </w:pPr>
    <w:rPr>
      <w:rFonts w:ascii="Calibri" w:hAnsi="Calibri" w:cs="宋体"/>
      <w:kern w:val="0"/>
      <w:szCs w:val="21"/>
    </w:rPr>
  </w:style>
  <w:style w:type="paragraph" w:customStyle="1" w:styleId="31">
    <w:name w:val="首行缩进"/>
    <w:basedOn w:val="1"/>
    <w:autoRedefine/>
    <w:qFormat/>
    <w:uiPriority w:val="0"/>
    <w:pPr>
      <w:spacing w:line="360" w:lineRule="auto"/>
      <w:ind w:firstLine="480" w:firstLineChars="200"/>
    </w:pPr>
    <w:rPr>
      <w:rFonts w:ascii="宋体" w:hAnsi="宋体"/>
      <w:kern w:val="0"/>
      <w:sz w:val="24"/>
    </w:rPr>
  </w:style>
  <w:style w:type="paragraph" w:customStyle="1" w:styleId="32">
    <w:name w:val="正文小标题_0"/>
    <w:basedOn w:val="33"/>
    <w:autoRedefine/>
    <w:qFormat/>
    <w:uiPriority w:val="0"/>
    <w:pPr>
      <w:spacing w:line="420" w:lineRule="exact"/>
    </w:pPr>
    <w:rPr>
      <w:rFonts w:hAnsi="宋体" w:eastAsia="宋体"/>
      <w:sz w:val="21"/>
      <w:szCs w:val="21"/>
    </w:rPr>
  </w:style>
  <w:style w:type="paragraph" w:customStyle="1" w:styleId="33">
    <w:name w:val="标题 1_0"/>
    <w:basedOn w:val="34"/>
    <w:next w:val="34"/>
    <w:autoRedefine/>
    <w:qFormat/>
    <w:uiPriority w:val="99"/>
    <w:pPr>
      <w:keepNext/>
      <w:keepLines/>
      <w:spacing w:line="360" w:lineRule="auto"/>
      <w:outlineLvl w:val="0"/>
    </w:pPr>
    <w:rPr>
      <w:rFonts w:eastAsia="黑体"/>
      <w:b/>
      <w:bCs/>
      <w:kern w:val="44"/>
      <w:sz w:val="32"/>
      <w:szCs w:val="44"/>
    </w:rPr>
  </w:style>
  <w:style w:type="paragraph" w:customStyle="1" w:styleId="34">
    <w:name w:val="正文_0"/>
    <w:next w:val="3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文本_0"/>
    <w:basedOn w:val="34"/>
    <w:autoRedefine/>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36">
    <w:name w:val="正文_1_0"/>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7">
    <w:name w:val="正文呀2_0"/>
    <w:basedOn w:val="38"/>
    <w:autoRedefine/>
    <w:qFormat/>
    <w:uiPriority w:val="0"/>
    <w:rPr>
      <w:rFonts w:ascii="Times New Roman" w:hAnsi="Times New Roman"/>
    </w:rPr>
  </w:style>
  <w:style w:type="paragraph" w:customStyle="1" w:styleId="38">
    <w:name w:val="正文呀_0"/>
    <w:basedOn w:val="36"/>
    <w:autoRedefine/>
    <w:qFormat/>
    <w:uiPriority w:val="0"/>
    <w:pPr>
      <w:spacing w:line="420" w:lineRule="exact"/>
      <w:ind w:firstLine="420" w:firstLineChars="200"/>
    </w:pPr>
    <w:rPr>
      <w:rFonts w:ascii="宋体" w:hAnsi="宋体"/>
      <w:szCs w:val="21"/>
    </w:rPr>
  </w:style>
  <w:style w:type="paragraph" w:customStyle="1" w:styleId="39">
    <w:name w:val="正文呀2_1"/>
    <w:basedOn w:val="40"/>
    <w:autoRedefine/>
    <w:qFormat/>
    <w:uiPriority w:val="0"/>
    <w:rPr>
      <w:rFonts w:ascii="Times New Roman" w:hAnsi="Times New Roman" w:eastAsia="宋体" w:cs="Times New Roman"/>
      <w:kern w:val="2"/>
      <w:sz w:val="21"/>
      <w:lang w:val="en-US" w:eastAsia="zh-CN"/>
    </w:rPr>
  </w:style>
  <w:style w:type="paragraph" w:customStyle="1" w:styleId="40">
    <w:name w:val="正文呀_1"/>
    <w:basedOn w:val="34"/>
    <w:autoRedefine/>
    <w:qFormat/>
    <w:uiPriority w:val="0"/>
    <w:pPr>
      <w:spacing w:line="420" w:lineRule="exact"/>
      <w:ind w:firstLine="420" w:firstLineChars="200"/>
    </w:pPr>
    <w:rPr>
      <w:rFonts w:ascii="宋体" w:hAnsi="宋体"/>
      <w:kern w:val="0"/>
      <w:sz w:val="20"/>
      <w:szCs w:val="21"/>
      <w:lang w:val="zh-CN" w:eastAsia="zh-CN"/>
    </w:rPr>
  </w:style>
  <w:style w:type="paragraph" w:customStyle="1" w:styleId="41">
    <w:name w:val="纯文本_0"/>
    <w:basedOn w:val="34"/>
    <w:autoRedefine/>
    <w:qFormat/>
    <w:uiPriority w:val="0"/>
    <w:rPr>
      <w:rFonts w:ascii="宋体" w:hAnsi="Courier New"/>
      <w:szCs w:val="24"/>
    </w:rPr>
  </w:style>
  <w:style w:type="paragraph" w:customStyle="1" w:styleId="42">
    <w:name w:val="无间隔_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NormalCharacter"/>
    <w:autoRedefine/>
    <w:qFormat/>
    <w:uiPriority w:val="0"/>
  </w:style>
  <w:style w:type="paragraph" w:customStyle="1" w:styleId="45">
    <w:name w:val="PlainText"/>
    <w:basedOn w:val="1"/>
    <w:next w:val="46"/>
    <w:autoRedefine/>
    <w:qFormat/>
    <w:uiPriority w:val="0"/>
    <w:rPr>
      <w:rFonts w:ascii="宋体" w:hAnsi="Courier New"/>
      <w:szCs w:val="20"/>
    </w:rPr>
  </w:style>
  <w:style w:type="paragraph" w:customStyle="1" w:styleId="46">
    <w:name w:val="Index8"/>
    <w:basedOn w:val="1"/>
    <w:next w:val="1"/>
    <w:autoRedefine/>
    <w:qFormat/>
    <w:uiPriority w:val="0"/>
    <w:pPr>
      <w:ind w:left="2940"/>
    </w:pPr>
  </w:style>
  <w:style w:type="paragraph" w:customStyle="1" w:styleId="47">
    <w:name w:val="style4"/>
    <w:basedOn w:val="1"/>
    <w:next w:val="48"/>
    <w:autoRedefine/>
    <w:qFormat/>
    <w:uiPriority w:val="0"/>
    <w:pPr>
      <w:widowControl/>
      <w:spacing w:before="280" w:after="280"/>
    </w:pPr>
    <w:rPr>
      <w:rFonts w:ascii="宋体"/>
      <w:sz w:val="18"/>
    </w:rPr>
  </w:style>
  <w:style w:type="paragraph" w:customStyle="1" w:styleId="48">
    <w:name w:val="2"/>
    <w:basedOn w:val="5"/>
    <w:next w:val="1"/>
    <w:autoRedefine/>
    <w:qFormat/>
    <w:uiPriority w:val="0"/>
    <w:pPr>
      <w:widowControl w:val="0"/>
      <w:spacing w:before="120" w:beforeLines="50" w:after="120" w:afterLines="50" w:line="240" w:lineRule="auto"/>
      <w:jc w:val="center"/>
    </w:pPr>
    <w:rPr>
      <w:rFonts w:ascii="黑体" w:eastAsia="黑体"/>
      <w:sz w:val="44"/>
      <w:szCs w:val="28"/>
    </w:rPr>
  </w:style>
  <w:style w:type="paragraph" w:customStyle="1" w:styleId="49">
    <w:name w:val="Table Text"/>
    <w:basedOn w:val="1"/>
    <w:autoRedefine/>
    <w:semiHidden/>
    <w:qFormat/>
    <w:uiPriority w:val="0"/>
    <w:rPr>
      <w:rFonts w:ascii="宋体" w:hAnsi="宋体" w:eastAsia="宋体" w:cs="宋体"/>
      <w:sz w:val="20"/>
      <w:szCs w:val="20"/>
      <w:lang w:val="en-US" w:eastAsia="en-US" w:bidi="ar-SA"/>
    </w:rPr>
  </w:style>
  <w:style w:type="table" w:customStyle="1" w:styleId="50">
    <w:name w:val="Table Normal"/>
    <w:autoRedefine/>
    <w:semiHidden/>
    <w:unhideWhenUsed/>
    <w:qFormat/>
    <w:uiPriority w:val="0"/>
    <w:tblPr>
      <w:tblCellMar>
        <w:top w:w="0" w:type="dxa"/>
        <w:left w:w="0" w:type="dxa"/>
        <w:bottom w:w="0" w:type="dxa"/>
        <w:right w:w="0" w:type="dxa"/>
      </w:tblCellMar>
    </w:tblPr>
  </w:style>
  <w:style w:type="paragraph" w:customStyle="1" w:styleId="51">
    <w:name w:val="正文呀2"/>
    <w:basedOn w:val="52"/>
    <w:autoRedefine/>
    <w:qFormat/>
    <w:uiPriority w:val="0"/>
    <w:rPr>
      <w:rFonts w:ascii="Times New Roman" w:hAnsi="Times New Roman"/>
    </w:rPr>
  </w:style>
  <w:style w:type="paragraph" w:customStyle="1" w:styleId="52">
    <w:name w:val="正文呀"/>
    <w:basedOn w:val="53"/>
    <w:autoRedefine/>
    <w:qFormat/>
    <w:uiPriority w:val="0"/>
    <w:pPr>
      <w:spacing w:line="420" w:lineRule="exact"/>
      <w:ind w:firstLine="420" w:firstLineChars="200"/>
    </w:pPr>
    <w:rPr>
      <w:rFonts w:ascii="宋体" w:hAnsi="宋体"/>
      <w:szCs w:val="21"/>
    </w:rPr>
  </w:style>
  <w:style w:type="paragraph" w:customStyle="1" w:styleId="53">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03正文"/>
    <w:basedOn w:val="1"/>
    <w:autoRedefine/>
    <w:qFormat/>
    <w:uiPriority w:val="0"/>
    <w:pPr>
      <w:overflowPunct w:val="0"/>
      <w:spacing w:line="360" w:lineRule="auto"/>
      <w:ind w:firstLine="200" w:firstLineChars="200"/>
    </w:pPr>
    <w:rPr>
      <w:rFonts w:ascii="Times New Roman" w:hAnsi="Times New Roman" w:eastAsia="仿宋_GB2312"/>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63315</Words>
  <Characters>66849</Characters>
  <Lines>0</Lines>
  <Paragraphs>0</Paragraphs>
  <TotalTime>11</TotalTime>
  <ScaleCrop>false</ScaleCrop>
  <LinksUpToDate>false</LinksUpToDate>
  <CharactersWithSpaces>70427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2023-10-09T06:18:00Z</dcterms:created>
  <dc:creator>歪歪</dc:creator>
  <cp:lastModifiedBy>蓝天白云</cp:lastModifiedBy>
  <cp:lastPrinted>2025-04-09T09:46:00Z</cp:lastPrinted>
  <dcterms:modified xsi:type="dcterms:W3CDTF">2025-04-10T02:29:54Z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CD935AAF673F4B5DA10D4BE381069637_13</vt:lpwstr>
  </property>
  <property fmtid="{D5CDD505-2E9C-101B-9397-08002B2CF9AE}" pid="4" name="KSOTemplateDocerSaveRecord">
    <vt:lpwstr>eyJoZGlkIjoiYzBlNjQ1OWJmZjhkZDAyOGFiYTQzYjkzZGIzYjZlN2UiLCJ1c2VySWQiOiIzODY3MDMxMDUifQ==</vt:lpwstr>
  </property>
</Properties>
</file>