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9691B">
      <w:pPr>
        <w:pStyle w:val="17"/>
        <w:rPr>
          <w:rFonts w:hAnsi="宋体" w:cs="宋体"/>
          <w:b/>
          <w:bCs/>
          <w:color w:val="auto"/>
          <w:spacing w:val="80"/>
          <w:sz w:val="64"/>
          <w:highlight w:val="none"/>
        </w:rPr>
      </w:pPr>
    </w:p>
    <w:p w14:paraId="52A5C8FA">
      <w:pPr>
        <w:pStyle w:val="17"/>
        <w:jc w:val="center"/>
        <w:rPr>
          <w:rFonts w:hAnsi="宋体" w:cs="宋体"/>
          <w:b/>
          <w:bCs/>
          <w:color w:val="auto"/>
          <w:spacing w:val="80"/>
          <w:sz w:val="72"/>
          <w:highlight w:val="none"/>
        </w:rPr>
      </w:pPr>
      <w:r>
        <w:rPr>
          <w:rFonts w:hint="eastAsia" w:ascii="黑体" w:hAnsi="黑体" w:eastAsia="黑体" w:cs="宋体"/>
          <w:b/>
          <w:bCs/>
          <w:color w:val="auto"/>
          <w:spacing w:val="80"/>
          <w:sz w:val="52"/>
          <w:szCs w:val="52"/>
          <w:highlight w:val="none"/>
        </w:rPr>
        <w:t>广西嘉弘项目管理有限公司</w:t>
      </w:r>
    </w:p>
    <w:p w14:paraId="7A0E7DF6">
      <w:pPr>
        <w:pStyle w:val="17"/>
        <w:jc w:val="center"/>
        <w:rPr>
          <w:rFonts w:hAnsi="宋体" w:cs="宋体"/>
          <w:b/>
          <w:bCs/>
          <w:color w:val="auto"/>
          <w:sz w:val="72"/>
          <w:highlight w:val="none"/>
        </w:rPr>
      </w:pPr>
    </w:p>
    <w:p w14:paraId="4BA96133">
      <w:pPr>
        <w:pStyle w:val="17"/>
        <w:jc w:val="center"/>
        <w:rPr>
          <w:rFonts w:hAnsi="宋体" w:cs="宋体"/>
          <w:color w:val="auto"/>
          <w:highlight w:val="none"/>
        </w:rPr>
      </w:pPr>
    </w:p>
    <w:p w14:paraId="49CB08C0">
      <w:pPr>
        <w:spacing w:line="1400" w:lineRule="exact"/>
        <w:jc w:val="center"/>
        <w:rPr>
          <w:rFonts w:ascii="宋体" w:hAnsi="宋体" w:cs="宋体"/>
          <w:b/>
          <w:color w:val="auto"/>
          <w:spacing w:val="60"/>
          <w:sz w:val="112"/>
          <w:szCs w:val="112"/>
          <w:highlight w:val="none"/>
        </w:rPr>
      </w:pPr>
      <w:r>
        <w:rPr>
          <w:rFonts w:hint="eastAsia" w:ascii="宋体" w:hAnsi="宋体" w:cs="宋体"/>
          <w:b/>
          <w:color w:val="auto"/>
          <w:spacing w:val="60"/>
          <w:sz w:val="112"/>
          <w:szCs w:val="112"/>
          <w:highlight w:val="none"/>
        </w:rPr>
        <w:t>招标文件</w:t>
      </w:r>
    </w:p>
    <w:p w14:paraId="7F2EC027">
      <w:pPr>
        <w:pStyle w:val="17"/>
        <w:rPr>
          <w:rFonts w:hAnsi="宋体" w:cs="宋体"/>
          <w:color w:val="auto"/>
          <w:highlight w:val="none"/>
        </w:rPr>
      </w:pPr>
    </w:p>
    <w:p w14:paraId="4DFF3E02">
      <w:pPr>
        <w:pStyle w:val="17"/>
        <w:jc w:val="center"/>
        <w:rPr>
          <w:rFonts w:hAnsi="宋体" w:cs="宋体"/>
          <w:b/>
          <w:color w:val="auto"/>
          <w:sz w:val="28"/>
          <w:szCs w:val="28"/>
          <w:highlight w:val="none"/>
        </w:rPr>
      </w:pPr>
    </w:p>
    <w:p w14:paraId="4F039C29">
      <w:pPr>
        <w:pStyle w:val="17"/>
        <w:rPr>
          <w:rFonts w:hAnsi="宋体" w:cs="宋体"/>
          <w:color w:val="auto"/>
          <w:highlight w:val="none"/>
        </w:rPr>
      </w:pPr>
    </w:p>
    <w:p w14:paraId="4F54CD72">
      <w:pPr>
        <w:pStyle w:val="17"/>
        <w:rPr>
          <w:rFonts w:hAnsi="宋体" w:cs="宋体"/>
          <w:color w:val="auto"/>
          <w:highlight w:val="none"/>
        </w:rPr>
      </w:pPr>
    </w:p>
    <w:p w14:paraId="75018747">
      <w:pPr>
        <w:pStyle w:val="17"/>
        <w:rPr>
          <w:rFonts w:hAnsi="宋体" w:cs="宋体"/>
          <w:color w:val="auto"/>
          <w:highlight w:val="none"/>
        </w:rPr>
      </w:pPr>
    </w:p>
    <w:p w14:paraId="344ED5A9">
      <w:pPr>
        <w:ind w:left="3602" w:leftChars="760" w:hanging="2006" w:hangingChars="500"/>
        <w:rPr>
          <w:rFonts w:hint="eastAsia" w:ascii="宋体" w:hAnsi="宋体" w:eastAsia="宋体" w:cs="宋体"/>
          <w:b/>
          <w:bCs/>
          <w:color w:val="auto"/>
          <w:spacing w:val="-36"/>
          <w:sz w:val="32"/>
          <w:highlight w:val="none"/>
          <w:lang w:val="en-US" w:eastAsia="zh-CN"/>
        </w:rPr>
      </w:pPr>
      <w:r>
        <w:rPr>
          <w:rFonts w:hint="eastAsia" w:ascii="宋体" w:hAnsi="宋体" w:cs="宋体"/>
          <w:b/>
          <w:bCs/>
          <w:color w:val="auto"/>
          <w:spacing w:val="40"/>
          <w:sz w:val="32"/>
          <w:highlight w:val="none"/>
        </w:rPr>
        <w:t>项目名称：2025年春节拥军优属慰问活动慰问品采购</w:t>
      </w:r>
    </w:p>
    <w:p w14:paraId="2FBBE655">
      <w:pPr>
        <w:ind w:left="-2" w:leftChars="-1" w:firstLine="1605" w:firstLineChars="400"/>
        <w:rPr>
          <w:rFonts w:hint="eastAsia" w:ascii="宋体" w:hAnsi="宋体" w:eastAsia="宋体" w:cs="宋体"/>
          <w:b/>
          <w:bCs/>
          <w:color w:val="auto"/>
          <w:sz w:val="32"/>
          <w:highlight w:val="none"/>
          <w:lang w:eastAsia="zh-CN"/>
        </w:rPr>
      </w:pPr>
      <w:r>
        <w:rPr>
          <w:rFonts w:hint="eastAsia" w:ascii="宋体" w:hAnsi="宋体" w:cs="宋体"/>
          <w:b/>
          <w:bCs/>
          <w:color w:val="auto"/>
          <w:spacing w:val="40"/>
          <w:sz w:val="32"/>
          <w:highlight w:val="none"/>
        </w:rPr>
        <w:t>项目编号：GLZC2024-G1-991054-GXJH</w:t>
      </w:r>
      <w:r>
        <w:rPr>
          <w:rFonts w:hint="eastAsia" w:ascii="宋体" w:hAnsi="宋体" w:cs="宋体"/>
          <w:b/>
          <w:bCs/>
          <w:color w:val="auto"/>
          <w:spacing w:val="40"/>
          <w:sz w:val="32"/>
          <w:highlight w:val="none"/>
          <w:lang w:val="en-US" w:eastAsia="zh-CN"/>
        </w:rPr>
        <w:t xml:space="preserve"> </w:t>
      </w:r>
    </w:p>
    <w:p w14:paraId="4A5D876A">
      <w:pPr>
        <w:ind w:left="-2" w:leftChars="-1" w:firstLine="840" w:firstLineChars="400"/>
        <w:rPr>
          <w:rFonts w:ascii="宋体" w:hAnsi="宋体" w:cs="宋体"/>
          <w:color w:val="auto"/>
          <w:highlight w:val="none"/>
        </w:rPr>
      </w:pPr>
      <w:r>
        <w:rPr>
          <w:rFonts w:hint="eastAsia" w:ascii="宋体" w:hAnsi="宋体" w:cs="宋体"/>
          <w:color w:val="auto"/>
          <w:highlight w:val="none"/>
        </w:rPr>
        <w:cr/>
      </w:r>
    </w:p>
    <w:p w14:paraId="41C4EE09">
      <w:pPr>
        <w:ind w:left="-2" w:leftChars="-1" w:firstLine="630" w:firstLineChars="300"/>
        <w:rPr>
          <w:rFonts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rPr>
        <w:tab/>
      </w:r>
    </w:p>
    <w:p w14:paraId="52363EC5">
      <w:pPr>
        <w:ind w:left="103" w:leftChars="49" w:firstLine="1470" w:firstLineChars="700"/>
        <w:jc w:val="center"/>
        <w:rPr>
          <w:rFonts w:ascii="宋体" w:hAnsi="宋体" w:cs="宋体"/>
          <w:color w:val="auto"/>
          <w:highlight w:val="none"/>
        </w:rPr>
      </w:pPr>
    </w:p>
    <w:p w14:paraId="54D3CF4C">
      <w:pPr>
        <w:ind w:left="103" w:leftChars="49" w:firstLine="1470" w:firstLineChars="700"/>
        <w:jc w:val="center"/>
        <w:rPr>
          <w:rFonts w:ascii="宋体" w:hAnsi="宋体" w:cs="宋体"/>
          <w:color w:val="auto"/>
          <w:highlight w:val="none"/>
        </w:rPr>
      </w:pPr>
    </w:p>
    <w:p w14:paraId="6A45072C">
      <w:pPr>
        <w:ind w:left="103" w:leftChars="49" w:firstLine="1470" w:firstLineChars="700"/>
        <w:jc w:val="center"/>
        <w:rPr>
          <w:rFonts w:ascii="宋体" w:hAnsi="宋体" w:cs="宋体"/>
          <w:color w:val="auto"/>
          <w:highlight w:val="none"/>
        </w:rPr>
      </w:pPr>
    </w:p>
    <w:p w14:paraId="75085883">
      <w:pPr>
        <w:ind w:left="103" w:leftChars="49" w:firstLine="1470" w:firstLineChars="700"/>
        <w:jc w:val="center"/>
        <w:rPr>
          <w:rFonts w:ascii="宋体" w:hAnsi="宋体" w:cs="宋体"/>
          <w:color w:val="auto"/>
          <w:highlight w:val="none"/>
        </w:rPr>
      </w:pPr>
    </w:p>
    <w:p w14:paraId="470DEB1C">
      <w:pPr>
        <w:ind w:left="103" w:leftChars="49" w:firstLine="1470" w:firstLineChars="700"/>
        <w:jc w:val="center"/>
        <w:rPr>
          <w:rFonts w:ascii="宋体" w:hAnsi="宋体" w:cs="宋体"/>
          <w:b/>
          <w:bCs/>
          <w:color w:val="auto"/>
          <w:spacing w:val="40"/>
          <w:sz w:val="32"/>
          <w:szCs w:val="32"/>
          <w:highlight w:val="none"/>
        </w:rPr>
      </w:pPr>
      <w:r>
        <w:rPr>
          <w:rFonts w:hint="eastAsia" w:ascii="宋体" w:hAnsi="宋体" w:cs="宋体"/>
          <w:color w:val="auto"/>
          <w:highlight w:val="none"/>
        </w:rPr>
        <w:cr/>
      </w:r>
      <w:r>
        <w:rPr>
          <w:rFonts w:hint="eastAsia" w:ascii="宋体" w:hAnsi="宋体" w:cs="宋体"/>
          <w:b/>
          <w:bCs/>
          <w:color w:val="auto"/>
          <w:spacing w:val="40"/>
          <w:sz w:val="32"/>
          <w:szCs w:val="32"/>
          <w:highlight w:val="none"/>
        </w:rPr>
        <w:t>采购代理机构：广西嘉弘项目管理有限公司</w:t>
      </w:r>
    </w:p>
    <w:p w14:paraId="3AF9D609">
      <w:pPr>
        <w:jc w:val="center"/>
        <w:rPr>
          <w:rFonts w:ascii="宋体" w:hAnsi="宋体" w:cs="宋体"/>
          <w:bCs/>
          <w:color w:val="auto"/>
          <w:sz w:val="30"/>
          <w:szCs w:val="30"/>
          <w:highlight w:val="none"/>
        </w:rPr>
      </w:pPr>
      <w:r>
        <w:rPr>
          <w:rFonts w:hint="eastAsia" w:ascii="宋体" w:hAnsi="宋体" w:cs="宋体"/>
          <w:b/>
          <w:bCs/>
          <w:color w:val="auto"/>
          <w:sz w:val="32"/>
          <w:highlight w:val="none"/>
        </w:rPr>
        <w:t>202</w:t>
      </w:r>
      <w:r>
        <w:rPr>
          <w:rFonts w:hint="eastAsia" w:ascii="宋体" w:hAnsi="宋体" w:cs="宋体"/>
          <w:b/>
          <w:bCs/>
          <w:color w:val="auto"/>
          <w:sz w:val="32"/>
          <w:highlight w:val="none"/>
          <w:lang w:val="en-US" w:eastAsia="zh-CN"/>
        </w:rPr>
        <w:t>4</w:t>
      </w:r>
      <w:r>
        <w:rPr>
          <w:rFonts w:hint="eastAsia" w:ascii="宋体" w:hAnsi="宋体" w:cs="宋体"/>
          <w:b/>
          <w:bCs/>
          <w:color w:val="auto"/>
          <w:sz w:val="32"/>
          <w:highlight w:val="none"/>
        </w:rPr>
        <w:t>年</w:t>
      </w:r>
      <w:r>
        <w:rPr>
          <w:rFonts w:hint="eastAsia" w:ascii="宋体" w:hAnsi="宋体" w:cs="宋体"/>
          <w:b/>
          <w:bCs/>
          <w:color w:val="auto"/>
          <w:sz w:val="32"/>
          <w:highlight w:val="none"/>
          <w:lang w:val="en-US" w:eastAsia="zh-CN"/>
        </w:rPr>
        <w:t>12</w:t>
      </w:r>
      <w:r>
        <w:rPr>
          <w:rFonts w:hint="eastAsia" w:ascii="宋体" w:hAnsi="宋体" w:cs="宋体"/>
          <w:b/>
          <w:bCs/>
          <w:color w:val="auto"/>
          <w:sz w:val="32"/>
          <w:highlight w:val="none"/>
        </w:rPr>
        <w:t>月</w:t>
      </w:r>
    </w:p>
    <w:p w14:paraId="608A199B">
      <w:pPr>
        <w:pStyle w:val="120"/>
        <w:jc w:val="center"/>
        <w:rPr>
          <w:rFonts w:ascii="宋体" w:hAnsi="宋体" w:eastAsia="宋体" w:cs="宋体"/>
          <w:color w:val="auto"/>
          <w:highlight w:val="none"/>
          <w:lang w:val="zh-CN"/>
        </w:rPr>
        <w:sectPr>
          <w:pgSz w:w="11906" w:h="16838"/>
          <w:pgMar w:top="1440" w:right="1080" w:bottom="1440" w:left="1080" w:header="851" w:footer="992" w:gutter="0"/>
          <w:pgNumType w:fmt="numberInDash"/>
          <w:cols w:space="720" w:num="1"/>
          <w:docGrid w:type="lines" w:linePitch="312" w:charSpace="0"/>
        </w:sectPr>
      </w:pPr>
    </w:p>
    <w:p w14:paraId="200EEB4D">
      <w:pPr>
        <w:jc w:val="center"/>
        <w:rPr>
          <w:rFonts w:ascii="宋体" w:hAnsi="宋体" w:cs="宋体"/>
          <w:b/>
          <w:bCs/>
          <w:color w:val="auto"/>
          <w:sz w:val="24"/>
          <w:highlight w:val="none"/>
        </w:rPr>
      </w:pPr>
      <w:r>
        <w:rPr>
          <w:rFonts w:hint="eastAsia" w:ascii="宋体" w:hAnsi="宋体" w:cs="宋体"/>
          <w:b/>
          <w:bCs/>
          <w:color w:val="auto"/>
          <w:sz w:val="24"/>
          <w:highlight w:val="none"/>
        </w:rPr>
        <w:t>目 录</w:t>
      </w:r>
    </w:p>
    <w:p w14:paraId="09973C29">
      <w:pPr>
        <w:pStyle w:val="23"/>
        <w:tabs>
          <w:tab w:val="right" w:leader="dot" w:pos="9746"/>
        </w:tabs>
        <w:rPr>
          <w:rFonts w:ascii="宋体" w:hAnsi="宋体" w:cs="宋体"/>
          <w:color w:val="auto"/>
          <w:szCs w:val="21"/>
          <w:highlight w:val="none"/>
        </w:rPr>
      </w:pPr>
    </w:p>
    <w:p w14:paraId="53729E2A">
      <w:pPr>
        <w:pStyle w:val="23"/>
        <w:tabs>
          <w:tab w:val="right" w:leader="dot" w:pos="9746"/>
        </w:tabs>
        <w:rPr>
          <w:rFonts w:ascii="宋体" w:hAnsi="宋体" w:cs="宋体"/>
          <w:color w:val="auto"/>
          <w:szCs w:val="21"/>
          <w:highlight w:val="none"/>
        </w:rPr>
      </w:pPr>
    </w:p>
    <w:p w14:paraId="0C568A05">
      <w:pPr>
        <w:pStyle w:val="23"/>
        <w:tabs>
          <w:tab w:val="right" w:leader="dot" w:pos="9746"/>
        </w:tabs>
        <w:rPr>
          <w:rFonts w:ascii="宋体" w:hAnsi="宋体" w:cs="宋体"/>
          <w:color w:val="auto"/>
          <w:szCs w:val="21"/>
          <w:highlight w:val="none"/>
        </w:rPr>
      </w:pPr>
    </w:p>
    <w:p w14:paraId="024AE99F">
      <w:pPr>
        <w:pStyle w:val="23"/>
        <w:tabs>
          <w:tab w:val="right" w:leader="dot" w:pos="9746"/>
        </w:tabs>
        <w:rPr>
          <w:rFonts w:ascii="宋体" w:hAnsi="宋体" w:cs="宋体"/>
          <w:b/>
          <w:color w:val="auto"/>
          <w:sz w:val="24"/>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TOC \o "1-3" \h \u </w:instrText>
      </w:r>
      <w:r>
        <w:rPr>
          <w:rFonts w:hint="eastAsia" w:ascii="宋体" w:hAnsi="宋体" w:cs="宋体"/>
          <w:color w:val="auto"/>
          <w:szCs w:val="21"/>
          <w:highlight w:val="none"/>
        </w:rPr>
        <w:fldChar w:fldCharType="separate"/>
      </w:r>
      <w:r>
        <w:rPr>
          <w:color w:val="auto"/>
          <w:highlight w:val="none"/>
        </w:rPr>
        <w:fldChar w:fldCharType="begin"/>
      </w:r>
      <w:r>
        <w:rPr>
          <w:color w:val="auto"/>
          <w:highlight w:val="none"/>
        </w:rPr>
        <w:instrText xml:space="preserve"> HYPERLINK \l "_Toc461" </w:instrText>
      </w:r>
      <w:r>
        <w:rPr>
          <w:color w:val="auto"/>
          <w:highlight w:val="none"/>
        </w:rPr>
        <w:fldChar w:fldCharType="separate"/>
      </w:r>
      <w:r>
        <w:rPr>
          <w:rFonts w:hint="eastAsia" w:ascii="宋体" w:hAnsi="宋体" w:cs="宋体"/>
          <w:b/>
          <w:color w:val="auto"/>
          <w:sz w:val="24"/>
          <w:highlight w:val="none"/>
        </w:rPr>
        <w:t>第一章 公开招标公告</w:t>
      </w:r>
      <w:r>
        <w:rPr>
          <w:b/>
          <w:color w:val="auto"/>
          <w:sz w:val="24"/>
          <w:highlight w:val="none"/>
        </w:rPr>
        <w:tab/>
      </w:r>
      <w:r>
        <w:rPr>
          <w:b/>
          <w:color w:val="auto"/>
          <w:sz w:val="24"/>
          <w:highlight w:val="none"/>
        </w:rPr>
        <w:fldChar w:fldCharType="begin"/>
      </w:r>
      <w:r>
        <w:rPr>
          <w:b/>
          <w:color w:val="auto"/>
          <w:sz w:val="24"/>
          <w:highlight w:val="none"/>
        </w:rPr>
        <w:instrText xml:space="preserve"> PAGEREF _Toc461 </w:instrText>
      </w:r>
      <w:r>
        <w:rPr>
          <w:b/>
          <w:color w:val="auto"/>
          <w:sz w:val="24"/>
          <w:highlight w:val="none"/>
        </w:rPr>
        <w:fldChar w:fldCharType="separate"/>
      </w:r>
      <w:r>
        <w:rPr>
          <w:b/>
          <w:color w:val="auto"/>
          <w:sz w:val="24"/>
          <w:highlight w:val="none"/>
        </w:rPr>
        <w:t>- 1 -</w:t>
      </w:r>
      <w:r>
        <w:rPr>
          <w:b/>
          <w:color w:val="auto"/>
          <w:sz w:val="24"/>
          <w:highlight w:val="none"/>
        </w:rPr>
        <w:fldChar w:fldCharType="end"/>
      </w:r>
      <w:r>
        <w:rPr>
          <w:b/>
          <w:color w:val="auto"/>
          <w:sz w:val="24"/>
          <w:highlight w:val="none"/>
        </w:rPr>
        <w:fldChar w:fldCharType="end"/>
      </w:r>
    </w:p>
    <w:p w14:paraId="04A8E0E4">
      <w:pPr>
        <w:rPr>
          <w:b/>
          <w:color w:val="auto"/>
          <w:sz w:val="24"/>
          <w:highlight w:val="none"/>
        </w:rPr>
      </w:pPr>
    </w:p>
    <w:p w14:paraId="6FDCA261">
      <w:pPr>
        <w:pStyle w:val="23"/>
        <w:tabs>
          <w:tab w:val="right" w:leader="dot" w:pos="9746"/>
        </w:tabs>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"_Toc8888" </w:instrText>
      </w:r>
      <w:r>
        <w:rPr>
          <w:color w:val="auto"/>
          <w:highlight w:val="none"/>
        </w:rPr>
        <w:fldChar w:fldCharType="separate"/>
      </w:r>
      <w:r>
        <w:rPr>
          <w:rFonts w:hint="eastAsia" w:ascii="宋体" w:hAnsi="宋体" w:cs="宋体"/>
          <w:b/>
          <w:bCs/>
          <w:color w:val="auto"/>
          <w:kern w:val="44"/>
          <w:sz w:val="24"/>
          <w:highlight w:val="none"/>
        </w:rPr>
        <w:t>第二章 投标人须知</w:t>
      </w:r>
      <w:r>
        <w:rPr>
          <w:b/>
          <w:color w:val="auto"/>
          <w:sz w:val="24"/>
          <w:highlight w:val="none"/>
        </w:rPr>
        <w:tab/>
      </w:r>
      <w:r>
        <w:rPr>
          <w:b/>
          <w:color w:val="auto"/>
          <w:sz w:val="24"/>
          <w:highlight w:val="none"/>
        </w:rPr>
        <w:fldChar w:fldCharType="begin"/>
      </w:r>
      <w:r>
        <w:rPr>
          <w:b/>
          <w:color w:val="auto"/>
          <w:sz w:val="24"/>
          <w:highlight w:val="none"/>
        </w:rPr>
        <w:instrText xml:space="preserve"> PAGEREF _Toc8888 </w:instrText>
      </w:r>
      <w:r>
        <w:rPr>
          <w:b/>
          <w:color w:val="auto"/>
          <w:sz w:val="24"/>
          <w:highlight w:val="none"/>
        </w:rPr>
        <w:fldChar w:fldCharType="separate"/>
      </w:r>
      <w:r>
        <w:rPr>
          <w:b/>
          <w:color w:val="auto"/>
          <w:sz w:val="24"/>
          <w:highlight w:val="none"/>
        </w:rPr>
        <w:t>- 4 -</w:t>
      </w:r>
      <w:r>
        <w:rPr>
          <w:b/>
          <w:color w:val="auto"/>
          <w:sz w:val="24"/>
          <w:highlight w:val="none"/>
        </w:rPr>
        <w:fldChar w:fldCharType="end"/>
      </w:r>
      <w:r>
        <w:rPr>
          <w:b/>
          <w:color w:val="auto"/>
          <w:sz w:val="24"/>
          <w:highlight w:val="none"/>
        </w:rPr>
        <w:fldChar w:fldCharType="end"/>
      </w:r>
    </w:p>
    <w:p w14:paraId="7424C85B">
      <w:pPr>
        <w:rPr>
          <w:b/>
          <w:color w:val="auto"/>
          <w:sz w:val="24"/>
          <w:highlight w:val="none"/>
        </w:rPr>
      </w:pPr>
    </w:p>
    <w:p w14:paraId="3A36E2DF">
      <w:pPr>
        <w:pStyle w:val="23"/>
        <w:tabs>
          <w:tab w:val="right" w:leader="dot" w:pos="9746"/>
        </w:tabs>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"_Toc12794" </w:instrText>
      </w:r>
      <w:r>
        <w:rPr>
          <w:color w:val="auto"/>
          <w:highlight w:val="none"/>
        </w:rPr>
        <w:fldChar w:fldCharType="separate"/>
      </w:r>
      <w:r>
        <w:rPr>
          <w:rFonts w:hint="eastAsia"/>
          <w:b/>
          <w:color w:val="auto"/>
          <w:sz w:val="24"/>
          <w:highlight w:val="none"/>
        </w:rPr>
        <w:t>第三章 货物采购需求</w:t>
      </w:r>
      <w:r>
        <w:rPr>
          <w:b/>
          <w:color w:val="auto"/>
          <w:sz w:val="24"/>
          <w:highlight w:val="none"/>
        </w:rPr>
        <w:tab/>
      </w:r>
      <w:r>
        <w:rPr>
          <w:b/>
          <w:color w:val="auto"/>
          <w:sz w:val="24"/>
          <w:highlight w:val="none"/>
        </w:rPr>
        <w:fldChar w:fldCharType="begin"/>
      </w:r>
      <w:r>
        <w:rPr>
          <w:b/>
          <w:color w:val="auto"/>
          <w:sz w:val="24"/>
          <w:highlight w:val="none"/>
        </w:rPr>
        <w:instrText xml:space="preserve"> PAGEREF _Toc12794 </w:instrText>
      </w:r>
      <w:r>
        <w:rPr>
          <w:b/>
          <w:color w:val="auto"/>
          <w:sz w:val="24"/>
          <w:highlight w:val="none"/>
        </w:rPr>
        <w:fldChar w:fldCharType="separate"/>
      </w:r>
      <w:r>
        <w:rPr>
          <w:b/>
          <w:color w:val="auto"/>
          <w:sz w:val="24"/>
          <w:highlight w:val="none"/>
        </w:rPr>
        <w:t>- 19 -</w:t>
      </w:r>
      <w:r>
        <w:rPr>
          <w:b/>
          <w:color w:val="auto"/>
          <w:sz w:val="24"/>
          <w:highlight w:val="none"/>
        </w:rPr>
        <w:fldChar w:fldCharType="end"/>
      </w:r>
      <w:r>
        <w:rPr>
          <w:b/>
          <w:color w:val="auto"/>
          <w:sz w:val="24"/>
          <w:highlight w:val="none"/>
        </w:rPr>
        <w:fldChar w:fldCharType="end"/>
      </w:r>
    </w:p>
    <w:p w14:paraId="6719B487">
      <w:pPr>
        <w:rPr>
          <w:b/>
          <w:color w:val="auto"/>
          <w:sz w:val="24"/>
          <w:highlight w:val="none"/>
        </w:rPr>
      </w:pPr>
    </w:p>
    <w:p w14:paraId="28EA3BFB">
      <w:pPr>
        <w:pStyle w:val="23"/>
        <w:tabs>
          <w:tab w:val="right" w:leader="dot" w:pos="9746"/>
        </w:tabs>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"_Toc22812" </w:instrText>
      </w:r>
      <w:r>
        <w:rPr>
          <w:color w:val="auto"/>
          <w:highlight w:val="none"/>
        </w:rPr>
        <w:fldChar w:fldCharType="separate"/>
      </w:r>
      <w:r>
        <w:rPr>
          <w:rFonts w:hint="eastAsia" w:ascii="宋体" w:hAnsi="宋体" w:cs="宋体"/>
          <w:b/>
          <w:color w:val="auto"/>
          <w:sz w:val="24"/>
          <w:highlight w:val="none"/>
        </w:rPr>
        <w:t>第四章 评标办法</w:t>
      </w:r>
      <w:r>
        <w:rPr>
          <w:b/>
          <w:color w:val="auto"/>
          <w:sz w:val="24"/>
          <w:highlight w:val="none"/>
        </w:rPr>
        <w:tab/>
      </w:r>
      <w:r>
        <w:rPr>
          <w:b/>
          <w:color w:val="auto"/>
          <w:sz w:val="24"/>
          <w:highlight w:val="none"/>
        </w:rPr>
        <w:fldChar w:fldCharType="begin"/>
      </w:r>
      <w:r>
        <w:rPr>
          <w:b/>
          <w:color w:val="auto"/>
          <w:sz w:val="24"/>
          <w:highlight w:val="none"/>
        </w:rPr>
        <w:instrText xml:space="preserve"> PAGEREF _Toc22812 </w:instrText>
      </w:r>
      <w:r>
        <w:rPr>
          <w:b/>
          <w:color w:val="auto"/>
          <w:sz w:val="24"/>
          <w:highlight w:val="none"/>
        </w:rPr>
        <w:fldChar w:fldCharType="separate"/>
      </w:r>
      <w:r>
        <w:rPr>
          <w:b/>
          <w:color w:val="auto"/>
          <w:sz w:val="24"/>
          <w:highlight w:val="none"/>
        </w:rPr>
        <w:t>- 21 -</w:t>
      </w:r>
      <w:r>
        <w:rPr>
          <w:b/>
          <w:color w:val="auto"/>
          <w:sz w:val="24"/>
          <w:highlight w:val="none"/>
        </w:rPr>
        <w:fldChar w:fldCharType="end"/>
      </w:r>
      <w:r>
        <w:rPr>
          <w:b/>
          <w:color w:val="auto"/>
          <w:sz w:val="24"/>
          <w:highlight w:val="none"/>
        </w:rPr>
        <w:fldChar w:fldCharType="end"/>
      </w:r>
    </w:p>
    <w:p w14:paraId="2C4C0F31">
      <w:pPr>
        <w:rPr>
          <w:b/>
          <w:color w:val="auto"/>
          <w:sz w:val="24"/>
          <w:highlight w:val="none"/>
        </w:rPr>
      </w:pPr>
    </w:p>
    <w:p w14:paraId="64905B70">
      <w:pPr>
        <w:pStyle w:val="23"/>
        <w:tabs>
          <w:tab w:val="right" w:leader="dot" w:pos="9746"/>
        </w:tabs>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"_Toc30884" </w:instrText>
      </w:r>
      <w:r>
        <w:rPr>
          <w:color w:val="auto"/>
          <w:highlight w:val="none"/>
        </w:rPr>
        <w:fldChar w:fldCharType="separate"/>
      </w:r>
      <w:r>
        <w:rPr>
          <w:rFonts w:hint="eastAsia" w:ascii="宋体" w:hAnsi="宋体" w:cs="宋体"/>
          <w:b/>
          <w:bCs/>
          <w:color w:val="auto"/>
          <w:kern w:val="44"/>
          <w:sz w:val="24"/>
          <w:highlight w:val="none"/>
        </w:rPr>
        <w:t>第五章 采购合同（合同主要条款及格式）</w:t>
      </w:r>
      <w:r>
        <w:rPr>
          <w:b/>
          <w:color w:val="auto"/>
          <w:sz w:val="24"/>
          <w:highlight w:val="none"/>
        </w:rPr>
        <w:tab/>
      </w:r>
      <w:r>
        <w:rPr>
          <w:b/>
          <w:color w:val="auto"/>
          <w:sz w:val="24"/>
          <w:highlight w:val="none"/>
        </w:rPr>
        <w:fldChar w:fldCharType="begin"/>
      </w:r>
      <w:r>
        <w:rPr>
          <w:b/>
          <w:color w:val="auto"/>
          <w:sz w:val="24"/>
          <w:highlight w:val="none"/>
        </w:rPr>
        <w:instrText xml:space="preserve"> PAGEREF _Toc30884 </w:instrText>
      </w:r>
      <w:r>
        <w:rPr>
          <w:b/>
          <w:color w:val="auto"/>
          <w:sz w:val="24"/>
          <w:highlight w:val="none"/>
        </w:rPr>
        <w:fldChar w:fldCharType="separate"/>
      </w:r>
      <w:r>
        <w:rPr>
          <w:b/>
          <w:color w:val="auto"/>
          <w:sz w:val="24"/>
          <w:highlight w:val="none"/>
        </w:rPr>
        <w:t>- 48 -</w:t>
      </w:r>
      <w:r>
        <w:rPr>
          <w:b/>
          <w:color w:val="auto"/>
          <w:sz w:val="24"/>
          <w:highlight w:val="none"/>
        </w:rPr>
        <w:fldChar w:fldCharType="end"/>
      </w:r>
      <w:r>
        <w:rPr>
          <w:b/>
          <w:color w:val="auto"/>
          <w:sz w:val="24"/>
          <w:highlight w:val="none"/>
        </w:rPr>
        <w:fldChar w:fldCharType="end"/>
      </w:r>
    </w:p>
    <w:p w14:paraId="0EE64A1D">
      <w:pPr>
        <w:rPr>
          <w:b/>
          <w:color w:val="auto"/>
          <w:sz w:val="24"/>
          <w:highlight w:val="none"/>
        </w:rPr>
      </w:pPr>
    </w:p>
    <w:p w14:paraId="1BF1936E">
      <w:pPr>
        <w:pStyle w:val="23"/>
        <w:tabs>
          <w:tab w:val="right" w:leader="dot" w:pos="9746"/>
        </w:tabs>
        <w:rPr>
          <w:b/>
          <w:color w:val="auto"/>
          <w:sz w:val="24"/>
          <w:highlight w:val="none"/>
        </w:rPr>
      </w:pPr>
      <w:r>
        <w:rPr>
          <w:color w:val="auto"/>
          <w:highlight w:val="none"/>
        </w:rPr>
        <w:fldChar w:fldCharType="begin"/>
      </w:r>
      <w:r>
        <w:rPr>
          <w:color w:val="auto"/>
          <w:highlight w:val="none"/>
        </w:rPr>
        <w:instrText xml:space="preserve"> HYPERLINK \l "_Toc18889" </w:instrText>
      </w:r>
      <w:r>
        <w:rPr>
          <w:color w:val="auto"/>
          <w:highlight w:val="none"/>
        </w:rPr>
        <w:fldChar w:fldCharType="separate"/>
      </w:r>
      <w:r>
        <w:rPr>
          <w:rFonts w:hint="eastAsia" w:ascii="宋体" w:hAnsi="宋体" w:cs="宋体"/>
          <w:b/>
          <w:bCs/>
          <w:color w:val="auto"/>
          <w:kern w:val="44"/>
          <w:sz w:val="24"/>
          <w:highlight w:val="none"/>
        </w:rPr>
        <w:t>第六章 投标文件（格式）</w:t>
      </w:r>
      <w:r>
        <w:rPr>
          <w:b/>
          <w:color w:val="auto"/>
          <w:sz w:val="24"/>
          <w:highlight w:val="none"/>
        </w:rPr>
        <w:tab/>
      </w:r>
      <w:r>
        <w:rPr>
          <w:b/>
          <w:color w:val="auto"/>
          <w:sz w:val="24"/>
          <w:highlight w:val="none"/>
        </w:rPr>
        <w:fldChar w:fldCharType="begin"/>
      </w:r>
      <w:r>
        <w:rPr>
          <w:b/>
          <w:color w:val="auto"/>
          <w:sz w:val="24"/>
          <w:highlight w:val="none"/>
        </w:rPr>
        <w:instrText xml:space="preserve"> PAGEREF _Toc18889 </w:instrText>
      </w:r>
      <w:r>
        <w:rPr>
          <w:b/>
          <w:color w:val="auto"/>
          <w:sz w:val="24"/>
          <w:highlight w:val="none"/>
        </w:rPr>
        <w:fldChar w:fldCharType="separate"/>
      </w:r>
      <w:r>
        <w:rPr>
          <w:b/>
          <w:color w:val="auto"/>
          <w:sz w:val="24"/>
          <w:highlight w:val="none"/>
        </w:rPr>
        <w:t>- 48 -</w:t>
      </w:r>
      <w:r>
        <w:rPr>
          <w:b/>
          <w:color w:val="auto"/>
          <w:sz w:val="24"/>
          <w:highlight w:val="none"/>
        </w:rPr>
        <w:fldChar w:fldCharType="end"/>
      </w:r>
      <w:r>
        <w:rPr>
          <w:b/>
          <w:color w:val="auto"/>
          <w:sz w:val="24"/>
          <w:highlight w:val="none"/>
        </w:rPr>
        <w:fldChar w:fldCharType="end"/>
      </w:r>
    </w:p>
    <w:p w14:paraId="57450033">
      <w:pPr>
        <w:rPr>
          <w:rFonts w:ascii="宋体" w:hAnsi="宋体" w:cs="宋体"/>
          <w:color w:val="auto"/>
          <w:szCs w:val="21"/>
          <w:highlight w:val="none"/>
        </w:rPr>
      </w:pPr>
      <w:r>
        <w:rPr>
          <w:rFonts w:hint="eastAsia" w:ascii="宋体" w:hAnsi="宋体" w:cs="宋体"/>
          <w:color w:val="auto"/>
          <w:szCs w:val="21"/>
          <w:highlight w:val="none"/>
        </w:rPr>
        <w:fldChar w:fldCharType="end"/>
      </w:r>
    </w:p>
    <w:p w14:paraId="3CCBFF45">
      <w:pPr>
        <w:jc w:val="center"/>
        <w:outlineLvl w:val="0"/>
        <w:rPr>
          <w:rFonts w:ascii="宋体" w:hAnsi="宋体" w:cs="宋体"/>
          <w:color w:val="auto"/>
          <w:sz w:val="32"/>
          <w:szCs w:val="32"/>
          <w:highlight w:val="none"/>
        </w:rPr>
        <w:sectPr>
          <w:pgSz w:w="11906" w:h="16838"/>
          <w:pgMar w:top="1440" w:right="1080" w:bottom="1440" w:left="1080" w:header="851" w:footer="992" w:gutter="0"/>
          <w:pgNumType w:fmt="numberInDash" w:start="1"/>
          <w:cols w:space="720" w:num="1"/>
          <w:docGrid w:type="lines" w:linePitch="312" w:charSpace="0"/>
        </w:sectPr>
      </w:pPr>
    </w:p>
    <w:p w14:paraId="642E51FE">
      <w:pPr>
        <w:pStyle w:val="2"/>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highlight w:val="none"/>
        </w:rPr>
      </w:pPr>
      <w:bookmarkStart w:id="0" w:name="_Toc19680"/>
      <w:bookmarkStart w:id="1" w:name="_Toc28359001"/>
      <w:bookmarkStart w:id="2" w:name="_Toc9643"/>
      <w:bookmarkStart w:id="3" w:name="_Toc35393789"/>
      <w:bookmarkStart w:id="4" w:name="_Toc461"/>
      <w:r>
        <w:rPr>
          <w:rFonts w:hint="eastAsia" w:ascii="宋体" w:hAnsi="宋体" w:cs="宋体"/>
          <w:color w:val="auto"/>
          <w:sz w:val="32"/>
          <w:szCs w:val="32"/>
          <w:highlight w:val="none"/>
        </w:rPr>
        <w:t>公开招标公告</w:t>
      </w:r>
      <w:bookmarkEnd w:id="0"/>
      <w:bookmarkEnd w:id="1"/>
      <w:bookmarkEnd w:id="2"/>
      <w:bookmarkEnd w:id="3"/>
      <w:bookmarkEnd w:id="4"/>
    </w:p>
    <w:tbl>
      <w:tblPr>
        <w:tblStyle w:val="32"/>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2AA9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9962" w:type="dxa"/>
          </w:tcPr>
          <w:p w14:paraId="61517E84">
            <w:pPr>
              <w:spacing w:line="380" w:lineRule="exact"/>
              <w:rPr>
                <w:rFonts w:ascii="宋体" w:hAnsi="宋体" w:cs="宋体"/>
                <w:color w:val="auto"/>
                <w:szCs w:val="21"/>
                <w:highlight w:val="none"/>
              </w:rPr>
            </w:pPr>
            <w:r>
              <w:rPr>
                <w:rFonts w:hint="eastAsia" w:ascii="宋体" w:hAnsi="宋体" w:cs="宋体"/>
                <w:color w:val="auto"/>
                <w:szCs w:val="21"/>
                <w:highlight w:val="none"/>
              </w:rPr>
              <w:t>项目概况</w:t>
            </w:r>
          </w:p>
          <w:p w14:paraId="78859AF7">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2025年春节拥军优属慰问活动慰问品采购</w:t>
            </w:r>
            <w:r>
              <w:rPr>
                <w:rFonts w:hint="eastAsia" w:ascii="宋体" w:hAnsi="宋体" w:cs="宋体"/>
                <w:color w:val="auto"/>
                <w:szCs w:val="21"/>
                <w:highlight w:val="none"/>
              </w:rPr>
              <w:t>项目的潜在投标人应在</w:t>
            </w:r>
            <w:r>
              <w:rPr>
                <w:rFonts w:hint="eastAsia" w:ascii="宋体" w:hAnsi="宋体" w:eastAsia="宋体" w:cs="宋体"/>
                <w:color w:val="auto"/>
                <w:sz w:val="21"/>
                <w:szCs w:val="21"/>
                <w:highlight w:val="none"/>
                <w:u w:val="none"/>
                <w:shd w:val="clear" w:color="auto" w:fill="auto"/>
              </w:rPr>
              <w:t>广西政府采购云平台（https://www.gcy.zfcg.gxzf.gov.cn/）</w:t>
            </w:r>
            <w:r>
              <w:rPr>
                <w:rFonts w:hint="eastAsia" w:ascii="宋体" w:hAnsi="宋体" w:cs="宋体"/>
                <w:color w:val="auto"/>
                <w:szCs w:val="21"/>
                <w:highlight w:val="none"/>
              </w:rPr>
              <w:t>获取招标文件，并于202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日9点30分（北京时间）前递交投标文件。</w:t>
            </w:r>
          </w:p>
        </w:tc>
      </w:tr>
    </w:tbl>
    <w:p w14:paraId="1CCA3530">
      <w:pPr>
        <w:rPr>
          <w:rFonts w:ascii="宋体" w:hAnsi="宋体" w:cs="宋体"/>
          <w:color w:val="auto"/>
          <w:szCs w:val="21"/>
          <w:highlight w:val="none"/>
        </w:rPr>
      </w:pPr>
    </w:p>
    <w:p w14:paraId="27848323">
      <w:pPr>
        <w:rPr>
          <w:rFonts w:ascii="宋体" w:hAnsi="宋体" w:cs="宋体"/>
          <w:color w:val="auto"/>
          <w:szCs w:val="21"/>
          <w:highlight w:val="none"/>
        </w:rPr>
      </w:pPr>
      <w:bookmarkStart w:id="5" w:name="_Toc28359002"/>
      <w:bookmarkStart w:id="6" w:name="_Toc35393621"/>
      <w:bookmarkStart w:id="7" w:name="_Toc28359079"/>
      <w:bookmarkStart w:id="8" w:name="_Toc35393790"/>
      <w:bookmarkStart w:id="9" w:name="_Hlk24379207"/>
      <w:r>
        <w:rPr>
          <w:rFonts w:hint="eastAsia" w:ascii="宋体" w:hAnsi="宋体" w:cs="宋体"/>
          <w:color w:val="auto"/>
          <w:szCs w:val="21"/>
          <w:highlight w:val="none"/>
        </w:rPr>
        <w:t>一、项目基本情况</w:t>
      </w:r>
      <w:bookmarkEnd w:id="5"/>
      <w:bookmarkEnd w:id="6"/>
      <w:bookmarkEnd w:id="7"/>
      <w:bookmarkEnd w:id="8"/>
    </w:p>
    <w:p w14:paraId="793B5E07">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项目编号：GLZC2024-G1-991054-GXJH</w:t>
      </w:r>
      <w:r>
        <w:rPr>
          <w:rFonts w:hint="eastAsia" w:ascii="宋体" w:hAnsi="宋体" w:cs="宋体"/>
          <w:bCs/>
          <w:color w:val="auto"/>
          <w:szCs w:val="21"/>
          <w:highlight w:val="none"/>
          <w:lang w:val="en-US" w:eastAsia="zh-CN"/>
        </w:rPr>
        <w:t xml:space="preserve"> </w:t>
      </w:r>
    </w:p>
    <w:p w14:paraId="14A32C78">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bCs/>
          <w:color w:val="auto"/>
          <w:szCs w:val="21"/>
          <w:highlight w:val="none"/>
        </w:rPr>
        <w:t>2025年春节拥军优属慰问活动慰问品采购</w:t>
      </w:r>
    </w:p>
    <w:bookmarkEnd w:id="9"/>
    <w:p w14:paraId="4461F7F4">
      <w:pPr>
        <w:spacing w:line="38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bCs/>
          <w:color w:val="auto"/>
          <w:szCs w:val="21"/>
          <w:highlight w:val="none"/>
        </w:rPr>
        <w:t>预算总金额（元）：</w:t>
      </w:r>
      <w:r>
        <w:rPr>
          <w:rFonts w:hint="eastAsia" w:ascii="宋体" w:hAnsi="宋体" w:cs="宋体"/>
          <w:color w:val="auto"/>
          <w:szCs w:val="21"/>
          <w:highlight w:val="none"/>
          <w:lang w:val="en-US" w:eastAsia="zh-CN"/>
        </w:rPr>
        <w:t>1970000.00元（其中A分标：720000元，B分标：4500000元，C分标：500000元，D分标：300000元）</w:t>
      </w:r>
    </w:p>
    <w:p w14:paraId="5AD4ADCF">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1970000.00元（其中A分标：720000元，B分标：4500000元，C分标：500000元，D分标：300000元）</w:t>
      </w:r>
    </w:p>
    <w:p w14:paraId="5C7D5754">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tbl>
      <w:tblPr>
        <w:tblStyle w:val="32"/>
        <w:tblpPr w:leftFromText="180" w:rightFromText="180" w:vertAnchor="text" w:horzAnchor="page" w:tblpXSpec="center" w:tblpY="27"/>
        <w:tblOverlap w:val="never"/>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440"/>
        <w:gridCol w:w="795"/>
        <w:gridCol w:w="748"/>
        <w:gridCol w:w="3457"/>
      </w:tblGrid>
      <w:tr w14:paraId="32F7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noWrap w:val="0"/>
            <w:vAlign w:val="center"/>
          </w:tcPr>
          <w:p w14:paraId="38E729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分标号</w:t>
            </w:r>
          </w:p>
        </w:tc>
        <w:tc>
          <w:tcPr>
            <w:tcW w:w="3440" w:type="dxa"/>
            <w:tcBorders>
              <w:top w:val="single" w:color="auto" w:sz="4" w:space="0"/>
              <w:left w:val="nil"/>
              <w:bottom w:val="single" w:color="auto" w:sz="4" w:space="0"/>
              <w:right w:val="single" w:color="auto" w:sz="4" w:space="0"/>
            </w:tcBorders>
            <w:noWrap w:val="0"/>
            <w:vAlign w:val="center"/>
          </w:tcPr>
          <w:p w14:paraId="63D4E68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795" w:type="dxa"/>
            <w:tcBorders>
              <w:top w:val="single" w:color="auto" w:sz="4" w:space="0"/>
              <w:left w:val="nil"/>
              <w:bottom w:val="single" w:color="auto" w:sz="4" w:space="0"/>
              <w:right w:val="single" w:color="auto" w:sz="4" w:space="0"/>
            </w:tcBorders>
            <w:noWrap w:val="0"/>
            <w:vAlign w:val="center"/>
          </w:tcPr>
          <w:p w14:paraId="3D7FD85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748" w:type="dxa"/>
            <w:tcBorders>
              <w:top w:val="single" w:color="auto" w:sz="4" w:space="0"/>
              <w:left w:val="nil"/>
              <w:bottom w:val="single" w:color="auto" w:sz="4" w:space="0"/>
              <w:right w:val="single" w:color="auto" w:sz="4" w:space="0"/>
            </w:tcBorders>
            <w:noWrap w:val="0"/>
            <w:vAlign w:val="center"/>
          </w:tcPr>
          <w:p w14:paraId="4501C6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3457" w:type="dxa"/>
            <w:tcBorders>
              <w:top w:val="single" w:color="auto" w:sz="4" w:space="0"/>
              <w:left w:val="nil"/>
              <w:bottom w:val="single" w:color="auto" w:sz="4" w:space="0"/>
              <w:right w:val="single" w:color="auto" w:sz="4" w:space="0"/>
            </w:tcBorders>
            <w:noWrap w:val="0"/>
            <w:vAlign w:val="center"/>
          </w:tcPr>
          <w:p w14:paraId="0CC831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w:t>
            </w:r>
          </w:p>
        </w:tc>
      </w:tr>
      <w:tr w14:paraId="2848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noWrap w:val="0"/>
            <w:vAlign w:val="center"/>
          </w:tcPr>
          <w:p w14:paraId="3FE32DA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A</w:t>
            </w:r>
          </w:p>
        </w:tc>
        <w:tc>
          <w:tcPr>
            <w:tcW w:w="3440" w:type="dxa"/>
            <w:tcBorders>
              <w:top w:val="single" w:color="auto" w:sz="4" w:space="0"/>
              <w:left w:val="nil"/>
              <w:bottom w:val="single" w:color="auto" w:sz="4" w:space="0"/>
              <w:right w:val="single" w:color="auto" w:sz="4" w:space="0"/>
            </w:tcBorders>
            <w:noWrap w:val="0"/>
            <w:vAlign w:val="center"/>
          </w:tcPr>
          <w:p w14:paraId="1419AB3E">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食品大礼包</w:t>
            </w:r>
          </w:p>
        </w:tc>
        <w:tc>
          <w:tcPr>
            <w:tcW w:w="795" w:type="dxa"/>
            <w:tcBorders>
              <w:top w:val="single" w:color="auto" w:sz="4" w:space="0"/>
              <w:left w:val="nil"/>
              <w:bottom w:val="single" w:color="auto" w:sz="4" w:space="0"/>
              <w:right w:val="single" w:color="auto" w:sz="4" w:space="0"/>
            </w:tcBorders>
            <w:noWrap w:val="0"/>
            <w:vAlign w:val="center"/>
          </w:tcPr>
          <w:p w14:paraId="4FA56571">
            <w:pPr>
              <w:spacing w:line="360" w:lineRule="auto"/>
              <w:jc w:val="center"/>
              <w:rPr>
                <w:rFonts w:hint="eastAsia" w:ascii="宋体" w:hAnsi="宋体" w:cs="宋体"/>
                <w:color w:val="auto"/>
                <w:szCs w:val="21"/>
                <w:highlight w:val="none"/>
              </w:rPr>
            </w:pPr>
            <w:r>
              <w:rPr>
                <w:rFonts w:hint="eastAsia" w:ascii="宋体" w:hAnsi="宋体" w:cs="宋体"/>
                <w:bCs/>
                <w:color w:val="auto"/>
                <w:kern w:val="0"/>
                <w:szCs w:val="21"/>
                <w:highlight w:val="none"/>
                <w:lang w:bidi="ar"/>
              </w:rPr>
              <w:t>1</w:t>
            </w:r>
          </w:p>
        </w:tc>
        <w:tc>
          <w:tcPr>
            <w:tcW w:w="748" w:type="dxa"/>
            <w:tcBorders>
              <w:top w:val="single" w:color="auto" w:sz="4" w:space="0"/>
              <w:left w:val="nil"/>
              <w:bottom w:val="single" w:color="auto" w:sz="4" w:space="0"/>
              <w:right w:val="single" w:color="auto" w:sz="4" w:space="0"/>
            </w:tcBorders>
            <w:noWrap w:val="0"/>
            <w:vAlign w:val="center"/>
          </w:tcPr>
          <w:p w14:paraId="0D340331">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盒</w:t>
            </w:r>
          </w:p>
        </w:tc>
        <w:tc>
          <w:tcPr>
            <w:tcW w:w="3457" w:type="dxa"/>
            <w:vMerge w:val="restart"/>
            <w:tcBorders>
              <w:top w:val="single" w:color="auto" w:sz="4" w:space="0"/>
              <w:left w:val="nil"/>
              <w:right w:val="single" w:color="auto" w:sz="4" w:space="0"/>
            </w:tcBorders>
            <w:noWrap w:val="0"/>
            <w:vAlign w:val="center"/>
          </w:tcPr>
          <w:p w14:paraId="2B4DB82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w:t>
            </w:r>
          </w:p>
        </w:tc>
      </w:tr>
      <w:tr w14:paraId="4321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noWrap w:val="0"/>
            <w:vAlign w:val="center"/>
          </w:tcPr>
          <w:p w14:paraId="0BF51020">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B</w:t>
            </w:r>
          </w:p>
        </w:tc>
        <w:tc>
          <w:tcPr>
            <w:tcW w:w="3440" w:type="dxa"/>
            <w:tcBorders>
              <w:top w:val="single" w:color="auto" w:sz="4" w:space="0"/>
              <w:left w:val="nil"/>
              <w:bottom w:val="single" w:color="auto" w:sz="4" w:space="0"/>
              <w:right w:val="single" w:color="auto" w:sz="4" w:space="0"/>
            </w:tcBorders>
            <w:noWrap w:val="0"/>
            <w:vAlign w:val="center"/>
          </w:tcPr>
          <w:p w14:paraId="7D4BF55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手机稳定器</w:t>
            </w:r>
          </w:p>
        </w:tc>
        <w:tc>
          <w:tcPr>
            <w:tcW w:w="795" w:type="dxa"/>
            <w:tcBorders>
              <w:top w:val="single" w:color="auto" w:sz="4" w:space="0"/>
              <w:left w:val="nil"/>
              <w:bottom w:val="single" w:color="auto" w:sz="4" w:space="0"/>
              <w:right w:val="single" w:color="auto" w:sz="4" w:space="0"/>
            </w:tcBorders>
            <w:noWrap w:val="0"/>
            <w:vAlign w:val="center"/>
          </w:tcPr>
          <w:p w14:paraId="2740FEEF">
            <w:pPr>
              <w:spacing w:line="360" w:lineRule="auto"/>
              <w:jc w:val="center"/>
              <w:rPr>
                <w:rFonts w:hint="eastAsia" w:ascii="宋体" w:hAnsi="宋体" w:eastAsia="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1</w:t>
            </w:r>
          </w:p>
        </w:tc>
        <w:tc>
          <w:tcPr>
            <w:tcW w:w="748" w:type="dxa"/>
            <w:tcBorders>
              <w:top w:val="single" w:color="auto" w:sz="4" w:space="0"/>
              <w:left w:val="nil"/>
              <w:bottom w:val="single" w:color="auto" w:sz="4" w:space="0"/>
              <w:right w:val="single" w:color="auto" w:sz="4" w:space="0"/>
            </w:tcBorders>
            <w:noWrap w:val="0"/>
            <w:vAlign w:val="center"/>
          </w:tcPr>
          <w:p w14:paraId="6658C59F">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副</w:t>
            </w:r>
          </w:p>
        </w:tc>
        <w:tc>
          <w:tcPr>
            <w:tcW w:w="3457" w:type="dxa"/>
            <w:vMerge w:val="continue"/>
            <w:tcBorders>
              <w:left w:val="nil"/>
              <w:right w:val="single" w:color="auto" w:sz="4" w:space="0"/>
            </w:tcBorders>
            <w:noWrap w:val="0"/>
            <w:vAlign w:val="center"/>
          </w:tcPr>
          <w:p w14:paraId="2A45E5FE">
            <w:pPr>
              <w:spacing w:line="360" w:lineRule="auto"/>
              <w:jc w:val="center"/>
              <w:rPr>
                <w:rFonts w:hint="eastAsia" w:ascii="宋体" w:hAnsi="宋体" w:cs="宋体"/>
                <w:color w:val="auto"/>
                <w:szCs w:val="21"/>
                <w:highlight w:val="none"/>
              </w:rPr>
            </w:pPr>
          </w:p>
        </w:tc>
      </w:tr>
      <w:tr w14:paraId="32F2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noWrap w:val="0"/>
            <w:vAlign w:val="center"/>
          </w:tcPr>
          <w:p w14:paraId="77EA59C8">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C</w:t>
            </w:r>
          </w:p>
        </w:tc>
        <w:tc>
          <w:tcPr>
            <w:tcW w:w="3440" w:type="dxa"/>
            <w:tcBorders>
              <w:top w:val="single" w:color="auto" w:sz="4" w:space="0"/>
              <w:left w:val="nil"/>
              <w:bottom w:val="single" w:color="auto" w:sz="4" w:space="0"/>
              <w:right w:val="single" w:color="auto" w:sz="4" w:space="0"/>
            </w:tcBorders>
            <w:noWrap w:val="0"/>
            <w:vAlign w:val="center"/>
          </w:tcPr>
          <w:p w14:paraId="73229E45">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健康检测与口腔护理套装</w:t>
            </w:r>
          </w:p>
        </w:tc>
        <w:tc>
          <w:tcPr>
            <w:tcW w:w="795" w:type="dxa"/>
            <w:tcBorders>
              <w:top w:val="single" w:color="auto" w:sz="4" w:space="0"/>
              <w:left w:val="nil"/>
              <w:bottom w:val="single" w:color="auto" w:sz="4" w:space="0"/>
              <w:right w:val="single" w:color="auto" w:sz="4" w:space="0"/>
            </w:tcBorders>
            <w:noWrap w:val="0"/>
            <w:vAlign w:val="center"/>
          </w:tcPr>
          <w:p w14:paraId="5D3C017C">
            <w:pPr>
              <w:spacing w:line="360" w:lineRule="auto"/>
              <w:jc w:val="center"/>
              <w:rPr>
                <w:rFonts w:hint="eastAsia" w:ascii="宋体" w:hAnsi="宋体" w:eastAsia="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1</w:t>
            </w:r>
          </w:p>
        </w:tc>
        <w:tc>
          <w:tcPr>
            <w:tcW w:w="748" w:type="dxa"/>
            <w:tcBorders>
              <w:top w:val="single" w:color="auto" w:sz="4" w:space="0"/>
              <w:left w:val="nil"/>
              <w:bottom w:val="single" w:color="auto" w:sz="4" w:space="0"/>
              <w:right w:val="single" w:color="auto" w:sz="4" w:space="0"/>
            </w:tcBorders>
            <w:noWrap w:val="0"/>
            <w:vAlign w:val="center"/>
          </w:tcPr>
          <w:p w14:paraId="2B25B55F">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套</w:t>
            </w:r>
          </w:p>
        </w:tc>
        <w:tc>
          <w:tcPr>
            <w:tcW w:w="3457" w:type="dxa"/>
            <w:vMerge w:val="continue"/>
            <w:tcBorders>
              <w:left w:val="nil"/>
              <w:right w:val="single" w:color="auto" w:sz="4" w:space="0"/>
            </w:tcBorders>
            <w:noWrap w:val="0"/>
            <w:vAlign w:val="center"/>
          </w:tcPr>
          <w:p w14:paraId="149F7690">
            <w:pPr>
              <w:spacing w:line="360" w:lineRule="auto"/>
              <w:jc w:val="center"/>
              <w:rPr>
                <w:rFonts w:hint="eastAsia" w:ascii="宋体" w:hAnsi="宋体" w:cs="宋体"/>
                <w:color w:val="auto"/>
                <w:szCs w:val="21"/>
                <w:highlight w:val="none"/>
              </w:rPr>
            </w:pPr>
          </w:p>
        </w:tc>
      </w:tr>
      <w:tr w14:paraId="4C7D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noWrap w:val="0"/>
            <w:vAlign w:val="center"/>
          </w:tcPr>
          <w:p w14:paraId="708F2280">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D</w:t>
            </w:r>
          </w:p>
        </w:tc>
        <w:tc>
          <w:tcPr>
            <w:tcW w:w="3440" w:type="dxa"/>
            <w:tcBorders>
              <w:top w:val="single" w:color="auto" w:sz="4" w:space="0"/>
              <w:left w:val="nil"/>
              <w:bottom w:val="single" w:color="auto" w:sz="4" w:space="0"/>
              <w:right w:val="single" w:color="auto" w:sz="4" w:space="0"/>
            </w:tcBorders>
            <w:noWrap w:val="0"/>
            <w:vAlign w:val="center"/>
          </w:tcPr>
          <w:p w14:paraId="3C71EC0E">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床上用品四件套</w:t>
            </w:r>
          </w:p>
        </w:tc>
        <w:tc>
          <w:tcPr>
            <w:tcW w:w="795" w:type="dxa"/>
            <w:tcBorders>
              <w:top w:val="single" w:color="auto" w:sz="4" w:space="0"/>
              <w:left w:val="nil"/>
              <w:bottom w:val="single" w:color="auto" w:sz="4" w:space="0"/>
              <w:right w:val="single" w:color="auto" w:sz="4" w:space="0"/>
            </w:tcBorders>
            <w:noWrap w:val="0"/>
            <w:vAlign w:val="center"/>
          </w:tcPr>
          <w:p w14:paraId="5604C66C">
            <w:pPr>
              <w:spacing w:line="360" w:lineRule="auto"/>
              <w:jc w:val="center"/>
              <w:rPr>
                <w:rFonts w:hint="eastAsia" w:ascii="宋体" w:hAnsi="宋体" w:cs="宋体"/>
                <w:color w:val="auto"/>
                <w:szCs w:val="21"/>
                <w:highlight w:val="none"/>
              </w:rPr>
            </w:pPr>
            <w:r>
              <w:rPr>
                <w:rFonts w:hint="eastAsia" w:ascii="宋体" w:hAnsi="宋体" w:cs="宋体"/>
                <w:bCs/>
                <w:color w:val="auto"/>
                <w:kern w:val="0"/>
                <w:szCs w:val="21"/>
                <w:highlight w:val="none"/>
                <w:lang w:bidi="ar"/>
              </w:rPr>
              <w:t>1</w:t>
            </w:r>
          </w:p>
        </w:tc>
        <w:tc>
          <w:tcPr>
            <w:tcW w:w="748" w:type="dxa"/>
            <w:tcBorders>
              <w:top w:val="single" w:color="auto" w:sz="4" w:space="0"/>
              <w:left w:val="nil"/>
              <w:bottom w:val="single" w:color="auto" w:sz="4" w:space="0"/>
              <w:right w:val="single" w:color="auto" w:sz="4" w:space="0"/>
            </w:tcBorders>
            <w:noWrap w:val="0"/>
            <w:vAlign w:val="center"/>
          </w:tcPr>
          <w:p w14:paraId="42A0125B">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套</w:t>
            </w:r>
          </w:p>
        </w:tc>
        <w:tc>
          <w:tcPr>
            <w:tcW w:w="3457" w:type="dxa"/>
            <w:vMerge w:val="continue"/>
            <w:tcBorders>
              <w:left w:val="nil"/>
              <w:right w:val="single" w:color="auto" w:sz="4" w:space="0"/>
            </w:tcBorders>
            <w:noWrap w:val="0"/>
            <w:vAlign w:val="center"/>
          </w:tcPr>
          <w:p w14:paraId="512DD88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bl>
    <w:p w14:paraId="52A89EC6">
      <w:pPr>
        <w:spacing w:line="380" w:lineRule="exact"/>
        <w:ind w:firstLine="420" w:firstLineChars="200"/>
        <w:rPr>
          <w:rFonts w:hint="eastAsia" w:ascii="宋体" w:hAnsi="宋体" w:cs="宋体"/>
          <w:color w:val="auto"/>
          <w:szCs w:val="21"/>
          <w:highlight w:val="none"/>
        </w:rPr>
      </w:pPr>
    </w:p>
    <w:p w14:paraId="2FED7FCB">
      <w:pPr>
        <w:spacing w:line="380" w:lineRule="exact"/>
        <w:rPr>
          <w:rFonts w:ascii="宋体" w:hAnsi="宋体" w:cs="宋体"/>
          <w:color w:val="auto"/>
          <w:szCs w:val="21"/>
          <w:highlight w:val="none"/>
          <w:u w:val="single"/>
        </w:rPr>
      </w:pPr>
      <w:r>
        <w:rPr>
          <w:rFonts w:hint="eastAsia" w:ascii="宋体" w:hAnsi="宋体" w:cs="宋体"/>
          <w:color w:val="auto"/>
          <w:szCs w:val="21"/>
          <w:highlight w:val="none"/>
        </w:rPr>
        <w:t xml:space="preserve">    合同履行期限：由于物品发放时间紧急,在202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日前完成交付使用，不能延期，如果延期将按违约处理。</w:t>
      </w:r>
    </w:p>
    <w:p w14:paraId="3A5D4B0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本项目（否）接受联合体投标。</w:t>
      </w:r>
    </w:p>
    <w:p w14:paraId="21C53C91">
      <w:pPr>
        <w:rPr>
          <w:rFonts w:ascii="宋体" w:hAnsi="宋体" w:cs="宋体"/>
          <w:color w:val="auto"/>
          <w:szCs w:val="21"/>
          <w:highlight w:val="none"/>
        </w:rPr>
      </w:pPr>
      <w:bookmarkStart w:id="10" w:name="_Toc28359003"/>
      <w:bookmarkStart w:id="11" w:name="_Toc35393622"/>
      <w:bookmarkStart w:id="12" w:name="_Toc35393791"/>
      <w:bookmarkStart w:id="13" w:name="_Toc28359080"/>
      <w:r>
        <w:rPr>
          <w:rFonts w:hint="eastAsia" w:ascii="宋体" w:hAnsi="宋体" w:cs="宋体"/>
          <w:color w:val="auto"/>
          <w:szCs w:val="21"/>
          <w:highlight w:val="none"/>
        </w:rPr>
        <w:t>二、申请人的资格要求：</w:t>
      </w:r>
      <w:bookmarkEnd w:id="10"/>
      <w:bookmarkEnd w:id="11"/>
      <w:bookmarkEnd w:id="12"/>
      <w:bookmarkEnd w:id="13"/>
    </w:p>
    <w:p w14:paraId="213882BF">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7E4A55F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5AAD974">
      <w:pPr>
        <w:spacing w:line="380" w:lineRule="exact"/>
        <w:ind w:firstLine="420" w:firstLineChars="200"/>
        <w:rPr>
          <w:rFonts w:hint="eastAsia" w:ascii="宋体" w:hAnsi="宋体" w:eastAsia="宋体" w:cs="宋体"/>
          <w:color w:val="auto"/>
          <w:szCs w:val="21"/>
          <w:highlight w:val="none"/>
          <w:lang w:eastAsia="zh-CN"/>
        </w:rPr>
      </w:pPr>
      <w:bookmarkStart w:id="14" w:name="_Toc28359081"/>
      <w:bookmarkStart w:id="15" w:name="_Toc28359004"/>
      <w:r>
        <w:rPr>
          <w:rFonts w:hint="eastAsia" w:ascii="宋体" w:hAnsi="宋体" w:cs="宋体"/>
          <w:color w:val="auto"/>
          <w:szCs w:val="21"/>
          <w:highlight w:val="none"/>
        </w:rPr>
        <w:t>3.落实政府采购政策需满足的资格要求：A</w:t>
      </w:r>
      <w:r>
        <w:rPr>
          <w:rFonts w:hint="eastAsia" w:ascii="宋体" w:hAnsi="宋体" w:cs="宋体"/>
          <w:color w:val="auto"/>
          <w:szCs w:val="21"/>
          <w:highlight w:val="none"/>
          <w:lang w:val="en-US" w:eastAsia="zh-CN"/>
        </w:rPr>
        <w:t>BC</w:t>
      </w:r>
      <w:r>
        <w:rPr>
          <w:rFonts w:hint="eastAsia" w:ascii="宋体" w:hAnsi="宋体" w:cs="宋体"/>
          <w:color w:val="auto"/>
          <w:szCs w:val="21"/>
          <w:highlight w:val="none"/>
        </w:rPr>
        <w:t>分标专门面向中小微企业采购，本项目采购标的在《中小企业划分标准》所属行业为：工业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D</w:t>
      </w:r>
      <w:r>
        <w:rPr>
          <w:rFonts w:hint="eastAsia" w:ascii="宋体" w:hAnsi="宋体" w:cs="宋体"/>
          <w:color w:val="auto"/>
          <w:szCs w:val="21"/>
          <w:highlight w:val="none"/>
        </w:rPr>
        <w:t>分标专门面向小微企业采购，本项目采购标的在《中小企业划分标准》所属行业为：工业。</w:t>
      </w:r>
    </w:p>
    <w:p w14:paraId="6EC779A1">
      <w:pPr>
        <w:spacing w:line="380" w:lineRule="exact"/>
        <w:ind w:firstLine="420" w:firstLineChars="200"/>
        <w:rPr>
          <w:rFonts w:hint="default" w:ascii="宋体" w:hAnsi="宋体" w:eastAsia="宋体" w:cs="宋体"/>
          <w:i/>
          <w:iCs/>
          <w:color w:val="auto"/>
          <w:szCs w:val="21"/>
          <w:highlight w:val="none"/>
          <w:u w:val="single"/>
          <w:lang w:val="en-US" w:eastAsia="zh-CN"/>
        </w:rPr>
      </w:pPr>
      <w:r>
        <w:rPr>
          <w:rFonts w:hint="eastAsia" w:ascii="宋体" w:hAnsi="宋体" w:cs="宋体"/>
          <w:color w:val="auto"/>
          <w:szCs w:val="21"/>
          <w:highlight w:val="none"/>
        </w:rPr>
        <w:t>4.本项目的特定资格要求：</w:t>
      </w:r>
      <w:r>
        <w:rPr>
          <w:rFonts w:hint="eastAsia" w:ascii="宋体" w:hAnsi="宋体" w:cs="宋体"/>
          <w:color w:val="auto"/>
          <w:szCs w:val="21"/>
          <w:highlight w:val="none"/>
          <w:lang w:val="en-US" w:eastAsia="zh-CN"/>
        </w:rPr>
        <w:t>A分标：无；B分标：无；C分标：</w:t>
      </w:r>
      <w:r>
        <w:rPr>
          <w:rFonts w:ascii="宋体" w:hAnsi="宋体" w:cs="宋体"/>
          <w:color w:val="auto"/>
          <w:szCs w:val="21"/>
          <w:highlight w:val="none"/>
        </w:rPr>
        <w:t>投标人按《医疗器械监督管理条例》（国务院令第 739 号）医疗器械分类管理要求具备有效的医疗器械经营备案凭证或者医疗器械经营许可证，且经营范围必须包含采购的医疗器械标的[符合《医疗器械监督管理条例》第四十一条第二款规定的除外]</w:t>
      </w:r>
      <w:r>
        <w:rPr>
          <w:rFonts w:hint="eastAsia" w:ascii="宋体" w:hAnsi="宋体" w:cs="宋体"/>
          <w:color w:val="auto"/>
          <w:szCs w:val="21"/>
          <w:highlight w:val="none"/>
        </w:rPr>
        <w:t>，所投产品尿酸/血糖分析仪生产厂家具有医疗器械生产许可证，所投产品尿酸/血糖分析仪具有注册凭证或备案凭证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D分标：无。</w:t>
      </w:r>
    </w:p>
    <w:p w14:paraId="1CEA334D">
      <w:pPr>
        <w:rPr>
          <w:rFonts w:ascii="宋体" w:hAnsi="宋体" w:cs="宋体"/>
          <w:color w:val="auto"/>
          <w:szCs w:val="21"/>
          <w:highlight w:val="none"/>
        </w:rPr>
      </w:pPr>
      <w:bookmarkStart w:id="16" w:name="_Toc35393623"/>
      <w:bookmarkStart w:id="17" w:name="_Toc35393792"/>
      <w:r>
        <w:rPr>
          <w:rFonts w:hint="eastAsia" w:ascii="宋体" w:hAnsi="宋体" w:cs="宋体"/>
          <w:color w:val="auto"/>
          <w:szCs w:val="21"/>
          <w:highlight w:val="none"/>
        </w:rPr>
        <w:t>三、获取招标文件</w:t>
      </w:r>
      <w:bookmarkEnd w:id="14"/>
      <w:bookmarkEnd w:id="15"/>
      <w:bookmarkEnd w:id="16"/>
      <w:bookmarkEnd w:id="17"/>
    </w:p>
    <w:p w14:paraId="0DBB675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时间：招标公告发布之时起至投标截止时间止，每天上午00:00至12:00 ，下午12:00至23:59（北京时间，法定节假日除外）</w:t>
      </w:r>
    </w:p>
    <w:p w14:paraId="50554B82">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地点（网址）：</w:t>
      </w:r>
      <w:r>
        <w:rPr>
          <w:rFonts w:hint="eastAsia" w:ascii="宋体" w:hAnsi="宋体" w:eastAsia="宋体" w:cs="宋体"/>
          <w:color w:val="auto"/>
          <w:sz w:val="21"/>
          <w:szCs w:val="21"/>
          <w:highlight w:val="none"/>
          <w:u w:val="none"/>
          <w:shd w:val="clear" w:color="auto" w:fill="auto"/>
        </w:rPr>
        <w:t>广西政府采购云平台（https://www.gcy.zfcg.gxzf.gov.cn/）</w:t>
      </w:r>
    </w:p>
    <w:p w14:paraId="33169C2F">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eastAsia="宋体" w:cs="宋体"/>
          <w:bCs/>
          <w:color w:val="auto"/>
          <w:sz w:val="21"/>
          <w:szCs w:val="21"/>
          <w:highlight w:val="none"/>
          <w:shd w:val="clear" w:color="auto" w:fill="auto"/>
        </w:rPr>
        <w:t>潜在供应商</w:t>
      </w:r>
      <w:r>
        <w:rPr>
          <w:rFonts w:hint="eastAsia" w:ascii="宋体" w:hAnsi="宋体" w:eastAsia="宋体" w:cs="宋体"/>
          <w:color w:val="auto"/>
          <w:sz w:val="21"/>
          <w:szCs w:val="21"/>
          <w:highlight w:val="none"/>
          <w:shd w:val="clear" w:color="auto" w:fill="auto"/>
        </w:rPr>
        <w:t>应</w:t>
      </w:r>
      <w:r>
        <w:rPr>
          <w:rFonts w:hint="eastAsia" w:ascii="宋体" w:hAnsi="宋体" w:eastAsia="宋体" w:cs="宋体"/>
          <w:color w:val="auto"/>
          <w:kern w:val="0"/>
          <w:sz w:val="21"/>
          <w:szCs w:val="21"/>
          <w:highlight w:val="none"/>
          <w:shd w:val="clear" w:color="auto" w:fill="auto"/>
        </w:rPr>
        <w:t>登录</w:t>
      </w:r>
      <w:r>
        <w:rPr>
          <w:rFonts w:hint="eastAsia" w:ascii="宋体" w:hAnsi="宋体" w:eastAsia="宋体" w:cs="宋体"/>
          <w:color w:val="auto"/>
          <w:kern w:val="0"/>
          <w:sz w:val="21"/>
          <w:szCs w:val="21"/>
          <w:highlight w:val="none"/>
          <w:shd w:val="clear" w:color="auto" w:fill="auto"/>
          <w:lang w:eastAsia="zh-CN"/>
        </w:rPr>
        <w:t>广西政府采购云平台https://www.gcy.zfcg.gxzf.gov.cn/</w:t>
      </w:r>
      <w:r>
        <w:rPr>
          <w:rFonts w:hint="eastAsia" w:ascii="宋体" w:hAnsi="宋体" w:eastAsia="宋体" w:cs="宋体"/>
          <w:color w:val="auto"/>
          <w:kern w:val="0"/>
          <w:sz w:val="21"/>
          <w:szCs w:val="21"/>
          <w:highlight w:val="none"/>
          <w:shd w:val="clear" w:color="auto" w:fill="auto"/>
        </w:rPr>
        <w:t>在线申请获取采购文件（进入“项目采购”应用，在获取采购文件菜单中选择项目，申请获取采购文件）</w:t>
      </w:r>
      <w:r>
        <w:rPr>
          <w:rFonts w:hint="eastAsia" w:ascii="宋体" w:hAnsi="宋体" w:eastAsia="宋体" w:cs="宋体"/>
          <w:bCs/>
          <w:color w:val="auto"/>
          <w:sz w:val="21"/>
          <w:szCs w:val="21"/>
          <w:highlight w:val="none"/>
          <w:shd w:val="clear" w:color="auto" w:fill="auto"/>
        </w:rPr>
        <w:t>。</w:t>
      </w:r>
      <w:r>
        <w:rPr>
          <w:rFonts w:hint="eastAsia" w:ascii="宋体" w:hAnsi="宋体" w:cs="宋体"/>
          <w:color w:val="auto"/>
          <w:szCs w:val="21"/>
          <w:highlight w:val="none"/>
        </w:rPr>
        <w:t xml:space="preserve">。  </w:t>
      </w:r>
    </w:p>
    <w:p w14:paraId="21FC0191">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售价（元）：0。</w:t>
      </w:r>
    </w:p>
    <w:p w14:paraId="5804140B">
      <w:pPr>
        <w:rPr>
          <w:rFonts w:ascii="宋体" w:hAnsi="宋体" w:cs="宋体"/>
          <w:color w:val="auto"/>
          <w:szCs w:val="21"/>
          <w:highlight w:val="none"/>
        </w:rPr>
      </w:pPr>
      <w:bookmarkStart w:id="18" w:name="_Toc28359005"/>
      <w:bookmarkStart w:id="19" w:name="_Toc28359082"/>
      <w:bookmarkStart w:id="20" w:name="_Toc35393793"/>
      <w:bookmarkStart w:id="21" w:name="_Toc35393624"/>
      <w:r>
        <w:rPr>
          <w:rFonts w:hint="eastAsia" w:ascii="宋体" w:hAnsi="宋体" w:cs="宋体"/>
          <w:color w:val="auto"/>
          <w:szCs w:val="21"/>
          <w:highlight w:val="none"/>
        </w:rPr>
        <w:t>四、提交投标文件</w:t>
      </w:r>
      <w:bookmarkEnd w:id="18"/>
      <w:bookmarkEnd w:id="19"/>
      <w:r>
        <w:rPr>
          <w:rFonts w:hint="eastAsia" w:ascii="宋体" w:hAnsi="宋体" w:cs="宋体"/>
          <w:color w:val="auto"/>
          <w:szCs w:val="21"/>
          <w:highlight w:val="none"/>
        </w:rPr>
        <w:t>截止时间、开标时间和地点</w:t>
      </w:r>
      <w:bookmarkEnd w:id="20"/>
      <w:bookmarkEnd w:id="21"/>
    </w:p>
    <w:p w14:paraId="7A1F446D">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截止时间：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日9时30分</w:t>
      </w:r>
      <w:r>
        <w:rPr>
          <w:rFonts w:hint="eastAsia" w:ascii="宋体" w:hAnsi="宋体" w:cs="宋体"/>
          <w:bCs/>
          <w:color w:val="auto"/>
          <w:szCs w:val="21"/>
          <w:highlight w:val="none"/>
        </w:rPr>
        <w:t>（北京时间）。</w:t>
      </w:r>
    </w:p>
    <w:p w14:paraId="56C9C0E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点：通过广西政府采购云平台实行在线投标。</w:t>
      </w:r>
    </w:p>
    <w:p w14:paraId="54F6A352">
      <w:pPr>
        <w:spacing w:line="38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开标时间：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日9时30分</w:t>
      </w:r>
      <w:r>
        <w:rPr>
          <w:rFonts w:hint="eastAsia" w:ascii="宋体" w:hAnsi="宋体" w:cs="宋体"/>
          <w:bCs/>
          <w:color w:val="auto"/>
          <w:szCs w:val="21"/>
          <w:highlight w:val="none"/>
        </w:rPr>
        <w:t>（北京时间）</w:t>
      </w:r>
      <w:r>
        <w:rPr>
          <w:rFonts w:hint="eastAsia" w:ascii="宋体" w:hAnsi="宋体" w:cs="宋体"/>
          <w:color w:val="auto"/>
          <w:szCs w:val="21"/>
          <w:highlight w:val="none"/>
        </w:rPr>
        <w:t>截标后。</w:t>
      </w:r>
    </w:p>
    <w:p w14:paraId="0F88B578">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地点：通过广西政府采购云平台实行在线解密开启。</w:t>
      </w:r>
    </w:p>
    <w:p w14:paraId="11E4EFCA">
      <w:pPr>
        <w:rPr>
          <w:rFonts w:ascii="宋体" w:hAnsi="宋体" w:cs="宋体"/>
          <w:color w:val="auto"/>
          <w:szCs w:val="21"/>
          <w:highlight w:val="none"/>
        </w:rPr>
      </w:pPr>
      <w:bookmarkStart w:id="22" w:name="_Toc35393625"/>
      <w:bookmarkStart w:id="23" w:name="_Toc28359007"/>
      <w:bookmarkStart w:id="24" w:name="_Toc28359084"/>
      <w:bookmarkStart w:id="25" w:name="_Toc35393794"/>
      <w:r>
        <w:rPr>
          <w:rFonts w:hint="eastAsia" w:ascii="宋体" w:hAnsi="宋体" w:cs="宋体"/>
          <w:color w:val="auto"/>
          <w:szCs w:val="21"/>
          <w:highlight w:val="none"/>
        </w:rPr>
        <w:t>五、公告期限</w:t>
      </w:r>
      <w:bookmarkEnd w:id="22"/>
      <w:bookmarkEnd w:id="23"/>
      <w:bookmarkEnd w:id="24"/>
      <w:bookmarkEnd w:id="25"/>
    </w:p>
    <w:p w14:paraId="7FD591F8">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522C10F">
      <w:pPr>
        <w:rPr>
          <w:rFonts w:ascii="宋体" w:hAnsi="宋体" w:cs="宋体"/>
          <w:color w:val="auto"/>
          <w:szCs w:val="21"/>
          <w:highlight w:val="none"/>
        </w:rPr>
      </w:pPr>
      <w:bookmarkStart w:id="26" w:name="_Toc35393626"/>
      <w:bookmarkStart w:id="27" w:name="_Toc35393795"/>
      <w:r>
        <w:rPr>
          <w:rFonts w:hint="eastAsia" w:ascii="宋体" w:hAnsi="宋体" w:cs="宋体"/>
          <w:color w:val="auto"/>
          <w:szCs w:val="21"/>
          <w:highlight w:val="none"/>
        </w:rPr>
        <w:t>六、其他补充事宜</w:t>
      </w:r>
      <w:bookmarkEnd w:id="26"/>
      <w:bookmarkEnd w:id="27"/>
    </w:p>
    <w:p w14:paraId="7595F22E">
      <w:pPr>
        <w:spacing w:line="380" w:lineRule="exact"/>
        <w:rPr>
          <w:rFonts w:ascii="宋体" w:hAnsi="宋体" w:cs="宋体"/>
          <w:color w:val="auto"/>
          <w:szCs w:val="21"/>
          <w:highlight w:val="none"/>
        </w:rPr>
      </w:pPr>
      <w:bookmarkStart w:id="28" w:name="_Toc28359085"/>
      <w:bookmarkStart w:id="29" w:name="_Toc35393627"/>
      <w:bookmarkStart w:id="30" w:name="_Toc35393796"/>
      <w:bookmarkStart w:id="31" w:name="_Toc28359008"/>
      <w:r>
        <w:rPr>
          <w:rFonts w:hint="eastAsia" w:ascii="宋体" w:hAnsi="宋体" w:cs="宋体"/>
          <w:color w:val="auto"/>
          <w:szCs w:val="21"/>
          <w:highlight w:val="none"/>
        </w:rPr>
        <w:t>1.本项目需要落实的政府采购政策</w:t>
      </w:r>
    </w:p>
    <w:p w14:paraId="672321F8">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（1）《政府采购促进中小企业发展管理办法》（财库[2020]46号），A</w:t>
      </w:r>
      <w:r>
        <w:rPr>
          <w:rFonts w:hint="eastAsia" w:ascii="宋体" w:hAnsi="宋体" w:cs="宋体"/>
          <w:color w:val="auto"/>
          <w:szCs w:val="21"/>
          <w:highlight w:val="none"/>
          <w:lang w:val="en-US" w:eastAsia="zh-CN"/>
        </w:rPr>
        <w:t>BC</w:t>
      </w:r>
      <w:r>
        <w:rPr>
          <w:rFonts w:hint="eastAsia" w:ascii="宋体" w:hAnsi="宋体" w:cs="宋体"/>
          <w:color w:val="auto"/>
          <w:szCs w:val="21"/>
          <w:highlight w:val="none"/>
        </w:rPr>
        <w:t>分标专门面向中小微企业采购，本项目采购标的在 《中小企业划分标准》所属行业为：工业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D</w:t>
      </w:r>
      <w:r>
        <w:rPr>
          <w:rFonts w:hint="eastAsia" w:ascii="宋体" w:hAnsi="宋体" w:cs="宋体"/>
          <w:color w:val="auto"/>
          <w:szCs w:val="21"/>
          <w:highlight w:val="none"/>
        </w:rPr>
        <w:t>分标专门面向小微企业采购，本项目采购标的在 《中小企业划分标准》所属行业为：工业。</w:t>
      </w:r>
    </w:p>
    <w:p w14:paraId="0FE9E69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（2）《关于政府采购支持监狱企业发展有关问题的通知》（财库[2014]68号）。</w:t>
      </w:r>
    </w:p>
    <w:p w14:paraId="41C4D86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（3）《关于促进残疾人就业政府采购政策的通知》（财库[2017]141号）。</w:t>
      </w:r>
    </w:p>
    <w:p w14:paraId="33152810">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（4）强制采购节能产品、优先采购节能产品、环境标志产品。</w:t>
      </w:r>
    </w:p>
    <w:p w14:paraId="2D3A14D9">
      <w:pPr>
        <w:spacing w:line="380" w:lineRule="exact"/>
        <w:rPr>
          <w:rFonts w:ascii="宋体" w:hAnsi="宋体" w:cs="宋体"/>
          <w:color w:val="auto"/>
          <w:szCs w:val="21"/>
          <w:highlight w:val="none"/>
        </w:rPr>
      </w:pPr>
      <w:r>
        <w:rPr>
          <w:rFonts w:hint="eastAsia" w:ascii="宋体" w:hAnsi="宋体" w:cs="宋体"/>
          <w:color w:val="auto"/>
          <w:szCs w:val="21"/>
          <w:highlight w:val="none"/>
        </w:rPr>
        <w:t>2.信息公告发布媒体：</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1"/>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（中国政府采购网）、zfcg.gxzf.gov.cn（广西壮族自治区政府采购网）、桂林市政府采购网（zfcg.czj.guilin.gov.cn）。</w:t>
      </w:r>
    </w:p>
    <w:p w14:paraId="4ED29C20">
      <w:pPr>
        <w:spacing w:line="380" w:lineRule="exact"/>
        <w:rPr>
          <w:rFonts w:ascii="宋体" w:hAnsi="宋体" w:cs="宋体"/>
          <w:color w:val="auto"/>
          <w:szCs w:val="21"/>
          <w:highlight w:val="none"/>
        </w:rPr>
      </w:pPr>
      <w:r>
        <w:rPr>
          <w:rFonts w:hint="eastAsia" w:ascii="宋体" w:hAnsi="宋体" w:cs="宋体"/>
          <w:color w:val="auto"/>
          <w:szCs w:val="21"/>
          <w:highlight w:val="none"/>
        </w:rPr>
        <w:t>3.特别说明：</w:t>
      </w:r>
    </w:p>
    <w:p w14:paraId="169704D4">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8B4AC7E">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87D147C">
      <w:pPr>
        <w:spacing w:line="380" w:lineRule="exact"/>
        <w:rPr>
          <w:rFonts w:ascii="宋体" w:hAnsi="宋体" w:cs="宋体"/>
          <w:color w:val="auto"/>
          <w:szCs w:val="21"/>
          <w:highlight w:val="none"/>
        </w:rPr>
      </w:pPr>
      <w:r>
        <w:rPr>
          <w:rFonts w:hint="eastAsia" w:ascii="宋体" w:hAnsi="宋体" w:cs="宋体"/>
          <w:color w:val="auto"/>
          <w:szCs w:val="21"/>
          <w:highlight w:val="none"/>
        </w:rPr>
        <w:t>4.投标文件解密时间：截标时间后30分钟内（202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日9时30分至10时00分)投标人可以登录广西政府采购云平台，用“项目采购-开标评标”功能进行解密投标文件。若投标人在规定时间内无法解密或解密失败，可以以电子备份投标文件作为依据</w:t>
      </w:r>
      <w:r>
        <w:rPr>
          <w:rFonts w:hint="eastAsia" w:ascii="宋体" w:hAnsi="宋体" w:cs="宋体"/>
          <w:b/>
          <w:color w:val="auto"/>
          <w:szCs w:val="21"/>
          <w:highlight w:val="none"/>
        </w:rPr>
        <w:t>【在接到无法解密或解密失败的通知后，投标人可根据自身实际情况按通知时要求的时间到桂林市公共资源交易中心</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号</w:t>
      </w:r>
      <w:r>
        <w:rPr>
          <w:rFonts w:hint="eastAsia" w:ascii="宋体" w:hAnsi="宋体" w:cs="宋体"/>
          <w:b/>
          <w:color w:val="auto"/>
          <w:szCs w:val="21"/>
          <w:highlight w:val="none"/>
          <w:lang w:val="en-US" w:eastAsia="zh-CN"/>
        </w:rPr>
        <w:t>政府采购</w:t>
      </w:r>
      <w:r>
        <w:rPr>
          <w:rFonts w:hint="eastAsia" w:ascii="宋体" w:hAnsi="宋体" w:cs="宋体"/>
          <w:b/>
          <w:color w:val="auto"/>
          <w:szCs w:val="21"/>
          <w:highlight w:val="none"/>
        </w:rPr>
        <w:t>开标</w:t>
      </w:r>
      <w:r>
        <w:rPr>
          <w:rFonts w:hint="eastAsia" w:ascii="宋体" w:hAnsi="宋体" w:cs="宋体"/>
          <w:b/>
          <w:color w:val="auto"/>
          <w:szCs w:val="21"/>
          <w:highlight w:val="none"/>
          <w:lang w:val="en-US" w:eastAsia="zh-CN"/>
        </w:rPr>
        <w:t>仓</w:t>
      </w:r>
      <w:r>
        <w:rPr>
          <w:rFonts w:hint="eastAsia" w:ascii="宋体" w:hAnsi="宋体" w:cs="宋体"/>
          <w:b/>
          <w:color w:val="auto"/>
          <w:szCs w:val="21"/>
          <w:highlight w:val="none"/>
        </w:rPr>
        <w:t>现场提交或以电子邮件的形式（以通知时所告知的电子邮箱地址为准）提交电子备份投标文件】</w:t>
      </w:r>
      <w:r>
        <w:rPr>
          <w:rFonts w:hint="eastAsia" w:ascii="宋体" w:hAnsi="宋体" w:cs="宋体"/>
          <w:color w:val="auto"/>
          <w:szCs w:val="21"/>
          <w:highlight w:val="none"/>
        </w:rPr>
        <w:t>，若投标人在规定时间内无法解密或解密失败且未提供电子备份投标文件的(包含提供的电子备份文件无效或无法解密的情况)，视为投标无效。</w:t>
      </w:r>
    </w:p>
    <w:p w14:paraId="6D43BDD8">
      <w:pPr>
        <w:spacing w:line="380" w:lineRule="exact"/>
        <w:rPr>
          <w:rFonts w:ascii="宋体" w:hAnsi="宋体" w:cs="宋体"/>
          <w:color w:val="auto"/>
          <w:szCs w:val="21"/>
          <w:highlight w:val="none"/>
        </w:rPr>
      </w:pPr>
      <w:r>
        <w:rPr>
          <w:rFonts w:hint="eastAsia" w:ascii="宋体" w:hAnsi="宋体" w:cs="宋体"/>
          <w:color w:val="auto"/>
          <w:szCs w:val="21"/>
          <w:highlight w:val="none"/>
        </w:rPr>
        <w:t>5.在线投标（电子投标）说明</w:t>
      </w:r>
    </w:p>
    <w:p w14:paraId="02B76400">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实行在线投标响应（电子投标），投标人需要先安装“政采云电子交易客户端”，并按照本招标文件和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的要求，通过“政采云电子交易客户端”编制并加密投标文件。投标人未按规定编制并加密的投标文件，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将予以拒收。</w:t>
      </w:r>
    </w:p>
    <w:p w14:paraId="6E263F7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采云电子交易客户端”请自行前往广西政府采购网下载并安装（http://www.ccgp-guangxi.gov.cn/OfficeService/DownloadArea/2455918.html?utm=sites_group_front.b8b6c91.0.0.c51f9820a48111eabb9bcbdf01af125e）；电子投标具体操作流程参考《政府采购项目电子交易管理操作指南-供应商》；在使用政采云投标客户端时，建议使用WIN7及以上操作系统,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参与在线投标时如遇平台技术问题详询95763。</w:t>
      </w:r>
    </w:p>
    <w:p w14:paraId="5667A41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为确保网上操作合法、有效和安全，投标人应当在投标截止时间前完成在“政府采购云平台”的身份认证，确保在电子投标过程中能够对相关数据电子文件进行加密和使用电子签章。使用“政采云电子交易客户端”需要提前申领CA数字证书，申领流程请自行前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网站进行查阅；</w:t>
      </w:r>
      <w:r>
        <w:rPr>
          <w:rFonts w:hint="eastAsia" w:ascii="宋体" w:hAnsi="宋体" w:cs="宋体"/>
          <w:b/>
          <w:color w:val="auto"/>
          <w:szCs w:val="21"/>
          <w:highlight w:val="none"/>
        </w:rPr>
        <w:t>（完成CA数字证书办理预计一周左右，建议供应商获取投标文件后立即办理。）</w:t>
      </w:r>
    </w:p>
    <w:p w14:paraId="41A89E5E">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（3）投标人应当在投标截止时间前，将生成的“投标文件”上传递交至</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。投标文件递交截止时间前可以撤回电子投标文件。补充或者修改电子投标文件的，应当先行撤回原文件，补充、修改后重新传输递交，投标文件递交截止时间前未完成传输的，视为撤回投标文件。</w:t>
      </w:r>
    </w:p>
    <w:p w14:paraId="6A3112D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14:paraId="52072708">
      <w:pPr>
        <w:rPr>
          <w:rFonts w:ascii="宋体" w:hAnsi="宋体" w:cs="宋体"/>
          <w:color w:val="auto"/>
          <w:szCs w:val="21"/>
          <w:highlight w:val="none"/>
        </w:rPr>
      </w:pPr>
      <w:r>
        <w:rPr>
          <w:rFonts w:hint="eastAsia" w:ascii="宋体" w:hAnsi="宋体" w:cs="宋体"/>
          <w:color w:val="auto"/>
          <w:szCs w:val="21"/>
          <w:highlight w:val="none"/>
        </w:rPr>
        <w:t>七、对本次招标提出询问，请按以下方式联系。</w:t>
      </w:r>
      <w:bookmarkEnd w:id="28"/>
      <w:bookmarkEnd w:id="29"/>
      <w:bookmarkEnd w:id="30"/>
      <w:bookmarkEnd w:id="31"/>
    </w:p>
    <w:p w14:paraId="1BD70000">
      <w:pPr>
        <w:widowControl/>
        <w:spacing w:line="380" w:lineRule="exact"/>
        <w:jc w:val="left"/>
        <w:rPr>
          <w:rFonts w:ascii="宋体" w:hAnsi="宋体" w:cs="宋体"/>
          <w:color w:val="auto"/>
          <w:szCs w:val="21"/>
          <w:highlight w:val="none"/>
        </w:rPr>
      </w:pPr>
      <w:r>
        <w:rPr>
          <w:rFonts w:hint="eastAsia" w:ascii="宋体" w:hAnsi="宋体" w:cs="宋体"/>
          <w:color w:val="auto"/>
          <w:szCs w:val="21"/>
          <w:highlight w:val="none"/>
        </w:rPr>
        <w:t>　　　1.采购人信息</w:t>
      </w:r>
    </w:p>
    <w:p w14:paraId="0B3098E5">
      <w:pPr>
        <w:spacing w:line="380" w:lineRule="exact"/>
        <w:ind w:left="1041" w:leftChars="371" w:hanging="262" w:hangingChars="125"/>
        <w:jc w:val="left"/>
        <w:rPr>
          <w:rFonts w:ascii="宋体" w:hAnsi="宋体" w:cs="宋体"/>
          <w:color w:val="auto"/>
          <w:szCs w:val="21"/>
          <w:highlight w:val="none"/>
        </w:rPr>
      </w:pPr>
      <w:bookmarkStart w:id="32" w:name="_Toc28359009"/>
      <w:bookmarkStart w:id="33" w:name="_Toc28359086"/>
      <w:r>
        <w:rPr>
          <w:rFonts w:hint="eastAsia" w:ascii="宋体" w:hAnsi="宋体" w:cs="宋体"/>
          <w:color w:val="auto"/>
          <w:szCs w:val="21"/>
          <w:highlight w:val="none"/>
        </w:rPr>
        <w:t>名    称：</w:t>
      </w:r>
      <w:r>
        <w:rPr>
          <w:rFonts w:hint="eastAsia" w:ascii="宋体" w:hAnsi="宋体" w:cs="宋体"/>
          <w:color w:val="auto"/>
          <w:szCs w:val="21"/>
          <w:highlight w:val="none"/>
          <w:u w:val="single"/>
        </w:rPr>
        <w:t>桂林市退役军人事务局</w:t>
      </w:r>
    </w:p>
    <w:p w14:paraId="7BC3FACF">
      <w:pPr>
        <w:spacing w:line="380" w:lineRule="exact"/>
        <w:ind w:left="1041" w:leftChars="371" w:hanging="262" w:hangingChars="125"/>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桂林市临桂区青莲路建设大厦北楼2楼</w:t>
      </w:r>
    </w:p>
    <w:p w14:paraId="24ECC727">
      <w:pPr>
        <w:spacing w:line="380" w:lineRule="exact"/>
        <w:ind w:left="1041" w:leftChars="371" w:hanging="262" w:hangingChars="125"/>
        <w:jc w:val="left"/>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0773-5625281</w:t>
      </w:r>
    </w:p>
    <w:p w14:paraId="3B474D15">
      <w:pPr>
        <w:spacing w:line="38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2.采购代理机构信息</w:t>
      </w:r>
      <w:bookmarkEnd w:id="32"/>
      <w:bookmarkEnd w:id="33"/>
    </w:p>
    <w:p w14:paraId="4378719E">
      <w:pPr>
        <w:spacing w:line="38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广西嘉弘项目管理有限公司</w:t>
      </w:r>
    </w:p>
    <w:p w14:paraId="30FC2BCD">
      <w:pPr>
        <w:spacing w:line="38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桂林市秀峰区翠竹路23号41栋</w:t>
      </w:r>
    </w:p>
    <w:p w14:paraId="0A7BFD2F">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联系方式：</w:t>
      </w:r>
      <w:bookmarkStart w:id="34" w:name="_Toc28359087"/>
      <w:bookmarkStart w:id="35" w:name="_Toc28359010"/>
      <w:r>
        <w:rPr>
          <w:rFonts w:hint="eastAsia" w:ascii="宋体" w:hAnsi="宋体" w:cs="宋体"/>
          <w:color w:val="auto"/>
          <w:szCs w:val="21"/>
          <w:highlight w:val="none"/>
          <w:u w:val="single"/>
        </w:rPr>
        <w:t>0773-3861313</w:t>
      </w:r>
      <w:r>
        <w:rPr>
          <w:rFonts w:hint="eastAsia" w:ascii="宋体" w:hAnsi="宋体" w:cs="宋体"/>
          <w:color w:val="auto"/>
          <w:szCs w:val="21"/>
          <w:highlight w:val="none"/>
        </w:rPr>
        <w:t>3</w:t>
      </w:r>
    </w:p>
    <w:p w14:paraId="5A2B047E">
      <w:pPr>
        <w:spacing w:line="38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项目联系方式</w:t>
      </w:r>
      <w:bookmarkEnd w:id="34"/>
      <w:bookmarkEnd w:id="35"/>
    </w:p>
    <w:p w14:paraId="5B410357">
      <w:pPr>
        <w:pStyle w:val="17"/>
        <w:spacing w:line="380" w:lineRule="exact"/>
        <w:ind w:firstLine="630" w:firstLineChars="300"/>
        <w:rPr>
          <w:rFonts w:hAnsi="宋体" w:cs="宋体"/>
          <w:color w:val="auto"/>
          <w:szCs w:val="21"/>
          <w:highlight w:val="none"/>
        </w:rPr>
      </w:pPr>
      <w:r>
        <w:rPr>
          <w:rFonts w:hint="eastAsia" w:hAnsi="宋体" w:cs="宋体"/>
          <w:color w:val="auto"/>
          <w:szCs w:val="21"/>
          <w:highlight w:val="none"/>
        </w:rPr>
        <w:t>项目联系人：</w:t>
      </w:r>
      <w:r>
        <w:rPr>
          <w:rFonts w:hint="eastAsia" w:hAnsi="宋体" w:cs="宋体"/>
          <w:color w:val="auto"/>
          <w:szCs w:val="21"/>
          <w:highlight w:val="none"/>
          <w:u w:val="single"/>
          <w:lang w:val="en-US" w:eastAsia="zh-CN"/>
        </w:rPr>
        <w:t>申</w:t>
      </w:r>
      <w:r>
        <w:rPr>
          <w:rFonts w:hint="eastAsia" w:hAnsi="宋体" w:cs="宋体"/>
          <w:color w:val="auto"/>
          <w:szCs w:val="21"/>
          <w:highlight w:val="none"/>
          <w:u w:val="single"/>
        </w:rPr>
        <w:t>工</w:t>
      </w:r>
    </w:p>
    <w:p w14:paraId="4E8E42BF">
      <w:pPr>
        <w:spacing w:line="38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0773-3861313</w:t>
      </w:r>
    </w:p>
    <w:p w14:paraId="42B67E85">
      <w:pPr>
        <w:pStyle w:val="27"/>
        <w:spacing w:beforeAutospacing="0" w:afterAutospacing="0" w:line="440" w:lineRule="exact"/>
        <w:ind w:left="420" w:leftChars="200" w:firstLine="3570" w:firstLineChars="1700"/>
        <w:rPr>
          <w:rFonts w:ascii="宋体" w:hAnsi="宋体" w:cs="微软雅黑"/>
          <w:bCs/>
          <w:color w:val="auto"/>
          <w:kern w:val="0"/>
          <w:szCs w:val="21"/>
          <w:highlight w:val="none"/>
          <w:shd w:val="clear" w:color="auto" w:fill="FFFFFF"/>
        </w:rPr>
      </w:pPr>
      <w:r>
        <w:rPr>
          <w:rFonts w:hint="eastAsia" w:cs="微软雅黑"/>
          <w:bCs/>
          <w:color w:val="auto"/>
          <w:sz w:val="21"/>
          <w:szCs w:val="21"/>
          <w:highlight w:val="none"/>
          <w:shd w:val="clear" w:color="auto" w:fill="FFFFFF"/>
        </w:rPr>
        <w:t>采购人：桂林市退役军人事务局</w:t>
      </w:r>
    </w:p>
    <w:p w14:paraId="1DB79596">
      <w:pPr>
        <w:spacing w:line="440" w:lineRule="exact"/>
        <w:ind w:right="240"/>
        <w:jc w:val="center"/>
        <w:rPr>
          <w:rFonts w:ascii="宋体" w:hAnsi="宋体" w:cs="微软雅黑"/>
          <w:bCs/>
          <w:color w:val="auto"/>
          <w:kern w:val="0"/>
          <w:szCs w:val="21"/>
          <w:highlight w:val="none"/>
          <w:shd w:val="clear" w:color="auto" w:fill="FFFFFF"/>
        </w:rPr>
      </w:pPr>
      <w:r>
        <w:rPr>
          <w:rFonts w:hint="eastAsia" w:ascii="宋体" w:hAnsi="宋体" w:cs="微软雅黑"/>
          <w:bCs/>
          <w:color w:val="auto"/>
          <w:kern w:val="0"/>
          <w:szCs w:val="21"/>
          <w:highlight w:val="none"/>
          <w:shd w:val="clear" w:color="auto" w:fill="FFFFFF"/>
        </w:rPr>
        <w:t xml:space="preserve">                          采购代理机构：广西嘉弘项目管理有限公司 </w:t>
      </w:r>
    </w:p>
    <w:p w14:paraId="246E8261">
      <w:pPr>
        <w:spacing w:line="440" w:lineRule="exact"/>
        <w:ind w:right="240"/>
        <w:jc w:val="center"/>
        <w:rPr>
          <w:rFonts w:ascii="宋体" w:hAnsi="宋体" w:cs="微软雅黑"/>
          <w:bCs/>
          <w:color w:val="auto"/>
          <w:kern w:val="0"/>
          <w:szCs w:val="21"/>
          <w:highlight w:val="none"/>
          <w:shd w:val="clear" w:color="auto" w:fill="FFFFFF"/>
        </w:rPr>
      </w:pPr>
      <w:r>
        <w:rPr>
          <w:rFonts w:hint="eastAsia" w:ascii="宋体" w:hAnsi="宋体" w:cs="微软雅黑"/>
          <w:bCs/>
          <w:color w:val="auto"/>
          <w:kern w:val="0"/>
          <w:szCs w:val="21"/>
          <w:highlight w:val="none"/>
          <w:shd w:val="clear" w:color="auto" w:fill="FFFFFF"/>
        </w:rPr>
        <w:t xml:space="preserve">                          202</w:t>
      </w:r>
      <w:r>
        <w:rPr>
          <w:rFonts w:hint="eastAsia" w:ascii="宋体" w:hAnsi="宋体" w:cs="微软雅黑"/>
          <w:bCs/>
          <w:color w:val="auto"/>
          <w:kern w:val="0"/>
          <w:szCs w:val="21"/>
          <w:highlight w:val="none"/>
          <w:shd w:val="clear" w:color="auto" w:fill="FFFFFF"/>
          <w:lang w:val="en-US" w:eastAsia="zh-CN"/>
        </w:rPr>
        <w:t>4</w:t>
      </w:r>
      <w:r>
        <w:rPr>
          <w:rFonts w:hint="eastAsia" w:ascii="宋体" w:hAnsi="宋体" w:cs="微软雅黑"/>
          <w:bCs/>
          <w:color w:val="auto"/>
          <w:kern w:val="0"/>
          <w:szCs w:val="21"/>
          <w:highlight w:val="none"/>
          <w:shd w:val="clear" w:color="auto" w:fill="FFFFFF"/>
        </w:rPr>
        <w:t>年</w:t>
      </w:r>
      <w:r>
        <w:rPr>
          <w:rFonts w:hint="eastAsia" w:ascii="宋体" w:hAnsi="宋体" w:cs="微软雅黑"/>
          <w:bCs/>
          <w:color w:val="auto"/>
          <w:kern w:val="0"/>
          <w:szCs w:val="21"/>
          <w:highlight w:val="none"/>
          <w:shd w:val="clear" w:color="auto" w:fill="FFFFFF"/>
          <w:lang w:val="en-US" w:eastAsia="zh-CN"/>
        </w:rPr>
        <w:t>12</w:t>
      </w:r>
      <w:r>
        <w:rPr>
          <w:rFonts w:hint="eastAsia" w:ascii="宋体" w:hAnsi="宋体" w:cs="微软雅黑"/>
          <w:bCs/>
          <w:color w:val="auto"/>
          <w:kern w:val="0"/>
          <w:szCs w:val="21"/>
          <w:highlight w:val="none"/>
          <w:shd w:val="clear" w:color="auto" w:fill="FFFFFF"/>
        </w:rPr>
        <w:t>月</w:t>
      </w:r>
      <w:r>
        <w:rPr>
          <w:rFonts w:hint="eastAsia" w:ascii="宋体" w:hAnsi="宋体" w:cs="微软雅黑"/>
          <w:bCs/>
          <w:color w:val="auto"/>
          <w:kern w:val="0"/>
          <w:szCs w:val="21"/>
          <w:highlight w:val="none"/>
          <w:shd w:val="clear" w:color="auto" w:fill="FFFFFF"/>
          <w:lang w:val="en-US" w:eastAsia="zh-CN"/>
        </w:rPr>
        <w:t>26</w:t>
      </w:r>
      <w:r>
        <w:rPr>
          <w:rFonts w:hint="eastAsia" w:ascii="宋体" w:hAnsi="宋体" w:cs="微软雅黑"/>
          <w:bCs/>
          <w:color w:val="auto"/>
          <w:kern w:val="0"/>
          <w:szCs w:val="21"/>
          <w:highlight w:val="none"/>
          <w:shd w:val="clear" w:color="auto" w:fill="FFFFFF"/>
        </w:rPr>
        <w:t>日</w:t>
      </w:r>
    </w:p>
    <w:p w14:paraId="3D796238">
      <w:pPr>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br w:type="page"/>
      </w:r>
      <w:bookmarkStart w:id="36" w:name="_Toc12553"/>
      <w:bookmarkStart w:id="37" w:name="_Toc8888"/>
      <w:bookmarkStart w:id="38" w:name="_Toc6817"/>
      <w:bookmarkStart w:id="39" w:name="_Toc11477"/>
      <w:r>
        <w:rPr>
          <w:rFonts w:hint="eastAsia" w:ascii="宋体" w:hAnsi="宋体" w:cs="宋体"/>
          <w:b/>
          <w:bCs/>
          <w:color w:val="auto"/>
          <w:kern w:val="44"/>
          <w:sz w:val="32"/>
          <w:szCs w:val="32"/>
          <w:highlight w:val="none"/>
        </w:rPr>
        <w:t>第二章  投标人须知</w:t>
      </w:r>
      <w:bookmarkEnd w:id="36"/>
      <w:bookmarkEnd w:id="37"/>
      <w:bookmarkEnd w:id="38"/>
      <w:bookmarkEnd w:id="39"/>
    </w:p>
    <w:p w14:paraId="05CA908A">
      <w:pPr>
        <w:tabs>
          <w:tab w:val="left" w:pos="1065"/>
          <w:tab w:val="center" w:pos="4411"/>
        </w:tabs>
        <w:spacing w:line="440" w:lineRule="exact"/>
        <w:jc w:val="center"/>
        <w:outlineLvl w:val="1"/>
        <w:rPr>
          <w:rFonts w:ascii="宋体" w:hAnsi="宋体" w:cs="宋体"/>
          <w:b/>
          <w:color w:val="auto"/>
          <w:sz w:val="24"/>
          <w:highlight w:val="none"/>
        </w:rPr>
      </w:pPr>
      <w:bookmarkStart w:id="40" w:name="_Toc14561"/>
      <w:bookmarkStart w:id="41" w:name="_Toc17978"/>
      <w:bookmarkStart w:id="42" w:name="_Toc14222"/>
      <w:bookmarkStart w:id="43" w:name="_Toc495841753"/>
      <w:bookmarkStart w:id="44" w:name="_Toc26457"/>
      <w:r>
        <w:rPr>
          <w:rFonts w:hint="eastAsia" w:ascii="宋体" w:hAnsi="宋体" w:cs="宋体"/>
          <w:b/>
          <w:color w:val="auto"/>
          <w:sz w:val="24"/>
          <w:highlight w:val="none"/>
        </w:rPr>
        <w:t>投标人须知前附表</w:t>
      </w:r>
      <w:bookmarkEnd w:id="40"/>
      <w:bookmarkEnd w:id="41"/>
      <w:bookmarkEnd w:id="42"/>
      <w:bookmarkEnd w:id="43"/>
      <w:bookmarkEnd w:id="44"/>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14:paraId="76FB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456" w:type="dxa"/>
            <w:shd w:val="clear" w:color="auto" w:fill="8DB3E2"/>
            <w:vAlign w:val="center"/>
          </w:tcPr>
          <w:p w14:paraId="4CE9E740">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63" w:type="dxa"/>
            <w:shd w:val="clear" w:color="auto" w:fill="8DB3E2"/>
            <w:vAlign w:val="center"/>
          </w:tcPr>
          <w:p w14:paraId="03F8C935">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587" w:type="dxa"/>
            <w:shd w:val="clear" w:color="auto" w:fill="8DB3E2"/>
            <w:vAlign w:val="center"/>
          </w:tcPr>
          <w:p w14:paraId="71A7638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7011" w:type="dxa"/>
            <w:shd w:val="clear" w:color="auto" w:fill="8DB3E2"/>
            <w:vAlign w:val="center"/>
          </w:tcPr>
          <w:p w14:paraId="6A8D9AAE">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内容、要求</w:t>
            </w:r>
          </w:p>
        </w:tc>
      </w:tr>
      <w:tr w14:paraId="4777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3DB208A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63" w:type="dxa"/>
            <w:vAlign w:val="center"/>
          </w:tcPr>
          <w:p w14:paraId="780D08B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7" w:type="dxa"/>
            <w:vAlign w:val="center"/>
          </w:tcPr>
          <w:p w14:paraId="21E7334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项目名称及项目编号</w:t>
            </w:r>
          </w:p>
        </w:tc>
        <w:tc>
          <w:tcPr>
            <w:tcW w:w="7011" w:type="dxa"/>
            <w:vAlign w:val="center"/>
          </w:tcPr>
          <w:p w14:paraId="3C0F16EF">
            <w:pPr>
              <w:spacing w:line="340" w:lineRule="exact"/>
              <w:rPr>
                <w:rFonts w:ascii="宋体" w:hAnsi="宋体" w:cs="宋体"/>
                <w:color w:val="auto"/>
                <w:szCs w:val="21"/>
                <w:highlight w:val="none"/>
              </w:rPr>
            </w:pPr>
            <w:r>
              <w:rPr>
                <w:rFonts w:hint="eastAsia" w:ascii="宋体" w:hAnsi="宋体" w:cs="宋体"/>
                <w:color w:val="auto"/>
                <w:szCs w:val="21"/>
                <w:highlight w:val="none"/>
              </w:rPr>
              <w:t>项目名称：2025年春节拥军优属慰问活动慰问品采购</w:t>
            </w:r>
          </w:p>
          <w:p w14:paraId="7B5986D6">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项目编号：GLZC2024-G1-991054-GXJH</w:t>
            </w:r>
            <w:r>
              <w:rPr>
                <w:rFonts w:hint="eastAsia" w:ascii="宋体" w:hAnsi="宋体" w:cs="宋体"/>
                <w:color w:val="auto"/>
                <w:szCs w:val="21"/>
                <w:highlight w:val="none"/>
                <w:lang w:val="en-US" w:eastAsia="zh-CN"/>
              </w:rPr>
              <w:t xml:space="preserve"> </w:t>
            </w:r>
          </w:p>
        </w:tc>
      </w:tr>
      <w:tr w14:paraId="3D4A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456" w:type="dxa"/>
            <w:vAlign w:val="center"/>
          </w:tcPr>
          <w:p w14:paraId="025B1D6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63" w:type="dxa"/>
            <w:vAlign w:val="center"/>
          </w:tcPr>
          <w:p w14:paraId="7E5D12D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587" w:type="dxa"/>
            <w:vAlign w:val="center"/>
          </w:tcPr>
          <w:p w14:paraId="62BF47D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投标人资格</w:t>
            </w:r>
          </w:p>
        </w:tc>
        <w:tc>
          <w:tcPr>
            <w:tcW w:w="7011" w:type="dxa"/>
            <w:vAlign w:val="center"/>
          </w:tcPr>
          <w:p w14:paraId="01AB73F1">
            <w:pPr>
              <w:spacing w:line="400" w:lineRule="exact"/>
              <w:rPr>
                <w:rFonts w:ascii="宋体" w:hAnsi="宋体" w:cs="宋体"/>
                <w:color w:val="auto"/>
                <w:highlight w:val="none"/>
              </w:rPr>
            </w:pPr>
            <w:r>
              <w:rPr>
                <w:rFonts w:hint="eastAsia" w:ascii="宋体" w:hAnsi="宋体" w:cs="宋体"/>
                <w:color w:val="auto"/>
                <w:highlight w:val="none"/>
              </w:rPr>
              <w:t>5.1符合《中华人民共和国政府采购法》第二十二条和《政府采购法实施条例》第十八条规定，并且在国内注册或登记、具备合法资格，提供本次采购货物或服务的供应商。</w:t>
            </w:r>
          </w:p>
          <w:p w14:paraId="3D01A050">
            <w:pPr>
              <w:spacing w:line="400" w:lineRule="exact"/>
              <w:rPr>
                <w:rFonts w:ascii="宋体" w:hAnsi="宋体" w:cs="宋体"/>
                <w:color w:val="auto"/>
                <w:highlight w:val="none"/>
              </w:rPr>
            </w:pPr>
            <w:r>
              <w:rPr>
                <w:rFonts w:hint="eastAsia" w:ascii="宋体" w:hAnsi="宋体" w:cs="宋体"/>
                <w:color w:val="auto"/>
                <w:highlight w:val="none"/>
              </w:rPr>
              <w:t>5.2 本项目不接受联合体投标。</w:t>
            </w:r>
          </w:p>
          <w:p w14:paraId="729DD22D">
            <w:pPr>
              <w:spacing w:line="400" w:lineRule="exact"/>
              <w:rPr>
                <w:rFonts w:ascii="宋体" w:hAnsi="宋体" w:cs="宋体"/>
                <w:color w:val="auto"/>
                <w:highlight w:val="none"/>
              </w:rPr>
            </w:pPr>
            <w:r>
              <w:rPr>
                <w:rFonts w:hint="eastAsia" w:ascii="宋体" w:hAnsi="宋体" w:cs="宋体"/>
                <w:color w:val="auto"/>
                <w:highlight w:val="none"/>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0298C8D">
            <w:pPr>
              <w:spacing w:line="380" w:lineRule="exact"/>
              <w:ind w:firstLine="420" w:firstLineChars="200"/>
              <w:rPr>
                <w:rFonts w:ascii="宋体" w:hAnsi="宋体" w:cs="宋体"/>
                <w:color w:val="auto"/>
                <w:highlight w:val="none"/>
              </w:rPr>
            </w:pPr>
            <w:r>
              <w:rPr>
                <w:rFonts w:hint="eastAsia" w:ascii="宋体" w:hAnsi="宋体" w:cs="宋体"/>
                <w:color w:val="auto"/>
                <w:highlight w:val="none"/>
              </w:rPr>
              <w:t>5.4落实政府采购政策需满足的资格要求：</w:t>
            </w: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BC</w:t>
            </w:r>
            <w:r>
              <w:rPr>
                <w:rFonts w:hint="eastAsia" w:ascii="宋体" w:hAnsi="宋体" w:cs="宋体"/>
                <w:color w:val="auto"/>
                <w:szCs w:val="21"/>
                <w:highlight w:val="none"/>
              </w:rPr>
              <w:t>分标专门面向中小微企业采购，本项目采购标的在 《中小企业划分标准》所属行业为：工业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D</w:t>
            </w:r>
            <w:r>
              <w:rPr>
                <w:rFonts w:hint="eastAsia" w:ascii="宋体" w:hAnsi="宋体" w:cs="宋体"/>
                <w:color w:val="auto"/>
                <w:szCs w:val="21"/>
                <w:highlight w:val="none"/>
              </w:rPr>
              <w:t>分标专门面向小微企业采购，本项目采购标的在 《中小企业划分标准》所属行业为：工业。</w:t>
            </w:r>
          </w:p>
          <w:p w14:paraId="2340A770">
            <w:pPr>
              <w:spacing w:line="380" w:lineRule="exact"/>
              <w:ind w:firstLine="420" w:firstLineChars="200"/>
              <w:rPr>
                <w:color w:val="auto"/>
                <w:highlight w:val="none"/>
              </w:rPr>
            </w:pPr>
            <w:r>
              <w:rPr>
                <w:rFonts w:hint="eastAsia" w:ascii="宋体" w:hAnsi="宋体" w:cs="宋体"/>
                <w:color w:val="auto"/>
                <w:highlight w:val="none"/>
              </w:rPr>
              <w:t>5.5本项目的特定资格要求：</w:t>
            </w:r>
            <w:r>
              <w:rPr>
                <w:rFonts w:hint="eastAsia" w:ascii="宋体" w:hAnsi="宋体" w:cs="宋体"/>
                <w:color w:val="auto"/>
                <w:szCs w:val="21"/>
                <w:highlight w:val="none"/>
                <w:lang w:val="en-US" w:eastAsia="zh-CN"/>
              </w:rPr>
              <w:t>A分标：无；B分标：无；C分标：</w:t>
            </w:r>
            <w:r>
              <w:rPr>
                <w:rFonts w:ascii="宋体" w:hAnsi="宋体" w:cs="宋体"/>
                <w:color w:val="auto"/>
                <w:szCs w:val="21"/>
                <w:highlight w:val="none"/>
              </w:rPr>
              <w:t>投标人按《医疗器械监督管理条例》（国务院令第 739 号）医疗器械分类管理要求具备有效的医疗器械经营备案凭证或者医疗器械经营许可证，且经营范围必须包含采购的医疗器械标的[符合《医疗器械监督管理条例》第四十一条第二款规定的除外]</w:t>
            </w:r>
            <w:r>
              <w:rPr>
                <w:rFonts w:hint="eastAsia" w:ascii="宋体" w:hAnsi="宋体" w:cs="宋体"/>
                <w:color w:val="auto"/>
                <w:szCs w:val="21"/>
                <w:highlight w:val="none"/>
              </w:rPr>
              <w:t>，所投产品尿酸/血糖分析仪生产厂家具有医疗器械生产许可证，所投产品尿酸/血糖分析仪具有注册凭证或备案凭证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D分标：无。</w:t>
            </w:r>
          </w:p>
        </w:tc>
      </w:tr>
      <w:tr w14:paraId="0426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vAlign w:val="center"/>
          </w:tcPr>
          <w:p w14:paraId="4AD2491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3" w:type="dxa"/>
            <w:vAlign w:val="center"/>
          </w:tcPr>
          <w:p w14:paraId="4D85EEF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587" w:type="dxa"/>
            <w:vAlign w:val="center"/>
          </w:tcPr>
          <w:p w14:paraId="367C14E2">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投标费用</w:t>
            </w:r>
          </w:p>
        </w:tc>
        <w:tc>
          <w:tcPr>
            <w:tcW w:w="7011" w:type="dxa"/>
            <w:vAlign w:val="center"/>
          </w:tcPr>
          <w:p w14:paraId="672896A8">
            <w:pPr>
              <w:spacing w:line="400" w:lineRule="exact"/>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tc>
      </w:tr>
      <w:tr w14:paraId="38CC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72A4EC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63" w:type="dxa"/>
            <w:vAlign w:val="center"/>
          </w:tcPr>
          <w:p w14:paraId="471FCA07">
            <w:pPr>
              <w:spacing w:line="36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1587" w:type="dxa"/>
            <w:vAlign w:val="center"/>
          </w:tcPr>
          <w:p w14:paraId="65B6B79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采购预算金额及投标报价</w:t>
            </w:r>
          </w:p>
        </w:tc>
        <w:tc>
          <w:tcPr>
            <w:tcW w:w="7011" w:type="dxa"/>
            <w:vAlign w:val="center"/>
          </w:tcPr>
          <w:p w14:paraId="30B0ECBF">
            <w:pPr>
              <w:spacing w:line="360" w:lineRule="exact"/>
              <w:rPr>
                <w:rFonts w:ascii="宋体" w:hAnsi="宋体" w:cs="宋体"/>
                <w:color w:val="auto"/>
                <w:szCs w:val="21"/>
                <w:highlight w:val="none"/>
              </w:rPr>
            </w:pPr>
            <w:r>
              <w:rPr>
                <w:rFonts w:hint="eastAsia" w:ascii="宋体" w:hAnsi="宋体" w:cs="宋体"/>
                <w:color w:val="auto"/>
                <w:szCs w:val="21"/>
                <w:highlight w:val="none"/>
              </w:rPr>
              <w:t>15.1投标报价应按招标文件中第六章“投标文件（格式）”填写，</w:t>
            </w:r>
            <w:r>
              <w:rPr>
                <w:rFonts w:hint="eastAsia" w:ascii="宋体" w:hAnsi="宋体" w:cs="宋体"/>
                <w:b/>
                <w:color w:val="auto"/>
                <w:szCs w:val="21"/>
                <w:highlight w:val="none"/>
              </w:rPr>
              <w:t>本项目采购</w:t>
            </w:r>
            <w:r>
              <w:rPr>
                <w:rFonts w:hint="eastAsia" w:ascii="宋体" w:hAnsi="宋体" w:cs="宋体"/>
                <w:b/>
                <w:color w:val="auto"/>
                <w:szCs w:val="21"/>
                <w:highlight w:val="none"/>
                <w:lang w:val="en-US" w:eastAsia="zh-CN"/>
              </w:rPr>
              <w:t>总</w:t>
            </w:r>
            <w:r>
              <w:rPr>
                <w:rFonts w:hint="eastAsia" w:ascii="宋体" w:hAnsi="宋体" w:cs="宋体"/>
                <w:b/>
                <w:color w:val="auto"/>
                <w:szCs w:val="21"/>
                <w:highlight w:val="none"/>
              </w:rPr>
              <w:t>预算金额（人民币）：</w:t>
            </w:r>
            <w:r>
              <w:rPr>
                <w:rFonts w:hint="eastAsia" w:ascii="宋体" w:hAnsi="宋体" w:cs="宋体"/>
                <w:b/>
                <w:color w:val="auto"/>
                <w:szCs w:val="21"/>
                <w:highlight w:val="none"/>
                <w:lang w:val="en-US" w:eastAsia="zh-CN"/>
              </w:rPr>
              <w:t>A分标：720000元，B分标：4500000元，C分标：500000元，D分标：300000元</w:t>
            </w:r>
            <w:r>
              <w:rPr>
                <w:rFonts w:hint="eastAsia" w:ascii="宋体" w:hAnsi="宋体" w:cs="宋体"/>
                <w:color w:val="auto"/>
                <w:szCs w:val="21"/>
                <w:highlight w:val="none"/>
              </w:rPr>
              <w:t>，</w:t>
            </w:r>
            <w:r>
              <w:rPr>
                <w:rFonts w:hint="eastAsia" w:ascii="宋体" w:hAnsi="宋体" w:cs="宋体"/>
                <w:b/>
                <w:bCs/>
                <w:color w:val="auto"/>
                <w:szCs w:val="21"/>
                <w:highlight w:val="none"/>
                <w:lang w:val="en-US" w:eastAsia="zh-CN"/>
              </w:rPr>
              <w:t>最高限价</w:t>
            </w:r>
            <w:r>
              <w:rPr>
                <w:rFonts w:hint="eastAsia" w:ascii="宋体" w:hAnsi="宋体" w:cs="宋体"/>
                <w:b/>
                <w:color w:val="auto"/>
                <w:szCs w:val="21"/>
                <w:highlight w:val="none"/>
              </w:rPr>
              <w:t>（人民币）：</w:t>
            </w:r>
            <w:r>
              <w:rPr>
                <w:rFonts w:hint="eastAsia" w:ascii="宋体" w:hAnsi="宋体" w:cs="宋体"/>
                <w:b/>
                <w:color w:val="auto"/>
                <w:szCs w:val="21"/>
                <w:highlight w:val="none"/>
                <w:lang w:val="en-US" w:eastAsia="zh-CN"/>
              </w:rPr>
              <w:t>A分标：720000元，B分标：4500000元，C分标：500000元，D分标：300000元</w:t>
            </w:r>
            <w:r>
              <w:rPr>
                <w:rFonts w:hint="eastAsia" w:ascii="宋体" w:hAnsi="宋体" w:cs="宋体"/>
                <w:b/>
                <w:color w:val="auto"/>
                <w:szCs w:val="21"/>
                <w:highlight w:val="none"/>
                <w:u w:val="none"/>
                <w:lang w:eastAsia="zh-CN"/>
              </w:rPr>
              <w:t>，</w:t>
            </w:r>
            <w:r>
              <w:rPr>
                <w:rFonts w:hint="eastAsia" w:ascii="宋体" w:hAnsi="宋体" w:cs="宋体"/>
                <w:b/>
                <w:bCs/>
                <w:color w:val="auto"/>
                <w:szCs w:val="21"/>
                <w:highlight w:val="none"/>
              </w:rPr>
              <w:t>投标报价超过</w:t>
            </w:r>
            <w:r>
              <w:rPr>
                <w:rFonts w:hint="eastAsia" w:ascii="宋体" w:hAnsi="宋体" w:cs="宋体"/>
                <w:b/>
                <w:bCs/>
                <w:color w:val="auto"/>
                <w:szCs w:val="21"/>
                <w:highlight w:val="none"/>
                <w:lang w:val="en-US" w:eastAsia="zh-CN"/>
              </w:rPr>
              <w:t>最高限价</w:t>
            </w:r>
            <w:r>
              <w:rPr>
                <w:rFonts w:hint="eastAsia" w:ascii="宋体" w:hAnsi="宋体" w:cs="宋体"/>
                <w:b/>
                <w:bCs/>
                <w:color w:val="auto"/>
                <w:szCs w:val="21"/>
                <w:highlight w:val="none"/>
              </w:rPr>
              <w:t>金额的，投标文件作无效处理。</w:t>
            </w:r>
          </w:p>
          <w:p w14:paraId="64E1D51D">
            <w:pPr>
              <w:spacing w:line="360" w:lineRule="exact"/>
              <w:rPr>
                <w:rFonts w:ascii="宋体" w:hAnsi="宋体" w:cs="宋体"/>
                <w:color w:val="auto"/>
                <w:szCs w:val="21"/>
                <w:highlight w:val="none"/>
              </w:rPr>
            </w:pPr>
            <w:r>
              <w:rPr>
                <w:rFonts w:hint="eastAsia" w:ascii="宋体" w:hAnsi="宋体" w:cs="宋体"/>
                <w:color w:val="auto"/>
                <w:szCs w:val="21"/>
                <w:highlight w:val="none"/>
              </w:rPr>
              <w:t>15.2投标人必须就“货物采购需求”中所投内容作完整唯一报价，否则，其投标将被拒绝；投标文件只允许有一个报价，有选择的或有条件的报价将不予接受。</w:t>
            </w:r>
          </w:p>
        </w:tc>
      </w:tr>
      <w:tr w14:paraId="6008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vAlign w:val="center"/>
          </w:tcPr>
          <w:p w14:paraId="1701053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63" w:type="dxa"/>
            <w:vAlign w:val="center"/>
          </w:tcPr>
          <w:p w14:paraId="7001EBA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16.1</w:t>
            </w:r>
          </w:p>
        </w:tc>
        <w:tc>
          <w:tcPr>
            <w:tcW w:w="1587" w:type="dxa"/>
            <w:vAlign w:val="center"/>
          </w:tcPr>
          <w:p w14:paraId="7B22397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011" w:type="dxa"/>
            <w:vAlign w:val="center"/>
          </w:tcPr>
          <w:p w14:paraId="3C111262">
            <w:pPr>
              <w:spacing w:line="400" w:lineRule="exact"/>
              <w:rPr>
                <w:rFonts w:ascii="宋体" w:hAnsi="宋体" w:cs="宋体"/>
                <w:color w:val="auto"/>
                <w:szCs w:val="21"/>
                <w:highlight w:val="none"/>
              </w:rPr>
            </w:pPr>
            <w:r>
              <w:rPr>
                <w:rFonts w:hint="eastAsia" w:ascii="宋体" w:hAnsi="宋体" w:cs="宋体"/>
                <w:color w:val="auto"/>
                <w:szCs w:val="21"/>
                <w:highlight w:val="none"/>
              </w:rPr>
              <w:t>投标截止时间之日起90天。</w:t>
            </w:r>
          </w:p>
        </w:tc>
      </w:tr>
      <w:tr w14:paraId="5FFE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65F25A5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63" w:type="dxa"/>
            <w:vAlign w:val="center"/>
          </w:tcPr>
          <w:p w14:paraId="51E320B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587" w:type="dxa"/>
            <w:vAlign w:val="center"/>
          </w:tcPr>
          <w:p w14:paraId="394DC5E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011" w:type="dxa"/>
          </w:tcPr>
          <w:p w14:paraId="5EA5F18E">
            <w:pPr>
              <w:spacing w:line="400" w:lineRule="exact"/>
              <w:rPr>
                <w:rFonts w:ascii="宋体" w:hAnsi="宋体" w:cs="宋体"/>
                <w:color w:val="auto"/>
                <w:szCs w:val="21"/>
                <w:highlight w:val="none"/>
              </w:rPr>
            </w:pPr>
            <w:r>
              <w:rPr>
                <w:rFonts w:hint="eastAsia" w:ascii="宋体" w:hAnsi="宋体" w:cs="宋体"/>
                <w:b/>
                <w:bCs/>
                <w:color w:val="auto"/>
                <w:szCs w:val="21"/>
                <w:highlight w:val="none"/>
              </w:rPr>
              <w:t>本项目无需缴纳投标保证金</w:t>
            </w:r>
            <w:r>
              <w:rPr>
                <w:rFonts w:hint="eastAsia" w:ascii="宋体" w:hAnsi="宋体" w:cs="宋体"/>
                <w:color w:val="auto"/>
                <w:szCs w:val="21"/>
                <w:highlight w:val="none"/>
              </w:rPr>
              <w:t>。</w:t>
            </w:r>
          </w:p>
        </w:tc>
      </w:tr>
      <w:tr w14:paraId="16ED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33F1003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63" w:type="dxa"/>
            <w:vAlign w:val="center"/>
          </w:tcPr>
          <w:p w14:paraId="059E924D">
            <w:pPr>
              <w:spacing w:line="400" w:lineRule="exact"/>
              <w:jc w:val="center"/>
              <w:rPr>
                <w:rFonts w:ascii="宋体" w:hAnsi="宋体" w:cs="宋体"/>
                <w:color w:val="auto"/>
                <w:position w:val="10"/>
                <w:szCs w:val="21"/>
                <w:highlight w:val="none"/>
              </w:rPr>
            </w:pPr>
            <w:r>
              <w:rPr>
                <w:rFonts w:hint="eastAsia" w:ascii="宋体" w:hAnsi="宋体" w:cs="宋体"/>
                <w:color w:val="auto"/>
                <w:szCs w:val="21"/>
                <w:highlight w:val="none"/>
              </w:rPr>
              <w:t>18</w:t>
            </w:r>
          </w:p>
        </w:tc>
        <w:tc>
          <w:tcPr>
            <w:tcW w:w="1587" w:type="dxa"/>
            <w:vAlign w:val="center"/>
          </w:tcPr>
          <w:p w14:paraId="5D65EF65">
            <w:pPr>
              <w:spacing w:line="400" w:lineRule="exact"/>
              <w:jc w:val="center"/>
              <w:rPr>
                <w:rFonts w:ascii="宋体" w:hAnsi="宋体" w:cs="宋体"/>
                <w:color w:val="auto"/>
                <w:position w:val="10"/>
                <w:szCs w:val="21"/>
                <w:highlight w:val="none"/>
              </w:rPr>
            </w:pPr>
            <w:r>
              <w:rPr>
                <w:rFonts w:hint="eastAsia" w:ascii="宋体" w:hAnsi="宋体" w:cs="宋体"/>
                <w:color w:val="auto"/>
                <w:szCs w:val="21"/>
                <w:highlight w:val="none"/>
              </w:rPr>
              <w:t>投标文件的封装</w:t>
            </w:r>
          </w:p>
        </w:tc>
        <w:tc>
          <w:tcPr>
            <w:tcW w:w="7011" w:type="dxa"/>
            <w:vAlign w:val="center"/>
          </w:tcPr>
          <w:p w14:paraId="1184357D">
            <w:pPr>
              <w:spacing w:line="360" w:lineRule="exact"/>
              <w:rPr>
                <w:rFonts w:ascii="宋体" w:hAnsi="宋体" w:cs="宋体"/>
                <w:color w:val="auto"/>
                <w:szCs w:val="21"/>
                <w:highlight w:val="none"/>
              </w:rPr>
            </w:pPr>
            <w:r>
              <w:rPr>
                <w:rFonts w:hint="eastAsia" w:ascii="宋体" w:hAnsi="宋体" w:cs="宋体"/>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14:paraId="020E4697">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18.2 CA 签章上目前没有法人（负责人）或授权代表签字信息，供应商在投标文件中涉及到签字的位置线下签好字然后扫描或者拍照做成 PDF 的格式即可。 </w:t>
            </w:r>
          </w:p>
          <w:p w14:paraId="21F85666">
            <w:pPr>
              <w:spacing w:line="360" w:lineRule="exact"/>
              <w:rPr>
                <w:rFonts w:ascii="宋体" w:hAnsi="宋体" w:cs="宋体"/>
                <w:color w:val="auto"/>
                <w:szCs w:val="21"/>
                <w:highlight w:val="none"/>
              </w:rPr>
            </w:pPr>
            <w:r>
              <w:rPr>
                <w:rFonts w:hint="eastAsia" w:ascii="宋体" w:hAnsi="宋体" w:cs="宋体"/>
                <w:color w:val="auto"/>
                <w:szCs w:val="21"/>
                <w:highlight w:val="none"/>
              </w:rPr>
              <w:t>18.3 投标文件不得涂改，若有修改错漏处，须法定代表人（负责人）或授权委托人签字。投标文件因字迹潦草或表达不清所引起的后果由供应商负责。</w:t>
            </w:r>
          </w:p>
          <w:p w14:paraId="41E1A90C">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18.4评审前准备 </w:t>
            </w:r>
          </w:p>
          <w:p w14:paraId="45EF8D33">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18.4.1本项目实行网上评审，采用电子投标文件。若供应商参与投标，自行承担投标一切费用。 </w:t>
            </w:r>
          </w:p>
          <w:p w14:paraId="72248917">
            <w:pPr>
              <w:spacing w:line="360" w:lineRule="exact"/>
              <w:rPr>
                <w:rFonts w:ascii="宋体" w:hAnsi="宋体" w:cs="宋体"/>
                <w:color w:val="auto"/>
                <w:szCs w:val="21"/>
                <w:highlight w:val="none"/>
              </w:rPr>
            </w:pPr>
            <w:r>
              <w:rPr>
                <w:rFonts w:hint="eastAsia" w:ascii="宋体" w:hAnsi="宋体" w:cs="宋体"/>
                <w:color w:val="auto"/>
                <w:szCs w:val="21"/>
                <w:highlight w:val="none"/>
              </w:rPr>
              <w:t>18.4.2各供应商在截标前应确保成为</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 xml:space="preserve">正式注册入库供应商，并完成 CA 数字证书申领。因未注册入库、未办理 CA 数字证书等原因造成无法投标或投标失败等后果由供应商自行承担。 </w:t>
            </w:r>
          </w:p>
          <w:p w14:paraId="690297AC">
            <w:pPr>
              <w:spacing w:line="360" w:lineRule="exact"/>
              <w:rPr>
                <w:rFonts w:ascii="宋体" w:hAnsi="宋体" w:cs="宋体"/>
                <w:color w:val="auto"/>
                <w:szCs w:val="21"/>
                <w:highlight w:val="none"/>
              </w:rPr>
            </w:pPr>
            <w:r>
              <w:rPr>
                <w:rFonts w:hint="eastAsia" w:ascii="宋体" w:hAnsi="宋体" w:cs="宋体"/>
                <w:color w:val="auto"/>
                <w:szCs w:val="21"/>
                <w:highlight w:val="none"/>
              </w:rPr>
              <w:t>18.4.3供应商将政采云电子交易客户端下载、安装完成后，可通过账号密码或 CA 登录客户端进行投标文件制作。客户端请至网站下载专区查看，如有问题可拨打政采云客户服务热线 95763 进行咨询。</w:t>
            </w:r>
          </w:p>
        </w:tc>
      </w:tr>
      <w:tr w14:paraId="3E9D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61D1A3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63" w:type="dxa"/>
            <w:vAlign w:val="center"/>
          </w:tcPr>
          <w:p w14:paraId="3498988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1587" w:type="dxa"/>
            <w:vAlign w:val="center"/>
          </w:tcPr>
          <w:p w14:paraId="6DD95DFC">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投标文件的补充、修改和撤回</w:t>
            </w:r>
          </w:p>
        </w:tc>
        <w:tc>
          <w:tcPr>
            <w:tcW w:w="7011" w:type="dxa"/>
            <w:vAlign w:val="center"/>
          </w:tcPr>
          <w:p w14:paraId="6A199042">
            <w:pPr>
              <w:spacing w:line="360" w:lineRule="exact"/>
              <w:rPr>
                <w:rFonts w:ascii="宋体" w:hAnsi="宋体" w:cs="宋体"/>
                <w:color w:val="auto"/>
                <w:szCs w:val="21"/>
                <w:highlight w:val="none"/>
              </w:rPr>
            </w:pPr>
            <w:r>
              <w:rPr>
                <w:rFonts w:hint="eastAsia" w:ascii="宋体" w:hAnsi="宋体" w:cs="宋体"/>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tc>
      </w:tr>
      <w:tr w14:paraId="5788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40A807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63" w:type="dxa"/>
            <w:vAlign w:val="center"/>
          </w:tcPr>
          <w:p w14:paraId="562EC33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1587" w:type="dxa"/>
            <w:vAlign w:val="center"/>
          </w:tcPr>
          <w:p w14:paraId="3518A7C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投标文件递交</w:t>
            </w:r>
          </w:p>
        </w:tc>
        <w:tc>
          <w:tcPr>
            <w:tcW w:w="7011" w:type="dxa"/>
            <w:vAlign w:val="center"/>
          </w:tcPr>
          <w:p w14:paraId="0D218DE4">
            <w:pPr>
              <w:spacing w:line="360" w:lineRule="exact"/>
              <w:rPr>
                <w:rFonts w:ascii="宋体" w:hAnsi="宋体" w:cs="宋体"/>
                <w:color w:val="auto"/>
                <w:szCs w:val="21"/>
                <w:highlight w:val="none"/>
              </w:rPr>
            </w:pPr>
            <w:r>
              <w:rPr>
                <w:rFonts w:hint="eastAsia" w:ascii="宋体" w:hAnsi="宋体" w:cs="宋体"/>
                <w:color w:val="auto"/>
                <w:szCs w:val="21"/>
                <w:highlight w:val="none"/>
              </w:rPr>
              <w:t>20.1</w:t>
            </w:r>
            <w:r>
              <w:rPr>
                <w:rFonts w:hint="eastAsia" w:ascii="宋体" w:hAnsi="宋体"/>
                <w:color w:val="auto"/>
                <w:szCs w:val="21"/>
                <w:highlight w:val="none"/>
              </w:rPr>
              <w:t>投标文件递交截止时间：于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日9时30分</w:t>
            </w:r>
            <w:r>
              <w:rPr>
                <w:rFonts w:hint="eastAsia" w:ascii="宋体" w:hAnsi="宋体" w:cs="宋体"/>
                <w:color w:val="auto"/>
                <w:szCs w:val="21"/>
                <w:highlight w:val="none"/>
              </w:rPr>
              <w:t>整之前将电子投标文件上传到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。应按照本项目招标文件和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的要求编制、加密传输投标文件。供应商在使用系统进行投标的过程中遇到涉及平台使用的任何问题，可致电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技术支持热线咨询，联系方式：95763。</w:t>
            </w:r>
          </w:p>
        </w:tc>
      </w:tr>
      <w:tr w14:paraId="45AC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3CB85D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63" w:type="dxa"/>
            <w:vAlign w:val="center"/>
          </w:tcPr>
          <w:p w14:paraId="061917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20.2</w:t>
            </w:r>
          </w:p>
        </w:tc>
        <w:tc>
          <w:tcPr>
            <w:tcW w:w="1587" w:type="dxa"/>
            <w:vAlign w:val="center"/>
          </w:tcPr>
          <w:p w14:paraId="14BA107D">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投标文件解密</w:t>
            </w:r>
          </w:p>
        </w:tc>
        <w:tc>
          <w:tcPr>
            <w:tcW w:w="7011" w:type="dxa"/>
            <w:vAlign w:val="center"/>
          </w:tcPr>
          <w:p w14:paraId="5C11C724">
            <w:pPr>
              <w:spacing w:line="360" w:lineRule="exact"/>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highlight w:val="none"/>
              </w:rPr>
              <w:t>投标文件解密时间：截标时间后</w:t>
            </w:r>
            <w:r>
              <w:rPr>
                <w:rFonts w:hint="eastAsia" w:ascii="宋体" w:hAnsi="宋体" w:cs="宋体"/>
                <w:color w:val="auto"/>
                <w:highlight w:val="none"/>
                <w:u w:val="single"/>
              </w:rPr>
              <w:t>30</w:t>
            </w:r>
            <w:r>
              <w:rPr>
                <w:rFonts w:hint="eastAsia" w:ascii="宋体" w:hAnsi="宋体" w:cs="宋体"/>
                <w:color w:val="auto"/>
                <w:highlight w:val="none"/>
              </w:rPr>
              <w:t>分钟内（</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日9时30分</w:t>
            </w:r>
            <w:r>
              <w:rPr>
                <w:rFonts w:hint="eastAsia" w:ascii="宋体" w:hAnsi="宋体" w:cs="宋体"/>
                <w:color w:val="auto"/>
                <w:highlight w:val="none"/>
                <w:u w:val="single"/>
              </w:rPr>
              <w:t>至10时00分</w:t>
            </w:r>
            <w:r>
              <w:rPr>
                <w:rFonts w:hint="eastAsia" w:ascii="宋体" w:hAnsi="宋体" w:cs="宋体"/>
                <w:color w:val="auto"/>
                <w:highlight w:val="none"/>
              </w:rPr>
              <w:t>)投标人可以登录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，用“项目采购-开标评标”功能进行解密投标文件。若投标人在规定时间内无法解密或解密失败，可以以电子备份投标文件作为依据</w:t>
            </w:r>
            <w:r>
              <w:rPr>
                <w:rFonts w:hint="eastAsia" w:ascii="宋体" w:hAnsi="宋体" w:cs="宋体"/>
                <w:b/>
                <w:bCs/>
                <w:color w:val="auto"/>
                <w:highlight w:val="none"/>
              </w:rPr>
              <w:t>【在接到无法解密或解密失败的通知后，投标人可根据自身实际情况按通知时要求的时间到桂林市公共资源交易中心</w:t>
            </w:r>
            <w:r>
              <w:rPr>
                <w:rFonts w:hint="eastAsia" w:ascii="宋体" w:hAnsi="宋体" w:cs="宋体"/>
                <w:b/>
                <w:bCs/>
                <w:color w:val="auto"/>
                <w:highlight w:val="none"/>
                <w:lang w:val="en-US" w:eastAsia="zh-CN"/>
              </w:rPr>
              <w:t>5</w:t>
            </w:r>
            <w:r>
              <w:rPr>
                <w:rFonts w:hint="eastAsia" w:ascii="宋体" w:hAnsi="宋体" w:cs="宋体"/>
                <w:b/>
                <w:bCs/>
                <w:color w:val="auto"/>
                <w:highlight w:val="none"/>
              </w:rPr>
              <w:t>号</w:t>
            </w:r>
            <w:r>
              <w:rPr>
                <w:rFonts w:hint="eastAsia" w:ascii="宋体" w:hAnsi="宋体" w:cs="宋体"/>
                <w:b/>
                <w:color w:val="auto"/>
                <w:szCs w:val="21"/>
                <w:highlight w:val="none"/>
                <w:lang w:val="en-US" w:eastAsia="zh-CN"/>
              </w:rPr>
              <w:t>政府采购</w:t>
            </w:r>
            <w:r>
              <w:rPr>
                <w:rFonts w:hint="eastAsia" w:ascii="宋体" w:hAnsi="宋体" w:cs="宋体"/>
                <w:b/>
                <w:color w:val="auto"/>
                <w:szCs w:val="21"/>
                <w:highlight w:val="none"/>
              </w:rPr>
              <w:t>开标</w:t>
            </w:r>
            <w:r>
              <w:rPr>
                <w:rFonts w:hint="eastAsia" w:ascii="宋体" w:hAnsi="宋体" w:cs="宋体"/>
                <w:b/>
                <w:color w:val="auto"/>
                <w:szCs w:val="21"/>
                <w:highlight w:val="none"/>
                <w:lang w:val="en-US" w:eastAsia="zh-CN"/>
              </w:rPr>
              <w:t>仓</w:t>
            </w:r>
            <w:r>
              <w:rPr>
                <w:rFonts w:hint="eastAsia" w:ascii="宋体" w:hAnsi="宋体" w:cs="宋体"/>
                <w:b/>
                <w:bCs/>
                <w:color w:val="auto"/>
                <w:highlight w:val="none"/>
              </w:rPr>
              <w:t>现场提交或以电子邮件的形式（以通知时所告知的电子邮箱地址为准）提交电子备份投标文件】</w:t>
            </w:r>
            <w:r>
              <w:rPr>
                <w:rFonts w:hint="eastAsia" w:ascii="宋体" w:hAnsi="宋体" w:cs="宋体"/>
                <w:color w:val="auto"/>
                <w:highlight w:val="none"/>
              </w:rPr>
              <w:t>，若投标人在规定时间内无法解密或解密失败且未提供电子备份投标文件的(包含提供的电子备份文件无效或无法解密的情况)，视为投标无效。</w:t>
            </w:r>
          </w:p>
        </w:tc>
      </w:tr>
      <w:tr w14:paraId="6EFE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674198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3" w:type="dxa"/>
            <w:vAlign w:val="center"/>
          </w:tcPr>
          <w:p w14:paraId="0F2D44D6">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21.1</w:t>
            </w:r>
          </w:p>
        </w:tc>
        <w:tc>
          <w:tcPr>
            <w:tcW w:w="1587" w:type="dxa"/>
            <w:vAlign w:val="center"/>
          </w:tcPr>
          <w:p w14:paraId="38D85B33">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开标时间及地点</w:t>
            </w:r>
          </w:p>
        </w:tc>
        <w:tc>
          <w:tcPr>
            <w:tcW w:w="7011" w:type="dxa"/>
          </w:tcPr>
          <w:p w14:paraId="42D0AE8E">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日9时30分</w:t>
            </w:r>
            <w:r>
              <w:rPr>
                <w:rFonts w:hint="eastAsia" w:ascii="宋体" w:hAnsi="宋体" w:cs="宋体"/>
                <w:color w:val="auto"/>
                <w:szCs w:val="21"/>
                <w:highlight w:val="none"/>
              </w:rPr>
              <w:t>（北京时间）截标后。地点：通过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实行在线解密开启。提交电子备份投标文件方式：</w:t>
            </w:r>
            <w:r>
              <w:rPr>
                <w:rFonts w:hint="eastAsia" w:ascii="宋体" w:hAnsi="宋体" w:cs="宋体"/>
                <w:b/>
                <w:bCs/>
                <w:color w:val="auto"/>
                <w:highlight w:val="none"/>
              </w:rPr>
              <w:t>在接到无法解密或解密失败的通知后，投标人可根据自身实际情况按通知时要求的时间到桂林市公共资源交易中心</w:t>
            </w:r>
            <w:r>
              <w:rPr>
                <w:rFonts w:hint="eastAsia" w:ascii="宋体" w:hAnsi="宋体" w:cs="宋体"/>
                <w:b/>
                <w:bCs/>
                <w:color w:val="auto"/>
                <w:highlight w:val="none"/>
                <w:lang w:val="en-US" w:eastAsia="zh-CN"/>
              </w:rPr>
              <w:t>5</w:t>
            </w:r>
            <w:r>
              <w:rPr>
                <w:rFonts w:hint="eastAsia" w:ascii="宋体" w:hAnsi="宋体" w:cs="宋体"/>
                <w:b/>
                <w:bCs/>
                <w:color w:val="auto"/>
                <w:highlight w:val="none"/>
              </w:rPr>
              <w:t>号</w:t>
            </w:r>
            <w:r>
              <w:rPr>
                <w:rFonts w:hint="eastAsia" w:ascii="宋体" w:hAnsi="宋体" w:cs="宋体"/>
                <w:b/>
                <w:color w:val="auto"/>
                <w:szCs w:val="21"/>
                <w:highlight w:val="none"/>
                <w:lang w:val="en-US" w:eastAsia="zh-CN"/>
              </w:rPr>
              <w:t>政府采购</w:t>
            </w:r>
            <w:r>
              <w:rPr>
                <w:rFonts w:hint="eastAsia" w:ascii="宋体" w:hAnsi="宋体" w:cs="宋体"/>
                <w:b/>
                <w:color w:val="auto"/>
                <w:szCs w:val="21"/>
                <w:highlight w:val="none"/>
              </w:rPr>
              <w:t>开标</w:t>
            </w:r>
            <w:r>
              <w:rPr>
                <w:rFonts w:hint="eastAsia" w:ascii="宋体" w:hAnsi="宋体" w:cs="宋体"/>
                <w:b/>
                <w:color w:val="auto"/>
                <w:szCs w:val="21"/>
                <w:highlight w:val="none"/>
                <w:lang w:val="en-US" w:eastAsia="zh-CN"/>
              </w:rPr>
              <w:t>仓</w:t>
            </w:r>
            <w:r>
              <w:rPr>
                <w:rFonts w:hint="eastAsia" w:ascii="宋体" w:hAnsi="宋体" w:cs="宋体"/>
                <w:b/>
                <w:bCs/>
                <w:color w:val="auto"/>
                <w:highlight w:val="none"/>
              </w:rPr>
              <w:t>现场提交或以电子邮件的形式（以通知时所告知的电子邮箱地址为准）提交电子备份投标文件</w:t>
            </w:r>
            <w:r>
              <w:rPr>
                <w:rFonts w:hint="eastAsia" w:ascii="宋体" w:hAnsi="宋体" w:cs="宋体"/>
                <w:color w:val="auto"/>
                <w:szCs w:val="21"/>
                <w:highlight w:val="none"/>
              </w:rPr>
              <w:t>。</w:t>
            </w:r>
            <w:r>
              <w:rPr>
                <w:rFonts w:hint="eastAsia" w:ascii="宋体" w:hAnsi="宋体" w:cs="宋体"/>
                <w:color w:val="auto"/>
                <w:highlight w:val="none"/>
              </w:rPr>
              <w:t>投标人可以由法定代表人、负责人、自然人或其委托代理人出席开标会议。</w:t>
            </w:r>
          </w:p>
        </w:tc>
      </w:tr>
      <w:tr w14:paraId="08FE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56" w:type="dxa"/>
            <w:vAlign w:val="center"/>
          </w:tcPr>
          <w:p w14:paraId="5BFB3F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3" w:type="dxa"/>
            <w:vAlign w:val="center"/>
          </w:tcPr>
          <w:p w14:paraId="30CA016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1587" w:type="dxa"/>
            <w:vAlign w:val="center"/>
          </w:tcPr>
          <w:p w14:paraId="44E5D7B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评标委员会组成</w:t>
            </w:r>
          </w:p>
        </w:tc>
        <w:tc>
          <w:tcPr>
            <w:tcW w:w="7011" w:type="dxa"/>
            <w:vAlign w:val="center"/>
          </w:tcPr>
          <w:p w14:paraId="0E9D47CD">
            <w:pPr>
              <w:spacing w:line="360" w:lineRule="exact"/>
              <w:rPr>
                <w:rFonts w:ascii="宋体" w:hAnsi="宋体" w:cs="宋体"/>
                <w:color w:val="auto"/>
                <w:szCs w:val="21"/>
                <w:highlight w:val="none"/>
              </w:rPr>
            </w:pPr>
            <w:r>
              <w:rPr>
                <w:rFonts w:hint="eastAsia" w:ascii="宋体" w:hAnsi="宋体" w:cs="宋体"/>
                <w:color w:val="auto"/>
                <w:szCs w:val="21"/>
                <w:highlight w:val="none"/>
              </w:rPr>
              <w:t>评标委员会由采购人代表和有关技术、经济等方面的专家组成，成员人数共5人，其中采购人代表1人，技术、经济等专家 4人。</w:t>
            </w:r>
          </w:p>
        </w:tc>
      </w:tr>
      <w:tr w14:paraId="27CB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301B566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3" w:type="dxa"/>
            <w:vAlign w:val="center"/>
          </w:tcPr>
          <w:p w14:paraId="58EEEA1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25.1</w:t>
            </w:r>
          </w:p>
        </w:tc>
        <w:tc>
          <w:tcPr>
            <w:tcW w:w="1587" w:type="dxa"/>
            <w:vAlign w:val="center"/>
          </w:tcPr>
          <w:p w14:paraId="04FC2A8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7011" w:type="dxa"/>
            <w:vAlign w:val="center"/>
          </w:tcPr>
          <w:p w14:paraId="5CADA65B">
            <w:pPr>
              <w:spacing w:line="360" w:lineRule="exact"/>
              <w:rPr>
                <w:rFonts w:ascii="宋体" w:hAnsi="宋体" w:cs="宋体"/>
                <w:color w:val="auto"/>
                <w:szCs w:val="21"/>
                <w:highlight w:val="none"/>
              </w:rPr>
            </w:pPr>
            <w:r>
              <w:rPr>
                <w:rFonts w:hint="eastAsia" w:ascii="宋体" w:hAnsi="宋体" w:cs="宋体"/>
                <w:color w:val="auto"/>
                <w:szCs w:val="21"/>
                <w:highlight w:val="none"/>
              </w:rPr>
              <w:t>综合评分法，具体评标内容及标准详见第四章。</w:t>
            </w:r>
          </w:p>
        </w:tc>
      </w:tr>
      <w:tr w14:paraId="1C6E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vAlign w:val="center"/>
          </w:tcPr>
          <w:p w14:paraId="503CC1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3" w:type="dxa"/>
            <w:vAlign w:val="center"/>
          </w:tcPr>
          <w:p w14:paraId="553430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w:t>
            </w:r>
          </w:p>
        </w:tc>
        <w:tc>
          <w:tcPr>
            <w:tcW w:w="1587" w:type="dxa"/>
            <w:vAlign w:val="center"/>
          </w:tcPr>
          <w:p w14:paraId="16EE7BBC">
            <w:pPr>
              <w:tabs>
                <w:tab w:val="left" w:pos="114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信用查询</w:t>
            </w:r>
          </w:p>
        </w:tc>
        <w:tc>
          <w:tcPr>
            <w:tcW w:w="7011" w:type="dxa"/>
            <w:vAlign w:val="center"/>
          </w:tcPr>
          <w:p w14:paraId="1713D46D">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根据《关于做好政府采购有关信用主体标识码登记及在政府采购活动中查询使用信用记录有关问题的通知》桂财采〔2016〕37号的通知，由采购代理机构对第一中标候选供应商进行信用查询：</w:t>
            </w:r>
          </w:p>
          <w:p w14:paraId="6E738F35">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14:paraId="7194C6DD">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⑵查询时间：中标通知书发出前；</w:t>
            </w:r>
          </w:p>
          <w:p w14:paraId="506459C0">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14:paraId="68FC3052">
            <w:pPr>
              <w:spacing w:line="340" w:lineRule="exact"/>
              <w:rPr>
                <w:rFonts w:ascii="宋体" w:hAnsi="宋体" w:cs="宋体"/>
                <w:color w:val="auto"/>
                <w:szCs w:val="21"/>
                <w:highlight w:val="none"/>
              </w:rPr>
            </w:pPr>
            <w:r>
              <w:rPr>
                <w:rFonts w:hint="eastAsia" w:ascii="宋体" w:hAnsi="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2B3EE686">
            <w:pPr>
              <w:spacing w:line="340" w:lineRule="exact"/>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1CA5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vAlign w:val="center"/>
          </w:tcPr>
          <w:p w14:paraId="5D23DC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3" w:type="dxa"/>
            <w:vAlign w:val="center"/>
          </w:tcPr>
          <w:p w14:paraId="1747EDE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w:t>
            </w:r>
          </w:p>
        </w:tc>
        <w:tc>
          <w:tcPr>
            <w:tcW w:w="1587" w:type="dxa"/>
            <w:vAlign w:val="center"/>
          </w:tcPr>
          <w:p w14:paraId="326301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中标公告及中标通知书</w:t>
            </w:r>
          </w:p>
        </w:tc>
        <w:tc>
          <w:tcPr>
            <w:tcW w:w="7011" w:type="dxa"/>
            <w:vAlign w:val="center"/>
          </w:tcPr>
          <w:p w14:paraId="720FC3D8">
            <w:pPr>
              <w:tabs>
                <w:tab w:val="left" w:pos="455"/>
              </w:tabs>
              <w:spacing w:line="360" w:lineRule="exact"/>
              <w:rPr>
                <w:rFonts w:ascii="宋体" w:hAnsi="宋体" w:cs="宋体"/>
                <w:color w:val="auto"/>
                <w:szCs w:val="21"/>
                <w:highlight w:val="none"/>
              </w:rPr>
            </w:pPr>
            <w:r>
              <w:rPr>
                <w:rFonts w:hint="eastAsia" w:ascii="宋体" w:hAnsi="宋体" w:cs="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3CECE265">
            <w:pPr>
              <w:spacing w:line="360" w:lineRule="exact"/>
              <w:rPr>
                <w:rFonts w:ascii="宋体" w:hAnsi="宋体" w:cs="宋体"/>
                <w:color w:val="auto"/>
                <w:szCs w:val="21"/>
                <w:highlight w:val="none"/>
              </w:rPr>
            </w:pPr>
            <w:r>
              <w:rPr>
                <w:rFonts w:hint="eastAsia" w:ascii="宋体" w:hAnsi="宋体" w:cs="宋体"/>
                <w:color w:val="auto"/>
                <w:szCs w:val="21"/>
                <w:highlight w:val="none"/>
              </w:rPr>
              <w:t>33.2中标公告发布的同时，采购代理机构向中标供应商发出中标通知书，中标供应商应自接到通知之日起七个工作日内，办理中标通知书领取手续。</w:t>
            </w:r>
          </w:p>
        </w:tc>
      </w:tr>
      <w:tr w14:paraId="59AC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32E8E70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3" w:type="dxa"/>
            <w:vAlign w:val="center"/>
          </w:tcPr>
          <w:p w14:paraId="26E9FF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1587" w:type="dxa"/>
            <w:vAlign w:val="center"/>
          </w:tcPr>
          <w:p w14:paraId="718A48D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011" w:type="dxa"/>
            <w:vAlign w:val="center"/>
          </w:tcPr>
          <w:p w14:paraId="017B8A96">
            <w:pPr>
              <w:tabs>
                <w:tab w:val="left" w:pos="455"/>
              </w:tabs>
              <w:spacing w:line="360" w:lineRule="exact"/>
              <w:rPr>
                <w:b/>
                <w:color w:val="auto"/>
                <w:highlight w:val="none"/>
              </w:rPr>
            </w:pPr>
            <w:r>
              <w:rPr>
                <w:rFonts w:ascii="宋体" w:hAnsi="宋体" w:cs="宋体"/>
                <w:b/>
                <w:color w:val="auto"/>
                <w:szCs w:val="21"/>
                <w:highlight w:val="none"/>
              </w:rPr>
              <w:t>本项目无需缴纳履约保证金。</w:t>
            </w:r>
          </w:p>
        </w:tc>
      </w:tr>
      <w:tr w14:paraId="404C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1131F9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3" w:type="dxa"/>
            <w:vAlign w:val="center"/>
          </w:tcPr>
          <w:p w14:paraId="3F23140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587" w:type="dxa"/>
            <w:vAlign w:val="center"/>
          </w:tcPr>
          <w:p w14:paraId="25407A2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7011" w:type="dxa"/>
            <w:vAlign w:val="center"/>
          </w:tcPr>
          <w:p w14:paraId="25C69BCB">
            <w:pPr>
              <w:spacing w:line="360" w:lineRule="exact"/>
              <w:rPr>
                <w:rFonts w:hAnsi="宋体" w:cs="宋体"/>
                <w:color w:val="auto"/>
                <w:szCs w:val="21"/>
                <w:highlight w:val="none"/>
              </w:rPr>
            </w:pPr>
            <w:r>
              <w:rPr>
                <w:rFonts w:hint="eastAsia" w:ascii="宋体" w:hAnsi="宋体" w:cs="宋体"/>
                <w:color w:val="auto"/>
                <w:szCs w:val="21"/>
                <w:highlight w:val="none"/>
              </w:rPr>
              <w:t>中标通知书发出之日起</w:t>
            </w:r>
            <w:r>
              <w:rPr>
                <w:rFonts w:hint="eastAsia" w:ascii="宋体" w:hAnsi="宋体" w:cs="宋体"/>
                <w:color w:val="auto"/>
                <w:szCs w:val="21"/>
                <w:highlight w:val="none"/>
                <w:lang w:val="en-US" w:eastAsia="zh-CN"/>
              </w:rPr>
              <w:t>8个工作日</w:t>
            </w:r>
            <w:r>
              <w:rPr>
                <w:rFonts w:hint="eastAsia" w:ascii="宋体" w:hAnsi="宋体" w:cs="宋体"/>
                <w:color w:val="auto"/>
                <w:szCs w:val="21"/>
                <w:highlight w:val="none"/>
              </w:rPr>
              <w:t>内。中标人领取中标通知书后，应按规定与采购人签订合同。</w:t>
            </w:r>
          </w:p>
        </w:tc>
      </w:tr>
      <w:tr w14:paraId="52C3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vAlign w:val="center"/>
          </w:tcPr>
          <w:p w14:paraId="12B466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3" w:type="dxa"/>
            <w:vAlign w:val="center"/>
          </w:tcPr>
          <w:p w14:paraId="258AF2C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35.4</w:t>
            </w:r>
          </w:p>
        </w:tc>
        <w:tc>
          <w:tcPr>
            <w:tcW w:w="1587" w:type="dxa"/>
            <w:vAlign w:val="center"/>
          </w:tcPr>
          <w:p w14:paraId="311514D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7011" w:type="dxa"/>
            <w:vAlign w:val="center"/>
          </w:tcPr>
          <w:p w14:paraId="78060F58">
            <w:pPr>
              <w:spacing w:line="360" w:lineRule="exact"/>
              <w:rPr>
                <w:rFonts w:ascii="宋体" w:hAnsi="宋体" w:cs="宋体"/>
                <w:color w:val="auto"/>
                <w:szCs w:val="21"/>
                <w:highlight w:val="none"/>
              </w:rPr>
            </w:pPr>
            <w:r>
              <w:rPr>
                <w:rFonts w:hint="eastAsia" w:ascii="宋体" w:hAnsi="宋体" w:cs="宋体"/>
                <w:color w:val="auto"/>
                <w:szCs w:val="21"/>
                <w:highlight w:val="none"/>
              </w:rPr>
              <w:t>政府采购合同双方自签订之日起一个工作日内将合同原件一份交采购代理机构，采购人于合同签订之日起七个工作日内将一份合同原件送</w:t>
            </w:r>
            <w:r>
              <w:rPr>
                <w:rFonts w:hint="eastAsia" w:ascii="宋体" w:hAnsi="宋体" w:cs="宋体"/>
                <w:color w:val="auto"/>
                <w:szCs w:val="21"/>
                <w:highlight w:val="none"/>
                <w:lang w:val="en-US" w:eastAsia="zh-CN"/>
              </w:rPr>
              <w:t>桂林市</w:t>
            </w:r>
            <w:r>
              <w:rPr>
                <w:rFonts w:hint="eastAsia" w:ascii="宋体" w:hAnsi="宋体" w:cs="宋体"/>
                <w:color w:val="auto"/>
                <w:szCs w:val="21"/>
                <w:highlight w:val="none"/>
              </w:rPr>
              <w:t>财政部门备案。</w:t>
            </w:r>
          </w:p>
        </w:tc>
      </w:tr>
      <w:tr w14:paraId="06C7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2716148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3" w:type="dxa"/>
            <w:vAlign w:val="center"/>
          </w:tcPr>
          <w:p w14:paraId="1B92A1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1587" w:type="dxa"/>
            <w:vAlign w:val="center"/>
          </w:tcPr>
          <w:p w14:paraId="608887B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7011" w:type="dxa"/>
            <w:vAlign w:val="center"/>
          </w:tcPr>
          <w:p w14:paraId="4FDE822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本项目的招标代理服务费：参照计价格[2002]1980号《招标代理服务收费管理暂行办法》货物类收费标准计取。由</w:t>
            </w:r>
            <w:r>
              <w:rPr>
                <w:rFonts w:hint="eastAsia" w:ascii="宋体" w:hAnsi="宋体" w:cs="宋体"/>
                <w:color w:val="auto"/>
                <w:szCs w:val="21"/>
                <w:highlight w:val="none"/>
                <w:lang w:val="en-US" w:eastAsia="zh-CN"/>
              </w:rPr>
              <w:t>每个标项</w:t>
            </w:r>
            <w:r>
              <w:rPr>
                <w:rFonts w:hint="eastAsia" w:ascii="宋体" w:hAnsi="宋体" w:cs="宋体"/>
                <w:color w:val="auto"/>
                <w:szCs w:val="21"/>
                <w:highlight w:val="none"/>
              </w:rPr>
              <w:t>中标人向广西</w:t>
            </w:r>
            <w:r>
              <w:rPr>
                <w:rFonts w:hint="eastAsia" w:ascii="宋体" w:hAnsi="宋体" w:cs="宋体"/>
                <w:color w:val="auto"/>
                <w:szCs w:val="21"/>
                <w:highlight w:val="none"/>
                <w:lang w:val="en-US" w:eastAsia="zh-CN"/>
              </w:rPr>
              <w:t>嘉弘</w:t>
            </w:r>
            <w:r>
              <w:rPr>
                <w:rFonts w:hint="eastAsia" w:ascii="宋体" w:hAnsi="宋体" w:cs="宋体"/>
                <w:color w:val="auto"/>
                <w:szCs w:val="21"/>
                <w:highlight w:val="none"/>
              </w:rPr>
              <w:t>项目管理有限公司一次性付清代理服务费。</w:t>
            </w:r>
          </w:p>
          <w:p w14:paraId="24B7E284">
            <w:pPr>
              <w:spacing w:line="3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注：标项代理费不足5000元按5000元计。</w:t>
            </w:r>
          </w:p>
        </w:tc>
      </w:tr>
      <w:tr w14:paraId="25E8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vAlign w:val="center"/>
          </w:tcPr>
          <w:p w14:paraId="2CB790B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3" w:type="dxa"/>
            <w:vAlign w:val="center"/>
          </w:tcPr>
          <w:p w14:paraId="24351FC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w:t>
            </w:r>
          </w:p>
        </w:tc>
        <w:tc>
          <w:tcPr>
            <w:tcW w:w="1587" w:type="dxa"/>
            <w:vAlign w:val="center"/>
          </w:tcPr>
          <w:p w14:paraId="1D249AF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7011" w:type="dxa"/>
            <w:vAlign w:val="center"/>
          </w:tcPr>
          <w:p w14:paraId="064C010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本招标文件是根据《中华人民共和国政府采购法》《中华人民共和国政府采购法实施条例》及《政府采购货物和服务招标投标管理办法》（财政部令第87号）</w:t>
            </w:r>
            <w:r>
              <w:rPr>
                <w:rFonts w:hint="eastAsia" w:ascii="宋体" w:hAnsi="宋体" w:cs="宋体"/>
                <w:color w:val="auto"/>
                <w:highlight w:val="none"/>
              </w:rPr>
              <w:t>和政府采购管理有关规定编制，本招标文件的解释权属于广西</w:t>
            </w:r>
            <w:r>
              <w:rPr>
                <w:rFonts w:hint="eastAsia" w:ascii="宋体" w:hAnsi="宋体" w:cs="宋体"/>
                <w:color w:val="auto"/>
                <w:highlight w:val="none"/>
                <w:lang w:val="en-US" w:eastAsia="zh-CN"/>
              </w:rPr>
              <w:t>嘉弘</w:t>
            </w:r>
            <w:r>
              <w:rPr>
                <w:rFonts w:hint="eastAsia" w:ascii="宋体" w:hAnsi="宋体" w:cs="宋体"/>
                <w:color w:val="auto"/>
                <w:highlight w:val="none"/>
              </w:rPr>
              <w:t>项目管理有限公司。</w:t>
            </w:r>
          </w:p>
        </w:tc>
      </w:tr>
      <w:tr w14:paraId="0CEB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vAlign w:val="center"/>
          </w:tcPr>
          <w:p w14:paraId="4397826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63" w:type="dxa"/>
            <w:vAlign w:val="center"/>
          </w:tcPr>
          <w:p w14:paraId="649F3C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38</w:t>
            </w:r>
          </w:p>
        </w:tc>
        <w:tc>
          <w:tcPr>
            <w:tcW w:w="1587" w:type="dxa"/>
            <w:vAlign w:val="center"/>
          </w:tcPr>
          <w:p w14:paraId="32738F8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监督管理机构</w:t>
            </w:r>
          </w:p>
        </w:tc>
        <w:tc>
          <w:tcPr>
            <w:tcW w:w="7011" w:type="dxa"/>
            <w:vAlign w:val="center"/>
          </w:tcPr>
          <w:p w14:paraId="430F27EF">
            <w:pPr>
              <w:spacing w:line="360" w:lineRule="exact"/>
              <w:rPr>
                <w:rFonts w:ascii="宋体" w:hAnsi="宋体" w:cs="宋体"/>
                <w:color w:val="auto"/>
                <w:szCs w:val="21"/>
                <w:highlight w:val="none"/>
              </w:rPr>
            </w:pPr>
            <w:r>
              <w:rPr>
                <w:rFonts w:hint="eastAsia" w:ascii="宋体" w:hAnsi="宋体" w:cs="宋体"/>
                <w:color w:val="auto"/>
                <w:szCs w:val="21"/>
                <w:highlight w:val="none"/>
                <w:lang w:val="en-US" w:eastAsia="zh-CN"/>
              </w:rPr>
              <w:t>桂林市财政局</w:t>
            </w:r>
            <w:r>
              <w:rPr>
                <w:rFonts w:hint="eastAsia" w:ascii="宋体" w:hAnsi="宋体" w:cs="宋体"/>
                <w:color w:val="auto"/>
                <w:szCs w:val="21"/>
                <w:highlight w:val="none"/>
              </w:rPr>
              <w:t xml:space="preserve">    电话：0773-2862142。</w:t>
            </w:r>
          </w:p>
        </w:tc>
      </w:tr>
    </w:tbl>
    <w:p w14:paraId="5DF926AD">
      <w:pPr>
        <w:spacing w:line="360" w:lineRule="auto"/>
        <w:jc w:val="center"/>
        <w:outlineLvl w:val="1"/>
        <w:rPr>
          <w:rFonts w:ascii="宋体" w:hAnsi="宋体" w:cs="宋体"/>
          <w:b/>
          <w:color w:val="auto"/>
          <w:sz w:val="28"/>
          <w:szCs w:val="28"/>
          <w:highlight w:val="none"/>
        </w:rPr>
      </w:pPr>
      <w:bookmarkStart w:id="45" w:name="_Toc495841754"/>
      <w:bookmarkStart w:id="46" w:name="_Toc3679"/>
      <w:r>
        <w:rPr>
          <w:rFonts w:hint="eastAsia" w:ascii="宋体" w:hAnsi="宋体" w:cs="宋体"/>
          <w:b/>
          <w:color w:val="auto"/>
          <w:sz w:val="28"/>
          <w:szCs w:val="28"/>
          <w:highlight w:val="none"/>
        </w:rPr>
        <w:br w:type="page"/>
      </w:r>
      <w:bookmarkStart w:id="47" w:name="_Toc9775"/>
      <w:bookmarkStart w:id="48" w:name="_Toc3164"/>
      <w:bookmarkStart w:id="49" w:name="_Toc11795"/>
      <w:r>
        <w:rPr>
          <w:rFonts w:hint="eastAsia" w:ascii="宋体" w:hAnsi="宋体" w:cs="宋体"/>
          <w:b/>
          <w:color w:val="auto"/>
          <w:sz w:val="28"/>
          <w:szCs w:val="28"/>
          <w:highlight w:val="none"/>
        </w:rPr>
        <w:t>一、总则</w:t>
      </w:r>
      <w:bookmarkEnd w:id="45"/>
      <w:bookmarkEnd w:id="46"/>
      <w:bookmarkEnd w:id="47"/>
      <w:bookmarkEnd w:id="48"/>
      <w:bookmarkEnd w:id="49"/>
    </w:p>
    <w:p w14:paraId="401DC5CC">
      <w:pPr>
        <w:spacing w:line="400" w:lineRule="exact"/>
        <w:ind w:firstLine="413" w:firstLineChars="196"/>
        <w:outlineLvl w:val="2"/>
        <w:rPr>
          <w:rFonts w:ascii="宋体" w:hAnsi="宋体" w:cs="宋体"/>
          <w:b/>
          <w:color w:val="auto"/>
          <w:szCs w:val="21"/>
          <w:highlight w:val="none"/>
        </w:rPr>
      </w:pPr>
      <w:bookmarkStart w:id="50" w:name="_Toc9917"/>
      <w:bookmarkStart w:id="51" w:name="_Toc3575"/>
      <w:bookmarkStart w:id="52" w:name="_Toc23807"/>
      <w:bookmarkStart w:id="53" w:name="_Toc6019"/>
      <w:r>
        <w:rPr>
          <w:rFonts w:hint="eastAsia" w:ascii="宋体" w:hAnsi="宋体" w:cs="宋体"/>
          <w:b/>
          <w:color w:val="auto"/>
          <w:szCs w:val="21"/>
          <w:highlight w:val="none"/>
        </w:rPr>
        <w:t>1. 项目名称及项目编号</w:t>
      </w:r>
      <w:bookmarkEnd w:id="50"/>
      <w:bookmarkEnd w:id="51"/>
      <w:bookmarkEnd w:id="52"/>
      <w:bookmarkEnd w:id="53"/>
    </w:p>
    <w:p w14:paraId="603E5E35">
      <w:pPr>
        <w:spacing w:line="340" w:lineRule="exact"/>
        <w:ind w:firstLine="420" w:firstLineChars="200"/>
        <w:rPr>
          <w:rFonts w:ascii="宋体" w:hAnsi="宋体" w:cs="宋体"/>
          <w:color w:val="auto"/>
          <w:szCs w:val="21"/>
          <w:highlight w:val="none"/>
        </w:rPr>
      </w:pPr>
      <w:bookmarkStart w:id="54" w:name="_Toc340"/>
      <w:r>
        <w:rPr>
          <w:rFonts w:hint="eastAsia" w:ascii="宋体" w:hAnsi="宋体" w:cs="宋体"/>
          <w:color w:val="auto"/>
          <w:szCs w:val="21"/>
          <w:highlight w:val="none"/>
        </w:rPr>
        <w:t>项目名称：2025年春节拥军优属慰问活动慰问品采购</w:t>
      </w:r>
    </w:p>
    <w:p w14:paraId="08B9EA2E">
      <w:pPr>
        <w:spacing w:line="400" w:lineRule="exact"/>
        <w:ind w:firstLine="420" w:firstLineChars="200"/>
        <w:rPr>
          <w:rFonts w:ascii="宋体" w:hAnsi="宋体" w:cs="宋体"/>
          <w:color w:val="auto"/>
          <w:szCs w:val="21"/>
          <w:highlight w:val="none"/>
        </w:rPr>
      </w:pPr>
      <w:bookmarkStart w:id="55" w:name="_Toc13482"/>
      <w:bookmarkStart w:id="56" w:name="_Toc31099"/>
      <w:bookmarkStart w:id="57" w:name="_Toc12501"/>
      <w:bookmarkStart w:id="58" w:name="_Toc22222"/>
      <w:bookmarkStart w:id="59" w:name="_Toc7167"/>
      <w:bookmarkStart w:id="60" w:name="_Toc12938"/>
      <w:bookmarkStart w:id="61" w:name="_Toc9123"/>
      <w:bookmarkStart w:id="62" w:name="_Toc8277"/>
      <w:bookmarkStart w:id="63" w:name="_Toc4835"/>
      <w:bookmarkStart w:id="64" w:name="_Toc6216"/>
      <w:r>
        <w:rPr>
          <w:rFonts w:hint="eastAsia" w:ascii="宋体" w:hAnsi="宋体" w:cs="宋体"/>
          <w:color w:val="auto"/>
          <w:szCs w:val="21"/>
          <w:highlight w:val="none"/>
        </w:rPr>
        <w:t>项目编号：</w:t>
      </w:r>
      <w:bookmarkEnd w:id="55"/>
      <w:bookmarkEnd w:id="56"/>
      <w:bookmarkEnd w:id="57"/>
      <w:bookmarkEnd w:id="58"/>
      <w:bookmarkEnd w:id="59"/>
      <w:bookmarkEnd w:id="60"/>
      <w:bookmarkEnd w:id="61"/>
      <w:bookmarkEnd w:id="62"/>
      <w:bookmarkEnd w:id="63"/>
      <w:bookmarkEnd w:id="64"/>
      <w:r>
        <w:rPr>
          <w:rFonts w:hint="eastAsia" w:ascii="宋体" w:hAnsi="宋体" w:cs="宋体"/>
          <w:color w:val="auto"/>
          <w:szCs w:val="21"/>
          <w:highlight w:val="none"/>
        </w:rPr>
        <w:t>GLZC2024-G1-991054-GXJH</w:t>
      </w:r>
    </w:p>
    <w:p w14:paraId="5AC07D47">
      <w:pPr>
        <w:spacing w:line="400" w:lineRule="exact"/>
        <w:ind w:firstLine="413" w:firstLineChars="196"/>
        <w:outlineLvl w:val="2"/>
        <w:rPr>
          <w:rFonts w:ascii="宋体" w:hAnsi="宋体" w:cs="宋体"/>
          <w:b/>
          <w:color w:val="auto"/>
          <w:szCs w:val="21"/>
          <w:highlight w:val="none"/>
        </w:rPr>
      </w:pPr>
      <w:bookmarkStart w:id="65" w:name="_Toc25564"/>
      <w:bookmarkStart w:id="66" w:name="_Toc6964"/>
      <w:bookmarkStart w:id="67" w:name="_Toc1834"/>
      <w:r>
        <w:rPr>
          <w:rFonts w:hint="eastAsia" w:ascii="宋体" w:hAnsi="宋体" w:cs="宋体"/>
          <w:b/>
          <w:color w:val="auto"/>
          <w:szCs w:val="21"/>
          <w:highlight w:val="none"/>
        </w:rPr>
        <w:t>2. 适应范围</w:t>
      </w:r>
      <w:bookmarkEnd w:id="54"/>
      <w:bookmarkEnd w:id="65"/>
      <w:bookmarkEnd w:id="66"/>
      <w:bookmarkEnd w:id="67"/>
    </w:p>
    <w:p w14:paraId="520311A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本招标文件适用本招标采购项目的招标、投标、评标、合同履约、验收、付款等行为（法律、法规另有规定的，从其规定）。</w:t>
      </w:r>
    </w:p>
    <w:p w14:paraId="02625F1D">
      <w:pPr>
        <w:spacing w:line="400" w:lineRule="exact"/>
        <w:ind w:firstLine="413" w:firstLineChars="196"/>
        <w:outlineLvl w:val="2"/>
        <w:rPr>
          <w:rFonts w:ascii="宋体" w:hAnsi="宋体" w:cs="宋体"/>
          <w:b/>
          <w:color w:val="auto"/>
          <w:szCs w:val="21"/>
          <w:highlight w:val="none"/>
        </w:rPr>
      </w:pPr>
      <w:bookmarkStart w:id="68" w:name="_Toc27335"/>
      <w:bookmarkStart w:id="69" w:name="_Toc1895"/>
      <w:bookmarkStart w:id="70" w:name="_Toc9873"/>
      <w:bookmarkStart w:id="71" w:name="_Toc13271"/>
      <w:r>
        <w:rPr>
          <w:rFonts w:hint="eastAsia" w:ascii="宋体" w:hAnsi="宋体" w:cs="宋体"/>
          <w:b/>
          <w:color w:val="auto"/>
          <w:szCs w:val="21"/>
          <w:highlight w:val="none"/>
        </w:rPr>
        <w:t>3. 定义</w:t>
      </w:r>
      <w:bookmarkEnd w:id="68"/>
      <w:bookmarkEnd w:id="69"/>
      <w:bookmarkEnd w:id="70"/>
      <w:bookmarkEnd w:id="71"/>
    </w:p>
    <w:p w14:paraId="15197962">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3.1“投标人”系指响应招标、参加投标竞争的法人、其他组织或者自然人。</w:t>
      </w:r>
    </w:p>
    <w:p w14:paraId="694EE811">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3.2“货物”系指按招标文件规定，投标人须向采购人提供的一切设备、保险、税金、备品备件、工具、手册及其它有关技术资料和材料。</w:t>
      </w:r>
    </w:p>
    <w:p w14:paraId="1F4B7EF0">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3.3“服务”系指按招标文件规定，投标人须承担的安装、调试、技术协助、校准、培训、技术指导以及其他类似的义务。</w:t>
      </w:r>
    </w:p>
    <w:p w14:paraId="581FCCE8">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3.4“项目”系指投标人按招标文件规定向采购人提供的货物和服务。</w:t>
      </w:r>
    </w:p>
    <w:p w14:paraId="286E5063">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3.5“书面形式”包括信函、传真、电报等。</w:t>
      </w:r>
    </w:p>
    <w:p w14:paraId="510D33F5">
      <w:pPr>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3.6实质性要求：《货物采购需求》中的“★”号项及商务要求为实质性要求，不允许负偏离，否则投标无效。</w:t>
      </w:r>
    </w:p>
    <w:p w14:paraId="196D945C">
      <w:pPr>
        <w:spacing w:line="400" w:lineRule="exact"/>
        <w:ind w:firstLine="413" w:firstLineChars="196"/>
        <w:outlineLvl w:val="2"/>
        <w:rPr>
          <w:rFonts w:ascii="宋体" w:hAnsi="宋体" w:cs="宋体"/>
          <w:b/>
          <w:color w:val="auto"/>
          <w:szCs w:val="21"/>
          <w:highlight w:val="none"/>
        </w:rPr>
      </w:pPr>
      <w:bookmarkStart w:id="72" w:name="_Toc194"/>
      <w:bookmarkStart w:id="73" w:name="_Toc31846"/>
      <w:bookmarkStart w:id="74" w:name="_Toc28906"/>
      <w:bookmarkStart w:id="75" w:name="_Toc19935"/>
      <w:r>
        <w:rPr>
          <w:rFonts w:hint="eastAsia" w:ascii="宋体" w:hAnsi="宋体" w:cs="宋体"/>
          <w:b/>
          <w:color w:val="auto"/>
          <w:szCs w:val="21"/>
          <w:highlight w:val="none"/>
        </w:rPr>
        <w:t>4. 招标方式、评分办法</w:t>
      </w:r>
      <w:bookmarkEnd w:id="72"/>
      <w:bookmarkEnd w:id="73"/>
      <w:bookmarkEnd w:id="74"/>
      <w:bookmarkEnd w:id="75"/>
    </w:p>
    <w:p w14:paraId="3E7E3F25">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公开招标、综合评分法</w:t>
      </w:r>
    </w:p>
    <w:p w14:paraId="7FFB3B38">
      <w:pPr>
        <w:spacing w:line="400" w:lineRule="exact"/>
        <w:ind w:firstLine="413" w:firstLineChars="196"/>
        <w:outlineLvl w:val="2"/>
        <w:rPr>
          <w:rFonts w:ascii="宋体" w:hAnsi="宋体" w:cs="宋体"/>
          <w:b/>
          <w:color w:val="auto"/>
          <w:szCs w:val="21"/>
          <w:highlight w:val="none"/>
        </w:rPr>
      </w:pPr>
      <w:bookmarkStart w:id="76" w:name="_Toc598"/>
      <w:bookmarkStart w:id="77" w:name="_Toc17906"/>
      <w:bookmarkStart w:id="78" w:name="_Toc18449"/>
      <w:bookmarkStart w:id="79" w:name="_Toc19879"/>
      <w:r>
        <w:rPr>
          <w:rFonts w:hint="eastAsia" w:ascii="宋体" w:hAnsi="宋体" w:cs="宋体"/>
          <w:b/>
          <w:color w:val="auto"/>
          <w:szCs w:val="21"/>
          <w:highlight w:val="none"/>
        </w:rPr>
        <w:t>5. 投标人资格</w:t>
      </w:r>
      <w:bookmarkEnd w:id="76"/>
      <w:bookmarkEnd w:id="77"/>
      <w:bookmarkEnd w:id="78"/>
      <w:bookmarkEnd w:id="79"/>
    </w:p>
    <w:p w14:paraId="192B0F17">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5.1符合《中华人民共和国政府采购法》第二十二条和《政府采购法实施条例》第十八条规定，并且在国内注册或登记、具备合法资格，提供本次采购货物或服务的供应商。</w:t>
      </w:r>
    </w:p>
    <w:p w14:paraId="11311C32">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5.2 本项目不接受联合体投标。</w:t>
      </w:r>
    </w:p>
    <w:p w14:paraId="16041685">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6889CEE">
      <w:pPr>
        <w:spacing w:line="380" w:lineRule="exact"/>
        <w:ind w:firstLine="420" w:firstLineChars="200"/>
        <w:rPr>
          <w:rFonts w:ascii="宋体" w:hAnsi="宋体" w:cs="宋体"/>
          <w:color w:val="auto"/>
          <w:szCs w:val="21"/>
          <w:highlight w:val="none"/>
        </w:rPr>
      </w:pPr>
      <w:bookmarkStart w:id="80" w:name="_Toc24742"/>
      <w:r>
        <w:rPr>
          <w:rFonts w:hint="eastAsia" w:ascii="宋体" w:hAnsi="宋体" w:cs="宋体"/>
          <w:color w:val="auto"/>
          <w:szCs w:val="21"/>
          <w:highlight w:val="none"/>
        </w:rPr>
        <w:t>5.4落实政府采购政策需满足的资格要求：A</w:t>
      </w:r>
      <w:r>
        <w:rPr>
          <w:rFonts w:hint="eastAsia" w:ascii="宋体" w:hAnsi="宋体" w:cs="宋体"/>
          <w:color w:val="auto"/>
          <w:szCs w:val="21"/>
          <w:highlight w:val="none"/>
          <w:lang w:val="en-US" w:eastAsia="zh-CN"/>
        </w:rPr>
        <w:t>BC</w:t>
      </w:r>
      <w:r>
        <w:rPr>
          <w:rFonts w:hint="eastAsia" w:ascii="宋体" w:hAnsi="宋体" w:cs="宋体"/>
          <w:color w:val="auto"/>
          <w:szCs w:val="21"/>
          <w:highlight w:val="none"/>
        </w:rPr>
        <w:t>分标专门面向中小微企业采购，本项目采购标的在 《中小企业划分标准》所属行业为：工业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D</w:t>
      </w:r>
      <w:r>
        <w:rPr>
          <w:rFonts w:hint="eastAsia" w:ascii="宋体" w:hAnsi="宋体" w:cs="宋体"/>
          <w:color w:val="auto"/>
          <w:szCs w:val="21"/>
          <w:highlight w:val="none"/>
        </w:rPr>
        <w:t>分标专门面向小微企业采购，本项目采购标的在 《中小企业划分标准》所属行业为：工业。</w:t>
      </w:r>
    </w:p>
    <w:p w14:paraId="3EBD8220">
      <w:pPr>
        <w:spacing w:line="400" w:lineRule="exact"/>
        <w:ind w:firstLine="43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5.5 本项目的特定资格要求</w:t>
      </w:r>
      <w:r>
        <w:rPr>
          <w:rFonts w:hint="eastAsia" w:ascii="宋体" w:hAnsi="宋体" w:cs="宋体"/>
          <w:color w:val="auto"/>
          <w:szCs w:val="21"/>
          <w:highlight w:val="none"/>
          <w:lang w:val="en-US" w:eastAsia="zh-CN"/>
        </w:rPr>
        <w:t>A分标：无；B分标：无；C分标：</w:t>
      </w:r>
      <w:r>
        <w:rPr>
          <w:rFonts w:hint="eastAsia" w:ascii="宋体" w:hAnsi="宋体" w:cs="宋体"/>
          <w:color w:val="auto"/>
          <w:szCs w:val="21"/>
          <w:highlight w:val="none"/>
        </w:rPr>
        <w:t>投标人按《医疗器械监督管理条例》（国务院令第 739 号）医疗器械分类管理要求具备有效的医疗器械经营备案凭证或者医疗器械经营许可证，且经营范围必须包含采购的医疗器械标的[符合《医疗器械监督管理条例》第四十一条第二款规定的除外]，所投产品尿酸/血糖分析仪生产厂家具有医疗器械生产许可证，所投产品尿酸/血糖分析仪具有注册凭证或备案凭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D分标：无。</w:t>
      </w:r>
    </w:p>
    <w:p w14:paraId="3C10B5FA">
      <w:pPr>
        <w:spacing w:line="400" w:lineRule="exact"/>
        <w:ind w:firstLine="413" w:firstLineChars="196"/>
        <w:outlineLvl w:val="2"/>
        <w:rPr>
          <w:rFonts w:ascii="宋体" w:hAnsi="宋体" w:cs="宋体"/>
          <w:b/>
          <w:color w:val="auto"/>
          <w:szCs w:val="21"/>
          <w:highlight w:val="none"/>
        </w:rPr>
      </w:pPr>
      <w:bookmarkStart w:id="81" w:name="_Toc2826"/>
      <w:bookmarkStart w:id="82" w:name="_Toc21769"/>
      <w:bookmarkStart w:id="83" w:name="_Toc25658"/>
      <w:r>
        <w:rPr>
          <w:rFonts w:hint="eastAsia" w:ascii="宋体" w:hAnsi="宋体" w:cs="宋体"/>
          <w:b/>
          <w:color w:val="auto"/>
          <w:szCs w:val="21"/>
          <w:highlight w:val="none"/>
        </w:rPr>
        <w:t>6. 投标费用</w:t>
      </w:r>
      <w:bookmarkEnd w:id="80"/>
      <w:bookmarkEnd w:id="81"/>
      <w:bookmarkEnd w:id="82"/>
      <w:bookmarkEnd w:id="83"/>
    </w:p>
    <w:p w14:paraId="55B9C2E7">
      <w:pPr>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14:paraId="237802A5">
      <w:pPr>
        <w:spacing w:line="400" w:lineRule="exact"/>
        <w:ind w:firstLine="413" w:firstLineChars="196"/>
        <w:outlineLvl w:val="2"/>
        <w:rPr>
          <w:rFonts w:ascii="宋体" w:hAnsi="宋体" w:cs="宋体"/>
          <w:b/>
          <w:color w:val="auto"/>
          <w:szCs w:val="21"/>
          <w:highlight w:val="none"/>
        </w:rPr>
      </w:pPr>
      <w:bookmarkStart w:id="84" w:name="_Toc3583"/>
      <w:bookmarkStart w:id="85" w:name="_Toc20471"/>
      <w:bookmarkStart w:id="86" w:name="_Toc22702"/>
      <w:bookmarkStart w:id="87" w:name="_Toc6563"/>
      <w:r>
        <w:rPr>
          <w:rFonts w:hint="eastAsia" w:ascii="宋体" w:hAnsi="宋体" w:cs="宋体"/>
          <w:b/>
          <w:color w:val="auto"/>
          <w:szCs w:val="21"/>
          <w:highlight w:val="none"/>
        </w:rPr>
        <w:t>7. 联合体投标要求</w:t>
      </w:r>
      <w:bookmarkEnd w:id="84"/>
      <w:bookmarkEnd w:id="85"/>
      <w:bookmarkEnd w:id="86"/>
      <w:bookmarkEnd w:id="87"/>
    </w:p>
    <w:p w14:paraId="318C512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本项目不接受联合体投标。</w:t>
      </w:r>
    </w:p>
    <w:p w14:paraId="20C31735">
      <w:pPr>
        <w:spacing w:line="400" w:lineRule="exact"/>
        <w:ind w:firstLine="413" w:firstLineChars="196"/>
        <w:outlineLvl w:val="2"/>
        <w:rPr>
          <w:rFonts w:ascii="宋体" w:hAnsi="宋体" w:cs="宋体"/>
          <w:b/>
          <w:color w:val="auto"/>
          <w:szCs w:val="21"/>
          <w:highlight w:val="none"/>
        </w:rPr>
      </w:pPr>
      <w:bookmarkStart w:id="88" w:name="_Toc7639"/>
      <w:bookmarkStart w:id="89" w:name="_Toc27336"/>
      <w:bookmarkStart w:id="90" w:name="_Toc5893"/>
      <w:bookmarkStart w:id="91" w:name="_Toc6046"/>
      <w:r>
        <w:rPr>
          <w:rFonts w:hint="eastAsia" w:ascii="宋体" w:hAnsi="宋体" w:cs="宋体"/>
          <w:b/>
          <w:color w:val="auto"/>
          <w:szCs w:val="21"/>
          <w:highlight w:val="none"/>
        </w:rPr>
        <w:t>8. 转包与分包</w:t>
      </w:r>
      <w:bookmarkEnd w:id="88"/>
      <w:bookmarkEnd w:id="89"/>
      <w:bookmarkEnd w:id="90"/>
      <w:bookmarkEnd w:id="91"/>
    </w:p>
    <w:p w14:paraId="6B9DB9F1">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8.1本项目不允许转包。</w:t>
      </w:r>
    </w:p>
    <w:p w14:paraId="6984789F">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8.2本项目不可以分包。</w:t>
      </w:r>
    </w:p>
    <w:p w14:paraId="276A6886">
      <w:pPr>
        <w:spacing w:line="400" w:lineRule="exact"/>
        <w:ind w:firstLine="413" w:firstLineChars="196"/>
        <w:outlineLvl w:val="2"/>
        <w:rPr>
          <w:rFonts w:ascii="宋体" w:hAnsi="宋体" w:cs="宋体"/>
          <w:b/>
          <w:color w:val="auto"/>
          <w:szCs w:val="21"/>
          <w:highlight w:val="none"/>
        </w:rPr>
      </w:pPr>
      <w:bookmarkStart w:id="92" w:name="_Toc1504"/>
      <w:bookmarkStart w:id="93" w:name="_Toc25644"/>
      <w:bookmarkStart w:id="94" w:name="_Toc27391"/>
      <w:bookmarkStart w:id="95" w:name="_Toc13781"/>
      <w:r>
        <w:rPr>
          <w:rFonts w:hint="eastAsia" w:ascii="宋体" w:hAnsi="宋体" w:cs="宋体"/>
          <w:b/>
          <w:color w:val="auto"/>
          <w:szCs w:val="21"/>
          <w:highlight w:val="none"/>
        </w:rPr>
        <w:t>9. 特别说明</w:t>
      </w:r>
      <w:bookmarkEnd w:id="92"/>
      <w:bookmarkEnd w:id="93"/>
      <w:bookmarkEnd w:id="94"/>
      <w:bookmarkEnd w:id="95"/>
    </w:p>
    <w:p w14:paraId="2B7A0510">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14:paraId="6302DF2D">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多家投标人提供的核心产品品牌相同的，按前款规定处理。</w:t>
      </w:r>
    </w:p>
    <w:p w14:paraId="5DBB4A41">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9.2关联供应商不得参加同一合同项下政府采购活动，否则投标文件将被视为无效：</w:t>
      </w:r>
    </w:p>
    <w:p w14:paraId="10C01C10">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w:t>
      </w:r>
    </w:p>
    <w:p w14:paraId="228B3F06">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14:paraId="1BE438BE">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9.3投标人应仔细阅读招标文件的所有内容，按照招标文件的要求提交投标文件，并对所提供的全部资料的真实性承担法律责任。</w:t>
      </w:r>
    </w:p>
    <w:p w14:paraId="3981B84B">
      <w:pPr>
        <w:tabs>
          <w:tab w:val="left" w:pos="1635"/>
        </w:tabs>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14:paraId="0720205B">
      <w:pPr>
        <w:spacing w:line="400" w:lineRule="exact"/>
        <w:ind w:firstLine="413" w:firstLineChars="196"/>
        <w:outlineLvl w:val="2"/>
        <w:rPr>
          <w:rFonts w:ascii="宋体" w:hAnsi="宋体" w:cs="宋体"/>
          <w:b/>
          <w:color w:val="auto"/>
          <w:szCs w:val="21"/>
          <w:highlight w:val="none"/>
        </w:rPr>
      </w:pPr>
      <w:bookmarkStart w:id="96" w:name="_Toc6489"/>
      <w:bookmarkStart w:id="97" w:name="_Toc11946"/>
      <w:bookmarkStart w:id="98" w:name="_Toc8760"/>
      <w:bookmarkStart w:id="99" w:name="_Toc16798"/>
      <w:r>
        <w:rPr>
          <w:rFonts w:hint="eastAsia" w:ascii="宋体" w:hAnsi="宋体" w:cs="宋体"/>
          <w:b/>
          <w:color w:val="auto"/>
          <w:szCs w:val="21"/>
          <w:highlight w:val="none"/>
        </w:rPr>
        <w:t>10. 质疑和投诉</w:t>
      </w:r>
      <w:bookmarkEnd w:id="96"/>
      <w:bookmarkEnd w:id="97"/>
      <w:bookmarkEnd w:id="98"/>
      <w:bookmarkEnd w:id="99"/>
    </w:p>
    <w:p w14:paraId="74600C15">
      <w:pPr>
        <w:tabs>
          <w:tab w:val="left" w:pos="1635"/>
        </w:tabs>
        <w:spacing w:line="400" w:lineRule="exact"/>
        <w:ind w:firstLine="435"/>
        <w:rPr>
          <w:rFonts w:ascii="宋体" w:hAnsi="宋体" w:cs="宋体"/>
          <w:color w:val="auto"/>
          <w:szCs w:val="21"/>
          <w:highlight w:val="none"/>
        </w:rPr>
      </w:pPr>
      <w:bookmarkStart w:id="100" w:name="_Toc8195"/>
      <w:bookmarkStart w:id="101" w:name="_Toc26087"/>
      <w:r>
        <w:rPr>
          <w:rFonts w:hint="eastAsia" w:ascii="宋体" w:hAnsi="宋体" w:cs="宋体"/>
          <w:color w:val="auto"/>
          <w:szCs w:val="21"/>
          <w:highlight w:val="none"/>
        </w:rPr>
        <w:t>10.1投标人认为招标文件使自己的合法权益受到损害的，应当在本项目招标公告期限届满之日起七个工作日内以书面形式向广西</w:t>
      </w:r>
      <w:r>
        <w:rPr>
          <w:rFonts w:hint="eastAsia" w:ascii="宋体" w:hAnsi="宋体" w:cs="宋体"/>
          <w:color w:val="auto"/>
          <w:szCs w:val="21"/>
          <w:highlight w:val="none"/>
          <w:lang w:val="en-US" w:eastAsia="zh-CN"/>
        </w:rPr>
        <w:t>嘉弘</w:t>
      </w:r>
      <w:r>
        <w:rPr>
          <w:rFonts w:hint="eastAsia" w:ascii="宋体" w:hAnsi="宋体" w:cs="宋体"/>
          <w:color w:val="auto"/>
          <w:szCs w:val="21"/>
          <w:highlight w:val="none"/>
        </w:rPr>
        <w:t>项目管理有限公司提出质疑。投标人认为招标过程或中标结果使自己的合法权益受到损害的，应当在采购程序环节结束之日或中标公告期限届满之日起七个工作日内，以书面形式向广西</w:t>
      </w:r>
      <w:r>
        <w:rPr>
          <w:rFonts w:hint="eastAsia" w:ascii="宋体" w:hAnsi="宋体" w:cs="宋体"/>
          <w:color w:val="auto"/>
          <w:szCs w:val="21"/>
          <w:highlight w:val="none"/>
          <w:lang w:val="en-US" w:eastAsia="zh-CN"/>
        </w:rPr>
        <w:t>嘉弘</w:t>
      </w:r>
      <w:r>
        <w:rPr>
          <w:rFonts w:hint="eastAsia" w:ascii="宋体" w:hAnsi="宋体" w:cs="宋体"/>
          <w:color w:val="auto"/>
          <w:szCs w:val="21"/>
          <w:highlight w:val="none"/>
        </w:rPr>
        <w:t>项目管理有限公司提出质疑。广西</w:t>
      </w:r>
      <w:r>
        <w:rPr>
          <w:rFonts w:hint="eastAsia" w:ascii="宋体" w:hAnsi="宋体" w:cs="宋体"/>
          <w:color w:val="auto"/>
          <w:szCs w:val="21"/>
          <w:highlight w:val="none"/>
          <w:lang w:val="en-US" w:eastAsia="zh-CN"/>
        </w:rPr>
        <w:t>嘉弘</w:t>
      </w:r>
      <w:r>
        <w:rPr>
          <w:rFonts w:hint="eastAsia" w:ascii="宋体" w:hAnsi="宋体" w:cs="宋体"/>
          <w:color w:val="auto"/>
          <w:szCs w:val="21"/>
          <w:highlight w:val="none"/>
        </w:rPr>
        <w:t>项目管理有限公司应认真做好质疑处理工作。</w:t>
      </w:r>
      <w:bookmarkEnd w:id="100"/>
      <w:bookmarkEnd w:id="101"/>
    </w:p>
    <w:p w14:paraId="3B28A18B">
      <w:pPr>
        <w:snapToGrid w:val="0"/>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接收质疑函方式：以书面形式（原件）提交</w:t>
      </w:r>
    </w:p>
    <w:p w14:paraId="40D5E7F6">
      <w:pPr>
        <w:snapToGrid w:val="0"/>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质疑联系人：广西</w:t>
      </w:r>
      <w:r>
        <w:rPr>
          <w:rFonts w:hint="eastAsia" w:ascii="宋体" w:hAnsi="宋体" w:cs="宋体"/>
          <w:color w:val="auto"/>
          <w:szCs w:val="20"/>
          <w:highlight w:val="none"/>
          <w:lang w:val="en-US" w:eastAsia="zh-CN"/>
        </w:rPr>
        <w:t>嘉弘</w:t>
      </w:r>
      <w:r>
        <w:rPr>
          <w:rFonts w:hint="eastAsia" w:ascii="宋体" w:hAnsi="宋体" w:cs="宋体"/>
          <w:color w:val="auto"/>
          <w:szCs w:val="20"/>
          <w:highlight w:val="none"/>
        </w:rPr>
        <w:t>项目管理有限公司，联系电话：0773-3861313</w:t>
      </w:r>
    </w:p>
    <w:p w14:paraId="2E39FEE7">
      <w:pPr>
        <w:tabs>
          <w:tab w:val="left" w:pos="2190"/>
        </w:tabs>
        <w:spacing w:line="420" w:lineRule="exact"/>
        <w:ind w:firstLine="435"/>
        <w:rPr>
          <w:rFonts w:ascii="宋体" w:hAnsi="宋体" w:cs="宋体"/>
          <w:color w:val="auto"/>
          <w:highlight w:val="none"/>
        </w:rPr>
      </w:pPr>
      <w:r>
        <w:rPr>
          <w:rFonts w:hint="eastAsia" w:ascii="宋体" w:hAnsi="宋体" w:cs="宋体"/>
          <w:color w:val="auto"/>
          <w:szCs w:val="20"/>
          <w:highlight w:val="none"/>
        </w:rPr>
        <w:t>通讯地址：</w:t>
      </w:r>
      <w:r>
        <w:rPr>
          <w:rFonts w:hint="eastAsia" w:ascii="宋体" w:hAnsi="宋体" w:cs="宋体"/>
          <w:color w:val="auto"/>
          <w:highlight w:val="none"/>
        </w:rPr>
        <w:t>桂林市秀峰区翠竹路23号41栋</w:t>
      </w:r>
    </w:p>
    <w:p w14:paraId="67C0BCAC">
      <w:pPr>
        <w:tabs>
          <w:tab w:val="left" w:pos="1635"/>
        </w:tabs>
        <w:spacing w:line="400" w:lineRule="exact"/>
        <w:ind w:firstLine="435"/>
        <w:rPr>
          <w:rFonts w:ascii="宋体" w:hAnsi="宋体" w:cs="宋体"/>
          <w:color w:val="auto"/>
          <w:szCs w:val="21"/>
          <w:highlight w:val="none"/>
        </w:rPr>
      </w:pPr>
      <w:bookmarkStart w:id="102" w:name="_Toc5874"/>
      <w:bookmarkStart w:id="103" w:name="_Toc17981"/>
      <w:r>
        <w:rPr>
          <w:rFonts w:hint="eastAsia" w:ascii="宋体" w:hAnsi="宋体" w:cs="宋体"/>
          <w:color w:val="auto"/>
          <w:szCs w:val="21"/>
          <w:highlight w:val="none"/>
        </w:rPr>
        <w:t>10.2投标人对采购代理机构的答复不满意或者采购代理机构未在规定的时间内作出答复的，可以在答复期满后十五个工作日内向</w:t>
      </w:r>
      <w:r>
        <w:rPr>
          <w:rFonts w:hint="eastAsia" w:ascii="宋体" w:hAnsi="宋体" w:cs="宋体"/>
          <w:color w:val="auto"/>
          <w:szCs w:val="21"/>
          <w:highlight w:val="none"/>
          <w:lang w:val="en-US" w:eastAsia="zh-CN"/>
        </w:rPr>
        <w:t>桂林市</w:t>
      </w:r>
      <w:r>
        <w:rPr>
          <w:rFonts w:hint="eastAsia" w:ascii="宋体" w:hAnsi="宋体" w:cs="宋体"/>
          <w:color w:val="auto"/>
          <w:szCs w:val="21"/>
          <w:highlight w:val="none"/>
        </w:rPr>
        <w:t>财政部门投诉。</w:t>
      </w:r>
      <w:bookmarkEnd w:id="102"/>
      <w:bookmarkEnd w:id="103"/>
    </w:p>
    <w:p w14:paraId="3608355A">
      <w:pPr>
        <w:tabs>
          <w:tab w:val="left" w:pos="1635"/>
        </w:tabs>
        <w:spacing w:line="400" w:lineRule="exact"/>
        <w:ind w:firstLine="435"/>
        <w:rPr>
          <w:rFonts w:ascii="宋体" w:hAnsi="宋体" w:cs="宋体"/>
          <w:b/>
          <w:color w:val="auto"/>
          <w:sz w:val="28"/>
          <w:szCs w:val="28"/>
          <w:highlight w:val="none"/>
        </w:rPr>
      </w:pPr>
      <w:bookmarkStart w:id="104" w:name="_Toc613"/>
      <w:bookmarkStart w:id="105" w:name="_Toc23108"/>
      <w:r>
        <w:rPr>
          <w:rFonts w:hint="eastAsia" w:ascii="宋体" w:hAnsi="宋体" w:cs="宋体"/>
          <w:color w:val="auto"/>
          <w:szCs w:val="21"/>
          <w:highlight w:val="none"/>
        </w:rPr>
        <w:t>10.3质疑、投诉应当采用书面形式，质疑书、投诉书实行实名制，均应明确阐述招标文件、招标过程或中标结果中使自己合法权益受到损害的实质性内容，并提供必要的证明材料。</w:t>
      </w:r>
      <w:bookmarkEnd w:id="104"/>
      <w:bookmarkEnd w:id="105"/>
    </w:p>
    <w:p w14:paraId="415267D2">
      <w:pPr>
        <w:spacing w:line="360" w:lineRule="auto"/>
        <w:jc w:val="center"/>
        <w:outlineLvl w:val="1"/>
        <w:rPr>
          <w:rFonts w:ascii="宋体" w:hAnsi="宋体" w:cs="宋体"/>
          <w:b/>
          <w:color w:val="auto"/>
          <w:sz w:val="28"/>
          <w:szCs w:val="28"/>
          <w:highlight w:val="none"/>
        </w:rPr>
      </w:pPr>
      <w:bookmarkStart w:id="106" w:name="_Toc24358"/>
      <w:bookmarkStart w:id="107" w:name="_Toc24908"/>
      <w:bookmarkStart w:id="108" w:name="_Toc26849"/>
      <w:bookmarkStart w:id="109" w:name="_Toc495841755"/>
      <w:bookmarkStart w:id="110" w:name="_Toc11938"/>
      <w:r>
        <w:rPr>
          <w:rFonts w:hint="eastAsia" w:ascii="宋体" w:hAnsi="宋体" w:cs="宋体"/>
          <w:b/>
          <w:color w:val="auto"/>
          <w:sz w:val="28"/>
          <w:szCs w:val="28"/>
          <w:highlight w:val="none"/>
        </w:rPr>
        <w:t>二、招标文件</w:t>
      </w:r>
      <w:bookmarkEnd w:id="106"/>
      <w:bookmarkEnd w:id="107"/>
      <w:bookmarkEnd w:id="108"/>
      <w:bookmarkEnd w:id="109"/>
      <w:bookmarkEnd w:id="110"/>
    </w:p>
    <w:p w14:paraId="4323B2BD">
      <w:pPr>
        <w:spacing w:line="400" w:lineRule="exact"/>
        <w:ind w:firstLine="413" w:firstLineChars="196"/>
        <w:outlineLvl w:val="2"/>
        <w:rPr>
          <w:rFonts w:ascii="宋体" w:hAnsi="宋体" w:cs="宋体"/>
          <w:b/>
          <w:color w:val="auto"/>
          <w:szCs w:val="21"/>
          <w:highlight w:val="none"/>
        </w:rPr>
      </w:pPr>
      <w:bookmarkStart w:id="111" w:name="_Toc17941"/>
      <w:bookmarkStart w:id="112" w:name="_Toc1161"/>
      <w:bookmarkStart w:id="113" w:name="_Toc1558"/>
      <w:bookmarkStart w:id="114" w:name="_Toc3397"/>
      <w:r>
        <w:rPr>
          <w:rFonts w:hint="eastAsia" w:ascii="宋体" w:hAnsi="宋体" w:cs="宋体"/>
          <w:b/>
          <w:color w:val="auto"/>
          <w:szCs w:val="21"/>
          <w:highlight w:val="none"/>
        </w:rPr>
        <w:t>11. 招标文件的构成</w:t>
      </w:r>
      <w:bookmarkEnd w:id="111"/>
      <w:bookmarkEnd w:id="112"/>
      <w:bookmarkEnd w:id="113"/>
      <w:bookmarkEnd w:id="114"/>
    </w:p>
    <w:p w14:paraId="22A560E5">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（1）招标公告；</w:t>
      </w:r>
    </w:p>
    <w:p w14:paraId="6D0A4100">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（2）投标人须知；</w:t>
      </w:r>
    </w:p>
    <w:p w14:paraId="2637F767">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（3）货物采购需求；</w:t>
      </w:r>
    </w:p>
    <w:p w14:paraId="37FC652E">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（4）评标办法；</w:t>
      </w:r>
    </w:p>
    <w:p w14:paraId="08F6EFF8">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（5）采购合同（合同主要条款及格式）；</w:t>
      </w:r>
    </w:p>
    <w:p w14:paraId="32BCE45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（6）投标文件（格式）。</w:t>
      </w:r>
    </w:p>
    <w:p w14:paraId="08D7018C">
      <w:pPr>
        <w:spacing w:line="400" w:lineRule="exact"/>
        <w:ind w:firstLine="413" w:firstLineChars="196"/>
        <w:outlineLvl w:val="2"/>
        <w:rPr>
          <w:rFonts w:ascii="宋体" w:hAnsi="宋体" w:cs="宋体"/>
          <w:b/>
          <w:color w:val="auto"/>
          <w:szCs w:val="21"/>
          <w:highlight w:val="none"/>
        </w:rPr>
      </w:pPr>
      <w:bookmarkStart w:id="115" w:name="_Toc22681"/>
      <w:bookmarkStart w:id="116" w:name="_Toc24191"/>
      <w:bookmarkStart w:id="117" w:name="_Toc6277"/>
      <w:bookmarkStart w:id="118" w:name="_Toc230"/>
      <w:r>
        <w:rPr>
          <w:rFonts w:hint="eastAsia" w:ascii="宋体" w:hAnsi="宋体" w:cs="宋体"/>
          <w:b/>
          <w:color w:val="auto"/>
          <w:szCs w:val="21"/>
          <w:highlight w:val="none"/>
        </w:rPr>
        <w:t>12. 招标文件的澄清与修改</w:t>
      </w:r>
      <w:bookmarkEnd w:id="115"/>
      <w:bookmarkEnd w:id="116"/>
      <w:bookmarkEnd w:id="117"/>
      <w:bookmarkEnd w:id="118"/>
    </w:p>
    <w:p w14:paraId="42A11A31">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12.1投标人应认真阅读招标文件，发现其中有误或有不合理要求的，投标人必须在招标公告期限届满之日起七个工作日内以书面形式要求采购代理机构澄清。</w:t>
      </w:r>
    </w:p>
    <w:p w14:paraId="033ACAD4">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17E9FDE5">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12.3</w:t>
      </w:r>
      <w:r>
        <w:rPr>
          <w:rFonts w:hint="eastAsia" w:ascii="宋体" w:hAnsi="宋体" w:cs="宋体"/>
          <w:b/>
          <w:color w:val="auto"/>
          <w:szCs w:val="21"/>
          <w:highlight w:val="none"/>
        </w:rPr>
        <w:t>投标人下载招标文件后应实时关注相关网站了解澄清、修改等与项目有关的内容，如因投标人未及时登录相关网站了解澄清、修改等与项目有关的内容，从而导致投标无效的，由投标人自行承担责任。</w:t>
      </w:r>
    </w:p>
    <w:p w14:paraId="5473A2CA">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12.4必要的澄清、修改的内容为招标文件的组成部分。当澄清、修改通知就同一内容的表述不一致时，以最后发出的书面文件为准。</w:t>
      </w:r>
    </w:p>
    <w:p w14:paraId="22A062FB">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12.5招标文件的澄清、修改都应该通过采购代理机构以法定形式发布，采购人非通过本机构，不得擅自澄清、修改招标文件。</w:t>
      </w:r>
    </w:p>
    <w:p w14:paraId="0101E6FA">
      <w:pPr>
        <w:tabs>
          <w:tab w:val="left" w:pos="2190"/>
        </w:tabs>
        <w:spacing w:line="400" w:lineRule="exact"/>
        <w:ind w:firstLine="435"/>
        <w:rPr>
          <w:rFonts w:ascii="宋体" w:hAnsi="宋体" w:cs="宋体"/>
          <w:color w:val="auto"/>
          <w:szCs w:val="21"/>
          <w:highlight w:val="none"/>
        </w:rPr>
      </w:pPr>
    </w:p>
    <w:p w14:paraId="0C89CF05">
      <w:pPr>
        <w:spacing w:line="360" w:lineRule="auto"/>
        <w:jc w:val="center"/>
        <w:outlineLvl w:val="1"/>
        <w:rPr>
          <w:rFonts w:ascii="宋体" w:hAnsi="宋体" w:cs="宋体"/>
          <w:b/>
          <w:color w:val="auto"/>
          <w:sz w:val="28"/>
          <w:szCs w:val="28"/>
          <w:highlight w:val="none"/>
        </w:rPr>
      </w:pPr>
      <w:bookmarkStart w:id="119" w:name="_Toc14040"/>
      <w:bookmarkStart w:id="120" w:name="_Toc495841756"/>
      <w:bookmarkStart w:id="121" w:name="_Toc7631"/>
      <w:bookmarkStart w:id="122" w:name="_Toc31136"/>
      <w:bookmarkStart w:id="123" w:name="_Toc17939"/>
      <w:r>
        <w:rPr>
          <w:rFonts w:hint="eastAsia" w:ascii="宋体" w:hAnsi="宋体" w:cs="宋体"/>
          <w:b/>
          <w:color w:val="auto"/>
          <w:sz w:val="28"/>
          <w:szCs w:val="28"/>
          <w:highlight w:val="none"/>
        </w:rPr>
        <w:t>三、投标文件的编制</w:t>
      </w:r>
      <w:bookmarkEnd w:id="119"/>
      <w:bookmarkEnd w:id="120"/>
      <w:bookmarkEnd w:id="121"/>
      <w:bookmarkEnd w:id="122"/>
      <w:bookmarkEnd w:id="123"/>
    </w:p>
    <w:p w14:paraId="6782C8C0">
      <w:pPr>
        <w:spacing w:line="400" w:lineRule="exact"/>
        <w:ind w:firstLine="413" w:firstLineChars="196"/>
        <w:outlineLvl w:val="2"/>
        <w:rPr>
          <w:rFonts w:ascii="宋体" w:hAnsi="宋体" w:cs="宋体"/>
          <w:b/>
          <w:color w:val="auto"/>
          <w:szCs w:val="21"/>
          <w:highlight w:val="none"/>
        </w:rPr>
      </w:pPr>
      <w:bookmarkStart w:id="124" w:name="_Toc24340"/>
      <w:bookmarkStart w:id="125" w:name="_Toc15376"/>
      <w:bookmarkStart w:id="126" w:name="_Toc15443"/>
      <w:bookmarkStart w:id="127" w:name="_Toc9027"/>
      <w:r>
        <w:rPr>
          <w:rFonts w:hint="eastAsia" w:ascii="宋体" w:hAnsi="宋体" w:cs="宋体"/>
          <w:b/>
          <w:color w:val="auto"/>
          <w:szCs w:val="21"/>
          <w:highlight w:val="none"/>
        </w:rPr>
        <w:t>13. 投标文件的组成及要求</w:t>
      </w:r>
      <w:bookmarkEnd w:id="124"/>
      <w:bookmarkEnd w:id="125"/>
      <w:bookmarkEnd w:id="126"/>
      <w:bookmarkEnd w:id="127"/>
    </w:p>
    <w:p w14:paraId="1CB11CE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w:t>
      </w:r>
      <w:r>
        <w:rPr>
          <w:rFonts w:ascii="宋体" w:hAnsi="宋体" w:cs="宋体"/>
          <w:b/>
          <w:bCs/>
          <w:color w:val="auto"/>
          <w:szCs w:val="21"/>
          <w:highlight w:val="none"/>
        </w:rPr>
        <w:t>.1 本项目实行电子投标，供应商应准备电子</w:t>
      </w:r>
      <w:r>
        <w:rPr>
          <w:rFonts w:hint="eastAsia" w:ascii="宋体" w:hAnsi="宋体" w:cs="宋体"/>
          <w:b/>
          <w:bCs/>
          <w:color w:val="auto"/>
          <w:szCs w:val="21"/>
          <w:highlight w:val="none"/>
        </w:rPr>
        <w:t>投标</w:t>
      </w:r>
      <w:r>
        <w:rPr>
          <w:rFonts w:ascii="宋体" w:hAnsi="宋体" w:cs="宋体"/>
          <w:b/>
          <w:bCs/>
          <w:color w:val="auto"/>
          <w:szCs w:val="21"/>
          <w:highlight w:val="none"/>
        </w:rPr>
        <w:t>文件</w:t>
      </w:r>
      <w:r>
        <w:rPr>
          <w:rFonts w:hint="eastAsia" w:ascii="宋体" w:hAnsi="宋体" w:cs="宋体"/>
          <w:b/>
          <w:bCs/>
          <w:color w:val="auto"/>
          <w:szCs w:val="21"/>
          <w:highlight w:val="none"/>
        </w:rPr>
        <w:t>：</w:t>
      </w:r>
    </w:p>
    <w:p w14:paraId="1657130B">
      <w:pPr>
        <w:spacing w:line="360" w:lineRule="auto"/>
        <w:ind w:firstLine="422" w:firstLineChars="200"/>
        <w:rPr>
          <w:color w:val="auto"/>
          <w:highlight w:val="none"/>
        </w:rPr>
      </w:pPr>
      <w:r>
        <w:rPr>
          <w:rFonts w:hint="eastAsia" w:ascii="宋体" w:hAnsi="宋体" w:cs="宋体"/>
          <w:b/>
          <w:bCs/>
          <w:color w:val="auto"/>
          <w:szCs w:val="21"/>
          <w:highlight w:val="none"/>
        </w:rPr>
        <w:t>13</w:t>
      </w:r>
      <w:r>
        <w:rPr>
          <w:rFonts w:ascii="宋体" w:hAnsi="宋体" w:cs="宋体"/>
          <w:b/>
          <w:bCs/>
          <w:color w:val="auto"/>
          <w:szCs w:val="21"/>
          <w:highlight w:val="none"/>
        </w:rPr>
        <w:t>.1.1 电子</w:t>
      </w:r>
      <w:r>
        <w:rPr>
          <w:rFonts w:hint="eastAsia" w:ascii="宋体" w:hAnsi="宋体" w:cs="宋体"/>
          <w:b/>
          <w:bCs/>
          <w:color w:val="auto"/>
          <w:szCs w:val="21"/>
          <w:highlight w:val="none"/>
        </w:rPr>
        <w:t>投标</w:t>
      </w:r>
      <w:r>
        <w:rPr>
          <w:rFonts w:ascii="宋体" w:hAnsi="宋体" w:cs="宋体"/>
          <w:b/>
          <w:bCs/>
          <w:color w:val="auto"/>
          <w:szCs w:val="21"/>
          <w:highlight w:val="none"/>
        </w:rPr>
        <w:t>文件按</w:t>
      </w:r>
      <w:r>
        <w:rPr>
          <w:rFonts w:hint="eastAsia" w:ascii="宋体" w:hAnsi="宋体" w:cs="宋体"/>
          <w:b/>
          <w:bCs/>
          <w:color w:val="auto"/>
          <w:szCs w:val="21"/>
          <w:highlight w:val="none"/>
          <w:lang w:eastAsia="zh-CN"/>
        </w:rPr>
        <w:t>广西政府采购云平台</w:t>
      </w:r>
      <w:r>
        <w:rPr>
          <w:rFonts w:ascii="宋体" w:hAnsi="宋体" w:cs="宋体"/>
          <w:b/>
          <w:bCs/>
          <w:color w:val="auto"/>
          <w:szCs w:val="21"/>
          <w:highlight w:val="none"/>
        </w:rPr>
        <w:t>要求及本</w:t>
      </w:r>
      <w:r>
        <w:rPr>
          <w:rFonts w:hint="eastAsia" w:ascii="宋体" w:hAnsi="宋体" w:cs="宋体"/>
          <w:b/>
          <w:bCs/>
          <w:color w:val="auto"/>
          <w:szCs w:val="21"/>
          <w:highlight w:val="none"/>
        </w:rPr>
        <w:t>招标</w:t>
      </w:r>
      <w:r>
        <w:rPr>
          <w:rFonts w:ascii="宋体" w:hAnsi="宋体" w:cs="宋体"/>
          <w:b/>
          <w:bCs/>
          <w:color w:val="auto"/>
          <w:szCs w:val="21"/>
          <w:highlight w:val="none"/>
        </w:rPr>
        <w:t>文件要求制作、加密并递交。具体操作流程可参考《政府采购项目电子交易管理操作指南-供应商》</w:t>
      </w:r>
      <w:r>
        <w:rPr>
          <w:rFonts w:hint="eastAsia" w:ascii="宋体" w:hAnsi="宋体" w:cs="宋体"/>
          <w:b/>
          <w:bCs/>
          <w:color w:val="auto"/>
          <w:szCs w:val="21"/>
          <w:highlight w:val="none"/>
        </w:rPr>
        <w:t>，</w:t>
      </w:r>
      <w:r>
        <w:rPr>
          <w:rFonts w:ascii="宋体" w:hAnsi="宋体" w:cs="宋体"/>
          <w:b/>
          <w:bCs/>
          <w:color w:val="auto"/>
          <w:szCs w:val="21"/>
          <w:highlight w:val="none"/>
        </w:rPr>
        <w:t xml:space="preserve">指南可在 “http://www.ccgp-guangxi.gov.cn/PurchaseAdvisory/ImportantNotice/2866753.html”下载。 </w:t>
      </w:r>
    </w:p>
    <w:p w14:paraId="425F2C28">
      <w:pPr>
        <w:tabs>
          <w:tab w:val="left" w:pos="2190"/>
        </w:tabs>
        <w:spacing w:line="400" w:lineRule="exact"/>
        <w:ind w:firstLine="435"/>
        <w:rPr>
          <w:rFonts w:ascii="宋体" w:hAnsi="宋体" w:cs="宋体"/>
          <w:b/>
          <w:color w:val="auto"/>
          <w:szCs w:val="21"/>
          <w:highlight w:val="none"/>
        </w:rPr>
      </w:pPr>
      <w:r>
        <w:rPr>
          <w:rFonts w:hint="eastAsia" w:ascii="宋体" w:hAnsi="宋体" w:cs="宋体"/>
          <w:b/>
          <w:bCs/>
          <w:color w:val="auto"/>
          <w:szCs w:val="21"/>
          <w:highlight w:val="none"/>
        </w:rPr>
        <w:t>13.2</w:t>
      </w:r>
      <w:r>
        <w:rPr>
          <w:rFonts w:hint="eastAsia" w:ascii="宋体" w:hAnsi="宋体" w:cs="宋体"/>
          <w:b/>
          <w:color w:val="auto"/>
          <w:szCs w:val="21"/>
          <w:highlight w:val="none"/>
        </w:rPr>
        <w:t>投标文件组成【格式见第六章“投标文件（格式）”】</w:t>
      </w:r>
    </w:p>
    <w:p w14:paraId="287308F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13.2.1资格性响应证明材料：</w:t>
      </w:r>
    </w:p>
    <w:p w14:paraId="02AFFFEF">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（1）投标人相应的法定代表人或负责人或自然人身份证正反面复印件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46420C62">
      <w:pPr>
        <w:tabs>
          <w:tab w:val="left" w:pos="1305"/>
        </w:tabs>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（2）投标人</w:t>
      </w:r>
      <w:r>
        <w:rPr>
          <w:rFonts w:hint="eastAsia" w:ascii="宋体" w:hAnsi="宋体" w:cs="宋体"/>
          <w:color w:val="auto"/>
          <w:szCs w:val="21"/>
          <w:highlight w:val="none"/>
        </w:rPr>
        <w:t>的授权委托书原件、委托代理人身份证正反面复印件以及由县级以上（含县级）社会养老保险经办机构出具的供应商为委托代理人交纳的响应文件递交截止时间前半年内连续三个月社保证明复印件，除供应商为以下三种情形的</w:t>
      </w:r>
      <w:r>
        <w:rPr>
          <w:rFonts w:hint="eastAsia" w:ascii="宋体" w:hAnsi="宋体" w:cs="宋体"/>
          <w:color w:val="auto"/>
          <w:kern w:val="0"/>
          <w:szCs w:val="21"/>
          <w:highlight w:val="none"/>
        </w:rPr>
        <w:t>：</w:t>
      </w:r>
    </w:p>
    <w:p w14:paraId="53FF558C">
      <w:pPr>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①如供应商为响应文件提交截止时间前60日以内成立的公司，可以提供供应商与委托代理人签订的劳动合同复印件代替社保证明复印件；②如供应商为事业单位，可以提供事业单位机构编制管理证复印件或事业单位机构为其发放工资的工资条复印件代替社保证明复印件；③如委托代理人为免缴纳社保人员，提供免缴纳社保的证明材料复印件及供应商与委托代理人签订的劳动合同复印件代替养老保险证明复印件。【属自然人的应提供由县级以上（含县级）社会养老保险经办机构出具的自然人本人及委托代理人所交纳的响应文件递交截止时间前半年内连续三个月社保证明复印件】</w:t>
      </w:r>
      <w:r>
        <w:rPr>
          <w:rFonts w:hint="eastAsia" w:ascii="宋体" w:hAnsi="宋体" w:cs="宋体"/>
          <w:b/>
          <w:bCs/>
          <w:color w:val="auto"/>
          <w:kern w:val="0"/>
          <w:szCs w:val="21"/>
          <w:highlight w:val="none"/>
        </w:rPr>
        <w:t>（委托代理时必须提供）</w:t>
      </w:r>
      <w:r>
        <w:rPr>
          <w:rFonts w:hint="eastAsia" w:ascii="宋体" w:hAnsi="宋体" w:cs="宋体"/>
          <w:b/>
          <w:bCs/>
          <w:color w:val="auto"/>
          <w:szCs w:val="21"/>
          <w:highlight w:val="none"/>
        </w:rPr>
        <w:t>；</w:t>
      </w:r>
    </w:p>
    <w:p w14:paraId="0BD672B4">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（3）投标人的法人或者其他组织营业执照等证明文件复印件</w:t>
      </w:r>
      <w:r>
        <w:rPr>
          <w:rFonts w:hint="eastAsia" w:ascii="宋体" w:hAnsi="宋体"/>
          <w:b/>
          <w:color w:val="auto"/>
          <w:szCs w:val="21"/>
          <w:highlight w:val="none"/>
        </w:rPr>
        <w:t>（必须提供，自然人除外）</w:t>
      </w:r>
      <w:r>
        <w:rPr>
          <w:rFonts w:hint="eastAsia" w:ascii="宋体" w:hAnsi="宋体"/>
          <w:color w:val="auto"/>
          <w:szCs w:val="21"/>
          <w:highlight w:val="none"/>
        </w:rPr>
        <w:t>；</w:t>
      </w:r>
    </w:p>
    <w:p w14:paraId="6B0EF132">
      <w:pPr>
        <w:tabs>
          <w:tab w:val="left" w:pos="1305"/>
        </w:tabs>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AB508F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（4）投标人参加采购活动前3年内在经营活动中没有重大违法记录及有关信用信息的书面声明</w:t>
      </w:r>
      <w:r>
        <w:rPr>
          <w:rFonts w:hint="eastAsia" w:ascii="宋体" w:hAnsi="宋体"/>
          <w:b/>
          <w:color w:val="auto"/>
          <w:szCs w:val="21"/>
          <w:highlight w:val="none"/>
        </w:rPr>
        <w:t>（格式见附件，必须提供）</w:t>
      </w:r>
      <w:r>
        <w:rPr>
          <w:rFonts w:hint="eastAsia" w:ascii="宋体" w:hAnsi="宋体"/>
          <w:color w:val="auto"/>
          <w:szCs w:val="21"/>
          <w:highlight w:val="none"/>
        </w:rPr>
        <w:t>；</w:t>
      </w:r>
    </w:p>
    <w:p w14:paraId="58B5DBC9">
      <w:pPr>
        <w:spacing w:line="380" w:lineRule="exact"/>
        <w:ind w:firstLine="420" w:firstLineChars="200"/>
        <w:rPr>
          <w:rFonts w:hint="eastAsia" w:ascii="宋体" w:hAnsi="宋体" w:cs="宋体"/>
          <w:color w:val="auto"/>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C分标</w:t>
      </w:r>
      <w:r>
        <w:rPr>
          <w:rFonts w:ascii="宋体" w:hAnsi="宋体" w:cs="宋体"/>
          <w:color w:val="auto"/>
          <w:highlight w:val="none"/>
        </w:rPr>
        <w:t>投标人有效的医疗器械经营备案凭证复印件或者医疗器械经营许可证复印件，且经营范围必须包含采购的医疗器械标的[符合《医疗器械监督管理条例》第四十一条第二款规定的除外]</w:t>
      </w:r>
      <w:r>
        <w:rPr>
          <w:rFonts w:hint="eastAsia" w:ascii="宋体" w:hAnsi="宋体" w:cs="宋体"/>
          <w:color w:val="auto"/>
          <w:highlight w:val="none"/>
        </w:rPr>
        <w:t>，所投产品尿酸/血糖分析仪生产厂家具有医疗器械生产许可证</w:t>
      </w:r>
      <w:r>
        <w:rPr>
          <w:rFonts w:hint="eastAsia" w:ascii="宋体" w:hAnsi="宋体" w:cs="宋体"/>
          <w:color w:val="auto"/>
          <w:highlight w:val="none"/>
          <w:lang w:val="en-US" w:eastAsia="zh-CN"/>
        </w:rPr>
        <w:t>复印件，</w:t>
      </w:r>
      <w:r>
        <w:rPr>
          <w:rFonts w:hint="eastAsia" w:ascii="宋体" w:hAnsi="宋体" w:cs="宋体"/>
          <w:color w:val="auto"/>
          <w:highlight w:val="none"/>
        </w:rPr>
        <w:t>所投产品尿酸/血糖分析仪具有注册凭证复印件或备案凭证复印件。</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C分标</w:t>
      </w:r>
      <w:r>
        <w:rPr>
          <w:rFonts w:hint="eastAsia" w:ascii="宋体" w:hAnsi="宋体" w:cs="宋体"/>
          <w:b/>
          <w:bCs/>
          <w:color w:val="auto"/>
          <w:szCs w:val="21"/>
          <w:highlight w:val="none"/>
        </w:rPr>
        <w:t>必须提供</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ABD分标无需提供</w:t>
      </w:r>
      <w:r>
        <w:rPr>
          <w:rFonts w:hint="eastAsia" w:ascii="宋体" w:hAnsi="宋体" w:cs="宋体"/>
          <w:b/>
          <w:bCs/>
          <w:color w:val="auto"/>
          <w:szCs w:val="21"/>
          <w:highlight w:val="none"/>
        </w:rPr>
        <w:t>）</w:t>
      </w:r>
      <w:r>
        <w:rPr>
          <w:rFonts w:hint="eastAsia" w:ascii="宋体" w:hAnsi="宋体" w:cs="宋体"/>
          <w:color w:val="auto"/>
          <w:highlight w:val="none"/>
        </w:rPr>
        <w:t>。</w:t>
      </w:r>
    </w:p>
    <w:p w14:paraId="54DEBBCE">
      <w:pPr>
        <w:tabs>
          <w:tab w:val="left" w:pos="1305"/>
        </w:tabs>
        <w:spacing w:line="40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w:t>
      </w:r>
      <w:r>
        <w:rPr>
          <w:rFonts w:hint="eastAsia" w:ascii="宋体" w:hAnsi="宋体" w:cs="宋体"/>
          <w:color w:val="auto"/>
          <w:highlight w:val="none"/>
        </w:rPr>
        <w:t>提供货物企业属于</w:t>
      </w:r>
      <w:r>
        <w:rPr>
          <w:rFonts w:hint="eastAsia" w:ascii="宋体" w:hAnsi="宋体" w:cs="宋体"/>
          <w:color w:val="auto"/>
          <w:highlight w:val="none"/>
          <w:lang w:val="en-US" w:eastAsia="zh-CN"/>
        </w:rPr>
        <w:t>中型、</w:t>
      </w:r>
      <w:r>
        <w:rPr>
          <w:rFonts w:hint="eastAsia" w:ascii="宋体" w:hAnsi="宋体" w:cs="宋体"/>
          <w:color w:val="auto"/>
          <w:highlight w:val="none"/>
        </w:rPr>
        <w:t>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highlight w:val="none"/>
        </w:rPr>
        <w:t>（</w:t>
      </w:r>
      <w:r>
        <w:rPr>
          <w:rFonts w:hint="eastAsia" w:ascii="宋体" w:hAnsi="宋体" w:cs="宋体"/>
          <w:b/>
          <w:bCs/>
          <w:color w:val="auto"/>
          <w:highlight w:val="none"/>
          <w:lang w:val="en-US" w:eastAsia="zh-CN"/>
        </w:rPr>
        <w:t>必须</w:t>
      </w:r>
      <w:r>
        <w:rPr>
          <w:rFonts w:hint="eastAsia" w:ascii="宋体" w:hAnsi="宋体" w:cs="宋体"/>
          <w:b/>
          <w:bCs/>
          <w:color w:val="auto"/>
          <w:highlight w:val="none"/>
        </w:rPr>
        <w:t>提供）</w:t>
      </w:r>
      <w:r>
        <w:rPr>
          <w:rFonts w:hint="eastAsia" w:ascii="宋体" w:hAnsi="宋体" w:cs="宋体"/>
          <w:color w:val="auto"/>
          <w:highlight w:val="none"/>
        </w:rPr>
        <w:t>；</w:t>
      </w:r>
    </w:p>
    <w:p w14:paraId="053ED421">
      <w:pPr>
        <w:tabs>
          <w:tab w:val="left" w:pos="1305"/>
        </w:tabs>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13.2.2</w:t>
      </w:r>
      <w:r>
        <w:rPr>
          <w:rFonts w:hint="eastAsia" w:ascii="宋体" w:hAnsi="宋体" w:cs="宋体"/>
          <w:b/>
          <w:color w:val="auto"/>
          <w:szCs w:val="21"/>
          <w:highlight w:val="none"/>
        </w:rPr>
        <w:t>商务、技术性响应及其他证明材料：</w:t>
      </w:r>
    </w:p>
    <w:p w14:paraId="6DEC3422">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（1）投标报价表</w:t>
      </w:r>
      <w:r>
        <w:rPr>
          <w:rFonts w:hint="eastAsia" w:ascii="宋体" w:hAnsi="宋体" w:cs="宋体"/>
          <w:b/>
          <w:bCs/>
          <w:color w:val="auto"/>
          <w:szCs w:val="21"/>
          <w:highlight w:val="none"/>
        </w:rPr>
        <w:t>（必须提供）</w:t>
      </w:r>
      <w:r>
        <w:rPr>
          <w:rFonts w:hint="eastAsia"/>
          <w:b/>
          <w:bCs/>
          <w:color w:val="auto"/>
          <w:highlight w:val="none"/>
        </w:rPr>
        <w:t>；</w:t>
      </w:r>
    </w:p>
    <w:p w14:paraId="76D5870F">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（2）技术规格偏离表</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34DA219F">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（3）商务响应表</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12050645">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（4）“货物采购需求”需提供的有效证明文件</w:t>
      </w:r>
      <w:r>
        <w:rPr>
          <w:rFonts w:hint="eastAsia" w:ascii="宋体" w:hAnsi="宋体" w:cs="宋体"/>
          <w:b/>
          <w:color w:val="auto"/>
          <w:szCs w:val="21"/>
          <w:highlight w:val="none"/>
        </w:rPr>
        <w:t>（如有，按其要求提供）</w:t>
      </w:r>
      <w:r>
        <w:rPr>
          <w:rFonts w:hint="eastAsia" w:ascii="宋体" w:hAnsi="宋体" w:cs="宋体"/>
          <w:color w:val="auto"/>
          <w:szCs w:val="21"/>
          <w:highlight w:val="none"/>
        </w:rPr>
        <w:t>；</w:t>
      </w:r>
    </w:p>
    <w:p w14:paraId="7B138590">
      <w:pPr>
        <w:tabs>
          <w:tab w:val="left" w:pos="1305"/>
        </w:tabs>
        <w:spacing w:line="400" w:lineRule="exact"/>
        <w:ind w:firstLine="420" w:firstLineChars="200"/>
        <w:rPr>
          <w:color w:val="auto"/>
          <w:highlight w:val="none"/>
        </w:rPr>
      </w:pPr>
      <w:r>
        <w:rPr>
          <w:rFonts w:hint="eastAsia" w:ascii="宋体" w:hAnsi="宋体" w:cs="宋体"/>
          <w:color w:val="auto"/>
          <w:szCs w:val="21"/>
          <w:highlight w:val="none"/>
        </w:rPr>
        <w:t>（5）投标人的售后服务承诺方案（由供应商根据本项目采购需求、特点及供应商自身的处理能力自行编写）</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01863C07">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（6）项目</w:t>
      </w:r>
      <w:r>
        <w:rPr>
          <w:rFonts w:hint="eastAsia" w:ascii="宋体" w:hAnsi="宋体" w:cs="宋体"/>
          <w:color w:val="auto"/>
          <w:szCs w:val="21"/>
          <w:highlight w:val="none"/>
          <w:lang w:val="en-US" w:eastAsia="zh-CN"/>
        </w:rPr>
        <w:t>慰问信设计方</w:t>
      </w:r>
      <w:r>
        <w:rPr>
          <w:rFonts w:hint="eastAsia" w:ascii="宋体" w:hAnsi="宋体" w:cs="宋体"/>
          <w:color w:val="auto"/>
          <w:szCs w:val="21"/>
          <w:highlight w:val="none"/>
        </w:rPr>
        <w:t>案</w:t>
      </w:r>
      <w:r>
        <w:rPr>
          <w:rFonts w:hint="eastAsia" w:ascii="宋体" w:hAnsi="宋体" w:cs="宋体"/>
          <w:b/>
          <w:color w:val="auto"/>
          <w:szCs w:val="21"/>
          <w:highlight w:val="none"/>
        </w:rPr>
        <w:t>（如有，请提供）；</w:t>
      </w:r>
    </w:p>
    <w:p w14:paraId="06B0F43C">
      <w:pPr>
        <w:tabs>
          <w:tab w:val="left" w:pos="1305"/>
        </w:tabs>
        <w:spacing w:line="400" w:lineRule="exact"/>
        <w:ind w:firstLine="420" w:firstLineChars="200"/>
        <w:rPr>
          <w:rFonts w:hint="default" w:ascii="宋体" w:hAnsi="宋体" w:eastAsia="宋体" w:cs="宋体"/>
          <w:b/>
          <w:color w:val="auto"/>
          <w:szCs w:val="21"/>
          <w:highlight w:val="none"/>
          <w:lang w:val="en-US"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项目实施方案</w:t>
      </w:r>
      <w:r>
        <w:rPr>
          <w:rFonts w:hint="eastAsia" w:ascii="宋体" w:hAnsi="宋体" w:cs="宋体"/>
          <w:b/>
          <w:color w:val="auto"/>
          <w:szCs w:val="21"/>
          <w:highlight w:val="none"/>
          <w:lang w:val="en-US" w:eastAsia="zh-CN"/>
        </w:rPr>
        <w:t>（如有，请提供）；</w:t>
      </w:r>
    </w:p>
    <w:p w14:paraId="0E31CF22">
      <w:pPr>
        <w:tabs>
          <w:tab w:val="left" w:pos="1305"/>
        </w:tabs>
        <w:spacing w:line="400" w:lineRule="exact"/>
        <w:ind w:firstLine="420" w:firstLineChars="200"/>
        <w:rPr>
          <w:rFonts w:ascii="宋体" w:hAnsi="宋体" w:cs="宋体"/>
          <w:color w:val="auto"/>
          <w:szCs w:val="20"/>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）项目实施人员一览表</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23173F88">
      <w:pPr>
        <w:tabs>
          <w:tab w:val="left" w:pos="1305"/>
        </w:tabs>
        <w:spacing w:line="400" w:lineRule="exact"/>
        <w:ind w:firstLine="420" w:firstLineChars="200"/>
        <w:rPr>
          <w:rFonts w:ascii="宋体" w:hAnsi="宋体" w:cs="宋体"/>
          <w:color w:val="auto"/>
          <w:szCs w:val="20"/>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）节能方面的证书复印件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14:paraId="78733F5A">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）环境标志方面的证书复印件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14:paraId="75E9C02F">
      <w:pPr>
        <w:tabs>
          <w:tab w:val="left" w:pos="1305"/>
        </w:tabs>
        <w:spacing w:line="40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w:t>
      </w:r>
      <w:r>
        <w:rPr>
          <w:rFonts w:hint="eastAsia" w:ascii="宋体" w:hAnsi="宋体"/>
          <w:color w:val="auto"/>
          <w:highlight w:val="none"/>
        </w:rPr>
        <w:t>投标人</w:t>
      </w:r>
      <w:r>
        <w:rPr>
          <w:rFonts w:hint="eastAsia" w:ascii="宋体" w:hAnsi="宋体"/>
          <w:color w:val="auto"/>
          <w:szCs w:val="21"/>
          <w:highlight w:val="none"/>
        </w:rPr>
        <w:t>2020年以来具有同类产品</w:t>
      </w:r>
      <w:r>
        <w:rPr>
          <w:rFonts w:hint="eastAsia" w:ascii="宋体" w:hAnsi="宋体"/>
          <w:color w:val="auto"/>
          <w:highlight w:val="none"/>
        </w:rPr>
        <w:t>的销售业绩的相关证明材料</w:t>
      </w:r>
      <w:r>
        <w:rPr>
          <w:rFonts w:hint="eastAsia" w:ascii="宋体" w:hAnsi="宋体"/>
          <w:color w:val="auto"/>
          <w:spacing w:val="-12"/>
          <w:szCs w:val="21"/>
          <w:highlight w:val="none"/>
        </w:rPr>
        <w:t>【</w:t>
      </w:r>
      <w:r>
        <w:rPr>
          <w:rFonts w:hint="eastAsia" w:ascii="宋体" w:hAnsi="宋体"/>
          <w:color w:val="auto"/>
          <w:szCs w:val="21"/>
          <w:highlight w:val="none"/>
        </w:rPr>
        <w:t>无不良记录，以中标（成交）通知书或签订的销售合同复印件为准，并能清晰反映所销售的货物名称、种类、时间等内容</w:t>
      </w:r>
      <w:r>
        <w:rPr>
          <w:rFonts w:hint="eastAsia" w:ascii="宋体" w:hAnsi="宋体"/>
          <w:color w:val="auto"/>
          <w:highlight w:val="none"/>
        </w:rPr>
        <w:t>】</w:t>
      </w:r>
      <w:r>
        <w:rPr>
          <w:rFonts w:hint="eastAsia" w:ascii="宋体" w:hAnsi="宋体"/>
          <w:b/>
          <w:color w:val="auto"/>
          <w:highlight w:val="none"/>
        </w:rPr>
        <w:t>（具体以评分办法为准，如有，请提供）</w:t>
      </w:r>
      <w:r>
        <w:rPr>
          <w:rFonts w:hint="eastAsia" w:ascii="宋体" w:hAnsi="宋体" w:cs="宋体"/>
          <w:bCs/>
          <w:color w:val="auto"/>
          <w:highlight w:val="none"/>
        </w:rPr>
        <w:t>；</w:t>
      </w:r>
    </w:p>
    <w:p w14:paraId="522416C2">
      <w:pPr>
        <w:tabs>
          <w:tab w:val="left" w:pos="1305"/>
        </w:tabs>
        <w:spacing w:line="400" w:lineRule="exact"/>
        <w:ind w:firstLine="420" w:firstLineChars="200"/>
        <w:rPr>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）投标人为生产厂家的，投标人的生产制造设备清单及专业技术能力说明</w:t>
      </w:r>
      <w:r>
        <w:rPr>
          <w:rFonts w:hint="eastAsia" w:ascii="宋体" w:hAnsi="宋体" w:cs="宋体"/>
          <w:b/>
          <w:color w:val="auto"/>
          <w:highlight w:val="none"/>
        </w:rPr>
        <w:t>（如有，请提供）</w:t>
      </w:r>
      <w:r>
        <w:rPr>
          <w:rFonts w:hint="eastAsia" w:ascii="宋体" w:hAnsi="宋体" w:cs="宋体"/>
          <w:bCs/>
          <w:color w:val="auto"/>
          <w:highlight w:val="none"/>
        </w:rPr>
        <w:t>；</w:t>
      </w:r>
    </w:p>
    <w:p w14:paraId="1B0E8D0C">
      <w:pPr>
        <w:tabs>
          <w:tab w:val="left" w:pos="1305"/>
        </w:tabs>
        <w:spacing w:line="400" w:lineRule="exact"/>
        <w:ind w:firstLine="420" w:firstLineChars="200"/>
        <w:rPr>
          <w:rFonts w:ascii="宋体" w:hAnsi="宋体" w:cs="宋体"/>
          <w:b/>
          <w:color w:val="auto"/>
          <w:highlight w:val="none"/>
        </w:rPr>
      </w:pPr>
      <w:r>
        <w:rPr>
          <w:rFonts w:hint="eastAsia" w:ascii="宋体" w:hAnsi="宋体" w:cs="宋体"/>
          <w:color w:val="auto"/>
          <w:szCs w:val="20"/>
          <w:highlight w:val="none"/>
        </w:rPr>
        <w:t>（1</w:t>
      </w:r>
      <w:r>
        <w:rPr>
          <w:rFonts w:hint="eastAsia" w:ascii="宋体" w:hAnsi="宋体" w:cs="宋体"/>
          <w:color w:val="auto"/>
          <w:szCs w:val="20"/>
          <w:highlight w:val="none"/>
          <w:lang w:val="en-US" w:eastAsia="zh-CN"/>
        </w:rPr>
        <w:t>3</w:t>
      </w:r>
      <w:r>
        <w:rPr>
          <w:rFonts w:hint="eastAsia" w:ascii="宋体" w:hAnsi="宋体" w:cs="宋体"/>
          <w:color w:val="auto"/>
          <w:szCs w:val="20"/>
          <w:highlight w:val="none"/>
        </w:rPr>
        <w:t>）投标人相关获奖证书、认证证书等复印件</w:t>
      </w:r>
      <w:r>
        <w:rPr>
          <w:rFonts w:hint="eastAsia" w:ascii="宋体" w:hAnsi="宋体" w:cs="宋体"/>
          <w:b/>
          <w:color w:val="auto"/>
          <w:highlight w:val="none"/>
        </w:rPr>
        <w:t>（如有，请提供）</w:t>
      </w:r>
      <w:r>
        <w:rPr>
          <w:rFonts w:hint="eastAsia" w:ascii="宋体" w:hAnsi="宋体" w:cs="宋体"/>
          <w:bCs/>
          <w:color w:val="auto"/>
          <w:highlight w:val="none"/>
        </w:rPr>
        <w:t>；</w:t>
      </w:r>
    </w:p>
    <w:p w14:paraId="6ABB48FA">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）投标人可结合本项目的评标办法视自身情况自行提交相关证明材料</w:t>
      </w:r>
      <w:r>
        <w:rPr>
          <w:rFonts w:hint="eastAsia" w:ascii="宋体" w:hAnsi="宋体" w:cs="宋体"/>
          <w:b/>
          <w:color w:val="auto"/>
          <w:highlight w:val="none"/>
        </w:rPr>
        <w:t>（如有，请提供）</w:t>
      </w:r>
      <w:r>
        <w:rPr>
          <w:rFonts w:hint="eastAsia" w:ascii="宋体" w:hAnsi="宋体" w:cs="宋体"/>
          <w:color w:val="auto"/>
          <w:szCs w:val="21"/>
          <w:highlight w:val="none"/>
        </w:rPr>
        <w:t>。</w:t>
      </w:r>
    </w:p>
    <w:p w14:paraId="3800A1A7">
      <w:pPr>
        <w:spacing w:line="400" w:lineRule="exact"/>
        <w:ind w:firstLine="420"/>
        <w:rPr>
          <w:rFonts w:ascii="宋体" w:hAnsi="宋体" w:cs="宋体"/>
          <w:b/>
          <w:bCs/>
          <w:color w:val="auto"/>
          <w:highlight w:val="none"/>
        </w:rPr>
      </w:pPr>
      <w:r>
        <w:rPr>
          <w:rFonts w:hint="eastAsia" w:ascii="宋体" w:hAnsi="宋体" w:cs="宋体"/>
          <w:b/>
          <w:bCs/>
          <w:color w:val="auto"/>
          <w:highlight w:val="none"/>
        </w:rPr>
        <w:t>投标人提供的以上相关证明材料属于“必须提供”的文件应加盖投标人公章（CA签章）/自然人签字或加盖个人CA签章，否则投标无效。</w:t>
      </w:r>
    </w:p>
    <w:p w14:paraId="3238C649">
      <w:pPr>
        <w:spacing w:line="400" w:lineRule="exact"/>
        <w:ind w:firstLine="420"/>
        <w:rPr>
          <w:rFonts w:ascii="宋体" w:hAnsi="宋体" w:cs="宋体"/>
          <w:color w:val="auto"/>
          <w:highlight w:val="none"/>
        </w:rPr>
      </w:pPr>
      <w:r>
        <w:rPr>
          <w:rFonts w:hint="eastAsia" w:ascii="宋体" w:hAnsi="宋体" w:cs="宋体"/>
          <w:color w:val="auto"/>
          <w:szCs w:val="21"/>
          <w:highlight w:val="none"/>
        </w:rPr>
        <w:t>13.3</w:t>
      </w:r>
      <w:r>
        <w:rPr>
          <w:rFonts w:hint="eastAsia" w:ascii="宋体" w:hAnsi="宋体" w:cs="宋体"/>
          <w:color w:val="auto"/>
          <w:highlight w:val="none"/>
        </w:rPr>
        <w:t>投标人应按招标文件第六章“投标文件（格式）”编制投标文件。</w:t>
      </w:r>
    </w:p>
    <w:p w14:paraId="1CD468EC">
      <w:pPr>
        <w:spacing w:line="400" w:lineRule="exact"/>
        <w:ind w:firstLine="420"/>
        <w:rPr>
          <w:rFonts w:ascii="宋体" w:hAnsi="宋体" w:cs="宋体"/>
          <w:color w:val="auto"/>
          <w:highlight w:val="none"/>
        </w:rPr>
      </w:pPr>
      <w:r>
        <w:rPr>
          <w:rFonts w:hint="eastAsia" w:ascii="宋体" w:hAnsi="宋体" w:cs="宋体"/>
          <w:color w:val="auto"/>
          <w:highlight w:val="none"/>
        </w:rPr>
        <w:t>13.4投标文件应当对招标文件提出的要求和条件作出明确响应。</w:t>
      </w:r>
    </w:p>
    <w:p w14:paraId="1416ABEA">
      <w:pPr>
        <w:spacing w:line="400" w:lineRule="exact"/>
        <w:ind w:firstLine="420"/>
        <w:rPr>
          <w:rFonts w:ascii="宋体" w:hAnsi="宋体" w:cs="宋体"/>
          <w:b/>
          <w:bCs/>
          <w:color w:val="auto"/>
          <w:highlight w:val="none"/>
        </w:rPr>
      </w:pPr>
      <w:r>
        <w:rPr>
          <w:rFonts w:hint="eastAsia" w:ascii="宋体" w:hAnsi="宋体" w:cs="宋体"/>
          <w:b/>
          <w:bCs/>
          <w:color w:val="auto"/>
          <w:highlight w:val="none"/>
        </w:rPr>
        <w:t>特别说明：</w:t>
      </w:r>
    </w:p>
    <w:p w14:paraId="1D640790">
      <w:pPr>
        <w:tabs>
          <w:tab w:val="left" w:pos="1305"/>
        </w:tabs>
        <w:spacing w:line="400" w:lineRule="exact"/>
        <w:ind w:firstLine="422" w:firstLineChars="200"/>
        <w:rPr>
          <w:rFonts w:ascii="宋体" w:hAnsi="宋体" w:cs="宋体"/>
          <w:b/>
          <w:bCs/>
          <w:color w:val="auto"/>
          <w:szCs w:val="21"/>
          <w:highlight w:val="none"/>
        </w:rPr>
      </w:pPr>
      <w:bookmarkStart w:id="128" w:name="_Toc11037"/>
      <w:r>
        <w:rPr>
          <w:rFonts w:hint="eastAsia" w:ascii="宋体" w:hAnsi="宋体" w:cs="宋体"/>
          <w:b/>
          <w:bCs/>
          <w:color w:val="auto"/>
          <w:szCs w:val="21"/>
          <w:highlight w:val="none"/>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14:paraId="42E7B60E">
      <w:pPr>
        <w:tabs>
          <w:tab w:val="left" w:pos="1305"/>
        </w:tabs>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（2）招标文件要求法定代表人（负责人）或委托代理人签字的部分必须签字然后扫描或者拍照做成 pdf 格式上传（或加盖个人CA签章），无签字的视为投标无效。</w:t>
      </w:r>
    </w:p>
    <w:p w14:paraId="54AB55C1">
      <w:pPr>
        <w:spacing w:line="400" w:lineRule="exact"/>
        <w:ind w:firstLine="413" w:firstLineChars="196"/>
        <w:outlineLvl w:val="2"/>
        <w:rPr>
          <w:rFonts w:ascii="宋体" w:hAnsi="宋体" w:cs="宋体"/>
          <w:b/>
          <w:color w:val="auto"/>
          <w:szCs w:val="21"/>
          <w:highlight w:val="none"/>
        </w:rPr>
      </w:pPr>
      <w:bookmarkStart w:id="129" w:name="_Toc10415"/>
      <w:bookmarkStart w:id="130" w:name="_Toc31974"/>
      <w:bookmarkStart w:id="131" w:name="_Toc21633"/>
      <w:r>
        <w:rPr>
          <w:rFonts w:hint="eastAsia" w:ascii="宋体" w:hAnsi="宋体" w:cs="宋体"/>
          <w:b/>
          <w:color w:val="auto"/>
          <w:szCs w:val="21"/>
          <w:highlight w:val="none"/>
        </w:rPr>
        <w:t>14. 投标文件的语言及计量</w:t>
      </w:r>
      <w:bookmarkEnd w:id="128"/>
      <w:bookmarkEnd w:id="129"/>
      <w:bookmarkEnd w:id="130"/>
      <w:bookmarkEnd w:id="131"/>
    </w:p>
    <w:p w14:paraId="51EECEA6">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644092DF">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14:paraId="52BB09A5">
      <w:pPr>
        <w:numPr>
          <w:ilvl w:val="0"/>
          <w:numId w:val="2"/>
        </w:numPr>
        <w:spacing w:line="400" w:lineRule="exact"/>
        <w:ind w:firstLine="413" w:firstLineChars="196"/>
        <w:outlineLvl w:val="2"/>
        <w:rPr>
          <w:rFonts w:ascii="宋体" w:hAnsi="宋体" w:cs="宋体"/>
          <w:b/>
          <w:color w:val="auto"/>
          <w:szCs w:val="21"/>
          <w:highlight w:val="none"/>
        </w:rPr>
      </w:pPr>
      <w:bookmarkStart w:id="132" w:name="_Toc22957"/>
      <w:bookmarkStart w:id="133" w:name="_Toc666"/>
      <w:bookmarkStart w:id="134" w:name="_Toc8372"/>
      <w:bookmarkStart w:id="135" w:name="_Toc13903"/>
      <w:r>
        <w:rPr>
          <w:rFonts w:hint="eastAsia" w:ascii="宋体" w:hAnsi="宋体" w:cs="宋体"/>
          <w:b/>
          <w:color w:val="auto"/>
          <w:szCs w:val="21"/>
          <w:highlight w:val="none"/>
        </w:rPr>
        <w:t>投标报价</w:t>
      </w:r>
      <w:bookmarkEnd w:id="132"/>
      <w:bookmarkEnd w:id="133"/>
      <w:bookmarkEnd w:id="134"/>
      <w:bookmarkEnd w:id="135"/>
    </w:p>
    <w:p w14:paraId="2E799D0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15.1投标报价应按招标文件中第六章“投标文件（格式）”填写，</w:t>
      </w:r>
      <w:r>
        <w:rPr>
          <w:rFonts w:hint="eastAsia" w:ascii="宋体" w:hAnsi="宋体" w:cs="宋体"/>
          <w:b/>
          <w:color w:val="auto"/>
          <w:szCs w:val="21"/>
          <w:highlight w:val="none"/>
        </w:rPr>
        <w:t>本项目采购预算金额（人民币）：</w:t>
      </w:r>
      <w:r>
        <w:rPr>
          <w:rFonts w:hint="eastAsia" w:ascii="宋体" w:hAnsi="宋体" w:cs="宋体"/>
          <w:b/>
          <w:color w:val="auto"/>
          <w:szCs w:val="21"/>
          <w:highlight w:val="none"/>
          <w:lang w:val="en-US" w:eastAsia="zh-CN"/>
        </w:rPr>
        <w:t>1970000.00元（其中A分标：720000元，B分标：4500000元，C分标：500000元，D分标：300000元）</w:t>
      </w:r>
      <w:r>
        <w:rPr>
          <w:rFonts w:hint="eastAsia" w:ascii="宋体" w:hAnsi="宋体" w:cs="宋体"/>
          <w:color w:val="auto"/>
          <w:szCs w:val="21"/>
          <w:highlight w:val="none"/>
        </w:rPr>
        <w:t>，</w:t>
      </w:r>
      <w:r>
        <w:rPr>
          <w:rFonts w:hint="eastAsia" w:ascii="宋体" w:hAnsi="宋体" w:cs="宋体"/>
          <w:b/>
          <w:bCs/>
          <w:color w:val="auto"/>
          <w:szCs w:val="21"/>
          <w:highlight w:val="none"/>
          <w:lang w:val="en-US" w:eastAsia="zh-CN"/>
        </w:rPr>
        <w:t>最高限价（人民币）：1970000.00元（其中A分标：720000元，B分标：4500000元，C分标：500000元，D分标：300000元）</w:t>
      </w:r>
      <w:r>
        <w:rPr>
          <w:rFonts w:hint="eastAsia" w:ascii="宋体" w:hAnsi="宋体" w:cs="宋体"/>
          <w:color w:val="auto"/>
          <w:szCs w:val="21"/>
          <w:highlight w:val="none"/>
          <w:lang w:val="en-US" w:eastAsia="zh-CN"/>
        </w:rPr>
        <w:t>，</w:t>
      </w:r>
      <w:r>
        <w:rPr>
          <w:rFonts w:hint="eastAsia" w:ascii="宋体" w:hAnsi="宋体"/>
          <w:color w:val="auto"/>
          <w:szCs w:val="21"/>
          <w:highlight w:val="none"/>
        </w:rPr>
        <w:t>投标报价超过</w:t>
      </w:r>
      <w:r>
        <w:rPr>
          <w:rFonts w:hint="eastAsia" w:ascii="宋体" w:hAnsi="宋体"/>
          <w:color w:val="auto"/>
          <w:szCs w:val="21"/>
          <w:highlight w:val="none"/>
          <w:lang w:val="en-US" w:eastAsia="zh-CN"/>
        </w:rPr>
        <w:t>最高限价</w:t>
      </w:r>
      <w:r>
        <w:rPr>
          <w:rFonts w:hint="eastAsia" w:ascii="宋体" w:hAnsi="宋体"/>
          <w:color w:val="auto"/>
          <w:szCs w:val="21"/>
          <w:highlight w:val="none"/>
        </w:rPr>
        <w:t>金额的，投标文件作无效处理。</w:t>
      </w:r>
    </w:p>
    <w:p w14:paraId="79D17B4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15.2投标人必须就“货物采购需求”中所投内容作完整唯一报价，否则，其投标将被拒绝；投标文件只允许有一个报价，有选择的或有条件的报价将不予接受。</w:t>
      </w:r>
    </w:p>
    <w:p w14:paraId="19EC3BF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15.3投标报价应包括本次招标采购范围内货物价款、劳务费、技术服务费、设备、运输、交通、检验、售后服务、通讯、办公场地、管理费、保险、税费、利润及其他所有成本费用的总和，</w:t>
      </w:r>
      <w:r>
        <w:rPr>
          <w:rFonts w:hint="eastAsia" w:ascii="宋体" w:hAnsi="宋体" w:cs="宋体"/>
          <w:color w:val="auto"/>
          <w:highlight w:val="none"/>
        </w:rPr>
        <w:t>投标人应综合考虑在报价中。</w:t>
      </w:r>
    </w:p>
    <w:p w14:paraId="612799A0">
      <w:pPr>
        <w:spacing w:line="400" w:lineRule="exact"/>
        <w:ind w:firstLine="413" w:firstLineChars="196"/>
        <w:outlineLvl w:val="2"/>
        <w:rPr>
          <w:rFonts w:ascii="宋体" w:hAnsi="宋体" w:cs="宋体"/>
          <w:b/>
          <w:color w:val="auto"/>
          <w:szCs w:val="21"/>
          <w:highlight w:val="none"/>
        </w:rPr>
      </w:pPr>
      <w:bookmarkStart w:id="136" w:name="_Toc6473"/>
      <w:bookmarkStart w:id="137" w:name="_Toc24338"/>
      <w:bookmarkStart w:id="138" w:name="_Toc7712"/>
      <w:bookmarkStart w:id="139" w:name="_Toc22333"/>
      <w:r>
        <w:rPr>
          <w:rFonts w:hint="eastAsia" w:ascii="宋体" w:hAnsi="宋体" w:cs="宋体"/>
          <w:b/>
          <w:color w:val="auto"/>
          <w:szCs w:val="21"/>
          <w:highlight w:val="none"/>
        </w:rPr>
        <w:t>16. 投标有效期</w:t>
      </w:r>
      <w:bookmarkEnd w:id="136"/>
      <w:bookmarkEnd w:id="137"/>
      <w:bookmarkEnd w:id="138"/>
      <w:bookmarkEnd w:id="139"/>
    </w:p>
    <w:p w14:paraId="036C45A3">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16.1投标有效期：</w:t>
      </w:r>
      <w:r>
        <w:rPr>
          <w:rFonts w:hint="eastAsia" w:ascii="宋体" w:hAnsi="宋体" w:cs="宋体"/>
          <w:color w:val="auto"/>
          <w:highlight w:val="none"/>
        </w:rPr>
        <w:t>投标截止时间之日起90天</w:t>
      </w:r>
      <w:r>
        <w:rPr>
          <w:rFonts w:hint="eastAsia" w:ascii="宋体" w:hAnsi="宋体" w:cs="宋体"/>
          <w:color w:val="auto"/>
          <w:sz w:val="22"/>
          <w:szCs w:val="22"/>
          <w:highlight w:val="none"/>
        </w:rPr>
        <w:t>。</w:t>
      </w:r>
    </w:p>
    <w:p w14:paraId="09B0FE89">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16.2出现特殊情况下，需要延长投标有效期的，采购代理机构以书面形式通知投标人延长投标有效期。投标人同意延长的，原投标文件继续有效。投标人拒绝延长的，其投标无效。</w:t>
      </w:r>
    </w:p>
    <w:p w14:paraId="2127BA47">
      <w:pPr>
        <w:spacing w:line="400" w:lineRule="exact"/>
        <w:ind w:firstLine="413" w:firstLineChars="196"/>
        <w:outlineLvl w:val="2"/>
        <w:rPr>
          <w:rFonts w:ascii="宋体" w:hAnsi="宋体" w:cs="宋体"/>
          <w:b/>
          <w:color w:val="auto"/>
          <w:szCs w:val="21"/>
          <w:highlight w:val="none"/>
        </w:rPr>
      </w:pPr>
      <w:bookmarkStart w:id="140" w:name="_Toc5668"/>
      <w:bookmarkStart w:id="141" w:name="_Toc20211"/>
      <w:bookmarkStart w:id="142" w:name="_Toc23588"/>
      <w:bookmarkStart w:id="143" w:name="_Toc10058"/>
      <w:r>
        <w:rPr>
          <w:rFonts w:hint="eastAsia" w:ascii="宋体" w:hAnsi="宋体" w:cs="宋体"/>
          <w:b/>
          <w:color w:val="auto"/>
          <w:szCs w:val="21"/>
          <w:highlight w:val="none"/>
        </w:rPr>
        <w:t>17. 投标保证金</w:t>
      </w:r>
      <w:bookmarkEnd w:id="140"/>
      <w:bookmarkEnd w:id="141"/>
      <w:bookmarkEnd w:id="142"/>
      <w:bookmarkEnd w:id="143"/>
    </w:p>
    <w:p w14:paraId="5175E366">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本项目无需缴纳投标保证金。</w:t>
      </w:r>
    </w:p>
    <w:p w14:paraId="216A8A69">
      <w:pPr>
        <w:spacing w:line="400" w:lineRule="exact"/>
        <w:ind w:firstLine="413" w:firstLineChars="196"/>
        <w:outlineLvl w:val="2"/>
        <w:rPr>
          <w:rFonts w:ascii="宋体" w:hAnsi="宋体" w:cs="宋体"/>
          <w:b/>
          <w:color w:val="auto"/>
          <w:szCs w:val="21"/>
          <w:highlight w:val="none"/>
        </w:rPr>
      </w:pPr>
      <w:bookmarkStart w:id="144" w:name="_Toc6809"/>
      <w:bookmarkStart w:id="145" w:name="_Toc30873"/>
      <w:bookmarkStart w:id="146" w:name="_Toc17385"/>
      <w:bookmarkStart w:id="147" w:name="_Toc17461"/>
      <w:bookmarkStart w:id="148" w:name="_Toc20745"/>
      <w:bookmarkStart w:id="149" w:name="_Toc25494"/>
      <w:bookmarkStart w:id="150" w:name="_Toc24490"/>
      <w:r>
        <w:rPr>
          <w:rFonts w:hint="eastAsia" w:ascii="宋体" w:hAnsi="宋体" w:cs="宋体"/>
          <w:b/>
          <w:color w:val="auto"/>
          <w:szCs w:val="21"/>
          <w:highlight w:val="none"/>
        </w:rPr>
        <w:t>18. 投标文件的</w:t>
      </w:r>
      <w:bookmarkEnd w:id="144"/>
      <w:bookmarkEnd w:id="145"/>
      <w:r>
        <w:rPr>
          <w:rFonts w:hint="eastAsia" w:ascii="宋体" w:hAnsi="宋体" w:cs="宋体"/>
          <w:b/>
          <w:color w:val="auto"/>
          <w:szCs w:val="21"/>
          <w:highlight w:val="none"/>
        </w:rPr>
        <w:t>封装</w:t>
      </w:r>
      <w:bookmarkEnd w:id="146"/>
      <w:bookmarkEnd w:id="147"/>
      <w:bookmarkEnd w:id="148"/>
      <w:bookmarkEnd w:id="149"/>
    </w:p>
    <w:p w14:paraId="690065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6D4328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18.2 CA 签章上目前没有法人（负责人）或授权代表签字信息，供应商在投标文件中涉及到签字的位置线下签好字然后扫描或者拍照做成 PDF 的格式即可。 </w:t>
      </w:r>
    </w:p>
    <w:p w14:paraId="5EEC36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 投标文件不得涂改，若有修改错漏处，须法定代表人（负责人）或授权委托人签字。投标文件因字迹潦草或表达不清所引起的后果由供应商负责。</w:t>
      </w:r>
    </w:p>
    <w:p w14:paraId="781151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18.4评审前准备 </w:t>
      </w:r>
    </w:p>
    <w:p w14:paraId="2AE51B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18.4.1本项目实行网上评审，采用电子投标文件。若供应商参与投标，自行承担投标一切费用。 </w:t>
      </w:r>
    </w:p>
    <w:p w14:paraId="5E715D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18.4.2各供应商在截标前应确保成为</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 xml:space="preserve">正式注册入库供应商，并完成 CA 数字证书申领。因未注册入库、未办理 CA 数字证书等原因造成无法投标或投标失败等后果由供应商自行承担。 </w:t>
      </w:r>
    </w:p>
    <w:p w14:paraId="1FB2AA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18.4.3供应商将政采云电子交易客户端下载、安装完成后，可通过账号密码或 CA 登录客户端进行投标文件制作。客户端请至网站下载专区查看，如有问题可拨打政采云客户服务热线 95763 进行咨询。</w:t>
      </w:r>
    </w:p>
    <w:bookmarkEnd w:id="150"/>
    <w:p w14:paraId="609431C4">
      <w:pPr>
        <w:spacing w:line="400" w:lineRule="exact"/>
        <w:ind w:firstLine="413" w:firstLineChars="196"/>
        <w:outlineLvl w:val="2"/>
        <w:rPr>
          <w:rFonts w:ascii="宋体" w:hAnsi="宋体" w:cs="宋体"/>
          <w:b/>
          <w:color w:val="auto"/>
          <w:szCs w:val="21"/>
          <w:highlight w:val="none"/>
        </w:rPr>
      </w:pPr>
      <w:bookmarkStart w:id="151" w:name="_Toc2957"/>
      <w:bookmarkStart w:id="152" w:name="_Toc15098"/>
      <w:bookmarkStart w:id="153" w:name="_Toc12348"/>
      <w:bookmarkStart w:id="154" w:name="_Toc15044"/>
      <w:bookmarkStart w:id="155" w:name="_Toc24718"/>
      <w:bookmarkStart w:id="156" w:name="_Toc31572"/>
      <w:r>
        <w:rPr>
          <w:rFonts w:hint="eastAsia" w:ascii="宋体" w:hAnsi="宋体" w:cs="宋体"/>
          <w:b/>
          <w:color w:val="auto"/>
          <w:szCs w:val="21"/>
          <w:highlight w:val="none"/>
        </w:rPr>
        <w:t>19. 投标文件的补充、修改和撤回</w:t>
      </w:r>
      <w:bookmarkEnd w:id="151"/>
      <w:bookmarkEnd w:id="152"/>
      <w:bookmarkEnd w:id="153"/>
      <w:bookmarkEnd w:id="154"/>
      <w:bookmarkEnd w:id="155"/>
    </w:p>
    <w:p w14:paraId="0B95A9D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9</w:t>
      </w:r>
      <w:r>
        <w:rPr>
          <w:rFonts w:ascii="宋体" w:hAnsi="宋体" w:cs="宋体"/>
          <w:color w:val="auto"/>
          <w:szCs w:val="21"/>
          <w:highlight w:val="none"/>
        </w:rPr>
        <w:t xml:space="preserve">.1 </w:t>
      </w:r>
      <w:r>
        <w:rPr>
          <w:rFonts w:hint="eastAsia" w:ascii="宋体" w:hAnsi="宋体" w:cs="宋体"/>
          <w:color w:val="auto"/>
          <w:szCs w:val="21"/>
          <w:highlight w:val="none"/>
        </w:rPr>
        <w:t>投标文件递交截止时间前可以撤回电子投标文件。补充或者修改电子投标文件的，应当先行撤回原文件，补充、修改后重新传输递交，投标文件递交截止时间前未完成传输的，视为撤回投标文件。</w:t>
      </w:r>
    </w:p>
    <w:p w14:paraId="23A4E38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9</w:t>
      </w:r>
      <w:r>
        <w:rPr>
          <w:rFonts w:ascii="宋体" w:hAnsi="宋体" w:cs="宋体"/>
          <w:color w:val="auto"/>
          <w:szCs w:val="21"/>
          <w:highlight w:val="none"/>
        </w:rPr>
        <w:t xml:space="preserve">.2 </w:t>
      </w:r>
      <w:r>
        <w:rPr>
          <w:rFonts w:hint="eastAsia" w:ascii="宋体" w:hAnsi="宋体" w:cs="宋体"/>
          <w:color w:val="auto"/>
          <w:szCs w:val="21"/>
          <w:highlight w:val="none"/>
        </w:rPr>
        <w:t>在投标文件递交截止时间后的投标文件有效期内，供应商不得撤回其投标文件。</w:t>
      </w:r>
    </w:p>
    <w:bookmarkEnd w:id="156"/>
    <w:p w14:paraId="394735B5">
      <w:pPr>
        <w:spacing w:line="400" w:lineRule="exact"/>
        <w:ind w:firstLine="413" w:firstLineChars="196"/>
        <w:outlineLvl w:val="2"/>
        <w:rPr>
          <w:rFonts w:ascii="宋体" w:hAnsi="宋体" w:cs="宋体"/>
          <w:b/>
          <w:color w:val="auto"/>
          <w:szCs w:val="21"/>
          <w:highlight w:val="none"/>
        </w:rPr>
      </w:pPr>
      <w:bookmarkStart w:id="157" w:name="_Toc13713"/>
      <w:bookmarkStart w:id="158" w:name="_Toc27123"/>
      <w:bookmarkStart w:id="159" w:name="_Toc25760"/>
      <w:bookmarkStart w:id="160" w:name="_Toc8182"/>
      <w:bookmarkStart w:id="161" w:name="_Toc16777"/>
      <w:r>
        <w:rPr>
          <w:rFonts w:hint="eastAsia" w:ascii="宋体" w:hAnsi="宋体" w:cs="宋体"/>
          <w:b/>
          <w:color w:val="auto"/>
          <w:szCs w:val="21"/>
          <w:highlight w:val="none"/>
        </w:rPr>
        <w:t>20. 投标文件的递交</w:t>
      </w:r>
      <w:bookmarkEnd w:id="157"/>
      <w:r>
        <w:rPr>
          <w:rFonts w:hint="eastAsia" w:ascii="宋体" w:hAnsi="宋体" w:cs="宋体"/>
          <w:b/>
          <w:color w:val="auto"/>
          <w:szCs w:val="21"/>
          <w:highlight w:val="none"/>
        </w:rPr>
        <w:t>和解密</w:t>
      </w:r>
      <w:bookmarkEnd w:id="158"/>
      <w:bookmarkEnd w:id="159"/>
      <w:bookmarkEnd w:id="160"/>
      <w:bookmarkEnd w:id="161"/>
    </w:p>
    <w:p w14:paraId="2C4C70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w:t>
      </w:r>
      <w:r>
        <w:rPr>
          <w:rFonts w:hint="eastAsia" w:ascii="宋体" w:hAnsi="宋体"/>
          <w:color w:val="auto"/>
          <w:szCs w:val="21"/>
          <w:highlight w:val="none"/>
        </w:rPr>
        <w:t>投标文件递交截止时间：于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日9时30分整</w:t>
      </w:r>
      <w:r>
        <w:rPr>
          <w:rFonts w:hint="eastAsia" w:ascii="宋体" w:hAnsi="宋体" w:cs="宋体"/>
          <w:color w:val="auto"/>
          <w:szCs w:val="21"/>
          <w:highlight w:val="none"/>
        </w:rPr>
        <w:t>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。应按照本项目招标文件和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的要求编制、加密传输投标文件。供应商在使用系统进行投标的过程中遇到涉及平台使用的任何问题，可致电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技术支持热线咨询，联系方式：95763。</w:t>
      </w:r>
    </w:p>
    <w:p w14:paraId="61BC36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20.2投标文件解密时间：截标时间后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日9时30分</w:t>
      </w:r>
      <w:r>
        <w:rPr>
          <w:rFonts w:hint="eastAsia" w:ascii="宋体" w:hAnsi="宋体" w:cs="宋体"/>
          <w:color w:val="auto"/>
          <w:highlight w:val="none"/>
          <w:u w:val="single"/>
        </w:rPr>
        <w:t>至10时00分</w:t>
      </w:r>
      <w:r>
        <w:rPr>
          <w:rFonts w:hint="eastAsia" w:ascii="宋体" w:hAnsi="宋体" w:cs="宋体"/>
          <w:color w:val="auto"/>
          <w:szCs w:val="21"/>
          <w:highlight w:val="none"/>
        </w:rPr>
        <w:t>)投标人可以登录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，用“项目采购-开标评标”功能进行解密投标文件。若投标人在规定时间内无法解密或解密失败，可以以电子备份投标文件作为依据</w:t>
      </w:r>
      <w:r>
        <w:rPr>
          <w:rFonts w:hint="eastAsia" w:ascii="宋体" w:hAnsi="宋体" w:cs="宋体"/>
          <w:b/>
          <w:bCs/>
          <w:color w:val="auto"/>
          <w:szCs w:val="21"/>
          <w:highlight w:val="none"/>
        </w:rPr>
        <w:t>【在接到无法解密或解密失败的通知后，投标人可根据自身实际情况按通知时要求的时间到桂林市公共资源交易中心</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号政府采购开标仓现场提交或以电子邮件的形式（以通知时所告知的电子邮箱地址为准）提交电子备份投标文件】</w:t>
      </w:r>
      <w:r>
        <w:rPr>
          <w:rFonts w:hint="eastAsia" w:ascii="宋体" w:hAnsi="宋体" w:cs="宋体"/>
          <w:color w:val="auto"/>
          <w:szCs w:val="21"/>
          <w:highlight w:val="none"/>
        </w:rPr>
        <w:t>，若投标人在规定时间内无法解密或解密失败且未提供电子备份投标文件的(包含提供的电子备份文件无效或无法解密的情况)，视为投标无效。</w:t>
      </w:r>
    </w:p>
    <w:p w14:paraId="604DE8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除招标文件另有规定外，供应商所递交的投标文件不予退还。</w:t>
      </w:r>
    </w:p>
    <w:p w14:paraId="0532F3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电子投标文件的相关说明</w:t>
      </w:r>
    </w:p>
    <w:p w14:paraId="13ABB1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0CDDBAA2">
      <w:pPr>
        <w:spacing w:line="360" w:lineRule="auto"/>
        <w:ind w:firstLine="420" w:firstLineChars="200"/>
        <w:rPr>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6A8B37CB">
      <w:pPr>
        <w:pStyle w:val="49"/>
        <w:rPr>
          <w:color w:val="auto"/>
          <w:highlight w:val="none"/>
        </w:rPr>
      </w:pPr>
    </w:p>
    <w:p w14:paraId="772FDE7E">
      <w:pPr>
        <w:spacing w:line="360" w:lineRule="auto"/>
        <w:jc w:val="center"/>
        <w:outlineLvl w:val="1"/>
        <w:rPr>
          <w:rFonts w:ascii="宋体" w:hAnsi="宋体" w:cs="宋体"/>
          <w:b/>
          <w:color w:val="auto"/>
          <w:sz w:val="28"/>
          <w:szCs w:val="28"/>
          <w:highlight w:val="none"/>
        </w:rPr>
      </w:pPr>
      <w:bookmarkStart w:id="162" w:name="_Toc11812"/>
      <w:bookmarkStart w:id="163" w:name="_Toc29710"/>
      <w:bookmarkStart w:id="164" w:name="_Toc7699"/>
      <w:bookmarkStart w:id="165" w:name="_Toc307"/>
      <w:bookmarkStart w:id="166" w:name="_Toc495841757"/>
      <w:r>
        <w:rPr>
          <w:rFonts w:hint="eastAsia" w:ascii="宋体" w:hAnsi="宋体" w:cs="宋体"/>
          <w:b/>
          <w:color w:val="auto"/>
          <w:sz w:val="28"/>
          <w:szCs w:val="28"/>
          <w:highlight w:val="none"/>
        </w:rPr>
        <w:t>四、开标</w:t>
      </w:r>
      <w:bookmarkEnd w:id="162"/>
      <w:bookmarkEnd w:id="163"/>
      <w:bookmarkEnd w:id="164"/>
      <w:bookmarkEnd w:id="165"/>
      <w:bookmarkEnd w:id="166"/>
    </w:p>
    <w:p w14:paraId="776474B2">
      <w:pPr>
        <w:spacing w:line="400" w:lineRule="exact"/>
        <w:ind w:firstLine="413" w:firstLineChars="196"/>
        <w:outlineLvl w:val="2"/>
        <w:rPr>
          <w:rFonts w:ascii="宋体" w:hAnsi="宋体" w:cs="宋体"/>
          <w:b/>
          <w:color w:val="auto"/>
          <w:szCs w:val="21"/>
          <w:highlight w:val="none"/>
        </w:rPr>
      </w:pPr>
      <w:bookmarkStart w:id="167" w:name="_Toc11595"/>
      <w:bookmarkStart w:id="168" w:name="_Toc25198"/>
      <w:bookmarkStart w:id="169" w:name="_Toc14613"/>
      <w:bookmarkStart w:id="170" w:name="_Toc18451"/>
      <w:bookmarkStart w:id="171" w:name="_Toc17073"/>
      <w:bookmarkStart w:id="172" w:name="_Toc19384"/>
      <w:bookmarkStart w:id="173" w:name="_Toc13013"/>
      <w:bookmarkStart w:id="174" w:name="_Toc495841758"/>
      <w:r>
        <w:rPr>
          <w:rFonts w:hint="eastAsia" w:ascii="宋体" w:hAnsi="宋体" w:cs="宋体"/>
          <w:b/>
          <w:color w:val="auto"/>
          <w:szCs w:val="21"/>
          <w:highlight w:val="none"/>
        </w:rPr>
        <w:t>21. 开标时间及地点</w:t>
      </w:r>
      <w:bookmarkEnd w:id="167"/>
      <w:bookmarkEnd w:id="168"/>
      <w:bookmarkEnd w:id="169"/>
      <w:bookmarkEnd w:id="170"/>
      <w:bookmarkEnd w:id="171"/>
      <w:bookmarkEnd w:id="172"/>
    </w:p>
    <w:p w14:paraId="051186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21.1开标时间及地点：</w:t>
      </w:r>
    </w:p>
    <w:p w14:paraId="2451BB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日9时30分（北京时间）截标后。</w:t>
      </w:r>
    </w:p>
    <w:p w14:paraId="58BACB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p w14:paraId="263597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提交电子备份投标文件方式：</w:t>
      </w:r>
      <w:r>
        <w:rPr>
          <w:rFonts w:hint="eastAsia" w:ascii="宋体" w:hAnsi="宋体" w:cs="宋体"/>
          <w:b/>
          <w:bCs/>
          <w:color w:val="auto"/>
          <w:highlight w:val="none"/>
        </w:rPr>
        <w:t>在接到无法解密或解密失败的通知后，投标人可根据自身实际情况按通知时要求的时间到桂林市公共资源交易中心</w:t>
      </w:r>
      <w:r>
        <w:rPr>
          <w:rFonts w:hint="eastAsia" w:ascii="宋体" w:hAnsi="宋体" w:cs="宋体"/>
          <w:b/>
          <w:bCs/>
          <w:color w:val="auto"/>
          <w:highlight w:val="none"/>
          <w:lang w:val="en-US" w:eastAsia="zh-CN"/>
        </w:rPr>
        <w:t>5</w:t>
      </w:r>
      <w:r>
        <w:rPr>
          <w:rFonts w:hint="eastAsia" w:ascii="宋体" w:hAnsi="宋体" w:cs="宋体"/>
          <w:b/>
          <w:bCs/>
          <w:color w:val="auto"/>
          <w:highlight w:val="none"/>
        </w:rPr>
        <w:t>号政府采购开标仓现场提交或以电子邮件的形式（以通知时所告知的电子邮箱地址为准）提交电子备份投标文件</w:t>
      </w:r>
      <w:r>
        <w:rPr>
          <w:rFonts w:hint="eastAsia" w:ascii="宋体" w:hAnsi="宋体" w:cs="宋体"/>
          <w:color w:val="auto"/>
          <w:szCs w:val="21"/>
          <w:highlight w:val="none"/>
        </w:rPr>
        <w:t>。投标人可以由法定代表人、负责人、自然人或其委托代理人出席开标会议。</w:t>
      </w:r>
    </w:p>
    <w:p w14:paraId="63868B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21.2投标人不足3家的，不得开标，采购人或者采购代理机构应当重新组织采购。</w:t>
      </w:r>
    </w:p>
    <w:p w14:paraId="15928385">
      <w:pPr>
        <w:spacing w:line="360" w:lineRule="auto"/>
        <w:ind w:firstLine="422" w:firstLineChars="200"/>
        <w:rPr>
          <w:rFonts w:ascii="宋体" w:hAnsi="宋体" w:cs="宋体"/>
          <w:b/>
          <w:bCs/>
          <w:color w:val="auto"/>
          <w:szCs w:val="21"/>
          <w:highlight w:val="none"/>
        </w:rPr>
      </w:pPr>
      <w:bookmarkStart w:id="175" w:name="_Toc11217"/>
      <w:bookmarkStart w:id="176" w:name="_Toc8462"/>
      <w:bookmarkStart w:id="177" w:name="_Toc26562"/>
      <w:bookmarkStart w:id="178" w:name="_Toc15515"/>
      <w:bookmarkStart w:id="179" w:name="_Toc25753"/>
      <w:r>
        <w:rPr>
          <w:rFonts w:hint="eastAsia" w:ascii="宋体" w:hAnsi="宋体" w:cs="宋体"/>
          <w:b/>
          <w:bCs/>
          <w:color w:val="auto"/>
          <w:szCs w:val="21"/>
          <w:highlight w:val="none"/>
        </w:rPr>
        <w:t>22. 开标程序</w:t>
      </w:r>
      <w:bookmarkEnd w:id="175"/>
      <w:bookmarkEnd w:id="176"/>
      <w:bookmarkEnd w:id="177"/>
      <w:bookmarkEnd w:id="178"/>
      <w:bookmarkEnd w:id="179"/>
    </w:p>
    <w:p w14:paraId="4CAD7AC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22.1开标准备</w:t>
      </w:r>
    </w:p>
    <w:p w14:paraId="1F1B6A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22.1.1.开标的准备工作由本</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负责落实；</w:t>
      </w:r>
    </w:p>
    <w:p w14:paraId="2193C1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22.1.2.本</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3A40AC6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22.2开标程序</w:t>
      </w:r>
    </w:p>
    <w:p w14:paraId="0C9F3C1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14:paraId="5FCF97A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22.2.2.投标文件解密结束后，开标活动组织人员在线开启投标文件。</w:t>
      </w:r>
    </w:p>
    <w:p w14:paraId="411D12F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22.2.3.开启投标人报价文件，开标活动组织人员宣读开标（报价）一览表有关内容，投标人代表如果认为宣读有误，可以当场提出异议。</w:t>
      </w:r>
    </w:p>
    <w:p w14:paraId="1FB3B15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开标结束后，如发现开标结果与报价文件不一致者，由评标委员会根据报价文件内容进行修正。</w:t>
      </w:r>
    </w:p>
    <w:p w14:paraId="3C5697A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特别说明：如遇“政府采购云平台”电子化开标或评审程序调整的，按调整后程序执行。</w:t>
      </w:r>
    </w:p>
    <w:p w14:paraId="71CE4EE4">
      <w:pPr>
        <w:pStyle w:val="49"/>
        <w:rPr>
          <w:color w:val="auto"/>
          <w:highlight w:val="none"/>
        </w:rPr>
      </w:pPr>
    </w:p>
    <w:p w14:paraId="4DCEE06B">
      <w:pPr>
        <w:spacing w:line="360" w:lineRule="auto"/>
        <w:jc w:val="center"/>
        <w:outlineLvl w:val="1"/>
        <w:rPr>
          <w:rFonts w:ascii="宋体" w:hAnsi="宋体" w:cs="宋体"/>
          <w:b/>
          <w:color w:val="auto"/>
          <w:sz w:val="28"/>
          <w:szCs w:val="28"/>
          <w:highlight w:val="none"/>
        </w:rPr>
      </w:pPr>
      <w:bookmarkStart w:id="180" w:name="_Toc6290"/>
      <w:bookmarkStart w:id="181" w:name="_Toc5307"/>
      <w:bookmarkStart w:id="182" w:name="_Toc23919"/>
      <w:r>
        <w:rPr>
          <w:rFonts w:hint="eastAsia" w:ascii="宋体" w:hAnsi="宋体" w:cs="宋体"/>
          <w:b/>
          <w:color w:val="auto"/>
          <w:sz w:val="28"/>
          <w:szCs w:val="28"/>
          <w:highlight w:val="none"/>
        </w:rPr>
        <w:t>五、资格性审查</w:t>
      </w:r>
      <w:bookmarkEnd w:id="173"/>
      <w:bookmarkEnd w:id="174"/>
      <w:bookmarkEnd w:id="180"/>
      <w:bookmarkEnd w:id="181"/>
      <w:bookmarkEnd w:id="182"/>
    </w:p>
    <w:p w14:paraId="23578E69">
      <w:pPr>
        <w:spacing w:line="400" w:lineRule="exact"/>
        <w:ind w:firstLine="413" w:firstLineChars="196"/>
        <w:outlineLvl w:val="2"/>
        <w:rPr>
          <w:rFonts w:ascii="宋体" w:hAnsi="宋体" w:cs="宋体"/>
          <w:b/>
          <w:color w:val="auto"/>
          <w:szCs w:val="21"/>
          <w:highlight w:val="none"/>
        </w:rPr>
      </w:pPr>
      <w:bookmarkStart w:id="183" w:name="_Toc9656"/>
      <w:bookmarkStart w:id="184" w:name="_Toc26297"/>
      <w:bookmarkStart w:id="185" w:name="_Toc9770"/>
      <w:bookmarkStart w:id="186" w:name="_Toc13578"/>
      <w:r>
        <w:rPr>
          <w:rFonts w:hint="eastAsia" w:ascii="宋体" w:hAnsi="宋体" w:cs="宋体"/>
          <w:b/>
          <w:color w:val="auto"/>
          <w:szCs w:val="21"/>
          <w:highlight w:val="none"/>
        </w:rPr>
        <w:t>23. 资格性审查</w:t>
      </w:r>
      <w:bookmarkEnd w:id="183"/>
      <w:bookmarkEnd w:id="184"/>
      <w:bookmarkEnd w:id="185"/>
      <w:bookmarkEnd w:id="186"/>
    </w:p>
    <w:p w14:paraId="32525801">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23.1公开招标采购项目开标结束后，采购人应当依法对投标人的资格进行审查。合格投标人不足3家的，不得评标。</w:t>
      </w:r>
    </w:p>
    <w:p w14:paraId="5D27DFE8">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23.2</w:t>
      </w:r>
      <w:r>
        <w:rPr>
          <w:rFonts w:hint="eastAsia" w:ascii="宋体" w:hAnsi="宋体" w:cs="宋体"/>
          <w:b/>
          <w:bCs/>
          <w:color w:val="auto"/>
          <w:szCs w:val="21"/>
          <w:highlight w:val="none"/>
        </w:rPr>
        <w:t>采购人或者采购代理机构</w:t>
      </w:r>
      <w:r>
        <w:rPr>
          <w:rFonts w:hint="eastAsia" w:ascii="宋体" w:hAnsi="宋体" w:cs="宋体"/>
          <w:b/>
          <w:color w:val="auto"/>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14:paraId="5EE2772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查询渠道：《国家企业信用信息公示系统》（网址：www.gsxt.gov.cn/index.html）</w:t>
      </w:r>
    </w:p>
    <w:p w14:paraId="70C7ACD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审查流程：</w:t>
      </w:r>
    </w:p>
    <w:p w14:paraId="533E781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（1）进入《国家企业信用信息公示系统》（网址：www.gsxt.gov.cn/index.html），输入企业名称，进入企业信息主页面；</w:t>
      </w:r>
    </w:p>
    <w:p w14:paraId="52B314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14:paraId="2341B89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（3）将各投标人的股东及出资信息进行比对，得出审查结论；</w:t>
      </w:r>
    </w:p>
    <w:p w14:paraId="4E27A7A2">
      <w:pPr>
        <w:snapToGrid w:val="0"/>
        <w:spacing w:line="400" w:lineRule="exact"/>
        <w:ind w:firstLine="420" w:firstLineChars="200"/>
        <w:rPr>
          <w:rFonts w:ascii="宋体" w:hAnsi="宋体" w:cs="宋体"/>
          <w:b/>
          <w:color w:val="auto"/>
          <w:sz w:val="28"/>
          <w:szCs w:val="28"/>
          <w:highlight w:val="none"/>
        </w:rPr>
      </w:pPr>
      <w:r>
        <w:rPr>
          <w:rFonts w:hint="eastAsia" w:ascii="宋体" w:hAnsi="宋体" w:cs="宋体"/>
          <w:color w:val="auto"/>
          <w:szCs w:val="21"/>
          <w:highlight w:val="none"/>
        </w:rPr>
        <w:t>（4）将相关资料作为评审资料打印存档。</w:t>
      </w:r>
      <w:bookmarkStart w:id="187" w:name="_Toc3415"/>
      <w:bookmarkStart w:id="188" w:name="_Toc495841759"/>
    </w:p>
    <w:p w14:paraId="056A6BEF">
      <w:pPr>
        <w:spacing w:line="360" w:lineRule="auto"/>
        <w:jc w:val="center"/>
        <w:outlineLvl w:val="1"/>
        <w:rPr>
          <w:rFonts w:ascii="宋体" w:hAnsi="宋体" w:cs="宋体"/>
          <w:b/>
          <w:color w:val="auto"/>
          <w:sz w:val="28"/>
          <w:szCs w:val="28"/>
          <w:highlight w:val="none"/>
        </w:rPr>
      </w:pPr>
      <w:bookmarkStart w:id="189" w:name="_Toc32155"/>
      <w:bookmarkStart w:id="190" w:name="_Toc6984"/>
      <w:bookmarkStart w:id="191" w:name="_Toc18708"/>
      <w:r>
        <w:rPr>
          <w:rFonts w:hint="eastAsia" w:ascii="宋体" w:hAnsi="宋体" w:cs="宋体"/>
          <w:b/>
          <w:color w:val="auto"/>
          <w:sz w:val="28"/>
          <w:szCs w:val="28"/>
          <w:highlight w:val="none"/>
        </w:rPr>
        <w:t>六、评标</w:t>
      </w:r>
      <w:bookmarkEnd w:id="187"/>
      <w:bookmarkEnd w:id="188"/>
      <w:bookmarkEnd w:id="189"/>
      <w:bookmarkEnd w:id="190"/>
      <w:bookmarkEnd w:id="191"/>
    </w:p>
    <w:p w14:paraId="56A853EF">
      <w:pPr>
        <w:spacing w:line="360" w:lineRule="exact"/>
        <w:ind w:firstLine="413" w:firstLineChars="196"/>
        <w:outlineLvl w:val="2"/>
        <w:rPr>
          <w:rFonts w:ascii="宋体" w:hAnsi="宋体" w:cs="宋体"/>
          <w:b/>
          <w:color w:val="auto"/>
          <w:szCs w:val="21"/>
          <w:highlight w:val="none"/>
        </w:rPr>
      </w:pPr>
      <w:bookmarkStart w:id="192" w:name="_Toc2986"/>
      <w:bookmarkStart w:id="193" w:name="_Toc14749"/>
      <w:bookmarkStart w:id="194" w:name="_Toc21232"/>
      <w:bookmarkStart w:id="195" w:name="_Toc27261"/>
      <w:r>
        <w:rPr>
          <w:rFonts w:hint="eastAsia" w:ascii="宋体" w:hAnsi="宋体" w:cs="宋体"/>
          <w:b/>
          <w:color w:val="auto"/>
          <w:szCs w:val="21"/>
          <w:highlight w:val="none"/>
        </w:rPr>
        <w:t>24. 评标委员会组成</w:t>
      </w:r>
      <w:bookmarkEnd w:id="192"/>
      <w:bookmarkEnd w:id="193"/>
      <w:bookmarkEnd w:id="194"/>
      <w:bookmarkEnd w:id="195"/>
    </w:p>
    <w:p w14:paraId="3746E20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评标委员会由采购人代表和有关技术、经济等方面的专家组成，成员人数共5人，其中采购人代表1人，技术、经济等专家4人。</w:t>
      </w:r>
    </w:p>
    <w:p w14:paraId="2E18DECF">
      <w:pPr>
        <w:spacing w:line="360" w:lineRule="exact"/>
        <w:ind w:firstLine="413" w:firstLineChars="196"/>
        <w:outlineLvl w:val="2"/>
        <w:rPr>
          <w:rFonts w:ascii="宋体" w:hAnsi="宋体" w:cs="宋体"/>
          <w:b/>
          <w:color w:val="auto"/>
          <w:szCs w:val="21"/>
          <w:highlight w:val="none"/>
        </w:rPr>
      </w:pPr>
      <w:bookmarkStart w:id="196" w:name="_Toc24437"/>
      <w:bookmarkStart w:id="197" w:name="_Toc26762"/>
      <w:bookmarkStart w:id="198" w:name="_Toc21726"/>
      <w:bookmarkStart w:id="199" w:name="_Toc30841"/>
      <w:r>
        <w:rPr>
          <w:rFonts w:hint="eastAsia" w:ascii="宋体" w:hAnsi="宋体" w:cs="宋体"/>
          <w:b/>
          <w:color w:val="auto"/>
          <w:szCs w:val="21"/>
          <w:highlight w:val="none"/>
        </w:rPr>
        <w:t>25. 评标</w:t>
      </w:r>
      <w:bookmarkEnd w:id="196"/>
      <w:r>
        <w:rPr>
          <w:rFonts w:hint="eastAsia" w:ascii="宋体" w:hAnsi="宋体" w:cs="宋体"/>
          <w:b/>
          <w:color w:val="auto"/>
          <w:szCs w:val="21"/>
          <w:highlight w:val="none"/>
        </w:rPr>
        <w:t>原则</w:t>
      </w:r>
      <w:bookmarkEnd w:id="197"/>
      <w:bookmarkEnd w:id="198"/>
      <w:bookmarkEnd w:id="199"/>
    </w:p>
    <w:p w14:paraId="4AA356C4">
      <w:pPr>
        <w:tabs>
          <w:tab w:val="left" w:pos="114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25.1评标办法：综合评分法，具体评标内容及标准详见第四章。</w:t>
      </w:r>
    </w:p>
    <w:p w14:paraId="4B1F37B8">
      <w:pPr>
        <w:tabs>
          <w:tab w:val="left" w:pos="1140"/>
        </w:tabs>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25.2评标委员会应按招标文件进行评标，不得擅自更改评标办法。</w:t>
      </w:r>
    </w:p>
    <w:p w14:paraId="40B9AF3E">
      <w:pPr>
        <w:spacing w:line="360" w:lineRule="exact"/>
        <w:ind w:firstLine="413" w:firstLineChars="196"/>
        <w:outlineLvl w:val="2"/>
        <w:rPr>
          <w:rFonts w:ascii="宋体" w:hAnsi="宋体" w:cs="宋体"/>
          <w:b/>
          <w:color w:val="auto"/>
          <w:szCs w:val="21"/>
          <w:highlight w:val="none"/>
        </w:rPr>
      </w:pPr>
      <w:bookmarkStart w:id="200" w:name="_Toc19085"/>
      <w:bookmarkStart w:id="201" w:name="_Toc32561"/>
      <w:bookmarkStart w:id="202" w:name="_Toc31182"/>
      <w:bookmarkStart w:id="203" w:name="_Toc20321"/>
      <w:r>
        <w:rPr>
          <w:rFonts w:hint="eastAsia" w:ascii="宋体" w:hAnsi="宋体" w:cs="宋体"/>
          <w:b/>
          <w:color w:val="auto"/>
          <w:szCs w:val="21"/>
          <w:highlight w:val="none"/>
        </w:rPr>
        <w:t>26. 评标</w:t>
      </w:r>
      <w:bookmarkEnd w:id="200"/>
      <w:bookmarkEnd w:id="201"/>
      <w:bookmarkEnd w:id="202"/>
      <w:bookmarkEnd w:id="203"/>
    </w:p>
    <w:p w14:paraId="40D5EC6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w:t>
      </w:r>
      <w:r>
        <w:rPr>
          <w:rFonts w:hint="eastAsia" w:ascii="宋体" w:hAnsi="宋体" w:cs="宋体"/>
          <w:color w:val="auto"/>
          <w:szCs w:val="21"/>
          <w:highlight w:val="none"/>
          <w:lang w:val="en-US" w:eastAsia="zh-CN"/>
        </w:rPr>
        <w:t>桂林市</w:t>
      </w:r>
      <w:r>
        <w:rPr>
          <w:rFonts w:hint="eastAsia" w:ascii="宋体" w:hAnsi="宋体" w:cs="宋体"/>
          <w:color w:val="auto"/>
          <w:szCs w:val="21"/>
          <w:highlight w:val="none"/>
        </w:rPr>
        <w:t>财政部门报告；评标工作完成后，按照规定向评标专家支付劳务报酬和异地评审差旅费，不得向评标专家以外的其他人员支付评审劳务报酬。</w:t>
      </w:r>
    </w:p>
    <w:p w14:paraId="34F7869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14:paraId="2709A9B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26.3在评标过程中，评标委员会任何人不得对某个投标人发表任何倾向性意见，不得向其他专家评委明示或者暗示自己的评审意见。</w:t>
      </w:r>
    </w:p>
    <w:p w14:paraId="2C1783A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26.4评标委员会应当对符合资格的投标人的投标文件进行符合性审查，以确定其是否满足招标文件的实质性要求。</w:t>
      </w:r>
    </w:p>
    <w:p w14:paraId="65B2E43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26.5对于投标文件中含义不明确、同类问题表述不一致、有明显文字和计算错误或属于投标人疏忽、笔误所造成差错的内容，评标委员会应当以书面形式要求投标人作出必要的澄清、说明或者补正。</w:t>
      </w:r>
    </w:p>
    <w:p w14:paraId="4DB43AFF">
      <w:pPr>
        <w:tabs>
          <w:tab w:val="left" w:pos="114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4770C993">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26.6评标委员会应当按照招标文件中规定的评标方法和标准，对符合性审查合格的投标文件进行商务和技术评估，综合比较与评价。</w:t>
      </w:r>
    </w:p>
    <w:p w14:paraId="3D91B3AF">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26.7投标文件报价出现前后不一致的，除招标文件另有规定外，按照下列规定修正：</w:t>
      </w:r>
    </w:p>
    <w:p w14:paraId="4FAE53A7">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（1）投标文件中投标报价表内容与投标文件中相应内容不一致的，以投标报价表为准；</w:t>
      </w:r>
    </w:p>
    <w:p w14:paraId="47D4598B">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8933D65">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49CE7746">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0D24891E">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14:paraId="312E94E8">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CB9C0A">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44BFAE35">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26.10评标结果汇总完成后，除下列情形外，任何人不得修改评标结果：</w:t>
      </w:r>
    </w:p>
    <w:p w14:paraId="607F568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（一）分值汇总计算错误的；</w:t>
      </w:r>
    </w:p>
    <w:p w14:paraId="70CA5AD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（二）分项评分超出评分标准范围的；</w:t>
      </w:r>
    </w:p>
    <w:p w14:paraId="0E63787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（三）评标委员会成员对客观评审因素评分不一致的；</w:t>
      </w:r>
    </w:p>
    <w:p w14:paraId="331D2EB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（四）经评标委员会认定评分畸高、畸低的。</w:t>
      </w:r>
    </w:p>
    <w:p w14:paraId="5D0093F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w:t>
      </w:r>
      <w:r>
        <w:rPr>
          <w:rFonts w:hint="eastAsia" w:ascii="宋体" w:hAnsi="宋体" w:cs="宋体"/>
          <w:color w:val="auto"/>
          <w:szCs w:val="21"/>
          <w:highlight w:val="none"/>
          <w:lang w:val="en-US" w:eastAsia="zh-CN"/>
        </w:rPr>
        <w:t>桂林市</w:t>
      </w:r>
      <w:r>
        <w:rPr>
          <w:rFonts w:hint="eastAsia" w:ascii="宋体" w:hAnsi="宋体" w:cs="宋体"/>
          <w:color w:val="auto"/>
          <w:szCs w:val="21"/>
          <w:highlight w:val="none"/>
        </w:rPr>
        <w:t>财政部门。</w:t>
      </w:r>
    </w:p>
    <w:p w14:paraId="0BF448C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投标人对本条第一款情形提出质疑的，采购人或者采购代理机构可以组织原评标委员会进行重新评审，重新评审改变评标结果的，应当书面报告</w:t>
      </w:r>
      <w:r>
        <w:rPr>
          <w:rFonts w:hint="eastAsia" w:ascii="宋体" w:hAnsi="宋体" w:cs="宋体"/>
          <w:color w:val="auto"/>
          <w:szCs w:val="21"/>
          <w:highlight w:val="none"/>
          <w:lang w:val="en-US" w:eastAsia="zh-CN"/>
        </w:rPr>
        <w:t>桂林市</w:t>
      </w:r>
      <w:r>
        <w:rPr>
          <w:rFonts w:hint="eastAsia" w:ascii="宋体" w:hAnsi="宋体" w:cs="宋体"/>
          <w:color w:val="auto"/>
          <w:szCs w:val="21"/>
          <w:highlight w:val="none"/>
        </w:rPr>
        <w:t>财政部门。</w:t>
      </w:r>
    </w:p>
    <w:p w14:paraId="724291AD">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26.11采购代理机构发现评标委员会有明显的违规倾向或歧视现象，或不按评标办法进行，或其他不正常行为的，应当及时制止。如制止无效，应及时向</w:t>
      </w:r>
      <w:r>
        <w:rPr>
          <w:rFonts w:hint="eastAsia" w:ascii="宋体" w:hAnsi="宋体" w:cs="宋体"/>
          <w:color w:val="auto"/>
          <w:szCs w:val="21"/>
          <w:highlight w:val="none"/>
          <w:lang w:val="en-US" w:eastAsia="zh-CN"/>
        </w:rPr>
        <w:t>桂林市</w:t>
      </w:r>
      <w:r>
        <w:rPr>
          <w:rFonts w:hint="eastAsia" w:ascii="宋体" w:hAnsi="宋体" w:cs="宋体"/>
          <w:color w:val="auto"/>
          <w:szCs w:val="21"/>
          <w:highlight w:val="none"/>
        </w:rPr>
        <w:t>财政部门报告。</w:t>
      </w:r>
    </w:p>
    <w:p w14:paraId="32010841">
      <w:pPr>
        <w:spacing w:line="360" w:lineRule="exact"/>
        <w:ind w:firstLine="413" w:firstLineChars="196"/>
        <w:outlineLvl w:val="2"/>
        <w:rPr>
          <w:rFonts w:ascii="宋体" w:hAnsi="宋体" w:cs="宋体"/>
          <w:b/>
          <w:color w:val="auto"/>
          <w:szCs w:val="21"/>
          <w:highlight w:val="none"/>
        </w:rPr>
      </w:pPr>
      <w:bookmarkStart w:id="204" w:name="_Toc11811"/>
      <w:bookmarkStart w:id="205" w:name="_Toc30450"/>
      <w:bookmarkStart w:id="206" w:name="_Toc11289"/>
      <w:bookmarkStart w:id="207" w:name="_Toc21639"/>
      <w:r>
        <w:rPr>
          <w:rFonts w:hint="eastAsia" w:ascii="宋体" w:hAnsi="宋体" w:cs="宋体"/>
          <w:b/>
          <w:color w:val="auto"/>
          <w:szCs w:val="21"/>
          <w:highlight w:val="none"/>
        </w:rPr>
        <w:t>27. 推荐及确定中标候选供应商原则</w:t>
      </w:r>
      <w:bookmarkEnd w:id="204"/>
      <w:bookmarkEnd w:id="205"/>
      <w:bookmarkEnd w:id="206"/>
      <w:bookmarkEnd w:id="207"/>
    </w:p>
    <w:p w14:paraId="03DB51D3">
      <w:pPr>
        <w:tabs>
          <w:tab w:val="left" w:pos="4214"/>
        </w:tabs>
        <w:spacing w:line="360" w:lineRule="exact"/>
        <w:ind w:firstLine="420" w:firstLineChars="200"/>
        <w:rPr>
          <w:rFonts w:ascii="宋体" w:hAnsi="宋体" w:cs="宋体"/>
          <w:color w:val="auto"/>
          <w:szCs w:val="21"/>
          <w:highlight w:val="none"/>
        </w:rPr>
      </w:pPr>
      <w:r>
        <w:rPr>
          <w:rFonts w:hint="eastAsia" w:hAnsi="宋体" w:cs="宋体"/>
          <w:color w:val="auto"/>
          <w:szCs w:val="21"/>
          <w:highlight w:val="none"/>
        </w:rPr>
        <w:t>（1）评标委员会根据综合得分由高到低排列次序，若得分相同时，按评标报价由低到高顺序排列；得分相同且评标报价也相同的，</w:t>
      </w:r>
      <w:r>
        <w:rPr>
          <w:rFonts w:hint="eastAsia" w:ascii="宋体" w:hAnsi="宋体" w:cs="宋体"/>
          <w:color w:val="auto"/>
          <w:szCs w:val="21"/>
          <w:highlight w:val="none"/>
        </w:rPr>
        <w:t>以</w:t>
      </w:r>
      <w:r>
        <w:rPr>
          <w:rFonts w:hint="eastAsia" w:hAnsi="宋体" w:cs="宋体"/>
          <w:color w:val="auto"/>
          <w:szCs w:val="21"/>
          <w:highlight w:val="none"/>
        </w:rPr>
        <w:t>综合性能</w:t>
      </w:r>
      <w:r>
        <w:rPr>
          <w:rFonts w:hint="eastAsia" w:ascii="宋体" w:hAnsi="宋体" w:cs="宋体"/>
          <w:color w:val="auto"/>
          <w:szCs w:val="21"/>
          <w:highlight w:val="none"/>
        </w:rPr>
        <w:t>分由</w:t>
      </w:r>
      <w:r>
        <w:rPr>
          <w:rFonts w:hint="eastAsia" w:hAnsi="宋体" w:cs="宋体"/>
          <w:color w:val="auto"/>
          <w:szCs w:val="21"/>
          <w:highlight w:val="none"/>
        </w:rPr>
        <w:t>高</w:t>
      </w:r>
      <w:r>
        <w:rPr>
          <w:rFonts w:hint="eastAsia" w:ascii="宋体" w:hAnsi="宋体" w:cs="宋体"/>
          <w:color w:val="auto"/>
          <w:szCs w:val="21"/>
          <w:highlight w:val="none"/>
        </w:rPr>
        <w:t>到</w:t>
      </w:r>
      <w:r>
        <w:rPr>
          <w:rFonts w:hint="eastAsia" w:hAnsi="宋体" w:cs="宋体"/>
          <w:color w:val="auto"/>
          <w:szCs w:val="21"/>
          <w:highlight w:val="none"/>
        </w:rPr>
        <w:t>低</w:t>
      </w:r>
      <w:r>
        <w:rPr>
          <w:rFonts w:hint="eastAsia" w:ascii="宋体" w:hAnsi="宋体" w:cs="宋体"/>
          <w:color w:val="auto"/>
          <w:szCs w:val="21"/>
          <w:highlight w:val="none"/>
        </w:rPr>
        <w:t>顺序排列；</w:t>
      </w:r>
      <w:r>
        <w:rPr>
          <w:rFonts w:hint="eastAsia" w:hAnsi="宋体" w:cs="宋体"/>
          <w:color w:val="auto"/>
          <w:szCs w:val="21"/>
          <w:highlight w:val="none"/>
        </w:rPr>
        <w:t>若仍相同的，以信誉业绩分</w:t>
      </w:r>
      <w:r>
        <w:rPr>
          <w:rFonts w:hint="eastAsia" w:ascii="宋体" w:hAnsi="宋体" w:cs="宋体"/>
          <w:color w:val="auto"/>
          <w:szCs w:val="21"/>
          <w:highlight w:val="none"/>
        </w:rPr>
        <w:t>由</w:t>
      </w:r>
      <w:r>
        <w:rPr>
          <w:rFonts w:hint="eastAsia" w:hAnsi="宋体" w:cs="宋体"/>
          <w:color w:val="auto"/>
          <w:szCs w:val="21"/>
          <w:highlight w:val="none"/>
        </w:rPr>
        <w:t>高</w:t>
      </w:r>
      <w:r>
        <w:rPr>
          <w:rFonts w:hint="eastAsia" w:ascii="宋体" w:hAnsi="宋体" w:cs="宋体"/>
          <w:color w:val="auto"/>
          <w:szCs w:val="21"/>
          <w:highlight w:val="none"/>
        </w:rPr>
        <w:t>到</w:t>
      </w:r>
      <w:r>
        <w:rPr>
          <w:rFonts w:hint="eastAsia" w:hAnsi="宋体" w:cs="宋体"/>
          <w:color w:val="auto"/>
          <w:szCs w:val="21"/>
          <w:highlight w:val="none"/>
        </w:rPr>
        <w:t>低</w:t>
      </w:r>
      <w:r>
        <w:rPr>
          <w:rFonts w:hint="eastAsia" w:ascii="宋体" w:hAnsi="宋体" w:cs="宋体"/>
          <w:color w:val="auto"/>
          <w:szCs w:val="21"/>
          <w:highlight w:val="none"/>
        </w:rPr>
        <w:t>顺序排列；</w:t>
      </w:r>
      <w:r>
        <w:rPr>
          <w:rFonts w:hint="eastAsia" w:hAnsi="宋体" w:cs="宋体"/>
          <w:color w:val="auto"/>
          <w:szCs w:val="21"/>
          <w:highlight w:val="none"/>
        </w:rPr>
        <w:t>若仍相同的则由评标委员会按照抽签的方式决定排列次序。</w:t>
      </w:r>
    </w:p>
    <w:p w14:paraId="111A00BA">
      <w:pPr>
        <w:tabs>
          <w:tab w:val="left" w:pos="421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（2）评标委员会可推荐前三名为中标候选供应商，采购人应当确定评标委员会推荐排名第一的中标候选供应商为中标供应商。</w:t>
      </w:r>
    </w:p>
    <w:p w14:paraId="12FD0F48">
      <w:pPr>
        <w:spacing w:line="360" w:lineRule="exact"/>
        <w:ind w:firstLine="447" w:firstLineChars="213"/>
        <w:rPr>
          <w:rFonts w:ascii="宋体" w:hAnsi="宋体" w:cs="宋体"/>
          <w:color w:val="auto"/>
          <w:szCs w:val="21"/>
          <w:highlight w:val="none"/>
        </w:rPr>
      </w:pPr>
      <w:r>
        <w:rPr>
          <w:rFonts w:hint="eastAsia" w:ascii="宋体" w:hAnsi="宋体" w:cs="宋体"/>
          <w:color w:val="auto"/>
          <w:szCs w:val="21"/>
          <w:highlight w:val="none"/>
        </w:rPr>
        <w:t>（3）排名第一的中标候选供应商放弃中标、因不可抗力提出不能履行合同，或因失信行为被取消中标候选供应商资格的，采购人可以确定排名第二的中标候选供应商为中标供应商，并依此类推。</w:t>
      </w:r>
    </w:p>
    <w:p w14:paraId="0D05738B">
      <w:pPr>
        <w:spacing w:line="360" w:lineRule="exact"/>
        <w:ind w:firstLine="413" w:firstLineChars="196"/>
        <w:outlineLvl w:val="2"/>
        <w:rPr>
          <w:rFonts w:ascii="宋体" w:hAnsi="宋体" w:cs="宋体"/>
          <w:b/>
          <w:color w:val="auto"/>
          <w:szCs w:val="21"/>
          <w:highlight w:val="none"/>
        </w:rPr>
      </w:pPr>
      <w:bookmarkStart w:id="208" w:name="_Toc10425"/>
      <w:bookmarkStart w:id="209" w:name="_Toc31123"/>
      <w:bookmarkStart w:id="210" w:name="_Toc1836"/>
      <w:bookmarkStart w:id="211" w:name="_Toc7479"/>
      <w:r>
        <w:rPr>
          <w:rFonts w:hint="eastAsia" w:ascii="宋体" w:hAnsi="宋体" w:cs="宋体"/>
          <w:b/>
          <w:color w:val="auto"/>
          <w:szCs w:val="21"/>
          <w:highlight w:val="none"/>
        </w:rPr>
        <w:t>28. 属于下列情况之一者，投标无效</w:t>
      </w:r>
      <w:bookmarkEnd w:id="208"/>
      <w:bookmarkEnd w:id="209"/>
      <w:bookmarkEnd w:id="210"/>
      <w:bookmarkEnd w:id="211"/>
    </w:p>
    <w:p w14:paraId="7F1C1705">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（1）未按照招标文件规定要求签字、盖章的；</w:t>
      </w:r>
    </w:p>
    <w:p w14:paraId="0870B12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（2）报价超过招标文件中规定的预算金额的；</w:t>
      </w:r>
    </w:p>
    <w:p w14:paraId="5BBBF138">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（3）不具备招标文件中规定的资格要求的</w:t>
      </w:r>
      <w:r>
        <w:rPr>
          <w:rFonts w:hint="eastAsia" w:ascii="宋体" w:hAnsi="宋体" w:cs="宋体"/>
          <w:color w:val="auto"/>
          <w:highlight w:val="none"/>
        </w:rPr>
        <w:t>；</w:t>
      </w:r>
    </w:p>
    <w:p w14:paraId="744B4249">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（4）投标文件含有采购人不能接受的附加条件的；</w:t>
      </w:r>
    </w:p>
    <w:p w14:paraId="72B66625">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（5）投标文件未按招标文件的内容和要求编制，或提供虚假材料的；</w:t>
      </w:r>
    </w:p>
    <w:p w14:paraId="4F46F706">
      <w:pPr>
        <w:snapToGrid w:val="0"/>
        <w:spacing w:line="360" w:lineRule="exact"/>
        <w:ind w:firstLine="411" w:firstLineChars="196"/>
        <w:rPr>
          <w:rFonts w:ascii="宋体" w:hAnsi="宋体" w:cs="宋体"/>
          <w:color w:val="auto"/>
          <w:highlight w:val="none"/>
        </w:rPr>
      </w:pPr>
      <w:r>
        <w:rPr>
          <w:rFonts w:hint="eastAsia" w:ascii="宋体" w:hAnsi="宋体" w:cs="宋体"/>
          <w:color w:val="auto"/>
          <w:szCs w:val="21"/>
          <w:highlight w:val="none"/>
        </w:rPr>
        <w:t>（6）</w:t>
      </w:r>
      <w:r>
        <w:rPr>
          <w:rFonts w:hint="eastAsia" w:ascii="宋体" w:hAnsi="宋体" w:cs="宋体"/>
          <w:color w:val="auto"/>
          <w:highlight w:val="none"/>
        </w:rPr>
        <w:t>投标</w:t>
      </w:r>
      <w:r>
        <w:rPr>
          <w:rFonts w:hint="eastAsia" w:ascii="宋体" w:hAnsi="宋体" w:cs="宋体"/>
          <w:color w:val="auto"/>
          <w:szCs w:val="21"/>
          <w:highlight w:val="none"/>
        </w:rPr>
        <w:t>人未就“货物采购需求”中的所有内容作完整唯一报价的</w:t>
      </w:r>
      <w:r>
        <w:rPr>
          <w:rFonts w:hint="eastAsia" w:ascii="宋体" w:hAnsi="宋体" w:cs="宋体"/>
          <w:color w:val="auto"/>
          <w:highlight w:val="none"/>
        </w:rPr>
        <w:t>；</w:t>
      </w:r>
    </w:p>
    <w:p w14:paraId="6C7F2A8D">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（7）未完全响应招标文件实质性要求的；</w:t>
      </w:r>
    </w:p>
    <w:p w14:paraId="0F22CBA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（8）法律、法规和招标文件规定的其他无效情形。</w:t>
      </w:r>
    </w:p>
    <w:p w14:paraId="297291F4">
      <w:pPr>
        <w:spacing w:line="360" w:lineRule="exact"/>
        <w:ind w:firstLine="413" w:firstLineChars="196"/>
        <w:outlineLvl w:val="2"/>
        <w:rPr>
          <w:rFonts w:ascii="宋体" w:hAnsi="宋体" w:cs="宋体"/>
          <w:b/>
          <w:color w:val="auto"/>
          <w:szCs w:val="21"/>
          <w:highlight w:val="none"/>
        </w:rPr>
      </w:pPr>
      <w:bookmarkStart w:id="212" w:name="_Toc27046"/>
      <w:bookmarkStart w:id="213" w:name="_Toc26364"/>
      <w:bookmarkStart w:id="214" w:name="_Toc15081"/>
      <w:bookmarkStart w:id="215" w:name="_Toc22590"/>
      <w:r>
        <w:rPr>
          <w:rFonts w:hint="eastAsia" w:ascii="宋体" w:hAnsi="宋体" w:cs="宋体"/>
          <w:b/>
          <w:color w:val="auto"/>
          <w:szCs w:val="21"/>
          <w:highlight w:val="none"/>
        </w:rPr>
        <w:t>29. 投标人有下列情形之一的，视为串通投标，投标文件将被视为无效</w:t>
      </w:r>
      <w:bookmarkEnd w:id="212"/>
      <w:bookmarkEnd w:id="213"/>
      <w:bookmarkEnd w:id="214"/>
      <w:bookmarkEnd w:id="215"/>
    </w:p>
    <w:p w14:paraId="425037DD">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14:paraId="114960AF">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14:paraId="6053B3C7">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（3）不同的投标人的投标文件载明的项目管理员或者联系人员为同一个人；</w:t>
      </w:r>
    </w:p>
    <w:p w14:paraId="565C90C6">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 xml:space="preserve">（4）不同投标人的投标文件异常一致或投标报价呈规律性差异； </w:t>
      </w:r>
    </w:p>
    <w:p w14:paraId="390EF39E">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（5）不同投标人的投标文件相互混编；</w:t>
      </w:r>
    </w:p>
    <w:p w14:paraId="7740BAB0">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（6）不同投标人的投标保证金从同一单位或者个人账户转出。</w:t>
      </w:r>
    </w:p>
    <w:p w14:paraId="0B0E4596">
      <w:pPr>
        <w:spacing w:line="360" w:lineRule="exact"/>
        <w:ind w:firstLine="413" w:firstLineChars="196"/>
        <w:outlineLvl w:val="2"/>
        <w:rPr>
          <w:rFonts w:ascii="宋体" w:hAnsi="宋体" w:cs="宋体"/>
          <w:b/>
          <w:color w:val="auto"/>
          <w:szCs w:val="21"/>
          <w:highlight w:val="none"/>
        </w:rPr>
      </w:pPr>
      <w:bookmarkStart w:id="216" w:name="_Toc18148"/>
      <w:bookmarkStart w:id="217" w:name="_Toc16182"/>
      <w:bookmarkStart w:id="218" w:name="_Toc19732"/>
      <w:bookmarkStart w:id="219" w:name="_Toc5437"/>
      <w:r>
        <w:rPr>
          <w:rFonts w:hint="eastAsia" w:ascii="宋体" w:hAnsi="宋体" w:cs="宋体"/>
          <w:b/>
          <w:color w:val="auto"/>
          <w:szCs w:val="21"/>
          <w:highlight w:val="none"/>
        </w:rPr>
        <w:t>30. 属于下列情形之一的，应予废标</w:t>
      </w:r>
      <w:bookmarkEnd w:id="216"/>
      <w:bookmarkEnd w:id="217"/>
      <w:bookmarkEnd w:id="218"/>
      <w:bookmarkEnd w:id="219"/>
    </w:p>
    <w:p w14:paraId="14E085FC">
      <w:pPr>
        <w:tabs>
          <w:tab w:val="left" w:pos="840"/>
        </w:tabs>
        <w:snapToGrid w:val="0"/>
        <w:spacing w:line="360" w:lineRule="exact"/>
        <w:ind w:left="330" w:leftChars="157" w:firstLine="102" w:firstLineChars="49"/>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（1）符合专业条件的供应商或者对招标文件作实质响应的供应商不足3家的；</w:t>
      </w:r>
    </w:p>
    <w:p w14:paraId="488B1DC2">
      <w:pPr>
        <w:tabs>
          <w:tab w:val="left" w:pos="840"/>
        </w:tabs>
        <w:snapToGrid w:val="0"/>
        <w:spacing w:line="360" w:lineRule="exact"/>
        <w:ind w:left="330" w:leftChars="157" w:firstLine="105" w:firstLineChars="5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05B1F857">
      <w:pPr>
        <w:tabs>
          <w:tab w:val="left" w:pos="840"/>
        </w:tabs>
        <w:snapToGrid w:val="0"/>
        <w:spacing w:line="360" w:lineRule="exact"/>
        <w:ind w:left="330" w:leftChars="157" w:firstLine="105" w:firstLineChars="50"/>
        <w:rPr>
          <w:rFonts w:ascii="宋体" w:hAnsi="宋体" w:cs="宋体"/>
          <w:color w:val="auto"/>
          <w:highlight w:val="none"/>
        </w:rPr>
      </w:pPr>
      <w:r>
        <w:rPr>
          <w:rFonts w:hint="eastAsia" w:ascii="宋体" w:hAnsi="宋体" w:cs="宋体"/>
          <w:color w:val="auto"/>
          <w:highlight w:val="none"/>
        </w:rPr>
        <w:t>（3）采购文件内容违反国家有关强制性规定的；</w:t>
      </w:r>
    </w:p>
    <w:p w14:paraId="1DDC2F09">
      <w:pPr>
        <w:tabs>
          <w:tab w:val="left" w:pos="840"/>
        </w:tabs>
        <w:snapToGrid w:val="0"/>
        <w:spacing w:line="360" w:lineRule="exact"/>
        <w:ind w:left="330" w:leftChars="157" w:firstLine="105" w:firstLineChars="50"/>
        <w:rPr>
          <w:rFonts w:ascii="宋体" w:hAnsi="宋体" w:cs="宋体"/>
          <w:color w:val="auto"/>
          <w:highlight w:val="none"/>
        </w:rPr>
      </w:pPr>
      <w:r>
        <w:rPr>
          <w:rFonts w:hint="eastAsia" w:ascii="宋体" w:hAnsi="宋体" w:cs="宋体"/>
          <w:color w:val="auto"/>
          <w:highlight w:val="none"/>
        </w:rPr>
        <w:t>（4）因重大变故，采购任务取消的。</w:t>
      </w:r>
    </w:p>
    <w:p w14:paraId="300E4CCA">
      <w:pPr>
        <w:spacing w:line="360" w:lineRule="exact"/>
        <w:ind w:firstLine="413" w:firstLineChars="196"/>
        <w:outlineLvl w:val="2"/>
        <w:rPr>
          <w:rFonts w:ascii="宋体" w:hAnsi="宋体" w:cs="宋体"/>
          <w:b/>
          <w:color w:val="auto"/>
          <w:szCs w:val="21"/>
          <w:highlight w:val="none"/>
        </w:rPr>
      </w:pPr>
      <w:bookmarkStart w:id="220" w:name="_Toc28686"/>
      <w:bookmarkStart w:id="221" w:name="_Toc32583"/>
      <w:bookmarkStart w:id="222" w:name="_Toc32529"/>
      <w:bookmarkStart w:id="223" w:name="_Toc13917"/>
      <w:r>
        <w:rPr>
          <w:rFonts w:hint="eastAsia" w:ascii="宋体" w:hAnsi="宋体" w:cs="宋体"/>
          <w:b/>
          <w:color w:val="auto"/>
          <w:szCs w:val="21"/>
          <w:highlight w:val="none"/>
        </w:rPr>
        <w:t>31. 开标、评标过程的监控</w:t>
      </w:r>
      <w:bookmarkEnd w:id="220"/>
      <w:bookmarkEnd w:id="221"/>
      <w:bookmarkEnd w:id="222"/>
      <w:bookmarkEnd w:id="223"/>
    </w:p>
    <w:p w14:paraId="75DB53E9">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本项目开标、评标过程实行全程录音、录像监控，投标人在评标过程中所进行的试图影响评标结果的不公正活动，可能导致其投标被拒绝。</w:t>
      </w:r>
    </w:p>
    <w:p w14:paraId="1B28405E">
      <w:pPr>
        <w:spacing w:line="360" w:lineRule="exact"/>
        <w:ind w:firstLine="413" w:firstLineChars="196"/>
        <w:outlineLvl w:val="2"/>
        <w:rPr>
          <w:rFonts w:ascii="宋体" w:hAnsi="宋体" w:cs="宋体"/>
          <w:b/>
          <w:color w:val="auto"/>
          <w:szCs w:val="21"/>
          <w:highlight w:val="none"/>
        </w:rPr>
      </w:pPr>
      <w:bookmarkStart w:id="224" w:name="_Toc5309"/>
      <w:bookmarkStart w:id="225" w:name="_Toc1321"/>
      <w:bookmarkStart w:id="226" w:name="_Toc9588"/>
      <w:bookmarkStart w:id="227" w:name="_Toc28118"/>
      <w:r>
        <w:rPr>
          <w:rFonts w:hint="eastAsia" w:ascii="宋体" w:hAnsi="宋体" w:cs="宋体"/>
          <w:b/>
          <w:color w:val="auto"/>
          <w:szCs w:val="21"/>
          <w:highlight w:val="none"/>
        </w:rPr>
        <w:t>32. 信用查询</w:t>
      </w:r>
      <w:bookmarkEnd w:id="224"/>
      <w:bookmarkEnd w:id="225"/>
      <w:bookmarkEnd w:id="226"/>
      <w:bookmarkEnd w:id="227"/>
    </w:p>
    <w:p w14:paraId="1868E78B">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根据《关于做好政府采购有关信用主体标识码登记及在政府采购活动中查询使用信用记录有关问题的通知》桂财采〔2016〕37号，中标通知书发出前，由采购代理机构对第一中标候选供应商进行信用查询：</w:t>
      </w:r>
    </w:p>
    <w:p w14:paraId="1B084B83">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⑴查询渠道：“信用中国”网站(www.creditchina.gov.cn)、中国政府采购网(www.ccgp.gov.cn)等；</w:t>
      </w:r>
    </w:p>
    <w:p w14:paraId="193E0A53">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⑵查询时间：中标通知书发出前；</w:t>
      </w:r>
    </w:p>
    <w:p w14:paraId="357C68C0">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⑶信用信息查询记录和证据留存方式：在查询网站中直接打印查询记录，打印材料作为采购活动资料保存；</w:t>
      </w:r>
    </w:p>
    <w:p w14:paraId="29992CEB">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7D57E509">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4FD1F77E">
      <w:pPr>
        <w:spacing w:line="360" w:lineRule="exact"/>
        <w:ind w:firstLine="413" w:firstLineChars="196"/>
        <w:outlineLvl w:val="2"/>
        <w:rPr>
          <w:rFonts w:ascii="宋体" w:hAnsi="宋体" w:cs="宋体"/>
          <w:b/>
          <w:color w:val="auto"/>
          <w:szCs w:val="21"/>
          <w:highlight w:val="none"/>
        </w:rPr>
      </w:pPr>
      <w:bookmarkStart w:id="228" w:name="_Toc9044"/>
      <w:bookmarkStart w:id="229" w:name="_Toc17026"/>
      <w:bookmarkStart w:id="230" w:name="_Toc1902"/>
      <w:bookmarkStart w:id="231" w:name="_Toc27712"/>
      <w:r>
        <w:rPr>
          <w:rFonts w:hint="eastAsia" w:ascii="宋体" w:hAnsi="宋体" w:cs="宋体"/>
          <w:b/>
          <w:color w:val="auto"/>
          <w:szCs w:val="21"/>
          <w:highlight w:val="none"/>
        </w:rPr>
        <w:t>33. 中标公告及中标通知书</w:t>
      </w:r>
      <w:bookmarkEnd w:id="228"/>
      <w:bookmarkEnd w:id="229"/>
      <w:bookmarkEnd w:id="230"/>
      <w:bookmarkEnd w:id="231"/>
    </w:p>
    <w:p w14:paraId="0CA7C31A">
      <w:pPr>
        <w:tabs>
          <w:tab w:val="left" w:pos="455"/>
        </w:tabs>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40969B8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33.2中标公告发布的同时，采购代理机构向中标供应商发出中标通知书，中标供应商应自接到通知之日起七个工作日内，办理中标通知书领取手续。</w:t>
      </w:r>
      <w:bookmarkStart w:id="232" w:name="_Toc31543"/>
      <w:bookmarkStart w:id="233" w:name="_Toc495841760"/>
    </w:p>
    <w:p w14:paraId="6FC3E19D">
      <w:pPr>
        <w:pStyle w:val="49"/>
        <w:rPr>
          <w:color w:val="auto"/>
          <w:highlight w:val="none"/>
        </w:rPr>
      </w:pPr>
    </w:p>
    <w:p w14:paraId="231E097C">
      <w:pPr>
        <w:spacing w:line="360" w:lineRule="auto"/>
        <w:jc w:val="center"/>
        <w:outlineLvl w:val="1"/>
        <w:rPr>
          <w:rFonts w:ascii="宋体" w:hAnsi="宋体" w:cs="宋体"/>
          <w:b/>
          <w:color w:val="auto"/>
          <w:sz w:val="28"/>
          <w:szCs w:val="28"/>
          <w:highlight w:val="none"/>
        </w:rPr>
      </w:pPr>
      <w:bookmarkStart w:id="234" w:name="_Toc19631"/>
      <w:bookmarkStart w:id="235" w:name="_Toc28678"/>
      <w:bookmarkStart w:id="236" w:name="_Toc5902"/>
      <w:r>
        <w:rPr>
          <w:rFonts w:hint="eastAsia" w:ascii="宋体" w:hAnsi="宋体" w:cs="宋体"/>
          <w:b/>
          <w:color w:val="auto"/>
          <w:sz w:val="28"/>
          <w:szCs w:val="28"/>
          <w:highlight w:val="none"/>
        </w:rPr>
        <w:t>七、履约保证金及签订合同</w:t>
      </w:r>
      <w:bookmarkEnd w:id="232"/>
      <w:bookmarkEnd w:id="233"/>
      <w:bookmarkEnd w:id="234"/>
      <w:bookmarkEnd w:id="235"/>
      <w:bookmarkEnd w:id="236"/>
    </w:p>
    <w:p w14:paraId="28D2BF14">
      <w:pPr>
        <w:spacing w:line="360" w:lineRule="exact"/>
        <w:ind w:firstLine="413" w:firstLineChars="196"/>
        <w:outlineLvl w:val="2"/>
        <w:rPr>
          <w:rFonts w:ascii="宋体" w:hAnsi="宋体" w:cs="宋体"/>
          <w:b/>
          <w:color w:val="auto"/>
          <w:szCs w:val="21"/>
          <w:highlight w:val="none"/>
        </w:rPr>
      </w:pPr>
      <w:bookmarkStart w:id="237" w:name="_Toc32546"/>
      <w:bookmarkStart w:id="238" w:name="_Toc6994"/>
      <w:bookmarkStart w:id="239" w:name="_Toc18290"/>
      <w:bookmarkStart w:id="240" w:name="_Toc15259"/>
      <w:r>
        <w:rPr>
          <w:rFonts w:hint="eastAsia" w:ascii="宋体" w:hAnsi="宋体" w:cs="宋体"/>
          <w:b/>
          <w:color w:val="auto"/>
          <w:szCs w:val="21"/>
          <w:highlight w:val="none"/>
        </w:rPr>
        <w:t>34. 履约保证金</w:t>
      </w:r>
      <w:bookmarkEnd w:id="237"/>
      <w:bookmarkEnd w:id="238"/>
      <w:bookmarkEnd w:id="239"/>
      <w:bookmarkEnd w:id="240"/>
    </w:p>
    <w:p w14:paraId="0C42A19F">
      <w:pPr>
        <w:spacing w:line="360" w:lineRule="exact"/>
        <w:ind w:firstLine="624" w:firstLineChars="296"/>
        <w:outlineLvl w:val="2"/>
        <w:rPr>
          <w:rFonts w:ascii="宋体" w:hAnsi="宋体" w:cs="宋体"/>
          <w:b/>
          <w:color w:val="auto"/>
          <w:szCs w:val="21"/>
          <w:highlight w:val="none"/>
        </w:rPr>
      </w:pPr>
      <w:bookmarkStart w:id="241" w:name="_Toc18160"/>
      <w:r>
        <w:rPr>
          <w:rFonts w:ascii="宋体" w:hAnsi="宋体" w:cs="宋体"/>
          <w:b/>
          <w:color w:val="auto"/>
          <w:szCs w:val="21"/>
          <w:highlight w:val="none"/>
        </w:rPr>
        <w:t>本项目无需缴纳履约保证金。</w:t>
      </w:r>
    </w:p>
    <w:p w14:paraId="488C5E7E">
      <w:pPr>
        <w:spacing w:line="360" w:lineRule="exact"/>
        <w:ind w:firstLine="413" w:firstLineChars="196"/>
        <w:outlineLvl w:val="2"/>
        <w:rPr>
          <w:rFonts w:ascii="宋体" w:hAnsi="宋体" w:cs="宋体"/>
          <w:b/>
          <w:color w:val="auto"/>
          <w:szCs w:val="21"/>
          <w:highlight w:val="none"/>
        </w:rPr>
      </w:pPr>
      <w:bookmarkStart w:id="242" w:name="_Toc22983"/>
      <w:bookmarkStart w:id="243" w:name="_Toc11966"/>
      <w:bookmarkStart w:id="244" w:name="_Toc7148"/>
      <w:r>
        <w:rPr>
          <w:rFonts w:hint="eastAsia" w:ascii="宋体" w:hAnsi="宋体" w:cs="宋体"/>
          <w:b/>
          <w:color w:val="auto"/>
          <w:szCs w:val="21"/>
          <w:highlight w:val="none"/>
        </w:rPr>
        <w:t>35. 签订合同</w:t>
      </w:r>
      <w:bookmarkEnd w:id="241"/>
      <w:bookmarkEnd w:id="242"/>
      <w:bookmarkEnd w:id="243"/>
      <w:bookmarkEnd w:id="244"/>
    </w:p>
    <w:p w14:paraId="5CDA9729">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35.1签订合同时间：中标通知书发出之日起</w:t>
      </w:r>
      <w:r>
        <w:rPr>
          <w:rFonts w:hint="eastAsia" w:ascii="宋体" w:hAnsi="宋体" w:cs="宋体"/>
          <w:color w:val="auto"/>
          <w:szCs w:val="21"/>
          <w:highlight w:val="none"/>
          <w:lang w:val="en-US" w:eastAsia="zh-CN"/>
        </w:rPr>
        <w:t>8个工作</w:t>
      </w:r>
      <w:r>
        <w:rPr>
          <w:rFonts w:hint="eastAsia" w:ascii="宋体" w:hAnsi="宋体" w:cs="宋体"/>
          <w:color w:val="auto"/>
          <w:szCs w:val="21"/>
          <w:highlight w:val="none"/>
        </w:rPr>
        <w:t>日内。中标供应商领取中标通知书后，应按规定与采购人签订合同。</w:t>
      </w:r>
    </w:p>
    <w:p w14:paraId="47B0BCBC">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highlight w:val="none"/>
        </w:rPr>
        <w:t>35.2中标供应商为联合体的，联合体各方均应与采购人签订合同，并承担连带责任。（本项目不接受联合体投标）</w:t>
      </w:r>
    </w:p>
    <w:p w14:paraId="1BDA299F">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347430FD">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（1）中标后不与采购人签订合同的（不可抗力除外）；</w:t>
      </w:r>
    </w:p>
    <w:p w14:paraId="546DD002">
      <w:pPr>
        <w:spacing w:line="360" w:lineRule="exact"/>
        <w:ind w:left="2" w:leftChars="1" w:firstLine="315" w:firstLineChars="150"/>
        <w:rPr>
          <w:rFonts w:ascii="宋体" w:hAnsi="宋体" w:cs="宋体"/>
          <w:color w:val="auto"/>
          <w:szCs w:val="21"/>
          <w:highlight w:val="none"/>
        </w:rPr>
      </w:pPr>
      <w:r>
        <w:rPr>
          <w:rFonts w:hint="eastAsia" w:ascii="宋体" w:hAnsi="宋体" w:cs="宋体"/>
          <w:color w:val="auto"/>
          <w:szCs w:val="21"/>
          <w:highlight w:val="none"/>
        </w:rPr>
        <w:t>（2）将中标项目转让给他人，或者在投标文件中未说明，且未经采购人同意，将中标项目分包给他人的；</w:t>
      </w:r>
    </w:p>
    <w:p w14:paraId="3CC5D734">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（3）拒绝履行合同义务的。</w:t>
      </w:r>
    </w:p>
    <w:p w14:paraId="1B2B4BF4">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35.4合同备案存档：政府采购合同双方自签订之日起一个工作日内将合同原件一份交采购代理机构，采购人于合同签订之日起七个工作日内将一份合同原件送</w:t>
      </w:r>
      <w:r>
        <w:rPr>
          <w:rFonts w:hint="eastAsia" w:ascii="宋体" w:hAnsi="宋体" w:cs="宋体"/>
          <w:color w:val="auto"/>
          <w:szCs w:val="21"/>
          <w:highlight w:val="none"/>
          <w:lang w:val="en-US" w:eastAsia="zh-CN"/>
        </w:rPr>
        <w:t>桂林市</w:t>
      </w:r>
      <w:r>
        <w:rPr>
          <w:rFonts w:hint="eastAsia" w:ascii="宋体" w:hAnsi="宋体" w:cs="宋体"/>
          <w:color w:val="auto"/>
          <w:szCs w:val="21"/>
          <w:highlight w:val="none"/>
        </w:rPr>
        <w:t>财政部门备案。</w:t>
      </w:r>
    </w:p>
    <w:p w14:paraId="3AFD6527">
      <w:pPr>
        <w:spacing w:line="360" w:lineRule="auto"/>
        <w:jc w:val="center"/>
        <w:outlineLvl w:val="1"/>
        <w:rPr>
          <w:rFonts w:ascii="宋体" w:hAnsi="宋体" w:cs="宋体"/>
          <w:b/>
          <w:color w:val="auto"/>
          <w:sz w:val="28"/>
          <w:szCs w:val="28"/>
          <w:highlight w:val="none"/>
        </w:rPr>
      </w:pPr>
      <w:bookmarkStart w:id="245" w:name="_Toc1909"/>
      <w:bookmarkStart w:id="246" w:name="_Toc1304"/>
      <w:bookmarkStart w:id="247" w:name="_Toc25044"/>
      <w:bookmarkStart w:id="248" w:name="_Toc10598"/>
      <w:bookmarkStart w:id="249" w:name="_Toc495841761"/>
      <w:r>
        <w:rPr>
          <w:rFonts w:hint="eastAsia" w:ascii="宋体" w:hAnsi="宋体" w:cs="宋体"/>
          <w:b/>
          <w:color w:val="auto"/>
          <w:sz w:val="28"/>
          <w:szCs w:val="28"/>
          <w:highlight w:val="none"/>
        </w:rPr>
        <w:t>八、其他事项</w:t>
      </w:r>
      <w:bookmarkEnd w:id="245"/>
      <w:bookmarkEnd w:id="246"/>
      <w:bookmarkEnd w:id="247"/>
      <w:bookmarkEnd w:id="248"/>
      <w:bookmarkEnd w:id="249"/>
    </w:p>
    <w:p w14:paraId="001E35EF">
      <w:pPr>
        <w:spacing w:line="380" w:lineRule="exact"/>
        <w:ind w:firstLine="413" w:firstLineChars="196"/>
        <w:outlineLvl w:val="2"/>
        <w:rPr>
          <w:rFonts w:ascii="宋体" w:hAnsi="宋体" w:cs="宋体"/>
          <w:b/>
          <w:color w:val="auto"/>
          <w:szCs w:val="21"/>
          <w:highlight w:val="none"/>
        </w:rPr>
      </w:pPr>
      <w:bookmarkStart w:id="250" w:name="_Toc4309"/>
      <w:bookmarkStart w:id="251" w:name="_Toc5655"/>
      <w:bookmarkStart w:id="252" w:name="_Toc2437"/>
      <w:bookmarkStart w:id="253" w:name="_Toc1860"/>
      <w:bookmarkStart w:id="254" w:name="_Toc32387"/>
      <w:bookmarkStart w:id="255" w:name="_Toc6105"/>
      <w:bookmarkStart w:id="256" w:name="_Toc19503"/>
      <w:bookmarkStart w:id="257" w:name="_Toc32243"/>
      <w:r>
        <w:rPr>
          <w:rFonts w:hint="eastAsia" w:ascii="宋体" w:hAnsi="宋体" w:cs="宋体"/>
          <w:b/>
          <w:color w:val="auto"/>
          <w:szCs w:val="21"/>
          <w:highlight w:val="none"/>
        </w:rPr>
        <w:t>36. 招标代理服务费</w:t>
      </w:r>
      <w:bookmarkEnd w:id="250"/>
      <w:bookmarkEnd w:id="251"/>
      <w:bookmarkEnd w:id="252"/>
      <w:bookmarkEnd w:id="253"/>
      <w:bookmarkEnd w:id="254"/>
      <w:bookmarkEnd w:id="255"/>
      <w:bookmarkEnd w:id="256"/>
    </w:p>
    <w:p w14:paraId="3B86F73B">
      <w:pPr>
        <w:spacing w:line="340" w:lineRule="exact"/>
        <w:ind w:firstLine="420" w:firstLineChars="200"/>
        <w:rPr>
          <w:rFonts w:ascii="宋体" w:hAnsi="宋体" w:cs="宋体"/>
          <w:color w:val="auto"/>
          <w:szCs w:val="21"/>
          <w:highlight w:val="none"/>
        </w:rPr>
      </w:pPr>
      <w:bookmarkStart w:id="258" w:name="_Toc3628"/>
      <w:bookmarkStart w:id="259" w:name="_Toc13398"/>
      <w:bookmarkStart w:id="260" w:name="_Toc5431"/>
      <w:r>
        <w:rPr>
          <w:rFonts w:hint="eastAsia" w:ascii="宋体" w:hAnsi="宋体" w:cs="宋体"/>
          <w:color w:val="auto"/>
          <w:szCs w:val="21"/>
          <w:highlight w:val="none"/>
        </w:rPr>
        <w:t>本项目的招标代理服务费：参照计价格[2002]1980号《招标代理服务收费管理暂行办法》货物类收费标准计取。由</w:t>
      </w:r>
      <w:r>
        <w:rPr>
          <w:rFonts w:hint="eastAsia" w:ascii="宋体" w:hAnsi="宋体" w:cs="宋体"/>
          <w:color w:val="auto"/>
          <w:szCs w:val="21"/>
          <w:highlight w:val="none"/>
          <w:lang w:val="en-US" w:eastAsia="zh-CN"/>
        </w:rPr>
        <w:t>每个标项</w:t>
      </w:r>
      <w:r>
        <w:rPr>
          <w:rFonts w:hint="eastAsia" w:ascii="宋体" w:hAnsi="宋体" w:cs="宋体"/>
          <w:color w:val="auto"/>
          <w:szCs w:val="21"/>
          <w:highlight w:val="none"/>
        </w:rPr>
        <w:t>中标人向广西</w:t>
      </w:r>
      <w:r>
        <w:rPr>
          <w:rFonts w:hint="eastAsia" w:ascii="宋体" w:hAnsi="宋体" w:cs="宋体"/>
          <w:color w:val="auto"/>
          <w:szCs w:val="21"/>
          <w:highlight w:val="none"/>
          <w:lang w:val="en-US" w:eastAsia="zh-CN"/>
        </w:rPr>
        <w:t>嘉弘</w:t>
      </w:r>
      <w:r>
        <w:rPr>
          <w:rFonts w:hint="eastAsia" w:ascii="宋体" w:hAnsi="宋体" w:cs="宋体"/>
          <w:color w:val="auto"/>
          <w:szCs w:val="21"/>
          <w:highlight w:val="none"/>
        </w:rPr>
        <w:t>项目管理有限公司一次性付清代理服务费。</w:t>
      </w:r>
      <w:r>
        <w:rPr>
          <w:rFonts w:hint="eastAsia" w:ascii="宋体" w:hAnsi="宋体" w:cs="宋体"/>
          <w:color w:val="auto"/>
          <w:szCs w:val="21"/>
          <w:highlight w:val="none"/>
          <w:lang w:val="en-US" w:eastAsia="zh-CN"/>
        </w:rPr>
        <w:t>注：标项代理费不足5000元按5000元计。</w:t>
      </w:r>
    </w:p>
    <w:p w14:paraId="03F58B5B">
      <w:pPr>
        <w:spacing w:line="360" w:lineRule="exact"/>
        <w:jc w:val="center"/>
        <w:rPr>
          <w:rFonts w:ascii="宋体" w:hAnsi="宋体"/>
          <w:color w:val="auto"/>
          <w:szCs w:val="21"/>
          <w:highlight w:val="none"/>
        </w:rPr>
      </w:pPr>
      <w:r>
        <w:rPr>
          <w:rFonts w:hint="eastAsia" w:ascii="宋体" w:hAnsi="宋体"/>
          <w:color w:val="auto"/>
          <w:szCs w:val="21"/>
          <w:highlight w:val="none"/>
        </w:rPr>
        <w:t>招标代理服务收费标准</w:t>
      </w:r>
    </w:p>
    <w:tbl>
      <w:tblPr>
        <w:tblStyle w:val="3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5C6F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0" w:type="dxa"/>
          </w:tcPr>
          <w:p w14:paraId="427E70A1">
            <w:pPr>
              <w:pStyle w:val="17"/>
              <w:spacing w:line="360" w:lineRule="exact"/>
              <w:ind w:left="25"/>
              <w:rPr>
                <w:rFonts w:hAnsi="宋体"/>
                <w:color w:val="auto"/>
                <w:highlight w:val="none"/>
              </w:rPr>
            </w:pPr>
            <w:r>
              <w:rPr>
                <w:rFonts w:hAnsi="宋体"/>
                <w:color w:val="auto"/>
                <w:highlight w:val="none"/>
              </w:rPr>
              <w:pict>
                <v:line id="直线 11" o:spid="_x0000_s2052" o:spt="20" style="position:absolute;left:0pt;margin-left:-5.4pt;margin-top:10.5pt;height:31.2pt;width:144pt;z-index:251660288;mso-width-relative:page;mso-height-relative:page;" coordsize="21600,21600" o:gfxdata="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a/IATXAAAACQEAAA8AAAAAAAAAAQAgAAAAIgAAAGRycy9kb3ducmV2LnhtbFBLAQIUABQAAAAI&#10;AIdO4kBVquM27gEAAOEDAAAOAAAAAAAAAAEAIAAAACYBAABkcnMvZTJvRG9jLnhtbFBLBQYAAAAA&#10;BgAGAFkBAACGBQAAAAA=&#10;">
                  <v:path arrowok="t"/>
                  <v:fill focussize="0,0"/>
                  <v:stroke/>
                  <v:imagedata o:title=""/>
                  <o:lock v:ext="edit"/>
                </v:line>
              </w:pict>
            </w:r>
            <w:r>
              <w:rPr>
                <w:rFonts w:hAnsi="宋体"/>
                <w:color w:val="auto"/>
                <w:highlight w:val="none"/>
              </w:rPr>
              <w:pict>
                <v:line id="直线 10" o:spid="_x0000_s2051" o:spt="20" style="position:absolute;left:0pt;margin-left:-5.4pt;margin-top:0.85pt;height:23.3pt;width:140.3pt;z-index:251661312;mso-width-relative:page;mso-height-relative:page;" coordsize="21600,21600" o:gfxdata="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Lh9&#10;c9YAAAAIAQAADwAAAAAAAAABACAAAAAiAAAAZHJzL2Rvd25yZXYueG1sUEsBAhQAFAAAAAgAh07i&#10;QP712RXrAQAA4QMAAA4AAAAAAAAAAQAgAAAAJQEAAGRycy9lMm9Eb2MueG1sUEsFBgAAAAAGAAYA&#10;WQEAAIIFAAAAAA==&#10;">
                  <v:path arrowok="t"/>
                  <v:fill focussize="0,0"/>
                  <v:stroke/>
                  <v:imagedata o:title=""/>
                  <o:lock v:ext="edit"/>
                </v:line>
              </w:pict>
            </w:r>
            <w:r>
              <w:rPr>
                <w:rFonts w:hint="eastAsia" w:hAnsi="宋体"/>
                <w:color w:val="auto"/>
                <w:highlight w:val="none"/>
              </w:rPr>
              <w:t>折扣           服务类型</w:t>
            </w:r>
          </w:p>
          <w:p w14:paraId="3C8C574A">
            <w:pPr>
              <w:pStyle w:val="17"/>
              <w:spacing w:line="360" w:lineRule="exact"/>
              <w:ind w:left="25"/>
              <w:rPr>
                <w:rFonts w:hAnsi="宋体"/>
                <w:color w:val="auto"/>
                <w:highlight w:val="none"/>
              </w:rPr>
            </w:pPr>
            <w:r>
              <w:rPr>
                <w:rFonts w:hint="eastAsia" w:hAnsi="宋体"/>
                <w:color w:val="auto"/>
                <w:highlight w:val="none"/>
              </w:rPr>
              <w:t>中标金额（万元）</w:t>
            </w:r>
          </w:p>
        </w:tc>
        <w:tc>
          <w:tcPr>
            <w:tcW w:w="1841" w:type="dxa"/>
            <w:vAlign w:val="center"/>
          </w:tcPr>
          <w:p w14:paraId="41E8AFFB">
            <w:pPr>
              <w:pStyle w:val="17"/>
              <w:spacing w:line="360" w:lineRule="exact"/>
              <w:ind w:left="25"/>
              <w:jc w:val="center"/>
              <w:rPr>
                <w:rFonts w:hAnsi="宋体"/>
                <w:color w:val="auto"/>
                <w:highlight w:val="none"/>
              </w:rPr>
            </w:pPr>
            <w:r>
              <w:rPr>
                <w:rFonts w:hint="eastAsia" w:hAnsi="宋体"/>
                <w:color w:val="auto"/>
                <w:highlight w:val="none"/>
              </w:rPr>
              <w:t>货物招标</w:t>
            </w:r>
          </w:p>
        </w:tc>
        <w:tc>
          <w:tcPr>
            <w:tcW w:w="1992" w:type="dxa"/>
            <w:vAlign w:val="center"/>
          </w:tcPr>
          <w:p w14:paraId="40E193E3">
            <w:pPr>
              <w:pStyle w:val="17"/>
              <w:spacing w:line="360" w:lineRule="exact"/>
              <w:ind w:left="25"/>
              <w:jc w:val="center"/>
              <w:rPr>
                <w:rFonts w:hAnsi="宋体"/>
                <w:color w:val="auto"/>
                <w:highlight w:val="none"/>
              </w:rPr>
            </w:pPr>
            <w:r>
              <w:rPr>
                <w:rFonts w:hint="eastAsia" w:hAnsi="宋体"/>
                <w:color w:val="auto"/>
                <w:highlight w:val="none"/>
              </w:rPr>
              <w:t>服务招标</w:t>
            </w:r>
          </w:p>
        </w:tc>
        <w:tc>
          <w:tcPr>
            <w:tcW w:w="2293" w:type="dxa"/>
            <w:vAlign w:val="center"/>
          </w:tcPr>
          <w:p w14:paraId="4D1460EA">
            <w:pPr>
              <w:pStyle w:val="17"/>
              <w:spacing w:line="360" w:lineRule="exact"/>
              <w:ind w:left="25"/>
              <w:jc w:val="center"/>
              <w:rPr>
                <w:rFonts w:hAnsi="宋体"/>
                <w:color w:val="auto"/>
                <w:highlight w:val="none"/>
              </w:rPr>
            </w:pPr>
            <w:r>
              <w:rPr>
                <w:rFonts w:hint="eastAsia" w:hAnsi="宋体"/>
                <w:color w:val="auto"/>
                <w:highlight w:val="none"/>
              </w:rPr>
              <w:t>工程招标</w:t>
            </w:r>
          </w:p>
        </w:tc>
      </w:tr>
      <w:tr w14:paraId="0467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506AF6D6">
            <w:pPr>
              <w:pStyle w:val="17"/>
              <w:spacing w:line="360" w:lineRule="exact"/>
              <w:ind w:left="25"/>
              <w:rPr>
                <w:rFonts w:hAnsi="宋体"/>
                <w:color w:val="auto"/>
                <w:highlight w:val="none"/>
              </w:rPr>
            </w:pPr>
            <w:r>
              <w:rPr>
                <w:rFonts w:hint="eastAsia" w:hAnsi="宋体"/>
                <w:color w:val="auto"/>
                <w:highlight w:val="none"/>
              </w:rPr>
              <w:t>100以下</w:t>
            </w:r>
          </w:p>
        </w:tc>
        <w:tc>
          <w:tcPr>
            <w:tcW w:w="1841" w:type="dxa"/>
          </w:tcPr>
          <w:p w14:paraId="6555482F">
            <w:pPr>
              <w:pStyle w:val="17"/>
              <w:spacing w:line="360" w:lineRule="exact"/>
              <w:ind w:left="25"/>
              <w:jc w:val="center"/>
              <w:rPr>
                <w:rFonts w:hAnsi="宋体"/>
                <w:color w:val="auto"/>
                <w:highlight w:val="none"/>
              </w:rPr>
            </w:pPr>
            <w:r>
              <w:rPr>
                <w:rFonts w:hint="eastAsia" w:hAnsi="宋体"/>
                <w:color w:val="auto"/>
                <w:highlight w:val="none"/>
              </w:rPr>
              <w:t>1.5%</w:t>
            </w:r>
          </w:p>
        </w:tc>
        <w:tc>
          <w:tcPr>
            <w:tcW w:w="1992" w:type="dxa"/>
          </w:tcPr>
          <w:p w14:paraId="43EA899C">
            <w:pPr>
              <w:pStyle w:val="17"/>
              <w:spacing w:line="360" w:lineRule="exact"/>
              <w:ind w:left="25"/>
              <w:jc w:val="center"/>
              <w:rPr>
                <w:rFonts w:hAnsi="宋体"/>
                <w:color w:val="auto"/>
                <w:highlight w:val="none"/>
              </w:rPr>
            </w:pPr>
            <w:r>
              <w:rPr>
                <w:rFonts w:hint="eastAsia" w:hAnsi="宋体"/>
                <w:color w:val="auto"/>
                <w:highlight w:val="none"/>
              </w:rPr>
              <w:t>1.5%</w:t>
            </w:r>
          </w:p>
        </w:tc>
        <w:tc>
          <w:tcPr>
            <w:tcW w:w="2293" w:type="dxa"/>
          </w:tcPr>
          <w:p w14:paraId="4BCD2AB4">
            <w:pPr>
              <w:pStyle w:val="17"/>
              <w:spacing w:line="360" w:lineRule="exact"/>
              <w:ind w:left="25"/>
              <w:jc w:val="center"/>
              <w:rPr>
                <w:rFonts w:hAnsi="宋体"/>
                <w:color w:val="auto"/>
                <w:highlight w:val="none"/>
              </w:rPr>
            </w:pPr>
            <w:r>
              <w:rPr>
                <w:rFonts w:hint="eastAsia" w:hAnsi="宋体"/>
                <w:color w:val="auto"/>
                <w:highlight w:val="none"/>
              </w:rPr>
              <w:t>1.0%</w:t>
            </w:r>
          </w:p>
        </w:tc>
      </w:tr>
      <w:tr w14:paraId="522E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24E811E3">
            <w:pPr>
              <w:pStyle w:val="17"/>
              <w:spacing w:line="360" w:lineRule="exact"/>
              <w:ind w:left="25"/>
              <w:rPr>
                <w:rFonts w:hAnsi="宋体"/>
                <w:color w:val="auto"/>
                <w:highlight w:val="none"/>
              </w:rPr>
            </w:pPr>
            <w:r>
              <w:rPr>
                <w:rFonts w:hint="eastAsia" w:hAnsi="宋体"/>
                <w:color w:val="auto"/>
                <w:highlight w:val="none"/>
              </w:rPr>
              <w:t>100-500</w:t>
            </w:r>
          </w:p>
        </w:tc>
        <w:tc>
          <w:tcPr>
            <w:tcW w:w="1841" w:type="dxa"/>
          </w:tcPr>
          <w:p w14:paraId="60D67127">
            <w:pPr>
              <w:pStyle w:val="17"/>
              <w:spacing w:line="360" w:lineRule="exact"/>
              <w:ind w:left="25"/>
              <w:jc w:val="center"/>
              <w:rPr>
                <w:rFonts w:hAnsi="宋体"/>
                <w:color w:val="auto"/>
                <w:highlight w:val="none"/>
              </w:rPr>
            </w:pPr>
            <w:r>
              <w:rPr>
                <w:rFonts w:hint="eastAsia" w:hAnsi="宋体"/>
                <w:color w:val="auto"/>
                <w:highlight w:val="none"/>
              </w:rPr>
              <w:t>1.1%</w:t>
            </w:r>
          </w:p>
        </w:tc>
        <w:tc>
          <w:tcPr>
            <w:tcW w:w="1992" w:type="dxa"/>
          </w:tcPr>
          <w:p w14:paraId="01C97426">
            <w:pPr>
              <w:pStyle w:val="17"/>
              <w:spacing w:line="360" w:lineRule="exact"/>
              <w:ind w:left="25"/>
              <w:jc w:val="center"/>
              <w:rPr>
                <w:rFonts w:hAnsi="宋体"/>
                <w:color w:val="auto"/>
                <w:highlight w:val="none"/>
              </w:rPr>
            </w:pPr>
            <w:r>
              <w:rPr>
                <w:rFonts w:hint="eastAsia" w:hAnsi="宋体"/>
                <w:color w:val="auto"/>
                <w:highlight w:val="none"/>
              </w:rPr>
              <w:t>0.8%</w:t>
            </w:r>
          </w:p>
        </w:tc>
        <w:tc>
          <w:tcPr>
            <w:tcW w:w="2293" w:type="dxa"/>
          </w:tcPr>
          <w:p w14:paraId="4D7722E4">
            <w:pPr>
              <w:pStyle w:val="17"/>
              <w:spacing w:line="360" w:lineRule="exact"/>
              <w:ind w:left="25"/>
              <w:jc w:val="center"/>
              <w:rPr>
                <w:rFonts w:hAnsi="宋体"/>
                <w:color w:val="auto"/>
                <w:highlight w:val="none"/>
              </w:rPr>
            </w:pPr>
            <w:r>
              <w:rPr>
                <w:rFonts w:hint="eastAsia" w:hAnsi="宋体"/>
                <w:color w:val="auto"/>
                <w:highlight w:val="none"/>
              </w:rPr>
              <w:t>0.7%</w:t>
            </w:r>
          </w:p>
        </w:tc>
      </w:tr>
      <w:tr w14:paraId="43D1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6FA0EFB">
            <w:pPr>
              <w:pStyle w:val="17"/>
              <w:spacing w:line="360" w:lineRule="exact"/>
              <w:ind w:left="25"/>
              <w:rPr>
                <w:rFonts w:hAnsi="宋体"/>
                <w:color w:val="auto"/>
                <w:highlight w:val="none"/>
              </w:rPr>
            </w:pPr>
            <w:r>
              <w:rPr>
                <w:rFonts w:hint="eastAsia" w:hAnsi="宋体"/>
                <w:color w:val="auto"/>
                <w:highlight w:val="none"/>
              </w:rPr>
              <w:t>500-1000</w:t>
            </w:r>
          </w:p>
        </w:tc>
        <w:tc>
          <w:tcPr>
            <w:tcW w:w="1841" w:type="dxa"/>
          </w:tcPr>
          <w:p w14:paraId="75D94F21">
            <w:pPr>
              <w:pStyle w:val="17"/>
              <w:spacing w:line="360" w:lineRule="exact"/>
              <w:ind w:left="25"/>
              <w:jc w:val="center"/>
              <w:rPr>
                <w:rFonts w:hAnsi="宋体"/>
                <w:color w:val="auto"/>
                <w:highlight w:val="none"/>
              </w:rPr>
            </w:pPr>
            <w:r>
              <w:rPr>
                <w:rFonts w:hint="eastAsia" w:hAnsi="宋体"/>
                <w:color w:val="auto"/>
                <w:highlight w:val="none"/>
              </w:rPr>
              <w:t>0.8%</w:t>
            </w:r>
          </w:p>
        </w:tc>
        <w:tc>
          <w:tcPr>
            <w:tcW w:w="1992" w:type="dxa"/>
          </w:tcPr>
          <w:p w14:paraId="3E251D46">
            <w:pPr>
              <w:pStyle w:val="17"/>
              <w:spacing w:line="360" w:lineRule="exact"/>
              <w:ind w:left="25"/>
              <w:jc w:val="center"/>
              <w:rPr>
                <w:rFonts w:hAnsi="宋体"/>
                <w:color w:val="auto"/>
                <w:highlight w:val="none"/>
              </w:rPr>
            </w:pPr>
            <w:r>
              <w:rPr>
                <w:rFonts w:hint="eastAsia" w:hAnsi="宋体"/>
                <w:color w:val="auto"/>
                <w:highlight w:val="none"/>
              </w:rPr>
              <w:t>0.45%</w:t>
            </w:r>
          </w:p>
        </w:tc>
        <w:tc>
          <w:tcPr>
            <w:tcW w:w="2293" w:type="dxa"/>
          </w:tcPr>
          <w:p w14:paraId="3458926B">
            <w:pPr>
              <w:pStyle w:val="17"/>
              <w:spacing w:line="360" w:lineRule="exact"/>
              <w:ind w:left="25"/>
              <w:jc w:val="center"/>
              <w:rPr>
                <w:rFonts w:hAnsi="宋体"/>
                <w:color w:val="auto"/>
                <w:highlight w:val="none"/>
              </w:rPr>
            </w:pPr>
            <w:r>
              <w:rPr>
                <w:rFonts w:hint="eastAsia" w:hAnsi="宋体"/>
                <w:color w:val="auto"/>
                <w:highlight w:val="none"/>
              </w:rPr>
              <w:t>0.55%</w:t>
            </w:r>
          </w:p>
        </w:tc>
      </w:tr>
    </w:tbl>
    <w:p w14:paraId="5E6DD86F">
      <w:pPr>
        <w:spacing w:line="400" w:lineRule="exact"/>
        <w:ind w:firstLine="411" w:firstLineChars="196"/>
        <w:outlineLvl w:val="2"/>
        <w:rPr>
          <w:rFonts w:hAnsi="宋体"/>
          <w:color w:val="auto"/>
          <w:highlight w:val="none"/>
        </w:rPr>
      </w:pPr>
      <w:r>
        <w:rPr>
          <w:rFonts w:hint="eastAsia" w:hAnsi="宋体"/>
          <w:color w:val="auto"/>
          <w:highlight w:val="none"/>
        </w:rPr>
        <w:t>注：招标代理服务收费按差额定率累进法计算。</w:t>
      </w:r>
    </w:p>
    <w:p w14:paraId="328B3D3E">
      <w:pPr>
        <w:spacing w:line="380" w:lineRule="exact"/>
        <w:rPr>
          <w:rFonts w:ascii="宋体" w:hAnsi="宋体" w:cs="宋体"/>
          <w:color w:val="auto"/>
          <w:highlight w:val="none"/>
        </w:rPr>
      </w:pPr>
      <w:r>
        <w:rPr>
          <w:rFonts w:hint="eastAsia" w:ascii="宋体" w:hAnsi="宋体" w:cs="宋体"/>
          <w:b/>
          <w:color w:val="auto"/>
          <w:highlight w:val="none"/>
        </w:rPr>
        <w:t>交纳代理服务费的银行账户：</w:t>
      </w:r>
    </w:p>
    <w:p w14:paraId="04BF409F">
      <w:pPr>
        <w:spacing w:line="400" w:lineRule="exact"/>
        <w:ind w:firstLine="413" w:firstLineChars="196"/>
        <w:outlineLvl w:val="2"/>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开户银行：中国银行股份有限公司桂林市中隐路支行</w:t>
      </w:r>
    </w:p>
    <w:p w14:paraId="06A0B80E">
      <w:pPr>
        <w:spacing w:line="400" w:lineRule="exact"/>
        <w:ind w:firstLine="413" w:firstLineChars="196"/>
        <w:outlineLvl w:val="2"/>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账户名称：广西嘉弘项目管理有限公司</w:t>
      </w:r>
    </w:p>
    <w:p w14:paraId="6ADD3A1A">
      <w:pPr>
        <w:spacing w:line="400" w:lineRule="exact"/>
        <w:ind w:firstLine="413" w:firstLineChars="196"/>
        <w:outlineLvl w:val="2"/>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银行账号：614585769629</w:t>
      </w:r>
    </w:p>
    <w:p w14:paraId="164D3FF8">
      <w:pPr>
        <w:spacing w:line="400" w:lineRule="exact"/>
        <w:ind w:firstLine="413" w:firstLineChars="196"/>
        <w:outlineLvl w:val="2"/>
        <w:rPr>
          <w:rFonts w:ascii="宋体" w:hAnsi="宋体" w:cs="宋体"/>
          <w:b/>
          <w:color w:val="auto"/>
          <w:szCs w:val="21"/>
          <w:highlight w:val="none"/>
        </w:rPr>
      </w:pPr>
      <w:r>
        <w:rPr>
          <w:rFonts w:hint="eastAsia" w:ascii="宋体" w:hAnsi="宋体" w:cs="宋体"/>
          <w:b/>
          <w:color w:val="auto"/>
          <w:szCs w:val="21"/>
          <w:highlight w:val="none"/>
        </w:rPr>
        <w:t>37. 解释权</w:t>
      </w:r>
      <w:bookmarkEnd w:id="258"/>
      <w:bookmarkEnd w:id="259"/>
      <w:bookmarkEnd w:id="260"/>
    </w:p>
    <w:p w14:paraId="7384F243">
      <w:pPr>
        <w:snapToGrid w:val="0"/>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本招标文件是根据《中华人民共和国政府采购法》《中华人民共和国政府采购法实施条例》及《政府采购货物和服务招标投标管理办法》（财政部令第87号）</w:t>
      </w:r>
      <w:r>
        <w:rPr>
          <w:rFonts w:hint="eastAsia" w:ascii="宋体" w:hAnsi="宋体" w:cs="宋体"/>
          <w:color w:val="auto"/>
          <w:highlight w:val="none"/>
        </w:rPr>
        <w:t>和政府采购管理有关规定编制，本招标文件的解释权属于广西</w:t>
      </w:r>
      <w:r>
        <w:rPr>
          <w:rFonts w:hint="eastAsia" w:ascii="宋体" w:hAnsi="宋体" w:cs="宋体"/>
          <w:color w:val="auto"/>
          <w:highlight w:val="none"/>
          <w:lang w:val="en-US" w:eastAsia="zh-CN"/>
        </w:rPr>
        <w:t>嘉弘</w:t>
      </w:r>
      <w:r>
        <w:rPr>
          <w:rFonts w:hint="eastAsia" w:ascii="宋体" w:hAnsi="宋体" w:cs="宋体"/>
          <w:color w:val="auto"/>
          <w:highlight w:val="none"/>
        </w:rPr>
        <w:t>项目管理有限公司。</w:t>
      </w:r>
      <w:bookmarkEnd w:id="257"/>
    </w:p>
    <w:p w14:paraId="588A5097">
      <w:pPr>
        <w:spacing w:line="400" w:lineRule="exact"/>
        <w:ind w:firstLine="413" w:firstLineChars="196"/>
        <w:outlineLvl w:val="2"/>
        <w:rPr>
          <w:rFonts w:ascii="宋体" w:hAnsi="宋体" w:cs="宋体"/>
          <w:b/>
          <w:color w:val="auto"/>
          <w:szCs w:val="21"/>
          <w:highlight w:val="none"/>
        </w:rPr>
      </w:pPr>
      <w:bookmarkStart w:id="261" w:name="_Toc1384"/>
      <w:bookmarkStart w:id="262" w:name="_Toc6497"/>
      <w:bookmarkStart w:id="263" w:name="_Toc9769"/>
      <w:bookmarkStart w:id="264" w:name="_Toc11077"/>
      <w:r>
        <w:rPr>
          <w:rFonts w:hint="eastAsia" w:ascii="宋体" w:hAnsi="宋体" w:cs="宋体"/>
          <w:b/>
          <w:color w:val="auto"/>
          <w:szCs w:val="21"/>
          <w:highlight w:val="none"/>
        </w:rPr>
        <w:t>38. 监督管理机构</w:t>
      </w:r>
      <w:bookmarkEnd w:id="261"/>
      <w:bookmarkEnd w:id="262"/>
      <w:bookmarkEnd w:id="263"/>
    </w:p>
    <w:bookmarkEnd w:id="264"/>
    <w:p w14:paraId="4E0FB8F6">
      <w:pPr>
        <w:snapToGrid w:val="0"/>
        <w:spacing w:line="400" w:lineRule="exact"/>
        <w:ind w:firstLine="420" w:firstLineChars="200"/>
        <w:rPr>
          <w:rFonts w:ascii="宋体" w:hAnsi="宋体" w:cs="宋体"/>
          <w:color w:val="auto"/>
          <w:sz w:val="32"/>
          <w:szCs w:val="32"/>
          <w:highlight w:val="none"/>
        </w:rPr>
      </w:pPr>
      <w:bookmarkStart w:id="265" w:name="_Toc23297"/>
      <w:r>
        <w:rPr>
          <w:rFonts w:hint="eastAsia" w:ascii="宋体" w:hAnsi="宋体" w:cs="宋体"/>
          <w:color w:val="auto"/>
          <w:szCs w:val="21"/>
          <w:highlight w:val="none"/>
          <w:lang w:val="en-US" w:eastAsia="zh-CN"/>
        </w:rPr>
        <w:t>桂林市财政局</w:t>
      </w:r>
      <w:r>
        <w:rPr>
          <w:rFonts w:hint="eastAsia" w:ascii="宋体" w:hAnsi="宋体" w:cs="宋体"/>
          <w:color w:val="auto"/>
          <w:szCs w:val="21"/>
          <w:highlight w:val="none"/>
        </w:rPr>
        <w:t xml:space="preserve">     电话：0773-2862142。</w:t>
      </w:r>
    </w:p>
    <w:p w14:paraId="2BA5CECD">
      <w:pPr>
        <w:widowControl/>
        <w:jc w:val="left"/>
        <w:rPr>
          <w:b/>
          <w:color w:val="auto"/>
          <w:sz w:val="24"/>
          <w:highlight w:val="none"/>
        </w:rPr>
      </w:pPr>
      <w:bookmarkStart w:id="266" w:name="_Toc12794"/>
      <w:bookmarkStart w:id="267" w:name="_Toc12929"/>
      <w:bookmarkStart w:id="268" w:name="_Toc29861"/>
      <w:bookmarkStart w:id="269" w:name="_Toc32614"/>
      <w:bookmarkStart w:id="270" w:name="_Toc20149"/>
    </w:p>
    <w:p w14:paraId="2C324D3A">
      <w:pPr>
        <w:widowControl/>
        <w:jc w:val="left"/>
        <w:rPr>
          <w:b/>
          <w:color w:val="auto"/>
          <w:sz w:val="24"/>
          <w:highlight w:val="none"/>
        </w:rPr>
      </w:pPr>
    </w:p>
    <w:p w14:paraId="46BAA083">
      <w:pPr>
        <w:widowControl/>
        <w:jc w:val="left"/>
        <w:rPr>
          <w:b/>
          <w:color w:val="auto"/>
          <w:sz w:val="24"/>
          <w:highlight w:val="none"/>
        </w:rPr>
      </w:pPr>
    </w:p>
    <w:p w14:paraId="6DE2708A">
      <w:pPr>
        <w:widowControl/>
        <w:jc w:val="left"/>
        <w:rPr>
          <w:b/>
          <w:color w:val="auto"/>
          <w:sz w:val="24"/>
          <w:highlight w:val="none"/>
        </w:rPr>
      </w:pPr>
    </w:p>
    <w:p w14:paraId="415D3C43">
      <w:pPr>
        <w:widowControl/>
        <w:jc w:val="left"/>
        <w:rPr>
          <w:b/>
          <w:color w:val="auto"/>
          <w:sz w:val="24"/>
          <w:highlight w:val="none"/>
        </w:rPr>
      </w:pPr>
    </w:p>
    <w:p w14:paraId="350DAA6A">
      <w:pPr>
        <w:widowControl/>
        <w:jc w:val="left"/>
        <w:rPr>
          <w:b/>
          <w:color w:val="auto"/>
          <w:sz w:val="24"/>
          <w:highlight w:val="none"/>
        </w:rPr>
      </w:pPr>
    </w:p>
    <w:p w14:paraId="4A2F0190">
      <w:pPr>
        <w:widowControl/>
        <w:jc w:val="left"/>
        <w:rPr>
          <w:b/>
          <w:color w:val="auto"/>
          <w:sz w:val="24"/>
          <w:highlight w:val="none"/>
        </w:rPr>
      </w:pPr>
    </w:p>
    <w:p w14:paraId="7386C2F1">
      <w:pPr>
        <w:widowControl/>
        <w:jc w:val="left"/>
        <w:rPr>
          <w:b/>
          <w:color w:val="auto"/>
          <w:sz w:val="24"/>
          <w:highlight w:val="none"/>
        </w:rPr>
      </w:pPr>
    </w:p>
    <w:p w14:paraId="386C274D">
      <w:pPr>
        <w:widowControl/>
        <w:jc w:val="left"/>
        <w:rPr>
          <w:b/>
          <w:color w:val="auto"/>
          <w:sz w:val="24"/>
          <w:highlight w:val="none"/>
        </w:rPr>
      </w:pPr>
    </w:p>
    <w:p w14:paraId="790CCE12">
      <w:pPr>
        <w:widowControl/>
        <w:jc w:val="left"/>
        <w:rPr>
          <w:b/>
          <w:color w:val="auto"/>
          <w:sz w:val="24"/>
          <w:highlight w:val="none"/>
        </w:rPr>
      </w:pPr>
    </w:p>
    <w:p w14:paraId="24B0AC79">
      <w:pPr>
        <w:widowControl/>
        <w:jc w:val="left"/>
        <w:rPr>
          <w:b/>
          <w:color w:val="auto"/>
          <w:sz w:val="24"/>
          <w:highlight w:val="none"/>
        </w:rPr>
      </w:pPr>
    </w:p>
    <w:p w14:paraId="30F31F25">
      <w:pPr>
        <w:widowControl/>
        <w:jc w:val="left"/>
        <w:rPr>
          <w:b/>
          <w:color w:val="auto"/>
          <w:sz w:val="24"/>
          <w:highlight w:val="none"/>
        </w:rPr>
      </w:pPr>
    </w:p>
    <w:p w14:paraId="6EF2665F">
      <w:pPr>
        <w:widowControl/>
        <w:jc w:val="left"/>
        <w:rPr>
          <w:b/>
          <w:color w:val="auto"/>
          <w:sz w:val="24"/>
          <w:highlight w:val="none"/>
        </w:rPr>
      </w:pPr>
    </w:p>
    <w:p w14:paraId="134FCAC6">
      <w:pPr>
        <w:widowControl/>
        <w:jc w:val="left"/>
        <w:rPr>
          <w:b/>
          <w:color w:val="auto"/>
          <w:sz w:val="24"/>
          <w:highlight w:val="none"/>
        </w:rPr>
      </w:pPr>
    </w:p>
    <w:p w14:paraId="5C5BC87E">
      <w:pPr>
        <w:widowControl/>
        <w:jc w:val="left"/>
        <w:rPr>
          <w:b/>
          <w:color w:val="auto"/>
          <w:sz w:val="24"/>
          <w:highlight w:val="none"/>
        </w:rPr>
      </w:pPr>
    </w:p>
    <w:p w14:paraId="1CECCA8A">
      <w:pPr>
        <w:widowControl/>
        <w:jc w:val="left"/>
        <w:rPr>
          <w:b/>
          <w:color w:val="auto"/>
          <w:sz w:val="24"/>
          <w:highlight w:val="none"/>
        </w:rPr>
      </w:pPr>
    </w:p>
    <w:p w14:paraId="76295998">
      <w:pPr>
        <w:widowControl/>
        <w:jc w:val="left"/>
        <w:rPr>
          <w:b/>
          <w:color w:val="auto"/>
          <w:sz w:val="24"/>
          <w:highlight w:val="none"/>
        </w:rPr>
      </w:pPr>
    </w:p>
    <w:p w14:paraId="3691DE6E">
      <w:pPr>
        <w:widowControl/>
        <w:jc w:val="left"/>
        <w:rPr>
          <w:b/>
          <w:color w:val="auto"/>
          <w:sz w:val="24"/>
          <w:highlight w:val="none"/>
        </w:rPr>
      </w:pPr>
    </w:p>
    <w:p w14:paraId="37A0F53D">
      <w:pPr>
        <w:widowControl/>
        <w:jc w:val="left"/>
        <w:rPr>
          <w:b/>
          <w:color w:val="auto"/>
          <w:sz w:val="24"/>
          <w:highlight w:val="none"/>
        </w:rPr>
      </w:pPr>
    </w:p>
    <w:p w14:paraId="1A6971DB">
      <w:pPr>
        <w:widowControl/>
        <w:jc w:val="left"/>
        <w:rPr>
          <w:b/>
          <w:color w:val="auto"/>
          <w:sz w:val="24"/>
          <w:highlight w:val="none"/>
        </w:rPr>
      </w:pPr>
    </w:p>
    <w:p w14:paraId="3A5CE18A">
      <w:pPr>
        <w:widowControl/>
        <w:jc w:val="left"/>
        <w:rPr>
          <w:b/>
          <w:color w:val="auto"/>
          <w:sz w:val="24"/>
          <w:highlight w:val="none"/>
        </w:rPr>
      </w:pPr>
    </w:p>
    <w:p w14:paraId="2F081E98">
      <w:pPr>
        <w:widowControl/>
        <w:jc w:val="left"/>
        <w:rPr>
          <w:b/>
          <w:color w:val="auto"/>
          <w:sz w:val="24"/>
          <w:highlight w:val="none"/>
        </w:rPr>
      </w:pPr>
    </w:p>
    <w:p w14:paraId="32DE1F52">
      <w:pPr>
        <w:widowControl/>
        <w:jc w:val="left"/>
        <w:rPr>
          <w:b/>
          <w:color w:val="auto"/>
          <w:sz w:val="24"/>
          <w:highlight w:val="none"/>
        </w:rPr>
      </w:pPr>
    </w:p>
    <w:p w14:paraId="3BE0618B">
      <w:pPr>
        <w:widowControl/>
        <w:jc w:val="left"/>
        <w:rPr>
          <w:b/>
          <w:color w:val="auto"/>
          <w:sz w:val="24"/>
          <w:highlight w:val="none"/>
        </w:rPr>
      </w:pPr>
    </w:p>
    <w:p w14:paraId="2D09C29D">
      <w:pPr>
        <w:widowControl/>
        <w:jc w:val="left"/>
        <w:rPr>
          <w:b/>
          <w:color w:val="auto"/>
          <w:sz w:val="24"/>
          <w:highlight w:val="none"/>
        </w:rPr>
      </w:pPr>
    </w:p>
    <w:p w14:paraId="4106AD79">
      <w:pPr>
        <w:widowControl/>
        <w:jc w:val="left"/>
        <w:rPr>
          <w:b/>
          <w:color w:val="auto"/>
          <w:sz w:val="24"/>
          <w:highlight w:val="none"/>
        </w:rPr>
      </w:pPr>
    </w:p>
    <w:p w14:paraId="7E240C53">
      <w:pPr>
        <w:widowControl/>
        <w:jc w:val="left"/>
        <w:rPr>
          <w:b/>
          <w:color w:val="auto"/>
          <w:sz w:val="24"/>
          <w:highlight w:val="none"/>
        </w:rPr>
      </w:pPr>
    </w:p>
    <w:p w14:paraId="2172C453">
      <w:pPr>
        <w:widowControl/>
        <w:jc w:val="left"/>
        <w:rPr>
          <w:b/>
          <w:color w:val="auto"/>
          <w:sz w:val="24"/>
          <w:highlight w:val="none"/>
        </w:rPr>
      </w:pPr>
    </w:p>
    <w:p w14:paraId="62F0E09D">
      <w:pPr>
        <w:widowControl/>
        <w:jc w:val="left"/>
        <w:rPr>
          <w:b/>
          <w:color w:val="auto"/>
          <w:sz w:val="24"/>
          <w:highlight w:val="none"/>
        </w:rPr>
      </w:pPr>
    </w:p>
    <w:p w14:paraId="5B752E17">
      <w:pPr>
        <w:widowControl/>
        <w:jc w:val="left"/>
        <w:rPr>
          <w:b/>
          <w:color w:val="auto"/>
          <w:sz w:val="24"/>
          <w:highlight w:val="none"/>
        </w:rPr>
      </w:pPr>
    </w:p>
    <w:p w14:paraId="60534154">
      <w:pPr>
        <w:widowControl/>
        <w:jc w:val="left"/>
        <w:rPr>
          <w:b/>
          <w:color w:val="auto"/>
          <w:sz w:val="24"/>
          <w:highlight w:val="none"/>
        </w:rPr>
      </w:pPr>
    </w:p>
    <w:p w14:paraId="75EF69D8">
      <w:pPr>
        <w:widowControl/>
        <w:jc w:val="left"/>
        <w:rPr>
          <w:b/>
          <w:color w:val="auto"/>
          <w:sz w:val="24"/>
          <w:highlight w:val="none"/>
        </w:rPr>
      </w:pPr>
      <w:r>
        <w:rPr>
          <w:rFonts w:hint="eastAsia"/>
          <w:b/>
          <w:color w:val="auto"/>
          <w:sz w:val="24"/>
          <w:highlight w:val="none"/>
        </w:rPr>
        <w:t>附件</w:t>
      </w:r>
    </w:p>
    <w:p w14:paraId="1D45C37D">
      <w:pPr>
        <w:rPr>
          <w:color w:val="auto"/>
          <w:highlight w:val="none"/>
        </w:rPr>
      </w:pPr>
      <w:r>
        <w:rPr>
          <w:color w:val="auto"/>
          <w:highlight w:val="none"/>
        </w:rPr>
        <w:drawing>
          <wp:inline distT="0" distB="0" distL="0" distR="0">
            <wp:extent cx="6188710" cy="5323205"/>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6188710" cy="5323529"/>
                    </a:xfrm>
                    <a:prstGeom prst="rect">
                      <a:avLst/>
                    </a:prstGeom>
                    <a:noFill/>
                    <a:ln w="9525">
                      <a:noFill/>
                      <a:miter lim="800000"/>
                      <a:headEnd/>
                      <a:tailEnd/>
                    </a:ln>
                  </pic:spPr>
                </pic:pic>
              </a:graphicData>
            </a:graphic>
          </wp:inline>
        </w:drawing>
      </w:r>
    </w:p>
    <w:p w14:paraId="2D860DA7">
      <w:pPr>
        <w:widowControl/>
        <w:jc w:val="left"/>
        <w:rPr>
          <w:rFonts w:ascii="宋体" w:hAnsi="宋体" w:cs="宋体"/>
          <w:color w:val="auto"/>
          <w:szCs w:val="20"/>
          <w:highlight w:val="none"/>
        </w:rPr>
      </w:pPr>
    </w:p>
    <w:p w14:paraId="4117F4AC">
      <w:pPr>
        <w:widowControl/>
        <w:ind w:firstLine="2720" w:firstLineChars="850"/>
        <w:jc w:val="left"/>
        <w:rPr>
          <w:rFonts w:hint="eastAsia"/>
          <w:color w:val="auto"/>
          <w:sz w:val="32"/>
          <w:szCs w:val="32"/>
          <w:highlight w:val="none"/>
        </w:rPr>
      </w:pPr>
    </w:p>
    <w:p w14:paraId="7F22152D">
      <w:pPr>
        <w:widowControl/>
        <w:ind w:firstLine="2720" w:firstLineChars="850"/>
        <w:jc w:val="left"/>
        <w:rPr>
          <w:rFonts w:hint="eastAsia"/>
          <w:color w:val="auto"/>
          <w:sz w:val="32"/>
          <w:szCs w:val="32"/>
          <w:highlight w:val="none"/>
        </w:rPr>
      </w:pPr>
    </w:p>
    <w:p w14:paraId="31A53A54">
      <w:pPr>
        <w:widowControl/>
        <w:ind w:firstLine="2720" w:firstLineChars="850"/>
        <w:jc w:val="left"/>
        <w:rPr>
          <w:rFonts w:hint="eastAsia"/>
          <w:color w:val="auto"/>
          <w:sz w:val="32"/>
          <w:szCs w:val="32"/>
          <w:highlight w:val="none"/>
        </w:rPr>
      </w:pPr>
    </w:p>
    <w:p w14:paraId="463F4149">
      <w:pPr>
        <w:widowControl/>
        <w:ind w:firstLine="2720" w:firstLineChars="850"/>
        <w:jc w:val="left"/>
        <w:rPr>
          <w:rFonts w:hint="eastAsia"/>
          <w:color w:val="auto"/>
          <w:sz w:val="32"/>
          <w:szCs w:val="32"/>
          <w:highlight w:val="none"/>
        </w:rPr>
      </w:pPr>
    </w:p>
    <w:p w14:paraId="0DF6684D">
      <w:pPr>
        <w:widowControl/>
        <w:ind w:firstLine="2720" w:firstLineChars="850"/>
        <w:jc w:val="left"/>
        <w:rPr>
          <w:rFonts w:hint="eastAsia"/>
          <w:color w:val="auto"/>
          <w:sz w:val="32"/>
          <w:szCs w:val="32"/>
          <w:highlight w:val="none"/>
        </w:rPr>
      </w:pPr>
    </w:p>
    <w:p w14:paraId="686445FB">
      <w:pPr>
        <w:widowControl/>
        <w:ind w:firstLine="2720" w:firstLineChars="850"/>
        <w:jc w:val="left"/>
        <w:rPr>
          <w:rFonts w:hint="eastAsia"/>
          <w:color w:val="auto"/>
          <w:sz w:val="32"/>
          <w:szCs w:val="32"/>
          <w:highlight w:val="none"/>
        </w:rPr>
      </w:pPr>
    </w:p>
    <w:p w14:paraId="1C7E17AB">
      <w:pPr>
        <w:widowControl/>
        <w:ind w:firstLine="2720" w:firstLineChars="850"/>
        <w:jc w:val="left"/>
        <w:rPr>
          <w:rFonts w:hint="eastAsia"/>
          <w:color w:val="auto"/>
          <w:sz w:val="32"/>
          <w:szCs w:val="32"/>
          <w:highlight w:val="none"/>
        </w:rPr>
      </w:pPr>
    </w:p>
    <w:p w14:paraId="56BE3E01">
      <w:pPr>
        <w:widowControl/>
        <w:ind w:firstLine="2720" w:firstLineChars="850"/>
        <w:jc w:val="left"/>
        <w:rPr>
          <w:rFonts w:hint="eastAsia"/>
          <w:color w:val="auto"/>
          <w:sz w:val="32"/>
          <w:szCs w:val="32"/>
          <w:highlight w:val="none"/>
        </w:rPr>
      </w:pPr>
    </w:p>
    <w:p w14:paraId="74A92554">
      <w:pPr>
        <w:pStyle w:val="14"/>
        <w:rPr>
          <w:rFonts w:hint="eastAsia"/>
          <w:color w:val="auto"/>
          <w:highlight w:val="none"/>
        </w:rPr>
      </w:pPr>
    </w:p>
    <w:p w14:paraId="68CCA9C0">
      <w:pPr>
        <w:widowControl/>
        <w:jc w:val="left"/>
        <w:rPr>
          <w:rFonts w:hint="eastAsia"/>
          <w:color w:val="auto"/>
          <w:sz w:val="32"/>
          <w:szCs w:val="32"/>
          <w:highlight w:val="none"/>
        </w:rPr>
      </w:pPr>
    </w:p>
    <w:p w14:paraId="17E4E596">
      <w:pPr>
        <w:widowControl/>
        <w:ind w:firstLine="2720" w:firstLineChars="850"/>
        <w:jc w:val="left"/>
        <w:rPr>
          <w:rFonts w:hint="eastAsia"/>
          <w:color w:val="auto"/>
          <w:sz w:val="32"/>
          <w:szCs w:val="32"/>
          <w:highlight w:val="none"/>
        </w:rPr>
      </w:pPr>
    </w:p>
    <w:p w14:paraId="6AC373E0">
      <w:pPr>
        <w:widowControl/>
        <w:ind w:firstLine="2720" w:firstLineChars="850"/>
        <w:jc w:val="left"/>
        <w:rPr>
          <w:rFonts w:ascii="Tahoma" w:hAnsi="Tahoma"/>
          <w:b/>
          <w:bCs/>
          <w:color w:val="auto"/>
          <w:kern w:val="44"/>
          <w:sz w:val="32"/>
          <w:szCs w:val="32"/>
          <w:highlight w:val="none"/>
        </w:rPr>
      </w:pPr>
      <w:r>
        <w:rPr>
          <w:rFonts w:hint="eastAsia"/>
          <w:color w:val="auto"/>
          <w:sz w:val="32"/>
          <w:szCs w:val="32"/>
          <w:highlight w:val="none"/>
        </w:rPr>
        <w:t xml:space="preserve">第三章  </w:t>
      </w:r>
      <w:bookmarkEnd w:id="266"/>
      <w:bookmarkEnd w:id="267"/>
      <w:bookmarkEnd w:id="268"/>
      <w:bookmarkEnd w:id="269"/>
      <w:bookmarkEnd w:id="270"/>
      <w:r>
        <w:rPr>
          <w:rFonts w:hint="eastAsia"/>
          <w:color w:val="auto"/>
          <w:sz w:val="32"/>
          <w:szCs w:val="32"/>
          <w:highlight w:val="none"/>
        </w:rPr>
        <w:t>货物采购需求</w:t>
      </w:r>
    </w:p>
    <w:p w14:paraId="68E35BF6">
      <w:pPr>
        <w:adjustRightInd w:val="0"/>
        <w:spacing w:line="320" w:lineRule="atLeast"/>
        <w:rPr>
          <w:rFonts w:ascii="宋体" w:hAnsi="宋体" w:cs="宋体"/>
          <w:b/>
          <w:color w:val="auto"/>
          <w:szCs w:val="21"/>
          <w:highlight w:val="none"/>
        </w:rPr>
      </w:pPr>
      <w:r>
        <w:rPr>
          <w:rFonts w:hint="eastAsia" w:ascii="宋体" w:hAnsi="宋体" w:cs="宋体"/>
          <w:b/>
          <w:color w:val="auto"/>
          <w:szCs w:val="21"/>
          <w:highlight w:val="none"/>
        </w:rPr>
        <w:t>说明：</w:t>
      </w:r>
    </w:p>
    <w:p w14:paraId="542B43B8">
      <w:pPr>
        <w:adjustRightInd w:val="0"/>
        <w:spacing w:line="320" w:lineRule="atLeast"/>
        <w:ind w:firstLine="431"/>
        <w:rPr>
          <w:rFonts w:ascii="宋体" w:hAnsi="宋体" w:cs="宋体"/>
          <w:b/>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 xml:space="preserve">、为落实政府采购政策需满足的要求 </w:t>
      </w:r>
    </w:p>
    <w:p w14:paraId="17D42067">
      <w:pPr>
        <w:adjustRightInd w:val="0"/>
        <w:spacing w:line="320" w:lineRule="atLeast"/>
        <w:ind w:firstLine="431"/>
        <w:rPr>
          <w:rFonts w:ascii="宋体" w:hAnsi="宋体" w:cs="宋体"/>
          <w:b/>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1</w:t>
      </w:r>
      <w:r>
        <w:rPr>
          <w:rFonts w:hint="eastAsia" w:ascii="宋体" w:hAnsi="宋体" w:cs="宋体"/>
          <w:b/>
          <w:bCs/>
          <w:color w:val="auto"/>
          <w:szCs w:val="21"/>
          <w:highlight w:val="none"/>
        </w:rPr>
        <w:t>）本招标文件所称中小企业必须符合《政府采购促进中小企业发展管理办法》（财库〔</w:t>
      </w:r>
      <w:r>
        <w:rPr>
          <w:rFonts w:ascii="宋体" w:hAnsi="宋体" w:cs="宋体"/>
          <w:b/>
          <w:bCs/>
          <w:color w:val="auto"/>
          <w:szCs w:val="21"/>
          <w:highlight w:val="none"/>
        </w:rPr>
        <w:t>2020</w:t>
      </w:r>
      <w:r>
        <w:rPr>
          <w:rFonts w:hint="eastAsia" w:ascii="宋体" w:hAnsi="宋体" w:cs="宋体"/>
          <w:b/>
          <w:bCs/>
          <w:color w:val="auto"/>
          <w:szCs w:val="21"/>
          <w:highlight w:val="none"/>
        </w:rPr>
        <w:t>〕</w:t>
      </w:r>
      <w:r>
        <w:rPr>
          <w:rFonts w:ascii="宋体" w:hAnsi="宋体" w:cs="宋体"/>
          <w:b/>
          <w:bCs/>
          <w:color w:val="auto"/>
          <w:szCs w:val="21"/>
          <w:highlight w:val="none"/>
        </w:rPr>
        <w:t xml:space="preserve">46 </w:t>
      </w:r>
      <w:r>
        <w:rPr>
          <w:rFonts w:hint="eastAsia" w:ascii="宋体" w:hAnsi="宋体" w:cs="宋体"/>
          <w:b/>
          <w:bCs/>
          <w:color w:val="auto"/>
          <w:szCs w:val="21"/>
          <w:highlight w:val="none"/>
        </w:rPr>
        <w:t xml:space="preserve">号） </w:t>
      </w:r>
    </w:p>
    <w:p w14:paraId="1CBF5D8E">
      <w:pPr>
        <w:adjustRightInd w:val="0"/>
        <w:spacing w:line="320" w:lineRule="atLeast"/>
        <w:rPr>
          <w:rFonts w:ascii="宋体" w:hAnsi="宋体" w:cs="宋体"/>
          <w:b/>
          <w:color w:val="auto"/>
          <w:szCs w:val="21"/>
          <w:highlight w:val="none"/>
        </w:rPr>
      </w:pPr>
      <w:r>
        <w:rPr>
          <w:rFonts w:hint="eastAsia" w:ascii="宋体" w:hAnsi="宋体" w:cs="宋体"/>
          <w:b/>
          <w:bCs/>
          <w:color w:val="auto"/>
          <w:szCs w:val="21"/>
          <w:highlight w:val="none"/>
        </w:rPr>
        <w:t xml:space="preserve">的规定。 </w:t>
      </w:r>
    </w:p>
    <w:p w14:paraId="0134F0CF">
      <w:pPr>
        <w:adjustRightInd w:val="0"/>
        <w:spacing w:line="320" w:lineRule="atLeast"/>
        <w:ind w:firstLine="431"/>
        <w:rPr>
          <w:rFonts w:ascii="宋体" w:hAnsi="宋体" w:cs="宋体"/>
          <w:b/>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w:t>
      </w:r>
      <w:r>
        <w:rPr>
          <w:rFonts w:hint="eastAsia" w:ascii="宋体" w:hAnsi="宋体" w:cs="宋体"/>
          <w:b/>
          <w:bCs/>
          <w:color w:val="auto"/>
          <w:szCs w:val="21"/>
          <w:highlight w:val="none"/>
        </w:rPr>
        <w:t>）根据《财政部 发展改革委 生态环境部 市场监管总局关于调整优化节能产品、环境标志产品政府采购执行机制的通知》（财库〔</w:t>
      </w:r>
      <w:r>
        <w:rPr>
          <w:rFonts w:ascii="宋体" w:hAnsi="宋体" w:cs="宋体"/>
          <w:b/>
          <w:bCs/>
          <w:color w:val="auto"/>
          <w:szCs w:val="21"/>
          <w:highlight w:val="none"/>
        </w:rPr>
        <w:t>2019</w:t>
      </w:r>
      <w:r>
        <w:rPr>
          <w:rFonts w:hint="eastAsia" w:ascii="宋体" w:hAnsi="宋体" w:cs="宋体"/>
          <w:b/>
          <w:bCs/>
          <w:color w:val="auto"/>
          <w:szCs w:val="21"/>
          <w:highlight w:val="none"/>
        </w:rPr>
        <w:t>〕</w:t>
      </w:r>
      <w:r>
        <w:rPr>
          <w:rFonts w:ascii="宋体" w:hAnsi="宋体" w:cs="宋体"/>
          <w:b/>
          <w:bCs/>
          <w:color w:val="auto"/>
          <w:szCs w:val="21"/>
          <w:highlight w:val="none"/>
        </w:rPr>
        <w:t xml:space="preserve">9 </w:t>
      </w:r>
      <w:r>
        <w:rPr>
          <w:rFonts w:hint="eastAsia" w:ascii="宋体" w:hAnsi="宋体" w:cs="宋体"/>
          <w:b/>
          <w:bCs/>
          <w:color w:val="auto"/>
          <w:szCs w:val="21"/>
          <w:highlight w:val="none"/>
        </w:rPr>
        <w:t>号）和《关于印发节能产品政府采购品目清单的通知》（财库〔</w:t>
      </w:r>
      <w:r>
        <w:rPr>
          <w:rFonts w:ascii="宋体" w:hAnsi="宋体" w:cs="宋体"/>
          <w:b/>
          <w:bCs/>
          <w:color w:val="auto"/>
          <w:szCs w:val="21"/>
          <w:highlight w:val="none"/>
        </w:rPr>
        <w:t>2019</w:t>
      </w:r>
      <w:r>
        <w:rPr>
          <w:rFonts w:hint="eastAsia" w:ascii="宋体" w:hAnsi="宋体" w:cs="宋体"/>
          <w:b/>
          <w:bCs/>
          <w:color w:val="auto"/>
          <w:szCs w:val="21"/>
          <w:highlight w:val="none"/>
        </w:rPr>
        <w:t>〕</w:t>
      </w:r>
      <w:r>
        <w:rPr>
          <w:rFonts w:ascii="宋体" w:hAnsi="宋体" w:cs="宋体"/>
          <w:b/>
          <w:bCs/>
          <w:color w:val="auto"/>
          <w:szCs w:val="21"/>
          <w:highlight w:val="none"/>
        </w:rPr>
        <w:t xml:space="preserve">19 </w:t>
      </w:r>
      <w:r>
        <w:rPr>
          <w:rFonts w:hint="eastAsia" w:ascii="宋体" w:hAnsi="宋体" w:cs="宋体"/>
          <w:b/>
          <w:bCs/>
          <w:color w:val="auto"/>
          <w:szCs w:val="21"/>
          <w:highlight w:val="none"/>
        </w:rPr>
        <w:t xml:space="preserve">号）的规定，采购需求中如有货物产品，且货物产品属于节能产品政府采购品目清单内标注“★”的（详见本章后附的节能产品政府采购品目清单），投标人必须在投标文件中提供所投标产品的节能产品认证证书复印件（加盖投标人电子签章），投标人的投标货物必须使用政府强制采购的节能产品，否则投标文件作无效处理。 </w:t>
      </w:r>
    </w:p>
    <w:p w14:paraId="6DDE370E">
      <w:pPr>
        <w:adjustRightInd w:val="0"/>
        <w:spacing w:line="320" w:lineRule="atLeast"/>
        <w:ind w:firstLine="431"/>
        <w:rPr>
          <w:rFonts w:ascii="宋体" w:hAnsi="宋体" w:cs="宋体"/>
          <w:b/>
          <w:color w:val="auto"/>
          <w:szCs w:val="21"/>
          <w:highlight w:val="none"/>
        </w:rPr>
      </w:pPr>
      <w:r>
        <w:rPr>
          <w:rFonts w:hint="eastAsia" w:ascii="宋体" w:hAnsi="宋体" w:cs="宋体"/>
          <w:b/>
          <w:bCs/>
          <w:color w:val="auto"/>
          <w:szCs w:val="21"/>
          <w:highlight w:val="none"/>
        </w:rPr>
        <w:t>（3）根据《关于信息安全产品实施政府采购的通知》（财库〔2010〕48 号）的规定，本项目采购范围包含信息安全产品的（信息安全产品包括：防火墙、网络安全隔离卡与线路选择器、安全隔离与信息交换产品、安全路由器、智能卡 COS、数据备份与恢复产品、安全操作系统、安全数据库系统、反垃圾邮件产品、入侵检测系统（IDS）、网络脆弱扫描产品、安全审计产品、网站恢复产品），投标人必须在投标文件中提供中国网络安全审查技术与认证中心（原中国信息安全认证中心）授予的有效的信息安全产品认证证书（加盖投标人电子签章），否则按无效投标处理。</w:t>
      </w:r>
    </w:p>
    <w:p w14:paraId="76FE70EC">
      <w:pPr>
        <w:adjustRightInd w:val="0"/>
        <w:spacing w:line="320" w:lineRule="atLeast"/>
        <w:ind w:firstLine="431"/>
        <w:rPr>
          <w:rFonts w:ascii="宋体" w:hAnsi="宋体" w:cs="宋体"/>
          <w:b/>
          <w:color w:val="auto"/>
          <w:szCs w:val="21"/>
          <w:highlight w:val="none"/>
        </w:rPr>
      </w:pPr>
      <w:r>
        <w:rPr>
          <w:rFonts w:hint="eastAsia" w:ascii="宋体" w:hAnsi="宋体" w:cs="宋体"/>
          <w:b/>
          <w:color w:val="auto"/>
          <w:szCs w:val="21"/>
          <w:highlight w:val="none"/>
        </w:rPr>
        <w:t>2、“货物采购需求”中的“★”号项及商务要求为实质性要求。</w:t>
      </w:r>
    </w:p>
    <w:p w14:paraId="4BFC4A19">
      <w:pPr>
        <w:adjustRightInd w:val="0"/>
        <w:spacing w:line="320" w:lineRule="atLeast"/>
        <w:ind w:firstLine="431"/>
        <w:rPr>
          <w:rFonts w:hint="eastAsia" w:ascii="宋体" w:hAnsi="宋体" w:cs="宋体"/>
          <w:b/>
          <w:color w:val="auto"/>
          <w:szCs w:val="21"/>
          <w:highlight w:val="none"/>
        </w:rPr>
      </w:pPr>
      <w:r>
        <w:rPr>
          <w:rFonts w:hint="eastAsia" w:ascii="宋体" w:hAnsi="宋体" w:cs="宋体"/>
          <w:b/>
          <w:color w:val="auto"/>
          <w:szCs w:val="21"/>
          <w:highlight w:val="none"/>
        </w:rPr>
        <w:t>3、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14:paraId="39A4D5E1">
      <w:pPr>
        <w:pStyle w:val="14"/>
        <w:rPr>
          <w:rFonts w:hint="default" w:eastAsia="宋体"/>
          <w:color w:val="auto"/>
          <w:highlight w:val="none"/>
          <w:lang w:val="en-US" w:eastAsia="zh-CN"/>
        </w:rPr>
      </w:pPr>
      <w:r>
        <w:rPr>
          <w:rFonts w:hint="eastAsia" w:ascii="宋体" w:hAnsi="宋体" w:cs="宋体"/>
          <w:b/>
          <w:color w:val="auto"/>
          <w:szCs w:val="21"/>
          <w:highlight w:val="none"/>
          <w:lang w:val="en-US" w:eastAsia="zh-CN"/>
        </w:rPr>
        <w:t>A分标</w:t>
      </w:r>
    </w:p>
    <w:tbl>
      <w:tblPr>
        <w:tblStyle w:val="32"/>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21"/>
        <w:gridCol w:w="5099"/>
        <w:gridCol w:w="736"/>
        <w:gridCol w:w="859"/>
        <w:gridCol w:w="1226"/>
      </w:tblGrid>
      <w:tr w14:paraId="1163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1" w:type="dxa"/>
            <w:noWrap w:val="0"/>
            <w:vAlign w:val="center"/>
          </w:tcPr>
          <w:p w14:paraId="25D63A3E">
            <w:pPr>
              <w:jc w:val="center"/>
              <w:rPr>
                <w:rFonts w:hint="eastAsia" w:ascii="宋体" w:hAnsi="宋体" w:cs="宋体"/>
                <w:b/>
                <w:bCs/>
                <w:color w:val="auto"/>
                <w:sz w:val="24"/>
                <w:szCs w:val="24"/>
                <w:highlight w:val="none"/>
              </w:rPr>
            </w:pPr>
            <w:bookmarkStart w:id="271" w:name="_Toc22812"/>
            <w:bookmarkStart w:id="272" w:name="_Toc32733"/>
            <w:bookmarkStart w:id="273" w:name="_Toc23482"/>
            <w:r>
              <w:rPr>
                <w:rFonts w:hint="eastAsia" w:ascii="宋体" w:hAnsi="宋体" w:cs="宋体"/>
                <w:b/>
                <w:bCs/>
                <w:color w:val="auto"/>
                <w:sz w:val="24"/>
                <w:szCs w:val="24"/>
                <w:highlight w:val="none"/>
              </w:rPr>
              <w:t>项号</w:t>
            </w:r>
          </w:p>
        </w:tc>
        <w:tc>
          <w:tcPr>
            <w:tcW w:w="1221" w:type="dxa"/>
            <w:noWrap w:val="0"/>
            <w:vAlign w:val="center"/>
          </w:tcPr>
          <w:p w14:paraId="2D41A5E7">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货物名称</w:t>
            </w:r>
          </w:p>
        </w:tc>
        <w:tc>
          <w:tcPr>
            <w:tcW w:w="5099" w:type="dxa"/>
            <w:noWrap w:val="0"/>
            <w:vAlign w:val="center"/>
          </w:tcPr>
          <w:p w14:paraId="33717731">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主要技术参数</w:t>
            </w:r>
          </w:p>
        </w:tc>
        <w:tc>
          <w:tcPr>
            <w:tcW w:w="736" w:type="dxa"/>
            <w:noWrap w:val="0"/>
            <w:vAlign w:val="center"/>
          </w:tcPr>
          <w:p w14:paraId="75C84557">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859" w:type="dxa"/>
            <w:noWrap w:val="0"/>
            <w:vAlign w:val="center"/>
          </w:tcPr>
          <w:p w14:paraId="2C97A26F">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1226" w:type="dxa"/>
            <w:noWrap w:val="0"/>
            <w:vAlign w:val="center"/>
          </w:tcPr>
          <w:p w14:paraId="604C1CEC">
            <w:pPr>
              <w:jc w:val="both"/>
              <w:rPr>
                <w:rFonts w:ascii="宋体" w:hAnsi="宋体" w:cs="宋体"/>
                <w:b/>
                <w:bCs/>
                <w:color w:val="auto"/>
                <w:sz w:val="24"/>
                <w:szCs w:val="24"/>
                <w:highlight w:val="none"/>
              </w:rPr>
            </w:pPr>
            <w:r>
              <w:rPr>
                <w:rFonts w:hint="eastAsia" w:ascii="宋体" w:hAnsi="宋体" w:cs="宋体"/>
                <w:b/>
                <w:bCs/>
                <w:color w:val="auto"/>
                <w:sz w:val="24"/>
                <w:szCs w:val="24"/>
                <w:highlight w:val="none"/>
              </w:rPr>
              <w:t>参考单价（元）</w:t>
            </w:r>
          </w:p>
        </w:tc>
      </w:tr>
      <w:tr w14:paraId="3CC4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14:paraId="15D34CF5">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21" w:type="dxa"/>
            <w:noWrap w:val="0"/>
            <w:vAlign w:val="center"/>
          </w:tcPr>
          <w:p w14:paraId="170B7E9F">
            <w:pPr>
              <w:jc w:val="center"/>
              <w:rPr>
                <w:rFonts w:hint="eastAsia" w:ascii="Times New Roman" w:hAnsi="Times New Roman" w:eastAsia="微软雅黑" w:cs="Times New Roman"/>
                <w:color w:val="auto"/>
                <w:kern w:val="2"/>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rPr>
              <w:t>食品大礼</w:t>
            </w:r>
            <w:r>
              <w:rPr>
                <w:rFonts w:hint="eastAsia" w:ascii="宋体" w:hAnsi="宋体" w:eastAsia="宋体" w:cs="宋体"/>
                <w:i w:val="0"/>
                <w:iCs w:val="0"/>
                <w:caps w:val="0"/>
                <w:color w:val="auto"/>
                <w:spacing w:val="0"/>
                <w:sz w:val="21"/>
                <w:szCs w:val="21"/>
                <w:highlight w:val="none"/>
                <w:lang w:val="en-US" w:eastAsia="zh-CN"/>
              </w:rPr>
              <w:t>包</w:t>
            </w:r>
          </w:p>
        </w:tc>
        <w:tc>
          <w:tcPr>
            <w:tcW w:w="5099" w:type="dxa"/>
            <w:noWrap w:val="0"/>
            <w:vAlign w:val="top"/>
          </w:tcPr>
          <w:p w14:paraId="4AEBF4DA">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w:t>
            </w:r>
            <w:r>
              <w:rPr>
                <w:rFonts w:hint="eastAsia" w:ascii="宋体" w:hAnsi="宋体" w:eastAsia="宋体" w:cs="宋体"/>
                <w:i w:val="0"/>
                <w:iCs w:val="0"/>
                <w:caps w:val="0"/>
                <w:color w:val="auto"/>
                <w:spacing w:val="0"/>
                <w:sz w:val="21"/>
                <w:szCs w:val="21"/>
                <w:highlight w:val="none"/>
              </w:rPr>
              <w:t>食品大礼</w:t>
            </w:r>
            <w:r>
              <w:rPr>
                <w:rFonts w:hint="eastAsia" w:ascii="宋体" w:hAnsi="宋体" w:eastAsia="宋体" w:cs="宋体"/>
                <w:i w:val="0"/>
                <w:iCs w:val="0"/>
                <w:caps w:val="0"/>
                <w:color w:val="auto"/>
                <w:spacing w:val="0"/>
                <w:sz w:val="21"/>
                <w:szCs w:val="21"/>
                <w:highlight w:val="none"/>
                <w:lang w:val="en-US" w:eastAsia="zh-CN"/>
              </w:rPr>
              <w:t>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（糕糖组合）</w:t>
            </w:r>
          </w:p>
          <w:p w14:paraId="66E81DD1">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具体要求：</w:t>
            </w:r>
          </w:p>
          <w:p w14:paraId="3E1E8467">
            <w:pPr>
              <w:spacing w:line="360" w:lineRule="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★1.组合礼盒，重量：2526g；</w:t>
            </w:r>
          </w:p>
          <w:p w14:paraId="785C62A9">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★2.含10个品种（包含：</w:t>
            </w:r>
          </w:p>
          <w:p w14:paraId="696A4682">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268g花生糖1袋、150g麻通2袋、</w:t>
            </w:r>
          </w:p>
          <w:p w14:paraId="1A17F331">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300g桂花糕1袋、200g曲奇饼1袋、</w:t>
            </w:r>
          </w:p>
          <w:p w14:paraId="56E08DD2">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320g鸡仔饼1袋、268g芝麻糖1袋、</w:t>
            </w:r>
          </w:p>
          <w:p w14:paraId="06BDB18F">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200g桂花雪花酥1袋、350g粽果1袋、</w:t>
            </w:r>
          </w:p>
          <w:p w14:paraId="56BC6E3C">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160g桂花味夹心饼干1罐、</w:t>
            </w:r>
          </w:p>
          <w:p w14:paraId="56632765">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160g桔子味夹心饼干1罐）；</w:t>
            </w:r>
          </w:p>
          <w:p w14:paraId="50ED867F">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①花生糖（独立包装；形态:块形完整、大小基本一致、无裂缝、无明显变形；色泽:颜色均匀；组织:坚实、不松散、剖面紧密、不粘连；滋味与口感:香浓花生味、口感酥脆甜而不腻。）</w:t>
            </w:r>
          </w:p>
          <w:p w14:paraId="047156B4">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②麻通（独立包装；形态:外形整齐、表面油润、层次分明；外皮裹有白芝麻、每根均匀饱满；色泽:颜色均匀；组织:组织疏松、无糖粒、不干心、无硬芯；滋味与口感:味纯正、无异味、蓬松香脆不粘牙、芝麻浓郁、口感香甜</w:t>
            </w:r>
          </w:p>
          <w:p w14:paraId="0A3C5A47">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③桂花糕（独立包装；形态:外形整齐、底部平整、无变形；色泽:表面色泽均匀；组织:粉质细腻、紧密不松散、无糖粒、无粉块；滋味与口感:味纯正、无异味。）</w:t>
            </w:r>
          </w:p>
          <w:p w14:paraId="06CB2E88">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④曲奇饼（独立包装；形态:外形整齐、底部平整、无变形；色泽:表面色泽均匀；组织:无不规则大空洞、无糖粒、无粉块。滋味与口感:味纯正，无异味。）</w:t>
            </w:r>
          </w:p>
          <w:p w14:paraId="6C960B23">
            <w:pPr>
              <w:spacing w:line="360" w:lineRule="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⑤鸡仔饼（独立包装；形态:外形整齐、底部平整、无变形；色泽:表面色泽均匀；组织:无不规则大空洞、无糖粒、无粉块。饼皮厚薄均匀、皮馅比例适当、馅料分布均匀、馅料细腻；滋味与口感:味纯正，无异味。）</w:t>
            </w:r>
          </w:p>
          <w:p w14:paraId="059A2E9C">
            <w:pPr>
              <w:spacing w:line="360" w:lineRule="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default" w:asciiTheme="minorEastAsia" w:hAnsiTheme="minorEastAsia" w:eastAsiaTheme="minorEastAsia" w:cstheme="minorEastAsia"/>
                <w:i w:val="0"/>
                <w:iCs w:val="0"/>
                <w:color w:val="auto"/>
                <w:kern w:val="0"/>
                <w:sz w:val="21"/>
                <w:szCs w:val="21"/>
                <w:highlight w:val="none"/>
                <w:u w:val="none"/>
                <w:lang w:val="en-US" w:eastAsia="zh-CN" w:bidi="ar"/>
              </w:rPr>
              <w:t>⑥芝麻糖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（独立包装；形态:块形完整、大小基本一致、无裂缝、无明显变形；色泽:颜色均匀；组织:坚实、不松散、剖面紧密、不粘连；滋味与口感:味纯正，无异味）</w:t>
            </w:r>
          </w:p>
          <w:p w14:paraId="6C34BF68">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⑦桂花雪花酥（独立包装；形态:块形完整、大小基本一致；组织:糖体内果料等混合均匀；滋味与口感:味纯正，无异味）</w:t>
            </w:r>
          </w:p>
          <w:p w14:paraId="41AB3F90">
            <w:pPr>
              <w:spacing w:line="360" w:lineRule="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⑧粽果（独立包装；形态:块形完整、大小基本一致；滋味与口感:味纯正，无异味）</w:t>
            </w:r>
          </w:p>
          <w:p w14:paraId="1DD9C256">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⑨桂花味夹心饼干（独立包装；形态:块形完整、大小基本一致；滋味与口感:味纯正，无异味）</w:t>
            </w:r>
          </w:p>
          <w:p w14:paraId="638436E3">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⑩桔子味夹心饼干（独立包装；形态:块形完整、大小基本一致；滋味与口感:味纯正，无异味）</w:t>
            </w:r>
          </w:p>
          <w:p w14:paraId="10265742">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3.包装形式：礼盒包装，能体现传统的年味喜庆，每种单品独立包装。食品的包装上应当有标签。标签应当标明下列事项：</w:t>
            </w:r>
          </w:p>
          <w:p w14:paraId="434E194A">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（一）名称、规格、净含量、生产日期； </w:t>
            </w:r>
          </w:p>
          <w:p w14:paraId="22441395">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（二）成分或者配料表； </w:t>
            </w:r>
          </w:p>
          <w:p w14:paraId="0134D5CB">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（三）生产者的名称、地址、联系方式； </w:t>
            </w:r>
          </w:p>
          <w:p w14:paraId="1A9BDC6C">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（四）保质期；</w:t>
            </w:r>
          </w:p>
          <w:p w14:paraId="020AD5A6">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（五）产品标准代号； </w:t>
            </w:r>
          </w:p>
          <w:p w14:paraId="54E47BC6">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（六）贮存条件； </w:t>
            </w:r>
          </w:p>
          <w:p w14:paraId="6670F547">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（七）所使用的食品添加剂在国家标准中的通用名称； </w:t>
            </w:r>
          </w:p>
          <w:p w14:paraId="20CA6DE8">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（八）生产许可证编号； </w:t>
            </w:r>
          </w:p>
          <w:p w14:paraId="60EF89B3">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（九）法律、法规或者食品安全标准规定应当标明的其他事项。 </w:t>
            </w:r>
          </w:p>
          <w:p w14:paraId="557FEF17">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4、生产日期：2024 年 12 月 15 日以后生产； </w:t>
            </w:r>
          </w:p>
          <w:p w14:paraId="2E70ED1A">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★5、保质期不少于 3 个月。 </w:t>
            </w:r>
          </w:p>
          <w:p w14:paraId="6C8EC221">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★6、需提供7个品种经国家认定的第三方质检部门出具的有效期内质量检测报告复印件。 </w:t>
            </w:r>
          </w:p>
          <w:p w14:paraId="36132252">
            <w:pPr>
              <w:numPr>
                <w:ilvl w:val="0"/>
                <w:numId w:val="0"/>
              </w:num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★7、供应商为销售商的，须同时提供上述食品生产厂家的有效期内的《食品生产许可证》。</w:t>
            </w:r>
          </w:p>
          <w:p w14:paraId="0769EF40">
            <w:pPr>
              <w:numPr>
                <w:ilvl w:val="0"/>
                <w:numId w:val="0"/>
              </w:numPr>
              <w:spacing w:line="360" w:lineRule="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default" w:asciiTheme="minorEastAsia" w:hAnsiTheme="minorEastAsia" w:eastAsiaTheme="minorEastAsia" w:cstheme="minorEastAsia"/>
                <w:i w:val="0"/>
                <w:iCs w:val="0"/>
                <w:color w:val="auto"/>
                <w:kern w:val="0"/>
                <w:sz w:val="21"/>
                <w:szCs w:val="21"/>
                <w:highlight w:val="none"/>
                <w:u w:val="none"/>
                <w:lang w:val="en-US" w:eastAsia="zh-CN" w:bidi="ar"/>
              </w:rPr>
              <w:t xml:space="preserve">二、慰问信： </w:t>
            </w:r>
          </w:p>
          <w:p w14:paraId="5E7D3B81">
            <w:pPr>
              <w:numPr>
                <w:ilvl w:val="0"/>
                <w:numId w:val="0"/>
              </w:numPr>
              <w:spacing w:line="360" w:lineRule="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default" w:asciiTheme="minorEastAsia" w:hAnsiTheme="minorEastAsia" w:eastAsiaTheme="minorEastAsia" w:cstheme="minorEastAsia"/>
                <w:i w:val="0"/>
                <w:iCs w:val="0"/>
                <w:color w:val="auto"/>
                <w:kern w:val="0"/>
                <w:sz w:val="21"/>
                <w:szCs w:val="21"/>
                <w:highlight w:val="none"/>
                <w:u w:val="none"/>
                <w:lang w:val="en-US" w:eastAsia="zh-CN" w:bidi="ar"/>
              </w:rPr>
              <w:t>1、规格：250*210mm：200克铜板纸4色彩印。</w:t>
            </w:r>
          </w:p>
          <w:p w14:paraId="7F4196AC">
            <w:pPr>
              <w:numPr>
                <w:ilvl w:val="0"/>
                <w:numId w:val="0"/>
              </w:numPr>
              <w:spacing w:line="360" w:lineRule="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default" w:asciiTheme="minorEastAsia" w:hAnsiTheme="minorEastAsia" w:eastAsiaTheme="minorEastAsia" w:cstheme="minorEastAsia"/>
                <w:i w:val="0"/>
                <w:iCs w:val="0"/>
                <w:color w:val="auto"/>
                <w:kern w:val="0"/>
                <w:sz w:val="21"/>
                <w:szCs w:val="21"/>
                <w:highlight w:val="none"/>
                <w:u w:val="none"/>
                <w:lang w:val="en-US" w:eastAsia="zh-CN" w:bidi="ar"/>
              </w:rPr>
              <w:t>2、慰问信印刷图文按要求制作完成。慰问信印刷图文围绕实际情况，按要求制作完成，设计印刷方案需要通过采购人确认方可印制。</w:t>
            </w:r>
          </w:p>
          <w:p w14:paraId="752199E6">
            <w:pPr>
              <w:numPr>
                <w:ilvl w:val="0"/>
                <w:numId w:val="0"/>
              </w:numPr>
              <w:spacing w:line="360" w:lineRule="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default" w:asciiTheme="minorEastAsia" w:hAnsiTheme="minorEastAsia" w:eastAsiaTheme="minorEastAsia" w:cstheme="minorEastAsia"/>
                <w:i w:val="0"/>
                <w:iCs w:val="0"/>
                <w:color w:val="auto"/>
                <w:kern w:val="0"/>
                <w:sz w:val="21"/>
                <w:szCs w:val="21"/>
                <w:highlight w:val="none"/>
                <w:u w:val="none"/>
                <w:lang w:val="en-US" w:eastAsia="zh-CN" w:bidi="ar"/>
              </w:rPr>
              <w:t>三、包装：将上述一、二项物品统一放置到一个覆膜无纺布手提袋内，手提袋表面印有“中共桂林市委员会 桂林市人大常委会</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桂林市人民政府政协桂林市委员会赠 ”和“</w:t>
            </w:r>
            <w:r>
              <w:rPr>
                <w:rFonts w:hint="default" w:asciiTheme="minorEastAsia" w:hAnsiTheme="minorEastAsia" w:eastAsiaTheme="minorEastAsia" w:cstheme="minorEastAsia"/>
                <w:i w:val="0"/>
                <w:iCs w:val="0"/>
                <w:color w:val="auto"/>
                <w:kern w:val="0"/>
                <w:sz w:val="21"/>
                <w:szCs w:val="21"/>
                <w:highlight w:val="none"/>
                <w:u w:val="none"/>
                <w:lang w:val="en-US" w:eastAsia="zh-CN" w:bidi="ar"/>
              </w:rPr>
              <w:t>202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5年·春节”字样。</w:t>
            </w:r>
          </w:p>
        </w:tc>
        <w:tc>
          <w:tcPr>
            <w:tcW w:w="736" w:type="dxa"/>
            <w:noWrap w:val="0"/>
            <w:vAlign w:val="center"/>
          </w:tcPr>
          <w:p w14:paraId="59AE8592">
            <w:pPr>
              <w:pStyle w:val="142"/>
              <w:jc w:val="center"/>
              <w:rPr>
                <w:rFonts w:hint="default" w:ascii="宋体" w:hAnsi="宋体" w:eastAsia="宋体"/>
                <w:color w:val="auto"/>
                <w:kern w:val="2"/>
                <w:sz w:val="21"/>
                <w:szCs w:val="21"/>
                <w:highlight w:val="none"/>
                <w:lang w:val="en-US" w:eastAsia="zh-CN"/>
              </w:rPr>
            </w:pPr>
            <w:r>
              <w:rPr>
                <w:rFonts w:hint="default" w:ascii="宋体" w:hAnsi="宋体"/>
                <w:color w:val="auto"/>
                <w:szCs w:val="21"/>
                <w:highlight w:val="none"/>
                <w:lang w:val="en" w:eastAsia="zh-CN"/>
              </w:rPr>
              <w:t>3600</w:t>
            </w:r>
          </w:p>
        </w:tc>
        <w:tc>
          <w:tcPr>
            <w:tcW w:w="859" w:type="dxa"/>
            <w:noWrap w:val="0"/>
            <w:vAlign w:val="center"/>
          </w:tcPr>
          <w:p w14:paraId="23F20F75">
            <w:pPr>
              <w:widowControl/>
              <w:jc w:val="center"/>
              <w:textAlignment w:val="top"/>
              <w:rPr>
                <w:rFonts w:hint="default" w:ascii="宋体" w:hAnsi="宋体"/>
                <w:color w:val="auto"/>
                <w:sz w:val="20"/>
                <w:szCs w:val="20"/>
                <w:highlight w:val="none"/>
                <w:lang w:val="en"/>
              </w:rPr>
            </w:pPr>
            <w:r>
              <w:rPr>
                <w:rFonts w:hint="eastAsia" w:ascii="宋体" w:hAnsi="宋体"/>
                <w:color w:val="auto"/>
                <w:kern w:val="2"/>
                <w:sz w:val="21"/>
                <w:szCs w:val="21"/>
                <w:highlight w:val="none"/>
                <w:lang w:val="en-US" w:eastAsia="zh-CN"/>
              </w:rPr>
              <w:t>盒</w:t>
            </w:r>
          </w:p>
        </w:tc>
        <w:tc>
          <w:tcPr>
            <w:tcW w:w="1226" w:type="dxa"/>
            <w:noWrap w:val="0"/>
            <w:vAlign w:val="center"/>
          </w:tcPr>
          <w:p w14:paraId="57BC1A43">
            <w:pPr>
              <w:adjustRightInd w:val="0"/>
              <w:jc w:val="center"/>
              <w:rPr>
                <w:rFonts w:hint="default" w:ascii="宋体" w:hAnsi="宋体" w:eastAsia="宋体"/>
                <w:color w:val="auto"/>
                <w:szCs w:val="21"/>
                <w:highlight w:val="none"/>
                <w:lang w:val="en" w:eastAsia="zh-CN"/>
              </w:rPr>
            </w:pPr>
            <w:r>
              <w:rPr>
                <w:rFonts w:hint="default" w:ascii="宋体" w:hAnsi="宋体"/>
                <w:color w:val="auto"/>
                <w:sz w:val="20"/>
                <w:szCs w:val="20"/>
                <w:highlight w:val="none"/>
                <w:lang w:val="en"/>
              </w:rPr>
              <w:t>200</w:t>
            </w:r>
          </w:p>
        </w:tc>
      </w:tr>
      <w:tr w14:paraId="1053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2" w:type="dxa"/>
            <w:gridSpan w:val="6"/>
            <w:shd w:val="clear" w:color="auto" w:fill="auto"/>
            <w:noWrap w:val="0"/>
            <w:vAlign w:val="top"/>
          </w:tcPr>
          <w:p w14:paraId="2B11B501">
            <w:pPr>
              <w:pStyle w:val="30"/>
              <w:ind w:left="0" w:leftChars="0" w:firstLine="0" w:firstLineChars="0"/>
              <w:rPr>
                <w:rFonts w:hint="default" w:ascii="宋体" w:hAnsi="宋体" w:eastAsia="宋体" w:cs="宋体"/>
                <w:b w:val="0"/>
                <w:color w:val="auto"/>
                <w:kern w:val="2"/>
                <w:sz w:val="21"/>
                <w:szCs w:val="21"/>
                <w:highlight w:val="none"/>
                <w:lang w:val="en" w:eastAsia="zh-CN" w:bidi="ar-SA"/>
              </w:rPr>
            </w:pPr>
            <w:r>
              <w:rPr>
                <w:rFonts w:hint="eastAsia" w:ascii="宋体" w:hAnsi="宋体" w:eastAsia="宋体" w:cs="宋体"/>
                <w:b/>
                <w:bCs/>
                <w:color w:val="auto"/>
                <w:sz w:val="21"/>
                <w:szCs w:val="21"/>
                <w:highlight w:val="none"/>
                <w:lang w:val="en-US" w:eastAsia="zh-CN"/>
              </w:rPr>
              <w:t>商务要求（均为实质性要求，不允许负偏离）服务承诺书中与商务要求不一致时，以商务要求为准。</w:t>
            </w:r>
          </w:p>
        </w:tc>
      </w:tr>
      <w:tr w14:paraId="72BE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gridSpan w:val="2"/>
            <w:shd w:val="clear" w:color="auto" w:fill="auto"/>
            <w:noWrap w:val="0"/>
            <w:vAlign w:val="top"/>
          </w:tcPr>
          <w:p w14:paraId="7024A0F5">
            <w:pPr>
              <w:spacing w:line="360" w:lineRule="auto"/>
              <w:rPr>
                <w:rFonts w:hint="eastAsia" w:ascii="宋体" w:hAnsi="宋体" w:eastAsia="宋体" w:cs="宋体"/>
                <w:b/>
                <w:color w:val="auto"/>
                <w:sz w:val="21"/>
                <w:szCs w:val="21"/>
                <w:highlight w:val="none"/>
              </w:rPr>
            </w:pPr>
          </w:p>
          <w:p w14:paraId="73459789">
            <w:pPr>
              <w:spacing w:line="360" w:lineRule="auto"/>
              <w:rPr>
                <w:rFonts w:hint="eastAsia" w:ascii="宋体" w:hAnsi="宋体" w:eastAsia="宋体" w:cs="宋体"/>
                <w:b/>
                <w:color w:val="auto"/>
                <w:sz w:val="21"/>
                <w:szCs w:val="21"/>
                <w:highlight w:val="none"/>
              </w:rPr>
            </w:pPr>
          </w:p>
          <w:p w14:paraId="33C9014D">
            <w:pPr>
              <w:spacing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售后服务要求</w:t>
            </w:r>
          </w:p>
        </w:tc>
        <w:tc>
          <w:tcPr>
            <w:tcW w:w="7920" w:type="dxa"/>
            <w:gridSpan w:val="4"/>
            <w:shd w:val="clear" w:color="auto" w:fill="auto"/>
            <w:noWrap w:val="0"/>
            <w:vAlign w:val="top"/>
          </w:tcPr>
          <w:p w14:paraId="265EFDAC">
            <w:pPr>
              <w:adjustRightInd w:val="0"/>
              <w:spacing w:line="396"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一、质保期：</w:t>
            </w:r>
            <w:r>
              <w:rPr>
                <w:rFonts w:hint="eastAsia" w:ascii="宋体" w:hAnsi="宋体" w:eastAsia="宋体" w:cs="宋体"/>
                <w:bCs/>
                <w:color w:val="auto"/>
                <w:szCs w:val="21"/>
                <w:highlight w:val="none"/>
              </w:rPr>
              <w:t>按国家有关产品“三包”规定执行“三包”，</w:t>
            </w:r>
            <w:r>
              <w:rPr>
                <w:rFonts w:hint="eastAsia" w:ascii="宋体" w:hAnsi="宋体" w:eastAsia="宋体" w:cs="宋体"/>
                <w:color w:val="auto"/>
                <w:szCs w:val="21"/>
                <w:highlight w:val="none"/>
              </w:rPr>
              <w:t>质保期</w:t>
            </w:r>
            <w:r>
              <w:rPr>
                <w:rFonts w:hint="eastAsia" w:ascii="宋体" w:hAnsi="宋体" w:cs="宋体"/>
                <w:color w:val="auto"/>
                <w:szCs w:val="21"/>
                <w:highlight w:val="none"/>
                <w:lang w:val="en-US" w:eastAsia="zh-CN"/>
              </w:rPr>
              <w:t>不</w:t>
            </w:r>
            <w:r>
              <w:rPr>
                <w:rFonts w:hint="eastAsia" w:ascii="宋体" w:hAnsi="宋体" w:eastAsia="宋体" w:cs="宋体"/>
                <w:color w:val="auto"/>
                <w:szCs w:val="21"/>
                <w:highlight w:val="none"/>
                <w:lang w:val="en-US" w:eastAsia="zh-CN"/>
              </w:rPr>
              <w:t>少于3个月</w:t>
            </w:r>
            <w:r>
              <w:rPr>
                <w:rFonts w:hint="eastAsia" w:ascii="宋体" w:hAnsi="宋体" w:eastAsia="宋体" w:cs="宋体"/>
                <w:color w:val="auto"/>
                <w:szCs w:val="21"/>
                <w:highlight w:val="none"/>
              </w:rPr>
              <w:t>，自验收合格之日起计。</w:t>
            </w:r>
          </w:p>
          <w:p w14:paraId="68172270">
            <w:pPr>
              <w:adjustRightInd w:val="0"/>
              <w:spacing w:line="396"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二、售后服务的内容和措施：</w:t>
            </w:r>
          </w:p>
          <w:p w14:paraId="40CAF518">
            <w:pPr>
              <w:adjustRightInd w:val="0"/>
              <w:spacing w:line="396"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1、采购范围内的货物免费送货上门</w:t>
            </w:r>
            <w:r>
              <w:rPr>
                <w:rFonts w:hint="eastAsia" w:ascii="宋体" w:hAnsi="宋体" w:eastAsia="宋体" w:cs="宋体"/>
                <w:color w:val="auto"/>
                <w:szCs w:val="21"/>
                <w:highlight w:val="none"/>
              </w:rPr>
              <w:t>、免费卸货发放至采购人指定地点</w:t>
            </w:r>
            <w:r>
              <w:rPr>
                <w:rFonts w:hint="eastAsia" w:ascii="宋体" w:hAnsi="宋体" w:eastAsia="宋体" w:cs="宋体"/>
                <w:color w:val="auto"/>
                <w:szCs w:val="21"/>
                <w:highlight w:val="none"/>
                <w:lang w:eastAsia="zh-CN"/>
              </w:rPr>
              <w:t>（涉及多个地点）</w:t>
            </w:r>
            <w:r>
              <w:rPr>
                <w:rFonts w:hint="eastAsia" w:ascii="宋体" w:hAnsi="宋体" w:eastAsia="宋体" w:cs="宋体"/>
                <w:color w:val="auto"/>
                <w:szCs w:val="21"/>
                <w:highlight w:val="none"/>
              </w:rPr>
              <w:t>。</w:t>
            </w:r>
          </w:p>
          <w:p w14:paraId="5A8ABDE0">
            <w:pPr>
              <w:adjustRightInd w:val="0"/>
              <w:spacing w:line="396" w:lineRule="exact"/>
              <w:rPr>
                <w:rFonts w:hint="default" w:ascii="宋体" w:hAnsi="宋体" w:eastAsia="宋体" w:cs="宋体"/>
                <w:b w:val="0"/>
                <w:color w:val="auto"/>
                <w:kern w:val="2"/>
                <w:sz w:val="21"/>
                <w:szCs w:val="21"/>
                <w:highlight w:val="none"/>
                <w:lang w:val="en" w:eastAsia="zh-CN" w:bidi="ar-SA"/>
              </w:rPr>
            </w:pPr>
            <w:r>
              <w:rPr>
                <w:rFonts w:hint="eastAsia" w:ascii="宋体" w:hAnsi="宋体" w:eastAsia="宋体" w:cs="宋体"/>
                <w:color w:val="auto"/>
                <w:kern w:val="0"/>
                <w:szCs w:val="21"/>
                <w:highlight w:val="none"/>
              </w:rPr>
              <w:t>2、提供售后服务联系电话及联系人，提供24小时的使用咨询服务，质保期内接到报障电话后在1个小时内响应，12小时内上门解决问题。</w:t>
            </w:r>
          </w:p>
        </w:tc>
      </w:tr>
      <w:tr w14:paraId="7F1C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gridSpan w:val="2"/>
            <w:shd w:val="clear" w:color="auto" w:fill="auto"/>
            <w:noWrap w:val="0"/>
            <w:vAlign w:val="top"/>
          </w:tcPr>
          <w:p w14:paraId="72E0097B">
            <w:pPr>
              <w:adjustRightInd w:val="0"/>
              <w:spacing w:line="396"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交付使用时间及地点及验收</w:t>
            </w:r>
          </w:p>
        </w:tc>
        <w:tc>
          <w:tcPr>
            <w:tcW w:w="7920" w:type="dxa"/>
            <w:gridSpan w:val="4"/>
            <w:shd w:val="clear" w:color="auto" w:fill="auto"/>
            <w:noWrap w:val="0"/>
            <w:vAlign w:val="top"/>
          </w:tcPr>
          <w:p w14:paraId="2899E6ED">
            <w:pPr>
              <w:adjustRightInd w:val="0"/>
              <w:spacing w:line="396"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交付使用期及地点：</w:t>
            </w:r>
          </w:p>
          <w:p w14:paraId="1EE9BF3A">
            <w:pPr>
              <w:adjustRightInd w:val="0"/>
              <w:spacing w:line="396"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1、交付使用期：由于物品发放时间紧急,在202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日前完成交付</w:t>
            </w:r>
            <w:r>
              <w:rPr>
                <w:rFonts w:hint="eastAsia" w:ascii="宋体" w:hAnsi="宋体" w:eastAsia="宋体" w:cs="宋体"/>
                <w:color w:val="auto"/>
                <w:szCs w:val="21"/>
                <w:highlight w:val="none"/>
                <w:lang w:val="en-US" w:eastAsia="zh-CN"/>
              </w:rPr>
              <w:t>并送达指定地点</w:t>
            </w:r>
            <w:r>
              <w:rPr>
                <w:rFonts w:hint="eastAsia" w:ascii="宋体" w:hAnsi="宋体" w:eastAsia="宋体" w:cs="宋体"/>
                <w:color w:val="auto"/>
                <w:szCs w:val="21"/>
                <w:highlight w:val="none"/>
              </w:rPr>
              <w:t>，不能延期，如果延期将按违约处理。</w:t>
            </w:r>
          </w:p>
          <w:p w14:paraId="3D23E1FF">
            <w:pPr>
              <w:adjustRightInd w:val="0"/>
              <w:spacing w:line="396" w:lineRule="exact"/>
              <w:rPr>
                <w:rFonts w:hint="default" w:ascii="宋体" w:hAnsi="宋体" w:eastAsia="宋体" w:cs="宋体"/>
                <w:color w:val="auto"/>
                <w:kern w:val="2"/>
                <w:sz w:val="21"/>
                <w:szCs w:val="21"/>
                <w:highlight w:val="none"/>
                <w:lang w:val="en" w:eastAsia="zh-CN" w:bidi="ar-SA"/>
              </w:rPr>
            </w:pPr>
            <w:r>
              <w:rPr>
                <w:rFonts w:hint="eastAsia" w:ascii="宋体" w:hAnsi="宋体" w:eastAsia="宋体" w:cs="宋体"/>
                <w:color w:val="auto"/>
                <w:szCs w:val="21"/>
                <w:highlight w:val="none"/>
              </w:rPr>
              <w:t>2、交货地点：广西桂林市采购人指定地点</w:t>
            </w:r>
            <w:r>
              <w:rPr>
                <w:rFonts w:hint="eastAsia" w:ascii="宋体" w:hAnsi="宋体" w:eastAsia="宋体" w:cs="宋体"/>
                <w:color w:val="auto"/>
                <w:szCs w:val="21"/>
                <w:highlight w:val="none"/>
                <w:lang w:eastAsia="zh-CN"/>
              </w:rPr>
              <w:t>（涉及多个地点）</w:t>
            </w:r>
            <w:r>
              <w:rPr>
                <w:rFonts w:hint="eastAsia" w:ascii="宋体" w:hAnsi="宋体" w:eastAsia="宋体" w:cs="宋体"/>
                <w:color w:val="auto"/>
                <w:szCs w:val="21"/>
                <w:highlight w:val="none"/>
              </w:rPr>
              <w:t>。</w:t>
            </w:r>
          </w:p>
        </w:tc>
      </w:tr>
      <w:tr w14:paraId="2255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2" w:type="dxa"/>
            <w:gridSpan w:val="2"/>
            <w:shd w:val="clear" w:color="auto" w:fill="auto"/>
            <w:noWrap w:val="0"/>
            <w:vAlign w:val="top"/>
          </w:tcPr>
          <w:p w14:paraId="3FCBD575">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Cs w:val="21"/>
                <w:highlight w:val="none"/>
              </w:rPr>
              <w:t>付款方式</w:t>
            </w:r>
          </w:p>
        </w:tc>
        <w:tc>
          <w:tcPr>
            <w:tcW w:w="7920" w:type="dxa"/>
            <w:gridSpan w:val="4"/>
            <w:shd w:val="clear" w:color="auto" w:fill="auto"/>
            <w:noWrap w:val="0"/>
            <w:vAlign w:val="top"/>
          </w:tcPr>
          <w:p w14:paraId="3FB274BF">
            <w:pPr>
              <w:pStyle w:val="30"/>
              <w:ind w:left="0" w:leftChars="0" w:firstLine="0" w:firstLineChars="0"/>
              <w:rPr>
                <w:rFonts w:hint="default" w:ascii="宋体" w:hAnsi="宋体" w:eastAsia="宋体" w:cs="宋体"/>
                <w:b w:val="0"/>
                <w:bCs w:val="0"/>
                <w:color w:val="auto"/>
                <w:kern w:val="2"/>
                <w:sz w:val="21"/>
                <w:szCs w:val="21"/>
                <w:highlight w:val="none"/>
                <w:lang w:val="en" w:eastAsia="zh-CN" w:bidi="ar-SA"/>
              </w:rPr>
            </w:pPr>
            <w:r>
              <w:rPr>
                <w:rFonts w:hint="eastAsia" w:ascii="宋体" w:hAnsi="宋体" w:eastAsia="宋体" w:cs="宋体"/>
                <w:b w:val="0"/>
                <w:bCs w:val="0"/>
                <w:color w:val="auto"/>
                <w:kern w:val="0"/>
                <w:sz w:val="21"/>
                <w:szCs w:val="21"/>
                <w:highlight w:val="none"/>
                <w:lang w:val="en-US" w:eastAsia="zh-CN" w:bidi="ar-SA"/>
              </w:rPr>
              <w:t>本项目无预付款，成交供应商交货，货物经采购人验收合格，送货到采购人指定地点，提供全额正规合法含税发票后，采购人在10个工作日内一次性付清合同款项。</w:t>
            </w:r>
          </w:p>
        </w:tc>
      </w:tr>
      <w:tr w14:paraId="3AEA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972" w:type="dxa"/>
            <w:gridSpan w:val="2"/>
            <w:shd w:val="clear" w:color="auto" w:fill="auto"/>
            <w:noWrap w:val="0"/>
            <w:vAlign w:val="top"/>
          </w:tcPr>
          <w:p w14:paraId="5478201A">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Cs w:val="21"/>
                <w:highlight w:val="none"/>
              </w:rPr>
              <w:t>验收标准</w:t>
            </w:r>
          </w:p>
        </w:tc>
        <w:tc>
          <w:tcPr>
            <w:tcW w:w="7920" w:type="dxa"/>
            <w:gridSpan w:val="4"/>
            <w:shd w:val="clear" w:color="auto" w:fill="auto"/>
            <w:noWrap w:val="0"/>
            <w:vAlign w:val="top"/>
          </w:tcPr>
          <w:p w14:paraId="2283F257">
            <w:pPr>
              <w:adjustRightInd w:val="0"/>
              <w:spacing w:line="396"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1、符合我国国家有关技术规范和技术标准。</w:t>
            </w:r>
          </w:p>
          <w:p w14:paraId="1A3564BA">
            <w:pPr>
              <w:pStyle w:val="30"/>
              <w:ind w:left="0" w:leftChars="0" w:firstLine="0" w:firstLineChars="0"/>
              <w:rPr>
                <w:rFonts w:hint="default" w:ascii="宋体" w:hAnsi="宋体" w:eastAsia="宋体" w:cs="宋体"/>
                <w:b w:val="0"/>
                <w:bCs w:val="0"/>
                <w:color w:val="auto"/>
                <w:kern w:val="2"/>
                <w:sz w:val="21"/>
                <w:szCs w:val="21"/>
                <w:highlight w:val="none"/>
                <w:lang w:val="en" w:eastAsia="zh-CN" w:bidi="ar-SA"/>
              </w:rPr>
            </w:pPr>
            <w:r>
              <w:rPr>
                <w:rFonts w:hint="eastAsia" w:ascii="宋体" w:hAnsi="宋体" w:eastAsia="宋体" w:cs="宋体"/>
                <w:b w:val="0"/>
                <w:bCs w:val="0"/>
                <w:color w:val="auto"/>
                <w:kern w:val="0"/>
                <w:sz w:val="21"/>
                <w:szCs w:val="21"/>
                <w:highlight w:val="none"/>
                <w:lang w:val="en-US" w:eastAsia="zh-CN" w:bidi="ar-SA"/>
              </w:rPr>
              <w:t>2、邀请国家认可且具有检测（验）资质的第三方检测（验）机构的有关技术专家参与验收，验收不合格的采购人不予签收，由此造成的一切后果及费用由成交供应商承担。</w:t>
            </w:r>
          </w:p>
        </w:tc>
      </w:tr>
      <w:tr w14:paraId="6135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gridSpan w:val="2"/>
            <w:shd w:val="clear" w:color="auto" w:fill="auto"/>
            <w:noWrap w:val="0"/>
            <w:vAlign w:val="top"/>
          </w:tcPr>
          <w:p w14:paraId="62C94BF9">
            <w:pPr>
              <w:adjustRightInd w:val="0"/>
              <w:spacing w:line="396" w:lineRule="exact"/>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其他要求</w:t>
            </w:r>
          </w:p>
        </w:tc>
        <w:tc>
          <w:tcPr>
            <w:tcW w:w="7920" w:type="dxa"/>
            <w:gridSpan w:val="4"/>
            <w:shd w:val="clear" w:color="auto" w:fill="auto"/>
            <w:noWrap w:val="0"/>
            <w:vAlign w:val="top"/>
          </w:tcPr>
          <w:p w14:paraId="473739F7">
            <w:pPr>
              <w:adjustRightInd w:val="0"/>
              <w:spacing w:line="396"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1、响应产品必须是原厂生产的全新合格产品，产品质量须符合国家相关标准及安全规范。</w:t>
            </w:r>
          </w:p>
          <w:p w14:paraId="020999E0">
            <w:pPr>
              <w:adjustRightInd w:val="0"/>
              <w:spacing w:line="396"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2、到货后，</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供应商和采购人应在现场进行清点；清点过程中如果发现因包装或运输不当引起的损坏，供货商应负责更换；若发现错发/漏发情况，供货商应一周内更换和补发。</w:t>
            </w:r>
          </w:p>
          <w:p w14:paraId="1410C1A1">
            <w:pPr>
              <w:adjustRightInd w:val="0"/>
              <w:spacing w:line="396"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3、签订合同后供货时，</w:t>
            </w:r>
            <w:r>
              <w:rPr>
                <w:rFonts w:hint="eastAsia" w:ascii="宋体" w:hAnsi="宋体" w:cs="宋体"/>
                <w:b/>
                <w:bCs/>
                <w:color w:val="auto"/>
                <w:highlight w:val="none"/>
                <w:lang w:val="en-US" w:eastAsia="zh-CN"/>
              </w:rPr>
              <w:t>中标</w:t>
            </w:r>
            <w:r>
              <w:rPr>
                <w:rFonts w:hint="eastAsia" w:ascii="宋体" w:hAnsi="宋体" w:eastAsia="宋体" w:cs="宋体"/>
                <w:b/>
                <w:bCs/>
                <w:color w:val="auto"/>
                <w:highlight w:val="none"/>
              </w:rPr>
              <w:t>供应商须提供检测（验）报告原件【包括但不限于检测（验）报告原件、检测机构联系方式、检测机构开据的发票原件】及评分因素中用于加分的证件原件供采购单位核查，核查未通过或不能提供原件的，采购人将按虚假应标上报相关监督管理部门进行处理。采购人保留追究</w:t>
            </w:r>
            <w:r>
              <w:rPr>
                <w:rFonts w:hint="eastAsia" w:ascii="宋体" w:hAnsi="宋体" w:cs="宋体"/>
                <w:b/>
                <w:bCs/>
                <w:color w:val="auto"/>
                <w:highlight w:val="none"/>
                <w:lang w:val="en-US" w:eastAsia="zh-CN"/>
              </w:rPr>
              <w:t>中标</w:t>
            </w:r>
            <w:r>
              <w:rPr>
                <w:rFonts w:hint="eastAsia" w:ascii="宋体" w:hAnsi="宋体" w:eastAsia="宋体" w:cs="宋体"/>
                <w:b/>
                <w:bCs/>
                <w:color w:val="auto"/>
                <w:highlight w:val="none"/>
              </w:rPr>
              <w:t>供应商相关法律责任的权利。</w:t>
            </w:r>
          </w:p>
          <w:p w14:paraId="17727CC0">
            <w:pPr>
              <w:adjustRightInd w:val="0"/>
              <w:spacing w:line="396"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供应商供货前将慰问信设计终稿提供给采购人审核，经采购人同意后方可生产，否则采购人有权拒绝验收，由此造成的一切后果及损失均由</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供应商自行承担。</w:t>
            </w:r>
          </w:p>
          <w:p w14:paraId="22666A87">
            <w:pPr>
              <w:adjustRightInd w:val="0"/>
              <w:spacing w:line="396"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5、采购人对</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产品按采购需求逐条核验，如</w:t>
            </w:r>
            <w:r>
              <w:rPr>
                <w:rFonts w:hint="eastAsia" w:ascii="宋体" w:hAnsi="宋体" w:cs="宋体"/>
                <w:b w:val="0"/>
                <w:bCs w:val="0"/>
                <w:color w:val="auto"/>
                <w:highlight w:val="none"/>
                <w:lang w:val="en-US" w:eastAsia="zh-CN"/>
              </w:rPr>
              <w:t>投标</w:t>
            </w:r>
            <w:r>
              <w:rPr>
                <w:rFonts w:hint="eastAsia" w:ascii="宋体" w:hAnsi="宋体" w:eastAsia="宋体" w:cs="宋体"/>
                <w:b w:val="0"/>
                <w:bCs w:val="0"/>
                <w:color w:val="auto"/>
                <w:highlight w:val="none"/>
              </w:rPr>
              <w:t>文件技术规格及商务偏离表中承诺的参数与产品实际参数不一致，采购人将不予接收，由此造成的损失由</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供应商负责。</w:t>
            </w:r>
          </w:p>
          <w:p w14:paraId="4B8131CC">
            <w:pPr>
              <w:adjustRightInd w:val="0"/>
              <w:spacing w:line="396"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6、为确保慰问品质量，采购人收到</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供应商所有货物后，将随机抽样交由第三方质检部门进行检测，复检合格后予以验收。如成交产品复检结果不符合要求的，采购人有权拒绝验收，并全部退货，由此造成的一切后果均由</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供应商自行承担。</w:t>
            </w:r>
          </w:p>
          <w:p w14:paraId="71000290">
            <w:pPr>
              <w:adjustRightInd w:val="0"/>
              <w:spacing w:line="396" w:lineRule="exact"/>
              <w:rPr>
                <w:rFonts w:hint="default" w:ascii="宋体" w:hAnsi="宋体" w:eastAsia="宋体" w:cs="宋体"/>
                <w:b w:val="0"/>
                <w:bCs w:val="0"/>
                <w:color w:val="auto"/>
                <w:highlight w:val="none"/>
                <w:lang w:val="en" w:eastAsia="zh-CN"/>
              </w:rPr>
            </w:pPr>
            <w:r>
              <w:rPr>
                <w:rFonts w:hint="eastAsia" w:ascii="宋体" w:hAnsi="宋体" w:eastAsia="宋体" w:cs="宋体"/>
                <w:b w:val="0"/>
                <w:bCs w:val="0"/>
                <w:color w:val="auto"/>
                <w:highlight w:val="none"/>
                <w:lang w:val="en-US" w:eastAsia="zh-CN"/>
              </w:rPr>
              <w:t>7、</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lang w:val="en-US" w:eastAsia="zh-CN"/>
              </w:rPr>
              <w:t>供应商如虚假应标，一经查实，将按虚假应标处理，由此造成的一切损失由</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lang w:val="en-US" w:eastAsia="zh-CN"/>
              </w:rPr>
              <w:t>供应商承担，且采购人保留追究其法律责任的权利。</w:t>
            </w:r>
          </w:p>
        </w:tc>
      </w:tr>
      <w:tr w14:paraId="14C2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gridSpan w:val="2"/>
            <w:shd w:val="clear" w:color="auto" w:fill="auto"/>
            <w:noWrap w:val="0"/>
            <w:vAlign w:val="top"/>
          </w:tcPr>
          <w:p w14:paraId="74620867">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注意事项</w:t>
            </w:r>
          </w:p>
        </w:tc>
        <w:tc>
          <w:tcPr>
            <w:tcW w:w="7920" w:type="dxa"/>
            <w:gridSpan w:val="4"/>
            <w:shd w:val="clear" w:color="auto" w:fill="auto"/>
            <w:noWrap w:val="0"/>
            <w:vAlign w:val="top"/>
          </w:tcPr>
          <w:p w14:paraId="1688F373">
            <w:pPr>
              <w:adjustRightInd w:val="0"/>
              <w:spacing w:line="396"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1、本项目政府采购预算金额为人民币</w:t>
            </w:r>
            <w:r>
              <w:rPr>
                <w:rFonts w:hint="eastAsia" w:ascii="宋体" w:hAnsi="宋体" w:cs="宋体"/>
                <w:b w:val="0"/>
                <w:bCs w:val="0"/>
                <w:color w:val="auto"/>
                <w:szCs w:val="21"/>
                <w:highlight w:val="none"/>
                <w:lang w:val="en-US" w:eastAsia="zh-CN"/>
              </w:rPr>
              <w:t>72</w:t>
            </w:r>
            <w:r>
              <w:rPr>
                <w:rFonts w:hint="eastAsia" w:ascii="宋体" w:hAnsi="宋体" w:eastAsia="宋体" w:cs="宋体"/>
                <w:b w:val="0"/>
                <w:bCs w:val="0"/>
                <w:color w:val="auto"/>
                <w:szCs w:val="21"/>
                <w:highlight w:val="none"/>
              </w:rPr>
              <w:t>0000</w:t>
            </w:r>
            <w:r>
              <w:rPr>
                <w:rFonts w:hint="eastAsia" w:ascii="宋体" w:hAnsi="宋体" w:eastAsia="宋体" w:cs="宋体"/>
                <w:b w:val="0"/>
                <w:bCs w:val="0"/>
                <w:color w:val="auto"/>
                <w:kern w:val="0"/>
                <w:szCs w:val="21"/>
                <w:highlight w:val="none"/>
              </w:rPr>
              <w:t>.00元，</w:t>
            </w:r>
            <w:r>
              <w:rPr>
                <w:rFonts w:hint="eastAsia" w:ascii="宋体" w:hAnsi="宋体" w:eastAsia="宋体" w:cs="宋体"/>
                <w:b w:val="0"/>
                <w:bCs w:val="0"/>
                <w:color w:val="auto"/>
                <w:kern w:val="0"/>
                <w:szCs w:val="21"/>
                <w:highlight w:val="none"/>
                <w:lang w:val="en-US" w:eastAsia="zh-CN"/>
              </w:rPr>
              <w:t>投标</w:t>
            </w:r>
            <w:r>
              <w:rPr>
                <w:rFonts w:hint="eastAsia" w:ascii="宋体" w:hAnsi="宋体" w:eastAsia="宋体" w:cs="宋体"/>
                <w:b w:val="0"/>
                <w:bCs w:val="0"/>
                <w:color w:val="auto"/>
                <w:kern w:val="0"/>
                <w:szCs w:val="21"/>
                <w:highlight w:val="none"/>
              </w:rPr>
              <w:t>报价超出采购预算金额的，</w:t>
            </w:r>
            <w:r>
              <w:rPr>
                <w:rFonts w:hint="eastAsia" w:ascii="宋体" w:hAnsi="宋体" w:eastAsia="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文件作无效处理</w:t>
            </w:r>
            <w:r>
              <w:rPr>
                <w:rFonts w:hint="eastAsia" w:ascii="宋体" w:hAnsi="宋体" w:eastAsia="宋体" w:cs="宋体"/>
                <w:b w:val="0"/>
                <w:bCs w:val="0"/>
                <w:color w:val="auto"/>
                <w:kern w:val="0"/>
                <w:szCs w:val="21"/>
                <w:highlight w:val="none"/>
              </w:rPr>
              <w:t>。</w:t>
            </w:r>
          </w:p>
          <w:p w14:paraId="0D268A33">
            <w:pPr>
              <w:adjustRightInd w:val="0"/>
              <w:spacing w:line="396"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2、本项目核心产品为</w:t>
            </w:r>
            <w:r>
              <w:rPr>
                <w:rFonts w:hint="eastAsia" w:ascii="宋体" w:hAnsi="宋体" w:eastAsia="宋体" w:cs="宋体"/>
                <w:i w:val="0"/>
                <w:iCs w:val="0"/>
                <w:caps w:val="0"/>
                <w:color w:val="auto"/>
                <w:spacing w:val="0"/>
                <w:sz w:val="21"/>
                <w:szCs w:val="21"/>
                <w:highlight w:val="none"/>
              </w:rPr>
              <w:t>食品大礼</w:t>
            </w:r>
            <w:r>
              <w:rPr>
                <w:rFonts w:hint="eastAsia" w:ascii="宋体" w:hAnsi="宋体" w:eastAsia="宋体" w:cs="宋体"/>
                <w:i w:val="0"/>
                <w:iCs w:val="0"/>
                <w:caps w:val="0"/>
                <w:color w:val="auto"/>
                <w:spacing w:val="0"/>
                <w:sz w:val="21"/>
                <w:szCs w:val="21"/>
                <w:highlight w:val="none"/>
                <w:lang w:val="en-US" w:eastAsia="zh-CN"/>
              </w:rPr>
              <w:t>包</w:t>
            </w:r>
            <w:r>
              <w:rPr>
                <w:rFonts w:hint="eastAsia" w:ascii="宋体" w:hAnsi="宋体" w:eastAsia="宋体" w:cs="宋体"/>
                <w:b w:val="0"/>
                <w:bCs w:val="0"/>
                <w:color w:val="auto"/>
                <w:szCs w:val="21"/>
                <w:highlight w:val="none"/>
              </w:rPr>
              <w:t>。</w:t>
            </w:r>
          </w:p>
          <w:p w14:paraId="5C3D9A12">
            <w:pPr>
              <w:adjustRightInd w:val="0"/>
              <w:spacing w:line="396" w:lineRule="exact"/>
              <w:rPr>
                <w:rFonts w:hint="default" w:ascii="宋体" w:hAnsi="宋体" w:eastAsia="宋体" w:cs="宋体"/>
                <w:b w:val="0"/>
                <w:bCs w:val="0"/>
                <w:color w:val="auto"/>
                <w:kern w:val="2"/>
                <w:sz w:val="21"/>
                <w:szCs w:val="24"/>
                <w:highlight w:val="none"/>
                <w:lang w:val="en" w:eastAsia="zh-CN" w:bidi="ar-SA"/>
              </w:rPr>
            </w:pPr>
            <w:r>
              <w:rPr>
                <w:rFonts w:hint="eastAsia" w:ascii="宋体" w:hAnsi="宋体" w:eastAsia="宋体" w:cs="宋体"/>
                <w:b w:val="0"/>
                <w:bCs w:val="0"/>
                <w:color w:val="auto"/>
                <w:szCs w:val="21"/>
                <w:highlight w:val="none"/>
              </w:rPr>
              <w:t>3、本项目货物不接受进口产品（即通过中国海关报关验放进入中国境内且产自关境外的产品）参与投标，否则作无效投标（响应）处理。</w:t>
            </w:r>
          </w:p>
        </w:tc>
      </w:tr>
    </w:tbl>
    <w:p w14:paraId="7A2B8877">
      <w:pPr>
        <w:rPr>
          <w:rStyle w:val="75"/>
          <w:rFonts w:ascii="宋体" w:hAnsi="宋体" w:cs="宋体"/>
          <w:color w:val="auto"/>
          <w:highlight w:val="none"/>
        </w:rPr>
      </w:pPr>
    </w:p>
    <w:p w14:paraId="29E51E49">
      <w:pPr>
        <w:rPr>
          <w:rStyle w:val="75"/>
          <w:rFonts w:hint="default" w:ascii="宋体" w:hAnsi="宋体" w:eastAsia="宋体" w:cs="宋体"/>
          <w:color w:val="auto"/>
          <w:highlight w:val="none"/>
          <w:lang w:val="en-US" w:eastAsia="zh-CN"/>
        </w:rPr>
      </w:pPr>
      <w:r>
        <w:rPr>
          <w:rStyle w:val="75"/>
          <w:rFonts w:hint="eastAsia" w:ascii="宋体" w:hAnsi="宋体" w:cs="宋体"/>
          <w:color w:val="auto"/>
          <w:highlight w:val="none"/>
          <w:lang w:val="en-US" w:eastAsia="zh-CN"/>
        </w:rPr>
        <w:t>B分标</w:t>
      </w:r>
    </w:p>
    <w:tbl>
      <w:tblPr>
        <w:tblStyle w:val="32"/>
        <w:tblpPr w:leftFromText="180" w:rightFromText="180" w:vertAnchor="text" w:tblpX="-406" w:tblpY="920"/>
        <w:tblOverlap w:val="never"/>
        <w:tblW w:w="10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56"/>
        <w:gridCol w:w="4544"/>
        <w:gridCol w:w="761"/>
        <w:gridCol w:w="843"/>
        <w:gridCol w:w="1888"/>
      </w:tblGrid>
      <w:tr w14:paraId="2A41F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noWrap w:val="0"/>
            <w:vAlign w:val="top"/>
          </w:tcPr>
          <w:p w14:paraId="31EBF6FE">
            <w:pPr>
              <w:jc w:val="center"/>
              <w:rPr>
                <w:rFonts w:ascii="宋体" w:hAnsi="宋体" w:cs="宋体"/>
                <w:b/>
                <w:bCs/>
                <w:color w:val="auto"/>
                <w:sz w:val="24"/>
                <w:highlight w:val="none"/>
              </w:rPr>
            </w:pPr>
          </w:p>
          <w:p w14:paraId="52627D40">
            <w:pPr>
              <w:rPr>
                <w:rFonts w:ascii="宋体" w:hAnsi="宋体" w:cs="宋体"/>
                <w:b/>
                <w:bCs/>
                <w:color w:val="auto"/>
                <w:sz w:val="24"/>
                <w:highlight w:val="none"/>
              </w:rPr>
            </w:pPr>
            <w:r>
              <w:rPr>
                <w:rFonts w:hint="eastAsia" w:ascii="宋体" w:hAnsi="宋体" w:cs="宋体"/>
                <w:b/>
                <w:bCs/>
                <w:color w:val="auto"/>
                <w:sz w:val="24"/>
                <w:highlight w:val="none"/>
              </w:rPr>
              <w:t>项号</w:t>
            </w:r>
          </w:p>
        </w:tc>
        <w:tc>
          <w:tcPr>
            <w:tcW w:w="1256" w:type="dxa"/>
            <w:noWrap w:val="0"/>
            <w:vAlign w:val="top"/>
          </w:tcPr>
          <w:p w14:paraId="2621DBAB">
            <w:pPr>
              <w:jc w:val="center"/>
              <w:rPr>
                <w:rFonts w:ascii="宋体" w:hAnsi="宋体" w:cs="宋体"/>
                <w:b/>
                <w:bCs/>
                <w:color w:val="auto"/>
                <w:sz w:val="24"/>
                <w:highlight w:val="none"/>
              </w:rPr>
            </w:pPr>
          </w:p>
          <w:p w14:paraId="2048D464">
            <w:pPr>
              <w:jc w:val="center"/>
              <w:rPr>
                <w:rFonts w:ascii="宋体" w:hAnsi="宋体" w:cs="宋体"/>
                <w:b/>
                <w:bCs/>
                <w:color w:val="auto"/>
                <w:sz w:val="24"/>
                <w:highlight w:val="none"/>
              </w:rPr>
            </w:pPr>
            <w:r>
              <w:rPr>
                <w:rFonts w:hint="eastAsia" w:ascii="宋体" w:hAnsi="宋体" w:cs="宋体"/>
                <w:b/>
                <w:bCs/>
                <w:color w:val="auto"/>
                <w:sz w:val="24"/>
                <w:highlight w:val="none"/>
              </w:rPr>
              <w:t>货物名称</w:t>
            </w:r>
          </w:p>
        </w:tc>
        <w:tc>
          <w:tcPr>
            <w:tcW w:w="4544" w:type="dxa"/>
            <w:noWrap w:val="0"/>
            <w:vAlign w:val="top"/>
          </w:tcPr>
          <w:p w14:paraId="0DEC0B42">
            <w:pPr>
              <w:jc w:val="center"/>
              <w:rPr>
                <w:rFonts w:ascii="宋体" w:hAnsi="宋体" w:cs="宋体"/>
                <w:b/>
                <w:color w:val="auto"/>
                <w:sz w:val="24"/>
                <w:highlight w:val="none"/>
              </w:rPr>
            </w:pPr>
          </w:p>
          <w:p w14:paraId="2DB45C13">
            <w:pPr>
              <w:jc w:val="center"/>
              <w:rPr>
                <w:rFonts w:ascii="宋体" w:hAnsi="宋体" w:cs="宋体"/>
                <w:b/>
                <w:bCs/>
                <w:color w:val="auto"/>
                <w:sz w:val="24"/>
                <w:highlight w:val="none"/>
              </w:rPr>
            </w:pPr>
            <w:r>
              <w:rPr>
                <w:rFonts w:hint="eastAsia" w:ascii="宋体" w:hAnsi="宋体" w:cs="宋体"/>
                <w:b/>
                <w:color w:val="auto"/>
                <w:sz w:val="24"/>
                <w:highlight w:val="none"/>
              </w:rPr>
              <w:t>项目要求及技术需求</w:t>
            </w:r>
          </w:p>
        </w:tc>
        <w:tc>
          <w:tcPr>
            <w:tcW w:w="761" w:type="dxa"/>
            <w:noWrap w:val="0"/>
            <w:vAlign w:val="center"/>
          </w:tcPr>
          <w:p w14:paraId="619A7DE2">
            <w:pPr>
              <w:adjustRightInd w:val="0"/>
              <w:spacing w:line="396"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数量</w:t>
            </w:r>
          </w:p>
        </w:tc>
        <w:tc>
          <w:tcPr>
            <w:tcW w:w="843" w:type="dxa"/>
            <w:noWrap w:val="0"/>
            <w:vAlign w:val="center"/>
          </w:tcPr>
          <w:p w14:paraId="622E4D87">
            <w:pPr>
              <w:adjustRightInd w:val="0"/>
              <w:spacing w:line="396"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单位</w:t>
            </w:r>
          </w:p>
        </w:tc>
        <w:tc>
          <w:tcPr>
            <w:tcW w:w="1888" w:type="dxa"/>
            <w:noWrap w:val="0"/>
            <w:vAlign w:val="center"/>
          </w:tcPr>
          <w:p w14:paraId="2AFACF7D">
            <w:pPr>
              <w:adjustRightInd w:val="0"/>
              <w:spacing w:line="396" w:lineRule="exact"/>
              <w:jc w:val="center"/>
              <w:rPr>
                <w:rFonts w:ascii="宋体" w:hAnsi="宋体" w:cs="宋体"/>
                <w:b/>
                <w:bCs/>
                <w:color w:val="auto"/>
                <w:sz w:val="24"/>
                <w:highlight w:val="none"/>
              </w:rPr>
            </w:pPr>
            <w:r>
              <w:rPr>
                <w:rFonts w:hint="eastAsia" w:ascii="宋体" w:hAnsi="宋体" w:cs="宋体"/>
                <w:b/>
                <w:color w:val="auto"/>
                <w:kern w:val="0"/>
                <w:sz w:val="24"/>
                <w:highlight w:val="none"/>
              </w:rPr>
              <w:t>参考单价（元）</w:t>
            </w:r>
          </w:p>
        </w:tc>
      </w:tr>
      <w:tr w14:paraId="4BAF9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709" w:type="dxa"/>
            <w:noWrap w:val="0"/>
            <w:vAlign w:val="top"/>
          </w:tcPr>
          <w:p w14:paraId="2A1F0087">
            <w:pPr>
              <w:rPr>
                <w:rFonts w:ascii="宋体" w:hAnsi="宋体" w:cs="宋体"/>
                <w:color w:val="auto"/>
                <w:sz w:val="24"/>
                <w:highlight w:val="none"/>
              </w:rPr>
            </w:pPr>
          </w:p>
          <w:p w14:paraId="18EEF855">
            <w:pPr>
              <w:rPr>
                <w:rFonts w:ascii="宋体" w:hAnsi="宋体" w:cs="宋体"/>
                <w:color w:val="auto"/>
                <w:sz w:val="24"/>
                <w:highlight w:val="none"/>
              </w:rPr>
            </w:pPr>
          </w:p>
          <w:p w14:paraId="647DF5D3">
            <w:pPr>
              <w:rPr>
                <w:rFonts w:ascii="宋体" w:hAnsi="宋体" w:cs="宋体"/>
                <w:color w:val="auto"/>
                <w:sz w:val="24"/>
                <w:highlight w:val="none"/>
              </w:rPr>
            </w:pPr>
          </w:p>
          <w:p w14:paraId="376150D4">
            <w:pPr>
              <w:rPr>
                <w:rFonts w:ascii="宋体" w:hAnsi="宋体" w:cs="宋体"/>
                <w:color w:val="auto"/>
                <w:sz w:val="24"/>
                <w:highlight w:val="none"/>
              </w:rPr>
            </w:pPr>
          </w:p>
          <w:p w14:paraId="0AC1167A">
            <w:pPr>
              <w:rPr>
                <w:rFonts w:ascii="宋体" w:hAnsi="宋体" w:cs="宋体"/>
                <w:color w:val="auto"/>
                <w:sz w:val="24"/>
                <w:highlight w:val="none"/>
              </w:rPr>
            </w:pPr>
          </w:p>
          <w:p w14:paraId="1FF08717">
            <w:pPr>
              <w:rPr>
                <w:rFonts w:ascii="宋体" w:hAnsi="宋体" w:cs="宋体"/>
                <w:color w:val="auto"/>
                <w:sz w:val="24"/>
                <w:highlight w:val="none"/>
              </w:rPr>
            </w:pPr>
          </w:p>
          <w:p w14:paraId="7D51D9B3">
            <w:pPr>
              <w:rPr>
                <w:rFonts w:ascii="宋体" w:hAnsi="宋体" w:cs="宋体"/>
                <w:color w:val="auto"/>
                <w:sz w:val="24"/>
                <w:highlight w:val="none"/>
              </w:rPr>
            </w:pPr>
          </w:p>
          <w:p w14:paraId="2FD41B21">
            <w:pPr>
              <w:rPr>
                <w:rFonts w:ascii="宋体" w:hAnsi="宋体" w:cs="宋体"/>
                <w:color w:val="auto"/>
                <w:sz w:val="24"/>
                <w:highlight w:val="none"/>
              </w:rPr>
            </w:pPr>
          </w:p>
          <w:p w14:paraId="59AD2B6C">
            <w:pPr>
              <w:rPr>
                <w:rFonts w:ascii="宋体" w:hAnsi="宋体" w:cs="宋体"/>
                <w:color w:val="auto"/>
                <w:sz w:val="24"/>
                <w:highlight w:val="none"/>
              </w:rPr>
            </w:pPr>
          </w:p>
          <w:p w14:paraId="67F47791">
            <w:pPr>
              <w:rPr>
                <w:rFonts w:ascii="宋体" w:hAnsi="宋体" w:cs="宋体"/>
                <w:color w:val="auto"/>
                <w:sz w:val="24"/>
                <w:highlight w:val="none"/>
              </w:rPr>
            </w:pPr>
          </w:p>
          <w:p w14:paraId="0D5BE622">
            <w:pPr>
              <w:rPr>
                <w:rFonts w:ascii="宋体" w:hAnsi="宋体" w:cs="宋体"/>
                <w:color w:val="auto"/>
                <w:sz w:val="24"/>
                <w:highlight w:val="none"/>
              </w:rPr>
            </w:pPr>
          </w:p>
          <w:p w14:paraId="2206D0EF">
            <w:pPr>
              <w:rPr>
                <w:rFonts w:ascii="宋体" w:hAnsi="宋体" w:cs="宋体"/>
                <w:color w:val="auto"/>
                <w:sz w:val="24"/>
                <w:highlight w:val="none"/>
              </w:rPr>
            </w:pPr>
          </w:p>
          <w:p w14:paraId="42A6EF33">
            <w:pPr>
              <w:rPr>
                <w:rFonts w:ascii="宋体" w:hAnsi="宋体" w:cs="宋体"/>
                <w:color w:val="auto"/>
                <w:sz w:val="24"/>
                <w:highlight w:val="none"/>
              </w:rPr>
            </w:pPr>
          </w:p>
          <w:p w14:paraId="7E862F49">
            <w:pPr>
              <w:rPr>
                <w:rFonts w:ascii="宋体" w:hAnsi="宋体" w:cs="宋体"/>
                <w:color w:val="auto"/>
                <w:sz w:val="24"/>
                <w:highlight w:val="none"/>
              </w:rPr>
            </w:pPr>
          </w:p>
          <w:p w14:paraId="7C2F63C1">
            <w:pPr>
              <w:rPr>
                <w:rFonts w:ascii="宋体" w:hAnsi="宋体" w:cs="宋体"/>
                <w:color w:val="auto"/>
                <w:sz w:val="24"/>
                <w:highlight w:val="none"/>
              </w:rPr>
            </w:pPr>
          </w:p>
          <w:p w14:paraId="28CF9247">
            <w:pPr>
              <w:rPr>
                <w:rFonts w:ascii="宋体" w:hAnsi="宋体" w:cs="宋体"/>
                <w:color w:val="auto"/>
                <w:sz w:val="24"/>
                <w:highlight w:val="none"/>
              </w:rPr>
            </w:pPr>
          </w:p>
          <w:p w14:paraId="5F214622">
            <w:pPr>
              <w:rPr>
                <w:rFonts w:ascii="宋体" w:hAnsi="宋体" w:cs="宋体"/>
                <w:color w:val="auto"/>
                <w:sz w:val="24"/>
                <w:highlight w:val="none"/>
              </w:rPr>
            </w:pPr>
          </w:p>
          <w:p w14:paraId="00C1E93A">
            <w:pPr>
              <w:rPr>
                <w:rFonts w:ascii="宋体" w:hAnsi="宋体" w:cs="宋体"/>
                <w:color w:val="auto"/>
                <w:sz w:val="24"/>
                <w:highlight w:val="none"/>
              </w:rPr>
            </w:pPr>
          </w:p>
          <w:p w14:paraId="4A36CB63">
            <w:pPr>
              <w:rPr>
                <w:rFonts w:ascii="宋体" w:hAnsi="宋体" w:cs="宋体"/>
                <w:color w:val="auto"/>
                <w:sz w:val="24"/>
                <w:highlight w:val="none"/>
              </w:rPr>
            </w:pPr>
            <w:r>
              <w:rPr>
                <w:rFonts w:hint="eastAsia" w:ascii="宋体" w:hAnsi="宋体" w:cs="宋体"/>
                <w:color w:val="auto"/>
                <w:sz w:val="24"/>
                <w:highlight w:val="none"/>
              </w:rPr>
              <w:t>1</w:t>
            </w:r>
          </w:p>
        </w:tc>
        <w:tc>
          <w:tcPr>
            <w:tcW w:w="1256" w:type="dxa"/>
            <w:noWrap w:val="0"/>
            <w:vAlign w:val="top"/>
          </w:tcPr>
          <w:p w14:paraId="435F282F">
            <w:pPr>
              <w:rPr>
                <w:color w:val="auto"/>
                <w:highlight w:val="none"/>
              </w:rPr>
            </w:pPr>
          </w:p>
          <w:p w14:paraId="1E15A3D3">
            <w:pPr>
              <w:rPr>
                <w:color w:val="auto"/>
                <w:highlight w:val="none"/>
              </w:rPr>
            </w:pPr>
          </w:p>
          <w:p w14:paraId="5F3C4C4E">
            <w:pPr>
              <w:rPr>
                <w:color w:val="auto"/>
                <w:highlight w:val="none"/>
              </w:rPr>
            </w:pPr>
          </w:p>
          <w:p w14:paraId="3A540D8C">
            <w:pPr>
              <w:spacing w:line="360" w:lineRule="auto"/>
              <w:rPr>
                <w:rFonts w:ascii="宋体" w:hAnsi="宋体" w:cs="宋体"/>
                <w:bCs/>
                <w:color w:val="auto"/>
                <w:szCs w:val="21"/>
                <w:highlight w:val="none"/>
              </w:rPr>
            </w:pPr>
          </w:p>
          <w:p w14:paraId="2330DB46">
            <w:pPr>
              <w:spacing w:line="360" w:lineRule="auto"/>
              <w:rPr>
                <w:rFonts w:ascii="宋体" w:hAnsi="宋体" w:cs="宋体"/>
                <w:bCs/>
                <w:color w:val="auto"/>
                <w:szCs w:val="21"/>
                <w:highlight w:val="none"/>
              </w:rPr>
            </w:pPr>
          </w:p>
          <w:p w14:paraId="7075750E">
            <w:pPr>
              <w:spacing w:line="360" w:lineRule="auto"/>
              <w:rPr>
                <w:rFonts w:ascii="宋体" w:hAnsi="宋体" w:cs="宋体"/>
                <w:bCs/>
                <w:color w:val="auto"/>
                <w:szCs w:val="21"/>
                <w:highlight w:val="none"/>
              </w:rPr>
            </w:pPr>
          </w:p>
          <w:p w14:paraId="5D5E524B">
            <w:pPr>
              <w:spacing w:line="360" w:lineRule="auto"/>
              <w:rPr>
                <w:rFonts w:ascii="宋体" w:hAnsi="宋体" w:cs="宋体"/>
                <w:bCs/>
                <w:color w:val="auto"/>
                <w:szCs w:val="21"/>
                <w:highlight w:val="none"/>
              </w:rPr>
            </w:pPr>
          </w:p>
          <w:p w14:paraId="068703B3">
            <w:pPr>
              <w:spacing w:line="360" w:lineRule="auto"/>
              <w:rPr>
                <w:rFonts w:ascii="宋体" w:hAnsi="宋体" w:cs="宋体"/>
                <w:bCs/>
                <w:color w:val="auto"/>
                <w:szCs w:val="21"/>
                <w:highlight w:val="none"/>
              </w:rPr>
            </w:pPr>
          </w:p>
          <w:p w14:paraId="2D6B270C">
            <w:pPr>
              <w:spacing w:line="360" w:lineRule="auto"/>
              <w:rPr>
                <w:rFonts w:ascii="宋体" w:hAnsi="宋体" w:cs="宋体"/>
                <w:bCs/>
                <w:color w:val="auto"/>
                <w:szCs w:val="21"/>
                <w:highlight w:val="none"/>
              </w:rPr>
            </w:pPr>
          </w:p>
          <w:p w14:paraId="5DBA77C4">
            <w:pPr>
              <w:spacing w:line="360" w:lineRule="auto"/>
              <w:rPr>
                <w:rFonts w:ascii="宋体" w:hAnsi="宋体" w:cs="宋体"/>
                <w:bCs/>
                <w:color w:val="auto"/>
                <w:szCs w:val="21"/>
                <w:highlight w:val="none"/>
              </w:rPr>
            </w:pPr>
          </w:p>
          <w:p w14:paraId="69810368">
            <w:pPr>
              <w:spacing w:line="360" w:lineRule="auto"/>
              <w:rPr>
                <w:rFonts w:ascii="宋体" w:hAnsi="宋体" w:cs="宋体"/>
                <w:bCs/>
                <w:color w:val="auto"/>
                <w:szCs w:val="21"/>
                <w:highlight w:val="none"/>
              </w:rPr>
            </w:pPr>
          </w:p>
          <w:p w14:paraId="51A492E9">
            <w:pPr>
              <w:spacing w:line="360" w:lineRule="auto"/>
              <w:ind w:firstLine="103" w:firstLineChars="49"/>
              <w:rPr>
                <w:rFonts w:hint="eastAsia" w:ascii="宋体" w:hAnsi="宋体" w:cs="宋体"/>
                <w:b/>
                <w:bCs/>
                <w:color w:val="auto"/>
                <w:szCs w:val="21"/>
                <w:highlight w:val="none"/>
              </w:rPr>
            </w:pPr>
          </w:p>
          <w:p w14:paraId="778F1218">
            <w:pPr>
              <w:spacing w:line="360" w:lineRule="auto"/>
              <w:ind w:firstLine="103" w:firstLineChars="49"/>
              <w:rPr>
                <w:rFonts w:hint="eastAsia" w:ascii="宋体" w:hAnsi="宋体" w:cs="宋体"/>
                <w:b/>
                <w:bCs/>
                <w:color w:val="auto"/>
                <w:szCs w:val="21"/>
                <w:highlight w:val="none"/>
              </w:rPr>
            </w:pPr>
          </w:p>
          <w:p w14:paraId="57FE8F7C">
            <w:pPr>
              <w:spacing w:line="360" w:lineRule="auto"/>
              <w:rPr>
                <w:color w:val="auto"/>
                <w:highlight w:val="none"/>
              </w:rPr>
            </w:pPr>
            <w:r>
              <w:rPr>
                <w:rFonts w:hint="eastAsia"/>
                <w:b/>
                <w:bCs/>
                <w:color w:val="auto"/>
                <w:sz w:val="24"/>
                <w:szCs w:val="24"/>
                <w:highlight w:val="none"/>
                <w:lang w:val="en-US" w:eastAsia="zh-CN"/>
              </w:rPr>
              <w:t>手机稳定器</w:t>
            </w:r>
          </w:p>
        </w:tc>
        <w:tc>
          <w:tcPr>
            <w:tcW w:w="4544" w:type="dxa"/>
            <w:noWrap w:val="0"/>
            <w:vAlign w:val="top"/>
          </w:tcPr>
          <w:p w14:paraId="3AE4F4C3">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一、基本技术要求：</w:t>
            </w:r>
          </w:p>
          <w:p w14:paraId="15EEA9F6">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r>
              <w:rPr>
                <w:rFonts w:hint="eastAsia" w:asciiTheme="minorEastAsia" w:hAnsiTheme="minorEastAsia" w:cstheme="minorEastAsia"/>
                <w:b w:val="0"/>
                <w:bCs w:val="0"/>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产品裸机尺寸：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188*124.3*59.3mm</w:t>
            </w: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产品重量：</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400g</w:t>
            </w:r>
          </w:p>
          <w:p w14:paraId="6A9D0F8C">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适合手机厚度：&lt;10mm</w:t>
            </w:r>
          </w:p>
          <w:p w14:paraId="341B027A">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负载重量：150g-280g</w:t>
            </w:r>
          </w:p>
          <w:p w14:paraId="007D0C4B">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俯仰轴机械动作范围：</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p w14:paraId="664B4C25">
            <w:pPr>
              <w:spacing w:line="360" w:lineRule="auto"/>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横滚轴机械动作范围：</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300°</w:t>
            </w:r>
          </w:p>
          <w:p w14:paraId="4BEAB640">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航向轴机械动作范围：</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w:t>
            </w:r>
          </w:p>
          <w:p w14:paraId="0A3819F6">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内置电池容量：1200mAh</w:t>
            </w:r>
          </w:p>
          <w:p w14:paraId="0CCF97A8">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工作电流：100mA-3000mA</w:t>
            </w:r>
          </w:p>
          <w:p w14:paraId="495D466D">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工作电压：6.5V-8.8V</w:t>
            </w:r>
          </w:p>
          <w:p w14:paraId="52B47979">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工作时间:2H-11H</w:t>
            </w:r>
          </w:p>
          <w:p w14:paraId="0E4831CB">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充电时间:&lt;2.5h</w:t>
            </w:r>
          </w:p>
          <w:p w14:paraId="6323A38C">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夹具行程:50mm-90mm</w:t>
            </w:r>
          </w:p>
          <w:p w14:paraId="726175EC">
            <w:pPr>
              <w:spacing w:line="360" w:lineRule="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伸缩杆: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190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p>
          <w:p w14:paraId="11A88B37">
            <w:pPr>
              <w:keepNext w:val="0"/>
              <w:keepLines w:val="0"/>
              <w:widowControl/>
              <w:suppressLineNumbers w:val="0"/>
              <w:spacing w:line="360" w:lineRule="auto"/>
              <w:jc w:val="left"/>
              <w:rPr>
                <w:rFonts w:hint="default" w:ascii="宋体" w:hAnsi="宋体" w:cs="宋体" w:eastAsiaTheme="minorEastAsia"/>
                <w:b w:val="0"/>
                <w:bCs/>
                <w:color w:val="auto"/>
                <w:sz w:val="21"/>
                <w:szCs w:val="21"/>
                <w:highlight w:val="none"/>
                <w:lang w:val="en-US" w:eastAsia="zh-CN"/>
              </w:rPr>
            </w:pPr>
            <w:r>
              <w:rPr>
                <w:rFonts w:hint="eastAsia" w:ascii="宋体" w:hAnsi="宋体" w:cs="宋体"/>
                <w:b/>
                <w:color w:val="auto"/>
                <w:szCs w:val="21"/>
                <w:highlight w:val="none"/>
              </w:rPr>
              <w:t>▲</w:t>
            </w:r>
            <w:r>
              <w:rPr>
                <w:rFonts w:hint="eastAsia" w:ascii="宋体" w:hAnsi="宋体" w:cs="宋体"/>
                <w:b w:val="0"/>
                <w:bCs/>
                <w:color w:val="auto"/>
                <w:szCs w:val="21"/>
                <w:highlight w:val="none"/>
                <w:lang w:val="en-US" w:eastAsia="zh-CN"/>
              </w:rPr>
              <w:t>15</w:t>
            </w:r>
            <w:r>
              <w:rPr>
                <w:rFonts w:hint="eastAsia" w:asciiTheme="minorEastAsia" w:hAnsiTheme="minorEastAsia" w:cstheme="minorEastAsia"/>
                <w:b w:val="0"/>
                <w:bCs/>
                <w:i w:val="0"/>
                <w:iCs w:val="0"/>
                <w:color w:val="auto"/>
                <w:kern w:val="0"/>
                <w:sz w:val="21"/>
                <w:szCs w:val="21"/>
                <w:highlight w:val="none"/>
                <w:u w:val="none"/>
                <w:lang w:val="en-US" w:eastAsia="zh-CN" w:bidi="ar"/>
              </w:rPr>
              <w:t>、</w:t>
            </w:r>
            <w:r>
              <w:rPr>
                <w:rFonts w:hint="eastAsia" w:ascii="宋体" w:hAnsi="宋体" w:cs="宋体"/>
                <w:b w:val="0"/>
                <w:bCs/>
                <w:color w:val="auto"/>
                <w:szCs w:val="21"/>
                <w:highlight w:val="none"/>
                <w:lang w:val="en-US" w:eastAsia="zh-CN"/>
              </w:rPr>
              <w:t>具备语音控制功能、AI跟拍模块</w:t>
            </w:r>
          </w:p>
          <w:p w14:paraId="49ED409A">
            <w:pPr>
              <w:keepNext w:val="0"/>
              <w:keepLines w:val="0"/>
              <w:widowControl/>
              <w:suppressLineNumbers w:val="0"/>
              <w:spacing w:line="360" w:lineRule="auto"/>
              <w:jc w:val="left"/>
              <w:rPr>
                <w:color w:val="auto"/>
                <w:highlight w:val="none"/>
              </w:rPr>
            </w:pPr>
            <w:r>
              <w:rPr>
                <w:rFonts w:hint="eastAsia" w:ascii="宋体" w:hAnsi="宋体" w:eastAsia="宋体" w:cs="宋体"/>
                <w:b/>
                <w:bCs w:val="0"/>
                <w:color w:val="auto"/>
                <w:sz w:val="21"/>
                <w:szCs w:val="21"/>
                <w:highlight w:val="none"/>
                <w:lang w:val="en-US" w:eastAsia="zh-CN"/>
              </w:rPr>
              <w:t>二、整机：必须符合GB4943.1-2022</w:t>
            </w:r>
            <w:r>
              <w:rPr>
                <w:rFonts w:ascii="黑体" w:hAnsi="宋体" w:eastAsia="黑体" w:cs="黑体"/>
                <w:color w:val="auto"/>
                <w:kern w:val="0"/>
                <w:sz w:val="20"/>
                <w:szCs w:val="20"/>
                <w:highlight w:val="none"/>
                <w:lang w:val="en-US" w:eastAsia="zh-CN" w:bidi="ar"/>
              </w:rPr>
              <w:t xml:space="preserve">《音视频、信息技术和通信技术设备 第 </w:t>
            </w:r>
            <w:r>
              <w:rPr>
                <w:rFonts w:ascii="Arial" w:hAnsi="Arial" w:eastAsia="宋体" w:cs="Arial"/>
                <w:color w:val="auto"/>
                <w:kern w:val="0"/>
                <w:sz w:val="20"/>
                <w:szCs w:val="20"/>
                <w:highlight w:val="none"/>
                <w:lang w:val="en-US" w:eastAsia="zh-CN" w:bidi="ar"/>
              </w:rPr>
              <w:t xml:space="preserve">1 </w:t>
            </w:r>
            <w:r>
              <w:rPr>
                <w:rFonts w:hint="eastAsia" w:ascii="黑体" w:hAnsi="宋体" w:eastAsia="黑体" w:cs="黑体"/>
                <w:color w:val="auto"/>
                <w:kern w:val="0"/>
                <w:sz w:val="20"/>
                <w:szCs w:val="20"/>
                <w:highlight w:val="none"/>
                <w:lang w:val="en-US" w:eastAsia="zh-CN" w:bidi="ar"/>
              </w:rPr>
              <w:t>部分：安全要求》</w:t>
            </w:r>
          </w:p>
          <w:p w14:paraId="55BBFBBF">
            <w:pPr>
              <w:numPr>
                <w:ilvl w:val="0"/>
                <w:numId w:val="0"/>
              </w:numPr>
              <w:spacing w:line="396" w:lineRule="exact"/>
              <w:rPr>
                <w:rFonts w:hint="eastAsia" w:ascii="宋体" w:hAnsi="宋体" w:cs="宋体"/>
                <w:b/>
                <w:bCs/>
                <w:color w:val="auto"/>
                <w:szCs w:val="21"/>
                <w:highlight w:val="none"/>
              </w:rPr>
            </w:pPr>
            <w:r>
              <w:rPr>
                <w:rFonts w:hint="eastAsia" w:ascii="宋体" w:hAnsi="宋体" w:cs="宋体"/>
                <w:color w:val="auto"/>
                <w:szCs w:val="21"/>
                <w:highlight w:val="none"/>
                <w:lang w:bidi="ar"/>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设备标</w:t>
            </w:r>
            <w:r>
              <w:rPr>
                <w:rFonts w:hint="eastAsia" w:ascii="宋体" w:hAnsi="宋体" w:eastAsia="宋体" w:cs="宋体"/>
                <w:b/>
                <w:bCs/>
                <w:color w:val="auto"/>
                <w:sz w:val="21"/>
                <w:szCs w:val="21"/>
                <w:highlight w:val="none"/>
                <w:vertAlign w:val="baseline"/>
                <w:lang w:val="en-US" w:eastAsia="zh-CN"/>
              </w:rPr>
              <w:t>记</w:t>
            </w:r>
            <w:r>
              <w:rPr>
                <w:rFonts w:hint="eastAsia" w:ascii="宋体" w:hAnsi="宋体" w:cs="宋体"/>
                <w:b/>
                <w:bCs/>
                <w:color w:val="auto"/>
                <w:szCs w:val="21"/>
                <w:highlight w:val="none"/>
              </w:rPr>
              <w:t>、说明</w:t>
            </w:r>
          </w:p>
          <w:p w14:paraId="5C2ABE91">
            <w:pPr>
              <w:numPr>
                <w:ilvl w:val="0"/>
                <w:numId w:val="0"/>
              </w:numPr>
              <w:spacing w:line="396" w:lineRule="exact"/>
              <w:rPr>
                <w:rFonts w:hint="default" w:ascii="宋体" w:hAnsi="宋体" w:cs="宋体" w:eastAsiaTheme="minorEastAsia"/>
                <w:b/>
                <w:bCs/>
                <w:color w:val="auto"/>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1</w:t>
            </w:r>
            <w:r>
              <w:rPr>
                <w:rFonts w:hint="eastAsia" w:ascii="宋体" w:hAnsi="宋体" w:cs="宋体"/>
                <w:b w:val="0"/>
                <w:bCs w:val="0"/>
                <w:color w:val="auto"/>
                <w:szCs w:val="21"/>
                <w:highlight w:val="none"/>
                <w:lang w:val="en-US"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字母符号</w:t>
            </w:r>
            <w:r>
              <w:rPr>
                <w:rFonts w:hint="eastAsia" w:ascii="宋体" w:hAnsi="宋体" w:cs="宋体"/>
                <w:color w:val="auto"/>
                <w:szCs w:val="21"/>
                <w:highlight w:val="none"/>
                <w:lang w:val="en-US" w:eastAsia="zh-CN"/>
              </w:rPr>
              <w:t>符合IEC60027-1</w:t>
            </w:r>
          </w:p>
          <w:p w14:paraId="480701CC">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1.2图形</w:t>
            </w:r>
            <w:r>
              <w:rPr>
                <w:rFonts w:hint="eastAsia" w:ascii="宋体" w:hAnsi="宋体" w:cs="宋体"/>
                <w:color w:val="auto"/>
                <w:szCs w:val="21"/>
                <w:highlight w:val="none"/>
              </w:rPr>
              <w:t>符号</w:t>
            </w:r>
            <w:r>
              <w:rPr>
                <w:rFonts w:hint="eastAsia" w:ascii="宋体" w:hAnsi="宋体" w:cs="宋体"/>
                <w:color w:val="auto"/>
                <w:szCs w:val="21"/>
                <w:highlight w:val="none"/>
                <w:lang w:val="en-US" w:eastAsia="zh-CN"/>
              </w:rPr>
              <w:t>符合相关GB、IEC、ISO标准或制造商的规定；</w:t>
            </w:r>
          </w:p>
          <w:p w14:paraId="756AD88A">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1.3设备标志的位置在样品可见位置或临近需要标志的部位或区域；（或设备标志位于外壳外面）；</w:t>
            </w:r>
          </w:p>
          <w:p w14:paraId="5BC8FEB5">
            <w:pPr>
              <w:spacing w:line="396"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1.4设备的识别标志应该有：制造商标识、型号标识；</w:t>
            </w:r>
          </w:p>
          <w:p w14:paraId="4A3CE77A">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1.5设备</w:t>
            </w:r>
            <w:r>
              <w:rPr>
                <w:rFonts w:hint="eastAsia" w:ascii="宋体" w:hAnsi="宋体" w:cs="宋体"/>
                <w:color w:val="auto"/>
                <w:szCs w:val="21"/>
                <w:highlight w:val="none"/>
              </w:rPr>
              <w:t>额定</w:t>
            </w:r>
            <w:r>
              <w:rPr>
                <w:rFonts w:hint="eastAsia" w:ascii="宋体" w:hAnsi="宋体" w:cs="宋体"/>
                <w:color w:val="auto"/>
                <w:szCs w:val="21"/>
                <w:highlight w:val="none"/>
                <w:lang w:val="en-US" w:eastAsia="zh-CN"/>
              </w:rPr>
              <w:t>值的标志应该有：不直接和电网电源连接的设备、供电电压的性质、</w:t>
            </w:r>
            <w:r>
              <w:rPr>
                <w:rFonts w:hint="eastAsia" w:ascii="宋体" w:hAnsi="宋体" w:cs="宋体"/>
                <w:color w:val="auto"/>
                <w:szCs w:val="21"/>
                <w:highlight w:val="none"/>
              </w:rPr>
              <w:t>额定</w:t>
            </w:r>
            <w:r>
              <w:rPr>
                <w:rFonts w:hint="eastAsia" w:ascii="宋体" w:hAnsi="宋体" w:cs="宋体"/>
                <w:color w:val="auto"/>
                <w:szCs w:val="21"/>
                <w:highlight w:val="none"/>
                <w:lang w:val="en-US" w:eastAsia="zh-CN"/>
              </w:rPr>
              <w:t>电压、</w:t>
            </w:r>
            <w:r>
              <w:rPr>
                <w:rFonts w:hint="eastAsia" w:ascii="宋体" w:hAnsi="宋体" w:cs="宋体"/>
                <w:color w:val="auto"/>
                <w:szCs w:val="21"/>
                <w:highlight w:val="none"/>
              </w:rPr>
              <w:t>额定</w:t>
            </w:r>
            <w:r>
              <w:rPr>
                <w:rFonts w:hint="eastAsia" w:ascii="宋体" w:hAnsi="宋体" w:cs="宋体"/>
                <w:color w:val="auto"/>
                <w:szCs w:val="21"/>
                <w:highlight w:val="none"/>
                <w:lang w:val="en-US" w:eastAsia="zh-CN"/>
              </w:rPr>
              <w:t>电流或</w:t>
            </w:r>
            <w:r>
              <w:rPr>
                <w:rFonts w:hint="eastAsia" w:ascii="宋体" w:hAnsi="宋体" w:cs="宋体"/>
                <w:color w:val="auto"/>
                <w:szCs w:val="21"/>
                <w:highlight w:val="none"/>
              </w:rPr>
              <w:t>额定</w:t>
            </w:r>
            <w:r>
              <w:rPr>
                <w:rFonts w:hint="eastAsia" w:ascii="宋体" w:hAnsi="宋体" w:cs="宋体"/>
                <w:color w:val="auto"/>
                <w:szCs w:val="21"/>
                <w:highlight w:val="none"/>
                <w:lang w:val="en-US" w:eastAsia="zh-CN"/>
              </w:rPr>
              <w:t>功率；</w:t>
            </w:r>
          </w:p>
          <w:p w14:paraId="5BFE9BCD">
            <w:pPr>
              <w:spacing w:line="396"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1.6标志的耐久性、清晰性和持久性：标签清晰耐久，易于辩认或识别；</w:t>
            </w:r>
          </w:p>
          <w:p w14:paraId="2EB5B913">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1.7标志持久性试验：对名牌和其他标识用沾有水擦拭15s，再用沾有正已烷（或蘸有溶剂油）的布擦拭15s后，</w:t>
            </w:r>
            <w:r>
              <w:rPr>
                <w:rFonts w:hint="eastAsia" w:asciiTheme="minorEastAsia" w:hAnsiTheme="minorEastAsia" w:eastAsiaTheme="minorEastAsia" w:cstheme="minorEastAsia"/>
                <w:color w:val="auto"/>
                <w:sz w:val="21"/>
                <w:szCs w:val="21"/>
                <w:highlight w:val="none"/>
                <w:lang w:val="en-US" w:eastAsia="zh-CN"/>
              </w:rPr>
              <w:t>标志仍保持清晰</w:t>
            </w:r>
            <w:r>
              <w:rPr>
                <w:rFonts w:hint="eastAsia" w:asciiTheme="minorEastAsia" w:hAnsiTheme="minorEastAsia" w:cstheme="minorEastAsia"/>
                <w:color w:val="auto"/>
                <w:sz w:val="21"/>
                <w:szCs w:val="21"/>
                <w:highlight w:val="none"/>
                <w:lang w:val="en-US" w:eastAsia="zh-CN"/>
              </w:rPr>
              <w:t>，</w:t>
            </w:r>
            <w:r>
              <w:rPr>
                <w:rFonts w:hint="eastAsia" w:ascii="宋体" w:hAnsi="宋体" w:cs="宋体"/>
                <w:color w:val="auto"/>
                <w:szCs w:val="21"/>
                <w:highlight w:val="none"/>
                <w:lang w:val="en-US" w:eastAsia="zh-CN"/>
              </w:rPr>
              <w:t>标志未卷边；</w:t>
            </w:r>
          </w:p>
          <w:p w14:paraId="10500547">
            <w:pPr>
              <w:spacing w:line="396" w:lineRule="exact"/>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1.8说明书有安装或初次使用前的信息，有安装和互连设备的说明</w:t>
            </w:r>
            <w:r>
              <w:rPr>
                <w:rFonts w:hint="eastAsia" w:ascii="宋体" w:hAnsi="宋体" w:cs="宋体"/>
                <w:color w:val="auto"/>
                <w:szCs w:val="21"/>
                <w:highlight w:val="none"/>
                <w:lang w:eastAsia="zh-CN"/>
              </w:rPr>
              <w:t>；</w:t>
            </w:r>
          </w:p>
          <w:p w14:paraId="6F73CE2D">
            <w:pPr>
              <w:spacing w:line="396" w:lineRule="exact"/>
              <w:rPr>
                <w:rFonts w:hint="eastAsia" w:ascii="宋体" w:hAnsi="宋体" w:cs="宋体" w:eastAsiaTheme="minorEastAsia"/>
                <w:b/>
                <w:bCs/>
                <w:color w:val="auto"/>
                <w:szCs w:val="21"/>
                <w:highlight w:val="none"/>
                <w:lang w:val="en-US" w:eastAsia="zh-CN"/>
              </w:rPr>
            </w:pP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2</w:t>
            </w:r>
            <w:r>
              <w:rPr>
                <w:rFonts w:hint="eastAsia" w:ascii="宋体" w:hAnsi="宋体" w:cs="宋体"/>
                <w:b/>
                <w:bCs/>
                <w:color w:val="auto"/>
                <w:szCs w:val="21"/>
                <w:highlight w:val="none"/>
                <w:lang w:val="en-US" w:eastAsia="zh-CN" w:bidi="ar"/>
              </w:rPr>
              <w:t>、</w:t>
            </w:r>
            <w:r>
              <w:rPr>
                <w:rFonts w:hint="eastAsia" w:ascii="宋体" w:hAnsi="宋体" w:cs="宋体"/>
                <w:b/>
                <w:bCs/>
                <w:color w:val="auto"/>
                <w:szCs w:val="21"/>
                <w:highlight w:val="none"/>
                <w:lang w:val="en-US" w:eastAsia="zh-CN"/>
              </w:rPr>
              <w:t>安全</w:t>
            </w:r>
            <w:r>
              <w:rPr>
                <w:rFonts w:hint="eastAsia" w:ascii="宋体" w:hAnsi="宋体" w:cs="宋体"/>
                <w:b/>
                <w:bCs/>
                <w:color w:val="auto"/>
                <w:szCs w:val="21"/>
                <w:highlight w:val="none"/>
              </w:rPr>
              <w:t>防护</w:t>
            </w:r>
            <w:r>
              <w:rPr>
                <w:rFonts w:hint="eastAsia" w:ascii="宋体" w:hAnsi="宋体" w:cs="宋体"/>
                <w:b/>
                <w:bCs/>
                <w:color w:val="auto"/>
                <w:szCs w:val="21"/>
                <w:highlight w:val="none"/>
                <w:lang w:val="en-US" w:eastAsia="zh-CN"/>
              </w:rPr>
              <w:t>强度</w:t>
            </w:r>
          </w:p>
          <w:p w14:paraId="56F039F6">
            <w:pPr>
              <w:spacing w:line="396" w:lineRule="exact"/>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2.1</w:t>
            </w:r>
            <w:r>
              <w:rPr>
                <w:rFonts w:hint="eastAsia" w:ascii="宋体" w:hAnsi="宋体" w:eastAsia="宋体" w:cs="宋体"/>
                <w:b w:val="0"/>
                <w:bCs w:val="0"/>
                <w:color w:val="auto"/>
                <w:sz w:val="21"/>
                <w:szCs w:val="21"/>
                <w:highlight w:val="none"/>
                <w:lang w:val="en-US" w:eastAsia="zh-CN"/>
              </w:rPr>
              <w:t>机械强度</w:t>
            </w:r>
            <w:r>
              <w:rPr>
                <w:rFonts w:hint="eastAsia" w:ascii="宋体" w:hAnsi="宋体" w:eastAsia="宋体" w:cs="宋体"/>
                <w:b w:val="0"/>
                <w:bCs w:val="0"/>
                <w:i w:val="0"/>
                <w:iCs w:val="0"/>
                <w:caps w:val="0"/>
                <w:color w:val="auto"/>
                <w:spacing w:val="0"/>
                <w:sz w:val="21"/>
                <w:szCs w:val="21"/>
                <w:highlight w:val="none"/>
                <w:shd w:val="clear" w:fill="FFFFFF"/>
                <w:lang w:val="en-US" w:eastAsia="zh-CN"/>
              </w:rPr>
              <w:t>试</w:t>
            </w:r>
            <w:r>
              <w:rPr>
                <w:rFonts w:hint="eastAsia" w:ascii="宋体" w:hAnsi="宋体" w:eastAsia="宋体" w:cs="宋体"/>
                <w:b w:val="0"/>
                <w:bCs w:val="0"/>
                <w:color w:val="auto"/>
                <w:sz w:val="21"/>
                <w:szCs w:val="21"/>
                <w:highlight w:val="none"/>
                <w:lang w:val="en-US" w:eastAsia="zh-CN"/>
              </w:rPr>
              <w:t xml:space="preserve">验 </w:t>
            </w:r>
          </w:p>
          <w:p w14:paraId="22B68FE9">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2.1.1符合100N或250N恒定力</w:t>
            </w:r>
            <w:r>
              <w:rPr>
                <w:rFonts w:hint="eastAsia" w:asciiTheme="minorEastAsia" w:hAnsiTheme="minorEastAsia" w:eastAsiaTheme="minorEastAsia" w:cstheme="minorEastAsia"/>
                <w:b w:val="0"/>
                <w:bCs/>
                <w:i w:val="0"/>
                <w:iCs w:val="0"/>
                <w:caps w:val="0"/>
                <w:color w:val="auto"/>
                <w:spacing w:val="0"/>
                <w:sz w:val="21"/>
                <w:szCs w:val="21"/>
                <w:highlight w:val="none"/>
                <w:shd w:val="clear" w:fill="FFFFFF"/>
                <w:lang w:val="en-US" w:eastAsia="zh-CN"/>
              </w:rPr>
              <w:t>试</w:t>
            </w:r>
            <w:r>
              <w:rPr>
                <w:rFonts w:hint="eastAsia" w:ascii="宋体" w:hAnsi="宋体" w:cs="宋体"/>
                <w:color w:val="auto"/>
                <w:szCs w:val="21"/>
                <w:highlight w:val="none"/>
                <w:lang w:val="en-US" w:eastAsia="zh-CN"/>
              </w:rPr>
              <w:t>验；</w:t>
            </w:r>
          </w:p>
          <w:p w14:paraId="644275C3">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2.1.2符合跌落</w:t>
            </w:r>
            <w:r>
              <w:rPr>
                <w:rFonts w:hint="eastAsia" w:asciiTheme="minorEastAsia" w:hAnsiTheme="minorEastAsia" w:eastAsiaTheme="minorEastAsia" w:cstheme="minorEastAsia"/>
                <w:b w:val="0"/>
                <w:bCs/>
                <w:i w:val="0"/>
                <w:iCs w:val="0"/>
                <w:caps w:val="0"/>
                <w:color w:val="auto"/>
                <w:spacing w:val="0"/>
                <w:sz w:val="21"/>
                <w:szCs w:val="21"/>
                <w:highlight w:val="none"/>
                <w:shd w:val="clear" w:fill="FFFFFF"/>
                <w:lang w:val="en-US" w:eastAsia="zh-CN"/>
              </w:rPr>
              <w:t>试</w:t>
            </w:r>
            <w:r>
              <w:rPr>
                <w:rFonts w:hint="eastAsia" w:ascii="宋体" w:hAnsi="宋体" w:cs="宋体"/>
                <w:color w:val="auto"/>
                <w:szCs w:val="21"/>
                <w:highlight w:val="none"/>
                <w:lang w:val="en-US" w:eastAsia="zh-CN"/>
              </w:rPr>
              <w:t>验；</w:t>
            </w:r>
          </w:p>
          <w:p w14:paraId="7447CE37">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b/>
                <w:bCs/>
                <w:color w:val="auto"/>
                <w:szCs w:val="21"/>
                <w:highlight w:val="none"/>
                <w:lang w:val="en-US" w:eastAsia="zh-CN"/>
              </w:rPr>
              <w:t>、爆炸</w:t>
            </w:r>
          </w:p>
          <w:p w14:paraId="04D3D12D">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在正常工作条件和异常工作条件期间不应发生爆炸，在单一故障条件期间发生爆炸不应导致伤害；</w:t>
            </w:r>
          </w:p>
          <w:p w14:paraId="4312C1C4">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b/>
                <w:color w:val="auto"/>
                <w:szCs w:val="21"/>
                <w:highlight w:val="none"/>
              </w:rPr>
              <w:t>▲</w:t>
            </w:r>
            <w:r>
              <w:rPr>
                <w:rFonts w:hint="eastAsia" w:ascii="宋体" w:hAnsi="宋体" w:cs="宋体"/>
                <w:color w:val="auto"/>
                <w:szCs w:val="21"/>
                <w:highlight w:val="none"/>
                <w:lang w:val="en-US" w:eastAsia="zh-CN" w:bidi="ar"/>
              </w:rPr>
              <w:t>4</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电引起的伤害</w:t>
            </w:r>
          </w:p>
          <w:p w14:paraId="070593FE">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4.1符合电能量源的分级和限值要求</w:t>
            </w:r>
          </w:p>
          <w:p w14:paraId="0EC2B210">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4.2符合ES1和ES2限值要求</w:t>
            </w:r>
          </w:p>
          <w:p w14:paraId="3E912279">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4.3电能量源的</w:t>
            </w:r>
            <w:r>
              <w:rPr>
                <w:rFonts w:hint="eastAsia" w:ascii="宋体" w:hAnsi="宋体" w:cs="宋体"/>
                <w:b w:val="0"/>
                <w:bCs w:val="0"/>
                <w:color w:val="auto"/>
                <w:szCs w:val="21"/>
                <w:highlight w:val="none"/>
              </w:rPr>
              <w:t>防护</w:t>
            </w:r>
            <w:r>
              <w:rPr>
                <w:rFonts w:hint="eastAsia" w:ascii="宋体" w:hAnsi="宋体" w:cs="宋体"/>
                <w:color w:val="auto"/>
                <w:szCs w:val="21"/>
                <w:highlight w:val="none"/>
                <w:lang w:val="en-US" w:eastAsia="zh-CN"/>
              </w:rPr>
              <w:t>符合对普通人员、受过培训的人员和熟练技术人员可触及的零部件的</w:t>
            </w:r>
            <w:r>
              <w:rPr>
                <w:rFonts w:hint="eastAsia" w:ascii="宋体" w:hAnsi="宋体" w:cs="宋体"/>
                <w:b w:val="0"/>
                <w:bCs w:val="0"/>
                <w:color w:val="auto"/>
                <w:szCs w:val="21"/>
                <w:highlight w:val="none"/>
              </w:rPr>
              <w:t>防护</w:t>
            </w:r>
            <w:r>
              <w:rPr>
                <w:rFonts w:hint="eastAsia" w:ascii="宋体" w:hAnsi="宋体" w:cs="宋体"/>
                <w:b w:val="0"/>
                <w:bCs w:val="0"/>
                <w:color w:val="auto"/>
                <w:szCs w:val="21"/>
                <w:highlight w:val="none"/>
                <w:lang w:val="en-US" w:eastAsia="zh-CN"/>
              </w:rPr>
              <w:t>要求，输入和可接触表面为</w:t>
            </w:r>
            <w:r>
              <w:rPr>
                <w:rFonts w:hint="eastAsia" w:ascii="宋体" w:hAnsi="宋体" w:cs="宋体"/>
                <w:color w:val="auto"/>
                <w:szCs w:val="21"/>
                <w:highlight w:val="none"/>
                <w:lang w:val="en-US" w:eastAsia="zh-CN"/>
              </w:rPr>
              <w:t>ES1</w:t>
            </w:r>
            <w:r>
              <w:rPr>
                <w:rFonts w:hint="eastAsia" w:ascii="宋体" w:hAnsi="宋体" w:cs="宋体"/>
                <w:b w:val="0"/>
                <w:bCs w:val="0"/>
                <w:color w:val="auto"/>
                <w:szCs w:val="21"/>
                <w:highlight w:val="none"/>
                <w:lang w:val="en-US" w:eastAsia="zh-CN"/>
              </w:rPr>
              <w:t>电路；</w:t>
            </w:r>
          </w:p>
          <w:p w14:paraId="520D024A">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4.4绝缘材料和要求：材料、元器件、和系统的最高工作温度符合标准要求；</w:t>
            </w:r>
          </w:p>
          <w:p w14:paraId="54B732A2">
            <w:pPr>
              <w:spacing w:line="396" w:lineRule="exact"/>
              <w:rPr>
                <w:rFonts w:hint="default" w:ascii="宋体" w:hAnsi="宋体" w:cs="宋体"/>
                <w:color w:val="auto"/>
                <w:szCs w:val="21"/>
                <w:highlight w:val="none"/>
                <w:lang w:val="en-US"/>
              </w:rPr>
            </w:pPr>
            <w:r>
              <w:rPr>
                <w:rFonts w:hint="eastAsia" w:ascii="宋体" w:hAnsi="宋体" w:cs="宋体"/>
                <w:b/>
                <w:color w:val="auto"/>
                <w:szCs w:val="21"/>
                <w:highlight w:val="none"/>
              </w:rPr>
              <w:t>▲</w:t>
            </w:r>
            <w:r>
              <w:rPr>
                <w:rFonts w:hint="eastAsia" w:ascii="宋体" w:hAnsi="宋体" w:cs="宋体"/>
                <w:color w:val="auto"/>
                <w:szCs w:val="21"/>
                <w:highlight w:val="none"/>
                <w:lang w:val="en-US" w:eastAsia="zh-CN" w:bidi="ar"/>
              </w:rPr>
              <w:t>5</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电引起的着火</w:t>
            </w:r>
          </w:p>
          <w:p w14:paraId="5F315F30">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5.1功率源（PS）电路的分级符合标准要求、潜在引燃源（PlS）的分级符合标准要求；</w:t>
            </w:r>
          </w:p>
          <w:p w14:paraId="49EC9FB6">
            <w:pPr>
              <w:spacing w:line="396"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5.2在正常工作条件和异常工作条件下着火的安全防护：不会发生引燃，并且设备各部位的温度值低于GB/T4610规定的自燃温度的90%或300</w:t>
            </w:r>
            <w:r>
              <w:rPr>
                <w:rFonts w:hint="eastAsia" w:asciiTheme="minorEastAsia" w:hAnsiTheme="minorEastAsia" w:eastAsiaTheme="minorEastAsia" w:cstheme="minorEastAsia"/>
                <w:i w:val="0"/>
                <w:iCs w:val="0"/>
                <w:caps w:val="0"/>
                <w:color w:val="auto"/>
                <w:spacing w:val="0"/>
                <w:sz w:val="21"/>
                <w:szCs w:val="21"/>
                <w:highlight w:val="none"/>
                <w:shd w:val="clear" w:fill="FFFFFF"/>
              </w:rPr>
              <w:t>℃</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cs="宋体"/>
                <w:color w:val="auto"/>
                <w:szCs w:val="21"/>
                <w:highlight w:val="none"/>
                <w:lang w:val="en-US" w:eastAsia="zh-CN"/>
              </w:rPr>
              <w:t>材料的自燃温度未知时）</w:t>
            </w:r>
          </w:p>
          <w:p w14:paraId="00556677">
            <w:pPr>
              <w:spacing w:line="396"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bidi="ar"/>
              </w:rPr>
              <w:t>6</w:t>
            </w:r>
            <w:r>
              <w:rPr>
                <w:rFonts w:hint="eastAsia" w:ascii="宋体" w:hAnsi="宋体" w:cs="宋体"/>
                <w:b/>
                <w:bCs/>
                <w:color w:val="auto"/>
                <w:szCs w:val="21"/>
                <w:highlight w:val="none"/>
              </w:rPr>
              <w:t>、热灼伤</w:t>
            </w:r>
          </w:p>
          <w:p w14:paraId="2755161A">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6.1</w:t>
            </w:r>
            <w:r>
              <w:rPr>
                <w:rFonts w:hint="eastAsia" w:ascii="宋体" w:hAnsi="宋体" w:cs="宋体"/>
                <w:b w:val="0"/>
                <w:bCs w:val="0"/>
                <w:color w:val="auto"/>
                <w:szCs w:val="21"/>
                <w:highlight w:val="none"/>
              </w:rPr>
              <w:t>热</w:t>
            </w:r>
            <w:r>
              <w:rPr>
                <w:rFonts w:hint="eastAsia" w:ascii="宋体" w:hAnsi="宋体" w:cs="宋体"/>
                <w:color w:val="auto"/>
                <w:szCs w:val="21"/>
                <w:highlight w:val="none"/>
                <w:lang w:val="en-US" w:eastAsia="zh-CN"/>
              </w:rPr>
              <w:t>能量源分级应符合标准要求；</w:t>
            </w:r>
          </w:p>
          <w:p w14:paraId="66003840">
            <w:pPr>
              <w:spacing w:line="396" w:lineRule="exac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6.2可触及零部件的接触温度应符合标准要求；</w:t>
            </w:r>
          </w:p>
          <w:p w14:paraId="2DA6E331">
            <w:pPr>
              <w:widowControl/>
              <w:spacing w:line="360" w:lineRule="auto"/>
              <w:jc w:val="left"/>
              <w:rPr>
                <w:rFonts w:hint="eastAsia" w:ascii="宋体" w:hAnsi="宋体" w:cs="宋体"/>
                <w:b/>
                <w:bCs/>
                <w:color w:val="auto"/>
                <w:szCs w:val="21"/>
                <w:highlight w:val="none"/>
              </w:rPr>
            </w:pPr>
            <w:r>
              <w:rPr>
                <w:rFonts w:hint="eastAsia" w:ascii="宋体" w:hAnsi="宋体" w:cs="宋体"/>
                <w:b/>
                <w:color w:val="auto"/>
                <w:szCs w:val="21"/>
                <w:highlight w:val="none"/>
              </w:rPr>
              <w:t>▲</w:t>
            </w:r>
            <w:r>
              <w:rPr>
                <w:rFonts w:hint="eastAsia" w:ascii="宋体" w:hAnsi="宋体" w:cs="宋体"/>
                <w:b/>
                <w:bCs/>
                <w:color w:val="auto"/>
                <w:szCs w:val="21"/>
                <w:highlight w:val="none"/>
                <w:lang w:val="en-US" w:eastAsia="zh-CN" w:bidi="ar"/>
              </w:rPr>
              <w:t>7</w:t>
            </w:r>
            <w:r>
              <w:rPr>
                <w:rFonts w:hint="eastAsia" w:ascii="宋体" w:hAnsi="宋体" w:cs="宋体"/>
                <w:b/>
                <w:bCs/>
                <w:color w:val="auto"/>
                <w:szCs w:val="21"/>
                <w:highlight w:val="none"/>
              </w:rPr>
              <w:t>、单一故障条件下电池充放电</w:t>
            </w:r>
          </w:p>
          <w:p w14:paraId="5C52C3DD">
            <w:pPr>
              <w:widowControl/>
              <w:spacing w:line="360" w:lineRule="auto"/>
              <w:jc w:val="left"/>
              <w:rPr>
                <w:rFonts w:hint="eastAsia" w:ascii="宋体" w:hAnsi="宋体" w:cs="宋体" w:eastAsiaTheme="minorEastAsia"/>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设备内提供的电池组保护电路：充电电池组的过充电试验和过度放电试验应符合标准</w:t>
            </w:r>
            <w:r>
              <w:rPr>
                <w:rFonts w:hint="eastAsia" w:ascii="宋体" w:hAnsi="宋体" w:cs="宋体"/>
                <w:b w:val="0"/>
                <w:bCs w:val="0"/>
                <w:color w:val="auto"/>
                <w:szCs w:val="21"/>
                <w:highlight w:val="none"/>
              </w:rPr>
              <w:t>（附录M）</w:t>
            </w:r>
            <w:r>
              <w:rPr>
                <w:rFonts w:hint="eastAsia" w:ascii="宋体" w:hAnsi="宋体" w:cs="宋体"/>
                <w:b w:val="0"/>
                <w:bCs w:val="0"/>
                <w:color w:val="auto"/>
                <w:szCs w:val="21"/>
                <w:highlight w:val="none"/>
                <w:lang w:val="en-US" w:eastAsia="zh-CN"/>
              </w:rPr>
              <w:t>要求</w:t>
            </w:r>
          </w:p>
          <w:p w14:paraId="11231B96">
            <w:pPr>
              <w:widowControl/>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辐射发射</w:t>
            </w:r>
          </w:p>
          <w:p w14:paraId="039B3F72">
            <w:pPr>
              <w:widowControl/>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传导发射</w:t>
            </w:r>
          </w:p>
          <w:p w14:paraId="3A13FEE6">
            <w:pPr>
              <w:widowControl/>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电压波动与闪烁，</w:t>
            </w:r>
          </w:p>
          <w:p w14:paraId="2BF2B54D">
            <w:pPr>
              <w:widowControl/>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11、</w:t>
            </w:r>
            <w:r>
              <w:rPr>
                <w:rFonts w:hint="eastAsia" w:ascii="宋体" w:hAnsi="宋体" w:cs="宋体"/>
                <w:b/>
                <w:color w:val="auto"/>
                <w:szCs w:val="21"/>
                <w:highlight w:val="none"/>
              </w:rPr>
              <w:t>静电放电</w:t>
            </w:r>
          </w:p>
          <w:p w14:paraId="3F81D0D1">
            <w:pPr>
              <w:widowControl/>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连续射频电磁场骚扰</w:t>
            </w:r>
          </w:p>
          <w:p w14:paraId="4307EC3C">
            <w:pPr>
              <w:widowControl/>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13、</w:t>
            </w:r>
            <w:r>
              <w:rPr>
                <w:rFonts w:hint="eastAsia" w:ascii="宋体" w:hAnsi="宋体" w:cs="宋体"/>
                <w:b/>
                <w:color w:val="auto"/>
                <w:szCs w:val="21"/>
                <w:highlight w:val="none"/>
              </w:rPr>
              <w:t>连续射频感应骚扰</w:t>
            </w:r>
          </w:p>
          <w:p w14:paraId="74049A9E">
            <w:pPr>
              <w:widowControl/>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14、</w:t>
            </w:r>
            <w:r>
              <w:rPr>
                <w:rFonts w:hint="eastAsia" w:ascii="宋体" w:hAnsi="宋体" w:cs="宋体"/>
                <w:b/>
                <w:color w:val="auto"/>
                <w:szCs w:val="21"/>
                <w:highlight w:val="none"/>
              </w:rPr>
              <w:t>电压暂降与电压中断</w:t>
            </w:r>
          </w:p>
          <w:p w14:paraId="330E0F53">
            <w:pPr>
              <w:spacing w:line="360" w:lineRule="auto"/>
              <w:rPr>
                <w:rFonts w:hint="eastAsia" w:asciiTheme="minorEastAsia" w:hAnsiTheme="minorEastAsia" w:eastAsiaTheme="minorEastAsia" w:cstheme="minorEastAsia"/>
                <w:b/>
                <w:bCs/>
                <w:color w:val="auto"/>
                <w:sz w:val="21"/>
                <w:szCs w:val="21"/>
                <w:highlight w:val="none"/>
                <w:lang w:eastAsia="zh-CN"/>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以上标注</w:t>
            </w:r>
            <w:r>
              <w:rPr>
                <w:rFonts w:hint="eastAsia" w:ascii="宋体" w:hAnsi="宋体" w:cs="宋体"/>
                <w:b/>
                <w:bCs/>
                <w:color w:val="auto"/>
                <w:szCs w:val="21"/>
                <w:highlight w:val="none"/>
              </w:rPr>
              <w:t>“★”项必须提供</w:t>
            </w:r>
            <w:r>
              <w:rPr>
                <w:rFonts w:hint="eastAsia" w:ascii="宋体" w:hAnsi="宋体" w:cs="宋体"/>
                <w:b/>
                <w:bCs/>
                <w:color w:val="auto"/>
                <w:kern w:val="0"/>
                <w:szCs w:val="21"/>
                <w:highlight w:val="none"/>
              </w:rPr>
              <w:t>202</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年以来由国家认可的具有CMA检测资质的第三方检测机构出具的合格有效检测（验）报告复印件并加盖供应商CA签章，</w:t>
            </w:r>
            <w:r>
              <w:rPr>
                <w:rFonts w:hint="eastAsia" w:ascii="宋体" w:hAnsi="宋体" w:cs="宋体"/>
                <w:b/>
                <w:bCs/>
                <w:color w:val="auto"/>
                <w:szCs w:val="21"/>
                <w:highlight w:val="none"/>
              </w:rPr>
              <w:t>否则投标文件按无效处理。</w:t>
            </w:r>
          </w:p>
          <w:p w14:paraId="30302E7D">
            <w:pPr>
              <w:widowControl/>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三、礼盒</w:t>
            </w:r>
          </w:p>
          <w:p w14:paraId="19C7EFAB">
            <w:pPr>
              <w:widowControl/>
              <w:spacing w:line="360" w:lineRule="auto"/>
              <w:ind w:firstLine="210" w:firstLineChars="100"/>
              <w:jc w:val="left"/>
              <w:rPr>
                <w:color w:val="auto"/>
                <w:highlight w:val="none"/>
              </w:rPr>
            </w:pPr>
            <w:r>
              <w:rPr>
                <w:rFonts w:hint="eastAsia" w:asciiTheme="majorEastAsia" w:hAnsiTheme="majorEastAsia" w:eastAsiaTheme="majorEastAsia" w:cstheme="majorEastAsia"/>
                <w:bCs/>
                <w:color w:val="auto"/>
                <w:szCs w:val="21"/>
                <w:highlight w:val="none"/>
              </w:rPr>
              <w:t>高端天地盖礼品专用盒/盖：350 克白卡，胶印四色加印金，复亚膜，烫金；压痕底：350 克白卡复亚膜，裱瓦 E 瓦楞，压痕底；外配相同材质的高端手提袋，并印有</w:t>
            </w:r>
            <w:r>
              <w:rPr>
                <w:rFonts w:hint="eastAsia" w:asciiTheme="majorEastAsia" w:hAnsiTheme="majorEastAsia" w:eastAsiaTheme="majorEastAsia" w:cstheme="majorEastAsia"/>
                <w:color w:val="auto"/>
                <w:sz w:val="21"/>
                <w:szCs w:val="21"/>
                <w:highlight w:val="none"/>
              </w:rPr>
              <w:t>“中共桂林市委员会桂林市人大常委会</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桂林市人民政府</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政协桂林市委员会赠”和“2025年·春节”字样</w:t>
            </w:r>
            <w:r>
              <w:rPr>
                <w:rFonts w:hint="eastAsia" w:asciiTheme="majorEastAsia" w:hAnsiTheme="majorEastAsia" w:eastAsiaTheme="majorEastAsia" w:cstheme="majorEastAsia"/>
                <w:bCs/>
                <w:color w:val="auto"/>
                <w:sz w:val="21"/>
                <w:szCs w:val="21"/>
                <w:highlight w:val="none"/>
              </w:rPr>
              <w:t>。</w:t>
            </w:r>
          </w:p>
        </w:tc>
        <w:tc>
          <w:tcPr>
            <w:tcW w:w="761" w:type="dxa"/>
            <w:noWrap w:val="0"/>
            <w:vAlign w:val="top"/>
          </w:tcPr>
          <w:p w14:paraId="1B51BA20">
            <w:pPr>
              <w:spacing w:line="360" w:lineRule="auto"/>
              <w:rPr>
                <w:rFonts w:ascii="宋体" w:hAnsi="宋体" w:cs="宋体"/>
                <w:color w:val="auto"/>
                <w:szCs w:val="21"/>
                <w:highlight w:val="none"/>
              </w:rPr>
            </w:pPr>
          </w:p>
          <w:p w14:paraId="1C28FF02">
            <w:pPr>
              <w:spacing w:line="360" w:lineRule="auto"/>
              <w:rPr>
                <w:rFonts w:ascii="宋体" w:hAnsi="宋体" w:cs="宋体"/>
                <w:color w:val="auto"/>
                <w:szCs w:val="21"/>
                <w:highlight w:val="none"/>
              </w:rPr>
            </w:pPr>
          </w:p>
          <w:p w14:paraId="58A9DEBF">
            <w:pPr>
              <w:spacing w:line="360" w:lineRule="auto"/>
              <w:rPr>
                <w:rFonts w:ascii="宋体" w:hAnsi="宋体" w:cs="宋体"/>
                <w:color w:val="auto"/>
                <w:szCs w:val="21"/>
                <w:highlight w:val="none"/>
              </w:rPr>
            </w:pPr>
          </w:p>
          <w:p w14:paraId="23CE2051">
            <w:pPr>
              <w:spacing w:line="360" w:lineRule="auto"/>
              <w:rPr>
                <w:rFonts w:ascii="宋体" w:hAnsi="宋体" w:cs="宋体"/>
                <w:color w:val="auto"/>
                <w:szCs w:val="21"/>
                <w:highlight w:val="none"/>
              </w:rPr>
            </w:pPr>
          </w:p>
          <w:p w14:paraId="55084DAB">
            <w:pPr>
              <w:spacing w:line="360" w:lineRule="auto"/>
              <w:rPr>
                <w:rFonts w:ascii="宋体" w:hAnsi="宋体" w:cs="宋体"/>
                <w:color w:val="auto"/>
                <w:szCs w:val="21"/>
                <w:highlight w:val="none"/>
              </w:rPr>
            </w:pPr>
          </w:p>
          <w:p w14:paraId="10783744">
            <w:pPr>
              <w:spacing w:line="360" w:lineRule="auto"/>
              <w:rPr>
                <w:rFonts w:ascii="宋体" w:hAnsi="宋体" w:cs="宋体"/>
                <w:color w:val="auto"/>
                <w:szCs w:val="21"/>
                <w:highlight w:val="none"/>
              </w:rPr>
            </w:pPr>
          </w:p>
          <w:p w14:paraId="1C1430E6">
            <w:pPr>
              <w:spacing w:line="360" w:lineRule="auto"/>
              <w:rPr>
                <w:rFonts w:ascii="宋体" w:hAnsi="宋体" w:cs="宋体"/>
                <w:color w:val="auto"/>
                <w:szCs w:val="21"/>
                <w:highlight w:val="none"/>
              </w:rPr>
            </w:pPr>
          </w:p>
          <w:p w14:paraId="34BD9C2F">
            <w:pPr>
              <w:spacing w:line="360" w:lineRule="auto"/>
              <w:rPr>
                <w:rFonts w:ascii="宋体" w:hAnsi="宋体" w:cs="宋体"/>
                <w:color w:val="auto"/>
                <w:szCs w:val="21"/>
                <w:highlight w:val="none"/>
              </w:rPr>
            </w:pPr>
          </w:p>
          <w:p w14:paraId="70A22D09">
            <w:pPr>
              <w:spacing w:line="360" w:lineRule="auto"/>
              <w:rPr>
                <w:rFonts w:ascii="宋体" w:hAnsi="宋体" w:cs="宋体"/>
                <w:color w:val="auto"/>
                <w:szCs w:val="21"/>
                <w:highlight w:val="none"/>
              </w:rPr>
            </w:pPr>
          </w:p>
          <w:p w14:paraId="7090DBE1">
            <w:pPr>
              <w:spacing w:line="360" w:lineRule="auto"/>
              <w:rPr>
                <w:rFonts w:ascii="宋体" w:hAnsi="宋体" w:cs="宋体"/>
                <w:color w:val="auto"/>
                <w:szCs w:val="21"/>
                <w:highlight w:val="none"/>
              </w:rPr>
            </w:pPr>
          </w:p>
          <w:p w14:paraId="01B2D2B4">
            <w:pPr>
              <w:spacing w:line="360" w:lineRule="auto"/>
              <w:rPr>
                <w:rFonts w:ascii="宋体" w:hAnsi="宋体" w:cs="宋体"/>
                <w:color w:val="auto"/>
                <w:szCs w:val="21"/>
                <w:highlight w:val="none"/>
              </w:rPr>
            </w:pPr>
          </w:p>
          <w:p w14:paraId="4DAD07AB">
            <w:pPr>
              <w:spacing w:line="360" w:lineRule="auto"/>
              <w:rPr>
                <w:rFonts w:ascii="宋体" w:hAnsi="宋体" w:cs="宋体"/>
                <w:color w:val="auto"/>
                <w:szCs w:val="21"/>
                <w:highlight w:val="none"/>
              </w:rPr>
            </w:pPr>
          </w:p>
          <w:p w14:paraId="5BC46AE8">
            <w:pPr>
              <w:spacing w:line="360" w:lineRule="auto"/>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p>
        </w:tc>
        <w:tc>
          <w:tcPr>
            <w:tcW w:w="843" w:type="dxa"/>
            <w:noWrap w:val="0"/>
            <w:vAlign w:val="top"/>
          </w:tcPr>
          <w:p w14:paraId="7C524B87">
            <w:pPr>
              <w:spacing w:line="360" w:lineRule="auto"/>
              <w:rPr>
                <w:rFonts w:ascii="宋体" w:hAnsi="宋体" w:cs="宋体"/>
                <w:color w:val="auto"/>
                <w:szCs w:val="21"/>
                <w:highlight w:val="none"/>
              </w:rPr>
            </w:pPr>
          </w:p>
          <w:p w14:paraId="0E75AA00">
            <w:pPr>
              <w:spacing w:line="360" w:lineRule="auto"/>
              <w:rPr>
                <w:rFonts w:ascii="宋体" w:hAnsi="宋体" w:cs="宋体"/>
                <w:color w:val="auto"/>
                <w:szCs w:val="21"/>
                <w:highlight w:val="none"/>
              </w:rPr>
            </w:pPr>
          </w:p>
          <w:p w14:paraId="3B83B7CB">
            <w:pPr>
              <w:spacing w:line="360" w:lineRule="auto"/>
              <w:rPr>
                <w:rFonts w:ascii="宋体" w:hAnsi="宋体" w:cs="宋体"/>
                <w:color w:val="auto"/>
                <w:szCs w:val="21"/>
                <w:highlight w:val="none"/>
              </w:rPr>
            </w:pPr>
          </w:p>
          <w:p w14:paraId="373082D8">
            <w:pPr>
              <w:spacing w:line="360" w:lineRule="auto"/>
              <w:rPr>
                <w:rFonts w:ascii="宋体" w:hAnsi="宋体" w:cs="宋体"/>
                <w:color w:val="auto"/>
                <w:szCs w:val="21"/>
                <w:highlight w:val="none"/>
              </w:rPr>
            </w:pPr>
          </w:p>
          <w:p w14:paraId="402A3A42">
            <w:pPr>
              <w:spacing w:line="360" w:lineRule="auto"/>
              <w:rPr>
                <w:rFonts w:ascii="宋体" w:hAnsi="宋体" w:cs="宋体"/>
                <w:color w:val="auto"/>
                <w:szCs w:val="21"/>
                <w:highlight w:val="none"/>
              </w:rPr>
            </w:pPr>
          </w:p>
          <w:p w14:paraId="7407BB9E">
            <w:pPr>
              <w:spacing w:line="360" w:lineRule="auto"/>
              <w:rPr>
                <w:rFonts w:ascii="宋体" w:hAnsi="宋体" w:cs="宋体"/>
                <w:color w:val="auto"/>
                <w:szCs w:val="21"/>
                <w:highlight w:val="none"/>
              </w:rPr>
            </w:pPr>
          </w:p>
          <w:p w14:paraId="39F9ED35">
            <w:pPr>
              <w:spacing w:line="360" w:lineRule="auto"/>
              <w:rPr>
                <w:rFonts w:ascii="宋体" w:hAnsi="宋体" w:cs="宋体"/>
                <w:color w:val="auto"/>
                <w:szCs w:val="21"/>
                <w:highlight w:val="none"/>
              </w:rPr>
            </w:pPr>
          </w:p>
          <w:p w14:paraId="65B2BFD5">
            <w:pPr>
              <w:spacing w:line="360" w:lineRule="auto"/>
              <w:rPr>
                <w:rFonts w:ascii="宋体" w:hAnsi="宋体" w:cs="宋体"/>
                <w:color w:val="auto"/>
                <w:szCs w:val="21"/>
                <w:highlight w:val="none"/>
              </w:rPr>
            </w:pPr>
          </w:p>
          <w:p w14:paraId="18086513">
            <w:pPr>
              <w:spacing w:line="360" w:lineRule="auto"/>
              <w:rPr>
                <w:rFonts w:ascii="宋体" w:hAnsi="宋体" w:cs="宋体"/>
                <w:color w:val="auto"/>
                <w:szCs w:val="21"/>
                <w:highlight w:val="none"/>
              </w:rPr>
            </w:pPr>
          </w:p>
          <w:p w14:paraId="74EB645A">
            <w:pPr>
              <w:spacing w:line="360" w:lineRule="auto"/>
              <w:rPr>
                <w:rFonts w:ascii="宋体" w:hAnsi="宋体" w:cs="宋体"/>
                <w:color w:val="auto"/>
                <w:szCs w:val="21"/>
                <w:highlight w:val="none"/>
              </w:rPr>
            </w:pPr>
          </w:p>
          <w:p w14:paraId="72FDFE7A">
            <w:pPr>
              <w:spacing w:line="360" w:lineRule="auto"/>
              <w:rPr>
                <w:rFonts w:ascii="宋体" w:hAnsi="宋体" w:cs="宋体"/>
                <w:color w:val="auto"/>
                <w:szCs w:val="21"/>
                <w:highlight w:val="none"/>
              </w:rPr>
            </w:pPr>
          </w:p>
          <w:p w14:paraId="063A7808">
            <w:pPr>
              <w:spacing w:line="360" w:lineRule="auto"/>
              <w:rPr>
                <w:rFonts w:ascii="宋体" w:hAnsi="宋体" w:cs="宋体"/>
                <w:color w:val="auto"/>
                <w:szCs w:val="21"/>
                <w:highlight w:val="none"/>
              </w:rPr>
            </w:pPr>
          </w:p>
          <w:p w14:paraId="5382F361">
            <w:pPr>
              <w:spacing w:line="360" w:lineRule="auto"/>
              <w:rPr>
                <w:rFonts w:ascii="宋体" w:hAnsi="宋体" w:cs="宋体"/>
                <w:color w:val="auto"/>
                <w:szCs w:val="21"/>
                <w:highlight w:val="none"/>
              </w:rPr>
            </w:pPr>
            <w:r>
              <w:rPr>
                <w:rFonts w:hint="eastAsia" w:ascii="宋体" w:hAnsi="宋体" w:cs="宋体"/>
                <w:color w:val="auto"/>
                <w:szCs w:val="21"/>
                <w:highlight w:val="none"/>
              </w:rPr>
              <w:t>套</w:t>
            </w:r>
          </w:p>
        </w:tc>
        <w:tc>
          <w:tcPr>
            <w:tcW w:w="1888" w:type="dxa"/>
            <w:noWrap w:val="0"/>
            <w:vAlign w:val="top"/>
          </w:tcPr>
          <w:p w14:paraId="64C694FC">
            <w:pPr>
              <w:spacing w:line="360" w:lineRule="auto"/>
              <w:rPr>
                <w:rFonts w:ascii="宋体" w:hAnsi="宋体" w:cs="宋体"/>
                <w:color w:val="auto"/>
                <w:szCs w:val="21"/>
                <w:highlight w:val="none"/>
              </w:rPr>
            </w:pPr>
          </w:p>
          <w:p w14:paraId="5DE01CE6">
            <w:pPr>
              <w:spacing w:line="360" w:lineRule="auto"/>
              <w:rPr>
                <w:rFonts w:ascii="宋体" w:hAnsi="宋体" w:cs="宋体"/>
                <w:color w:val="auto"/>
                <w:szCs w:val="21"/>
                <w:highlight w:val="none"/>
              </w:rPr>
            </w:pPr>
          </w:p>
          <w:p w14:paraId="24E21E41">
            <w:pPr>
              <w:spacing w:line="360" w:lineRule="auto"/>
              <w:rPr>
                <w:rFonts w:ascii="宋体" w:hAnsi="宋体" w:cs="宋体"/>
                <w:color w:val="auto"/>
                <w:szCs w:val="21"/>
                <w:highlight w:val="none"/>
              </w:rPr>
            </w:pPr>
          </w:p>
          <w:p w14:paraId="06BF36A3">
            <w:pPr>
              <w:spacing w:line="360" w:lineRule="auto"/>
              <w:rPr>
                <w:rFonts w:ascii="宋体" w:hAnsi="宋体" w:cs="宋体"/>
                <w:color w:val="auto"/>
                <w:szCs w:val="21"/>
                <w:highlight w:val="none"/>
              </w:rPr>
            </w:pPr>
          </w:p>
          <w:p w14:paraId="3C0B4159">
            <w:pPr>
              <w:spacing w:line="360" w:lineRule="auto"/>
              <w:rPr>
                <w:rFonts w:ascii="宋体" w:hAnsi="宋体" w:cs="宋体"/>
                <w:color w:val="auto"/>
                <w:szCs w:val="21"/>
                <w:highlight w:val="none"/>
              </w:rPr>
            </w:pPr>
          </w:p>
          <w:p w14:paraId="603BFD64">
            <w:pPr>
              <w:spacing w:line="360" w:lineRule="auto"/>
              <w:rPr>
                <w:rFonts w:ascii="宋体" w:hAnsi="宋体" w:cs="宋体"/>
                <w:color w:val="auto"/>
                <w:szCs w:val="21"/>
                <w:highlight w:val="none"/>
              </w:rPr>
            </w:pPr>
          </w:p>
          <w:p w14:paraId="26A622EA">
            <w:pPr>
              <w:spacing w:line="360" w:lineRule="auto"/>
              <w:rPr>
                <w:rFonts w:ascii="宋体" w:hAnsi="宋体" w:cs="宋体"/>
                <w:color w:val="auto"/>
                <w:szCs w:val="21"/>
                <w:highlight w:val="none"/>
              </w:rPr>
            </w:pPr>
          </w:p>
          <w:p w14:paraId="63E0CF7F">
            <w:pPr>
              <w:spacing w:line="360" w:lineRule="auto"/>
              <w:rPr>
                <w:rFonts w:ascii="宋体" w:hAnsi="宋体" w:cs="宋体"/>
                <w:color w:val="auto"/>
                <w:szCs w:val="21"/>
                <w:highlight w:val="none"/>
              </w:rPr>
            </w:pPr>
          </w:p>
          <w:p w14:paraId="594820E2">
            <w:pPr>
              <w:spacing w:line="360" w:lineRule="auto"/>
              <w:rPr>
                <w:rFonts w:ascii="宋体" w:hAnsi="宋体" w:cs="宋体"/>
                <w:color w:val="auto"/>
                <w:szCs w:val="21"/>
                <w:highlight w:val="none"/>
              </w:rPr>
            </w:pPr>
          </w:p>
          <w:p w14:paraId="50D8D215">
            <w:pPr>
              <w:spacing w:line="360" w:lineRule="auto"/>
              <w:rPr>
                <w:rFonts w:ascii="宋体" w:hAnsi="宋体" w:cs="宋体"/>
                <w:color w:val="auto"/>
                <w:szCs w:val="21"/>
                <w:highlight w:val="none"/>
              </w:rPr>
            </w:pPr>
          </w:p>
          <w:p w14:paraId="3CABE167">
            <w:pPr>
              <w:spacing w:line="360" w:lineRule="auto"/>
              <w:rPr>
                <w:rFonts w:ascii="宋体" w:hAnsi="宋体" w:cs="宋体"/>
                <w:color w:val="auto"/>
                <w:szCs w:val="21"/>
                <w:highlight w:val="none"/>
              </w:rPr>
            </w:pPr>
          </w:p>
          <w:p w14:paraId="67D7331D">
            <w:pPr>
              <w:spacing w:line="360" w:lineRule="auto"/>
              <w:rPr>
                <w:rFonts w:ascii="宋体" w:hAnsi="宋体" w:cs="宋体"/>
                <w:color w:val="auto"/>
                <w:szCs w:val="21"/>
                <w:highlight w:val="none"/>
              </w:rPr>
            </w:pPr>
          </w:p>
          <w:p w14:paraId="0446C7E6">
            <w:pPr>
              <w:spacing w:line="360" w:lineRule="auto"/>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499.7</w:t>
            </w:r>
          </w:p>
        </w:tc>
      </w:tr>
      <w:tr w14:paraId="25079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709" w:type="dxa"/>
            <w:noWrap w:val="0"/>
            <w:vAlign w:val="top"/>
          </w:tcPr>
          <w:p w14:paraId="049DB570">
            <w:pPr>
              <w:rPr>
                <w:rFonts w:hint="eastAsia" w:ascii="宋体" w:hAnsi="宋体" w:eastAsia="宋体" w:cs="宋体"/>
                <w:color w:val="auto"/>
                <w:sz w:val="21"/>
                <w:szCs w:val="21"/>
                <w:highlight w:val="none"/>
                <w:lang w:val="en-US" w:eastAsia="zh-CN"/>
              </w:rPr>
            </w:pPr>
          </w:p>
          <w:p w14:paraId="40D9B7C7">
            <w:pPr>
              <w:rPr>
                <w:rFonts w:hint="eastAsia" w:ascii="宋体" w:hAnsi="宋体" w:eastAsia="宋体" w:cs="宋体"/>
                <w:color w:val="auto"/>
                <w:sz w:val="21"/>
                <w:szCs w:val="21"/>
                <w:highlight w:val="none"/>
                <w:lang w:val="en-US" w:eastAsia="zh-CN"/>
              </w:rPr>
            </w:pPr>
          </w:p>
          <w:p w14:paraId="1CE190BF">
            <w:pPr>
              <w:rPr>
                <w:rFonts w:hint="eastAsia" w:ascii="宋体" w:hAnsi="宋体" w:eastAsia="宋体" w:cs="宋体"/>
                <w:color w:val="auto"/>
                <w:sz w:val="21"/>
                <w:szCs w:val="21"/>
                <w:highlight w:val="none"/>
                <w:lang w:val="en-US" w:eastAsia="zh-CN"/>
              </w:rPr>
            </w:pPr>
          </w:p>
          <w:p w14:paraId="2F8A03C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56" w:type="dxa"/>
            <w:noWrap w:val="0"/>
            <w:vAlign w:val="top"/>
          </w:tcPr>
          <w:p w14:paraId="196166B0">
            <w:pPr>
              <w:spacing w:line="360" w:lineRule="auto"/>
              <w:rPr>
                <w:rFonts w:hint="eastAsia" w:ascii="宋体" w:hAnsi="宋体" w:eastAsia="宋体" w:cs="宋体"/>
                <w:b/>
                <w:color w:val="auto"/>
                <w:sz w:val="21"/>
                <w:szCs w:val="21"/>
                <w:highlight w:val="none"/>
              </w:rPr>
            </w:pPr>
          </w:p>
          <w:p w14:paraId="38EBB859">
            <w:pPr>
              <w:spacing w:line="360" w:lineRule="auto"/>
              <w:rPr>
                <w:rFonts w:hint="eastAsia" w:ascii="宋体" w:hAnsi="宋体" w:eastAsia="宋体" w:cs="宋体"/>
                <w:b/>
                <w:color w:val="auto"/>
                <w:sz w:val="21"/>
                <w:szCs w:val="21"/>
                <w:highlight w:val="none"/>
              </w:rPr>
            </w:pPr>
          </w:p>
          <w:p w14:paraId="5845414E">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rPr>
              <w:t>慰问信</w:t>
            </w:r>
          </w:p>
        </w:tc>
        <w:tc>
          <w:tcPr>
            <w:tcW w:w="4544" w:type="dxa"/>
            <w:noWrap w:val="0"/>
            <w:vAlign w:val="top"/>
          </w:tcPr>
          <w:p w14:paraId="5F7007DB">
            <w:pPr>
              <w:widowControl/>
              <w:spacing w:line="360" w:lineRule="auto"/>
              <w:ind w:firstLine="210" w:firstLineChars="1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1、规格：250*210mm：200克铜板纸4色彩印。</w:t>
            </w:r>
          </w:p>
          <w:p w14:paraId="344CEE91">
            <w:pPr>
              <w:widowControl/>
              <w:spacing w:line="360" w:lineRule="auto"/>
              <w:ind w:firstLine="210" w:firstLineChars="100"/>
              <w:jc w:val="left"/>
              <w:rPr>
                <w:rFonts w:hint="eastAsia" w:asciiTheme="majorEastAsia" w:hAnsiTheme="majorEastAsia" w:eastAsiaTheme="majorEastAsia" w:cstheme="majorEastAsia"/>
                <w:bCs/>
                <w:color w:val="auto"/>
                <w:szCs w:val="21"/>
                <w:highlight w:val="none"/>
              </w:rPr>
            </w:pPr>
            <w:r>
              <w:rPr>
                <w:rFonts w:hint="eastAsia" w:ascii="宋体" w:hAnsi="宋体" w:eastAsia="宋体" w:cs="宋体"/>
                <w:b w:val="0"/>
                <w:color w:val="auto"/>
                <w:sz w:val="21"/>
                <w:szCs w:val="21"/>
                <w:highlight w:val="none"/>
                <w:lang w:val="en-US" w:eastAsia="zh-CN"/>
              </w:rPr>
              <w:t>2、慰问信印刷图文按要求制作完成。</w:t>
            </w:r>
            <w:r>
              <w:rPr>
                <w:rFonts w:hint="eastAsia" w:ascii="宋体" w:hAnsi="宋体" w:eastAsia="宋体" w:cs="宋体"/>
                <w:b w:val="0"/>
                <w:bCs w:val="0"/>
                <w:color w:val="auto"/>
                <w:sz w:val="21"/>
                <w:szCs w:val="21"/>
                <w:highlight w:val="none"/>
                <w:lang w:val="en-US" w:eastAsia="zh-CN"/>
              </w:rPr>
              <w:t>慰问信印刷图文围绕实际情况，按要求制作完成，设计印刷方案需要通过采购人确认方可印制。</w:t>
            </w:r>
          </w:p>
        </w:tc>
        <w:tc>
          <w:tcPr>
            <w:tcW w:w="761" w:type="dxa"/>
            <w:noWrap w:val="0"/>
            <w:vAlign w:val="top"/>
          </w:tcPr>
          <w:p w14:paraId="00CB2DC5">
            <w:pPr>
              <w:spacing w:line="360" w:lineRule="auto"/>
              <w:rPr>
                <w:rFonts w:hint="eastAsia" w:ascii="宋体" w:hAnsi="宋体" w:eastAsia="宋体" w:cs="宋体"/>
                <w:color w:val="auto"/>
                <w:sz w:val="21"/>
                <w:szCs w:val="21"/>
                <w:highlight w:val="none"/>
              </w:rPr>
            </w:pPr>
          </w:p>
          <w:p w14:paraId="30B4A08A">
            <w:pPr>
              <w:pStyle w:val="30"/>
              <w:ind w:firstLine="426"/>
              <w:rPr>
                <w:rFonts w:hint="eastAsia" w:ascii="宋体" w:hAnsi="宋体" w:eastAsia="宋体" w:cs="宋体"/>
                <w:color w:val="auto"/>
                <w:sz w:val="21"/>
                <w:szCs w:val="21"/>
                <w:highlight w:val="none"/>
                <w:lang w:eastAsia="zh-CN"/>
              </w:rPr>
            </w:pPr>
          </w:p>
          <w:p w14:paraId="3BA7DDE2">
            <w:pPr>
              <w:pStyle w:val="30"/>
              <w:ind w:left="0" w:leftChars="0" w:firstLine="0" w:firstLineChars="0"/>
              <w:rPr>
                <w:rFonts w:hint="eastAsia" w:ascii="宋体" w:hAnsi="宋体" w:cs="宋体"/>
                <w:color w:val="auto"/>
                <w:szCs w:val="21"/>
                <w:highlight w:val="none"/>
              </w:rPr>
            </w:pPr>
            <w:r>
              <w:rPr>
                <w:rFonts w:hint="eastAsia" w:ascii="宋体" w:hAnsi="宋体" w:eastAsia="宋体" w:cs="宋体"/>
                <w:b w:val="0"/>
                <w:bCs/>
                <w:color w:val="auto"/>
                <w:sz w:val="21"/>
                <w:szCs w:val="21"/>
                <w:highlight w:val="none"/>
                <w:lang w:val="en-US" w:eastAsia="zh-CN"/>
              </w:rPr>
              <w:t>900</w:t>
            </w:r>
          </w:p>
        </w:tc>
        <w:tc>
          <w:tcPr>
            <w:tcW w:w="843" w:type="dxa"/>
            <w:noWrap w:val="0"/>
            <w:vAlign w:val="top"/>
          </w:tcPr>
          <w:p w14:paraId="0286FBC6">
            <w:pPr>
              <w:spacing w:line="360" w:lineRule="auto"/>
              <w:rPr>
                <w:rFonts w:hint="eastAsia" w:ascii="宋体" w:hAnsi="宋体" w:eastAsia="宋体" w:cs="宋体"/>
                <w:color w:val="auto"/>
                <w:sz w:val="21"/>
                <w:szCs w:val="21"/>
                <w:highlight w:val="none"/>
              </w:rPr>
            </w:pPr>
          </w:p>
          <w:p w14:paraId="18937145">
            <w:pPr>
              <w:pStyle w:val="30"/>
              <w:ind w:firstLine="424"/>
              <w:rPr>
                <w:rFonts w:hint="eastAsia" w:ascii="宋体" w:hAnsi="宋体" w:eastAsia="宋体" w:cs="宋体"/>
                <w:b w:val="0"/>
                <w:color w:val="auto"/>
                <w:sz w:val="21"/>
                <w:szCs w:val="21"/>
                <w:highlight w:val="none"/>
                <w:lang w:eastAsia="zh-CN"/>
              </w:rPr>
            </w:pPr>
          </w:p>
          <w:p w14:paraId="4A0B5063">
            <w:pPr>
              <w:pStyle w:val="30"/>
              <w:ind w:left="0" w:leftChars="0" w:firstLine="210" w:firstLineChars="100"/>
              <w:rPr>
                <w:rFonts w:hint="eastAsia" w:ascii="宋体" w:hAnsi="宋体" w:cs="宋体"/>
                <w:color w:val="auto"/>
                <w:szCs w:val="21"/>
                <w:highlight w:val="none"/>
              </w:rPr>
            </w:pPr>
            <w:r>
              <w:rPr>
                <w:rFonts w:hint="eastAsia" w:ascii="宋体" w:hAnsi="宋体" w:eastAsia="宋体" w:cs="宋体"/>
                <w:b w:val="0"/>
                <w:color w:val="auto"/>
                <w:sz w:val="21"/>
                <w:szCs w:val="21"/>
                <w:highlight w:val="none"/>
                <w:lang w:eastAsia="zh-CN"/>
              </w:rPr>
              <w:t>张</w:t>
            </w:r>
          </w:p>
        </w:tc>
        <w:tc>
          <w:tcPr>
            <w:tcW w:w="1888" w:type="dxa"/>
            <w:noWrap w:val="0"/>
            <w:vAlign w:val="top"/>
          </w:tcPr>
          <w:p w14:paraId="10D34270">
            <w:pPr>
              <w:spacing w:line="360" w:lineRule="auto"/>
              <w:rPr>
                <w:rFonts w:hint="eastAsia" w:ascii="宋体" w:hAnsi="宋体" w:eastAsia="宋体" w:cs="宋体"/>
                <w:color w:val="auto"/>
                <w:sz w:val="21"/>
                <w:szCs w:val="21"/>
                <w:highlight w:val="none"/>
              </w:rPr>
            </w:pPr>
          </w:p>
          <w:p w14:paraId="2C869A40">
            <w:pPr>
              <w:pStyle w:val="30"/>
              <w:ind w:firstLine="424"/>
              <w:rPr>
                <w:rFonts w:hint="eastAsia" w:ascii="宋体" w:hAnsi="宋体" w:eastAsia="宋体" w:cs="宋体"/>
                <w:b w:val="0"/>
                <w:color w:val="auto"/>
                <w:sz w:val="21"/>
                <w:szCs w:val="21"/>
                <w:highlight w:val="none"/>
                <w:lang w:eastAsia="zh-CN"/>
              </w:rPr>
            </w:pPr>
          </w:p>
          <w:p w14:paraId="367E8DE3">
            <w:pPr>
              <w:pStyle w:val="30"/>
              <w:ind w:left="0" w:leftChars="0" w:firstLine="210" w:firstLineChars="100"/>
              <w:rPr>
                <w:rFonts w:hint="eastAsia" w:ascii="宋体" w:hAnsi="宋体" w:cs="宋体"/>
                <w:color w:val="auto"/>
                <w:szCs w:val="21"/>
                <w:highlight w:val="none"/>
                <w:lang w:val="en-US" w:eastAsia="zh-CN"/>
              </w:rPr>
            </w:pPr>
            <w:r>
              <w:rPr>
                <w:rFonts w:hint="eastAsia" w:ascii="宋体" w:hAnsi="宋体" w:eastAsia="宋体" w:cs="宋体"/>
                <w:b w:val="0"/>
                <w:color w:val="auto"/>
                <w:sz w:val="21"/>
                <w:szCs w:val="21"/>
                <w:highlight w:val="none"/>
                <w:lang w:val="en-US" w:eastAsia="zh-CN"/>
              </w:rPr>
              <w:t xml:space="preserve"> 0.3</w:t>
            </w:r>
          </w:p>
        </w:tc>
      </w:tr>
      <w:tr w14:paraId="0A40D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0001" w:type="dxa"/>
            <w:gridSpan w:val="6"/>
            <w:noWrap w:val="0"/>
            <w:vAlign w:val="top"/>
          </w:tcPr>
          <w:p w14:paraId="66348E98">
            <w:pPr>
              <w:pStyle w:val="30"/>
              <w:ind w:left="0" w:leftChars="0" w:firstLine="0" w:firstLineChars="0"/>
              <w:rPr>
                <w:rFonts w:hint="eastAsia" w:ascii="宋体" w:hAnsi="宋体" w:eastAsia="宋体" w:cs="宋体"/>
                <w:b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商务要求（均为实质性要求，不允许负偏离）服务承诺书中与商务要求不一致时，以商务要求为准。</w:t>
            </w:r>
          </w:p>
        </w:tc>
      </w:tr>
      <w:tr w14:paraId="41587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965" w:type="dxa"/>
            <w:gridSpan w:val="2"/>
            <w:noWrap w:val="0"/>
            <w:vAlign w:val="top"/>
          </w:tcPr>
          <w:p w14:paraId="719369E2">
            <w:pPr>
              <w:spacing w:line="360" w:lineRule="auto"/>
              <w:rPr>
                <w:rFonts w:hint="eastAsia" w:ascii="宋体" w:hAnsi="宋体" w:eastAsia="宋体" w:cs="宋体"/>
                <w:b/>
                <w:color w:val="auto"/>
                <w:sz w:val="21"/>
                <w:szCs w:val="21"/>
                <w:highlight w:val="none"/>
              </w:rPr>
            </w:pPr>
          </w:p>
          <w:p w14:paraId="620F093A">
            <w:pPr>
              <w:spacing w:line="360" w:lineRule="auto"/>
              <w:rPr>
                <w:rFonts w:hint="eastAsia" w:ascii="宋体" w:hAnsi="宋体" w:eastAsia="宋体" w:cs="宋体"/>
                <w:b/>
                <w:color w:val="auto"/>
                <w:sz w:val="21"/>
                <w:szCs w:val="21"/>
                <w:highlight w:val="none"/>
              </w:rPr>
            </w:pPr>
          </w:p>
          <w:p w14:paraId="6E89E9D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售后服务要求</w:t>
            </w:r>
          </w:p>
        </w:tc>
        <w:tc>
          <w:tcPr>
            <w:tcW w:w="8036" w:type="dxa"/>
            <w:gridSpan w:val="4"/>
            <w:noWrap w:val="0"/>
            <w:vAlign w:val="top"/>
          </w:tcPr>
          <w:p w14:paraId="193D897B">
            <w:pPr>
              <w:adjustRightInd w:val="0"/>
              <w:spacing w:line="396"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一、质保期：</w:t>
            </w:r>
            <w:r>
              <w:rPr>
                <w:rFonts w:hint="eastAsia" w:ascii="宋体" w:hAnsi="宋体" w:eastAsia="宋体" w:cs="宋体"/>
                <w:bCs/>
                <w:color w:val="auto"/>
                <w:szCs w:val="21"/>
                <w:highlight w:val="none"/>
              </w:rPr>
              <w:t>按国家有关产品“三包”规定执行“三包”，</w:t>
            </w:r>
            <w:r>
              <w:rPr>
                <w:rFonts w:hint="eastAsia" w:ascii="宋体" w:hAnsi="宋体" w:eastAsia="宋体" w:cs="宋体"/>
                <w:color w:val="auto"/>
                <w:szCs w:val="21"/>
                <w:highlight w:val="none"/>
              </w:rPr>
              <w:t>质保期一年，自验收合格之日起计。</w:t>
            </w:r>
          </w:p>
          <w:p w14:paraId="7CE5820F">
            <w:pPr>
              <w:adjustRightInd w:val="0"/>
              <w:spacing w:line="396"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二、售后服务的内容和措施：</w:t>
            </w:r>
          </w:p>
          <w:p w14:paraId="4E42B6D1">
            <w:pPr>
              <w:adjustRightInd w:val="0"/>
              <w:spacing w:line="396"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1、采购范围内的货物免费送货上门</w:t>
            </w:r>
            <w:r>
              <w:rPr>
                <w:rFonts w:hint="eastAsia" w:ascii="宋体" w:hAnsi="宋体" w:eastAsia="宋体" w:cs="宋体"/>
                <w:color w:val="auto"/>
                <w:szCs w:val="21"/>
                <w:highlight w:val="none"/>
              </w:rPr>
              <w:t>、免费卸货发放至采购人指定地点</w:t>
            </w:r>
            <w:r>
              <w:rPr>
                <w:rFonts w:hint="eastAsia" w:ascii="宋体" w:hAnsi="宋体" w:eastAsia="宋体" w:cs="宋体"/>
                <w:color w:val="auto"/>
                <w:szCs w:val="21"/>
                <w:highlight w:val="none"/>
                <w:lang w:eastAsia="zh-CN"/>
              </w:rPr>
              <w:t>（涉及多个地点）</w:t>
            </w:r>
            <w:r>
              <w:rPr>
                <w:rFonts w:hint="eastAsia" w:ascii="宋体" w:hAnsi="宋体" w:eastAsia="宋体" w:cs="宋体"/>
                <w:color w:val="auto"/>
                <w:szCs w:val="21"/>
                <w:highlight w:val="none"/>
              </w:rPr>
              <w:t>。</w:t>
            </w:r>
          </w:p>
          <w:p w14:paraId="3579DE03">
            <w:pPr>
              <w:adjustRightInd w:val="0"/>
              <w:spacing w:line="396" w:lineRule="exac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kern w:val="0"/>
                <w:szCs w:val="21"/>
                <w:highlight w:val="none"/>
              </w:rPr>
              <w:t>2、提供售后服务联系电话及联系人，提供24小时的使用咨询服务，有需要时提供至少1次上门培训服务，质保期内接到报障电话后在1个小时内响应，12小时内上门解决问题。</w:t>
            </w:r>
          </w:p>
        </w:tc>
      </w:tr>
      <w:tr w14:paraId="71C86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965" w:type="dxa"/>
            <w:gridSpan w:val="2"/>
            <w:noWrap w:val="0"/>
            <w:vAlign w:val="top"/>
          </w:tcPr>
          <w:p w14:paraId="2184A1ED">
            <w:pPr>
              <w:adjustRightInd w:val="0"/>
              <w:spacing w:line="396"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交付使用时间及地点及验收</w:t>
            </w:r>
          </w:p>
        </w:tc>
        <w:tc>
          <w:tcPr>
            <w:tcW w:w="8036" w:type="dxa"/>
            <w:gridSpan w:val="4"/>
            <w:noWrap w:val="0"/>
            <w:vAlign w:val="top"/>
          </w:tcPr>
          <w:p w14:paraId="641BEF36">
            <w:pPr>
              <w:adjustRightInd w:val="0"/>
              <w:spacing w:line="396"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交付使用期及地点：</w:t>
            </w:r>
          </w:p>
          <w:p w14:paraId="5EC90870">
            <w:pPr>
              <w:adjustRightInd w:val="0"/>
              <w:spacing w:line="396"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1、交付使用期：由于物品发放时间紧急,在202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日前完成交付</w:t>
            </w:r>
            <w:r>
              <w:rPr>
                <w:rFonts w:hint="eastAsia" w:ascii="宋体" w:hAnsi="宋体" w:eastAsia="宋体" w:cs="宋体"/>
                <w:color w:val="auto"/>
                <w:szCs w:val="21"/>
                <w:highlight w:val="none"/>
                <w:lang w:val="en-US" w:eastAsia="zh-CN"/>
              </w:rPr>
              <w:t>并送达指定地点</w:t>
            </w:r>
            <w:r>
              <w:rPr>
                <w:rFonts w:hint="eastAsia" w:ascii="宋体" w:hAnsi="宋体" w:eastAsia="宋体" w:cs="宋体"/>
                <w:color w:val="auto"/>
                <w:szCs w:val="21"/>
                <w:highlight w:val="none"/>
              </w:rPr>
              <w:t>，不能延期，如果延期将按违约处理。</w:t>
            </w:r>
          </w:p>
          <w:p w14:paraId="55037153">
            <w:pPr>
              <w:adjustRightInd w:val="0"/>
              <w:spacing w:line="396"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2、交货地点：广西桂林市采购人指定地点</w:t>
            </w:r>
            <w:r>
              <w:rPr>
                <w:rFonts w:hint="eastAsia" w:ascii="宋体" w:hAnsi="宋体" w:eastAsia="宋体" w:cs="宋体"/>
                <w:color w:val="auto"/>
                <w:szCs w:val="21"/>
                <w:highlight w:val="none"/>
                <w:lang w:eastAsia="zh-CN"/>
              </w:rPr>
              <w:t>（涉及多个地点）</w:t>
            </w:r>
            <w:r>
              <w:rPr>
                <w:rFonts w:hint="eastAsia" w:ascii="宋体" w:hAnsi="宋体" w:eastAsia="宋体" w:cs="宋体"/>
                <w:color w:val="auto"/>
                <w:szCs w:val="21"/>
                <w:highlight w:val="none"/>
              </w:rPr>
              <w:t>。</w:t>
            </w:r>
          </w:p>
        </w:tc>
      </w:tr>
      <w:tr w14:paraId="4B5AA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1965" w:type="dxa"/>
            <w:gridSpan w:val="2"/>
            <w:noWrap w:val="0"/>
            <w:vAlign w:val="top"/>
          </w:tcPr>
          <w:p w14:paraId="490C66F7">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Cs w:val="21"/>
                <w:highlight w:val="none"/>
              </w:rPr>
              <w:t>付款方式</w:t>
            </w:r>
          </w:p>
        </w:tc>
        <w:tc>
          <w:tcPr>
            <w:tcW w:w="8036" w:type="dxa"/>
            <w:gridSpan w:val="4"/>
            <w:noWrap w:val="0"/>
            <w:vAlign w:val="top"/>
          </w:tcPr>
          <w:p w14:paraId="23BD0E90">
            <w:pPr>
              <w:pStyle w:val="30"/>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本项目无预付款，</w:t>
            </w:r>
            <w:r>
              <w:rPr>
                <w:rFonts w:hint="eastAsia" w:ascii="宋体" w:hAnsi="宋体" w:cs="宋体"/>
                <w:b w:val="0"/>
                <w:bCs w:val="0"/>
                <w:color w:val="auto"/>
                <w:kern w:val="0"/>
                <w:sz w:val="21"/>
                <w:szCs w:val="21"/>
                <w:highlight w:val="none"/>
                <w:lang w:val="en-US" w:eastAsia="zh-CN" w:bidi="ar-SA"/>
              </w:rPr>
              <w:t>中标</w:t>
            </w:r>
            <w:r>
              <w:rPr>
                <w:rFonts w:hint="eastAsia" w:ascii="宋体" w:hAnsi="宋体" w:eastAsia="宋体" w:cs="宋体"/>
                <w:b w:val="0"/>
                <w:bCs w:val="0"/>
                <w:color w:val="auto"/>
                <w:kern w:val="0"/>
                <w:sz w:val="21"/>
                <w:szCs w:val="21"/>
                <w:highlight w:val="none"/>
                <w:lang w:val="en-US" w:eastAsia="zh-CN" w:bidi="ar-SA"/>
              </w:rPr>
              <w:t>供应商交货，货物经采购人验收合格，送货到采购人指定地点，提供全额正规合法含税发票后，采购人在10个工作日内一次性付清合同款项。</w:t>
            </w:r>
          </w:p>
        </w:tc>
      </w:tr>
      <w:tr w14:paraId="326AB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965" w:type="dxa"/>
            <w:gridSpan w:val="2"/>
            <w:noWrap w:val="0"/>
            <w:vAlign w:val="top"/>
          </w:tcPr>
          <w:p w14:paraId="0F277CDB">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Cs w:val="21"/>
                <w:highlight w:val="none"/>
              </w:rPr>
              <w:t>验收标准</w:t>
            </w:r>
          </w:p>
        </w:tc>
        <w:tc>
          <w:tcPr>
            <w:tcW w:w="8036" w:type="dxa"/>
            <w:gridSpan w:val="4"/>
            <w:noWrap w:val="0"/>
            <w:vAlign w:val="top"/>
          </w:tcPr>
          <w:p w14:paraId="77E5784A">
            <w:pPr>
              <w:adjustRightInd w:val="0"/>
              <w:spacing w:line="396"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1、符合我国国家有关技术规范和技术标准。</w:t>
            </w:r>
          </w:p>
          <w:p w14:paraId="5407FAD0">
            <w:pPr>
              <w:pStyle w:val="30"/>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2、邀请国家认可且具有检测（验）资质的第三方检测（验）机构的有关技术专家参与验收，验收不合格的采购人不予签收，由此造成的一切后果及费用由成交供应商承担。</w:t>
            </w:r>
          </w:p>
        </w:tc>
      </w:tr>
      <w:tr w14:paraId="0B0B4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965" w:type="dxa"/>
            <w:gridSpan w:val="2"/>
            <w:noWrap w:val="0"/>
            <w:vAlign w:val="top"/>
          </w:tcPr>
          <w:p w14:paraId="4BC8B5A9">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其他要求</w:t>
            </w:r>
          </w:p>
        </w:tc>
        <w:tc>
          <w:tcPr>
            <w:tcW w:w="8036" w:type="dxa"/>
            <w:gridSpan w:val="4"/>
            <w:noWrap w:val="0"/>
            <w:vAlign w:val="top"/>
          </w:tcPr>
          <w:p w14:paraId="01BE1789">
            <w:pPr>
              <w:adjustRightInd w:val="0"/>
              <w:spacing w:line="396"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1、响应产品必须是原厂生产的全新合格产品，产品质量须符合国家相关标准及安全规范。</w:t>
            </w:r>
          </w:p>
          <w:p w14:paraId="3117B31F">
            <w:pPr>
              <w:spacing w:line="396"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2、到货后，</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供应商和采购人应在现场进行清点；清点过程中如果发现因包装或运输不当引起的损坏，供货商应负责更换；若发现错发/漏发情况，供货商应一周内更换和补发。</w:t>
            </w:r>
          </w:p>
          <w:p w14:paraId="5AE911E8">
            <w:pPr>
              <w:adjustRightInd w:val="0"/>
              <w:spacing w:line="396"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3、签订合同后供货时，</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须提供检测（验）报告原件【包括但不限于检测（验）报告原件、检测机构联系方式、检测机构开据的发票原件】及评分因素中用于加分的证件原件供采购单位核查，核查未通过或不能提供原件的，采购人将按虚假应标上报相关监督管理部门进行处理。采购人保留追究</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供应商相关法律责任的权利。</w:t>
            </w:r>
          </w:p>
          <w:p w14:paraId="20D023F6">
            <w:pPr>
              <w:adjustRightInd w:val="0"/>
              <w:spacing w:line="396"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供应商供货前将慰问信设计终稿提供给采购人审核，经采购人同意后方可生产，否则采购人有权拒绝验收，由此造成的一切后果及损失均由</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供应商自行承担。</w:t>
            </w:r>
          </w:p>
          <w:p w14:paraId="43992156">
            <w:pPr>
              <w:adjustRightInd w:val="0"/>
              <w:spacing w:line="396"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5、采购人对</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产品按采购需求逐条核验，如</w:t>
            </w:r>
            <w:r>
              <w:rPr>
                <w:rFonts w:hint="eastAsia" w:ascii="宋体" w:hAnsi="宋体" w:cs="宋体"/>
                <w:b w:val="0"/>
                <w:bCs w:val="0"/>
                <w:color w:val="auto"/>
                <w:highlight w:val="none"/>
                <w:lang w:val="en-US" w:eastAsia="zh-CN"/>
              </w:rPr>
              <w:t>投标</w:t>
            </w:r>
            <w:r>
              <w:rPr>
                <w:rFonts w:hint="eastAsia" w:ascii="宋体" w:hAnsi="宋体" w:eastAsia="宋体" w:cs="宋体"/>
                <w:b w:val="0"/>
                <w:bCs w:val="0"/>
                <w:color w:val="auto"/>
                <w:highlight w:val="none"/>
              </w:rPr>
              <w:t>文件技术规格及商务偏离表中承诺的参数与产品实际参数不一致，采购人将不予接收，由此造成的损失由</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供应商负责。</w:t>
            </w:r>
          </w:p>
          <w:p w14:paraId="76226452">
            <w:pPr>
              <w:adjustRightInd w:val="0"/>
              <w:spacing w:line="396"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6、为确保慰问品质量，采购人收到</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供应商所有货物后，将随机抽样交由第三方质检部门进行检测，复检合格后予以验收。如</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产品复检结果不符合要求的，采购人有权拒绝验收，并全部退货，由此造成的一切后果均由</w:t>
            </w:r>
            <w:r>
              <w:rPr>
                <w:rFonts w:hint="eastAsia" w:ascii="宋体" w:hAnsi="宋体" w:cs="宋体"/>
                <w:b w:val="0"/>
                <w:bCs w:val="0"/>
                <w:color w:val="auto"/>
                <w:highlight w:val="none"/>
                <w:lang w:val="en-US" w:eastAsia="zh-CN"/>
              </w:rPr>
              <w:t>中标</w:t>
            </w:r>
            <w:r>
              <w:rPr>
                <w:rFonts w:hint="eastAsia" w:ascii="宋体" w:hAnsi="宋体" w:eastAsia="宋体" w:cs="宋体"/>
                <w:b w:val="0"/>
                <w:bCs w:val="0"/>
                <w:color w:val="auto"/>
                <w:highlight w:val="none"/>
              </w:rPr>
              <w:t>供应商自行承担。</w:t>
            </w:r>
          </w:p>
          <w:p w14:paraId="666F8A20">
            <w:pPr>
              <w:pStyle w:val="30"/>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4"/>
                <w:highlight w:val="none"/>
                <w:lang w:val="en-US" w:eastAsia="zh-CN" w:bidi="ar-SA"/>
              </w:rPr>
              <w:t>7、</w:t>
            </w:r>
            <w:r>
              <w:rPr>
                <w:rFonts w:hint="eastAsia" w:ascii="宋体" w:hAnsi="宋体" w:cs="宋体"/>
                <w:b w:val="0"/>
                <w:bCs w:val="0"/>
                <w:color w:val="auto"/>
                <w:kern w:val="2"/>
                <w:sz w:val="21"/>
                <w:szCs w:val="24"/>
                <w:highlight w:val="none"/>
                <w:lang w:val="en-US" w:eastAsia="zh-CN" w:bidi="ar-SA"/>
              </w:rPr>
              <w:t>中标</w:t>
            </w:r>
            <w:r>
              <w:rPr>
                <w:rFonts w:hint="eastAsia" w:ascii="宋体" w:hAnsi="宋体" w:eastAsia="宋体" w:cs="宋体"/>
                <w:b w:val="0"/>
                <w:bCs w:val="0"/>
                <w:color w:val="auto"/>
                <w:kern w:val="2"/>
                <w:sz w:val="21"/>
                <w:szCs w:val="24"/>
                <w:highlight w:val="none"/>
                <w:lang w:val="en-US" w:eastAsia="zh-CN" w:bidi="ar-SA"/>
              </w:rPr>
              <w:t>供应商如虚假应标，一经查实，将按虚假应标处理，由此造成的一切损失由</w:t>
            </w:r>
            <w:r>
              <w:rPr>
                <w:rFonts w:hint="eastAsia" w:ascii="宋体" w:hAnsi="宋体" w:cs="宋体"/>
                <w:b w:val="0"/>
                <w:bCs w:val="0"/>
                <w:color w:val="auto"/>
                <w:kern w:val="2"/>
                <w:sz w:val="21"/>
                <w:szCs w:val="24"/>
                <w:highlight w:val="none"/>
                <w:lang w:val="en-US" w:eastAsia="zh-CN" w:bidi="ar-SA"/>
              </w:rPr>
              <w:t>中标</w:t>
            </w:r>
            <w:r>
              <w:rPr>
                <w:rFonts w:hint="eastAsia" w:ascii="宋体" w:hAnsi="宋体" w:eastAsia="宋体" w:cs="宋体"/>
                <w:b w:val="0"/>
                <w:bCs w:val="0"/>
                <w:color w:val="auto"/>
                <w:kern w:val="2"/>
                <w:sz w:val="21"/>
                <w:szCs w:val="24"/>
                <w:highlight w:val="none"/>
                <w:lang w:val="en-US" w:eastAsia="zh-CN" w:bidi="ar-SA"/>
              </w:rPr>
              <w:t>供应商承担，且采购人保留追究其法律责任的权利。</w:t>
            </w:r>
          </w:p>
        </w:tc>
      </w:tr>
      <w:tr w14:paraId="7D15A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trPr>
        <w:tc>
          <w:tcPr>
            <w:tcW w:w="1965" w:type="dxa"/>
            <w:gridSpan w:val="2"/>
            <w:noWrap w:val="0"/>
            <w:vAlign w:val="top"/>
          </w:tcPr>
          <w:p w14:paraId="798E5039">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注意事项</w:t>
            </w:r>
          </w:p>
        </w:tc>
        <w:tc>
          <w:tcPr>
            <w:tcW w:w="8036" w:type="dxa"/>
            <w:gridSpan w:val="4"/>
            <w:noWrap w:val="0"/>
            <w:vAlign w:val="top"/>
          </w:tcPr>
          <w:p w14:paraId="3482FCE6">
            <w:pPr>
              <w:adjustRightInd w:val="0"/>
              <w:spacing w:line="396"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1、本项目政府采购预算金额为人民币</w:t>
            </w:r>
            <w:r>
              <w:rPr>
                <w:rFonts w:hint="eastAsia" w:ascii="宋体" w:hAnsi="宋体" w:eastAsia="宋体" w:cs="宋体"/>
                <w:b w:val="0"/>
                <w:bCs w:val="0"/>
                <w:color w:val="auto"/>
                <w:szCs w:val="21"/>
                <w:highlight w:val="none"/>
                <w:lang w:val="en-US" w:eastAsia="zh-CN"/>
              </w:rPr>
              <w:t>45</w:t>
            </w:r>
            <w:r>
              <w:rPr>
                <w:rFonts w:hint="eastAsia" w:ascii="宋体" w:hAnsi="宋体" w:eastAsia="宋体" w:cs="宋体"/>
                <w:b w:val="0"/>
                <w:bCs w:val="0"/>
                <w:color w:val="auto"/>
                <w:szCs w:val="21"/>
                <w:highlight w:val="none"/>
              </w:rPr>
              <w:t>0000</w:t>
            </w:r>
            <w:r>
              <w:rPr>
                <w:rFonts w:hint="eastAsia" w:ascii="宋体" w:hAnsi="宋体" w:eastAsia="宋体" w:cs="宋体"/>
                <w:b w:val="0"/>
                <w:bCs w:val="0"/>
                <w:color w:val="auto"/>
                <w:kern w:val="0"/>
                <w:szCs w:val="21"/>
                <w:highlight w:val="none"/>
              </w:rPr>
              <w:t>.00元，</w:t>
            </w:r>
            <w:r>
              <w:rPr>
                <w:rFonts w:hint="eastAsia" w:ascii="宋体" w:hAnsi="宋体" w:eastAsia="宋体" w:cs="宋体"/>
                <w:b w:val="0"/>
                <w:bCs w:val="0"/>
                <w:color w:val="auto"/>
                <w:kern w:val="0"/>
                <w:szCs w:val="21"/>
                <w:highlight w:val="none"/>
                <w:lang w:val="en-US" w:eastAsia="zh-CN"/>
              </w:rPr>
              <w:t>投标</w:t>
            </w:r>
            <w:r>
              <w:rPr>
                <w:rFonts w:hint="eastAsia" w:ascii="宋体" w:hAnsi="宋体" w:eastAsia="宋体" w:cs="宋体"/>
                <w:b w:val="0"/>
                <w:bCs w:val="0"/>
                <w:color w:val="auto"/>
                <w:kern w:val="0"/>
                <w:szCs w:val="21"/>
                <w:highlight w:val="none"/>
              </w:rPr>
              <w:t>报价超出采购预算金额的，</w:t>
            </w:r>
            <w:r>
              <w:rPr>
                <w:rFonts w:hint="eastAsia" w:ascii="宋体" w:hAnsi="宋体" w:eastAsia="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文件作无效处理</w:t>
            </w:r>
            <w:r>
              <w:rPr>
                <w:rFonts w:hint="eastAsia" w:ascii="宋体" w:hAnsi="宋体" w:eastAsia="宋体" w:cs="宋体"/>
                <w:b w:val="0"/>
                <w:bCs w:val="0"/>
                <w:color w:val="auto"/>
                <w:kern w:val="0"/>
                <w:szCs w:val="21"/>
                <w:highlight w:val="none"/>
              </w:rPr>
              <w:t>。</w:t>
            </w:r>
          </w:p>
          <w:p w14:paraId="2C51F8C1">
            <w:pPr>
              <w:adjustRightInd w:val="0"/>
              <w:spacing w:line="396"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2、本项目核心产品为</w:t>
            </w:r>
            <w:r>
              <w:rPr>
                <w:rFonts w:hint="eastAsia" w:ascii="宋体" w:hAnsi="宋体" w:eastAsia="宋体" w:cs="宋体"/>
                <w:b w:val="0"/>
                <w:bCs w:val="0"/>
                <w:color w:val="auto"/>
                <w:szCs w:val="21"/>
                <w:highlight w:val="none"/>
                <w:lang w:val="en-US" w:eastAsia="zh-CN"/>
              </w:rPr>
              <w:t>手机稳定器</w:t>
            </w:r>
            <w:r>
              <w:rPr>
                <w:rFonts w:hint="eastAsia" w:ascii="宋体" w:hAnsi="宋体" w:eastAsia="宋体" w:cs="宋体"/>
                <w:b w:val="0"/>
                <w:bCs w:val="0"/>
                <w:color w:val="auto"/>
                <w:szCs w:val="21"/>
                <w:highlight w:val="none"/>
              </w:rPr>
              <w:t>。</w:t>
            </w:r>
          </w:p>
          <w:p w14:paraId="7DF08E37">
            <w:pPr>
              <w:adjustRightInd w:val="0"/>
              <w:spacing w:line="396"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rPr>
              <w:t>3、本项目货物不接受进口产品（即通过中国海关报关验放进入中国境内且产自关境外的产品）参与投标，否则作无效投标（响应）处理。</w:t>
            </w:r>
          </w:p>
        </w:tc>
      </w:tr>
    </w:tbl>
    <w:p w14:paraId="6445A63F">
      <w:pPr>
        <w:rPr>
          <w:rStyle w:val="75"/>
          <w:rFonts w:hint="default" w:ascii="宋体" w:hAnsi="宋体" w:eastAsia="宋体" w:cs="宋体"/>
          <w:b w:val="0"/>
          <w:bCs w:val="0"/>
          <w:color w:val="auto"/>
          <w:highlight w:val="none"/>
          <w:lang w:val="en-US" w:eastAsia="zh-CN"/>
        </w:rPr>
      </w:pPr>
    </w:p>
    <w:p w14:paraId="6304C2C6">
      <w:pPr>
        <w:rPr>
          <w:rStyle w:val="75"/>
          <w:rFonts w:ascii="宋体" w:hAnsi="宋体" w:cs="宋体"/>
          <w:color w:val="auto"/>
          <w:highlight w:val="none"/>
        </w:rPr>
      </w:pPr>
    </w:p>
    <w:p w14:paraId="5AC06D97">
      <w:pPr>
        <w:rPr>
          <w:rStyle w:val="75"/>
          <w:rFonts w:hint="eastAsia" w:ascii="宋体" w:hAnsi="宋体" w:cs="宋体"/>
          <w:color w:val="auto"/>
          <w:highlight w:val="none"/>
          <w:lang w:val="en-US" w:eastAsia="zh-CN"/>
        </w:rPr>
      </w:pPr>
      <w:r>
        <w:rPr>
          <w:rStyle w:val="75"/>
          <w:rFonts w:hint="eastAsia" w:ascii="宋体" w:hAnsi="宋体" w:cs="宋体"/>
          <w:color w:val="auto"/>
          <w:highlight w:val="none"/>
          <w:lang w:val="en-US" w:eastAsia="zh-CN"/>
        </w:rPr>
        <w:t>C分标</w:t>
      </w:r>
    </w:p>
    <w:tbl>
      <w:tblPr>
        <w:tblStyle w:val="32"/>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10"/>
        <w:gridCol w:w="5595"/>
        <w:gridCol w:w="805"/>
        <w:gridCol w:w="723"/>
        <w:gridCol w:w="1063"/>
      </w:tblGrid>
      <w:tr w14:paraId="44F7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74" w:type="dxa"/>
            <w:noWrap w:val="0"/>
            <w:vAlign w:val="center"/>
          </w:tcPr>
          <w:p w14:paraId="7806DA90">
            <w:pPr>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项号</w:t>
            </w:r>
          </w:p>
        </w:tc>
        <w:tc>
          <w:tcPr>
            <w:tcW w:w="1110" w:type="dxa"/>
            <w:noWrap w:val="0"/>
            <w:vAlign w:val="center"/>
          </w:tcPr>
          <w:p w14:paraId="7B65CECE">
            <w:pPr>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货物名称</w:t>
            </w:r>
          </w:p>
        </w:tc>
        <w:tc>
          <w:tcPr>
            <w:tcW w:w="5595" w:type="dxa"/>
            <w:noWrap w:val="0"/>
            <w:vAlign w:val="center"/>
          </w:tcPr>
          <w:p w14:paraId="7CF3CC51">
            <w:pPr>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项目要求及技术需求</w:t>
            </w:r>
          </w:p>
        </w:tc>
        <w:tc>
          <w:tcPr>
            <w:tcW w:w="805" w:type="dxa"/>
            <w:noWrap w:val="0"/>
            <w:vAlign w:val="center"/>
          </w:tcPr>
          <w:p w14:paraId="7928EA46">
            <w:pPr>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数量</w:t>
            </w:r>
          </w:p>
        </w:tc>
        <w:tc>
          <w:tcPr>
            <w:tcW w:w="723" w:type="dxa"/>
            <w:noWrap w:val="0"/>
            <w:vAlign w:val="center"/>
          </w:tcPr>
          <w:p w14:paraId="1CE4F8BA">
            <w:pPr>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单位</w:t>
            </w:r>
          </w:p>
        </w:tc>
        <w:tc>
          <w:tcPr>
            <w:tcW w:w="1063" w:type="dxa"/>
            <w:noWrap w:val="0"/>
            <w:vAlign w:val="center"/>
          </w:tcPr>
          <w:p w14:paraId="00F64F02">
            <w:pPr>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参考单价（元）</w:t>
            </w:r>
          </w:p>
        </w:tc>
      </w:tr>
      <w:tr w14:paraId="5663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14:paraId="268BECD5">
            <w:pPr>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0" w:type="dxa"/>
            <w:noWrap w:val="0"/>
            <w:vAlign w:val="center"/>
          </w:tcPr>
          <w:p w14:paraId="32898A66">
            <w:pPr>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健康检测与口腔护理套装</w:t>
            </w:r>
          </w:p>
        </w:tc>
        <w:tc>
          <w:tcPr>
            <w:tcW w:w="5595" w:type="dxa"/>
            <w:noWrap w:val="0"/>
            <w:vAlign w:val="top"/>
          </w:tcPr>
          <w:p w14:paraId="6B6AB13D">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aps w:val="0"/>
                <w:color w:val="auto"/>
                <w:spacing w:val="0"/>
                <w:sz w:val="21"/>
                <w:szCs w:val="21"/>
                <w:highlight w:val="none"/>
                <w:lang w:val="en-US" w:eastAsia="zh-CN"/>
              </w:rPr>
              <w:t>一、</w:t>
            </w:r>
            <w:r>
              <w:rPr>
                <w:rFonts w:hint="eastAsia" w:ascii="宋体" w:hAnsi="宋体" w:eastAsia="宋体" w:cs="宋体"/>
                <w:b/>
                <w:color w:val="auto"/>
                <w:sz w:val="21"/>
                <w:szCs w:val="21"/>
                <w:highlight w:val="none"/>
              </w:rPr>
              <w:t>健康检测与口腔护理套装</w:t>
            </w:r>
            <w:r>
              <w:rPr>
                <w:rFonts w:hint="eastAsia" w:ascii="宋体" w:hAnsi="宋体" w:eastAsia="宋体" w:cs="宋体"/>
                <w:b/>
                <w:bCs/>
                <w:i w:val="0"/>
                <w:iCs w:val="0"/>
                <w:caps w:val="0"/>
                <w:color w:val="auto"/>
                <w:spacing w:val="0"/>
                <w:sz w:val="21"/>
                <w:szCs w:val="21"/>
                <w:highlight w:val="none"/>
                <w:lang w:eastAsia="zh-CN"/>
              </w:rPr>
              <w:t>（</w:t>
            </w:r>
            <w:r>
              <w:rPr>
                <w:rFonts w:hint="eastAsia" w:ascii="宋体" w:hAnsi="宋体" w:eastAsia="宋体" w:cs="宋体"/>
                <w:b/>
                <w:bCs/>
                <w:i w:val="0"/>
                <w:iCs w:val="0"/>
                <w:caps w:val="0"/>
                <w:color w:val="auto"/>
                <w:spacing w:val="0"/>
                <w:sz w:val="21"/>
                <w:szCs w:val="21"/>
                <w:highlight w:val="none"/>
                <w:lang w:val="en-US" w:eastAsia="zh-CN"/>
              </w:rPr>
              <w:t>包含</w:t>
            </w:r>
            <w:r>
              <w:rPr>
                <w:rFonts w:hint="eastAsia" w:ascii="宋体" w:hAnsi="宋体" w:eastAsia="宋体" w:cs="宋体"/>
                <w:b/>
                <w:bCs/>
                <w:i w:val="0"/>
                <w:iCs w:val="0"/>
                <w:caps w:val="0"/>
                <w:color w:val="auto"/>
                <w:spacing w:val="0"/>
                <w:sz w:val="21"/>
                <w:szCs w:val="21"/>
                <w:highlight w:val="none"/>
              </w:rPr>
              <w:t>尿酸/血糖分析仪</w:t>
            </w:r>
            <w:r>
              <w:rPr>
                <w:rFonts w:hint="eastAsia" w:ascii="宋体" w:hAnsi="宋体" w:eastAsia="宋体" w:cs="宋体"/>
                <w:b/>
                <w:bCs/>
                <w:i w:val="0"/>
                <w:iCs w:val="0"/>
                <w:caps w:val="0"/>
                <w:color w:val="auto"/>
                <w:spacing w:val="0"/>
                <w:sz w:val="21"/>
                <w:szCs w:val="21"/>
                <w:highlight w:val="none"/>
                <w:lang w:val="en-US" w:eastAsia="zh-CN"/>
              </w:rPr>
              <w:t>一台，</w:t>
            </w:r>
            <w:r>
              <w:rPr>
                <w:rFonts w:hint="eastAsia" w:ascii="宋体" w:hAnsi="宋体" w:eastAsia="宋体" w:cs="宋体"/>
                <w:b/>
                <w:bCs/>
                <w:i w:val="0"/>
                <w:iCs w:val="0"/>
                <w:caps w:val="0"/>
                <w:color w:val="auto"/>
                <w:spacing w:val="0"/>
                <w:sz w:val="21"/>
                <w:szCs w:val="21"/>
                <w:highlight w:val="none"/>
              </w:rPr>
              <w:t>电动牙刷</w:t>
            </w:r>
            <w:r>
              <w:rPr>
                <w:rFonts w:hint="eastAsia" w:ascii="宋体" w:hAnsi="宋体" w:eastAsia="宋体" w:cs="宋体"/>
                <w:b/>
                <w:bCs/>
                <w:i w:val="0"/>
                <w:iCs w:val="0"/>
                <w:caps w:val="0"/>
                <w:color w:val="auto"/>
                <w:spacing w:val="0"/>
                <w:sz w:val="21"/>
                <w:szCs w:val="21"/>
                <w:highlight w:val="none"/>
                <w:lang w:val="en-US" w:eastAsia="zh-CN"/>
              </w:rPr>
              <w:t>一只，</w:t>
            </w:r>
            <w:r>
              <w:rPr>
                <w:rFonts w:hint="eastAsia" w:ascii="宋体" w:hAnsi="宋体" w:eastAsia="宋体" w:cs="宋体"/>
                <w:b/>
                <w:bCs/>
                <w:i w:val="0"/>
                <w:iCs w:val="0"/>
                <w:caps w:val="0"/>
                <w:color w:val="auto"/>
                <w:spacing w:val="0"/>
                <w:sz w:val="21"/>
                <w:szCs w:val="21"/>
                <w:highlight w:val="none"/>
              </w:rPr>
              <w:t>智能可视超声</w:t>
            </w:r>
            <w:r>
              <w:rPr>
                <w:rFonts w:hint="eastAsia" w:ascii="宋体" w:hAnsi="宋体" w:cs="宋体"/>
                <w:b/>
                <w:bCs/>
                <w:i w:val="0"/>
                <w:iCs w:val="0"/>
                <w:caps w:val="0"/>
                <w:color w:val="auto"/>
                <w:spacing w:val="0"/>
                <w:sz w:val="21"/>
                <w:szCs w:val="21"/>
                <w:highlight w:val="none"/>
                <w:lang w:val="en-US" w:eastAsia="zh-CN"/>
              </w:rPr>
              <w:t>波</w:t>
            </w:r>
            <w:r>
              <w:rPr>
                <w:rFonts w:hint="eastAsia" w:ascii="宋体" w:hAnsi="宋体" w:eastAsia="宋体" w:cs="宋体"/>
                <w:b/>
                <w:bCs/>
                <w:i w:val="0"/>
                <w:iCs w:val="0"/>
                <w:caps w:val="0"/>
                <w:color w:val="auto"/>
                <w:spacing w:val="0"/>
                <w:sz w:val="21"/>
                <w:szCs w:val="21"/>
                <w:highlight w:val="none"/>
              </w:rPr>
              <w:t>洁牙仪</w:t>
            </w:r>
            <w:r>
              <w:rPr>
                <w:rFonts w:hint="eastAsia" w:ascii="宋体" w:hAnsi="宋体" w:eastAsia="宋体" w:cs="宋体"/>
                <w:b/>
                <w:bCs/>
                <w:i w:val="0"/>
                <w:iCs w:val="0"/>
                <w:caps w:val="0"/>
                <w:color w:val="auto"/>
                <w:spacing w:val="0"/>
                <w:sz w:val="21"/>
                <w:szCs w:val="21"/>
                <w:highlight w:val="none"/>
                <w:lang w:val="en-US" w:eastAsia="zh-CN"/>
              </w:rPr>
              <w:t>一台</w:t>
            </w:r>
            <w:r>
              <w:rPr>
                <w:rFonts w:hint="eastAsia" w:ascii="宋体" w:hAnsi="宋体" w:eastAsia="宋体" w:cs="宋体"/>
                <w:b/>
                <w:bCs/>
                <w:i w:val="0"/>
                <w:iCs w:val="0"/>
                <w:caps w:val="0"/>
                <w:color w:val="auto"/>
                <w:spacing w:val="0"/>
                <w:sz w:val="21"/>
                <w:szCs w:val="21"/>
                <w:highlight w:val="none"/>
                <w:lang w:eastAsia="zh-CN"/>
              </w:rPr>
              <w:t>）</w:t>
            </w:r>
          </w:p>
          <w:p w14:paraId="7FD818C5">
            <w:pPr>
              <w:pageBreakBefore w:val="0"/>
              <w:kinsoku/>
              <w:wordWrap/>
              <w:overflowPunct/>
              <w:topLinePunct w:val="0"/>
              <w:autoSpaceDE/>
              <w:autoSpaceDN/>
              <w:bidi w:val="0"/>
              <w:snapToGrid/>
              <w:spacing w:line="380" w:lineRule="exac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eastAsia="宋体" w:cs="宋体"/>
                <w:b/>
                <w:bCs/>
                <w:i w:val="0"/>
                <w:iCs w:val="0"/>
                <w:caps w:val="0"/>
                <w:color w:val="auto"/>
                <w:spacing w:val="0"/>
                <w:sz w:val="21"/>
                <w:szCs w:val="21"/>
                <w:highlight w:val="none"/>
                <w:lang w:val="en-US" w:eastAsia="zh-CN"/>
              </w:rPr>
              <w:t>一</w:t>
            </w:r>
            <w:r>
              <w:rPr>
                <w:rFonts w:hint="eastAsia" w:ascii="宋体" w:hAnsi="宋体" w:cs="宋体"/>
                <w:b/>
                <w:bCs/>
                <w:color w:val="auto"/>
                <w:sz w:val="21"/>
                <w:szCs w:val="21"/>
                <w:highlight w:val="none"/>
                <w:lang w:eastAsia="zh-CN"/>
              </w:rPr>
              <w:t>）</w:t>
            </w:r>
            <w:r>
              <w:rPr>
                <w:rFonts w:hint="eastAsia" w:ascii="宋体" w:hAnsi="宋体" w:eastAsia="宋体" w:cs="宋体"/>
                <w:b/>
                <w:bCs/>
                <w:i w:val="0"/>
                <w:iCs w:val="0"/>
                <w:caps w:val="0"/>
                <w:color w:val="auto"/>
                <w:spacing w:val="0"/>
                <w:sz w:val="21"/>
                <w:szCs w:val="21"/>
                <w:highlight w:val="none"/>
              </w:rPr>
              <w:t>尿酸/血糖分析仪</w:t>
            </w:r>
          </w:p>
          <w:p w14:paraId="5A04E5D4">
            <w:pPr>
              <w:pageBreakBefore w:val="0"/>
              <w:kinsoku/>
              <w:wordWrap/>
              <w:overflowPunct/>
              <w:topLinePunct w:val="0"/>
              <w:autoSpaceDE/>
              <w:autoSpaceDN/>
              <w:bidi w:val="0"/>
              <w:snapToGrid/>
              <w:spacing w:line="38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外形尺寸：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长104mm*宽60mm*厚21mm</w:t>
            </w: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p>
          <w:p w14:paraId="15D8A7EF">
            <w:pPr>
              <w:pageBreakBefore w:val="0"/>
              <w:kinsoku/>
              <w:wordWrap/>
              <w:overflowPunct/>
              <w:topLinePunct w:val="0"/>
              <w:autoSpaceDE/>
              <w:autoSpaceDN/>
              <w:bidi w:val="0"/>
              <w:snapToGrid/>
              <w:spacing w:line="38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重量：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约65g（含机内电池）；</w:t>
            </w:r>
          </w:p>
          <w:p w14:paraId="233C10AA">
            <w:pPr>
              <w:pageBreakBefore w:val="0"/>
              <w:kinsoku/>
              <w:wordWrap/>
              <w:overflowPunct/>
              <w:topLinePunct w:val="0"/>
              <w:autoSpaceDE/>
              <w:autoSpaceDN/>
              <w:bidi w:val="0"/>
              <w:snapToGrid/>
              <w:spacing w:line="38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电源：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1枚纽扣电池CR2032（DC3V）；</w:t>
            </w:r>
          </w:p>
          <w:p w14:paraId="6F9B74D9">
            <w:pPr>
              <w:pageBreakBefore w:val="0"/>
              <w:kinsoku/>
              <w:wordWrap/>
              <w:overflowPunct/>
              <w:topLinePunct w:val="0"/>
              <w:autoSpaceDE/>
              <w:autoSpaceDN/>
              <w:bidi w:val="0"/>
              <w:snapToGrid/>
              <w:spacing w:line="38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使用环境：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尿酸浓度测试：气温10℃～40℃，相对湿度RH≤80%；血糖浓度测试：气温5℃～40℃，相对湿度RH≤80%，大气压力：75kPa~106kKa；</w:t>
            </w:r>
          </w:p>
          <w:p w14:paraId="3FD2C52C">
            <w:pPr>
              <w:pageBreakBefore w:val="0"/>
              <w:kinsoku/>
              <w:wordWrap/>
              <w:overflowPunct/>
              <w:topLinePunct w:val="0"/>
              <w:autoSpaceDE/>
              <w:autoSpaceDN/>
              <w:bidi w:val="0"/>
              <w:snapToGrid/>
              <w:spacing w:line="38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运输和贮存环境：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气温-20℃～55℃，相对湿度RH≤90%，大气压力：75kPa~106kKa；</w:t>
            </w:r>
          </w:p>
          <w:p w14:paraId="510C1D14">
            <w:pPr>
              <w:pageBreakBefore w:val="0"/>
              <w:kinsoku/>
              <w:wordWrap/>
              <w:overflowPunct/>
              <w:topLinePunct w:val="0"/>
              <w:autoSpaceDE/>
              <w:autoSpaceDN/>
              <w:bidi w:val="0"/>
              <w:snapToGrid/>
              <w:spacing w:line="38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检验原理：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基于媒介体生物电化学反应原理；</w:t>
            </w:r>
          </w:p>
          <w:p w14:paraId="72AF7C8A">
            <w:pPr>
              <w:pageBreakBefore w:val="0"/>
              <w:kinsoku/>
              <w:wordWrap/>
              <w:overflowPunct/>
              <w:topLinePunct w:val="0"/>
              <w:autoSpaceDE/>
              <w:autoSpaceDN/>
              <w:bidi w:val="0"/>
              <w:snapToGrid/>
              <w:spacing w:line="38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测试范围：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尿酸浓度范围：150μmol/L～1200 μmol/L血糖浓度范围：1.1mmol/L～33.3mmol/L；</w:t>
            </w:r>
          </w:p>
          <w:p w14:paraId="46683EF3">
            <w:pPr>
              <w:pageBreakBefore w:val="0"/>
              <w:kinsoku/>
              <w:wordWrap/>
              <w:overflowPunct/>
              <w:topLinePunct w:val="0"/>
              <w:autoSpaceDE/>
              <w:autoSpaceDN/>
              <w:bidi w:val="0"/>
              <w:snapToGrid/>
              <w:spacing w:line="38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8、</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测试时间：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尿酸浓度测试：25秒，血糖浓度测试：5秒；</w:t>
            </w:r>
          </w:p>
          <w:p w14:paraId="1BB15A38">
            <w:pPr>
              <w:pageBreakBefore w:val="0"/>
              <w:kinsoku/>
              <w:wordWrap/>
              <w:overflowPunct/>
              <w:topLinePunct w:val="0"/>
              <w:autoSpaceDE/>
              <w:autoSpaceDN/>
              <w:bidi w:val="0"/>
              <w:snapToGrid/>
              <w:spacing w:line="38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存储功能：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自动存储和自动更新200个尿酸浓度和血糖浓度的测试结果；</w:t>
            </w:r>
          </w:p>
          <w:p w14:paraId="40B5662D">
            <w:pPr>
              <w:pageBreakBefore w:val="0"/>
              <w:kinsoku/>
              <w:wordWrap/>
              <w:overflowPunct/>
              <w:topLinePunct w:val="0"/>
              <w:autoSpaceDE/>
              <w:autoSpaceDN/>
              <w:bidi w:val="0"/>
              <w:snapToGrid/>
              <w:spacing w:line="360" w:lineRule="auto"/>
              <w:textAlignment w:val="auto"/>
              <w:rPr>
                <w:rFonts w:hint="eastAsia" w:ascii="宋体" w:hAnsi="宋体" w:eastAsia="宋体" w:cs="宋体"/>
                <w:b/>
                <w:bCs w:val="0"/>
                <w:i w:val="0"/>
                <w:iCs w:val="0"/>
                <w:caps w:val="0"/>
                <w:color w:val="auto"/>
                <w:spacing w:val="0"/>
                <w:sz w:val="21"/>
                <w:szCs w:val="21"/>
                <w:highlight w:val="none"/>
                <w:lang w:val="en-US" w:eastAsia="zh-CN"/>
              </w:rPr>
            </w:pPr>
            <w:r>
              <w:rPr>
                <w:rFonts w:hint="eastAsia" w:ascii="宋体" w:hAnsi="宋体" w:cs="宋体"/>
                <w:b/>
                <w:bCs w:val="0"/>
                <w:color w:val="auto"/>
                <w:sz w:val="21"/>
                <w:szCs w:val="21"/>
                <w:highlight w:val="none"/>
                <w:lang w:val="en-US" w:eastAsia="zh-CN"/>
              </w:rPr>
              <w:t>注：</w:t>
            </w:r>
            <w:r>
              <w:rPr>
                <w:rFonts w:hint="eastAsia" w:ascii="宋体" w:hAnsi="宋体" w:eastAsia="宋体" w:cs="宋体"/>
                <w:b/>
                <w:bCs w:val="0"/>
                <w:i w:val="0"/>
                <w:iCs w:val="0"/>
                <w:caps w:val="0"/>
                <w:color w:val="auto"/>
                <w:spacing w:val="0"/>
                <w:sz w:val="21"/>
                <w:szCs w:val="21"/>
                <w:highlight w:val="none"/>
              </w:rPr>
              <w:t>尿酸/血糖分析仪</w:t>
            </w:r>
            <w:r>
              <w:rPr>
                <w:rFonts w:hint="eastAsia" w:ascii="宋体" w:hAnsi="宋体" w:eastAsia="宋体" w:cs="宋体"/>
                <w:b/>
                <w:bCs w:val="0"/>
                <w:i w:val="0"/>
                <w:iCs w:val="0"/>
                <w:caps w:val="0"/>
                <w:color w:val="auto"/>
                <w:spacing w:val="0"/>
                <w:sz w:val="21"/>
                <w:szCs w:val="21"/>
                <w:highlight w:val="none"/>
                <w:lang w:val="en-US" w:eastAsia="zh-CN"/>
              </w:rPr>
              <w:t>需配备：</w:t>
            </w:r>
            <w:r>
              <w:rPr>
                <w:rFonts w:hint="eastAsia" w:ascii="宋体" w:hAnsi="宋体" w:eastAsia="宋体" w:cs="宋体"/>
                <w:b/>
                <w:bCs w:val="0"/>
                <w:i w:val="0"/>
                <w:iCs w:val="0"/>
                <w:caps w:val="0"/>
                <w:color w:val="auto"/>
                <w:spacing w:val="0"/>
                <w:sz w:val="21"/>
                <w:szCs w:val="21"/>
                <w:highlight w:val="none"/>
              </w:rPr>
              <w:t>尿酸</w:t>
            </w:r>
            <w:r>
              <w:rPr>
                <w:rFonts w:hint="eastAsia" w:asciiTheme="majorEastAsia" w:hAnsiTheme="majorEastAsia" w:eastAsiaTheme="majorEastAsia" w:cstheme="majorEastAsia"/>
                <w:b/>
                <w:bCs w:val="0"/>
                <w:i w:val="0"/>
                <w:iCs w:val="0"/>
                <w:caps w:val="0"/>
                <w:color w:val="auto"/>
                <w:spacing w:val="0"/>
                <w:sz w:val="21"/>
                <w:szCs w:val="21"/>
                <w:highlight w:val="none"/>
                <w:lang w:val="en-US" w:eastAsia="zh-CN"/>
              </w:rPr>
              <w:t>试条（干化学法）1</w:t>
            </w:r>
            <w:r>
              <w:rPr>
                <w:rFonts w:hint="eastAsia" w:ascii="宋体" w:hAnsi="宋体" w:eastAsia="宋体" w:cs="宋体"/>
                <w:b/>
                <w:bCs w:val="0"/>
                <w:i w:val="0"/>
                <w:iCs w:val="0"/>
                <w:color w:val="auto"/>
                <w:kern w:val="0"/>
                <w:sz w:val="21"/>
                <w:szCs w:val="21"/>
                <w:highlight w:val="none"/>
                <w:u w:val="none"/>
                <w:lang w:val="en-US" w:eastAsia="zh-CN" w:bidi="ar"/>
              </w:rPr>
              <w:t>筒（10条/筒装）；</w:t>
            </w:r>
            <w:r>
              <w:rPr>
                <w:rFonts w:hint="eastAsia" w:asciiTheme="majorEastAsia" w:hAnsiTheme="majorEastAsia" w:eastAsiaTheme="majorEastAsia" w:cstheme="majorEastAsia"/>
                <w:b/>
                <w:bCs w:val="0"/>
                <w:i w:val="0"/>
                <w:iCs w:val="0"/>
                <w:color w:val="auto"/>
                <w:kern w:val="0"/>
                <w:sz w:val="21"/>
                <w:szCs w:val="21"/>
                <w:highlight w:val="none"/>
                <w:u w:val="none"/>
                <w:lang w:val="en-US" w:eastAsia="zh-CN" w:bidi="ar"/>
              </w:rPr>
              <w:t>血糖试条（葡萄糖氧化酶法）</w:t>
            </w:r>
            <w:r>
              <w:rPr>
                <w:rFonts w:hint="eastAsia" w:asciiTheme="majorEastAsia" w:hAnsiTheme="majorEastAsia" w:eastAsiaTheme="majorEastAsia" w:cstheme="majorEastAsia"/>
                <w:b/>
                <w:bCs w:val="0"/>
                <w:i w:val="0"/>
                <w:iCs w:val="0"/>
                <w:caps w:val="0"/>
                <w:color w:val="auto"/>
                <w:spacing w:val="0"/>
                <w:sz w:val="21"/>
                <w:szCs w:val="21"/>
                <w:highlight w:val="none"/>
                <w:lang w:val="en-US" w:eastAsia="zh-CN"/>
              </w:rPr>
              <w:t>1盒（</w:t>
            </w:r>
            <w:r>
              <w:rPr>
                <w:rFonts w:hint="eastAsia" w:asciiTheme="majorEastAsia" w:hAnsiTheme="majorEastAsia" w:eastAsiaTheme="majorEastAsia" w:cstheme="majorEastAsia"/>
                <w:b/>
                <w:bCs w:val="0"/>
                <w:i w:val="0"/>
                <w:iCs w:val="0"/>
                <w:color w:val="auto"/>
                <w:kern w:val="0"/>
                <w:sz w:val="21"/>
                <w:szCs w:val="21"/>
                <w:highlight w:val="none"/>
                <w:u w:val="none"/>
                <w:lang w:val="en-US" w:eastAsia="zh-CN" w:bidi="ar"/>
              </w:rPr>
              <w:t>25条/筒</w:t>
            </w:r>
            <w:r>
              <w:rPr>
                <w:rFonts w:hint="eastAsia" w:ascii="宋体" w:hAnsi="宋体" w:eastAsia="宋体" w:cs="宋体"/>
                <w:b/>
                <w:bCs w:val="0"/>
                <w:i w:val="0"/>
                <w:iCs w:val="0"/>
                <w:color w:val="auto"/>
                <w:kern w:val="0"/>
                <w:sz w:val="21"/>
                <w:szCs w:val="21"/>
                <w:highlight w:val="none"/>
                <w:u w:val="none"/>
                <w:lang w:val="en-US" w:eastAsia="zh-CN" w:bidi="ar"/>
              </w:rPr>
              <w:t>*2/盒装</w:t>
            </w:r>
            <w:r>
              <w:rPr>
                <w:rFonts w:hint="eastAsia" w:asciiTheme="majorEastAsia" w:hAnsiTheme="majorEastAsia" w:eastAsiaTheme="majorEastAsia" w:cstheme="majorEastAsia"/>
                <w:b/>
                <w:bCs w:val="0"/>
                <w:i w:val="0"/>
                <w:iCs w:val="0"/>
                <w:caps w:val="0"/>
                <w:color w:val="auto"/>
                <w:spacing w:val="0"/>
                <w:sz w:val="21"/>
                <w:szCs w:val="21"/>
                <w:highlight w:val="none"/>
                <w:lang w:val="en-US" w:eastAsia="zh-CN"/>
              </w:rPr>
              <w:t>）；</w:t>
            </w:r>
            <w:r>
              <w:rPr>
                <w:rFonts w:hint="eastAsia" w:asciiTheme="majorEastAsia" w:hAnsiTheme="majorEastAsia" w:eastAsiaTheme="majorEastAsia" w:cstheme="majorEastAsia"/>
                <w:b/>
                <w:bCs w:val="0"/>
                <w:i w:val="0"/>
                <w:iCs w:val="0"/>
                <w:color w:val="auto"/>
                <w:kern w:val="0"/>
                <w:sz w:val="21"/>
                <w:szCs w:val="21"/>
                <w:highlight w:val="none"/>
                <w:u w:val="none"/>
                <w:lang w:val="en-US" w:eastAsia="zh-CN" w:bidi="ar"/>
              </w:rPr>
              <w:t>一次性使用末梢采血针</w:t>
            </w:r>
            <w:r>
              <w:rPr>
                <w:rFonts w:hint="eastAsia" w:asciiTheme="majorEastAsia" w:hAnsiTheme="majorEastAsia" w:eastAsiaTheme="majorEastAsia" w:cstheme="majorEastAsia"/>
                <w:b/>
                <w:bCs w:val="0"/>
                <w:i w:val="0"/>
                <w:iCs w:val="0"/>
                <w:caps w:val="0"/>
                <w:color w:val="auto"/>
                <w:spacing w:val="0"/>
                <w:sz w:val="21"/>
                <w:szCs w:val="21"/>
                <w:highlight w:val="none"/>
                <w:lang w:val="en-US" w:eastAsia="zh-CN"/>
              </w:rPr>
              <w:t>1盒（</w:t>
            </w:r>
            <w:r>
              <w:rPr>
                <w:rFonts w:hint="eastAsia" w:asciiTheme="majorEastAsia" w:hAnsiTheme="majorEastAsia" w:eastAsiaTheme="majorEastAsia" w:cstheme="majorEastAsia"/>
                <w:b/>
                <w:bCs w:val="0"/>
                <w:i w:val="0"/>
                <w:iCs w:val="0"/>
                <w:color w:val="auto"/>
                <w:kern w:val="0"/>
                <w:sz w:val="21"/>
                <w:szCs w:val="21"/>
                <w:highlight w:val="none"/>
                <w:u w:val="none"/>
                <w:lang w:val="en-US" w:eastAsia="zh-CN" w:bidi="ar"/>
              </w:rPr>
              <w:t>50支/盒</w:t>
            </w:r>
            <w:r>
              <w:rPr>
                <w:rFonts w:hint="eastAsia" w:ascii="宋体" w:hAnsi="宋体" w:eastAsia="宋体" w:cs="宋体"/>
                <w:b/>
                <w:bCs w:val="0"/>
                <w:i w:val="0"/>
                <w:iCs w:val="0"/>
                <w:color w:val="auto"/>
                <w:kern w:val="0"/>
                <w:sz w:val="21"/>
                <w:szCs w:val="21"/>
                <w:highlight w:val="none"/>
                <w:u w:val="none"/>
                <w:lang w:val="en-US" w:eastAsia="zh-CN" w:bidi="ar"/>
              </w:rPr>
              <w:t>装</w:t>
            </w:r>
            <w:r>
              <w:rPr>
                <w:rFonts w:hint="eastAsia" w:asciiTheme="majorEastAsia" w:hAnsiTheme="majorEastAsia" w:eastAsiaTheme="majorEastAsia" w:cstheme="majorEastAsia"/>
                <w:b/>
                <w:bCs w:val="0"/>
                <w:i w:val="0"/>
                <w:iCs w:val="0"/>
                <w:caps w:val="0"/>
                <w:color w:val="auto"/>
                <w:spacing w:val="0"/>
                <w:sz w:val="21"/>
                <w:szCs w:val="21"/>
                <w:highlight w:val="none"/>
                <w:lang w:val="en-US" w:eastAsia="zh-CN"/>
              </w:rPr>
              <w:t>）；</w:t>
            </w:r>
            <w:r>
              <w:rPr>
                <w:rFonts w:hint="eastAsia" w:ascii="宋体" w:hAnsi="宋体" w:eastAsia="宋体" w:cs="宋体"/>
                <w:b/>
                <w:bCs w:val="0"/>
                <w:i w:val="0"/>
                <w:iCs w:val="0"/>
                <w:color w:val="auto"/>
                <w:kern w:val="0"/>
                <w:sz w:val="21"/>
                <w:szCs w:val="21"/>
                <w:highlight w:val="none"/>
                <w:u w:val="none"/>
                <w:lang w:val="en-US" w:eastAsia="zh-CN" w:bidi="ar"/>
              </w:rPr>
              <w:t>一次性酒精棉片</w:t>
            </w:r>
            <w:r>
              <w:rPr>
                <w:rFonts w:hint="eastAsia" w:asciiTheme="majorEastAsia" w:hAnsiTheme="majorEastAsia" w:eastAsiaTheme="majorEastAsia" w:cstheme="majorEastAsia"/>
                <w:b/>
                <w:bCs w:val="0"/>
                <w:i w:val="0"/>
                <w:iCs w:val="0"/>
                <w:caps w:val="0"/>
                <w:color w:val="auto"/>
                <w:spacing w:val="0"/>
                <w:sz w:val="21"/>
                <w:szCs w:val="21"/>
                <w:highlight w:val="none"/>
                <w:lang w:val="en-US" w:eastAsia="zh-CN"/>
              </w:rPr>
              <w:t>1盒（</w:t>
            </w:r>
            <w:r>
              <w:rPr>
                <w:rFonts w:hint="eastAsia" w:ascii="宋体" w:hAnsi="宋体" w:eastAsia="宋体" w:cs="宋体"/>
                <w:b/>
                <w:bCs w:val="0"/>
                <w:i w:val="0"/>
                <w:iCs w:val="0"/>
                <w:color w:val="auto"/>
                <w:kern w:val="0"/>
                <w:sz w:val="21"/>
                <w:szCs w:val="21"/>
                <w:highlight w:val="none"/>
                <w:u w:val="none"/>
                <w:lang w:val="en-US" w:eastAsia="zh-CN" w:bidi="ar"/>
              </w:rPr>
              <w:t>50片/盒装</w:t>
            </w:r>
            <w:r>
              <w:rPr>
                <w:rFonts w:hint="eastAsia" w:asciiTheme="majorEastAsia" w:hAnsiTheme="majorEastAsia" w:eastAsiaTheme="majorEastAsia" w:cstheme="majorEastAsia"/>
                <w:b/>
                <w:bCs w:val="0"/>
                <w:i w:val="0"/>
                <w:iCs w:val="0"/>
                <w:caps w:val="0"/>
                <w:color w:val="auto"/>
                <w:spacing w:val="0"/>
                <w:sz w:val="21"/>
                <w:szCs w:val="21"/>
                <w:highlight w:val="none"/>
                <w:lang w:val="en-US" w:eastAsia="zh-CN"/>
              </w:rPr>
              <w:t>）。</w:t>
            </w:r>
          </w:p>
          <w:p w14:paraId="1C088C49">
            <w:pPr>
              <w:spacing w:line="360" w:lineRule="auto"/>
              <w:ind w:firstLine="420" w:firstLineChars="200"/>
              <w:rPr>
                <w:rFonts w:hint="eastAsia" w:asciiTheme="majorEastAsia" w:hAnsiTheme="majorEastAsia" w:eastAsiaTheme="majorEastAsia" w:cstheme="majorEastAsia"/>
                <w:b w:val="0"/>
                <w:bCs w:val="0"/>
                <w:i w:val="0"/>
                <w:iCs w:val="0"/>
                <w:caps w:val="0"/>
                <w:color w:val="auto"/>
                <w:spacing w:val="0"/>
                <w:sz w:val="21"/>
                <w:szCs w:val="21"/>
                <w:highlight w:val="none"/>
                <w:lang w:val="en-US"/>
              </w:rPr>
            </w:pPr>
            <w:r>
              <w:rPr>
                <w:rFonts w:hint="eastAsia" w:asciiTheme="majorEastAsia" w:hAnsiTheme="majorEastAsia" w:eastAsiaTheme="majorEastAsia" w:cstheme="majorEastAsia"/>
                <w:b w:val="0"/>
                <w:bCs/>
                <w:i w:val="0"/>
                <w:iCs w:val="0"/>
                <w:caps w:val="0"/>
                <w:color w:val="auto"/>
                <w:spacing w:val="0"/>
                <w:sz w:val="21"/>
                <w:szCs w:val="21"/>
                <w:highlight w:val="none"/>
              </w:rPr>
              <w:t>尿酸</w:t>
            </w:r>
            <w:r>
              <w:rPr>
                <w:rFonts w:hint="eastAsia" w:asciiTheme="majorEastAsia" w:hAnsiTheme="majorEastAsia" w:eastAsiaTheme="majorEastAsia" w:cstheme="majorEastAsia"/>
                <w:b w:val="0"/>
                <w:bCs/>
                <w:i w:val="0"/>
                <w:iCs w:val="0"/>
                <w:caps w:val="0"/>
                <w:color w:val="auto"/>
                <w:spacing w:val="0"/>
                <w:sz w:val="21"/>
                <w:szCs w:val="21"/>
                <w:highlight w:val="none"/>
                <w:lang w:val="en-US" w:eastAsia="zh-CN"/>
              </w:rPr>
              <w:t>试条（干化学法）：</w:t>
            </w:r>
            <w:r>
              <w:rPr>
                <w:rFonts w:hint="eastAsia" w:asciiTheme="majorEastAsia" w:hAnsiTheme="majorEastAsia" w:eastAsiaTheme="majorEastAsia" w:cstheme="majorEastAsia"/>
                <w:b w:val="0"/>
                <w:bCs/>
                <w:i w:val="0"/>
                <w:iCs w:val="0"/>
                <w:color w:val="auto"/>
                <w:kern w:val="0"/>
                <w:sz w:val="21"/>
                <w:szCs w:val="21"/>
                <w:highlight w:val="none"/>
                <w:u w:val="none"/>
                <w:lang w:val="en-US" w:eastAsia="zh-CN" w:bidi="ar"/>
              </w:rPr>
              <w:t>规格：10条/筒，尺寸：约7mm*35.4mm；是否灭菌：否；储存温度条件：2℃～30℃，检验原理：尿酸试条是基于媒介体生物电化学反应原理；测试样本用量：约1.5μL，测试范围：150～1200 μmol/L；测试时间：25秒；重复性：&lt;380μmol/L,SD&lt;42.0μmol/L；≥380μmol/L，CV&lt;7.5%；系统准确度：尿酸系统与生化分析仪测试偏倚不超过±20%；</w:t>
            </w: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产品有效期：18个月。</w:t>
            </w:r>
          </w:p>
          <w:p w14:paraId="2B0F7AAD">
            <w:pPr>
              <w:spacing w:line="360" w:lineRule="auto"/>
              <w:ind w:firstLine="420" w:firstLineChars="200"/>
              <w:rPr>
                <w:rFonts w:hint="eastAsia" w:asciiTheme="majorEastAsia" w:hAnsiTheme="majorEastAsia" w:eastAsiaTheme="majorEastAsia" w:cstheme="majorEastAsia"/>
                <w:b w:val="0"/>
                <w:bCs w:val="0"/>
                <w:i w:val="0"/>
                <w:iCs w:val="0"/>
                <w:caps w:val="0"/>
                <w:color w:val="auto"/>
                <w:spacing w:val="0"/>
                <w:sz w:val="21"/>
                <w:szCs w:val="21"/>
                <w:highlight w:val="none"/>
                <w:lang w:val="en-US"/>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血糖试条（葡萄糖氧化酶法）</w:t>
            </w:r>
            <w:r>
              <w:rPr>
                <w:rFonts w:hint="eastAsia" w:asciiTheme="majorEastAsia" w:hAnsiTheme="majorEastAsia" w:eastAsiaTheme="majorEastAsia" w:cstheme="majorEastAsia"/>
                <w:b w:val="0"/>
                <w:bCs w:val="0"/>
                <w:i w:val="0"/>
                <w:iCs w:val="0"/>
                <w:caps w:val="0"/>
                <w:color w:val="auto"/>
                <w:spacing w:val="0"/>
                <w:sz w:val="21"/>
                <w:szCs w:val="21"/>
                <w:highlight w:val="none"/>
                <w:lang w:val="en-US" w:eastAsia="zh-CN"/>
              </w:rPr>
              <w:t>：</w:t>
            </w: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规格：25</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条/筒，</w:t>
            </w: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尺寸：约7mm*35.4mm；是否灭菌：否；储存温度条件：</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2℃～30℃，</w:t>
            </w: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检验原理：</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血糖试条是基于干化学检测方法，采用媒介体生物电化学反应原理</w:t>
            </w: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；测试样本用量：</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约1.0μL，</w:t>
            </w: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测试范围：</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1.1～33.3 mmol/L；</w:t>
            </w: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测试时间：5秒；重复性：</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＜5.55 mmol/L（＜100 mg/dL），SD＜0.42 mmol/L（＜7.7 mg/dL）；≥5.55 mmol/L（≥100 mg/dL），CV＜7.5%；</w:t>
            </w: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系统准确度：</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＜5.55 mmol/L（＜100 mg/dL），不超过±0.83 mmol/L(±15 mg/dL)；≥5.55 mmol/L（≥100 mg/dL），不超过±15%；</w:t>
            </w: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产品有效期：24个月。</w:t>
            </w:r>
          </w:p>
          <w:p w14:paraId="7C787C13">
            <w:pPr>
              <w:spacing w:line="360" w:lineRule="auto"/>
              <w:ind w:firstLine="420" w:firstLineChars="200"/>
              <w:rPr>
                <w:rFonts w:hint="eastAsia" w:asciiTheme="majorEastAsia" w:hAnsiTheme="majorEastAsia" w:eastAsiaTheme="majorEastAsia" w:cstheme="majorEastAsia"/>
                <w:i w:val="0"/>
                <w:iCs w:val="0"/>
                <w:caps w:val="0"/>
                <w:color w:val="auto"/>
                <w:spacing w:val="0"/>
                <w:sz w:val="21"/>
                <w:szCs w:val="21"/>
                <w:highlight w:val="none"/>
                <w:lang w:val="en-US"/>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一次性使用末梢采血针</w:t>
            </w:r>
            <w:r>
              <w:rPr>
                <w:rFonts w:hint="eastAsia" w:asciiTheme="majorEastAsia" w:hAnsiTheme="majorEastAsia" w:eastAsiaTheme="majorEastAsia" w:cstheme="majorEastAsia"/>
                <w:i w:val="0"/>
                <w:iCs w:val="0"/>
                <w:caps w:val="0"/>
                <w:color w:val="auto"/>
                <w:spacing w:val="0"/>
                <w:sz w:val="21"/>
                <w:szCs w:val="21"/>
                <w:highlight w:val="none"/>
                <w:lang w:val="en-US" w:eastAsia="zh-CN"/>
              </w:rPr>
              <w:t>：</w:t>
            </w: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规格：</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50支/盒，</w:t>
            </w: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尺寸：约32mm；是否灭菌：是</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（辐射灭菌）；</w:t>
            </w:r>
            <w:r>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t>产品有效期：5年。</w:t>
            </w:r>
          </w:p>
          <w:p w14:paraId="16294F78">
            <w:pPr>
              <w:pageBreakBefore w:val="0"/>
              <w:kinsoku/>
              <w:wordWrap/>
              <w:overflowPunct/>
              <w:topLinePunct w:val="0"/>
              <w:autoSpaceDE/>
              <w:autoSpaceDN/>
              <w:bidi w:val="0"/>
              <w:snapToGrid/>
              <w:spacing w:line="380" w:lineRule="exact"/>
              <w:textAlignment w:val="auto"/>
              <w:rPr>
                <w:rFonts w:hint="eastAsia" w:ascii="宋体" w:hAnsi="宋体" w:eastAsia="宋体" w:cs="宋体"/>
                <w:b/>
                <w:bCs w:val="0"/>
                <w:i w:val="0"/>
                <w:iCs w:val="0"/>
                <w:caps w:val="0"/>
                <w:color w:val="auto"/>
                <w:spacing w:val="0"/>
                <w:sz w:val="21"/>
                <w:szCs w:val="21"/>
                <w:highlight w:val="none"/>
                <w:lang w:val="en-US" w:eastAsia="zh-CN"/>
              </w:rPr>
            </w:pPr>
            <w:r>
              <w:rPr>
                <w:rFonts w:hint="eastAsia" w:ascii="宋体" w:hAnsi="宋体" w:eastAsia="宋体" w:cs="宋体"/>
                <w:b/>
                <w:bCs w:val="0"/>
                <w:i w:val="0"/>
                <w:iCs w:val="0"/>
                <w:caps w:val="0"/>
                <w:color w:val="auto"/>
                <w:spacing w:val="0"/>
                <w:sz w:val="21"/>
                <w:szCs w:val="21"/>
                <w:highlight w:val="none"/>
                <w:lang w:val="en-US" w:eastAsia="zh-CN"/>
              </w:rPr>
              <w:t>（二）</w:t>
            </w:r>
            <w:r>
              <w:rPr>
                <w:rFonts w:hint="eastAsia" w:ascii="宋体" w:hAnsi="宋体" w:eastAsia="宋体" w:cs="宋体"/>
                <w:b/>
                <w:bCs w:val="0"/>
                <w:i w:val="0"/>
                <w:iCs w:val="0"/>
                <w:caps w:val="0"/>
                <w:color w:val="auto"/>
                <w:spacing w:val="0"/>
                <w:sz w:val="21"/>
                <w:szCs w:val="21"/>
                <w:highlight w:val="none"/>
              </w:rPr>
              <w:t>电动牙刷</w:t>
            </w:r>
          </w:p>
          <w:p w14:paraId="2DE8F31B">
            <w:pPr>
              <w:pageBreakBefore w:val="0"/>
              <w:kinsoku/>
              <w:wordWrap/>
              <w:overflowPunct/>
              <w:topLinePunct w:val="0"/>
              <w:autoSpaceDE/>
              <w:autoSpaceDN/>
              <w:bidi w:val="0"/>
              <w:snapToGrid/>
              <w:spacing w:line="380" w:lineRule="exact"/>
              <w:textAlignment w:val="auto"/>
              <w:rPr>
                <w:rFonts w:hint="eastAsia" w:ascii="宋体" w:hAnsi="宋体" w:eastAsia="宋体" w:cs="宋体"/>
                <w:b w:val="0"/>
                <w:bCs/>
                <w:i w:val="0"/>
                <w:iCs w:val="0"/>
                <w:caps w:val="0"/>
                <w:color w:val="auto"/>
                <w:spacing w:val="0"/>
                <w:sz w:val="21"/>
                <w:szCs w:val="21"/>
                <w:highlight w:val="none"/>
                <w:lang w:val="en-US" w:eastAsia="zh-CN"/>
              </w:rPr>
            </w:pPr>
            <w:r>
              <w:rPr>
                <w:rFonts w:hint="eastAsia" w:ascii="宋体" w:hAnsi="宋体" w:eastAsia="宋体" w:cs="宋体"/>
                <w:b w:val="0"/>
                <w:bCs/>
                <w:i w:val="0"/>
                <w:iCs w:val="0"/>
                <w:caps w:val="0"/>
                <w:color w:val="auto"/>
                <w:spacing w:val="0"/>
                <w:sz w:val="21"/>
                <w:szCs w:val="21"/>
                <w:highlight w:val="none"/>
                <w:lang w:val="en-US" w:eastAsia="zh-CN"/>
              </w:rPr>
              <w:t>1、</w:t>
            </w:r>
            <w:r>
              <w:rPr>
                <w:rFonts w:hint="eastAsia" w:ascii="宋体" w:hAnsi="宋体" w:cs="宋体"/>
                <w:color w:val="auto"/>
                <w:szCs w:val="21"/>
                <w:highlight w:val="none"/>
              </w:rPr>
              <w:t>电池容量：2000mA</w:t>
            </w:r>
            <w:r>
              <w:rPr>
                <w:rFonts w:hint="eastAsia" w:ascii="宋体" w:hAnsi="宋体" w:cs="宋体"/>
                <w:color w:val="auto"/>
                <w:szCs w:val="21"/>
                <w:highlight w:val="none"/>
                <w:lang w:val="en-US" w:eastAsia="zh-CN"/>
              </w:rPr>
              <w:t>h；</w:t>
            </w:r>
          </w:p>
          <w:p w14:paraId="44806123">
            <w:pPr>
              <w:pageBreakBefore w:val="0"/>
              <w:kinsoku/>
              <w:wordWrap/>
              <w:overflowPunct/>
              <w:topLinePunct w:val="0"/>
              <w:autoSpaceDE/>
              <w:autoSpaceDN/>
              <w:bidi w:val="0"/>
              <w:snapToGrid/>
              <w:spacing w:line="380" w:lineRule="exact"/>
              <w:textAlignment w:val="auto"/>
              <w:rPr>
                <w:rFonts w:hint="eastAsia" w:ascii="宋体" w:hAnsi="宋体" w:eastAsia="黑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2、输入电压：5V</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w:t>
            </w:r>
          </w:p>
          <w:p w14:paraId="2096E254">
            <w:pPr>
              <w:pageBreakBefore w:val="0"/>
              <w:kinsoku/>
              <w:wordWrap/>
              <w:overflowPunct/>
              <w:topLinePunct w:val="0"/>
              <w:autoSpaceDE/>
              <w:autoSpaceDN/>
              <w:bidi w:val="0"/>
              <w:snapToGrid/>
              <w:spacing w:line="380" w:lineRule="exact"/>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3、额定功率：1.5W-3W；</w:t>
            </w:r>
          </w:p>
          <w:p w14:paraId="6F13EB47">
            <w:pPr>
              <w:pageBreakBefore w:val="0"/>
              <w:kinsoku/>
              <w:wordWrap/>
              <w:overflowPunct/>
              <w:topLinePunct w:val="0"/>
              <w:autoSpaceDE/>
              <w:autoSpaceDN/>
              <w:bidi w:val="0"/>
              <w:snapToGrid/>
              <w:spacing w:line="380" w:lineRule="exact"/>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4、防水等级：IPX7；</w:t>
            </w:r>
          </w:p>
          <w:p w14:paraId="3C0F7435">
            <w:pPr>
              <w:pageBreakBefore w:val="0"/>
              <w:kinsoku/>
              <w:wordWrap/>
              <w:overflowPunct/>
              <w:topLinePunct w:val="0"/>
              <w:autoSpaceDE/>
              <w:autoSpaceDN/>
              <w:bidi w:val="0"/>
              <w:snapToGrid/>
              <w:spacing w:line="380" w:lineRule="exact"/>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5、强度档数：三档；</w:t>
            </w:r>
          </w:p>
          <w:p w14:paraId="432BB559">
            <w:pPr>
              <w:pageBreakBefore w:val="0"/>
              <w:kinsoku/>
              <w:wordWrap/>
              <w:overflowPunct/>
              <w:topLinePunct w:val="0"/>
              <w:autoSpaceDE/>
              <w:autoSpaceDN/>
              <w:bidi w:val="0"/>
              <w:snapToGrid/>
              <w:spacing w:line="38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6、震动频率： 37500次/分钟；</w:t>
            </w:r>
          </w:p>
          <w:p w14:paraId="6E4C9C8B">
            <w:pPr>
              <w:pageBreakBefore w:val="0"/>
              <w:kinsoku/>
              <w:wordWrap/>
              <w:overflowPunct/>
              <w:topLinePunct w:val="0"/>
              <w:autoSpaceDE/>
              <w:autoSpaceDN/>
              <w:bidi w:val="0"/>
              <w:snapToGrid/>
              <w:spacing w:line="38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7、充电时间：约4小时；</w:t>
            </w:r>
          </w:p>
          <w:p w14:paraId="47F59A9B">
            <w:pPr>
              <w:pageBreakBefore w:val="0"/>
              <w:kinsoku/>
              <w:wordWrap/>
              <w:overflowPunct/>
              <w:topLinePunct w:val="0"/>
              <w:autoSpaceDE/>
              <w:autoSpaceDN/>
              <w:bidi w:val="0"/>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8、使用时间：约180天；</w:t>
            </w:r>
          </w:p>
          <w:p w14:paraId="67D1DA23">
            <w:pPr>
              <w:pStyle w:val="14"/>
              <w:spacing w:line="360" w:lineRule="auto"/>
              <w:rPr>
                <w:rFonts w:ascii="宋体" w:hAnsi="宋体" w:eastAsia="宋体" w:cs="宋体"/>
                <w:b w:val="0"/>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整机：</w:t>
            </w:r>
          </w:p>
          <w:p w14:paraId="04BE8C64">
            <w:pPr>
              <w:spacing w:line="396" w:lineRule="exact"/>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、标志和说明</w:t>
            </w:r>
          </w:p>
          <w:p w14:paraId="356EAB2D">
            <w:pPr>
              <w:spacing w:line="396" w:lineRule="exac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.1额定电压或额定电压范围（v）；</w:t>
            </w:r>
          </w:p>
          <w:p w14:paraId="4627DB7D">
            <w:pPr>
              <w:spacing w:line="396" w:lineRule="exac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.2电源性质的符号;</w:t>
            </w:r>
          </w:p>
          <w:p w14:paraId="5F4ADCED">
            <w:pPr>
              <w:spacing w:line="396" w:lineRule="exac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.3额定输入功率（W）或额定电流（A）;</w:t>
            </w:r>
          </w:p>
          <w:p w14:paraId="7708C544">
            <w:pPr>
              <w:spacing w:line="396" w:lineRule="exac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.4器具型号、规格;</w:t>
            </w:r>
          </w:p>
          <w:p w14:paraId="07CE0A81">
            <w:pPr>
              <w:spacing w:line="396" w:lineRule="exac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.5制造厂名或责任承销商的名称、商标或识别标志;</w:t>
            </w:r>
          </w:p>
          <w:p w14:paraId="198E9C12">
            <w:pPr>
              <w:spacing w:line="396" w:lineRule="exact"/>
              <w:rPr>
                <w:rFonts w:hint="eastAsia" w:ascii="宋体" w:hAnsi="宋体" w:cs="宋体"/>
                <w:color w:val="auto"/>
                <w:szCs w:val="21"/>
                <w:highlight w:val="none"/>
                <w:lang w:val="en-US" w:eastAsia="zh-CN"/>
              </w:rPr>
            </w:pPr>
            <w:r>
              <w:rPr>
                <w:rFonts w:hint="eastAsia" w:ascii="宋体" w:hAnsi="宋体" w:eastAsia="宋体" w:cs="宋体"/>
                <w:color w:val="auto"/>
                <w:spacing w:val="-1"/>
                <w:sz w:val="21"/>
                <w:szCs w:val="21"/>
                <w:highlight w:val="none"/>
                <w:lang w:val="en-US" w:eastAsia="zh-CN"/>
              </w:rPr>
              <w:t>1.6</w:t>
            </w:r>
            <w:r>
              <w:rPr>
                <w:rFonts w:hint="eastAsia" w:ascii="宋体" w:hAnsi="宋体" w:eastAsia="宋体" w:cs="宋体"/>
                <w:color w:val="auto"/>
                <w:spacing w:val="-1"/>
                <w:sz w:val="21"/>
                <w:szCs w:val="21"/>
                <w:highlight w:val="none"/>
              </w:rPr>
              <w:t>防水等</w:t>
            </w:r>
            <w:r>
              <w:rPr>
                <w:color w:val="auto"/>
                <w:spacing w:val="-1"/>
                <w:sz w:val="21"/>
                <w:szCs w:val="21"/>
                <w:highlight w:val="none"/>
              </w:rPr>
              <w:t>级的</w:t>
            </w:r>
            <w:r>
              <w:rPr>
                <w:rFonts w:ascii="Arial" w:hAnsi="Arial" w:eastAsia="Arial" w:cs="Arial"/>
                <w:color w:val="auto"/>
                <w:spacing w:val="-1"/>
                <w:sz w:val="21"/>
                <w:szCs w:val="21"/>
                <w:highlight w:val="none"/>
              </w:rPr>
              <w:t>IP</w:t>
            </w:r>
            <w:r>
              <w:rPr>
                <w:color w:val="auto"/>
                <w:spacing w:val="-1"/>
                <w:sz w:val="21"/>
                <w:szCs w:val="21"/>
                <w:highlight w:val="none"/>
              </w:rPr>
              <w:t>代码（</w:t>
            </w:r>
            <w:r>
              <w:rPr>
                <w:rFonts w:ascii="Arial" w:hAnsi="Arial" w:eastAsia="Arial" w:cs="Arial"/>
                <w:color w:val="auto"/>
                <w:spacing w:val="-1"/>
                <w:sz w:val="21"/>
                <w:szCs w:val="21"/>
                <w:highlight w:val="none"/>
              </w:rPr>
              <w:t>IPX0</w:t>
            </w:r>
            <w:r>
              <w:rPr>
                <w:color w:val="auto"/>
                <w:spacing w:val="-1"/>
                <w:sz w:val="21"/>
                <w:szCs w:val="21"/>
                <w:highlight w:val="none"/>
              </w:rPr>
              <w:t>不标出）</w:t>
            </w:r>
            <w:r>
              <w:rPr>
                <w:color w:val="auto"/>
                <w:spacing w:val="-40"/>
                <w:sz w:val="21"/>
                <w:szCs w:val="21"/>
                <w:highlight w:val="none"/>
              </w:rPr>
              <w:t xml:space="preserve"> </w:t>
            </w:r>
          </w:p>
          <w:p w14:paraId="514951C3">
            <w:pPr>
              <w:spacing w:line="396" w:lineRule="exac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正确使用符号;</w:t>
            </w:r>
          </w:p>
          <w:p w14:paraId="45BF7B6B">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使用说明（书）应随器具一起提供，</w:t>
            </w:r>
          </w:p>
          <w:p w14:paraId="7C98D71A">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使用说明(书)和本标准要求的其它文本，应使用销售地所在国的官方语言;</w:t>
            </w:r>
          </w:p>
          <w:p w14:paraId="3F2D6D79">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所使用的标志应清晰易读，持久耐用;</w:t>
            </w:r>
          </w:p>
          <w:p w14:paraId="5025D4AB">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器具上的标志应标在器具的主要部位上;</w:t>
            </w:r>
          </w:p>
          <w:p w14:paraId="75EF8C13">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lang w:val="en-US" w:eastAsia="zh-CN" w:bidi="ar"/>
              </w:rPr>
              <w:t>2</w:t>
            </w:r>
            <w:r>
              <w:rPr>
                <w:rFonts w:hint="eastAsia" w:ascii="宋体" w:hAnsi="宋体" w:cs="宋体"/>
                <w:b/>
                <w:bCs/>
                <w:color w:val="auto"/>
                <w:szCs w:val="21"/>
                <w:highlight w:val="none"/>
              </w:rPr>
              <w:t>、输入功率和电流</w:t>
            </w:r>
          </w:p>
          <w:p w14:paraId="6C0114A0">
            <w:pPr>
              <w:spacing w:line="396" w:lineRule="exact"/>
              <w:rPr>
                <w:rFonts w:ascii="宋体" w:hAnsi="宋体" w:cs="宋体"/>
                <w:color w:val="auto"/>
                <w:szCs w:val="21"/>
                <w:highlight w:val="none"/>
              </w:rPr>
            </w:pPr>
            <w:r>
              <w:rPr>
                <w:rFonts w:hint="eastAsia" w:ascii="宋体" w:hAnsi="宋体" w:cs="宋体"/>
                <w:color w:val="auto"/>
                <w:szCs w:val="21"/>
                <w:highlight w:val="none"/>
              </w:rPr>
              <w:t>器具在正常工作温度下，输入功率与额定功率的偏差不应超过GB4706.1-2005标准规定的范围。</w:t>
            </w:r>
          </w:p>
          <w:p w14:paraId="4AD55E9E">
            <w:pPr>
              <w:spacing w:line="360" w:lineRule="auto"/>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lang w:val="en-US" w:eastAsia="zh-CN" w:bidi="ar"/>
              </w:rPr>
              <w:t>3</w:t>
            </w:r>
            <w:r>
              <w:rPr>
                <w:rFonts w:hint="eastAsia" w:ascii="宋体" w:hAnsi="宋体" w:cs="宋体"/>
                <w:b/>
                <w:bCs/>
                <w:color w:val="auto"/>
                <w:szCs w:val="21"/>
                <w:highlight w:val="none"/>
              </w:rPr>
              <w:t>、发热</w:t>
            </w:r>
          </w:p>
          <w:p w14:paraId="4273A985">
            <w:pPr>
              <w:spacing w:line="396" w:lineRule="exact"/>
              <w:rPr>
                <w:rFonts w:hint="eastAsia" w:ascii="宋体" w:hAnsi="宋体" w:cs="宋体"/>
                <w:color w:val="auto"/>
                <w:szCs w:val="21"/>
                <w:highlight w:val="none"/>
              </w:rPr>
            </w:pPr>
            <w:r>
              <w:rPr>
                <w:color w:val="auto"/>
                <w:spacing w:val="11"/>
                <w:sz w:val="21"/>
                <w:szCs w:val="21"/>
                <w:highlight w:val="none"/>
              </w:rPr>
              <w:t>器具运转</w:t>
            </w:r>
            <w:r>
              <w:rPr>
                <w:rFonts w:ascii="Arial" w:hAnsi="Arial" w:eastAsia="Arial" w:cs="Arial"/>
                <w:color w:val="auto"/>
                <w:spacing w:val="11"/>
                <w:sz w:val="21"/>
                <w:szCs w:val="21"/>
                <w:highlight w:val="none"/>
              </w:rPr>
              <w:t>5</w:t>
            </w:r>
            <w:r>
              <w:rPr>
                <w:color w:val="auto"/>
                <w:spacing w:val="11"/>
                <w:sz w:val="21"/>
                <w:szCs w:val="21"/>
                <w:highlight w:val="none"/>
              </w:rPr>
              <w:t>个循环，每个循环包括</w:t>
            </w:r>
            <w:r>
              <w:rPr>
                <w:rFonts w:ascii="Arial" w:hAnsi="Arial" w:eastAsia="Arial" w:cs="Arial"/>
                <w:color w:val="auto"/>
                <w:spacing w:val="11"/>
                <w:sz w:val="21"/>
                <w:szCs w:val="21"/>
                <w:highlight w:val="none"/>
              </w:rPr>
              <w:t>3</w:t>
            </w:r>
            <w:r>
              <w:rPr>
                <w:rFonts w:ascii="Arial" w:hAnsi="Arial" w:eastAsia="Arial" w:cs="Arial"/>
                <w:color w:val="auto"/>
                <w:sz w:val="21"/>
                <w:szCs w:val="21"/>
                <w:highlight w:val="none"/>
              </w:rPr>
              <w:t>min</w:t>
            </w:r>
            <w:r>
              <w:rPr>
                <w:color w:val="auto"/>
                <w:spacing w:val="11"/>
                <w:sz w:val="21"/>
                <w:szCs w:val="21"/>
                <w:highlight w:val="none"/>
              </w:rPr>
              <w:t>的运转时间和</w:t>
            </w:r>
            <w:r>
              <w:rPr>
                <w:rFonts w:ascii="Arial" w:hAnsi="Arial" w:eastAsia="Arial" w:cs="Arial"/>
                <w:color w:val="auto"/>
                <w:spacing w:val="-1"/>
                <w:sz w:val="21"/>
                <w:szCs w:val="21"/>
                <w:highlight w:val="none"/>
              </w:rPr>
              <w:t>1min</w:t>
            </w:r>
            <w:r>
              <w:rPr>
                <w:color w:val="auto"/>
                <w:spacing w:val="-1"/>
                <w:sz w:val="21"/>
                <w:szCs w:val="21"/>
                <w:highlight w:val="none"/>
              </w:rPr>
              <w:t>停歇时间</w:t>
            </w:r>
            <w:r>
              <w:rPr>
                <w:rFonts w:ascii="Arial" w:hAnsi="Arial" w:eastAsia="Arial" w:cs="Arial"/>
                <w:color w:val="auto"/>
                <w:spacing w:val="-1"/>
                <w:sz w:val="21"/>
                <w:szCs w:val="21"/>
                <w:highlight w:val="none"/>
              </w:rPr>
              <w:t>(GB4706.59-2008)</w:t>
            </w:r>
          </w:p>
          <w:p w14:paraId="0998802F">
            <w:pPr>
              <w:spacing w:line="396" w:lineRule="exact"/>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rPr>
              <w:t>★</w:t>
            </w:r>
            <w:r>
              <w:rPr>
                <w:rFonts w:hint="eastAsia" w:ascii="宋体" w:hAnsi="宋体" w:eastAsia="宋体" w:cs="宋体"/>
                <w:b/>
                <w:bCs/>
                <w:color w:val="auto"/>
                <w:spacing w:val="-1"/>
                <w:sz w:val="21"/>
                <w:szCs w:val="21"/>
                <w:highlight w:val="none"/>
                <w:lang w:val="en-US" w:eastAsia="zh-CN"/>
              </w:rPr>
              <w:t>4、</w:t>
            </w:r>
            <w:r>
              <w:rPr>
                <w:rFonts w:hint="eastAsia" w:ascii="宋体" w:hAnsi="宋体" w:eastAsia="宋体" w:cs="宋体"/>
                <w:b/>
                <w:bCs/>
                <w:color w:val="auto"/>
                <w:spacing w:val="-1"/>
                <w:sz w:val="21"/>
                <w:szCs w:val="21"/>
                <w:highlight w:val="none"/>
              </w:rPr>
              <w:t>工作温度下的泄漏电流和电气强度</w:t>
            </w:r>
          </w:p>
          <w:p w14:paraId="11AD2750">
            <w:pPr>
              <w:pageBreakBefore w:val="0"/>
              <w:kinsoku/>
              <w:wordWrap/>
              <w:overflowPunct/>
              <w:topLinePunct w:val="0"/>
              <w:autoSpaceDE/>
              <w:autoSpaceDN/>
              <w:bidi w:val="0"/>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4.1</w:t>
            </w:r>
            <w:r>
              <w:rPr>
                <w:color w:val="auto"/>
                <w:spacing w:val="-1"/>
                <w:sz w:val="21"/>
                <w:szCs w:val="21"/>
                <w:highlight w:val="none"/>
              </w:rPr>
              <w:t>工作温度下，器具的泄漏电流不应过大，并且有足够的</w:t>
            </w:r>
            <w:r>
              <w:rPr>
                <w:color w:val="auto"/>
                <w:spacing w:val="-8"/>
                <w:sz w:val="21"/>
                <w:szCs w:val="21"/>
                <w:highlight w:val="none"/>
              </w:rPr>
              <w:t>电气强度</w:t>
            </w:r>
            <w:r>
              <w:rPr>
                <w:rFonts w:hint="eastAsia"/>
                <w:color w:val="auto"/>
                <w:spacing w:val="-8"/>
                <w:sz w:val="21"/>
                <w:szCs w:val="21"/>
                <w:highlight w:val="none"/>
                <w:lang w:eastAsia="zh-CN"/>
              </w:rPr>
              <w:t>，</w:t>
            </w:r>
          </w:p>
          <w:p w14:paraId="129EDE20">
            <w:pPr>
              <w:pStyle w:val="14"/>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w:t>
            </w:r>
            <w:r>
              <w:rPr>
                <w:rFonts w:hint="eastAsia" w:ascii="宋体" w:hAnsi="宋体" w:eastAsia="宋体" w:cs="宋体"/>
                <w:b w:val="0"/>
                <w:bCs w:val="0"/>
                <w:color w:val="auto"/>
                <w:spacing w:val="-2"/>
                <w:sz w:val="21"/>
                <w:szCs w:val="21"/>
                <w:highlight w:val="none"/>
              </w:rPr>
              <w:t>电</w:t>
            </w:r>
            <w:r>
              <w:rPr>
                <w:rFonts w:hint="eastAsia" w:ascii="宋体" w:hAnsi="宋体" w:eastAsia="宋体" w:cs="宋体"/>
                <w:b w:val="0"/>
                <w:bCs/>
                <w:color w:val="auto"/>
                <w:spacing w:val="-2"/>
                <w:sz w:val="21"/>
                <w:szCs w:val="21"/>
                <w:highlight w:val="none"/>
              </w:rPr>
              <w:t>动器具和联合器具以1.06倍额定电压供电</w:t>
            </w:r>
          </w:p>
          <w:p w14:paraId="18F2DB24">
            <w:pP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4.3</w:t>
            </w:r>
            <w:r>
              <w:rPr>
                <w:color w:val="auto"/>
                <w:spacing w:val="-1"/>
                <w:sz w:val="21"/>
                <w:szCs w:val="21"/>
                <w:highlight w:val="none"/>
              </w:rPr>
              <w:t>绝缘的电气强度试验</w:t>
            </w:r>
            <w:r>
              <w:rPr>
                <w:rFonts w:hint="eastAsia"/>
                <w:color w:val="auto"/>
                <w:spacing w:val="-1"/>
                <w:sz w:val="21"/>
                <w:szCs w:val="21"/>
                <w:highlight w:val="none"/>
                <w:lang w:eastAsia="zh-CN"/>
              </w:rPr>
              <w:t>：</w:t>
            </w:r>
            <w:r>
              <w:rPr>
                <w:color w:val="auto"/>
                <w:spacing w:val="-1"/>
                <w:sz w:val="21"/>
                <w:szCs w:val="21"/>
                <w:highlight w:val="none"/>
              </w:rPr>
              <w:t>在试验期间不应出现击穿</w:t>
            </w:r>
            <w:r>
              <w:rPr>
                <w:rFonts w:hint="eastAsia"/>
                <w:color w:val="auto"/>
                <w:spacing w:val="-1"/>
                <w:sz w:val="21"/>
                <w:szCs w:val="21"/>
                <w:highlight w:val="none"/>
                <w:lang w:eastAsia="zh-CN"/>
              </w:rPr>
              <w:t>；</w:t>
            </w:r>
          </w:p>
          <w:p w14:paraId="6C219F5D">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rPr>
              <w:t>★</w:t>
            </w:r>
            <w:r>
              <w:rPr>
                <w:rFonts w:hint="eastAsia" w:ascii="宋体" w:hAnsi="宋体" w:eastAsia="宋体" w:cs="宋体"/>
                <w:bCs/>
                <w:color w:val="auto"/>
                <w:sz w:val="21"/>
                <w:szCs w:val="21"/>
                <w:highlight w:val="none"/>
                <w:lang w:val="en-US" w:eastAsia="zh-CN"/>
              </w:rPr>
              <w:t>5、耐潮湿</w:t>
            </w:r>
          </w:p>
          <w:p w14:paraId="5F3523C2">
            <w:pPr>
              <w:spacing w:line="360" w:lineRule="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5.1</w:t>
            </w:r>
            <w:r>
              <w:rPr>
                <w:color w:val="auto"/>
                <w:sz w:val="21"/>
                <w:szCs w:val="21"/>
                <w:highlight w:val="none"/>
              </w:rPr>
              <w:t>器具外壳按器具分类提供相应的防水等级</w:t>
            </w:r>
            <w:r>
              <w:rPr>
                <w:rFonts w:hint="eastAsia"/>
                <w:color w:val="auto"/>
                <w:sz w:val="21"/>
                <w:szCs w:val="21"/>
                <w:highlight w:val="none"/>
                <w:lang w:eastAsia="zh-CN"/>
              </w:rPr>
              <w:t>；</w:t>
            </w:r>
          </w:p>
          <w:p w14:paraId="7083C2D1">
            <w:pPr>
              <w:pStyle w:val="14"/>
              <w:spacing w:line="360" w:lineRule="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5.2</w:t>
            </w:r>
            <w:r>
              <w:rPr>
                <w:rFonts w:hint="eastAsia" w:asciiTheme="majorEastAsia" w:hAnsiTheme="majorEastAsia" w:eastAsiaTheme="majorEastAsia" w:cstheme="majorEastAsia"/>
                <w:b w:val="0"/>
                <w:bCs w:val="0"/>
                <w:color w:val="auto"/>
                <w:spacing w:val="-1"/>
                <w:sz w:val="21"/>
                <w:szCs w:val="21"/>
                <w:highlight w:val="none"/>
              </w:rPr>
              <w:t>手持式器具在试验期间要通过最不利位置连续转动</w:t>
            </w:r>
            <w:r>
              <w:rPr>
                <w:rFonts w:hint="eastAsia" w:asciiTheme="majorEastAsia" w:hAnsiTheme="majorEastAsia" w:eastAsiaTheme="majorEastAsia" w:cstheme="majorEastAsia"/>
                <w:b w:val="0"/>
                <w:bCs w:val="0"/>
                <w:color w:val="auto"/>
                <w:spacing w:val="-1"/>
                <w:sz w:val="21"/>
                <w:szCs w:val="21"/>
                <w:highlight w:val="none"/>
                <w:lang w:eastAsia="zh-CN"/>
              </w:rPr>
              <w:t>；</w:t>
            </w:r>
          </w:p>
          <w:p w14:paraId="33C9AD19">
            <w:pPr>
              <w:spacing w:line="36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5.3</w:t>
            </w:r>
            <w:r>
              <w:rPr>
                <w:rFonts w:hint="eastAsia" w:asciiTheme="minorEastAsia" w:hAnsiTheme="minorEastAsia" w:eastAsiaTheme="minorEastAsia" w:cstheme="minorEastAsia"/>
                <w:color w:val="auto"/>
                <w:spacing w:val="-1"/>
                <w:sz w:val="21"/>
                <w:szCs w:val="21"/>
                <w:highlight w:val="none"/>
              </w:rPr>
              <w:t>器具应能承受正常使用中可能出现的潮湿条件</w:t>
            </w:r>
            <w:r>
              <w:rPr>
                <w:rFonts w:hint="eastAsia" w:asciiTheme="minorEastAsia" w:hAnsiTheme="minorEastAsia" w:eastAsiaTheme="minorEastAsia" w:cstheme="minorEastAsia"/>
                <w:color w:val="auto"/>
                <w:spacing w:val="-1"/>
                <w:sz w:val="21"/>
                <w:szCs w:val="21"/>
                <w:highlight w:val="none"/>
                <w:lang w:eastAsia="zh-CN"/>
              </w:rPr>
              <w:t>；</w:t>
            </w:r>
          </w:p>
          <w:p w14:paraId="2D0A0468">
            <w:pPr>
              <w:pageBreakBefore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5.4 </w:t>
            </w:r>
            <w:r>
              <w:rPr>
                <w:rFonts w:hint="eastAsia" w:asciiTheme="minorEastAsia" w:hAnsiTheme="minorEastAsia" w:eastAsiaTheme="minorEastAsia" w:cstheme="minorEastAsia"/>
                <w:color w:val="auto"/>
                <w:sz w:val="21"/>
                <w:szCs w:val="21"/>
                <w:highlight w:val="none"/>
              </w:rPr>
              <w:t>48小时潮湿处理</w:t>
            </w:r>
            <w:r>
              <w:rPr>
                <w:rFonts w:hint="eastAsia" w:asciiTheme="minorEastAsia" w:hAnsiTheme="minorEastAsia" w:eastAsiaTheme="minorEastAsia" w:cstheme="minorEastAsia"/>
                <w:color w:val="auto"/>
                <w:sz w:val="21"/>
                <w:szCs w:val="21"/>
                <w:highlight w:val="none"/>
                <w:lang w:eastAsia="zh-CN"/>
              </w:rPr>
              <w:t>；</w:t>
            </w:r>
          </w:p>
          <w:p w14:paraId="736D78B7">
            <w:pPr>
              <w:pageBreakBefore w:val="0"/>
              <w:kinsoku/>
              <w:wordWrap/>
              <w:overflowPunct/>
              <w:topLinePunct w:val="0"/>
              <w:autoSpaceDE/>
              <w:autoSpaceDN/>
              <w:bidi w:val="0"/>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5.5</w:t>
            </w:r>
            <w:r>
              <w:rPr>
                <w:rFonts w:hint="eastAsia" w:ascii="宋体" w:hAnsi="宋体" w:eastAsia="宋体" w:cs="宋体"/>
                <w:color w:val="auto"/>
                <w:spacing w:val="-1"/>
                <w:sz w:val="21"/>
                <w:szCs w:val="21"/>
                <w:highlight w:val="none"/>
              </w:rPr>
              <w:t>经受(GB4706.</w:t>
            </w: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rPr>
              <w:t>-200</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)16章的试验</w:t>
            </w:r>
            <w:r>
              <w:rPr>
                <w:rFonts w:hint="eastAsia" w:ascii="宋体" w:hAnsi="宋体" w:eastAsia="宋体" w:cs="宋体"/>
                <w:color w:val="auto"/>
                <w:spacing w:val="-1"/>
                <w:sz w:val="21"/>
                <w:szCs w:val="21"/>
                <w:highlight w:val="none"/>
                <w:lang w:eastAsia="zh-CN"/>
              </w:rPr>
              <w:t>；</w:t>
            </w:r>
          </w:p>
          <w:p w14:paraId="643411D7">
            <w:pPr>
              <w:pStyle w:val="14"/>
              <w:spacing w:line="360" w:lineRule="auto"/>
              <w:rPr>
                <w:rFonts w:ascii="宋体" w:hAnsi="宋体" w:eastAsia="宋体" w:cs="宋体"/>
                <w:b w:val="0"/>
                <w:bCs/>
                <w:color w:val="auto"/>
                <w:sz w:val="21"/>
                <w:szCs w:val="21"/>
                <w:highlight w:val="none"/>
                <w:lang w:val="en-US" w:eastAsia="zh-CN"/>
              </w:rPr>
            </w:pPr>
            <w:r>
              <w:rPr>
                <w:rFonts w:hint="eastAsia" w:ascii="宋体" w:hAnsi="宋体" w:cs="宋体"/>
                <w:b/>
                <w:bCs/>
                <w:color w:val="auto"/>
                <w:sz w:val="21"/>
                <w:szCs w:val="21"/>
                <w:highlight w:val="none"/>
              </w:rPr>
              <w:t>★</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bCs/>
                <w:color w:val="auto"/>
                <w:sz w:val="21"/>
                <w:szCs w:val="21"/>
                <w:highlight w:val="none"/>
                <w:lang w:val="en-US" w:eastAsia="zh-CN"/>
              </w:rPr>
              <w:t>、机械强度</w:t>
            </w:r>
          </w:p>
          <w:p w14:paraId="49146204">
            <w:pPr>
              <w:pStyle w:val="14"/>
              <w:spacing w:line="360" w:lineRule="auto"/>
              <w:rPr>
                <w:rFonts w:ascii="宋体" w:hAnsi="宋体" w:eastAsia="宋体" w:cs="宋体"/>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6.1器具有足够的机械强度，其结构应经受正常使用中可能出现的野蛮搬运；对器具外壳各部分以 0.5J 的冲击能量打击三次后，应无损坏;</w:t>
            </w:r>
          </w:p>
          <w:p w14:paraId="79ECBF3B">
            <w:pPr>
              <w:pageBreakBefore w:val="0"/>
              <w:kinsoku/>
              <w:wordWrap/>
              <w:overflowPunct/>
              <w:topLinePunct w:val="0"/>
              <w:autoSpaceDE/>
              <w:autoSpaceDN/>
              <w:bidi w:val="0"/>
              <w:snapToGrid/>
              <w:spacing w:line="38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6.2</w:t>
            </w:r>
            <w:r>
              <w:rPr>
                <w:color w:val="auto"/>
                <w:spacing w:val="-2"/>
                <w:sz w:val="21"/>
                <w:szCs w:val="21"/>
                <w:highlight w:val="none"/>
              </w:rPr>
              <w:t>固体绝缘的易触及部件，应有足够的强度防止锋利工具</w:t>
            </w:r>
            <w:r>
              <w:rPr>
                <w:color w:val="auto"/>
                <w:spacing w:val="16"/>
                <w:sz w:val="21"/>
                <w:szCs w:val="21"/>
                <w:highlight w:val="none"/>
              </w:rPr>
              <w:t xml:space="preserve"> </w:t>
            </w:r>
            <w:r>
              <w:rPr>
                <w:color w:val="auto"/>
                <w:spacing w:val="-5"/>
                <w:sz w:val="21"/>
                <w:szCs w:val="21"/>
                <w:highlight w:val="none"/>
              </w:rPr>
              <w:t>的刺穿</w:t>
            </w:r>
            <w:r>
              <w:rPr>
                <w:rFonts w:hint="eastAsia"/>
                <w:color w:val="auto"/>
                <w:spacing w:val="-5"/>
                <w:sz w:val="21"/>
                <w:szCs w:val="21"/>
                <w:highlight w:val="none"/>
                <w:lang w:eastAsia="zh-CN"/>
              </w:rPr>
              <w:t>；</w:t>
            </w:r>
          </w:p>
          <w:p w14:paraId="52208531">
            <w:pPr>
              <w:pStyle w:val="14"/>
              <w:spacing w:line="360" w:lineRule="auto"/>
              <w:rPr>
                <w:rFonts w:ascii="宋体" w:hAnsi="宋体" w:eastAsia="宋体" w:cs="宋体"/>
                <w:b w:val="0"/>
                <w:bCs/>
                <w:color w:val="auto"/>
                <w:sz w:val="21"/>
                <w:szCs w:val="21"/>
                <w:highlight w:val="none"/>
                <w:lang w:val="en-US" w:eastAsia="zh-CN"/>
              </w:rPr>
            </w:pPr>
            <w:r>
              <w:rPr>
                <w:rFonts w:hint="eastAsia" w:ascii="宋体" w:hAnsi="宋体" w:cs="宋体"/>
                <w:b/>
                <w:bCs/>
                <w:color w:val="auto"/>
                <w:sz w:val="21"/>
                <w:szCs w:val="21"/>
                <w:highlight w:val="none"/>
              </w:rPr>
              <w:t>★</w:t>
            </w:r>
            <w:r>
              <w:rPr>
                <w:rFonts w:hint="eastAsia" w:ascii="宋体" w:hAnsi="宋体" w:eastAsia="宋体" w:cs="宋体"/>
                <w:color w:val="auto"/>
                <w:sz w:val="21"/>
                <w:szCs w:val="21"/>
                <w:highlight w:val="none"/>
                <w:lang w:val="en-US" w:eastAsia="zh-CN" w:bidi="ar"/>
              </w:rPr>
              <w:t>7</w:t>
            </w:r>
            <w:r>
              <w:rPr>
                <w:rFonts w:hint="eastAsia" w:ascii="宋体" w:hAnsi="宋体" w:eastAsia="宋体" w:cs="宋体"/>
                <w:bCs/>
                <w:color w:val="auto"/>
                <w:sz w:val="21"/>
                <w:szCs w:val="21"/>
                <w:highlight w:val="none"/>
                <w:lang w:val="en-US" w:eastAsia="zh-CN"/>
              </w:rPr>
              <w:t>、结构</w:t>
            </w:r>
          </w:p>
          <w:p w14:paraId="3A2EC2BA">
            <w:pPr>
              <w:pageBreakBefore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US" w:eastAsia="zh-CN"/>
              </w:rPr>
              <w:t>7.1</w:t>
            </w:r>
            <w:r>
              <w:rPr>
                <w:rFonts w:hint="eastAsia" w:asciiTheme="minorEastAsia" w:hAnsiTheme="minorEastAsia" w:eastAsiaTheme="minorEastAsia" w:cstheme="minorEastAsia"/>
                <w:color w:val="auto"/>
                <w:spacing w:val="-1"/>
                <w:sz w:val="21"/>
                <w:szCs w:val="21"/>
                <w:highlight w:val="none"/>
              </w:rPr>
              <w:t>绝缘、内部布线、绕组、整流子和滑环之类的部件不暴露于油、油脂或类似物质</w:t>
            </w:r>
            <w:r>
              <w:rPr>
                <w:rFonts w:hint="eastAsia" w:asciiTheme="minorEastAsia" w:hAnsiTheme="minorEastAsia" w:eastAsiaTheme="minorEastAsia" w:cstheme="minorEastAsia"/>
                <w:color w:val="auto"/>
                <w:spacing w:val="-1"/>
                <w:sz w:val="21"/>
                <w:szCs w:val="21"/>
                <w:highlight w:val="none"/>
                <w:lang w:eastAsia="zh-CN"/>
              </w:rPr>
              <w:t>；</w:t>
            </w:r>
          </w:p>
          <w:p w14:paraId="20540EEA">
            <w:pPr>
              <w:pageBreakBefore w:val="0"/>
              <w:kinsoku/>
              <w:wordWrap/>
              <w:overflowPunct/>
              <w:topLinePunct w:val="0"/>
              <w:autoSpaceDE/>
              <w:autoSpaceDN/>
              <w:bidi w:val="0"/>
              <w:snapToGrid/>
              <w:spacing w:line="360" w:lineRule="auto"/>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7.2</w:t>
            </w:r>
            <w:r>
              <w:rPr>
                <w:color w:val="auto"/>
                <w:spacing w:val="-1"/>
                <w:sz w:val="21"/>
                <w:szCs w:val="21"/>
                <w:highlight w:val="none"/>
              </w:rPr>
              <w:t>用于指示开关和类似元件档位的手柄、旋钮等应不可能</w:t>
            </w:r>
            <w:r>
              <w:rPr>
                <w:color w:val="auto"/>
                <w:spacing w:val="9"/>
                <w:sz w:val="21"/>
                <w:szCs w:val="21"/>
                <w:highlight w:val="none"/>
              </w:rPr>
              <w:t xml:space="preserve"> </w:t>
            </w:r>
            <w:r>
              <w:rPr>
                <w:color w:val="auto"/>
                <w:spacing w:val="-3"/>
                <w:sz w:val="21"/>
                <w:szCs w:val="21"/>
                <w:highlight w:val="none"/>
              </w:rPr>
              <w:t>固定在错误的位置上</w:t>
            </w:r>
          </w:p>
          <w:p w14:paraId="24BB8640">
            <w:pPr>
              <w:pageBreakBefore w:val="0"/>
              <w:kinsoku/>
              <w:wordWrap/>
              <w:overflowPunct/>
              <w:topLinePunct w:val="0"/>
              <w:autoSpaceDE/>
              <w:autoSpaceDN/>
              <w:bidi w:val="0"/>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7.3</w:t>
            </w:r>
            <w:r>
              <w:rPr>
                <w:color w:val="auto"/>
                <w:spacing w:val="8"/>
                <w:sz w:val="21"/>
                <w:szCs w:val="21"/>
                <w:highlight w:val="none"/>
              </w:rPr>
              <w:t>不应有在正常使用或用户维护期间对用户造成危险的</w:t>
            </w:r>
            <w:r>
              <w:rPr>
                <w:color w:val="auto"/>
                <w:spacing w:val="-1"/>
                <w:sz w:val="21"/>
                <w:szCs w:val="21"/>
                <w:highlight w:val="none"/>
              </w:rPr>
              <w:t>粗糙或锐利的棱边</w:t>
            </w:r>
            <w:r>
              <w:rPr>
                <w:rFonts w:hint="eastAsia"/>
                <w:color w:val="auto"/>
                <w:spacing w:val="-1"/>
                <w:sz w:val="21"/>
                <w:szCs w:val="21"/>
                <w:highlight w:val="none"/>
                <w:lang w:eastAsia="zh-CN"/>
              </w:rPr>
              <w:t>；</w:t>
            </w:r>
          </w:p>
          <w:p w14:paraId="7BAAC598">
            <w:pPr>
              <w:pageBreakBefore w:val="0"/>
              <w:kinsoku/>
              <w:wordWrap/>
              <w:overflowPunct/>
              <w:topLinePunct w:val="0"/>
              <w:autoSpaceDE/>
              <w:autoSpaceDN/>
              <w:bidi w:val="0"/>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7.4</w:t>
            </w:r>
            <w:r>
              <w:rPr>
                <w:color w:val="auto"/>
                <w:spacing w:val="-1"/>
                <w:sz w:val="21"/>
                <w:szCs w:val="21"/>
                <w:highlight w:val="none"/>
              </w:rPr>
              <w:t>不应有在正常使用期间或用户维护期间，用户易触及的</w:t>
            </w:r>
            <w:r>
              <w:rPr>
                <w:color w:val="auto"/>
                <w:spacing w:val="7"/>
                <w:sz w:val="21"/>
                <w:szCs w:val="21"/>
                <w:highlight w:val="none"/>
              </w:rPr>
              <w:t xml:space="preserve"> </w:t>
            </w:r>
            <w:r>
              <w:rPr>
                <w:color w:val="auto"/>
                <w:spacing w:val="-4"/>
                <w:sz w:val="21"/>
                <w:szCs w:val="21"/>
                <w:highlight w:val="none"/>
              </w:rPr>
              <w:t>自攻螺钉等暴露在外的尖端</w:t>
            </w:r>
            <w:r>
              <w:rPr>
                <w:rFonts w:hint="eastAsia"/>
                <w:color w:val="auto"/>
                <w:spacing w:val="-4"/>
                <w:sz w:val="21"/>
                <w:szCs w:val="21"/>
                <w:highlight w:val="none"/>
                <w:lang w:eastAsia="zh-CN"/>
              </w:rPr>
              <w:t>；</w:t>
            </w:r>
          </w:p>
          <w:p w14:paraId="62029898">
            <w:pPr>
              <w:pStyle w:val="14"/>
              <w:spacing w:line="36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7.5</w:t>
            </w:r>
            <w:r>
              <w:rPr>
                <w:rFonts w:hint="eastAsia" w:asciiTheme="minorEastAsia" w:hAnsiTheme="minorEastAsia" w:eastAsiaTheme="minorEastAsia" w:cstheme="minorEastAsia"/>
                <w:b w:val="0"/>
                <w:bCs w:val="0"/>
                <w:color w:val="auto"/>
                <w:spacing w:val="8"/>
                <w:sz w:val="21"/>
                <w:szCs w:val="21"/>
                <w:highlight w:val="none"/>
              </w:rPr>
              <w:t>在正常使用中易触及的或可能成为易触及的导电性液</w:t>
            </w:r>
            <w:r>
              <w:rPr>
                <w:rFonts w:hint="eastAsia" w:asciiTheme="minorEastAsia" w:hAnsiTheme="minorEastAsia" w:eastAsiaTheme="minorEastAsia" w:cstheme="minorEastAsia"/>
                <w:b w:val="0"/>
                <w:bCs w:val="0"/>
                <w:color w:val="auto"/>
                <w:spacing w:val="-1"/>
                <w:sz w:val="21"/>
                <w:szCs w:val="21"/>
                <w:highlight w:val="none"/>
              </w:rPr>
              <w:t>体，不应与带电部件直接接触</w:t>
            </w:r>
            <w:r>
              <w:rPr>
                <w:rFonts w:hint="eastAsia" w:asciiTheme="minorEastAsia" w:hAnsiTheme="minorEastAsia" w:eastAsiaTheme="minorEastAsia" w:cstheme="minorEastAsia"/>
                <w:b w:val="0"/>
                <w:bCs w:val="0"/>
                <w:color w:val="auto"/>
                <w:spacing w:val="-1"/>
                <w:sz w:val="21"/>
                <w:szCs w:val="21"/>
                <w:highlight w:val="none"/>
                <w:lang w:eastAsia="zh-CN"/>
              </w:rPr>
              <w:t>；</w:t>
            </w:r>
          </w:p>
          <w:p w14:paraId="0839AD85">
            <w:pPr>
              <w:spacing w:line="360" w:lineRule="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7.6</w:t>
            </w:r>
            <w:r>
              <w:rPr>
                <w:rFonts w:hint="eastAsia" w:asciiTheme="majorEastAsia" w:hAnsiTheme="majorEastAsia" w:eastAsiaTheme="majorEastAsia" w:cstheme="majorEastAsia"/>
                <w:color w:val="auto"/>
                <w:spacing w:val="-1"/>
                <w:sz w:val="21"/>
                <w:szCs w:val="21"/>
                <w:highlight w:val="none"/>
              </w:rPr>
              <w:t>在正常使用中握持或操纵手柄、操纵杆和旋钮即使绝缘</w:t>
            </w:r>
            <w:r>
              <w:rPr>
                <w:rFonts w:hint="eastAsia" w:asciiTheme="majorEastAsia" w:hAnsiTheme="majorEastAsia" w:eastAsiaTheme="majorEastAsia" w:cstheme="majorEastAsia"/>
                <w:color w:val="auto"/>
                <w:spacing w:val="11"/>
                <w:sz w:val="21"/>
                <w:szCs w:val="21"/>
                <w:highlight w:val="none"/>
              </w:rPr>
              <w:t xml:space="preserve"> </w:t>
            </w:r>
            <w:r>
              <w:rPr>
                <w:rFonts w:hint="eastAsia" w:asciiTheme="majorEastAsia" w:hAnsiTheme="majorEastAsia" w:eastAsiaTheme="majorEastAsia" w:cstheme="majorEastAsia"/>
                <w:color w:val="auto"/>
                <w:spacing w:val="-2"/>
                <w:sz w:val="21"/>
                <w:szCs w:val="21"/>
                <w:highlight w:val="none"/>
              </w:rPr>
              <w:t>失效，也不应带电</w:t>
            </w:r>
            <w:r>
              <w:rPr>
                <w:rFonts w:hint="eastAsia" w:asciiTheme="majorEastAsia" w:hAnsiTheme="majorEastAsia" w:eastAsiaTheme="majorEastAsia" w:cstheme="majorEastAsia"/>
                <w:color w:val="auto"/>
                <w:spacing w:val="-2"/>
                <w:sz w:val="21"/>
                <w:szCs w:val="21"/>
                <w:highlight w:val="none"/>
                <w:lang w:eastAsia="zh-CN"/>
              </w:rPr>
              <w:t>；</w:t>
            </w:r>
          </w:p>
          <w:p w14:paraId="65362E4C">
            <w:pPr>
              <w:pStyle w:val="14"/>
              <w:spacing w:line="360" w:lineRule="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7.7</w:t>
            </w:r>
            <w:r>
              <w:rPr>
                <w:rFonts w:hint="eastAsia" w:asciiTheme="majorEastAsia" w:hAnsiTheme="majorEastAsia" w:eastAsiaTheme="majorEastAsia" w:cstheme="majorEastAsia"/>
                <w:b w:val="0"/>
                <w:bCs w:val="0"/>
                <w:color w:val="auto"/>
                <w:spacing w:val="-1"/>
                <w:sz w:val="21"/>
                <w:szCs w:val="21"/>
                <w:highlight w:val="none"/>
              </w:rPr>
              <w:t>在正常使用中用手连续握持手柄，其结构应使操作者的</w:t>
            </w:r>
            <w:r>
              <w:rPr>
                <w:rFonts w:hint="eastAsia" w:asciiTheme="majorEastAsia" w:hAnsiTheme="majorEastAsia" w:eastAsiaTheme="majorEastAsia" w:cstheme="majorEastAsia"/>
                <w:b w:val="0"/>
                <w:bCs w:val="0"/>
                <w:color w:val="auto"/>
                <w:spacing w:val="11"/>
                <w:sz w:val="21"/>
                <w:szCs w:val="21"/>
                <w:highlight w:val="none"/>
              </w:rPr>
              <w:t xml:space="preserve"> </w:t>
            </w:r>
            <w:r>
              <w:rPr>
                <w:rFonts w:hint="eastAsia" w:asciiTheme="majorEastAsia" w:hAnsiTheme="majorEastAsia" w:eastAsiaTheme="majorEastAsia" w:cstheme="majorEastAsia"/>
                <w:b w:val="0"/>
                <w:bCs w:val="0"/>
                <w:color w:val="auto"/>
                <w:spacing w:val="-1"/>
                <w:sz w:val="21"/>
                <w:szCs w:val="21"/>
                <w:highlight w:val="none"/>
              </w:rPr>
              <w:t>手在按正常使用抓握时，不可能与金属部件接触，除非这些</w:t>
            </w:r>
            <w:r>
              <w:rPr>
                <w:rFonts w:hint="eastAsia" w:asciiTheme="majorEastAsia" w:hAnsiTheme="majorEastAsia" w:eastAsiaTheme="majorEastAsia" w:cstheme="majorEastAsia"/>
                <w:b w:val="0"/>
                <w:bCs w:val="0"/>
                <w:color w:val="auto"/>
                <w:spacing w:val="12"/>
                <w:sz w:val="21"/>
                <w:szCs w:val="21"/>
                <w:highlight w:val="none"/>
              </w:rPr>
              <w:t xml:space="preserve"> </w:t>
            </w:r>
            <w:r>
              <w:rPr>
                <w:rFonts w:hint="eastAsia" w:asciiTheme="majorEastAsia" w:hAnsiTheme="majorEastAsia" w:eastAsiaTheme="majorEastAsia" w:cstheme="majorEastAsia"/>
                <w:b w:val="0"/>
                <w:bCs w:val="0"/>
                <w:color w:val="auto"/>
                <w:spacing w:val="-1"/>
                <w:sz w:val="21"/>
                <w:szCs w:val="21"/>
                <w:highlight w:val="none"/>
              </w:rPr>
              <w:t>金属部件是用双重绝缘或加强绝缘与带电部件隔开</w:t>
            </w:r>
            <w:r>
              <w:rPr>
                <w:rFonts w:hint="eastAsia" w:asciiTheme="majorEastAsia" w:hAnsiTheme="majorEastAsia" w:eastAsiaTheme="majorEastAsia" w:cstheme="majorEastAsia"/>
                <w:b w:val="0"/>
                <w:bCs w:val="0"/>
                <w:color w:val="auto"/>
                <w:spacing w:val="-1"/>
                <w:sz w:val="21"/>
                <w:szCs w:val="21"/>
                <w:highlight w:val="none"/>
                <w:lang w:eastAsia="zh-CN"/>
              </w:rPr>
              <w:t>；</w:t>
            </w:r>
          </w:p>
          <w:p w14:paraId="60A7FC17">
            <w:pPr>
              <w:spacing w:line="360" w:lineRule="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7.8</w:t>
            </w:r>
            <w:r>
              <w:rPr>
                <w:rFonts w:hint="eastAsia" w:asciiTheme="majorEastAsia" w:hAnsiTheme="majorEastAsia" w:eastAsiaTheme="majorEastAsia" w:cstheme="majorEastAsia"/>
                <w:b w:val="0"/>
                <w:bCs w:val="0"/>
                <w:color w:val="auto"/>
                <w:spacing w:val="-10"/>
                <w:sz w:val="21"/>
                <w:szCs w:val="21"/>
                <w:highlight w:val="none"/>
              </w:rPr>
              <w:t>手</w:t>
            </w:r>
            <w:r>
              <w:rPr>
                <w:rFonts w:hint="eastAsia" w:asciiTheme="majorEastAsia" w:hAnsiTheme="majorEastAsia" w:eastAsiaTheme="majorEastAsia" w:cstheme="majorEastAsia"/>
                <w:b w:val="0"/>
                <w:bCs w:val="0"/>
                <w:color w:val="auto"/>
                <w:spacing w:val="-35"/>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持</w:t>
            </w:r>
            <w:r>
              <w:rPr>
                <w:rFonts w:hint="eastAsia" w:asciiTheme="majorEastAsia" w:hAnsiTheme="majorEastAsia" w:eastAsiaTheme="majorEastAsia" w:cstheme="majorEastAsia"/>
                <w:b w:val="0"/>
                <w:bCs w:val="0"/>
                <w:color w:val="auto"/>
                <w:spacing w:val="-37"/>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部</w:t>
            </w:r>
            <w:r>
              <w:rPr>
                <w:rFonts w:hint="eastAsia" w:asciiTheme="majorEastAsia" w:hAnsiTheme="majorEastAsia" w:eastAsiaTheme="majorEastAsia" w:cstheme="majorEastAsia"/>
                <w:b w:val="0"/>
                <w:bCs w:val="0"/>
                <w:color w:val="auto"/>
                <w:spacing w:val="-34"/>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分</w:t>
            </w:r>
            <w:r>
              <w:rPr>
                <w:rFonts w:hint="eastAsia" w:asciiTheme="majorEastAsia" w:hAnsiTheme="majorEastAsia" w:eastAsiaTheme="majorEastAsia" w:cstheme="majorEastAsia"/>
                <w:b w:val="0"/>
                <w:bCs w:val="0"/>
                <w:color w:val="auto"/>
                <w:spacing w:val="-39"/>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应</w:t>
            </w:r>
            <w:r>
              <w:rPr>
                <w:rFonts w:hint="eastAsia" w:asciiTheme="majorEastAsia" w:hAnsiTheme="majorEastAsia" w:eastAsiaTheme="majorEastAsia" w:cstheme="majorEastAsia"/>
                <w:b w:val="0"/>
                <w:bCs w:val="0"/>
                <w:color w:val="auto"/>
                <w:spacing w:val="-35"/>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为</w:t>
            </w:r>
            <w:r>
              <w:rPr>
                <w:rFonts w:hint="eastAsia" w:asciiTheme="majorEastAsia" w:hAnsiTheme="majorEastAsia" w:eastAsiaTheme="majorEastAsia" w:cstheme="majorEastAsia"/>
                <w:b w:val="0"/>
                <w:bCs w:val="0"/>
                <w:color w:val="auto"/>
                <w:spacing w:val="-24"/>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III 类</w:t>
            </w:r>
            <w:r>
              <w:rPr>
                <w:rFonts w:hint="eastAsia" w:asciiTheme="majorEastAsia" w:hAnsiTheme="majorEastAsia" w:eastAsiaTheme="majorEastAsia" w:cstheme="majorEastAsia"/>
                <w:b w:val="0"/>
                <w:bCs w:val="0"/>
                <w:color w:val="auto"/>
                <w:spacing w:val="-34"/>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结</w:t>
            </w:r>
            <w:r>
              <w:rPr>
                <w:rFonts w:hint="eastAsia" w:asciiTheme="majorEastAsia" w:hAnsiTheme="majorEastAsia" w:eastAsiaTheme="majorEastAsia" w:cstheme="majorEastAsia"/>
                <w:b w:val="0"/>
                <w:bCs w:val="0"/>
                <w:color w:val="auto"/>
                <w:spacing w:val="-37"/>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构 ，</w:t>
            </w:r>
            <w:r>
              <w:rPr>
                <w:rFonts w:hint="eastAsia" w:asciiTheme="majorEastAsia" w:hAnsiTheme="majorEastAsia" w:eastAsiaTheme="majorEastAsia" w:cstheme="majorEastAsia"/>
                <w:b w:val="0"/>
                <w:bCs w:val="0"/>
                <w:color w:val="auto"/>
                <w:spacing w:val="-38"/>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且</w:t>
            </w:r>
            <w:r>
              <w:rPr>
                <w:rFonts w:hint="eastAsia" w:asciiTheme="majorEastAsia" w:hAnsiTheme="majorEastAsia" w:eastAsiaTheme="majorEastAsia" w:cstheme="majorEastAsia"/>
                <w:b w:val="0"/>
                <w:bCs w:val="0"/>
                <w:color w:val="auto"/>
                <w:spacing w:val="-35"/>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工</w:t>
            </w:r>
            <w:r>
              <w:rPr>
                <w:rFonts w:hint="eastAsia" w:asciiTheme="majorEastAsia" w:hAnsiTheme="majorEastAsia" w:eastAsiaTheme="majorEastAsia" w:cstheme="majorEastAsia"/>
                <w:b w:val="0"/>
                <w:bCs w:val="0"/>
                <w:color w:val="auto"/>
                <w:spacing w:val="-38"/>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作 电</w:t>
            </w:r>
            <w:r>
              <w:rPr>
                <w:rFonts w:hint="eastAsia" w:asciiTheme="majorEastAsia" w:hAnsiTheme="majorEastAsia" w:eastAsiaTheme="majorEastAsia" w:cstheme="majorEastAsia"/>
                <w:b w:val="0"/>
                <w:bCs w:val="0"/>
                <w:color w:val="auto"/>
                <w:spacing w:val="-38"/>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压</w:t>
            </w:r>
            <w:r>
              <w:rPr>
                <w:rFonts w:hint="eastAsia" w:asciiTheme="majorEastAsia" w:hAnsiTheme="majorEastAsia" w:eastAsiaTheme="majorEastAsia" w:cstheme="majorEastAsia"/>
                <w:b w:val="0"/>
                <w:bCs w:val="0"/>
                <w:color w:val="auto"/>
                <w:spacing w:val="-34"/>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不</w:t>
            </w:r>
            <w:r>
              <w:rPr>
                <w:rFonts w:hint="eastAsia" w:asciiTheme="majorEastAsia" w:hAnsiTheme="majorEastAsia" w:eastAsiaTheme="majorEastAsia" w:cstheme="majorEastAsia"/>
                <w:b w:val="0"/>
                <w:bCs w:val="0"/>
                <w:color w:val="auto"/>
                <w:spacing w:val="-40"/>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超</w:t>
            </w:r>
            <w:r>
              <w:rPr>
                <w:rFonts w:hint="eastAsia" w:asciiTheme="majorEastAsia" w:hAnsiTheme="majorEastAsia" w:eastAsiaTheme="majorEastAsia" w:cstheme="majorEastAsia"/>
                <w:b w:val="0"/>
                <w:bCs w:val="0"/>
                <w:color w:val="auto"/>
                <w:spacing w:val="-39"/>
                <w:sz w:val="21"/>
                <w:szCs w:val="21"/>
                <w:highlight w:val="none"/>
              </w:rPr>
              <w:t xml:space="preserve"> </w:t>
            </w:r>
            <w:r>
              <w:rPr>
                <w:rFonts w:hint="eastAsia" w:asciiTheme="majorEastAsia" w:hAnsiTheme="majorEastAsia" w:eastAsiaTheme="majorEastAsia" w:cstheme="majorEastAsia"/>
                <w:b w:val="0"/>
                <w:bCs w:val="0"/>
                <w:color w:val="auto"/>
                <w:spacing w:val="-10"/>
                <w:sz w:val="21"/>
                <w:szCs w:val="21"/>
                <w:highlight w:val="none"/>
              </w:rPr>
              <w:t>过</w:t>
            </w:r>
            <w:r>
              <w:rPr>
                <w:rFonts w:hint="eastAsia" w:asciiTheme="majorEastAsia" w:hAnsiTheme="majorEastAsia" w:eastAsiaTheme="majorEastAsia" w:cstheme="majorEastAsia"/>
                <w:b w:val="0"/>
                <w:bCs w:val="0"/>
                <w:color w:val="auto"/>
                <w:sz w:val="21"/>
                <w:szCs w:val="21"/>
                <w:highlight w:val="none"/>
              </w:rPr>
              <w:t xml:space="preserve"> </w:t>
            </w:r>
            <w:r>
              <w:rPr>
                <w:rFonts w:hint="eastAsia" w:asciiTheme="majorEastAsia" w:hAnsiTheme="majorEastAsia" w:eastAsiaTheme="majorEastAsia" w:cstheme="majorEastAsia"/>
                <w:b w:val="0"/>
                <w:bCs w:val="0"/>
                <w:color w:val="auto"/>
                <w:spacing w:val="-1"/>
                <w:sz w:val="21"/>
                <w:szCs w:val="21"/>
                <w:highlight w:val="none"/>
              </w:rPr>
              <w:t>24V(GB4706.59-2008)</w:t>
            </w:r>
            <w:r>
              <w:rPr>
                <w:rFonts w:hint="eastAsia" w:asciiTheme="majorEastAsia" w:hAnsiTheme="majorEastAsia" w:eastAsiaTheme="majorEastAsia" w:cstheme="majorEastAsia"/>
                <w:b w:val="0"/>
                <w:bCs w:val="0"/>
                <w:color w:val="auto"/>
                <w:spacing w:val="-1"/>
                <w:sz w:val="21"/>
                <w:szCs w:val="21"/>
                <w:highlight w:val="none"/>
                <w:lang w:eastAsia="zh-CN"/>
              </w:rPr>
              <w:t>；</w:t>
            </w:r>
          </w:p>
          <w:p w14:paraId="2BA3B900">
            <w:pPr>
              <w:pStyle w:val="14"/>
              <w:spacing w:line="360" w:lineRule="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7.9</w:t>
            </w:r>
            <w:r>
              <w:rPr>
                <w:rFonts w:hint="eastAsia" w:asciiTheme="majorEastAsia" w:hAnsiTheme="majorEastAsia" w:eastAsiaTheme="majorEastAsia" w:cstheme="majorEastAsia"/>
                <w:b w:val="0"/>
                <w:bCs w:val="0"/>
                <w:color w:val="auto"/>
                <w:spacing w:val="8"/>
                <w:sz w:val="21"/>
                <w:szCs w:val="21"/>
                <w:highlight w:val="none"/>
              </w:rPr>
              <w:t>器具外壳的形状或装饰不应使器具容易被孩子当成玩</w:t>
            </w:r>
            <w:r>
              <w:rPr>
                <w:rFonts w:hint="eastAsia" w:asciiTheme="majorEastAsia" w:hAnsiTheme="majorEastAsia" w:eastAsiaTheme="majorEastAsia" w:cstheme="majorEastAsia"/>
                <w:b w:val="0"/>
                <w:bCs w:val="0"/>
                <w:color w:val="auto"/>
                <w:sz w:val="21"/>
                <w:szCs w:val="21"/>
                <w:highlight w:val="none"/>
              </w:rPr>
              <w:t>具</w:t>
            </w:r>
            <w:r>
              <w:rPr>
                <w:rFonts w:hint="eastAsia" w:asciiTheme="majorEastAsia" w:hAnsiTheme="majorEastAsia" w:eastAsiaTheme="majorEastAsia" w:cstheme="majorEastAsia"/>
                <w:b w:val="0"/>
                <w:bCs w:val="0"/>
                <w:color w:val="auto"/>
                <w:sz w:val="21"/>
                <w:szCs w:val="21"/>
                <w:highlight w:val="none"/>
                <w:lang w:eastAsia="zh-CN"/>
              </w:rPr>
              <w:t>；</w:t>
            </w:r>
          </w:p>
          <w:p w14:paraId="71C5F974">
            <w:pPr>
              <w:spacing w:line="360" w:lineRule="auto"/>
              <w:rPr>
                <w:rFonts w:hint="eastAsia" w:asciiTheme="majorEastAsia" w:hAnsiTheme="majorEastAsia" w:eastAsiaTheme="majorEastAsia" w:cstheme="majorEastAsia"/>
                <w:b/>
                <w:bCs w:val="0"/>
                <w:color w:val="auto"/>
                <w:sz w:val="21"/>
                <w:szCs w:val="21"/>
                <w:highlight w:val="none"/>
                <w:lang w:val="en-US" w:eastAsia="zh-CN"/>
              </w:rPr>
            </w:pPr>
            <w:r>
              <w:rPr>
                <w:rFonts w:hint="eastAsia" w:asciiTheme="majorEastAsia" w:hAnsiTheme="majorEastAsia" w:eastAsiaTheme="majorEastAsia" w:cstheme="majorEastAsia"/>
                <w:b/>
                <w:bCs w:val="0"/>
                <w:color w:val="auto"/>
                <w:sz w:val="21"/>
                <w:szCs w:val="21"/>
                <w:highlight w:val="none"/>
                <w:lang w:val="en-US" w:eastAsia="zh-CN"/>
              </w:rPr>
              <w:t>8、</w:t>
            </w:r>
            <w:r>
              <w:rPr>
                <w:rFonts w:hint="eastAsia" w:asciiTheme="majorEastAsia" w:hAnsiTheme="majorEastAsia" w:eastAsiaTheme="majorEastAsia" w:cstheme="majorEastAsia"/>
                <w:b/>
                <w:bCs w:val="0"/>
                <w:color w:val="auto"/>
                <w:spacing w:val="-2"/>
                <w:sz w:val="21"/>
                <w:szCs w:val="21"/>
                <w:highlight w:val="none"/>
              </w:rPr>
              <w:t>元件</w:t>
            </w:r>
          </w:p>
          <w:p w14:paraId="688C04C1">
            <w:pPr>
              <w:pStyle w:val="14"/>
              <w:spacing w:line="360" w:lineRule="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8.1</w:t>
            </w:r>
            <w:r>
              <w:rPr>
                <w:rFonts w:hint="eastAsia" w:asciiTheme="majorEastAsia" w:hAnsiTheme="majorEastAsia" w:eastAsiaTheme="majorEastAsia" w:cstheme="majorEastAsia"/>
                <w:b w:val="0"/>
                <w:bCs/>
                <w:color w:val="auto"/>
                <w:spacing w:val="-1"/>
                <w:sz w:val="21"/>
                <w:szCs w:val="21"/>
                <w:highlight w:val="none"/>
              </w:rPr>
              <w:t>元件应符合相应IEC标准中规定的安全要求</w:t>
            </w:r>
            <w:r>
              <w:rPr>
                <w:rFonts w:hint="eastAsia" w:asciiTheme="majorEastAsia" w:hAnsiTheme="majorEastAsia" w:eastAsiaTheme="majorEastAsia" w:cstheme="majorEastAsia"/>
                <w:b w:val="0"/>
                <w:bCs/>
                <w:color w:val="auto"/>
                <w:spacing w:val="-1"/>
                <w:sz w:val="21"/>
                <w:szCs w:val="21"/>
                <w:highlight w:val="none"/>
                <w:lang w:eastAsia="zh-CN"/>
              </w:rPr>
              <w:t>；</w:t>
            </w:r>
          </w:p>
          <w:p w14:paraId="1CB3E82D">
            <w:pPr>
              <w:pageBreakBefore w:val="0"/>
              <w:kinsoku/>
              <w:wordWrap/>
              <w:overflowPunct/>
              <w:topLinePunct w:val="0"/>
              <w:autoSpaceDE/>
              <w:autoSpaceDN/>
              <w:bidi w:val="0"/>
              <w:snapToGrid/>
              <w:spacing w:line="360" w:lineRule="auto"/>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8.2</w:t>
            </w:r>
            <w:r>
              <w:rPr>
                <w:rFonts w:hint="eastAsia" w:asciiTheme="majorEastAsia" w:hAnsiTheme="majorEastAsia" w:eastAsiaTheme="majorEastAsia" w:cstheme="majorEastAsia"/>
                <w:color w:val="auto"/>
                <w:spacing w:val="-1"/>
                <w:sz w:val="21"/>
                <w:szCs w:val="21"/>
                <w:highlight w:val="none"/>
              </w:rPr>
              <w:t>器具不应装有在柔性软线上的开关或自动控制器</w:t>
            </w:r>
            <w:r>
              <w:rPr>
                <w:rFonts w:hint="eastAsia" w:asciiTheme="majorEastAsia" w:hAnsiTheme="majorEastAsia" w:eastAsiaTheme="majorEastAsia" w:cstheme="majorEastAsia"/>
                <w:color w:val="auto"/>
                <w:spacing w:val="-1"/>
                <w:sz w:val="21"/>
                <w:szCs w:val="21"/>
                <w:highlight w:val="none"/>
                <w:lang w:eastAsia="zh-CN"/>
              </w:rPr>
              <w:t>；</w:t>
            </w:r>
          </w:p>
          <w:p w14:paraId="2765C384">
            <w:pPr>
              <w:pageBreakBefore w:val="0"/>
              <w:kinsoku/>
              <w:wordWrap/>
              <w:overflowPunct/>
              <w:topLinePunct w:val="0"/>
              <w:autoSpaceDE/>
              <w:autoSpaceDN/>
              <w:bidi w:val="0"/>
              <w:snapToGrid/>
              <w:spacing w:line="360" w:lineRule="auto"/>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8.3</w:t>
            </w:r>
            <w:r>
              <w:rPr>
                <w:rFonts w:hint="eastAsia" w:asciiTheme="majorEastAsia" w:hAnsiTheme="majorEastAsia" w:eastAsiaTheme="majorEastAsia" w:cstheme="majorEastAsia"/>
                <w:color w:val="auto"/>
                <w:spacing w:val="-1"/>
                <w:sz w:val="21"/>
                <w:szCs w:val="21"/>
                <w:highlight w:val="none"/>
              </w:rPr>
              <w:t>器具不应装有当器具出现故障，引起固定布线中保护装</w:t>
            </w:r>
            <w:r>
              <w:rPr>
                <w:rFonts w:hint="eastAsia" w:asciiTheme="majorEastAsia" w:hAnsiTheme="majorEastAsia" w:eastAsiaTheme="majorEastAsia" w:cstheme="majorEastAsia"/>
                <w:color w:val="auto"/>
                <w:spacing w:val="10"/>
                <w:sz w:val="21"/>
                <w:szCs w:val="21"/>
                <w:highlight w:val="none"/>
              </w:rPr>
              <w:t xml:space="preserve"> </w:t>
            </w:r>
            <w:r>
              <w:rPr>
                <w:rFonts w:hint="eastAsia" w:asciiTheme="majorEastAsia" w:hAnsiTheme="majorEastAsia" w:eastAsiaTheme="majorEastAsia" w:cstheme="majorEastAsia"/>
                <w:color w:val="auto"/>
                <w:spacing w:val="-1"/>
                <w:sz w:val="21"/>
                <w:szCs w:val="21"/>
                <w:highlight w:val="none"/>
              </w:rPr>
              <w:t>置动作的装置</w:t>
            </w:r>
            <w:r>
              <w:rPr>
                <w:rFonts w:hint="eastAsia" w:asciiTheme="majorEastAsia" w:hAnsiTheme="majorEastAsia" w:eastAsiaTheme="majorEastAsia" w:cstheme="majorEastAsia"/>
                <w:color w:val="auto"/>
                <w:spacing w:val="-1"/>
                <w:sz w:val="21"/>
                <w:szCs w:val="21"/>
                <w:highlight w:val="none"/>
                <w:lang w:eastAsia="zh-CN"/>
              </w:rPr>
              <w:t>；</w:t>
            </w:r>
          </w:p>
          <w:p w14:paraId="678588E2">
            <w:pPr>
              <w:pageBreakBefore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lang w:val="en-US" w:eastAsia="zh-CN"/>
              </w:rPr>
              <w:t>9、</w:t>
            </w:r>
            <w:r>
              <w:rPr>
                <w:rFonts w:hint="eastAsia" w:asciiTheme="minorEastAsia" w:hAnsiTheme="minorEastAsia" w:eastAsiaTheme="minorEastAsia" w:cstheme="minorEastAsia"/>
                <w:b/>
                <w:bCs/>
                <w:color w:val="auto"/>
                <w:spacing w:val="-3"/>
                <w:sz w:val="21"/>
                <w:szCs w:val="21"/>
                <w:highlight w:val="none"/>
              </w:rPr>
              <w:t>电源连接及外部软线和软缆</w:t>
            </w:r>
          </w:p>
          <w:p w14:paraId="4DB40A7C">
            <w:pPr>
              <w:pageBreakBefore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rPr>
              <w:t>器具不应装有多于一个的电源连接装置</w:t>
            </w:r>
            <w:r>
              <w:rPr>
                <w:rFonts w:hint="eastAsia" w:asciiTheme="minorEastAsia" w:hAnsiTheme="minorEastAsia" w:eastAsiaTheme="minorEastAsia" w:cstheme="minorEastAsia"/>
                <w:color w:val="auto"/>
                <w:spacing w:val="-1"/>
                <w:sz w:val="21"/>
                <w:szCs w:val="21"/>
                <w:highlight w:val="none"/>
                <w:lang w:eastAsia="zh-CN"/>
              </w:rPr>
              <w:t>；</w:t>
            </w:r>
          </w:p>
          <w:p w14:paraId="7DFBF7A4">
            <w:pPr>
              <w:pageBreakBefore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10、</w:t>
            </w:r>
            <w:r>
              <w:rPr>
                <w:rFonts w:hint="eastAsia" w:asciiTheme="minorEastAsia" w:hAnsiTheme="minorEastAsia" w:eastAsiaTheme="minorEastAsia" w:cstheme="minorEastAsia"/>
                <w:b/>
                <w:bCs w:val="0"/>
                <w:color w:val="auto"/>
                <w:spacing w:val="-1"/>
                <w:sz w:val="21"/>
                <w:szCs w:val="21"/>
                <w:highlight w:val="none"/>
              </w:rPr>
              <w:t>爬电距离、电气间隙和穿通绝缘距离</w:t>
            </w:r>
          </w:p>
          <w:p w14:paraId="49637D25">
            <w:pPr>
              <w:pageBreakBefore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10.1</w:t>
            </w:r>
            <w:r>
              <w:rPr>
                <w:rFonts w:hint="eastAsia" w:asciiTheme="minorEastAsia" w:hAnsiTheme="minorEastAsia" w:eastAsiaTheme="minorEastAsia" w:cstheme="minorEastAsia"/>
                <w:color w:val="auto"/>
                <w:spacing w:val="-2"/>
                <w:sz w:val="21"/>
                <w:szCs w:val="21"/>
                <w:highlight w:val="none"/>
              </w:rPr>
              <w:t>电气间隙、爬电距离和固体绝缘应足以承受器具可能经</w:t>
            </w:r>
            <w:r>
              <w:rPr>
                <w:rFonts w:hint="eastAsia" w:asciiTheme="minorEastAsia" w:hAnsiTheme="minorEastAsia" w:eastAsiaTheme="minorEastAsia" w:cstheme="minorEastAsia"/>
                <w:color w:val="auto"/>
                <w:spacing w:val="10"/>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受的电气应力</w:t>
            </w:r>
            <w:r>
              <w:rPr>
                <w:rFonts w:hint="eastAsia" w:asciiTheme="minorEastAsia" w:hAnsiTheme="minorEastAsia" w:eastAsiaTheme="minorEastAsia" w:cstheme="minorEastAsia"/>
                <w:color w:val="auto"/>
                <w:spacing w:val="-2"/>
                <w:sz w:val="21"/>
                <w:szCs w:val="21"/>
                <w:highlight w:val="none"/>
                <w:lang w:eastAsia="zh-CN"/>
              </w:rPr>
              <w:t>；</w:t>
            </w:r>
          </w:p>
          <w:p w14:paraId="167ACDB2">
            <w:pPr>
              <w:pageBreakBefore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10.2</w:t>
            </w:r>
            <w:r>
              <w:rPr>
                <w:rFonts w:hint="eastAsia" w:asciiTheme="minorEastAsia" w:hAnsiTheme="minorEastAsia" w:eastAsiaTheme="minorEastAsia" w:cstheme="minorEastAsia"/>
                <w:color w:val="auto"/>
                <w:spacing w:val="-2"/>
                <w:sz w:val="21"/>
                <w:szCs w:val="21"/>
                <w:highlight w:val="none"/>
              </w:rPr>
              <w:t>考虑到表15中过压类别对应的额定脉冲电压，电气间隙</w:t>
            </w:r>
            <w:r>
              <w:rPr>
                <w:rFonts w:hint="eastAsia" w:asciiTheme="minorEastAsia" w:hAnsiTheme="minorEastAsia" w:eastAsiaTheme="minorEastAsia" w:cstheme="minorEastAsia"/>
                <w:color w:val="auto"/>
                <w:spacing w:val="10"/>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应不小于表16中的规定值，除非</w:t>
            </w:r>
            <w:r>
              <w:rPr>
                <w:rFonts w:hint="eastAsia" w:asciiTheme="minorEastAsia" w:hAnsiTheme="minorEastAsia" w:eastAsiaTheme="minorEastAsia" w:cstheme="minorEastAsia"/>
                <w:color w:val="auto"/>
                <w:spacing w:val="-1"/>
                <w:sz w:val="21"/>
                <w:szCs w:val="21"/>
                <w:highlight w:val="none"/>
                <w:lang w:eastAsia="zh-CN"/>
              </w:rPr>
              <w:t>；</w:t>
            </w:r>
          </w:p>
          <w:p w14:paraId="1895FF00">
            <w:pPr>
              <w:pageBreakBefore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10.3</w:t>
            </w:r>
            <w:r>
              <w:rPr>
                <w:rFonts w:hint="eastAsia" w:asciiTheme="minorEastAsia" w:hAnsiTheme="minorEastAsia" w:eastAsiaTheme="minorEastAsia" w:cstheme="minorEastAsia"/>
                <w:color w:val="auto"/>
                <w:spacing w:val="-1"/>
                <w:sz w:val="21"/>
                <w:szCs w:val="21"/>
                <w:highlight w:val="none"/>
              </w:rPr>
              <w:t>将绕组的漆包线视为裸露导线，不测量漆包线交叉点的</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电气间隙</w:t>
            </w:r>
            <w:r>
              <w:rPr>
                <w:rFonts w:hint="eastAsia" w:asciiTheme="minorEastAsia" w:hAnsiTheme="minorEastAsia" w:eastAsiaTheme="minorEastAsia" w:cstheme="minorEastAsia"/>
                <w:color w:val="auto"/>
                <w:spacing w:val="-8"/>
                <w:sz w:val="21"/>
                <w:szCs w:val="21"/>
                <w:highlight w:val="none"/>
                <w:lang w:eastAsia="zh-CN"/>
              </w:rPr>
              <w:t>；</w:t>
            </w:r>
          </w:p>
          <w:p w14:paraId="237A362C">
            <w:pPr>
              <w:pageBreakBefore w:val="0"/>
              <w:kinsoku/>
              <w:wordWrap/>
              <w:overflowPunct/>
              <w:topLinePunct w:val="0"/>
              <w:autoSpaceDE/>
              <w:autoSpaceDN/>
              <w:bidi w:val="0"/>
              <w:snapToGrid/>
              <w:spacing w:line="380" w:lineRule="exact"/>
              <w:textAlignment w:val="auto"/>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11、</w:t>
            </w:r>
            <w:r>
              <w:rPr>
                <w:b/>
                <w:bCs w:val="0"/>
                <w:color w:val="auto"/>
                <w:spacing w:val="-2"/>
                <w:sz w:val="21"/>
                <w:szCs w:val="21"/>
                <w:highlight w:val="none"/>
              </w:rPr>
              <w:t>耐热和耐燃</w:t>
            </w:r>
          </w:p>
          <w:p w14:paraId="4DD0E12D">
            <w:pPr>
              <w:pStyle w:val="150"/>
              <w:spacing w:before="101" w:line="360" w:lineRule="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11.1</w:t>
            </w:r>
            <w:r>
              <w:rPr>
                <w:rFonts w:hint="eastAsia" w:asciiTheme="minorEastAsia" w:hAnsiTheme="minorEastAsia" w:eastAsiaTheme="minorEastAsia" w:cstheme="minorEastAsia"/>
                <w:color w:val="auto"/>
                <w:spacing w:val="-1"/>
                <w:sz w:val="21"/>
                <w:szCs w:val="21"/>
                <w:highlight w:val="none"/>
              </w:rPr>
              <w:t>根据IEC 60695-10-2进行球压试验</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对外部零件，75℃或40℃加11章试验期间的最大温</w:t>
            </w:r>
            <w:r>
              <w:rPr>
                <w:rFonts w:hint="eastAsia" w:asciiTheme="minorEastAsia" w:hAnsiTheme="minorEastAsia" w:eastAsiaTheme="minorEastAsia" w:cstheme="minorEastAsia"/>
                <w:color w:val="auto"/>
                <w:spacing w:val="-4"/>
                <w:sz w:val="21"/>
                <w:szCs w:val="21"/>
                <w:highlight w:val="none"/>
              </w:rPr>
              <w:t>升两</w:t>
            </w:r>
            <w:r>
              <w:rPr>
                <w:rFonts w:hint="eastAsia" w:asciiTheme="minorEastAsia" w:hAnsiTheme="minorEastAsia" w:eastAsiaTheme="minorEastAsia" w:cstheme="minorEastAsia"/>
                <w:color w:val="auto"/>
                <w:spacing w:val="-1"/>
                <w:sz w:val="21"/>
                <w:szCs w:val="21"/>
                <w:highlight w:val="none"/>
              </w:rPr>
              <w:t>者中取大值，试验温度(℃)</w:t>
            </w:r>
            <w:r>
              <w:rPr>
                <w:rFonts w:hint="eastAsia" w:asciiTheme="minorEastAsia" w:hAnsiTheme="minorEastAsia" w:eastAsiaTheme="minorEastAsia" w:cstheme="minorEastAsia"/>
                <w:color w:val="auto"/>
                <w:spacing w:val="27"/>
                <w:sz w:val="21"/>
                <w:szCs w:val="21"/>
                <w:highlight w:val="none"/>
              </w:rPr>
              <w:t xml:space="preserve"> </w:t>
            </w:r>
            <w:r>
              <w:rPr>
                <w:rFonts w:hint="eastAsia" w:asciiTheme="minorEastAsia" w:hAnsiTheme="minorEastAsia" w:eastAsiaTheme="minorEastAsia" w:cstheme="minorEastAsia"/>
                <w:color w:val="auto"/>
                <w:spacing w:val="27"/>
                <w:sz w:val="21"/>
                <w:szCs w:val="21"/>
                <w:highlight w:val="none"/>
                <w:lang w:eastAsia="zh-CN"/>
              </w:rPr>
              <w:t>；</w:t>
            </w:r>
          </w:p>
          <w:p w14:paraId="0B6B9F15">
            <w:pPr>
              <w:pageBreakBefore w:val="0"/>
              <w:kinsoku/>
              <w:wordWrap/>
              <w:overflowPunct/>
              <w:topLinePunct w:val="0"/>
              <w:autoSpaceDE/>
              <w:autoSpaceDN/>
              <w:bidi w:val="0"/>
              <w:snapToGrid/>
              <w:spacing w:line="380" w:lineRule="exact"/>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11.2</w:t>
            </w:r>
            <w:r>
              <w:rPr>
                <w:rFonts w:hint="eastAsia" w:asciiTheme="minorEastAsia" w:hAnsiTheme="minorEastAsia" w:eastAsiaTheme="minorEastAsia" w:cstheme="minorEastAsia"/>
                <w:color w:val="auto"/>
                <w:spacing w:val="-1"/>
                <w:sz w:val="21"/>
                <w:szCs w:val="21"/>
                <w:highlight w:val="none"/>
              </w:rPr>
              <w:t>有关部件的非金属材料应耐燃和阻燃</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以550℃的温度进行IEC</w:t>
            </w:r>
            <w:r>
              <w:rPr>
                <w:rFonts w:hint="eastAsia" w:asciiTheme="minorEastAsia" w:hAnsiTheme="minorEastAsia" w:eastAsiaTheme="minorEastAsia" w:cstheme="minorEastAsia"/>
                <w:color w:val="auto"/>
                <w:spacing w:val="56"/>
                <w:w w:val="101"/>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60695-2-11的灼</w:t>
            </w:r>
            <w:r>
              <w:rPr>
                <w:rFonts w:hint="eastAsia" w:asciiTheme="minorEastAsia" w:hAnsiTheme="minorEastAsia" w:eastAsiaTheme="minorEastAsia" w:cstheme="minorEastAsia"/>
                <w:color w:val="auto"/>
                <w:spacing w:val="-2"/>
                <w:sz w:val="21"/>
                <w:szCs w:val="21"/>
                <w:highlight w:val="none"/>
              </w:rPr>
              <w:t>热丝试验，除</w:t>
            </w:r>
            <w:r>
              <w:rPr>
                <w:rFonts w:hint="eastAsia" w:asciiTheme="minorEastAsia" w:hAnsiTheme="minorEastAsia" w:eastAsiaTheme="minorEastAsia" w:cstheme="minorEastAsia"/>
                <w:color w:val="auto"/>
                <w:sz w:val="21"/>
                <w:szCs w:val="21"/>
                <w:highlight w:val="none"/>
              </w:rPr>
              <w:t>非</w:t>
            </w:r>
          </w:p>
          <w:p w14:paraId="5AC3D85A">
            <w:pPr>
              <w:pageBreakBefore w:val="0"/>
              <w:kinsoku/>
              <w:wordWrap/>
              <w:overflowPunct/>
              <w:topLinePunct w:val="0"/>
              <w:autoSpaceDE/>
              <w:autoSpaceDN/>
              <w:bidi w:val="0"/>
              <w:snapToGrid/>
              <w:spacing w:line="38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11.3</w:t>
            </w:r>
            <w:r>
              <w:rPr>
                <w:color w:val="auto"/>
                <w:spacing w:val="-2"/>
                <w:sz w:val="21"/>
                <w:szCs w:val="21"/>
                <w:highlight w:val="none"/>
              </w:rPr>
              <w:t>印刷电路板的基材应经受附录</w:t>
            </w:r>
            <w:r>
              <w:rPr>
                <w:rFonts w:ascii="Arial" w:hAnsi="Arial" w:eastAsia="Arial" w:cs="Arial"/>
                <w:color w:val="auto"/>
                <w:spacing w:val="-2"/>
                <w:sz w:val="21"/>
                <w:szCs w:val="21"/>
                <w:highlight w:val="none"/>
              </w:rPr>
              <w:t>E</w:t>
            </w:r>
            <w:r>
              <w:rPr>
                <w:color w:val="auto"/>
                <w:spacing w:val="-2"/>
                <w:sz w:val="21"/>
                <w:szCs w:val="21"/>
                <w:highlight w:val="none"/>
              </w:rPr>
              <w:t>中的针焰试验</w:t>
            </w:r>
            <w:r>
              <w:rPr>
                <w:rFonts w:hint="eastAsia"/>
                <w:color w:val="auto"/>
                <w:spacing w:val="-2"/>
                <w:sz w:val="21"/>
                <w:szCs w:val="21"/>
                <w:highlight w:val="none"/>
                <w:lang w:eastAsia="zh-CN"/>
              </w:rPr>
              <w:t>；</w:t>
            </w:r>
          </w:p>
          <w:p w14:paraId="0159BE74">
            <w:pPr>
              <w:spacing w:line="360" w:lineRule="auto"/>
              <w:rPr>
                <w:rFonts w:hint="eastAsia" w:asciiTheme="minorEastAsia" w:hAnsiTheme="minorEastAsia" w:eastAsiaTheme="minorEastAsia" w:cstheme="minorEastAsia"/>
                <w:b/>
                <w:bCs/>
                <w:color w:val="auto"/>
                <w:sz w:val="21"/>
                <w:szCs w:val="21"/>
                <w:highlight w:val="none"/>
                <w:lang w:eastAsia="zh-CN"/>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以上标注</w:t>
            </w:r>
            <w:r>
              <w:rPr>
                <w:rFonts w:hint="eastAsia" w:ascii="宋体" w:hAnsi="宋体" w:cs="宋体"/>
                <w:b/>
                <w:bCs/>
                <w:color w:val="auto"/>
                <w:szCs w:val="21"/>
                <w:highlight w:val="none"/>
              </w:rPr>
              <w:t>“★”项必须提供</w:t>
            </w:r>
            <w:r>
              <w:rPr>
                <w:rFonts w:hint="eastAsia" w:ascii="宋体" w:hAnsi="宋体" w:cs="宋体"/>
                <w:b/>
                <w:bCs/>
                <w:color w:val="auto"/>
                <w:kern w:val="0"/>
                <w:szCs w:val="21"/>
                <w:highlight w:val="none"/>
              </w:rPr>
              <w:t>202</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年以来由国家认可的具有CMA检测资质的第三方检测机构出具的合格有效检测（验）报告复印件并加盖供应商CA签章，</w:t>
            </w:r>
            <w:r>
              <w:rPr>
                <w:rFonts w:hint="eastAsia" w:ascii="宋体" w:hAnsi="宋体" w:cs="宋体"/>
                <w:b/>
                <w:bCs/>
                <w:color w:val="auto"/>
                <w:szCs w:val="21"/>
                <w:highlight w:val="none"/>
              </w:rPr>
              <w:t>否则投标文件按无效处理。】</w:t>
            </w:r>
          </w:p>
          <w:p w14:paraId="2DE12F8A">
            <w:pPr>
              <w:pageBreakBefore w:val="0"/>
              <w:kinsoku/>
              <w:wordWrap/>
              <w:overflowPunct/>
              <w:topLinePunct w:val="0"/>
              <w:autoSpaceDE/>
              <w:autoSpaceDN/>
              <w:bidi w:val="0"/>
              <w:snapToGrid/>
              <w:spacing w:line="380" w:lineRule="exact"/>
              <w:textAlignment w:val="auto"/>
              <w:rPr>
                <w:rFonts w:hint="eastAsia" w:ascii="宋体" w:hAnsi="宋体" w:eastAsia="宋体" w:cs="宋体"/>
                <w:b/>
                <w:bCs/>
                <w:color w:val="auto"/>
                <w:sz w:val="21"/>
                <w:szCs w:val="21"/>
                <w:highlight w:val="none"/>
              </w:rPr>
            </w:pPr>
            <w:r>
              <w:rPr>
                <w:rFonts w:hint="eastAsia" w:ascii="宋体" w:hAnsi="宋体" w:cs="宋体"/>
                <w:bCs/>
                <w:color w:val="auto"/>
                <w:szCs w:val="21"/>
                <w:highlight w:val="none"/>
              </w:rPr>
              <w:t>▲</w:t>
            </w:r>
            <w:r>
              <w:rPr>
                <w:rFonts w:hint="eastAsia" w:ascii="宋体" w:hAnsi="宋体" w:cs="宋体"/>
                <w:b/>
                <w:color w:val="auto"/>
                <w:szCs w:val="21"/>
                <w:highlight w:val="none"/>
                <w:lang w:val="en-US" w:eastAsia="zh-CN"/>
              </w:rPr>
              <w:t>12、</w:t>
            </w:r>
            <w:r>
              <w:rPr>
                <w:rFonts w:hint="eastAsia"/>
                <w:b/>
                <w:bCs/>
                <w:color w:val="auto"/>
                <w:sz w:val="21"/>
                <w:szCs w:val="21"/>
                <w:highlight w:val="none"/>
                <w:vertAlign w:val="baseline"/>
                <w:lang w:val="en-US" w:eastAsia="zh-CN"/>
              </w:rPr>
              <w:t>牙刷安全性能</w:t>
            </w:r>
          </w:p>
          <w:p w14:paraId="768ECB41">
            <w:pPr>
              <w:pageBreakBefore w:val="0"/>
              <w:kinsoku/>
              <w:wordWrap/>
              <w:overflowPunct/>
              <w:topLinePunct w:val="0"/>
              <w:autoSpaceDE/>
              <w:autoSpaceDN/>
              <w:bidi w:val="0"/>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12.1</w:t>
            </w:r>
            <w:r>
              <w:rPr>
                <w:rFonts w:hint="eastAsia" w:ascii="宋体" w:hAnsi="宋体" w:eastAsia="宋体" w:cs="宋体"/>
                <w:color w:val="auto"/>
                <w:sz w:val="21"/>
                <w:szCs w:val="21"/>
                <w:highlight w:val="none"/>
                <w:vertAlign w:val="baseline"/>
                <w:lang w:val="en-US" w:eastAsia="zh-CN"/>
              </w:rPr>
              <w:t>毛束拉力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15N；</w:t>
            </w:r>
          </w:p>
          <w:p w14:paraId="1C7B3B77">
            <w:pPr>
              <w:spacing w:line="360"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12.2</w:t>
            </w:r>
            <w:r>
              <w:rPr>
                <w:rFonts w:hint="eastAsia" w:ascii="宋体" w:hAnsi="宋体" w:eastAsia="宋体" w:cs="宋体"/>
                <w:color w:val="auto"/>
                <w:highlight w:val="none"/>
                <w:vertAlign w:val="baseline"/>
                <w:lang w:val="en-US" w:eastAsia="zh-CN"/>
              </w:rPr>
              <w:t>磨毛（成人牙刷）异形毛型合格率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w:t>
            </w:r>
            <w:r>
              <w:rPr>
                <w:rFonts w:hint="eastAsia"/>
                <w:color w:val="auto"/>
                <w:highlight w:val="none"/>
                <w:vertAlign w:val="baseline"/>
                <w:lang w:val="en-US" w:eastAsia="zh-CN"/>
              </w:rPr>
              <w:t>平形毛型</w:t>
            </w:r>
            <w:r>
              <w:rPr>
                <w:rFonts w:hint="eastAsia" w:ascii="宋体" w:hAnsi="宋体" w:eastAsia="宋体" w:cs="宋体"/>
                <w:color w:val="auto"/>
                <w:highlight w:val="none"/>
                <w:vertAlign w:val="baseline"/>
                <w:lang w:val="en-US" w:eastAsia="zh-CN"/>
              </w:rPr>
              <w:t>合格率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60%；</w:t>
            </w:r>
          </w:p>
          <w:p w14:paraId="400244C1">
            <w:pPr>
              <w:pageBreakBefore w:val="0"/>
              <w:kinsoku/>
              <w:wordWrap/>
              <w:overflowPunct/>
              <w:topLinePunct w:val="0"/>
              <w:autoSpaceDE/>
              <w:autoSpaceDN/>
              <w:bidi w:val="0"/>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12.3</w:t>
            </w:r>
            <w:r>
              <w:rPr>
                <w:rFonts w:hint="eastAsia" w:asciiTheme="minorEastAsia" w:hAnsiTheme="minorEastAsia" w:cstheme="minorEastAsia"/>
                <w:color w:val="auto"/>
                <w:kern w:val="0"/>
                <w:sz w:val="21"/>
                <w:szCs w:val="21"/>
                <w:highlight w:val="none"/>
                <w:lang w:val="en-US" w:eastAsia="zh-CN" w:bidi="ar"/>
              </w:rPr>
              <w:t>其他：</w:t>
            </w:r>
            <w:r>
              <w:rPr>
                <w:rFonts w:hint="eastAsia" w:ascii="宋体" w:hAnsi="宋体" w:eastAsia="宋体" w:cs="宋体"/>
                <w:color w:val="auto"/>
                <w:highlight w:val="none"/>
                <w:vertAlign w:val="baseline"/>
                <w:lang w:val="en-US" w:eastAsia="zh-CN"/>
              </w:rPr>
              <w:t>刷毛应对是否损伤牙龈进行安全性评价；</w:t>
            </w:r>
          </w:p>
          <w:p w14:paraId="4CF0BE3F">
            <w:pPr>
              <w:pageBreakBefore w:val="0"/>
              <w:kinsoku/>
              <w:wordWrap/>
              <w:overflowPunct/>
              <w:topLinePunct w:val="0"/>
              <w:autoSpaceDE/>
              <w:autoSpaceDN/>
              <w:bidi w:val="0"/>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12.4</w:t>
            </w:r>
            <w:r>
              <w:rPr>
                <w:rFonts w:hint="eastAsia" w:ascii="宋体" w:hAnsi="宋体" w:eastAsia="宋体" w:cs="宋体"/>
                <w:color w:val="auto"/>
                <w:highlight w:val="none"/>
                <w:vertAlign w:val="baseline"/>
                <w:lang w:val="en-US" w:eastAsia="zh-CN"/>
              </w:rPr>
              <w:t>产品不应有锐边、毛刺等缺陷，功能性尖端除外；</w:t>
            </w:r>
          </w:p>
          <w:p w14:paraId="6BBB392C">
            <w:pPr>
              <w:pageBreakBefore w:val="0"/>
              <w:kinsoku/>
              <w:wordWrap/>
              <w:overflowPunct/>
              <w:topLinePunct w:val="0"/>
              <w:autoSpaceDE/>
              <w:autoSpaceDN/>
              <w:bidi w:val="0"/>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12.5</w:t>
            </w:r>
            <w:r>
              <w:rPr>
                <w:rFonts w:hint="eastAsia" w:ascii="宋体" w:hAnsi="宋体" w:eastAsia="宋体" w:cs="宋体"/>
                <w:color w:val="auto"/>
                <w:sz w:val="21"/>
                <w:szCs w:val="21"/>
                <w:highlight w:val="none"/>
                <w:vertAlign w:val="baseline"/>
                <w:lang w:val="en-US" w:eastAsia="zh-CN"/>
              </w:rPr>
              <w:t>刷毛PH值</w:t>
            </w:r>
            <w:r>
              <w:rPr>
                <w:rFonts w:hint="eastAsia" w:ascii="宋体" w:hAnsi="宋体" w:eastAsia="宋体" w:cs="宋体"/>
                <w:color w:val="auto"/>
                <w:kern w:val="0"/>
                <w:sz w:val="21"/>
                <w:szCs w:val="21"/>
                <w:highlight w:val="none"/>
                <w:vertAlign w:val="baseline"/>
                <w:lang w:val="en-US" w:eastAsia="zh-CN" w:bidi="ar"/>
              </w:rPr>
              <w:t>5.5-8.0</w:t>
            </w:r>
          </w:p>
          <w:p w14:paraId="418741BE">
            <w:pPr>
              <w:pageBreakBefore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12.6</w:t>
            </w:r>
            <w:r>
              <w:rPr>
                <w:rFonts w:hint="eastAsia" w:ascii="宋体" w:hAnsi="宋体" w:eastAsia="宋体" w:cs="宋体"/>
                <w:color w:val="auto"/>
                <w:szCs w:val="21"/>
                <w:highlight w:val="none"/>
              </w:rPr>
              <w:t>不含</w:t>
            </w:r>
            <w:r>
              <w:rPr>
                <w:rFonts w:hint="eastAsia" w:ascii="宋体" w:hAnsi="宋体" w:eastAsia="宋体" w:cs="宋体"/>
                <w:color w:val="auto"/>
                <w:kern w:val="0"/>
                <w:sz w:val="21"/>
                <w:szCs w:val="21"/>
                <w:highlight w:val="none"/>
                <w:lang w:val="en-US" w:eastAsia="zh-CN" w:bidi="ar"/>
              </w:rPr>
              <w:t>邻苯二甲酸酯，</w:t>
            </w:r>
            <w:r>
              <w:rPr>
                <w:rFonts w:hint="eastAsia" w:ascii="宋体" w:hAnsi="宋体" w:eastAsia="宋体" w:cs="宋体"/>
                <w:bCs/>
                <w:color w:val="auto"/>
                <w:sz w:val="21"/>
                <w:szCs w:val="21"/>
                <w:highlight w:val="none"/>
                <w:lang w:val="en-US" w:eastAsia="zh-CN"/>
              </w:rPr>
              <w:t>无</w:t>
            </w:r>
            <w:r>
              <w:rPr>
                <w:rFonts w:hint="eastAsia" w:ascii="宋体" w:hAnsi="宋体" w:cs="宋体"/>
                <w:bCs/>
                <w:color w:val="auto"/>
                <w:sz w:val="21"/>
                <w:szCs w:val="21"/>
                <w:highlight w:val="none"/>
                <w:lang w:val="en-US" w:eastAsia="zh-CN"/>
              </w:rPr>
              <w:t>可溶性</w:t>
            </w:r>
            <w:r>
              <w:rPr>
                <w:rFonts w:hint="eastAsia" w:ascii="宋体" w:hAnsi="宋体" w:eastAsia="宋体" w:cs="宋体"/>
                <w:b w:val="0"/>
                <w:bCs w:val="0"/>
                <w:color w:val="auto"/>
                <w:kern w:val="0"/>
                <w:sz w:val="21"/>
                <w:szCs w:val="21"/>
                <w:highlight w:val="none"/>
                <w:vertAlign w:val="baseline"/>
                <w:lang w:val="en-US" w:eastAsia="zh-CN" w:bidi="ar"/>
              </w:rPr>
              <w:t>锑、砷、钡、镉、铬、铅、汞、</w:t>
            </w:r>
            <w:r>
              <w:rPr>
                <w:rFonts w:hint="eastAsia" w:ascii="Calibri" w:hAnsi="Calibri" w:eastAsia="宋体" w:cs="Calibri"/>
                <w:b w:val="0"/>
                <w:bCs w:val="0"/>
                <w:color w:val="auto"/>
                <w:kern w:val="0"/>
                <w:sz w:val="21"/>
                <w:szCs w:val="21"/>
                <w:highlight w:val="none"/>
                <w:vertAlign w:val="baseline"/>
                <w:lang w:val="en-US" w:eastAsia="zh-CN" w:bidi="ar"/>
              </w:rPr>
              <w:t>硒等有害物质；</w:t>
            </w:r>
          </w:p>
          <w:p w14:paraId="3A0A72A3">
            <w:pPr>
              <w:spacing w:line="360" w:lineRule="auto"/>
              <w:rPr>
                <w:rFonts w:hint="eastAsia" w:asciiTheme="minorEastAsia" w:hAnsiTheme="minorEastAsia" w:eastAsiaTheme="minorEastAsia" w:cstheme="minorEastAsia"/>
                <w:b/>
                <w:bCs/>
                <w:i w:val="0"/>
                <w:iCs w:val="0"/>
                <w:caps w:val="0"/>
                <w:color w:val="auto"/>
                <w:spacing w:val="0"/>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三</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i w:val="0"/>
                <w:iCs w:val="0"/>
                <w:caps w:val="0"/>
                <w:color w:val="auto"/>
                <w:spacing w:val="0"/>
                <w:sz w:val="21"/>
                <w:szCs w:val="21"/>
                <w:highlight w:val="none"/>
              </w:rPr>
              <w:t>智能可视超声</w:t>
            </w:r>
            <w:r>
              <w:rPr>
                <w:rFonts w:hint="eastAsia" w:asciiTheme="minorEastAsia" w:hAnsiTheme="minorEastAsia" w:eastAsiaTheme="minorEastAsia" w:cstheme="minorEastAsia"/>
                <w:b/>
                <w:bCs/>
                <w:i w:val="0"/>
                <w:iCs w:val="0"/>
                <w:caps w:val="0"/>
                <w:color w:val="auto"/>
                <w:spacing w:val="0"/>
                <w:sz w:val="21"/>
                <w:szCs w:val="21"/>
                <w:highlight w:val="none"/>
                <w:lang w:val="en-US" w:eastAsia="zh-CN"/>
              </w:rPr>
              <w:t>波</w:t>
            </w:r>
            <w:r>
              <w:rPr>
                <w:rFonts w:hint="eastAsia" w:asciiTheme="minorEastAsia" w:hAnsiTheme="minorEastAsia" w:eastAsiaTheme="minorEastAsia" w:cstheme="minorEastAsia"/>
                <w:b/>
                <w:bCs/>
                <w:i w:val="0"/>
                <w:iCs w:val="0"/>
                <w:caps w:val="0"/>
                <w:color w:val="auto"/>
                <w:spacing w:val="0"/>
                <w:sz w:val="21"/>
                <w:szCs w:val="21"/>
                <w:highlight w:val="none"/>
              </w:rPr>
              <w:t>洁牙仪</w:t>
            </w:r>
          </w:p>
          <w:p w14:paraId="337FC41D">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主机尺寸</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25 mm x193mm(不含工作头)</w:t>
            </w:r>
          </w:p>
          <w:p w14:paraId="3BDA690F">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主机重量</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90.5g</w:t>
            </w:r>
            <w:r>
              <w:rPr>
                <w:rFonts w:hint="eastAsia" w:ascii="宋体" w:hAnsi="宋体" w:cs="宋体"/>
                <w:color w:val="auto"/>
                <w:szCs w:val="21"/>
                <w:highlight w:val="none"/>
              </w:rPr>
              <w:t>（±5g）</w:t>
            </w:r>
          </w:p>
          <w:p w14:paraId="43DFBB96">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主机底座重量</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35g</w:t>
            </w:r>
            <w:r>
              <w:rPr>
                <w:rFonts w:hint="eastAsia" w:ascii="宋体" w:hAnsi="宋体" w:cs="宋体"/>
                <w:color w:val="auto"/>
                <w:szCs w:val="21"/>
                <w:highlight w:val="none"/>
              </w:rPr>
              <w:t>（±5g）</w:t>
            </w:r>
          </w:p>
          <w:p w14:paraId="3C7F9237">
            <w:pP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工作频率</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28kHz-36kHz</w:t>
            </w:r>
          </w:p>
          <w:p w14:paraId="1106F2EF">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图像传输速率</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30fps</w:t>
            </w:r>
          </w:p>
          <w:p w14:paraId="203F2215">
            <w:pP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工作环境</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-40</w:t>
            </w:r>
            <w:r>
              <w:rPr>
                <w:rFonts w:hint="eastAsia" w:asciiTheme="minorEastAsia" w:hAnsiTheme="minorEastAsia" w:eastAsiaTheme="minorEastAsia" w:cstheme="minorEastAsia"/>
                <w:color w:val="auto"/>
                <w:highlight w:val="none"/>
                <w:lang w:val="en-US" w:eastAsia="zh-CN"/>
              </w:rPr>
              <w:t>℃</w:t>
            </w:r>
          </w:p>
          <w:p w14:paraId="5E12514D">
            <w:pP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电池</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700 mAh</w:t>
            </w:r>
          </w:p>
          <w:p w14:paraId="56FAA63E">
            <w:pP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续航时间</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180分钟</w:t>
            </w:r>
          </w:p>
          <w:p w14:paraId="6316D747">
            <w:pP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充电时间</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3h</w:t>
            </w:r>
          </w:p>
          <w:p w14:paraId="7291A6AB">
            <w:pP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额定输入</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5 V</w:t>
            </w:r>
            <w:r>
              <w:rPr>
                <w:rFonts w:hint="eastAsia" w:ascii="黑体" w:hAnsi="黑体" w:eastAsia="黑体" w:cs="黑体"/>
                <w:color w:val="auto"/>
                <w:sz w:val="22"/>
                <w:szCs w:val="22"/>
                <w:highlight w:val="none"/>
              </w:rPr>
              <w:t>⎓</w:t>
            </w:r>
            <w:r>
              <w:rPr>
                <w:rFonts w:hint="eastAsia" w:asciiTheme="minorEastAsia" w:hAnsiTheme="minorEastAsia" w:eastAsiaTheme="minorEastAsia" w:cstheme="minorEastAsia"/>
                <w:color w:val="auto"/>
                <w:highlight w:val="none"/>
              </w:rPr>
              <w:t>1A</w:t>
            </w:r>
          </w:p>
          <w:p w14:paraId="3086AC9E">
            <w:pP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rPr>
              <w:t>额定功率</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5W</w:t>
            </w:r>
          </w:p>
          <w:p w14:paraId="3370CA7D">
            <w:pP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12.</w:t>
            </w:r>
            <w:r>
              <w:rPr>
                <w:rFonts w:hint="eastAsia" w:asciiTheme="minorEastAsia" w:hAnsiTheme="minorEastAsia" w:eastAsiaTheme="minorEastAsia" w:cstheme="minorEastAsia"/>
                <w:color w:val="auto"/>
                <w:highlight w:val="none"/>
              </w:rPr>
              <w:t>摄像头像素</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500万</w:t>
            </w:r>
          </w:p>
          <w:p w14:paraId="180D8D2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13.</w:t>
            </w:r>
            <w:r>
              <w:rPr>
                <w:rFonts w:hint="eastAsia" w:asciiTheme="minorEastAsia" w:hAnsiTheme="minorEastAsia" w:eastAsiaTheme="minorEastAsia" w:cstheme="minorEastAsia"/>
                <w:color w:val="auto"/>
                <w:highlight w:val="none"/>
              </w:rPr>
              <w:t>防水等级</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主机</w:t>
            </w:r>
            <w:r>
              <w:rPr>
                <w:rFonts w:hint="eastAsia" w:asciiTheme="minorEastAsia" w:hAnsiTheme="minorEastAsia" w:eastAsiaTheme="minorEastAsia" w:cstheme="minorEastAsia"/>
                <w:color w:val="auto"/>
                <w:highlight w:val="none"/>
                <w:lang w:val="en-US" w:eastAsia="zh-CN"/>
              </w:rPr>
              <w:t>I</w:t>
            </w:r>
            <w:r>
              <w:rPr>
                <w:rFonts w:hint="eastAsia" w:asciiTheme="minorEastAsia" w:hAnsiTheme="minorEastAsia" w:eastAsiaTheme="minorEastAsia" w:cstheme="minorEastAsia"/>
                <w:color w:val="auto"/>
                <w:highlight w:val="none"/>
              </w:rPr>
              <w:t>PX7(主机底座不防水)</w:t>
            </w:r>
          </w:p>
          <w:p w14:paraId="347083AD">
            <w:pPr>
              <w:pageBreakBefore w:val="0"/>
              <w:kinsoku/>
              <w:wordWrap/>
              <w:overflowPunct/>
              <w:topLinePunct w:val="0"/>
              <w:autoSpaceDE/>
              <w:autoSpaceDN/>
              <w:bidi w:val="0"/>
              <w:snapToGrid/>
              <w:spacing w:line="380" w:lineRule="exact"/>
              <w:textAlignment w:val="auto"/>
              <w:rPr>
                <w:rFonts w:hint="eastAsia" w:asciiTheme="majorEastAsia" w:hAnsiTheme="majorEastAsia" w:eastAsiaTheme="majorEastAsia" w:cstheme="majorEastAsia"/>
                <w:bCs/>
                <w:color w:val="auto"/>
                <w:szCs w:val="21"/>
                <w:highlight w:val="none"/>
                <w:lang w:val="en-US" w:eastAsia="zh-CN"/>
              </w:rPr>
            </w:pPr>
            <w:r>
              <w:rPr>
                <w:rFonts w:hint="eastAsia" w:asciiTheme="majorEastAsia" w:hAnsiTheme="majorEastAsia" w:eastAsiaTheme="majorEastAsia" w:cstheme="majorEastAsia"/>
                <w:bCs/>
                <w:color w:val="auto"/>
                <w:szCs w:val="21"/>
                <w:highlight w:val="none"/>
                <w:lang w:val="en-US" w:eastAsia="zh-CN"/>
              </w:rPr>
              <w:t>14.wifi链接手机可视洁牙，手机可视画面视角不变，360°无盲区，精准洁牙，外形小巧、轻便，一手就能完全掌握的轻巧体积，外出随行无负担。</w:t>
            </w:r>
            <w:r>
              <w:rPr>
                <w:rFonts w:hint="eastAsia" w:asciiTheme="majorEastAsia" w:hAnsiTheme="majorEastAsia" w:eastAsiaTheme="majorEastAsia" w:cstheme="majorEastAsia"/>
                <w:bCs/>
                <w:color w:val="auto"/>
                <w:szCs w:val="21"/>
                <w:highlight w:val="none"/>
                <w:lang w:val="en-US" w:eastAsia="zh-CN"/>
              </w:rPr>
              <w:br w:type="textWrapping"/>
            </w:r>
            <w:r>
              <w:rPr>
                <w:rFonts w:hint="eastAsia" w:asciiTheme="majorEastAsia" w:hAnsiTheme="majorEastAsia" w:eastAsiaTheme="majorEastAsia" w:cstheme="majorEastAsia"/>
                <w:bCs/>
                <w:color w:val="auto"/>
                <w:szCs w:val="21"/>
                <w:highlight w:val="none"/>
                <w:lang w:val="en-US" w:eastAsia="zh-CN"/>
              </w:rPr>
              <w:t>15.紫外线杀菌消毒：紫外线有效杀菌，抑制细菌传播再生，消毒仓收纳盒二合一。</w:t>
            </w:r>
          </w:p>
          <w:p w14:paraId="4B4C08E5">
            <w:pPr>
              <w:widowControl/>
              <w:spacing w:line="360" w:lineRule="auto"/>
              <w:jc w:val="left"/>
              <w:rPr>
                <w:rFonts w:hint="eastAsia" w:ascii="宋体" w:hAnsi="宋体" w:cs="宋体"/>
                <w:b/>
                <w:bCs w:val="0"/>
                <w:color w:val="auto"/>
                <w:szCs w:val="21"/>
                <w:highlight w:val="none"/>
              </w:rPr>
            </w:pPr>
            <w:r>
              <w:rPr>
                <w:rFonts w:hint="eastAsia" w:ascii="宋体" w:hAnsi="宋体" w:cs="宋体"/>
                <w:b/>
                <w:bCs w:val="0"/>
                <w:color w:val="auto"/>
                <w:szCs w:val="21"/>
                <w:highlight w:val="none"/>
                <w:lang w:val="en-US" w:eastAsia="zh-CN"/>
              </w:rPr>
              <w:t>二</w:t>
            </w:r>
            <w:r>
              <w:rPr>
                <w:rFonts w:hint="eastAsia" w:ascii="宋体" w:hAnsi="宋体" w:cs="宋体"/>
                <w:b/>
                <w:bCs w:val="0"/>
                <w:color w:val="auto"/>
                <w:szCs w:val="21"/>
                <w:highlight w:val="none"/>
              </w:rPr>
              <w:t>、礼盒</w:t>
            </w:r>
          </w:p>
          <w:p w14:paraId="3779B210">
            <w:pPr>
              <w:pageBreakBefore w:val="0"/>
              <w:kinsoku/>
              <w:wordWrap/>
              <w:overflowPunct/>
              <w:topLinePunct w:val="0"/>
              <w:autoSpaceDE/>
              <w:autoSpaceDN/>
              <w:bidi w:val="0"/>
              <w:snapToGrid/>
              <w:spacing w:line="380" w:lineRule="exact"/>
              <w:textAlignment w:val="auto"/>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Cs/>
                <w:color w:val="auto"/>
                <w:szCs w:val="21"/>
                <w:highlight w:val="none"/>
              </w:rPr>
              <w:t>高端天地盖礼品专用盒/盖：350 克白卡，胶印四色加印金，复亚膜，烫金；压痕底：350 克白卡复亚膜，裱瓦 E 瓦楞，压痕底；外配相同材质的高端手提袋，并印有</w:t>
            </w:r>
            <w:r>
              <w:rPr>
                <w:rFonts w:hint="eastAsia" w:asciiTheme="majorEastAsia" w:hAnsiTheme="majorEastAsia" w:eastAsiaTheme="majorEastAsia" w:cstheme="majorEastAsia"/>
                <w:color w:val="auto"/>
                <w:sz w:val="21"/>
                <w:szCs w:val="21"/>
                <w:highlight w:val="none"/>
              </w:rPr>
              <w:t>“中共桂林市委员会桂林市人大常委会</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桂林市人民政府</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政协桂林市委员会赠”和“2025年·春节”字样</w:t>
            </w:r>
            <w:r>
              <w:rPr>
                <w:rFonts w:hint="eastAsia" w:asciiTheme="majorEastAsia" w:hAnsiTheme="majorEastAsia" w:eastAsiaTheme="majorEastAsia" w:cstheme="majorEastAsia"/>
                <w:bCs/>
                <w:color w:val="auto"/>
                <w:sz w:val="21"/>
                <w:szCs w:val="21"/>
                <w:highlight w:val="none"/>
              </w:rPr>
              <w:t>。</w:t>
            </w:r>
          </w:p>
        </w:tc>
        <w:tc>
          <w:tcPr>
            <w:tcW w:w="805" w:type="dxa"/>
            <w:noWrap w:val="0"/>
            <w:vAlign w:val="center"/>
          </w:tcPr>
          <w:p w14:paraId="698F91A5">
            <w:pPr>
              <w:pageBreakBefore w:val="0"/>
              <w:kinsoku/>
              <w:wordWrap/>
              <w:overflowPunct/>
              <w:topLinePunct w:val="0"/>
              <w:autoSpaceDE/>
              <w:autoSpaceDN/>
              <w:bidi w:val="0"/>
              <w:adjustRightInd w:val="0"/>
              <w:snapToGrid/>
              <w:spacing w:line="38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1000</w:t>
            </w:r>
          </w:p>
        </w:tc>
        <w:tc>
          <w:tcPr>
            <w:tcW w:w="723" w:type="dxa"/>
            <w:noWrap w:val="0"/>
            <w:vAlign w:val="center"/>
          </w:tcPr>
          <w:p w14:paraId="51781620">
            <w:pPr>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63" w:type="dxa"/>
            <w:noWrap w:val="0"/>
            <w:vAlign w:val="center"/>
          </w:tcPr>
          <w:p w14:paraId="5249757F">
            <w:pPr>
              <w:pageBreakBefore w:val="0"/>
              <w:kinsoku/>
              <w:wordWrap/>
              <w:overflowPunct/>
              <w:topLinePunct w:val="0"/>
              <w:autoSpaceDE/>
              <w:autoSpaceDN/>
              <w:bidi w:val="0"/>
              <w:adjustRightInd w:val="0"/>
              <w:snapToGrid/>
              <w:spacing w:line="38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499.7</w:t>
            </w:r>
          </w:p>
        </w:tc>
      </w:tr>
      <w:tr w14:paraId="2891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top"/>
          </w:tcPr>
          <w:p w14:paraId="5F282CE7">
            <w:pPr>
              <w:rPr>
                <w:rFonts w:hint="eastAsia" w:ascii="宋体" w:hAnsi="宋体" w:eastAsia="宋体" w:cs="宋体"/>
                <w:color w:val="auto"/>
                <w:sz w:val="21"/>
                <w:szCs w:val="21"/>
                <w:highlight w:val="none"/>
                <w:lang w:val="en-US" w:eastAsia="zh-CN"/>
              </w:rPr>
            </w:pPr>
          </w:p>
          <w:p w14:paraId="0C9CDA5F">
            <w:pPr>
              <w:rPr>
                <w:rFonts w:hint="eastAsia" w:ascii="宋体" w:hAnsi="宋体" w:eastAsia="宋体" w:cs="宋体"/>
                <w:color w:val="auto"/>
                <w:sz w:val="21"/>
                <w:szCs w:val="21"/>
                <w:highlight w:val="none"/>
                <w:lang w:val="en-US" w:eastAsia="zh-CN"/>
              </w:rPr>
            </w:pPr>
          </w:p>
          <w:p w14:paraId="55B5175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1110" w:type="dxa"/>
            <w:noWrap w:val="0"/>
            <w:vAlign w:val="top"/>
          </w:tcPr>
          <w:p w14:paraId="6FE95EDF">
            <w:pPr>
              <w:spacing w:line="360" w:lineRule="auto"/>
              <w:rPr>
                <w:rFonts w:hint="eastAsia" w:ascii="宋体" w:hAnsi="宋体" w:eastAsia="宋体" w:cs="宋体"/>
                <w:b/>
                <w:color w:val="auto"/>
                <w:sz w:val="21"/>
                <w:szCs w:val="21"/>
                <w:highlight w:val="none"/>
              </w:rPr>
            </w:pPr>
          </w:p>
          <w:p w14:paraId="1E6F81BD">
            <w:pPr>
              <w:spacing w:line="360" w:lineRule="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color w:val="auto"/>
                <w:sz w:val="21"/>
                <w:szCs w:val="21"/>
                <w:highlight w:val="none"/>
              </w:rPr>
              <w:t>慰问信</w:t>
            </w:r>
          </w:p>
        </w:tc>
        <w:tc>
          <w:tcPr>
            <w:tcW w:w="5595" w:type="dxa"/>
            <w:noWrap w:val="0"/>
            <w:vAlign w:val="top"/>
          </w:tcPr>
          <w:p w14:paraId="470F1484">
            <w:pPr>
              <w:widowControl/>
              <w:spacing w:line="360" w:lineRule="auto"/>
              <w:ind w:firstLine="210" w:firstLineChars="1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1、规格：250*210mm：200克铜板纸4色彩印。</w:t>
            </w:r>
          </w:p>
          <w:p w14:paraId="0DFB5CB0">
            <w:pPr>
              <w:widowControl/>
              <w:spacing w:line="360" w:lineRule="auto"/>
              <w:ind w:firstLine="210" w:firstLineChars="100"/>
              <w:jc w:val="left"/>
              <w:rPr>
                <w:rFonts w:hint="eastAsia" w:asciiTheme="majorEastAsia" w:hAnsiTheme="majorEastAsia" w:eastAsiaTheme="majorEastAsia" w:cstheme="majorEastAsia"/>
                <w:bCs/>
                <w:color w:val="auto"/>
                <w:szCs w:val="21"/>
                <w:highlight w:val="none"/>
              </w:rPr>
            </w:pPr>
            <w:r>
              <w:rPr>
                <w:rFonts w:hint="eastAsia" w:ascii="宋体" w:hAnsi="宋体" w:eastAsia="宋体" w:cs="宋体"/>
                <w:b w:val="0"/>
                <w:color w:val="auto"/>
                <w:sz w:val="21"/>
                <w:szCs w:val="21"/>
                <w:highlight w:val="none"/>
                <w:lang w:val="en-US" w:eastAsia="zh-CN"/>
              </w:rPr>
              <w:t>2、慰问信印刷图文按要求制作完成。</w:t>
            </w:r>
            <w:r>
              <w:rPr>
                <w:rFonts w:hint="eastAsia" w:ascii="宋体" w:hAnsi="宋体" w:eastAsia="宋体" w:cs="宋体"/>
                <w:b w:val="0"/>
                <w:bCs w:val="0"/>
                <w:color w:val="auto"/>
                <w:sz w:val="21"/>
                <w:szCs w:val="21"/>
                <w:highlight w:val="none"/>
                <w:lang w:val="en-US" w:eastAsia="zh-CN"/>
              </w:rPr>
              <w:t>慰问信印刷图文围绕实际情况，按要求制作完成，设计印刷方案需要通过采购人确认方可印制。</w:t>
            </w:r>
          </w:p>
        </w:tc>
        <w:tc>
          <w:tcPr>
            <w:tcW w:w="805" w:type="dxa"/>
            <w:noWrap w:val="0"/>
            <w:vAlign w:val="top"/>
          </w:tcPr>
          <w:p w14:paraId="2A88D6EB">
            <w:pPr>
              <w:pStyle w:val="30"/>
              <w:ind w:firstLine="426"/>
              <w:rPr>
                <w:rFonts w:hint="eastAsia" w:ascii="宋体" w:hAnsi="宋体" w:eastAsia="宋体" w:cs="宋体"/>
                <w:color w:val="auto"/>
                <w:sz w:val="21"/>
                <w:szCs w:val="21"/>
                <w:highlight w:val="none"/>
                <w:lang w:eastAsia="zh-CN"/>
              </w:rPr>
            </w:pPr>
          </w:p>
          <w:p w14:paraId="65095C6F">
            <w:pPr>
              <w:pStyle w:val="30"/>
              <w:ind w:left="0" w:leftChars="0" w:firstLine="0" w:firstLineChars="0"/>
              <w:rPr>
                <w:rFonts w:hint="eastAsia" w:ascii="宋体" w:hAnsi="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900</w:t>
            </w:r>
          </w:p>
        </w:tc>
        <w:tc>
          <w:tcPr>
            <w:tcW w:w="723" w:type="dxa"/>
            <w:noWrap w:val="0"/>
            <w:vAlign w:val="top"/>
          </w:tcPr>
          <w:p w14:paraId="17801619">
            <w:pPr>
              <w:pStyle w:val="30"/>
              <w:ind w:firstLine="424"/>
              <w:rPr>
                <w:rFonts w:hint="eastAsia" w:ascii="宋体" w:hAnsi="宋体" w:eastAsia="宋体" w:cs="宋体"/>
                <w:b w:val="0"/>
                <w:color w:val="auto"/>
                <w:sz w:val="21"/>
                <w:szCs w:val="21"/>
                <w:highlight w:val="none"/>
                <w:lang w:eastAsia="zh-CN"/>
              </w:rPr>
            </w:pPr>
          </w:p>
          <w:p w14:paraId="0DFB2797">
            <w:pPr>
              <w:pStyle w:val="30"/>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eastAsia="zh-CN"/>
              </w:rPr>
              <w:t>张</w:t>
            </w:r>
          </w:p>
        </w:tc>
        <w:tc>
          <w:tcPr>
            <w:tcW w:w="1063" w:type="dxa"/>
            <w:noWrap w:val="0"/>
            <w:vAlign w:val="top"/>
          </w:tcPr>
          <w:p w14:paraId="7389B00E">
            <w:pPr>
              <w:pStyle w:val="30"/>
              <w:ind w:firstLine="424"/>
              <w:rPr>
                <w:rFonts w:hint="eastAsia" w:ascii="宋体" w:hAnsi="宋体" w:eastAsia="宋体" w:cs="宋体"/>
                <w:b w:val="0"/>
                <w:color w:val="auto"/>
                <w:sz w:val="21"/>
                <w:szCs w:val="21"/>
                <w:highlight w:val="none"/>
                <w:lang w:eastAsia="zh-CN"/>
              </w:rPr>
            </w:pPr>
          </w:p>
          <w:p w14:paraId="0E0E7E57">
            <w:pPr>
              <w:pStyle w:val="30"/>
              <w:ind w:left="0" w:leftChars="0" w:firstLine="210" w:firstLineChars="100"/>
              <w:rPr>
                <w:rFonts w:hint="eastAsia" w:ascii="宋体" w:hAnsi="宋体" w:cs="宋体"/>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 xml:space="preserve"> 0.3</w:t>
            </w:r>
          </w:p>
        </w:tc>
      </w:tr>
      <w:tr w14:paraId="5A4D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0" w:type="dxa"/>
            <w:gridSpan w:val="6"/>
            <w:noWrap w:val="0"/>
            <w:vAlign w:val="top"/>
          </w:tcPr>
          <w:p w14:paraId="1578C15F">
            <w:pPr>
              <w:pStyle w:val="30"/>
              <w:ind w:left="0" w:leftChars="0" w:firstLine="211" w:firstLineChars="100"/>
              <w:rPr>
                <w:rFonts w:hint="eastAsia" w:ascii="宋体" w:hAnsi="宋体" w:eastAsia="宋体" w:cs="宋体"/>
                <w:b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商务要求（均为实质性要求，不允许负偏离）服务承诺书中与商务要求不一致时，以商务要求为准。</w:t>
            </w:r>
          </w:p>
        </w:tc>
      </w:tr>
      <w:tr w14:paraId="3B1B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gridSpan w:val="2"/>
            <w:noWrap w:val="0"/>
            <w:vAlign w:val="top"/>
          </w:tcPr>
          <w:p w14:paraId="724243FC">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售后服务要求</w:t>
            </w:r>
          </w:p>
        </w:tc>
        <w:tc>
          <w:tcPr>
            <w:tcW w:w="8186" w:type="dxa"/>
            <w:gridSpan w:val="4"/>
            <w:noWrap w:val="0"/>
            <w:vAlign w:val="top"/>
          </w:tcPr>
          <w:p w14:paraId="25EBC590">
            <w:pPr>
              <w:pStyle w:val="30"/>
              <w:ind w:left="0" w:leftChars="0"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一、质保期：按国家有关产品“三包”规定执行“三包”，质保期一年，自验收合格之日起计。</w:t>
            </w:r>
          </w:p>
          <w:p w14:paraId="6CF73507">
            <w:pPr>
              <w:pStyle w:val="30"/>
              <w:ind w:left="0" w:leftChars="0"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二、售后服务的内容和措施：</w:t>
            </w:r>
          </w:p>
          <w:p w14:paraId="0C329DAD">
            <w:pPr>
              <w:pStyle w:val="30"/>
              <w:ind w:left="0" w:leftChars="0"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1、采购范围内的货物免费送货上门、免费卸货发放至采购人指定地点（涉及多个地点）。</w:t>
            </w:r>
          </w:p>
          <w:p w14:paraId="30E48502">
            <w:pPr>
              <w:pStyle w:val="30"/>
              <w:ind w:left="0" w:leftChars="0"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2、提供售后服务联系电话及联系人，提供24小时的使用咨询服务，有需要时提供至少1次上门培训服务，质保期内接到报障电话后在1个小时内响应，12小时内上门解决问题。</w:t>
            </w:r>
          </w:p>
        </w:tc>
      </w:tr>
      <w:tr w14:paraId="10F4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gridSpan w:val="2"/>
            <w:noWrap w:val="0"/>
            <w:vAlign w:val="top"/>
          </w:tcPr>
          <w:p w14:paraId="50014B84">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交付使用时间及地点及验收</w:t>
            </w:r>
          </w:p>
        </w:tc>
        <w:tc>
          <w:tcPr>
            <w:tcW w:w="8186" w:type="dxa"/>
            <w:gridSpan w:val="4"/>
            <w:noWrap w:val="0"/>
            <w:vAlign w:val="top"/>
          </w:tcPr>
          <w:p w14:paraId="47658FBA">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交付使用期及地点：</w:t>
            </w:r>
          </w:p>
          <w:p w14:paraId="422E3738">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1、交付使用期：由于物品发放时间紧急,在2025年1月22日前完成交付并送达指定地点，不能延期，如果延期将按违约处理。</w:t>
            </w:r>
          </w:p>
          <w:p w14:paraId="77D5D741">
            <w:pPr>
              <w:pStyle w:val="30"/>
              <w:ind w:left="0" w:leftChars="0"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2、交货地点：广西桂林市采购人指定地点（涉及多个地点）。</w:t>
            </w:r>
          </w:p>
        </w:tc>
      </w:tr>
      <w:tr w14:paraId="31AB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gridSpan w:val="2"/>
            <w:noWrap w:val="0"/>
            <w:vAlign w:val="top"/>
          </w:tcPr>
          <w:p w14:paraId="402A9FC9">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付款方式</w:t>
            </w:r>
          </w:p>
        </w:tc>
        <w:tc>
          <w:tcPr>
            <w:tcW w:w="8186" w:type="dxa"/>
            <w:gridSpan w:val="4"/>
            <w:noWrap w:val="0"/>
            <w:vAlign w:val="top"/>
          </w:tcPr>
          <w:p w14:paraId="5B8520F7">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本项目无预付款，</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供应商交货，货物经采购人验收合格，送货到采购人指定地点，提供全额正规合法含税发票后，采购人在10个工作日内一次性付清合同款项。</w:t>
            </w:r>
          </w:p>
        </w:tc>
      </w:tr>
      <w:tr w14:paraId="4E39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gridSpan w:val="2"/>
            <w:noWrap w:val="0"/>
            <w:vAlign w:val="top"/>
          </w:tcPr>
          <w:p w14:paraId="46D0E9E6">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验收标准</w:t>
            </w:r>
          </w:p>
        </w:tc>
        <w:tc>
          <w:tcPr>
            <w:tcW w:w="8186" w:type="dxa"/>
            <w:gridSpan w:val="4"/>
            <w:noWrap w:val="0"/>
            <w:vAlign w:val="top"/>
          </w:tcPr>
          <w:p w14:paraId="56DB12F9">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1、符合我国国家有关技术规范和技术标准。</w:t>
            </w:r>
          </w:p>
          <w:p w14:paraId="064DE6F8">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2、邀请国家认可且具有检测（验）资质的第三方检测（验）机构的有关技术专家参与验收，验收不合格的采购人不予签收，由此造成的一切后果及费用由</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供应商承担。</w:t>
            </w:r>
          </w:p>
        </w:tc>
      </w:tr>
      <w:tr w14:paraId="0DD9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gridSpan w:val="2"/>
            <w:noWrap w:val="0"/>
            <w:vAlign w:val="top"/>
          </w:tcPr>
          <w:p w14:paraId="72BA604B">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其他要求</w:t>
            </w:r>
          </w:p>
        </w:tc>
        <w:tc>
          <w:tcPr>
            <w:tcW w:w="8186" w:type="dxa"/>
            <w:gridSpan w:val="4"/>
            <w:noWrap w:val="0"/>
            <w:vAlign w:val="top"/>
          </w:tcPr>
          <w:p w14:paraId="4379142F">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1、响应产品必须是原厂生产的全新合格产品，产品质量须符合国家相关标准及安全规范。</w:t>
            </w:r>
          </w:p>
          <w:p w14:paraId="72E683DD">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2、到货后，</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供应商和采购人应在现场进行清点；清点过程中如果发现因包装或运输不当引起的损坏，供货商应负责更换；若发现错发/漏发情况，供货商应一周内更换和补发。</w:t>
            </w:r>
          </w:p>
          <w:p w14:paraId="540BF713">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3、签订合同后供货时，</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须提供检测（验）报告原件【包括但不限于检测（验）报告原件、检测机构联系方式、检测机构开据的发票原件】及评分因素中用于加分的证件原件供采购单位核查，核查未通过或不能提供原件的，采购人将按虚假应标上报相关监督管理部门进行处理。采购人保留追究</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供应商相关法律责任的权利。</w:t>
            </w:r>
          </w:p>
          <w:p w14:paraId="331E8BC3">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供应商供货前将慰问信设计终稿提供给采购人审核，经采购人同意后方可生产，否则采购人有权拒绝验收，由此造成的一切后果及损失均由</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供应商自行承担。</w:t>
            </w:r>
          </w:p>
          <w:p w14:paraId="5F9DABC3">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5、采购人对</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产品按采购需求逐条核验，如</w:t>
            </w:r>
            <w:r>
              <w:rPr>
                <w:rFonts w:hint="eastAsia" w:ascii="宋体" w:hAnsi="宋体" w:cs="宋体"/>
                <w:b w:val="0"/>
                <w:bCs/>
                <w:color w:val="auto"/>
                <w:kern w:val="2"/>
                <w:sz w:val="21"/>
                <w:szCs w:val="21"/>
                <w:highlight w:val="none"/>
                <w:lang w:val="en-US" w:eastAsia="zh-CN" w:bidi="ar-SA"/>
              </w:rPr>
              <w:t>投标</w:t>
            </w:r>
            <w:r>
              <w:rPr>
                <w:rFonts w:hint="eastAsia" w:ascii="宋体" w:hAnsi="宋体" w:eastAsia="宋体" w:cs="宋体"/>
                <w:b w:val="0"/>
                <w:bCs/>
                <w:color w:val="auto"/>
                <w:kern w:val="2"/>
                <w:sz w:val="21"/>
                <w:szCs w:val="21"/>
                <w:highlight w:val="none"/>
                <w:lang w:val="en-US" w:eastAsia="zh-CN" w:bidi="ar-SA"/>
              </w:rPr>
              <w:t>文件技术规格及商务偏离表中承诺的参数与产品实际参数不一致，采购人将不予接收，由此造成的损失由</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供应商负责。</w:t>
            </w:r>
          </w:p>
          <w:p w14:paraId="23FFE01F">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6、为确保慰问品质量，采购人收到</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供应商所有货物后，将随机抽样交由第三方质检部门进行检测，复检合格后予以验收。如成交产品复检结果不符合要求的，采购人有权拒绝验收，并全部退货，由此造成的一切后果均由</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供应商自行承担。</w:t>
            </w:r>
          </w:p>
          <w:p w14:paraId="6220C808">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供应商如虚假应标，一经查实，将按虚假应标处理，由此造成的一切损失由成交供应商承担，且采购人保留追究其法律责任的权利。</w:t>
            </w:r>
          </w:p>
        </w:tc>
      </w:tr>
      <w:tr w14:paraId="011B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gridSpan w:val="2"/>
            <w:noWrap w:val="0"/>
            <w:vAlign w:val="top"/>
          </w:tcPr>
          <w:p w14:paraId="308AB922">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Cs w:val="21"/>
                <w:highlight w:val="none"/>
              </w:rPr>
              <w:t>注意事项</w:t>
            </w:r>
          </w:p>
        </w:tc>
        <w:tc>
          <w:tcPr>
            <w:tcW w:w="8186" w:type="dxa"/>
            <w:gridSpan w:val="4"/>
            <w:noWrap w:val="0"/>
            <w:vAlign w:val="top"/>
          </w:tcPr>
          <w:p w14:paraId="0740A111">
            <w:pPr>
              <w:adjustRightInd w:val="0"/>
              <w:spacing w:line="396" w:lineRule="exact"/>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1、本项目政府采购预算金额为人民币</w:t>
            </w:r>
            <w:r>
              <w:rPr>
                <w:rFonts w:hint="eastAsia" w:ascii="宋体" w:hAnsi="宋体" w:eastAsia="宋体" w:cs="宋体"/>
                <w:b w:val="0"/>
                <w:bCs/>
                <w:color w:val="auto"/>
                <w:kern w:val="0"/>
                <w:szCs w:val="21"/>
                <w:highlight w:val="none"/>
                <w:lang w:val="en-US" w:eastAsia="zh-CN"/>
              </w:rPr>
              <w:t>5</w:t>
            </w:r>
            <w:r>
              <w:rPr>
                <w:rFonts w:hint="eastAsia" w:ascii="宋体" w:hAnsi="宋体" w:eastAsia="宋体" w:cs="宋体"/>
                <w:b w:val="0"/>
                <w:bCs/>
                <w:color w:val="auto"/>
                <w:szCs w:val="21"/>
                <w:highlight w:val="none"/>
              </w:rPr>
              <w:t>00</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color w:val="auto"/>
                <w:szCs w:val="21"/>
                <w:highlight w:val="none"/>
              </w:rPr>
              <w:t>0</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color w:val="auto"/>
                <w:kern w:val="0"/>
                <w:szCs w:val="21"/>
                <w:highlight w:val="none"/>
              </w:rPr>
              <w:t>.00元，</w:t>
            </w:r>
            <w:r>
              <w:rPr>
                <w:rFonts w:hint="eastAsia" w:ascii="宋体" w:hAnsi="宋体" w:cs="宋体"/>
                <w:b w:val="0"/>
                <w:bCs/>
                <w:color w:val="auto"/>
                <w:kern w:val="0"/>
                <w:szCs w:val="21"/>
                <w:highlight w:val="none"/>
                <w:lang w:val="en-US" w:eastAsia="zh-CN"/>
              </w:rPr>
              <w:t>投标</w:t>
            </w:r>
            <w:r>
              <w:rPr>
                <w:rFonts w:hint="eastAsia" w:ascii="宋体" w:hAnsi="宋体" w:eastAsia="宋体" w:cs="宋体"/>
                <w:b w:val="0"/>
                <w:bCs/>
                <w:color w:val="auto"/>
                <w:kern w:val="0"/>
                <w:szCs w:val="21"/>
                <w:highlight w:val="none"/>
              </w:rPr>
              <w:t>报价超出采购预算金额的，</w:t>
            </w:r>
            <w:r>
              <w:rPr>
                <w:rFonts w:hint="eastAsia" w:ascii="宋体" w:hAnsi="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文件作无效处理</w:t>
            </w:r>
            <w:r>
              <w:rPr>
                <w:rFonts w:hint="eastAsia" w:ascii="宋体" w:hAnsi="宋体" w:eastAsia="宋体" w:cs="宋体"/>
                <w:b w:val="0"/>
                <w:bCs/>
                <w:color w:val="auto"/>
                <w:kern w:val="0"/>
                <w:szCs w:val="21"/>
                <w:highlight w:val="none"/>
              </w:rPr>
              <w:t>。</w:t>
            </w:r>
          </w:p>
          <w:p w14:paraId="7A344291">
            <w:pPr>
              <w:adjustRightInd w:val="0"/>
              <w:spacing w:line="396" w:lineRule="exact"/>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2、本项目核心产品为智能可视超声</w:t>
            </w:r>
            <w:r>
              <w:rPr>
                <w:rFonts w:hint="eastAsia" w:ascii="宋体" w:hAnsi="宋体" w:eastAsia="宋体" w:cs="宋体"/>
                <w:b w:val="0"/>
                <w:bCs/>
                <w:color w:val="auto"/>
                <w:kern w:val="0"/>
                <w:szCs w:val="21"/>
                <w:highlight w:val="none"/>
                <w:lang w:val="en-US" w:eastAsia="zh-CN"/>
              </w:rPr>
              <w:t>波</w:t>
            </w:r>
            <w:r>
              <w:rPr>
                <w:rFonts w:hint="eastAsia" w:ascii="宋体" w:hAnsi="宋体" w:eastAsia="宋体" w:cs="宋体"/>
                <w:b w:val="0"/>
                <w:bCs/>
                <w:color w:val="auto"/>
                <w:kern w:val="0"/>
                <w:szCs w:val="21"/>
                <w:highlight w:val="none"/>
              </w:rPr>
              <w:t>洁牙仪。</w:t>
            </w:r>
          </w:p>
          <w:p w14:paraId="2E887FCD">
            <w:pPr>
              <w:pStyle w:val="30"/>
              <w:ind w:left="0" w:leftChars="0" w:firstLine="0" w:firstLineChars="0"/>
              <w:rPr>
                <w:rFonts w:hint="eastAsia" w:ascii="宋体" w:hAnsi="宋体" w:eastAsia="宋体" w:cs="宋体"/>
                <w:b w:val="0"/>
                <w:bCs/>
                <w:color w:val="auto"/>
                <w:highlight w:val="none"/>
              </w:rPr>
            </w:pPr>
            <w:r>
              <w:rPr>
                <w:rFonts w:hint="eastAsia" w:ascii="宋体" w:hAnsi="宋体" w:eastAsia="宋体" w:cs="宋体"/>
                <w:b w:val="0"/>
                <w:bCs/>
                <w:color w:val="auto"/>
                <w:kern w:val="2"/>
                <w:sz w:val="21"/>
                <w:szCs w:val="21"/>
                <w:highlight w:val="none"/>
                <w:lang w:val="en-US" w:eastAsia="zh-CN" w:bidi="ar-SA"/>
              </w:rPr>
              <w:t>3、本项目货物不接受进口产品（即通过中国海关报关验放进入中国境内且产自关境外的产品）参与投标，否则作无效投标（响应）处理。</w:t>
            </w:r>
          </w:p>
        </w:tc>
      </w:tr>
    </w:tbl>
    <w:p w14:paraId="7B2C3D20">
      <w:pPr>
        <w:rPr>
          <w:rStyle w:val="75"/>
          <w:rFonts w:hint="default" w:ascii="宋体" w:hAnsi="宋体" w:cs="宋体"/>
          <w:b w:val="0"/>
          <w:bCs/>
          <w:color w:val="auto"/>
          <w:highlight w:val="none"/>
          <w:lang w:val="en-US" w:eastAsia="zh-CN"/>
        </w:rPr>
      </w:pPr>
    </w:p>
    <w:p w14:paraId="093C1AFC">
      <w:pPr>
        <w:rPr>
          <w:rStyle w:val="75"/>
          <w:rFonts w:ascii="宋体" w:hAnsi="宋体" w:cs="宋体"/>
          <w:color w:val="auto"/>
          <w:highlight w:val="none"/>
        </w:rPr>
      </w:pPr>
    </w:p>
    <w:p w14:paraId="55646ED6">
      <w:pPr>
        <w:rPr>
          <w:rStyle w:val="75"/>
          <w:rFonts w:ascii="宋体" w:hAnsi="宋体" w:cs="宋体"/>
          <w:color w:val="auto"/>
          <w:highlight w:val="none"/>
        </w:rPr>
      </w:pPr>
    </w:p>
    <w:p w14:paraId="702FE7B6">
      <w:pPr>
        <w:rPr>
          <w:rStyle w:val="75"/>
          <w:rFonts w:ascii="宋体" w:hAnsi="宋体" w:cs="宋体"/>
          <w:color w:val="auto"/>
          <w:highlight w:val="none"/>
        </w:rPr>
      </w:pPr>
    </w:p>
    <w:p w14:paraId="40CE5C71">
      <w:pPr>
        <w:rPr>
          <w:rStyle w:val="75"/>
          <w:rFonts w:ascii="宋体" w:hAnsi="宋体" w:cs="宋体"/>
          <w:color w:val="auto"/>
          <w:highlight w:val="none"/>
        </w:rPr>
      </w:pPr>
    </w:p>
    <w:p w14:paraId="29498EE4">
      <w:pPr>
        <w:rPr>
          <w:rStyle w:val="75"/>
          <w:rFonts w:ascii="宋体" w:hAnsi="宋体" w:cs="宋体"/>
          <w:color w:val="auto"/>
          <w:highlight w:val="none"/>
        </w:rPr>
      </w:pPr>
    </w:p>
    <w:p w14:paraId="11CB18F6">
      <w:pPr>
        <w:rPr>
          <w:rStyle w:val="75"/>
          <w:rFonts w:ascii="宋体" w:hAnsi="宋体" w:cs="宋体"/>
          <w:color w:val="auto"/>
          <w:highlight w:val="none"/>
        </w:rPr>
      </w:pPr>
    </w:p>
    <w:p w14:paraId="738AF644">
      <w:pPr>
        <w:rPr>
          <w:rStyle w:val="75"/>
          <w:rFonts w:ascii="宋体" w:hAnsi="宋体" w:cs="宋体"/>
          <w:color w:val="auto"/>
          <w:highlight w:val="none"/>
        </w:rPr>
      </w:pPr>
    </w:p>
    <w:p w14:paraId="12055678">
      <w:pPr>
        <w:rPr>
          <w:rStyle w:val="75"/>
          <w:rFonts w:ascii="宋体" w:hAnsi="宋体" w:cs="宋体"/>
          <w:color w:val="auto"/>
          <w:highlight w:val="none"/>
        </w:rPr>
      </w:pPr>
    </w:p>
    <w:p w14:paraId="7B9E64C6">
      <w:pPr>
        <w:rPr>
          <w:rStyle w:val="75"/>
          <w:rFonts w:ascii="宋体" w:hAnsi="宋体" w:cs="宋体"/>
          <w:color w:val="auto"/>
          <w:highlight w:val="none"/>
        </w:rPr>
      </w:pPr>
    </w:p>
    <w:p w14:paraId="630FB562">
      <w:pPr>
        <w:rPr>
          <w:rStyle w:val="75"/>
          <w:rFonts w:ascii="宋体" w:hAnsi="宋体" w:cs="宋体"/>
          <w:color w:val="auto"/>
          <w:highlight w:val="none"/>
        </w:rPr>
      </w:pPr>
    </w:p>
    <w:p w14:paraId="56AA079F">
      <w:pPr>
        <w:rPr>
          <w:rStyle w:val="75"/>
          <w:rFonts w:ascii="宋体" w:hAnsi="宋体" w:cs="宋体"/>
          <w:color w:val="auto"/>
          <w:highlight w:val="none"/>
        </w:rPr>
      </w:pPr>
    </w:p>
    <w:p w14:paraId="321AC7D9">
      <w:pPr>
        <w:rPr>
          <w:rStyle w:val="75"/>
          <w:rFonts w:ascii="宋体" w:hAnsi="宋体" w:cs="宋体"/>
          <w:color w:val="auto"/>
          <w:highlight w:val="none"/>
        </w:rPr>
      </w:pPr>
    </w:p>
    <w:p w14:paraId="7A1BBE8A">
      <w:pPr>
        <w:rPr>
          <w:rStyle w:val="75"/>
          <w:rFonts w:ascii="宋体" w:hAnsi="宋体" w:cs="宋体"/>
          <w:color w:val="auto"/>
          <w:highlight w:val="none"/>
        </w:rPr>
      </w:pPr>
    </w:p>
    <w:p w14:paraId="1FE51503">
      <w:pPr>
        <w:rPr>
          <w:rStyle w:val="75"/>
          <w:rFonts w:ascii="宋体" w:hAnsi="宋体" w:cs="宋体"/>
          <w:color w:val="auto"/>
          <w:highlight w:val="none"/>
        </w:rPr>
      </w:pPr>
    </w:p>
    <w:p w14:paraId="2FBCDDA9">
      <w:pPr>
        <w:rPr>
          <w:rStyle w:val="75"/>
          <w:rFonts w:ascii="宋体" w:hAnsi="宋体" w:cs="宋体"/>
          <w:color w:val="auto"/>
          <w:highlight w:val="none"/>
        </w:rPr>
      </w:pPr>
    </w:p>
    <w:p w14:paraId="330AF78B">
      <w:pPr>
        <w:rPr>
          <w:rStyle w:val="75"/>
          <w:rFonts w:ascii="宋体" w:hAnsi="宋体" w:cs="宋体"/>
          <w:color w:val="auto"/>
          <w:highlight w:val="none"/>
        </w:rPr>
      </w:pPr>
    </w:p>
    <w:p w14:paraId="56E0F09F">
      <w:pPr>
        <w:rPr>
          <w:rStyle w:val="75"/>
          <w:rFonts w:ascii="宋体" w:hAnsi="宋体" w:cs="宋体"/>
          <w:color w:val="auto"/>
          <w:highlight w:val="none"/>
        </w:rPr>
      </w:pPr>
    </w:p>
    <w:p w14:paraId="081DD705">
      <w:pPr>
        <w:rPr>
          <w:rStyle w:val="75"/>
          <w:rFonts w:ascii="宋体" w:hAnsi="宋体" w:cs="宋体"/>
          <w:color w:val="auto"/>
          <w:highlight w:val="none"/>
        </w:rPr>
      </w:pPr>
    </w:p>
    <w:p w14:paraId="771C4FCC">
      <w:pPr>
        <w:rPr>
          <w:rStyle w:val="75"/>
          <w:rFonts w:ascii="宋体" w:hAnsi="宋体" w:cs="宋体"/>
          <w:color w:val="auto"/>
          <w:highlight w:val="none"/>
        </w:rPr>
      </w:pPr>
    </w:p>
    <w:p w14:paraId="34E47028">
      <w:pPr>
        <w:rPr>
          <w:rStyle w:val="75"/>
          <w:rFonts w:ascii="宋体" w:hAnsi="宋体" w:cs="宋体"/>
          <w:color w:val="auto"/>
          <w:highlight w:val="none"/>
        </w:rPr>
      </w:pPr>
    </w:p>
    <w:p w14:paraId="7BA6D1E5">
      <w:pPr>
        <w:rPr>
          <w:rStyle w:val="75"/>
          <w:rFonts w:ascii="宋体" w:hAnsi="宋体" w:cs="宋体"/>
          <w:color w:val="auto"/>
          <w:highlight w:val="none"/>
        </w:rPr>
      </w:pPr>
    </w:p>
    <w:p w14:paraId="3996CBEB">
      <w:pPr>
        <w:rPr>
          <w:rStyle w:val="75"/>
          <w:rFonts w:ascii="宋体" w:hAnsi="宋体" w:cs="宋体"/>
          <w:color w:val="auto"/>
          <w:highlight w:val="none"/>
        </w:rPr>
      </w:pPr>
    </w:p>
    <w:p w14:paraId="1F518B6D">
      <w:pPr>
        <w:rPr>
          <w:rStyle w:val="75"/>
          <w:rFonts w:ascii="宋体" w:hAnsi="宋体" w:cs="宋体"/>
          <w:color w:val="auto"/>
          <w:highlight w:val="none"/>
        </w:rPr>
      </w:pPr>
    </w:p>
    <w:p w14:paraId="0CB8F4DF">
      <w:pPr>
        <w:rPr>
          <w:rStyle w:val="75"/>
          <w:rFonts w:hint="eastAsia" w:ascii="宋体" w:hAnsi="宋体" w:cs="宋体"/>
          <w:color w:val="auto"/>
          <w:highlight w:val="none"/>
          <w:lang w:val="en-US" w:eastAsia="zh-CN"/>
        </w:rPr>
      </w:pPr>
      <w:r>
        <w:rPr>
          <w:rStyle w:val="75"/>
          <w:rFonts w:hint="eastAsia" w:ascii="宋体" w:hAnsi="宋体" w:cs="宋体"/>
          <w:color w:val="auto"/>
          <w:highlight w:val="none"/>
          <w:lang w:val="en-US" w:eastAsia="zh-CN"/>
        </w:rPr>
        <w:t>D分标</w:t>
      </w:r>
    </w:p>
    <w:tbl>
      <w:tblPr>
        <w:tblStyle w:val="33"/>
        <w:tblW w:w="10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81"/>
        <w:gridCol w:w="201"/>
        <w:gridCol w:w="5373"/>
        <w:gridCol w:w="750"/>
        <w:gridCol w:w="818"/>
        <w:gridCol w:w="1200"/>
      </w:tblGrid>
      <w:tr w14:paraId="610B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C21E397">
            <w:pPr>
              <w:spacing w:line="38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项</w:t>
            </w:r>
            <w:r>
              <w:rPr>
                <w:rFonts w:hint="eastAsia" w:ascii="黑体" w:hAnsi="黑体" w:eastAsia="黑体" w:cs="黑体"/>
                <w:color w:val="auto"/>
                <w:sz w:val="24"/>
                <w:szCs w:val="24"/>
                <w:highlight w:val="none"/>
              </w:rPr>
              <w:t>号</w:t>
            </w:r>
          </w:p>
        </w:tc>
        <w:tc>
          <w:tcPr>
            <w:tcW w:w="1282" w:type="dxa"/>
            <w:gridSpan w:val="2"/>
            <w:vAlign w:val="center"/>
          </w:tcPr>
          <w:p w14:paraId="0E2EEAA3">
            <w:pPr>
              <w:spacing w:line="38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货物</w:t>
            </w:r>
            <w:r>
              <w:rPr>
                <w:rFonts w:hint="eastAsia" w:ascii="黑体" w:hAnsi="黑体" w:eastAsia="黑体" w:cs="黑体"/>
                <w:color w:val="auto"/>
                <w:sz w:val="24"/>
                <w:szCs w:val="24"/>
                <w:highlight w:val="none"/>
              </w:rPr>
              <w:t>名称</w:t>
            </w:r>
          </w:p>
        </w:tc>
        <w:tc>
          <w:tcPr>
            <w:tcW w:w="5373" w:type="dxa"/>
            <w:vAlign w:val="center"/>
          </w:tcPr>
          <w:p w14:paraId="2D34B6B4">
            <w:pPr>
              <w:spacing w:line="38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规格参数</w:t>
            </w:r>
          </w:p>
        </w:tc>
        <w:tc>
          <w:tcPr>
            <w:tcW w:w="750" w:type="dxa"/>
            <w:vAlign w:val="center"/>
          </w:tcPr>
          <w:p w14:paraId="002D6E26">
            <w:pPr>
              <w:spacing w:line="380" w:lineRule="exact"/>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数量</w:t>
            </w:r>
          </w:p>
        </w:tc>
        <w:tc>
          <w:tcPr>
            <w:tcW w:w="818" w:type="dxa"/>
            <w:vAlign w:val="center"/>
          </w:tcPr>
          <w:p w14:paraId="17DF8EA7">
            <w:pPr>
              <w:spacing w:line="380" w:lineRule="exact"/>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单位</w:t>
            </w:r>
          </w:p>
        </w:tc>
        <w:tc>
          <w:tcPr>
            <w:tcW w:w="1200" w:type="dxa"/>
            <w:vAlign w:val="center"/>
          </w:tcPr>
          <w:p w14:paraId="51680C68">
            <w:pPr>
              <w:spacing w:line="380" w:lineRule="exact"/>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参考单价（元）</w:t>
            </w:r>
          </w:p>
        </w:tc>
      </w:tr>
      <w:tr w14:paraId="669F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14:paraId="0A1B95ED">
            <w:pPr>
              <w:spacing w:line="380" w:lineRule="exact"/>
              <w:rPr>
                <w:rFonts w:hint="eastAsia"/>
                <w:color w:val="auto"/>
                <w:sz w:val="24"/>
                <w:szCs w:val="24"/>
                <w:highlight w:val="none"/>
                <w:lang w:val="en-US" w:eastAsia="zh-CN"/>
              </w:rPr>
            </w:pPr>
          </w:p>
          <w:p w14:paraId="486AFF17">
            <w:pPr>
              <w:spacing w:line="380" w:lineRule="exact"/>
              <w:rPr>
                <w:rFonts w:hint="eastAsia"/>
                <w:color w:val="auto"/>
                <w:sz w:val="24"/>
                <w:szCs w:val="24"/>
                <w:highlight w:val="none"/>
                <w:lang w:val="en-US" w:eastAsia="zh-CN"/>
              </w:rPr>
            </w:pPr>
          </w:p>
          <w:p w14:paraId="5F564087">
            <w:pPr>
              <w:spacing w:line="380" w:lineRule="exact"/>
              <w:rPr>
                <w:rFonts w:hint="eastAsia"/>
                <w:color w:val="auto"/>
                <w:sz w:val="24"/>
                <w:szCs w:val="24"/>
                <w:highlight w:val="none"/>
                <w:lang w:val="en-US" w:eastAsia="zh-CN"/>
              </w:rPr>
            </w:pPr>
          </w:p>
          <w:p w14:paraId="79DF9BD4">
            <w:pPr>
              <w:spacing w:line="380" w:lineRule="exact"/>
              <w:rPr>
                <w:rFonts w:hint="eastAsia"/>
                <w:color w:val="auto"/>
                <w:sz w:val="24"/>
                <w:szCs w:val="24"/>
                <w:highlight w:val="none"/>
                <w:lang w:val="en-US" w:eastAsia="zh-CN"/>
              </w:rPr>
            </w:pPr>
          </w:p>
          <w:p w14:paraId="0B04AF9F">
            <w:pPr>
              <w:spacing w:line="380" w:lineRule="exact"/>
              <w:rPr>
                <w:rFonts w:hint="eastAsia"/>
                <w:color w:val="auto"/>
                <w:sz w:val="24"/>
                <w:szCs w:val="24"/>
                <w:highlight w:val="none"/>
                <w:lang w:val="en-US" w:eastAsia="zh-CN"/>
              </w:rPr>
            </w:pPr>
          </w:p>
          <w:p w14:paraId="531FECEE">
            <w:pPr>
              <w:spacing w:line="380" w:lineRule="exact"/>
              <w:rPr>
                <w:rFonts w:hint="eastAsia"/>
                <w:color w:val="auto"/>
                <w:sz w:val="24"/>
                <w:szCs w:val="24"/>
                <w:highlight w:val="none"/>
                <w:lang w:val="en-US" w:eastAsia="zh-CN"/>
              </w:rPr>
            </w:pPr>
          </w:p>
          <w:p w14:paraId="288E043D">
            <w:pPr>
              <w:spacing w:line="380" w:lineRule="exact"/>
              <w:rPr>
                <w:rFonts w:hint="eastAsia"/>
                <w:color w:val="auto"/>
                <w:sz w:val="24"/>
                <w:szCs w:val="24"/>
                <w:highlight w:val="none"/>
                <w:lang w:val="en-US" w:eastAsia="zh-CN"/>
              </w:rPr>
            </w:pPr>
          </w:p>
          <w:p w14:paraId="6057C665">
            <w:pPr>
              <w:spacing w:line="380" w:lineRule="exact"/>
              <w:rPr>
                <w:rFonts w:hint="eastAsia"/>
                <w:color w:val="auto"/>
                <w:sz w:val="24"/>
                <w:szCs w:val="24"/>
                <w:highlight w:val="none"/>
                <w:lang w:val="en-US" w:eastAsia="zh-CN"/>
              </w:rPr>
            </w:pPr>
          </w:p>
          <w:p w14:paraId="33BD6BCA">
            <w:pPr>
              <w:spacing w:line="380" w:lineRule="exact"/>
              <w:rPr>
                <w:rFonts w:hint="eastAsia"/>
                <w:color w:val="auto"/>
                <w:sz w:val="24"/>
                <w:szCs w:val="24"/>
                <w:highlight w:val="none"/>
                <w:lang w:val="en-US" w:eastAsia="zh-CN"/>
              </w:rPr>
            </w:pPr>
          </w:p>
          <w:p w14:paraId="5D9518B8">
            <w:pPr>
              <w:spacing w:line="380" w:lineRule="exact"/>
              <w:rPr>
                <w:rFonts w:hint="eastAsia"/>
                <w:color w:val="auto"/>
                <w:sz w:val="24"/>
                <w:szCs w:val="24"/>
                <w:highlight w:val="none"/>
                <w:lang w:val="en-US" w:eastAsia="zh-CN"/>
              </w:rPr>
            </w:pPr>
          </w:p>
          <w:p w14:paraId="7FFF8BF8">
            <w:pPr>
              <w:spacing w:line="380" w:lineRule="exact"/>
              <w:rPr>
                <w:rFonts w:hint="eastAsia"/>
                <w:color w:val="auto"/>
                <w:sz w:val="24"/>
                <w:szCs w:val="24"/>
                <w:highlight w:val="none"/>
                <w:lang w:val="en-US" w:eastAsia="zh-CN"/>
              </w:rPr>
            </w:pPr>
          </w:p>
          <w:p w14:paraId="0F8E7866">
            <w:pPr>
              <w:spacing w:line="380" w:lineRule="exact"/>
              <w:rPr>
                <w:rFonts w:hint="eastAsia"/>
                <w:color w:val="auto"/>
                <w:sz w:val="24"/>
                <w:szCs w:val="24"/>
                <w:highlight w:val="none"/>
                <w:lang w:val="en-US" w:eastAsia="zh-CN"/>
              </w:rPr>
            </w:pPr>
          </w:p>
          <w:p w14:paraId="407CCB05">
            <w:pPr>
              <w:spacing w:line="380" w:lineRule="exact"/>
              <w:rPr>
                <w:rFonts w:hint="eastAsia"/>
                <w:color w:val="auto"/>
                <w:sz w:val="24"/>
                <w:szCs w:val="24"/>
                <w:highlight w:val="none"/>
                <w:lang w:val="en-US" w:eastAsia="zh-CN"/>
              </w:rPr>
            </w:pPr>
          </w:p>
          <w:p w14:paraId="6AD02286">
            <w:pPr>
              <w:spacing w:line="380" w:lineRule="exact"/>
              <w:rPr>
                <w:rFonts w:hint="eastAsia"/>
                <w:color w:val="auto"/>
                <w:sz w:val="24"/>
                <w:szCs w:val="24"/>
                <w:highlight w:val="none"/>
                <w:lang w:val="en-US" w:eastAsia="zh-CN"/>
              </w:rPr>
            </w:pPr>
          </w:p>
          <w:p w14:paraId="11E39BA5">
            <w:pPr>
              <w:spacing w:line="380" w:lineRule="exact"/>
              <w:rPr>
                <w:rFonts w:hint="eastAsia"/>
                <w:color w:val="auto"/>
                <w:sz w:val="24"/>
                <w:szCs w:val="24"/>
                <w:highlight w:val="none"/>
                <w:lang w:val="en-US" w:eastAsia="zh-CN"/>
              </w:rPr>
            </w:pPr>
          </w:p>
          <w:p w14:paraId="4A2EDD6A">
            <w:pPr>
              <w:spacing w:line="380" w:lineRule="exact"/>
              <w:rPr>
                <w:rFonts w:hint="eastAsia" w:eastAsia="宋体"/>
                <w:color w:val="auto"/>
                <w:sz w:val="24"/>
                <w:szCs w:val="24"/>
                <w:highlight w:val="none"/>
                <w:lang w:val="en-US" w:eastAsia="zh-CN"/>
              </w:rPr>
            </w:pPr>
            <w:r>
              <w:rPr>
                <w:rFonts w:hint="eastAsia"/>
                <w:color w:val="auto"/>
                <w:sz w:val="24"/>
                <w:szCs w:val="24"/>
                <w:highlight w:val="none"/>
                <w:lang w:val="en-US" w:eastAsia="zh-CN"/>
              </w:rPr>
              <w:t>1</w:t>
            </w:r>
          </w:p>
        </w:tc>
        <w:tc>
          <w:tcPr>
            <w:tcW w:w="1282" w:type="dxa"/>
            <w:gridSpan w:val="2"/>
            <w:vAlign w:val="center"/>
          </w:tcPr>
          <w:p w14:paraId="64228DA2">
            <w:pPr>
              <w:spacing w:line="380" w:lineRule="exact"/>
              <w:jc w:val="center"/>
              <w:rPr>
                <w:rFonts w:hint="eastAsia"/>
                <w:color w:val="auto"/>
                <w:sz w:val="24"/>
                <w:szCs w:val="24"/>
                <w:highlight w:val="none"/>
              </w:rPr>
            </w:pPr>
            <w:r>
              <w:rPr>
                <w:rFonts w:hint="eastAsia"/>
                <w:color w:val="auto"/>
                <w:sz w:val="21"/>
                <w:szCs w:val="21"/>
                <w:highlight w:val="none"/>
                <w:lang w:eastAsia="zh-CN"/>
              </w:rPr>
              <w:t>床上用品</w:t>
            </w:r>
            <w:r>
              <w:rPr>
                <w:rFonts w:hint="eastAsia"/>
                <w:color w:val="auto"/>
                <w:sz w:val="21"/>
                <w:szCs w:val="21"/>
                <w:highlight w:val="none"/>
              </w:rPr>
              <w:t>四件套</w:t>
            </w:r>
          </w:p>
        </w:tc>
        <w:tc>
          <w:tcPr>
            <w:tcW w:w="5373" w:type="dxa"/>
          </w:tcPr>
          <w:p w14:paraId="4C274FE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主要技术参数</w:t>
            </w:r>
          </w:p>
          <w:p w14:paraId="3EDD3E2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床上用品四件套：</w:t>
            </w:r>
          </w:p>
          <w:p w14:paraId="3C195C3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1.规格尺寸：被套200cm*230cm；床单230cm*250cm；枕套48cm*74cm*2对(允差±5cm)；</w:t>
            </w:r>
          </w:p>
          <w:p w14:paraId="6822B7B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★2.重量(一套)：3.40KG(允差士5%)；</w:t>
            </w:r>
          </w:p>
          <w:p w14:paraId="36B76F1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★3.面料成分：棉100%；</w:t>
            </w:r>
          </w:p>
          <w:p w14:paraId="38E419B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★4.单位面积公定质量：148g/m(允差±3%)；</w:t>
            </w:r>
          </w:p>
          <w:p w14:paraId="06D79E2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★5.耐干摩擦色牢度：≥4-5级；耐湿摩擦色牢度:≥4级；</w:t>
            </w:r>
          </w:p>
          <w:p w14:paraId="5581D0B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★6.耐皂洗色牢度：≥4级；</w:t>
            </w:r>
          </w:p>
          <w:p w14:paraId="229BE27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★7.耐汗渍(酸)、(碱)：≥4级；</w:t>
            </w:r>
          </w:p>
          <w:p w14:paraId="4080B84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★8.断裂强力：经向≥800N；纬向≥300N；</w:t>
            </w:r>
          </w:p>
          <w:p w14:paraId="64CBE23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★9.顶破强力：≥600N；</w:t>
            </w:r>
          </w:p>
          <w:p w14:paraId="3EE2164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★10.机织物密度：经纱密度820根/10cm(允差士5根)；纬纱密度365根/10cm(允差±5根)；</w:t>
            </w:r>
          </w:p>
          <w:p w14:paraId="7292D386">
            <w:pPr>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★11.织物纱线线密度：经纱≥11tex，纬纱≥11tex；</w:t>
            </w:r>
          </w:p>
          <w:p w14:paraId="62F4E57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★12.甲醛：未检出；</w:t>
            </w:r>
          </w:p>
          <w:p w14:paraId="753DB6E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★13.PH值：4.0-8.5；</w:t>
            </w:r>
          </w:p>
          <w:p w14:paraId="250CD0F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★14.可分解致癌芳香胺染料;未检出；</w:t>
            </w:r>
          </w:p>
          <w:p w14:paraId="4D69E95F">
            <w:pPr>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★15.缝纫质量：轨迹均匀、直、牢固，卷边拼缝平服齐直，不露毛，面料缝制错位小于1cm，接针套正，边口处打回针；</w:t>
            </w:r>
          </w:p>
          <w:p w14:paraId="6EBF9A4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16.款式：刺绣工艺款式；</w:t>
            </w:r>
          </w:p>
          <w:p w14:paraId="0FF7B5B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17.检验依据:GB/T22796-2021，投标时需提供第三方检测(验)机构出具的有效检测(验)报告复印件，检测(验)结果必须满足标注“★”号条款参数要求。</w:t>
            </w:r>
          </w:p>
          <w:p w14:paraId="3BCDE68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二、慰问信:</w:t>
            </w:r>
          </w:p>
          <w:p w14:paraId="3706E8EF">
            <w:pPr>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1、规格：250*210mm：200克铜板纸4色彩印。</w:t>
            </w:r>
          </w:p>
          <w:p w14:paraId="6FFF6B14">
            <w:pPr>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2、慰问信印刷图文按要求制作完成。慰问信印刷图文围绕实际情况，按要求制作完成，设计印刷方案需要通过采购人确认方可印制。</w:t>
            </w:r>
          </w:p>
          <w:p w14:paraId="2C668800">
            <w:pPr>
              <w:spacing w:line="380" w:lineRule="exact"/>
              <w:rPr>
                <w:rFonts w:hint="eastAsia"/>
                <w:color w:val="auto"/>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包装要求：精美礼品盒+手提袋包装，包装按采购方需求印制logo及图文内容，手提袋表面印有“中共桂林市委员会桂林市人大常委会桂林市人民政府政协桂林市委员会赠”和“2025年·春节”字样。</w:t>
            </w:r>
          </w:p>
        </w:tc>
        <w:tc>
          <w:tcPr>
            <w:tcW w:w="750" w:type="dxa"/>
            <w:vAlign w:val="center"/>
          </w:tcPr>
          <w:p w14:paraId="63D41A5A">
            <w:pPr>
              <w:spacing w:line="38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600</w:t>
            </w:r>
          </w:p>
        </w:tc>
        <w:tc>
          <w:tcPr>
            <w:tcW w:w="818" w:type="dxa"/>
            <w:vAlign w:val="center"/>
          </w:tcPr>
          <w:p w14:paraId="539F4EF5">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套</w:t>
            </w:r>
          </w:p>
        </w:tc>
        <w:tc>
          <w:tcPr>
            <w:tcW w:w="1200" w:type="dxa"/>
            <w:vAlign w:val="center"/>
          </w:tcPr>
          <w:p w14:paraId="389E03B1">
            <w:pPr>
              <w:spacing w:line="380" w:lineRule="exact"/>
              <w:ind w:firstLine="210" w:firstLineChars="1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p>
        </w:tc>
      </w:tr>
      <w:tr w14:paraId="325F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9" w:type="dxa"/>
            <w:gridSpan w:val="7"/>
            <w:vAlign w:val="top"/>
          </w:tcPr>
          <w:p w14:paraId="6D94A533">
            <w:pPr>
              <w:pStyle w:val="30"/>
              <w:ind w:left="0" w:leftChars="0" w:firstLine="211" w:firstLineChars="100"/>
              <w:rPr>
                <w:rFonts w:hint="eastAsia" w:ascii="宋体" w:hAnsi="宋体" w:eastAsia="宋体" w:cs="宋体"/>
                <w:b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商务要求（均为实质性要求，不允许负偏离）服务承诺书中与商务要求不一致时，以商务要求为准。</w:t>
            </w:r>
          </w:p>
        </w:tc>
      </w:tr>
      <w:tr w14:paraId="4F09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gridSpan w:val="2"/>
            <w:vAlign w:val="top"/>
          </w:tcPr>
          <w:p w14:paraId="245AEFD1">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color w:val="auto"/>
                <w:sz w:val="21"/>
                <w:szCs w:val="21"/>
                <w:highlight w:val="none"/>
              </w:rPr>
              <w:t>售后服务要求</w:t>
            </w:r>
          </w:p>
        </w:tc>
        <w:tc>
          <w:tcPr>
            <w:tcW w:w="8342" w:type="dxa"/>
            <w:gridSpan w:val="5"/>
            <w:vAlign w:val="top"/>
          </w:tcPr>
          <w:p w14:paraId="2FA3DEA6">
            <w:pPr>
              <w:pStyle w:val="30"/>
              <w:ind w:left="0" w:leftChars="0"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一、质保期：按国家有关产品“三包”规定执行“三包”，质保期</w:t>
            </w:r>
            <w:r>
              <w:rPr>
                <w:rFonts w:hint="eastAsia" w:ascii="宋体" w:hAnsi="宋体" w:cs="宋体"/>
                <w:b w:val="0"/>
                <w:bCs/>
                <w:color w:val="auto"/>
                <w:sz w:val="21"/>
                <w:szCs w:val="21"/>
                <w:highlight w:val="none"/>
                <w:lang w:val="en-US" w:eastAsia="zh-CN"/>
              </w:rPr>
              <w:t>不少于3个月</w:t>
            </w:r>
            <w:r>
              <w:rPr>
                <w:rFonts w:hint="eastAsia" w:ascii="宋体" w:hAnsi="宋体" w:eastAsia="宋体" w:cs="宋体"/>
                <w:b w:val="0"/>
                <w:bCs/>
                <w:color w:val="auto"/>
                <w:sz w:val="21"/>
                <w:szCs w:val="21"/>
                <w:highlight w:val="none"/>
                <w:lang w:val="en-US" w:eastAsia="zh-CN"/>
              </w:rPr>
              <w:t>，自验收合格之日起计。</w:t>
            </w:r>
          </w:p>
          <w:p w14:paraId="22F7E831">
            <w:pPr>
              <w:pStyle w:val="30"/>
              <w:ind w:left="0" w:leftChars="0"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二、售后服务的内容和措施：</w:t>
            </w:r>
          </w:p>
          <w:p w14:paraId="2D055B34">
            <w:pPr>
              <w:pStyle w:val="30"/>
              <w:ind w:left="0" w:leftChars="0"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1、采购范围内的货物免费送货上门、免费卸货发放至采购人指定地点（涉及多个地点）。</w:t>
            </w:r>
          </w:p>
          <w:p w14:paraId="08B12E79">
            <w:pPr>
              <w:pStyle w:val="30"/>
              <w:ind w:left="0" w:leftChars="0" w:firstLine="0" w:firstLineChars="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2、提供售后服务联系电话及联系人，提供24小时的使用咨询服务，质保期内接到报障电话后在1个小时内响应，12小时内上门解决问题。</w:t>
            </w:r>
          </w:p>
        </w:tc>
      </w:tr>
      <w:tr w14:paraId="09B5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gridSpan w:val="2"/>
            <w:vAlign w:val="top"/>
          </w:tcPr>
          <w:p w14:paraId="3F8C8770">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color w:val="auto"/>
                <w:sz w:val="21"/>
                <w:szCs w:val="21"/>
                <w:highlight w:val="none"/>
              </w:rPr>
              <w:t>交付使用时间及地点及验收</w:t>
            </w:r>
          </w:p>
        </w:tc>
        <w:tc>
          <w:tcPr>
            <w:tcW w:w="8342" w:type="dxa"/>
            <w:gridSpan w:val="5"/>
            <w:vAlign w:val="top"/>
          </w:tcPr>
          <w:p w14:paraId="4F4AB4FA">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交付使用期及地点：</w:t>
            </w:r>
          </w:p>
          <w:p w14:paraId="4C84E1D7">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1、交付使用期：由于物品发放时间紧急,在2025年1月22日前完成交付并送达指定地点，不能延期，如果延期将按违约处理。</w:t>
            </w:r>
          </w:p>
          <w:p w14:paraId="1B9FDDAA">
            <w:pPr>
              <w:pStyle w:val="30"/>
              <w:ind w:left="0" w:leftChars="0" w:firstLine="0" w:firstLineChars="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2、交货地点：广西桂林市采购人指定地点（涉及多个地点）。</w:t>
            </w:r>
          </w:p>
        </w:tc>
      </w:tr>
      <w:tr w14:paraId="6963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gridSpan w:val="2"/>
            <w:vAlign w:val="top"/>
          </w:tcPr>
          <w:p w14:paraId="662D14D2">
            <w:pPr>
              <w:adjustRightInd w:val="0"/>
              <w:spacing w:line="396"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付款方式</w:t>
            </w:r>
          </w:p>
        </w:tc>
        <w:tc>
          <w:tcPr>
            <w:tcW w:w="8342" w:type="dxa"/>
            <w:gridSpan w:val="5"/>
            <w:vAlign w:val="top"/>
          </w:tcPr>
          <w:p w14:paraId="31AF2C37">
            <w:pPr>
              <w:adjustRightInd w:val="0"/>
              <w:spacing w:line="396" w:lineRule="exac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本项目无预付款，</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供应商交货，货物经采购人验收合格，送货到采购人指定地点，提供全额正规合法含税发票后，采购人在10个工作日内一次性付清合同款项。</w:t>
            </w:r>
          </w:p>
        </w:tc>
      </w:tr>
      <w:tr w14:paraId="1899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gridSpan w:val="2"/>
            <w:vAlign w:val="top"/>
          </w:tcPr>
          <w:p w14:paraId="2CCA9BD9">
            <w:pPr>
              <w:adjustRightInd w:val="0"/>
              <w:spacing w:line="396"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验收标准</w:t>
            </w:r>
          </w:p>
        </w:tc>
        <w:tc>
          <w:tcPr>
            <w:tcW w:w="8342" w:type="dxa"/>
            <w:gridSpan w:val="5"/>
            <w:vAlign w:val="top"/>
          </w:tcPr>
          <w:p w14:paraId="19272533">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1、符合我国国家有关技术规范和技术标准。</w:t>
            </w:r>
          </w:p>
          <w:p w14:paraId="3C5BEE2A">
            <w:pPr>
              <w:adjustRightInd w:val="0"/>
              <w:spacing w:line="396" w:lineRule="exac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2、邀请国家认可且具有检测（验）资质的第三方检测（验）机构的有关技术专家参与验收，验收不合格的采购人不予签收，由此造成的一切后果及费用由</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供应商承担。</w:t>
            </w:r>
          </w:p>
        </w:tc>
      </w:tr>
      <w:tr w14:paraId="727C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gridSpan w:val="2"/>
            <w:vAlign w:val="top"/>
          </w:tcPr>
          <w:p w14:paraId="6A7EE06D">
            <w:pPr>
              <w:adjustRightInd w:val="0"/>
              <w:spacing w:line="396"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其他要求</w:t>
            </w:r>
          </w:p>
        </w:tc>
        <w:tc>
          <w:tcPr>
            <w:tcW w:w="8342" w:type="dxa"/>
            <w:gridSpan w:val="5"/>
            <w:vAlign w:val="top"/>
          </w:tcPr>
          <w:p w14:paraId="5EF230C0">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1、响应产品必须是原厂生产的全新合格产品，产品质量须符合国家相关标准及安全规范。</w:t>
            </w:r>
          </w:p>
          <w:p w14:paraId="217CA94F">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2、到货后，</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供应商和采购人应在现场进行清点；清点过程中如果发现因包装或运输不当引起的损坏，供货商应负责更换；若发现错发/漏发情况，供货商应一周内更换和补发。</w:t>
            </w:r>
          </w:p>
          <w:p w14:paraId="2F837A3C">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3、签订合同后供货时，</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须提供检测（验）报告原件【包括但不限于检测（验）报告原件、检测机构联系方式、检测机构开据的发票原件】及评分因素中用于加分的证件原件供采购单位核查，核查未通过或不能提供原件的，采购人将按虚假应标上报相关监督管理部门进行处理。采购人保留追究</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供应商相关法律责任的权利。</w:t>
            </w:r>
          </w:p>
          <w:p w14:paraId="1312C3B1">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供应商供货前将慰问信设计终稿提供给采购人审核，经采购人同意后方可生产，否则采购人有权拒绝验收，由此造成的一切后果及损失均由</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供应商自行承担。</w:t>
            </w:r>
          </w:p>
          <w:p w14:paraId="21C64488">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5、采购人对</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产品按采购需求逐条核验，如</w:t>
            </w:r>
            <w:r>
              <w:rPr>
                <w:rFonts w:hint="eastAsia" w:ascii="宋体" w:hAnsi="宋体" w:cs="宋体"/>
                <w:b w:val="0"/>
                <w:bCs/>
                <w:color w:val="auto"/>
                <w:kern w:val="2"/>
                <w:sz w:val="21"/>
                <w:szCs w:val="21"/>
                <w:highlight w:val="none"/>
                <w:lang w:val="en-US" w:eastAsia="zh-CN" w:bidi="ar-SA"/>
              </w:rPr>
              <w:t>投标</w:t>
            </w:r>
            <w:r>
              <w:rPr>
                <w:rFonts w:hint="eastAsia" w:ascii="宋体" w:hAnsi="宋体" w:eastAsia="宋体" w:cs="宋体"/>
                <w:b w:val="0"/>
                <w:bCs/>
                <w:color w:val="auto"/>
                <w:kern w:val="2"/>
                <w:sz w:val="21"/>
                <w:szCs w:val="21"/>
                <w:highlight w:val="none"/>
                <w:lang w:val="en-US" w:eastAsia="zh-CN" w:bidi="ar-SA"/>
              </w:rPr>
              <w:t>文件技术规格及商务偏离表中承诺的参数与产品实际参数不一致，采购人将不予接收，由此造成的损失由</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供应商负责。</w:t>
            </w:r>
          </w:p>
          <w:p w14:paraId="326E879D">
            <w:pPr>
              <w:adjustRightInd w:val="0"/>
              <w:spacing w:line="396"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6、为确保慰问品质量，采购人收到</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供应商所有货物后，将随机抽样交由第三方质检部门进行检测，复检合格后予以验收。如成交产品复检结果不符合要求的，采购人有权拒绝验收，并全部退货，由此造成的一切后果均由</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供应商自行承担。</w:t>
            </w:r>
          </w:p>
          <w:p w14:paraId="6463784A">
            <w:pPr>
              <w:adjustRightInd w:val="0"/>
              <w:spacing w:line="396" w:lineRule="exac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7、</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供应商如虚假应标，一经查实，将按虚假应标处理，由此造成的一切损失由</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供应商承担，且采购人保留追究其法律责任的权利。</w:t>
            </w:r>
          </w:p>
        </w:tc>
      </w:tr>
      <w:tr w14:paraId="2B23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gridSpan w:val="2"/>
            <w:vAlign w:val="top"/>
          </w:tcPr>
          <w:p w14:paraId="2E8D94F2">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color w:val="auto"/>
                <w:kern w:val="0"/>
                <w:szCs w:val="21"/>
                <w:highlight w:val="none"/>
              </w:rPr>
              <w:t>注意事项</w:t>
            </w:r>
          </w:p>
        </w:tc>
        <w:tc>
          <w:tcPr>
            <w:tcW w:w="8342" w:type="dxa"/>
            <w:gridSpan w:val="5"/>
            <w:vAlign w:val="top"/>
          </w:tcPr>
          <w:p w14:paraId="106FD55D">
            <w:pPr>
              <w:adjustRightInd w:val="0"/>
              <w:spacing w:line="396" w:lineRule="exact"/>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1、本项目政府采购预算金额为人民币</w:t>
            </w:r>
            <w:r>
              <w:rPr>
                <w:rFonts w:hint="eastAsia" w:ascii="宋体" w:hAnsi="宋体" w:eastAsia="宋体" w:cs="宋体"/>
                <w:b w:val="0"/>
                <w:bCs/>
                <w:color w:val="auto"/>
                <w:kern w:val="0"/>
                <w:szCs w:val="21"/>
                <w:highlight w:val="none"/>
                <w:lang w:val="en-US" w:eastAsia="zh-CN"/>
              </w:rPr>
              <w:t>3</w:t>
            </w:r>
            <w:r>
              <w:rPr>
                <w:rFonts w:hint="eastAsia" w:ascii="宋体" w:hAnsi="宋体" w:eastAsia="宋体" w:cs="宋体"/>
                <w:b w:val="0"/>
                <w:bCs/>
                <w:color w:val="auto"/>
                <w:szCs w:val="21"/>
                <w:highlight w:val="none"/>
              </w:rPr>
              <w:t>00</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color w:val="auto"/>
                <w:szCs w:val="21"/>
                <w:highlight w:val="none"/>
              </w:rPr>
              <w:t>0</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color w:val="auto"/>
                <w:kern w:val="0"/>
                <w:szCs w:val="21"/>
                <w:highlight w:val="none"/>
              </w:rPr>
              <w:t>.00元，</w:t>
            </w:r>
            <w:r>
              <w:rPr>
                <w:rFonts w:hint="eastAsia" w:ascii="宋体" w:hAnsi="宋体" w:cs="宋体"/>
                <w:b w:val="0"/>
                <w:bCs/>
                <w:color w:val="auto"/>
                <w:kern w:val="0"/>
                <w:szCs w:val="21"/>
                <w:highlight w:val="none"/>
                <w:lang w:val="en-US" w:eastAsia="zh-CN"/>
              </w:rPr>
              <w:t>投标</w:t>
            </w:r>
            <w:r>
              <w:rPr>
                <w:rFonts w:hint="eastAsia" w:ascii="宋体" w:hAnsi="宋体" w:eastAsia="宋体" w:cs="宋体"/>
                <w:b w:val="0"/>
                <w:bCs/>
                <w:color w:val="auto"/>
                <w:kern w:val="0"/>
                <w:szCs w:val="21"/>
                <w:highlight w:val="none"/>
              </w:rPr>
              <w:t>报价超出采购预算金额的，</w:t>
            </w:r>
            <w:r>
              <w:rPr>
                <w:rFonts w:hint="eastAsia" w:ascii="宋体" w:hAnsi="宋体" w:eastAsia="宋体" w:cs="宋体"/>
                <w:b w:val="0"/>
                <w:bCs/>
                <w:color w:val="auto"/>
                <w:szCs w:val="21"/>
                <w:highlight w:val="none"/>
              </w:rPr>
              <w:t>响应文件作无效处理</w:t>
            </w:r>
            <w:r>
              <w:rPr>
                <w:rFonts w:hint="eastAsia" w:ascii="宋体" w:hAnsi="宋体" w:eastAsia="宋体" w:cs="宋体"/>
                <w:b w:val="0"/>
                <w:bCs/>
                <w:color w:val="auto"/>
                <w:kern w:val="0"/>
                <w:szCs w:val="21"/>
                <w:highlight w:val="none"/>
              </w:rPr>
              <w:t>。</w:t>
            </w:r>
          </w:p>
          <w:p w14:paraId="751B7166">
            <w:pPr>
              <w:adjustRightInd w:val="0"/>
              <w:spacing w:line="396" w:lineRule="exact"/>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2、本项目核心产品为</w:t>
            </w:r>
            <w:r>
              <w:rPr>
                <w:rFonts w:hint="eastAsia" w:ascii="宋体" w:hAnsi="宋体" w:eastAsia="宋体" w:cs="宋体"/>
                <w:b w:val="0"/>
                <w:bCs/>
                <w:color w:val="auto"/>
                <w:kern w:val="0"/>
                <w:szCs w:val="21"/>
                <w:highlight w:val="none"/>
                <w:lang w:eastAsia="zh-CN"/>
              </w:rPr>
              <w:t>床上用品</w:t>
            </w:r>
            <w:r>
              <w:rPr>
                <w:rFonts w:hint="eastAsia" w:ascii="宋体" w:hAnsi="宋体" w:eastAsia="宋体" w:cs="宋体"/>
                <w:b w:val="0"/>
                <w:bCs/>
                <w:color w:val="auto"/>
                <w:kern w:val="0"/>
                <w:szCs w:val="21"/>
                <w:highlight w:val="none"/>
              </w:rPr>
              <w:t>四件套。</w:t>
            </w:r>
          </w:p>
          <w:p w14:paraId="58852902">
            <w:pPr>
              <w:pStyle w:val="30"/>
              <w:ind w:left="0" w:leftChars="0" w:firstLine="0" w:firstLineChars="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3、本项目货物不接受进口产品（即通过中国海关报关验放进入中国境内且产自关境外的产品）参与投标，否则作无效投标（响应）处理。</w:t>
            </w:r>
          </w:p>
        </w:tc>
      </w:tr>
    </w:tbl>
    <w:p w14:paraId="2366903F">
      <w:pPr>
        <w:rPr>
          <w:rStyle w:val="75"/>
          <w:rFonts w:ascii="宋体" w:hAnsi="宋体" w:cs="宋体"/>
          <w:b w:val="0"/>
          <w:bCs w:val="0"/>
          <w:color w:val="auto"/>
          <w:highlight w:val="none"/>
        </w:rPr>
      </w:pPr>
      <w:r>
        <w:rPr>
          <w:rStyle w:val="75"/>
          <w:rFonts w:ascii="宋体" w:hAnsi="宋体" w:cs="宋体"/>
          <w:color w:val="auto"/>
          <w:highlight w:val="none"/>
        </w:rPr>
        <w:br w:type="page"/>
      </w:r>
    </w:p>
    <w:p w14:paraId="01AD89D4">
      <w:pPr>
        <w:pStyle w:val="28"/>
        <w:numPr>
          <w:ilvl w:val="0"/>
          <w:numId w:val="3"/>
        </w:numPr>
        <w:rPr>
          <w:rStyle w:val="75"/>
          <w:rFonts w:ascii="宋体" w:hAnsi="宋体" w:cs="宋体"/>
          <w:b w:val="0"/>
          <w:bCs w:val="0"/>
          <w:color w:val="auto"/>
          <w:highlight w:val="none"/>
        </w:rPr>
      </w:pPr>
      <w:r>
        <w:rPr>
          <w:rStyle w:val="75"/>
          <w:rFonts w:hint="eastAsia" w:ascii="宋体" w:hAnsi="宋体" w:cs="宋体"/>
          <w:b w:val="0"/>
          <w:bCs w:val="0"/>
          <w:color w:val="auto"/>
          <w:highlight w:val="none"/>
        </w:rPr>
        <w:t>评标办法</w:t>
      </w:r>
      <w:bookmarkEnd w:id="271"/>
      <w:bookmarkEnd w:id="272"/>
      <w:bookmarkEnd w:id="273"/>
    </w:p>
    <w:p w14:paraId="601FD46C">
      <w:pPr>
        <w:spacing w:line="360" w:lineRule="auto"/>
        <w:ind w:firstLine="424" w:firstLineChars="202"/>
        <w:jc w:val="center"/>
        <w:rPr>
          <w:color w:val="auto"/>
          <w:highlight w:val="none"/>
        </w:rPr>
      </w:pPr>
    </w:p>
    <w:p w14:paraId="3A6AA82A">
      <w:pPr>
        <w:ind w:firstLine="517" w:firstLineChars="245"/>
        <w:rPr>
          <w:rFonts w:hint="eastAsia" w:ascii="宋体" w:hAnsi="宋体"/>
          <w:b/>
          <w:bCs/>
          <w:color w:val="auto"/>
          <w:szCs w:val="21"/>
          <w:highlight w:val="none"/>
        </w:rPr>
      </w:pPr>
      <w:r>
        <w:rPr>
          <w:rFonts w:hint="eastAsia" w:ascii="宋体" w:hAnsi="宋体"/>
          <w:b/>
          <w:bCs/>
          <w:color w:val="auto"/>
          <w:szCs w:val="21"/>
          <w:highlight w:val="none"/>
        </w:rPr>
        <w:t>A分标评审办法</w:t>
      </w:r>
    </w:p>
    <w:p w14:paraId="44176695">
      <w:pPr>
        <w:pStyle w:val="17"/>
        <w:spacing w:line="480" w:lineRule="exact"/>
        <w:ind w:firstLine="413" w:firstLineChars="196"/>
        <w:rPr>
          <w:rFonts w:hint="eastAsia" w:hAnsi="宋体" w:cs="宋体"/>
          <w:b/>
          <w:bCs/>
          <w:color w:val="auto"/>
          <w:highlight w:val="none"/>
        </w:rPr>
      </w:pPr>
      <w:r>
        <w:rPr>
          <w:rFonts w:hint="eastAsia" w:hAnsi="宋体" w:cs="宋体"/>
          <w:b/>
          <w:bCs/>
          <w:color w:val="auto"/>
          <w:highlight w:val="none"/>
        </w:rPr>
        <w:t>一、评审原则</w:t>
      </w:r>
    </w:p>
    <w:p w14:paraId="25525FA8">
      <w:pPr>
        <w:pStyle w:val="17"/>
        <w:spacing w:line="480" w:lineRule="exact"/>
        <w:ind w:firstLine="420" w:firstLineChars="200"/>
        <w:rPr>
          <w:rFonts w:hint="eastAsia" w:hAnsi="宋体" w:cs="宋体"/>
          <w:color w:val="auto"/>
          <w:highlight w:val="none"/>
        </w:rPr>
      </w:pPr>
      <w:r>
        <w:rPr>
          <w:rFonts w:hint="eastAsia" w:hAnsi="宋体" w:cs="宋体"/>
          <w:color w:val="auto"/>
          <w:highlight w:val="none"/>
        </w:rPr>
        <w:t>1、评审依据：</w:t>
      </w:r>
      <w:r>
        <w:rPr>
          <w:rFonts w:hint="eastAsia" w:hAnsi="宋体" w:cs="宋体"/>
          <w:color w:val="auto"/>
          <w:highlight w:val="none"/>
          <w:lang w:val="en-US" w:eastAsia="zh-CN"/>
        </w:rPr>
        <w:t>评审</w:t>
      </w:r>
      <w:r>
        <w:rPr>
          <w:rFonts w:hint="eastAsia" w:hAnsi="宋体" w:cs="宋体"/>
          <w:color w:val="auto"/>
          <w:highlight w:val="none"/>
        </w:rPr>
        <w:t>小组以</w:t>
      </w:r>
      <w:r>
        <w:rPr>
          <w:rFonts w:hint="eastAsia" w:hAnsi="宋体" w:cs="宋体"/>
          <w:color w:val="auto"/>
          <w:highlight w:val="none"/>
          <w:lang w:val="en-US" w:eastAsia="zh-CN"/>
        </w:rPr>
        <w:t>招标</w:t>
      </w:r>
      <w:r>
        <w:rPr>
          <w:rFonts w:hint="eastAsia" w:hAnsi="宋体" w:cs="宋体"/>
          <w:color w:val="auto"/>
          <w:highlight w:val="none"/>
        </w:rPr>
        <w:t>文件和</w:t>
      </w:r>
      <w:r>
        <w:rPr>
          <w:rFonts w:hint="eastAsia" w:hAnsi="宋体" w:cs="宋体"/>
          <w:color w:val="auto"/>
          <w:highlight w:val="none"/>
          <w:lang w:val="en-US" w:eastAsia="zh-CN"/>
        </w:rPr>
        <w:t>投标</w:t>
      </w:r>
      <w:r>
        <w:rPr>
          <w:rFonts w:hint="eastAsia" w:hAnsi="宋体" w:cs="宋体"/>
          <w:color w:val="auto"/>
          <w:highlight w:val="none"/>
        </w:rPr>
        <w:t>文件为评审依据，对</w:t>
      </w:r>
      <w:r>
        <w:rPr>
          <w:rFonts w:hint="eastAsia" w:hAnsi="宋体" w:cs="宋体"/>
          <w:color w:val="auto"/>
          <w:highlight w:val="none"/>
          <w:lang w:val="en-US" w:eastAsia="zh-CN"/>
        </w:rPr>
        <w:t>投标</w:t>
      </w:r>
      <w:r>
        <w:rPr>
          <w:rFonts w:hint="eastAsia" w:hAnsi="宋体" w:cs="宋体"/>
          <w:color w:val="auto"/>
          <w:highlight w:val="none"/>
        </w:rPr>
        <w:t>供应商的价格、</w:t>
      </w:r>
      <w:r>
        <w:rPr>
          <w:rFonts w:hint="eastAsia" w:hAnsi="宋体" w:cs="宋体"/>
          <w:color w:val="auto"/>
          <w:kern w:val="0"/>
          <w:szCs w:val="21"/>
          <w:highlight w:val="none"/>
          <w:lang w:val="en-US" w:eastAsia="zh-CN"/>
        </w:rPr>
        <w:t>技术</w:t>
      </w:r>
      <w:r>
        <w:rPr>
          <w:rFonts w:hint="eastAsia" w:hAnsi="宋体" w:cs="宋体"/>
          <w:color w:val="auto"/>
          <w:highlight w:val="none"/>
        </w:rPr>
        <w:t>、</w:t>
      </w:r>
      <w:r>
        <w:rPr>
          <w:rFonts w:hint="eastAsia" w:hAnsi="宋体" w:cs="宋体"/>
          <w:color w:val="auto"/>
          <w:highlight w:val="none"/>
          <w:lang w:val="en-US" w:eastAsia="zh-CN"/>
        </w:rPr>
        <w:t>方案、售后服务</w:t>
      </w:r>
      <w:r>
        <w:rPr>
          <w:rFonts w:hint="eastAsia" w:hAnsi="宋体" w:cs="宋体"/>
          <w:color w:val="auto"/>
          <w:highlight w:val="none"/>
        </w:rPr>
        <w:t>、信誉等方面内容按百分制打分。</w:t>
      </w:r>
    </w:p>
    <w:p w14:paraId="6859E17C">
      <w:pPr>
        <w:pStyle w:val="17"/>
        <w:spacing w:line="480" w:lineRule="exact"/>
        <w:ind w:firstLine="420" w:firstLineChars="200"/>
        <w:rPr>
          <w:rFonts w:hint="eastAsia" w:hAnsi="宋体" w:cs="宋体"/>
          <w:color w:val="auto"/>
          <w:highlight w:val="none"/>
        </w:rPr>
      </w:pPr>
      <w:r>
        <w:rPr>
          <w:rFonts w:hint="eastAsia" w:hAnsi="宋体" w:cs="宋体"/>
          <w:color w:val="auto"/>
          <w:highlight w:val="none"/>
        </w:rPr>
        <w:t>2、评审方式：以封闭方式进行评审。</w:t>
      </w:r>
    </w:p>
    <w:p w14:paraId="02224ABF">
      <w:pPr>
        <w:pStyle w:val="17"/>
        <w:spacing w:line="480" w:lineRule="exact"/>
        <w:ind w:firstLine="420" w:firstLineChars="200"/>
        <w:rPr>
          <w:rFonts w:hint="eastAsia" w:hAnsi="宋体" w:cs="宋体"/>
          <w:color w:val="auto"/>
          <w:highlight w:val="none"/>
        </w:rPr>
      </w:pPr>
      <w:r>
        <w:rPr>
          <w:rFonts w:hint="eastAsia" w:hAnsi="宋体" w:cs="宋体"/>
          <w:color w:val="auto"/>
          <w:szCs w:val="21"/>
          <w:highlight w:val="none"/>
        </w:rPr>
        <w:t>3、</w:t>
      </w:r>
      <w:r>
        <w:rPr>
          <w:rFonts w:hint="eastAsia" w:hAnsi="宋体" w:cs="宋体"/>
          <w:color w:val="auto"/>
          <w:highlight w:val="none"/>
        </w:rPr>
        <w:t>根据财库〔2012〕69号文规定，采购人和采购代理机构、</w:t>
      </w:r>
      <w:r>
        <w:rPr>
          <w:rFonts w:hint="eastAsia" w:hAnsi="宋体" w:cs="宋体"/>
          <w:color w:val="auto"/>
          <w:highlight w:val="none"/>
          <w:lang w:val="en-US" w:eastAsia="zh-CN"/>
        </w:rPr>
        <w:t>评审</w:t>
      </w:r>
      <w:r>
        <w:rPr>
          <w:rFonts w:hint="eastAsia" w:hAnsi="宋体" w:cs="宋体"/>
          <w:color w:val="auto"/>
          <w:highlight w:val="none"/>
        </w:rPr>
        <w:t>小组成员要严格遵守政府采购相关法律制度，依法履行各自职责，公正、客观、审慎地组织和参与评审工作。</w:t>
      </w:r>
    </w:p>
    <w:p w14:paraId="4BC7F0C4">
      <w:pPr>
        <w:pStyle w:val="17"/>
        <w:spacing w:line="480" w:lineRule="exact"/>
        <w:ind w:firstLine="422" w:firstLineChars="200"/>
        <w:rPr>
          <w:rFonts w:hint="eastAsia" w:hAnsi="宋体" w:cs="宋体"/>
          <w:b/>
          <w:bCs/>
          <w:color w:val="auto"/>
          <w:highlight w:val="none"/>
        </w:rPr>
      </w:pPr>
      <w:r>
        <w:rPr>
          <w:rFonts w:hint="eastAsia" w:hAnsi="宋体" w:cs="宋体"/>
          <w:b/>
          <w:bCs/>
          <w:color w:val="auto"/>
          <w:highlight w:val="none"/>
        </w:rPr>
        <w:t>二、评审办法</w:t>
      </w:r>
    </w:p>
    <w:p w14:paraId="2726F0E9">
      <w:pPr>
        <w:pStyle w:val="17"/>
        <w:spacing w:line="480" w:lineRule="exact"/>
        <w:ind w:firstLine="420" w:firstLineChars="200"/>
        <w:rPr>
          <w:rFonts w:hint="eastAsia" w:hAnsi="宋体" w:cs="宋体"/>
          <w:bCs/>
          <w:color w:val="auto"/>
          <w:highlight w:val="none"/>
        </w:rPr>
      </w:pPr>
      <w:r>
        <w:rPr>
          <w:rFonts w:hint="eastAsia" w:hAnsi="宋体" w:cs="宋体"/>
          <w:bCs/>
          <w:color w:val="auto"/>
          <w:highlight w:val="none"/>
        </w:rPr>
        <w:t>（一）对进入详评的，采用综合评分法。</w:t>
      </w:r>
    </w:p>
    <w:p w14:paraId="72774DB8">
      <w:pPr>
        <w:pStyle w:val="17"/>
        <w:spacing w:line="480" w:lineRule="exact"/>
        <w:ind w:firstLine="420" w:firstLineChars="200"/>
        <w:rPr>
          <w:rFonts w:hint="eastAsia" w:hAnsi="宋体" w:cs="宋体"/>
          <w:bCs/>
          <w:color w:val="auto"/>
          <w:highlight w:val="none"/>
        </w:rPr>
      </w:pPr>
      <w:r>
        <w:rPr>
          <w:rFonts w:hint="eastAsia" w:hAnsi="宋体" w:cs="宋体"/>
          <w:bCs/>
          <w:color w:val="auto"/>
          <w:highlight w:val="none"/>
        </w:rPr>
        <w:t>（二）计分办法（按四舍五入取至小数点后二位）</w:t>
      </w:r>
    </w:p>
    <w:p w14:paraId="4B9FFD89">
      <w:pPr>
        <w:pStyle w:val="17"/>
        <w:spacing w:line="480" w:lineRule="exact"/>
        <w:ind w:firstLine="420"/>
        <w:rPr>
          <w:rFonts w:hint="eastAsia" w:hAnsi="宋体" w:cs="宋体"/>
          <w:b/>
          <w:bCs/>
          <w:color w:val="auto"/>
          <w:highlight w:val="none"/>
        </w:rPr>
      </w:pPr>
      <w:r>
        <w:rPr>
          <w:rFonts w:hint="eastAsia" w:hAnsi="宋体" w:cs="宋体"/>
          <w:b/>
          <w:color w:val="auto"/>
          <w:highlight w:val="none"/>
        </w:rPr>
        <w:t xml:space="preserve">1. </w:t>
      </w:r>
      <w:r>
        <w:rPr>
          <w:rFonts w:hint="eastAsia" w:hAnsi="宋体" w:cs="宋体"/>
          <w:b/>
          <w:bCs/>
          <w:color w:val="auto"/>
          <w:highlight w:val="none"/>
        </w:rPr>
        <w:t>价格分…………………………………………………………………………………满分</w:t>
      </w:r>
      <w:r>
        <w:rPr>
          <w:rFonts w:hint="eastAsia" w:hAnsi="宋体" w:cs="宋体"/>
          <w:b/>
          <w:bCs/>
          <w:color w:val="auto"/>
          <w:highlight w:val="none"/>
          <w:lang w:eastAsia="zh-CN"/>
        </w:rPr>
        <w:t>3</w:t>
      </w:r>
      <w:r>
        <w:rPr>
          <w:rFonts w:hint="eastAsia" w:hAnsi="宋体" w:cs="宋体"/>
          <w:b/>
          <w:bCs/>
          <w:color w:val="auto"/>
          <w:highlight w:val="none"/>
        </w:rPr>
        <w:t>0分</w:t>
      </w:r>
    </w:p>
    <w:p w14:paraId="178C1FF1">
      <w:pPr>
        <w:pStyle w:val="17"/>
        <w:spacing w:line="480" w:lineRule="exact"/>
        <w:ind w:firstLine="420"/>
        <w:rPr>
          <w:rFonts w:hint="eastAsia" w:hAnsi="宋体" w:cs="宋体"/>
          <w:color w:val="auto"/>
          <w:szCs w:val="21"/>
          <w:highlight w:val="none"/>
        </w:rPr>
      </w:pPr>
      <w:r>
        <w:rPr>
          <w:rFonts w:hint="eastAsia" w:hAnsi="宋体" w:cs="宋体"/>
          <w:bCs/>
          <w:color w:val="auto"/>
          <w:highlight w:val="none"/>
        </w:rPr>
        <w:t>以进入评标的最低的评标报价为</w:t>
      </w:r>
      <w:r>
        <w:rPr>
          <w:rFonts w:hint="eastAsia" w:hAnsi="宋体" w:cs="宋体"/>
          <w:bCs/>
          <w:color w:val="auto"/>
          <w:highlight w:val="none"/>
          <w:lang w:eastAsia="zh-CN"/>
        </w:rPr>
        <w:t>3</w:t>
      </w:r>
      <w:r>
        <w:rPr>
          <w:rFonts w:hint="eastAsia" w:hAnsi="宋体" w:cs="宋体"/>
          <w:bCs/>
          <w:color w:val="auto"/>
          <w:highlight w:val="none"/>
        </w:rPr>
        <w:t>0分</w:t>
      </w:r>
    </w:p>
    <w:p w14:paraId="7AA59826">
      <w:pPr>
        <w:pStyle w:val="17"/>
        <w:spacing w:line="480" w:lineRule="exact"/>
        <w:ind w:firstLine="420"/>
        <w:rPr>
          <w:rFonts w:hint="eastAsia" w:hAnsi="宋体" w:cs="宋体"/>
          <w:color w:val="auto"/>
          <w:szCs w:val="21"/>
          <w:highlight w:val="none"/>
        </w:rPr>
      </w:pPr>
      <w:r>
        <w:rPr>
          <w:rFonts w:hint="eastAsia" w:hAnsi="宋体" w:cs="宋体"/>
          <w:color w:val="auto"/>
          <w:szCs w:val="21"/>
          <w:highlight w:val="none"/>
        </w:rPr>
        <w:t xml:space="preserve">价格分计算公式： </w:t>
      </w:r>
    </w:p>
    <w:p w14:paraId="51BA9EEE">
      <w:pPr>
        <w:pStyle w:val="17"/>
        <w:spacing w:line="480" w:lineRule="exact"/>
        <w:ind w:firstLine="3150" w:firstLineChars="1500"/>
        <w:rPr>
          <w:rFonts w:hint="eastAsia" w:hAnsi="宋体" w:cs="宋体"/>
          <w:bCs/>
          <w:color w:val="auto"/>
          <w:highlight w:val="none"/>
        </w:rPr>
      </w:pPr>
      <w:r>
        <w:rPr>
          <w:rFonts w:hint="eastAsia" w:hAnsi="宋体" w:cs="宋体"/>
          <w:bCs/>
          <w:color w:val="auto"/>
          <w:highlight w:val="none"/>
        </w:rPr>
        <w:t>最低</w:t>
      </w:r>
      <w:r>
        <w:rPr>
          <w:rFonts w:hint="eastAsia" w:hAnsi="宋体" w:cs="宋体"/>
          <w:color w:val="auto"/>
          <w:highlight w:val="none"/>
          <w:lang w:val="en-US" w:eastAsia="zh-CN"/>
        </w:rPr>
        <w:t>投标</w:t>
      </w:r>
      <w:r>
        <w:rPr>
          <w:rFonts w:hint="eastAsia" w:hAnsi="宋体" w:cs="宋体"/>
          <w:color w:val="auto"/>
          <w:highlight w:val="none"/>
        </w:rPr>
        <w:t>供应商评审报价</w:t>
      </w:r>
      <w:r>
        <w:rPr>
          <w:rFonts w:hint="eastAsia" w:hAnsi="宋体" w:cs="宋体"/>
          <w:bCs/>
          <w:color w:val="auto"/>
          <w:highlight w:val="none"/>
        </w:rPr>
        <w:t xml:space="preserve">金额          </w:t>
      </w:r>
    </w:p>
    <w:p w14:paraId="10B55D23">
      <w:pPr>
        <w:pStyle w:val="17"/>
        <w:spacing w:line="480" w:lineRule="exact"/>
        <w:ind w:firstLine="420"/>
        <w:rPr>
          <w:rFonts w:hint="eastAsia" w:hAnsi="宋体" w:cs="宋体"/>
          <w:bCs/>
          <w:color w:val="auto"/>
          <w:highlight w:val="none"/>
        </w:rPr>
      </w:pPr>
      <w:r>
        <w:rPr>
          <w:rFonts w:hint="eastAsia" w:hAnsi="宋体" w:cs="宋体"/>
          <w:bCs/>
          <w:color w:val="auto"/>
          <w:highlight w:val="none"/>
        </w:rPr>
        <w:pict>
          <v:line id="Line 105" o:spid="_x0000_s2053" o:spt="20" style="position:absolute;left:0pt;margin-left:137.7pt;margin-top:9.85pt;height:0pt;width:173.2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9s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">
            <v:path arrowok="t"/>
            <v:fill focussize="0,0"/>
            <v:stroke/>
            <v:imagedata o:title=""/>
            <o:lock v:ext="edit"/>
          </v:line>
        </w:pict>
      </w:r>
      <w:r>
        <w:rPr>
          <w:rFonts w:hint="eastAsia" w:hAnsi="宋体" w:cs="宋体"/>
          <w:bCs/>
          <w:color w:val="auto"/>
          <w:highlight w:val="none"/>
        </w:rPr>
        <w:t xml:space="preserve">  </w:t>
      </w:r>
      <w:r>
        <w:rPr>
          <w:rFonts w:hint="eastAsia" w:hAnsi="宋体" w:cs="宋体"/>
          <w:color w:val="auto"/>
          <w:highlight w:val="none"/>
          <w:lang w:val="en-US" w:eastAsia="zh-CN"/>
        </w:rPr>
        <w:t>投标</w:t>
      </w:r>
      <w:r>
        <w:rPr>
          <w:rFonts w:hint="eastAsia" w:hAnsi="宋体" w:cs="宋体"/>
          <w:color w:val="auto"/>
          <w:highlight w:val="none"/>
        </w:rPr>
        <w:t>供应商</w:t>
      </w:r>
      <w:r>
        <w:rPr>
          <w:rFonts w:hint="eastAsia" w:hAnsi="宋体" w:cs="宋体"/>
          <w:bCs/>
          <w:color w:val="auto"/>
          <w:highlight w:val="none"/>
        </w:rPr>
        <w:t>价格分 =                                    ×</w:t>
      </w:r>
      <w:r>
        <w:rPr>
          <w:rFonts w:hint="eastAsia" w:hAnsi="宋体" w:cs="宋体"/>
          <w:bCs/>
          <w:color w:val="auto"/>
          <w:highlight w:val="none"/>
          <w:lang w:eastAsia="zh-CN"/>
        </w:rPr>
        <w:t>3</w:t>
      </w:r>
      <w:r>
        <w:rPr>
          <w:rFonts w:hint="eastAsia" w:hAnsi="宋体" w:cs="宋体"/>
          <w:bCs/>
          <w:color w:val="auto"/>
          <w:highlight w:val="none"/>
        </w:rPr>
        <w:t>0分</w:t>
      </w:r>
    </w:p>
    <w:p w14:paraId="4B9BBCED">
      <w:pPr>
        <w:pStyle w:val="17"/>
        <w:spacing w:line="480" w:lineRule="exact"/>
        <w:ind w:firstLine="420" w:firstLineChars="200"/>
        <w:rPr>
          <w:rFonts w:hint="eastAsia" w:hAnsi="宋体" w:cs="宋体"/>
          <w:b/>
          <w:color w:val="auto"/>
          <w:highlight w:val="none"/>
        </w:rPr>
      </w:pPr>
      <w:r>
        <w:rPr>
          <w:rFonts w:hint="eastAsia" w:hAnsi="宋体" w:cs="宋体"/>
          <w:bCs/>
          <w:color w:val="auto"/>
          <w:highlight w:val="none"/>
        </w:rPr>
        <w:t xml:space="preserve">                           </w:t>
      </w:r>
      <w:r>
        <w:rPr>
          <w:rFonts w:hint="eastAsia" w:hAnsi="宋体" w:cs="宋体"/>
          <w:color w:val="auto"/>
          <w:highlight w:val="none"/>
          <w:lang w:val="en-US" w:eastAsia="zh-CN"/>
        </w:rPr>
        <w:t>投标</w:t>
      </w:r>
      <w:r>
        <w:rPr>
          <w:rFonts w:hint="eastAsia" w:hAnsi="宋体" w:cs="宋体"/>
          <w:color w:val="auto"/>
          <w:highlight w:val="none"/>
        </w:rPr>
        <w:t>供应商评审报价</w:t>
      </w:r>
      <w:r>
        <w:rPr>
          <w:rFonts w:hint="eastAsia" w:hAnsi="宋体" w:cs="宋体"/>
          <w:bCs/>
          <w:color w:val="auto"/>
          <w:highlight w:val="none"/>
        </w:rPr>
        <w:t xml:space="preserve">金额 </w:t>
      </w:r>
    </w:p>
    <w:p w14:paraId="47607597">
      <w:pPr>
        <w:pStyle w:val="17"/>
        <w:spacing w:line="480" w:lineRule="exact"/>
        <w:ind w:firstLine="422" w:firstLineChars="200"/>
        <w:rPr>
          <w:rFonts w:hint="eastAsia" w:hAnsi="宋体" w:cs="宋体"/>
          <w:b/>
          <w:bCs/>
          <w:color w:val="auto"/>
          <w:szCs w:val="21"/>
          <w:highlight w:val="none"/>
        </w:rPr>
      </w:pPr>
      <w:r>
        <w:rPr>
          <w:rFonts w:hint="eastAsia" w:hAnsi="宋体" w:cs="宋体"/>
          <w:b/>
          <w:bCs/>
          <w:color w:val="auto"/>
          <w:szCs w:val="21"/>
          <w:highlight w:val="none"/>
        </w:rPr>
        <w:t xml:space="preserve">2 </w:t>
      </w:r>
      <w:r>
        <w:rPr>
          <w:rFonts w:hint="eastAsia" w:hAnsi="宋体" w:cs="宋体"/>
          <w:b/>
          <w:bCs/>
          <w:color w:val="auto"/>
          <w:szCs w:val="21"/>
          <w:highlight w:val="none"/>
          <w:lang w:eastAsia="zh-CN"/>
        </w:rPr>
        <w:t>技术</w:t>
      </w:r>
      <w:r>
        <w:rPr>
          <w:rFonts w:hint="eastAsia" w:hAnsi="宋体" w:cs="宋体"/>
          <w:b/>
          <w:bCs/>
          <w:color w:val="auto"/>
          <w:szCs w:val="21"/>
          <w:highlight w:val="none"/>
        </w:rPr>
        <w:t>分………………………………………</w:t>
      </w:r>
      <w:r>
        <w:rPr>
          <w:rFonts w:hAnsi="宋体" w:cs="宋体"/>
          <w:b/>
          <w:bCs/>
          <w:color w:val="auto"/>
          <w:szCs w:val="21"/>
          <w:highlight w:val="none"/>
          <w:lang w:eastAsia="zh-CN"/>
        </w:rPr>
        <w:t>…………</w:t>
      </w:r>
      <w:r>
        <w:rPr>
          <w:rFonts w:hint="eastAsia" w:hAnsi="宋体" w:cs="宋体"/>
          <w:b/>
          <w:bCs/>
          <w:color w:val="auto"/>
          <w:szCs w:val="21"/>
          <w:highlight w:val="none"/>
        </w:rPr>
        <w:t>………………………………… 满分</w:t>
      </w:r>
      <w:r>
        <w:rPr>
          <w:rFonts w:hint="eastAsia" w:hAnsi="宋体" w:cs="宋体"/>
          <w:b/>
          <w:bCs/>
          <w:color w:val="auto"/>
          <w:szCs w:val="21"/>
          <w:highlight w:val="none"/>
          <w:lang w:val="en-US" w:eastAsia="zh-CN"/>
        </w:rPr>
        <w:t>10</w:t>
      </w:r>
      <w:r>
        <w:rPr>
          <w:rFonts w:hint="eastAsia" w:hAnsi="宋体" w:cs="宋体"/>
          <w:b/>
          <w:bCs/>
          <w:color w:val="auto"/>
          <w:szCs w:val="21"/>
          <w:highlight w:val="none"/>
        </w:rPr>
        <w:t>分</w:t>
      </w:r>
    </w:p>
    <w:p w14:paraId="29F49D8C">
      <w:pPr>
        <w:spacing w:line="480" w:lineRule="exact"/>
        <w:ind w:firstLine="630" w:firstLineChars="300"/>
        <w:rPr>
          <w:rFonts w:hint="eastAsia" w:ascii="宋体" w:hAnsi="宋体" w:cs="宋体"/>
          <w:b/>
          <w:color w:val="auto"/>
          <w:szCs w:val="21"/>
          <w:highlight w:val="none"/>
        </w:rPr>
      </w:pPr>
      <w:r>
        <w:rPr>
          <w:rFonts w:hint="eastAsia" w:ascii="宋体" w:hAnsi="宋体" w:cs="宋体"/>
          <w:bCs/>
          <w:color w:val="auto"/>
          <w:szCs w:val="21"/>
          <w:highlight w:val="none"/>
        </w:rPr>
        <w:t>响应产品技术参数及性能配置完全符合</w:t>
      </w:r>
      <w:r>
        <w:rPr>
          <w:rFonts w:hint="eastAsia" w:ascii="宋体" w:hAnsi="宋体" w:cs="宋体"/>
          <w:bCs/>
          <w:color w:val="auto"/>
          <w:szCs w:val="21"/>
          <w:highlight w:val="none"/>
          <w:lang w:val="en-US" w:eastAsia="zh-CN"/>
        </w:rPr>
        <w:t>招标</w:t>
      </w:r>
      <w:r>
        <w:rPr>
          <w:rFonts w:hint="eastAsia" w:ascii="宋体" w:hAnsi="宋体" w:cs="宋体"/>
          <w:bCs/>
          <w:color w:val="auto"/>
          <w:szCs w:val="21"/>
          <w:highlight w:val="none"/>
        </w:rPr>
        <w:t>文件要求（含非标注★项）的，得 1</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 xml:space="preserve"> 分；非“★”的参数每负偏离一项扣</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分，扣完为止，满分1</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分。</w:t>
      </w:r>
    </w:p>
    <w:p w14:paraId="4F23CED4">
      <w:pPr>
        <w:spacing w:line="480" w:lineRule="exact"/>
        <w:ind w:firstLine="420"/>
        <w:rPr>
          <w:rFonts w:hint="eastAsia" w:ascii="宋体" w:hAnsi="宋体" w:cs="宋体"/>
          <w:bCs/>
          <w:color w:val="auto"/>
          <w:szCs w:val="21"/>
          <w:highlight w:val="none"/>
        </w:rPr>
      </w:pPr>
      <w:r>
        <w:rPr>
          <w:rFonts w:hint="eastAsia" w:ascii="宋体" w:hAnsi="宋体" w:cs="宋体"/>
          <w:b/>
          <w:color w:val="auto"/>
          <w:szCs w:val="21"/>
          <w:highlight w:val="none"/>
        </w:rPr>
        <w:t>3、</w:t>
      </w:r>
      <w:r>
        <w:rPr>
          <w:rFonts w:hint="eastAsia" w:ascii="宋体" w:hAnsi="宋体" w:cs="宋体"/>
          <w:b/>
          <w:bCs/>
          <w:color w:val="auto"/>
          <w:szCs w:val="21"/>
          <w:highlight w:val="none"/>
        </w:rPr>
        <w:t>慰问信设计方案分</w:t>
      </w:r>
      <w:r>
        <w:rPr>
          <w:rFonts w:hint="eastAsia" w:ascii="宋体" w:hAnsi="宋体" w:cs="宋体"/>
          <w:b/>
          <w:color w:val="auto"/>
          <w:szCs w:val="21"/>
          <w:highlight w:val="none"/>
        </w:rPr>
        <w:t>……………………………………………………………………满分15分</w:t>
      </w:r>
    </w:p>
    <w:p w14:paraId="181DC3E4">
      <w:pPr>
        <w:widowControl/>
        <w:spacing w:line="44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评标委员会根据各供应商</w:t>
      </w:r>
      <w:r>
        <w:rPr>
          <w:rFonts w:hint="eastAsia" w:ascii="宋体" w:hAnsi="宋体" w:cs="宋体"/>
          <w:bCs/>
          <w:color w:val="auto"/>
          <w:szCs w:val="21"/>
          <w:highlight w:val="none"/>
        </w:rPr>
        <w:t>投标文件中慰问信设计方案内容的完整性、</w:t>
      </w:r>
      <w:r>
        <w:rPr>
          <w:rFonts w:hint="eastAsia" w:ascii="宋体" w:hAnsi="宋体" w:cs="宋体"/>
          <w:color w:val="auto"/>
          <w:szCs w:val="21"/>
          <w:highlight w:val="none"/>
        </w:rPr>
        <w:t>慰问信效果图、设计方案和文字说明的科学合理性、</w:t>
      </w:r>
      <w:r>
        <w:rPr>
          <w:rFonts w:hint="eastAsia" w:ascii="宋体" w:hAnsi="宋体" w:cs="宋体"/>
          <w:bCs/>
          <w:color w:val="auto"/>
          <w:szCs w:val="21"/>
          <w:highlight w:val="none"/>
        </w:rPr>
        <w:t>可行性，</w:t>
      </w:r>
      <w:r>
        <w:rPr>
          <w:rFonts w:hint="eastAsia" w:ascii="宋体" w:hAnsi="宋体" w:cs="宋体"/>
          <w:color w:val="auto"/>
          <w:szCs w:val="21"/>
          <w:highlight w:val="none"/>
        </w:rPr>
        <w:t>切合实际要求等方面进行独立评审并独立打分。</w:t>
      </w:r>
    </w:p>
    <w:p w14:paraId="26BB0CDF">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一档（0分）：</w:t>
      </w:r>
      <w:r>
        <w:rPr>
          <w:rFonts w:hint="eastAsia" w:ascii="宋体" w:hAnsi="宋体" w:cs="宋体"/>
          <w:color w:val="auto"/>
          <w:szCs w:val="22"/>
          <w:highlight w:val="none"/>
        </w:rPr>
        <w:t>未提供</w:t>
      </w:r>
      <w:r>
        <w:rPr>
          <w:rFonts w:hint="eastAsia" w:ascii="宋体" w:hAnsi="宋体" w:cs="宋体"/>
          <w:bCs/>
          <w:color w:val="auto"/>
          <w:szCs w:val="21"/>
          <w:highlight w:val="none"/>
        </w:rPr>
        <w:t>慰问信设计方案</w:t>
      </w:r>
      <w:r>
        <w:rPr>
          <w:rFonts w:hint="eastAsia" w:ascii="宋体" w:hAnsi="宋体" w:cs="宋体"/>
          <w:color w:val="auto"/>
          <w:szCs w:val="22"/>
          <w:highlight w:val="none"/>
        </w:rPr>
        <w:t>或方案被评定为差的，得0分。</w:t>
      </w:r>
    </w:p>
    <w:p w14:paraId="4A3D673C">
      <w:pPr>
        <w:widowControl/>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二档（5分）：设计方案简单，基本理解项目内容及要求，文字说明简单，图、文偏离主题，效果图一般。</w:t>
      </w:r>
    </w:p>
    <w:p w14:paraId="63E61A88">
      <w:pPr>
        <w:pStyle w:val="133"/>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三档（10分）：设计方案清晰明确，能较好理解项目内容及要求，方案文字比较完整，主题明确，切合实际，有针对性，效果图较整洁、美观。</w:t>
      </w:r>
    </w:p>
    <w:p w14:paraId="25F19822">
      <w:pPr>
        <w:tabs>
          <w:tab w:val="left" w:pos="567"/>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四档（15分）</w:t>
      </w:r>
      <w:r>
        <w:rPr>
          <w:rFonts w:hint="eastAsia" w:ascii="宋体" w:hAnsi="宋体" w:cs="宋体"/>
          <w:bCs/>
          <w:color w:val="auto"/>
          <w:szCs w:val="21"/>
          <w:highlight w:val="none"/>
        </w:rPr>
        <w:t>：设计方案详细完整，能更好理解项目内容及要求，图文思路清晰、主题突出，切合实际情况，针对性强，效果图整洁、美观、大方且设计感强。</w:t>
      </w:r>
    </w:p>
    <w:p w14:paraId="4CAD6098">
      <w:pPr>
        <w:spacing w:line="480" w:lineRule="exact"/>
        <w:ind w:firstLine="420"/>
        <w:rPr>
          <w:rFonts w:hint="eastAsia"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bCs/>
          <w:color w:val="auto"/>
          <w:szCs w:val="21"/>
          <w:highlight w:val="none"/>
        </w:rPr>
        <w:t>售后服务</w:t>
      </w:r>
      <w:r>
        <w:rPr>
          <w:rFonts w:hint="eastAsia" w:ascii="宋体" w:hAnsi="宋体" w:cs="宋体"/>
          <w:b/>
          <w:color w:val="auto"/>
          <w:szCs w:val="21"/>
          <w:highlight w:val="none"/>
        </w:rPr>
        <w:t>分………</w:t>
      </w:r>
      <w:r>
        <w:rPr>
          <w:rFonts w:ascii="宋体" w:hAnsi="宋体" w:cs="宋体"/>
          <w:b/>
          <w:color w:val="auto"/>
          <w:szCs w:val="21"/>
          <w:highlight w:val="none"/>
        </w:rPr>
        <w:t>……………</w:t>
      </w:r>
      <w:r>
        <w:rPr>
          <w:rFonts w:hint="eastAsia" w:ascii="宋体" w:hAnsi="宋体" w:cs="宋体"/>
          <w:b/>
          <w:color w:val="auto"/>
          <w:szCs w:val="21"/>
          <w:highlight w:val="none"/>
        </w:rPr>
        <w:t>…………………………………………………………满分15分</w:t>
      </w:r>
    </w:p>
    <w:p w14:paraId="5835E02D">
      <w:pPr>
        <w:pStyle w:val="15"/>
        <w:spacing w:line="440" w:lineRule="exact"/>
        <w:ind w:firstLine="422" w:firstLineChars="200"/>
        <w:rPr>
          <w:rFonts w:hAnsi="宋体" w:cs="宋体"/>
          <w:color w:val="auto"/>
          <w:szCs w:val="21"/>
          <w:highlight w:val="none"/>
        </w:rPr>
      </w:pPr>
      <w:r>
        <w:rPr>
          <w:rFonts w:hint="eastAsia" w:hAnsi="宋体" w:cs="宋体"/>
          <w:b/>
          <w:color w:val="auto"/>
          <w:szCs w:val="21"/>
          <w:highlight w:val="none"/>
        </w:rPr>
        <w:t xml:space="preserve">  </w:t>
      </w:r>
      <w:r>
        <w:rPr>
          <w:rFonts w:hint="eastAsia" w:hAnsi="宋体" w:cs="宋体"/>
          <w:color w:val="auto"/>
          <w:sz w:val="21"/>
          <w:szCs w:val="21"/>
          <w:highlight w:val="none"/>
        </w:rPr>
        <w:t>评标委员会根据各</w:t>
      </w:r>
      <w:r>
        <w:rPr>
          <w:rFonts w:hint="eastAsia" w:hAnsi="宋体" w:cs="宋体"/>
          <w:color w:val="auto"/>
          <w:sz w:val="21"/>
          <w:szCs w:val="21"/>
          <w:highlight w:val="none"/>
          <w:lang w:eastAsia="zh-CN"/>
        </w:rPr>
        <w:t>供应商</w:t>
      </w:r>
      <w:r>
        <w:rPr>
          <w:rFonts w:hint="eastAsia" w:hAnsi="宋体" w:cs="宋体"/>
          <w:bCs/>
          <w:color w:val="auto"/>
          <w:sz w:val="21"/>
          <w:szCs w:val="21"/>
          <w:highlight w:val="none"/>
          <w:lang w:val="en-US" w:eastAsia="zh-CN"/>
        </w:rPr>
        <w:t>投标</w:t>
      </w:r>
      <w:r>
        <w:rPr>
          <w:rFonts w:hint="eastAsia" w:hAnsi="宋体" w:cs="宋体"/>
          <w:bCs/>
          <w:color w:val="auto"/>
          <w:sz w:val="21"/>
          <w:szCs w:val="21"/>
          <w:highlight w:val="none"/>
        </w:rPr>
        <w:t>文件中</w:t>
      </w:r>
      <w:r>
        <w:rPr>
          <w:rFonts w:hint="eastAsia" w:hAnsi="宋体" w:cs="宋体"/>
          <w:color w:val="auto"/>
          <w:sz w:val="21"/>
          <w:szCs w:val="21"/>
          <w:highlight w:val="none"/>
        </w:rPr>
        <w:t>售后服务要求的响应程度及提供的服务</w:t>
      </w:r>
      <w:r>
        <w:rPr>
          <w:rFonts w:hint="eastAsia" w:hAnsi="宋体" w:cs="宋体"/>
          <w:color w:val="auto"/>
          <w:sz w:val="21"/>
          <w:szCs w:val="21"/>
          <w:highlight w:val="none"/>
          <w:lang w:val="en-US" w:eastAsia="zh-CN"/>
        </w:rPr>
        <w:t>实施</w:t>
      </w:r>
      <w:r>
        <w:rPr>
          <w:rFonts w:hint="eastAsia" w:hAnsi="宋体" w:cs="宋体"/>
          <w:color w:val="auto"/>
          <w:sz w:val="21"/>
          <w:szCs w:val="21"/>
          <w:highlight w:val="none"/>
        </w:rPr>
        <w:t>措施等</w:t>
      </w:r>
      <w:r>
        <w:rPr>
          <w:rFonts w:hint="eastAsia" w:hAnsi="宋体" w:cs="宋体"/>
          <w:color w:val="auto"/>
          <w:sz w:val="21"/>
          <w:szCs w:val="21"/>
          <w:highlight w:val="none"/>
          <w:lang w:val="en-US" w:eastAsia="zh-CN"/>
        </w:rPr>
        <w:t>方面</w:t>
      </w:r>
      <w:r>
        <w:rPr>
          <w:rFonts w:hint="eastAsia" w:hAnsi="宋体" w:cs="宋体"/>
          <w:color w:val="auto"/>
          <w:sz w:val="21"/>
          <w:szCs w:val="21"/>
          <w:highlight w:val="none"/>
        </w:rPr>
        <w:t>进行</w:t>
      </w:r>
      <w:r>
        <w:rPr>
          <w:rFonts w:hint="eastAsia" w:hAnsi="宋体" w:cs="宋体"/>
          <w:color w:val="auto"/>
          <w:sz w:val="21"/>
          <w:szCs w:val="21"/>
          <w:highlight w:val="none"/>
          <w:lang w:val="en-US" w:eastAsia="zh-CN"/>
        </w:rPr>
        <w:t>独立</w:t>
      </w:r>
      <w:r>
        <w:rPr>
          <w:rFonts w:hint="eastAsia" w:hAnsi="宋体" w:cs="宋体"/>
          <w:color w:val="auto"/>
          <w:sz w:val="21"/>
          <w:szCs w:val="21"/>
          <w:highlight w:val="none"/>
        </w:rPr>
        <w:t>评审并</w:t>
      </w:r>
      <w:r>
        <w:rPr>
          <w:rFonts w:hint="eastAsia" w:hAnsi="宋体" w:cs="宋体"/>
          <w:color w:val="auto"/>
          <w:sz w:val="21"/>
          <w:szCs w:val="21"/>
          <w:highlight w:val="none"/>
          <w:lang w:val="en-US" w:eastAsia="zh-CN"/>
        </w:rPr>
        <w:t>独立</w:t>
      </w:r>
      <w:r>
        <w:rPr>
          <w:rFonts w:hint="eastAsia" w:hAnsi="宋体" w:cs="宋体"/>
          <w:color w:val="auto"/>
          <w:sz w:val="21"/>
          <w:szCs w:val="21"/>
          <w:highlight w:val="none"/>
        </w:rPr>
        <w:t>打分。</w:t>
      </w:r>
    </w:p>
    <w:p w14:paraId="3E2A7E77">
      <w:pPr>
        <w:pStyle w:val="15"/>
        <w:spacing w:line="440" w:lineRule="exact"/>
        <w:ind w:firstLine="420" w:firstLineChars="200"/>
        <w:rPr>
          <w:rFonts w:hAnsi="宋体" w:cs="宋体"/>
          <w:color w:val="auto"/>
          <w:szCs w:val="21"/>
          <w:highlight w:val="none"/>
        </w:rPr>
      </w:pPr>
      <w:r>
        <w:rPr>
          <w:rFonts w:hint="eastAsia" w:hAnsi="宋体" w:cs="宋体"/>
          <w:color w:val="auto"/>
          <w:sz w:val="21"/>
          <w:szCs w:val="21"/>
          <w:highlight w:val="none"/>
          <w:lang w:val="en-US" w:eastAsia="zh-CN"/>
        </w:rPr>
        <w:t>一档（5分）：售后服务方案较详细可行，对交付期、质保期、响应时间、技术培训、备品备件、故障解决方案等有所描述</w:t>
      </w:r>
      <w:r>
        <w:rPr>
          <w:rFonts w:hint="eastAsia" w:hAnsi="宋体" w:cs="宋体"/>
          <w:color w:val="auto"/>
          <w:sz w:val="21"/>
          <w:szCs w:val="21"/>
          <w:highlight w:val="none"/>
        </w:rPr>
        <w:t>，</w:t>
      </w:r>
      <w:r>
        <w:rPr>
          <w:rFonts w:hint="eastAsia" w:hAnsi="宋体" w:cs="宋体"/>
          <w:color w:val="auto"/>
          <w:sz w:val="21"/>
          <w:szCs w:val="21"/>
          <w:highlight w:val="none"/>
          <w:lang w:val="en-US"/>
        </w:rPr>
        <w:t>故障响应时间</w:t>
      </w:r>
      <w:r>
        <w:rPr>
          <w:rFonts w:hint="eastAsia" w:hAnsi="宋体" w:cs="宋体"/>
          <w:color w:val="auto"/>
          <w:sz w:val="21"/>
          <w:szCs w:val="21"/>
          <w:highlight w:val="none"/>
        </w:rPr>
        <w:t>满足</w:t>
      </w:r>
      <w:r>
        <w:rPr>
          <w:rFonts w:hint="eastAsia" w:hAnsi="宋体" w:cs="宋体"/>
          <w:color w:val="auto"/>
          <w:sz w:val="21"/>
          <w:szCs w:val="21"/>
          <w:highlight w:val="none"/>
          <w:lang w:val="en-US"/>
        </w:rPr>
        <w:t>采购需求</w:t>
      </w:r>
      <w:r>
        <w:rPr>
          <w:rFonts w:hint="eastAsia" w:hAnsi="宋体" w:cs="宋体"/>
          <w:color w:val="auto"/>
          <w:sz w:val="21"/>
          <w:szCs w:val="21"/>
          <w:highlight w:val="none"/>
          <w:lang w:val="en-US" w:eastAsia="zh-CN"/>
        </w:rPr>
        <w:t>。</w:t>
      </w:r>
    </w:p>
    <w:p w14:paraId="393353BB">
      <w:pPr>
        <w:pStyle w:val="15"/>
        <w:spacing w:line="440" w:lineRule="exact"/>
        <w:ind w:firstLine="420" w:firstLineChars="200"/>
        <w:rPr>
          <w:rFonts w:hAnsi="宋体" w:cs="宋体"/>
          <w:color w:val="auto"/>
          <w:szCs w:val="21"/>
          <w:highlight w:val="none"/>
        </w:rPr>
      </w:pPr>
      <w:r>
        <w:rPr>
          <w:rFonts w:hint="eastAsia" w:hAnsi="宋体" w:cs="宋体"/>
          <w:color w:val="auto"/>
          <w:sz w:val="21"/>
          <w:szCs w:val="21"/>
          <w:highlight w:val="none"/>
          <w:lang w:val="en-US" w:eastAsia="zh-CN"/>
        </w:rPr>
        <w:t>二档（10分）：售后服务方案全面详细可行，对交付期、质保期、响应时间、技术培训</w:t>
      </w:r>
      <w:r>
        <w:rPr>
          <w:rFonts w:hint="eastAsia" w:hAnsi="宋体" w:cs="宋体"/>
          <w:color w:val="auto"/>
          <w:sz w:val="21"/>
          <w:szCs w:val="21"/>
          <w:highlight w:val="none"/>
        </w:rPr>
        <w:t>、备品备件、故障解决方案、应急预案等详细描述，有简单的配送渠道，</w:t>
      </w:r>
      <w:r>
        <w:rPr>
          <w:rFonts w:hint="eastAsia" w:hAnsi="宋体" w:cs="宋体"/>
          <w:color w:val="auto"/>
          <w:sz w:val="21"/>
          <w:szCs w:val="21"/>
          <w:highlight w:val="none"/>
          <w:lang w:val="en-US"/>
        </w:rPr>
        <w:t>故障响应时间优于采购需求</w:t>
      </w:r>
      <w:r>
        <w:rPr>
          <w:rFonts w:hint="eastAsia" w:hAnsi="宋体" w:cs="宋体"/>
          <w:color w:val="auto"/>
          <w:sz w:val="21"/>
          <w:szCs w:val="21"/>
          <w:highlight w:val="none"/>
          <w:lang w:val="en-US" w:eastAsia="zh-CN"/>
        </w:rPr>
        <w:t>。</w:t>
      </w:r>
    </w:p>
    <w:p w14:paraId="29CDE3A3">
      <w:pPr>
        <w:pStyle w:val="17"/>
        <w:tabs>
          <w:tab w:val="left" w:pos="4214"/>
        </w:tabs>
        <w:spacing w:line="440" w:lineRule="exact"/>
        <w:ind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三档（15分）：售后服务方案全面详细操控性强，对交付期、质保期、响应时间、技术培训、备件、故障解决方案、应急预案、配送渠道等详细描述，有合理的服务流程</w:t>
      </w:r>
      <w:r>
        <w:rPr>
          <w:rFonts w:hint="eastAsia" w:hAnsi="宋体" w:cs="宋体"/>
          <w:color w:val="auto"/>
          <w:szCs w:val="21"/>
          <w:highlight w:val="none"/>
        </w:rPr>
        <w:t>，故障响应时间优于采购需求</w:t>
      </w:r>
      <w:r>
        <w:rPr>
          <w:rFonts w:hint="eastAsia" w:hAnsi="宋体" w:cs="宋体"/>
          <w:color w:val="auto"/>
          <w:szCs w:val="21"/>
          <w:highlight w:val="none"/>
          <w:lang w:val="en-US" w:eastAsia="zh-CN"/>
        </w:rPr>
        <w:t>。</w:t>
      </w:r>
    </w:p>
    <w:p w14:paraId="525A3D2F">
      <w:pPr>
        <w:pStyle w:val="15"/>
        <w:spacing w:line="440" w:lineRule="exact"/>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 xml:space="preserve">5、项目实施方案分…………………………………………………………………………… 满分 20 分 </w:t>
      </w:r>
    </w:p>
    <w:p w14:paraId="1407D12E">
      <w:pPr>
        <w:pStyle w:val="15"/>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由评审小组根据各供应商所提供项目实施方案（包括项目实施组织及计划进度、人员配置、送货运输 车辆安排及组织、项目实施保障措施等）等方面集体讨论，并在相应档次内独立打分</w:t>
      </w:r>
      <w:r>
        <w:rPr>
          <w:rFonts w:hint="eastAsia" w:ascii="宋体" w:hAnsi="宋体" w:cs="宋体"/>
          <w:b w:val="0"/>
          <w:bCs/>
          <w:color w:val="auto"/>
          <w:szCs w:val="21"/>
          <w:highlight w:val="none"/>
          <w:lang w:val="en-US" w:eastAsia="zh-CN"/>
        </w:rPr>
        <w:t>，未提供不得分。</w:t>
      </w:r>
    </w:p>
    <w:p w14:paraId="7DA4034F">
      <w:pPr>
        <w:pStyle w:val="15"/>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 xml:space="preserve">一档（3 分）：实施方案组织方案仅基本满足招标要求，方案较为简单，可操作性不强，缺乏针对性。 </w:t>
      </w:r>
    </w:p>
    <w:p w14:paraId="0AD5FD08">
      <w:pPr>
        <w:pStyle w:val="15"/>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 xml:space="preserve">二档（7 分）: 项目实施组织方案及进度安排不全面、可操作性弱，项目人员配置不尽合理、分工不尽 明确，运输方案基本可行、项目实施保障措施基本可行、保障性弱。 </w:t>
      </w:r>
    </w:p>
    <w:p w14:paraId="3E4AD296">
      <w:pPr>
        <w:pStyle w:val="15"/>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 xml:space="preserve">三档（13 分）: 项目实施组织方案及进度安排全面、可操作性强，项目人员配置较合理、分工较明确，运输方案可行、项目实施保障措施有一定可行性及保障性。 </w:t>
      </w:r>
    </w:p>
    <w:p w14:paraId="1F125C0D">
      <w:pPr>
        <w:pStyle w:val="15"/>
        <w:spacing w:line="440" w:lineRule="exact"/>
        <w:ind w:firstLine="420" w:firstLineChars="200"/>
        <w:rPr>
          <w:rFonts w:hint="eastAsia" w:ascii="宋体" w:hAnsi="宋体" w:eastAsia="宋体" w:cs="宋体"/>
          <w:b w:val="0"/>
          <w:bCs/>
          <w:color w:val="auto"/>
          <w:highlight w:val="none"/>
        </w:rPr>
      </w:pPr>
      <w:r>
        <w:rPr>
          <w:rFonts w:hint="eastAsia" w:ascii="宋体" w:hAnsi="宋体" w:eastAsia="宋体" w:cs="宋体"/>
          <w:b w:val="0"/>
          <w:bCs/>
          <w:color w:val="auto"/>
          <w:szCs w:val="21"/>
          <w:highlight w:val="none"/>
          <w:lang w:val="en-US" w:eastAsia="zh-CN"/>
        </w:rPr>
        <w:t>四档（20 分): 项目实施组织方案及进度安排完整、可操作性很强，项目人员配置相当合理、分工明确，运输方案可行性强、项目实施保障措施得力、可行性及保障性强。</w:t>
      </w:r>
    </w:p>
    <w:p w14:paraId="57CFB4E1">
      <w:pPr>
        <w:numPr>
          <w:ilvl w:val="0"/>
          <w:numId w:val="0"/>
        </w:numPr>
        <w:spacing w:line="48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信誉分 ………………………………</w:t>
      </w:r>
      <w:r>
        <w:rPr>
          <w:rFonts w:ascii="宋体" w:hAnsi="宋体" w:cs="宋体"/>
          <w:b/>
          <w:color w:val="auto"/>
          <w:szCs w:val="21"/>
          <w:highlight w:val="none"/>
        </w:rPr>
        <w:t>………</w:t>
      </w:r>
      <w:r>
        <w:rPr>
          <w:rFonts w:hint="eastAsia" w:ascii="宋体" w:hAnsi="宋体" w:cs="宋体"/>
          <w:b/>
          <w:color w:val="auto"/>
          <w:szCs w:val="21"/>
          <w:highlight w:val="none"/>
        </w:rPr>
        <w:t>…………………………………………满分8分</w:t>
      </w:r>
    </w:p>
    <w:p w14:paraId="2D239A50">
      <w:pPr>
        <w:spacing w:line="480" w:lineRule="exact"/>
        <w:ind w:firstLine="630" w:firstLineChars="3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供应商或所投核心产品品牌的企业获得有效的ISO9001质量管理体系认证、ISO22000食品安全体系双重认证证书复印件，每有一个认证得 4 分，最高得 8分，投标文件中需提供以上有效证书复印件并加盖供应商 CA 签章，否则不予计分。（满分 8分）</w:t>
      </w:r>
    </w:p>
    <w:p w14:paraId="349445CC">
      <w:pPr>
        <w:spacing w:line="48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、政策功能分(节能、环保产品等) ………………………………………………………满分2分</w:t>
      </w:r>
    </w:p>
    <w:p w14:paraId="728AF02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（1）应优先采购财政部现行《节能产品政府采购品目清单》目录内（政府强制采购节能产品</w:t>
      </w:r>
      <w:r>
        <w:rPr>
          <w:rFonts w:hint="eastAsia" w:ascii="宋体" w:hAnsi="宋体" w:cs="宋体"/>
          <w:bCs/>
          <w:color w:val="auto"/>
          <w:szCs w:val="21"/>
          <w:highlight w:val="none"/>
        </w:rPr>
        <w:t>除外</w:t>
      </w:r>
      <w:r>
        <w:rPr>
          <w:rFonts w:hint="eastAsia" w:ascii="宋体" w:hAnsi="宋体" w:cs="宋体"/>
          <w:color w:val="auto"/>
          <w:szCs w:val="21"/>
          <w:highlight w:val="none"/>
        </w:rPr>
        <w:t>）的产品（提供有效证明复印件），根据其所占本分标金额比例得0～1分。（满分1分）</w:t>
      </w:r>
    </w:p>
    <w:p w14:paraId="27B477A1">
      <w:pPr>
        <w:pStyle w:val="17"/>
        <w:spacing w:line="440" w:lineRule="exact"/>
        <w:ind w:firstLine="420" w:firstLineChars="200"/>
        <w:rPr>
          <w:rFonts w:hAnsi="宋体" w:cs="宋体"/>
          <w:b/>
          <w:color w:val="auto"/>
          <w:szCs w:val="21"/>
          <w:highlight w:val="none"/>
        </w:rPr>
      </w:pPr>
      <w:r>
        <w:rPr>
          <w:rFonts w:hint="eastAsia" w:hAnsi="宋体" w:cs="宋体"/>
          <w:color w:val="auto"/>
          <w:szCs w:val="21"/>
          <w:highlight w:val="none"/>
        </w:rPr>
        <w:t>（2）应优先采购财政部现行《环境标志产品政府采购品目清单》目录内的产品（提供有效证明复印件），根据其所占</w:t>
      </w:r>
      <w:r>
        <w:rPr>
          <w:rFonts w:hint="eastAsia" w:hAnsi="宋体" w:cs="宋体"/>
          <w:color w:val="auto"/>
          <w:szCs w:val="21"/>
          <w:highlight w:val="none"/>
          <w:lang w:val="en-US" w:eastAsia="zh-CN"/>
        </w:rPr>
        <w:t>本</w:t>
      </w:r>
      <w:r>
        <w:rPr>
          <w:rFonts w:hint="eastAsia" w:hAnsi="宋体" w:cs="宋体"/>
          <w:color w:val="auto"/>
          <w:szCs w:val="21"/>
          <w:highlight w:val="none"/>
        </w:rPr>
        <w:t>分标比例得0～</w:t>
      </w:r>
      <w:r>
        <w:rPr>
          <w:rFonts w:hint="eastAsia" w:hAnsi="宋体" w:cs="宋体"/>
          <w:color w:val="auto"/>
          <w:szCs w:val="21"/>
          <w:highlight w:val="none"/>
          <w:lang w:val="en-US" w:eastAsia="zh-CN"/>
        </w:rPr>
        <w:t>1</w:t>
      </w:r>
      <w:r>
        <w:rPr>
          <w:rFonts w:hint="eastAsia" w:hAnsi="宋体" w:cs="宋体"/>
          <w:color w:val="auto"/>
          <w:szCs w:val="21"/>
          <w:highlight w:val="none"/>
        </w:rPr>
        <w:t>分。（满分</w:t>
      </w:r>
      <w:r>
        <w:rPr>
          <w:rFonts w:hint="eastAsia" w:hAnsi="宋体" w:cs="宋体"/>
          <w:color w:val="auto"/>
          <w:szCs w:val="21"/>
          <w:highlight w:val="none"/>
          <w:lang w:val="en-US" w:eastAsia="zh-CN"/>
        </w:rPr>
        <w:t>1</w:t>
      </w:r>
      <w:r>
        <w:rPr>
          <w:rFonts w:hint="eastAsia" w:hAnsi="宋体" w:cs="宋体"/>
          <w:color w:val="auto"/>
          <w:szCs w:val="21"/>
          <w:highlight w:val="none"/>
        </w:rPr>
        <w:t>分）</w:t>
      </w:r>
    </w:p>
    <w:p w14:paraId="28B754BA">
      <w:pPr>
        <w:pStyle w:val="7"/>
        <w:ind w:left="0" w:leftChars="0"/>
        <w:rPr>
          <w:rFonts w:hint="eastAsia"/>
          <w:color w:val="auto"/>
          <w:highlight w:val="none"/>
        </w:rPr>
      </w:pPr>
    </w:p>
    <w:p w14:paraId="5C60821F">
      <w:pPr>
        <w:pStyle w:val="17"/>
        <w:spacing w:line="360" w:lineRule="auto"/>
        <w:ind w:firstLine="517" w:firstLineChars="245"/>
        <w:rPr>
          <w:rFonts w:hint="default" w:hAnsi="宋体" w:cs="宋体"/>
          <w:b/>
          <w:bCs/>
          <w:color w:val="auto"/>
          <w:szCs w:val="21"/>
          <w:highlight w:val="none"/>
          <w:lang w:val="en-US" w:eastAsia="zh-CN"/>
        </w:rPr>
      </w:pPr>
      <w:r>
        <w:rPr>
          <w:rFonts w:hint="eastAsia" w:hAnsi="宋体" w:cs="宋体"/>
          <w:b/>
          <w:bCs/>
          <w:color w:val="auto"/>
          <w:szCs w:val="21"/>
          <w:highlight w:val="none"/>
          <w:lang w:val="en-US" w:eastAsia="zh-CN"/>
        </w:rPr>
        <w:t>8</w:t>
      </w:r>
      <w:r>
        <w:rPr>
          <w:rFonts w:hint="eastAsia" w:hAnsi="宋体" w:cs="宋体"/>
          <w:b/>
          <w:bCs/>
          <w:color w:val="auto"/>
          <w:szCs w:val="21"/>
          <w:highlight w:val="none"/>
        </w:rPr>
        <w:t>、综合得分＝1+2+3+4</w:t>
      </w:r>
      <w:r>
        <w:rPr>
          <w:rFonts w:hint="eastAsia" w:hAnsi="宋体" w:cs="宋体"/>
          <w:b/>
          <w:bCs/>
          <w:color w:val="auto"/>
          <w:szCs w:val="21"/>
          <w:highlight w:val="none"/>
          <w:lang w:val="en-US" w:eastAsia="zh-CN"/>
        </w:rPr>
        <w:t>+5+6+7</w:t>
      </w:r>
    </w:p>
    <w:p w14:paraId="07F329D1">
      <w:pPr>
        <w:pStyle w:val="17"/>
        <w:tabs>
          <w:tab w:val="left" w:pos="4214"/>
        </w:tabs>
        <w:spacing w:line="480" w:lineRule="exact"/>
        <w:ind w:firstLine="422" w:firstLineChars="200"/>
        <w:rPr>
          <w:rFonts w:hint="eastAsia" w:hAnsi="宋体" w:cs="宋体"/>
          <w:b/>
          <w:color w:val="auto"/>
          <w:kern w:val="0"/>
          <w:szCs w:val="21"/>
          <w:highlight w:val="none"/>
        </w:rPr>
      </w:pPr>
      <w:r>
        <w:rPr>
          <w:rFonts w:hint="eastAsia" w:hAnsi="宋体" w:cs="宋体"/>
          <w:b/>
          <w:color w:val="auto"/>
          <w:kern w:val="0"/>
          <w:szCs w:val="21"/>
          <w:highlight w:val="none"/>
        </w:rPr>
        <w:t>三、推荐及确定</w:t>
      </w:r>
      <w:r>
        <w:rPr>
          <w:rFonts w:hint="eastAsia" w:hAnsi="宋体" w:cs="宋体"/>
          <w:b/>
          <w:color w:val="auto"/>
          <w:kern w:val="0"/>
          <w:szCs w:val="21"/>
          <w:highlight w:val="none"/>
          <w:lang w:val="en-US" w:eastAsia="zh-CN"/>
        </w:rPr>
        <w:t>中标</w:t>
      </w:r>
      <w:r>
        <w:rPr>
          <w:rFonts w:hint="eastAsia" w:hAnsi="宋体" w:cs="宋体"/>
          <w:b/>
          <w:color w:val="auto"/>
          <w:kern w:val="0"/>
          <w:szCs w:val="21"/>
          <w:highlight w:val="none"/>
        </w:rPr>
        <w:t>候选供应商原则</w:t>
      </w:r>
    </w:p>
    <w:p w14:paraId="1B3E554A">
      <w:pPr>
        <w:pStyle w:val="17"/>
        <w:tabs>
          <w:tab w:val="left" w:pos="4214"/>
        </w:tabs>
        <w:spacing w:line="480" w:lineRule="exact"/>
        <w:ind w:firstLine="420" w:firstLineChars="200"/>
        <w:rPr>
          <w:rFonts w:hint="eastAsia" w:hAnsi="宋体" w:cs="宋体"/>
          <w:color w:val="auto"/>
          <w:szCs w:val="21"/>
          <w:highlight w:val="none"/>
        </w:rPr>
      </w:pPr>
      <w:r>
        <w:rPr>
          <w:rFonts w:hint="eastAsia" w:hAnsi="宋体" w:cs="宋体"/>
          <w:color w:val="auto"/>
          <w:kern w:val="0"/>
          <w:szCs w:val="21"/>
          <w:highlight w:val="none"/>
        </w:rPr>
        <w:t>（1）</w:t>
      </w:r>
      <w:r>
        <w:rPr>
          <w:rFonts w:hint="eastAsia" w:hAnsi="宋体" w:cs="宋体"/>
          <w:color w:val="auto"/>
          <w:szCs w:val="21"/>
          <w:highlight w:val="none"/>
          <w:lang w:val="en-US" w:eastAsia="zh-CN"/>
        </w:rPr>
        <w:t>评审</w:t>
      </w:r>
      <w:r>
        <w:rPr>
          <w:rFonts w:hint="eastAsia" w:hAnsi="宋体" w:cs="宋体"/>
          <w:color w:val="auto"/>
          <w:szCs w:val="21"/>
          <w:highlight w:val="none"/>
        </w:rPr>
        <w:t>小组应当根据综合评分情况，按照评审得分由高到低顺序推荐3名以上（含3名）</w:t>
      </w:r>
      <w:r>
        <w:rPr>
          <w:rFonts w:hint="eastAsia" w:hAnsi="宋体" w:cs="宋体"/>
          <w:color w:val="auto"/>
          <w:szCs w:val="21"/>
          <w:highlight w:val="none"/>
          <w:lang w:val="en-US" w:eastAsia="zh-CN"/>
        </w:rPr>
        <w:t>中标</w:t>
      </w:r>
      <w:r>
        <w:rPr>
          <w:rFonts w:hint="eastAsia" w:hAnsi="宋体" w:cs="宋体"/>
          <w:color w:val="auto"/>
          <w:szCs w:val="21"/>
          <w:highlight w:val="none"/>
        </w:rPr>
        <w:t>候选供应商，并编写评审报告；如采购项目为政府购买服务项目（含政府和社会资本合作项目），</w:t>
      </w:r>
      <w:r>
        <w:rPr>
          <w:rFonts w:hint="eastAsia" w:hAnsi="宋体" w:cs="宋体"/>
          <w:color w:val="auto"/>
          <w:szCs w:val="21"/>
          <w:highlight w:val="none"/>
          <w:lang w:val="en-US" w:eastAsia="zh-CN"/>
        </w:rPr>
        <w:t>评审</w:t>
      </w:r>
      <w:r>
        <w:rPr>
          <w:rFonts w:hint="eastAsia" w:hAnsi="宋体" w:cs="宋体"/>
          <w:color w:val="auto"/>
          <w:szCs w:val="21"/>
          <w:highlight w:val="none"/>
        </w:rPr>
        <w:t>小组应当根据综合评分情况，按照评审得分由高到低顺序推荐2名以上（含2名）成交候选供应商，并编写评审报告。</w:t>
      </w:r>
      <w:r>
        <w:rPr>
          <w:rFonts w:hint="eastAsia" w:hAnsi="宋体" w:cs="宋体"/>
          <w:color w:val="auto"/>
          <w:szCs w:val="21"/>
          <w:highlight w:val="none"/>
          <w:lang w:val="en-US" w:eastAsia="zh-CN"/>
        </w:rPr>
        <w:t>评审</w:t>
      </w:r>
      <w:r>
        <w:rPr>
          <w:rFonts w:hint="eastAsia" w:hAnsi="宋体" w:cs="宋体"/>
          <w:color w:val="auto"/>
          <w:szCs w:val="21"/>
          <w:highlight w:val="none"/>
        </w:rPr>
        <w:t>小组根据综合得分由高到低排列次序，若得分相同时，以评审报价由低到高顺序排列；若得分相同且评审报价相同的，以最后报价由低到高顺序排列；若仍相同的，按项目</w:t>
      </w:r>
      <w:r>
        <w:rPr>
          <w:rFonts w:hint="eastAsia" w:hAnsi="宋体" w:cs="宋体"/>
          <w:color w:val="auto"/>
          <w:szCs w:val="21"/>
          <w:highlight w:val="none"/>
          <w:lang w:val="en-US" w:eastAsia="zh-CN"/>
        </w:rPr>
        <w:t>售后服务</w:t>
      </w:r>
      <w:r>
        <w:rPr>
          <w:rFonts w:hint="eastAsia" w:hAnsi="宋体" w:cs="宋体"/>
          <w:color w:val="auto"/>
          <w:szCs w:val="21"/>
          <w:highlight w:val="none"/>
        </w:rPr>
        <w:t>分由高到低顺序排列并推荐</w:t>
      </w:r>
      <w:r>
        <w:rPr>
          <w:rFonts w:hint="eastAsia" w:hAnsi="宋体" w:cs="宋体"/>
          <w:color w:val="auto"/>
          <w:szCs w:val="21"/>
          <w:highlight w:val="none"/>
          <w:lang w:val="en-US" w:eastAsia="zh-CN"/>
        </w:rPr>
        <w:t>中标</w:t>
      </w:r>
      <w:r>
        <w:rPr>
          <w:rFonts w:hint="eastAsia" w:hAnsi="宋体" w:cs="宋体"/>
          <w:color w:val="auto"/>
          <w:szCs w:val="21"/>
          <w:highlight w:val="none"/>
        </w:rPr>
        <w:t>候选供应商。若仍相同时，则由</w:t>
      </w:r>
      <w:r>
        <w:rPr>
          <w:rFonts w:hint="eastAsia" w:hAnsi="宋体" w:cs="宋体"/>
          <w:color w:val="auto"/>
          <w:szCs w:val="21"/>
          <w:highlight w:val="none"/>
          <w:lang w:val="en-US" w:eastAsia="zh-CN"/>
        </w:rPr>
        <w:t>评审</w:t>
      </w:r>
      <w:r>
        <w:rPr>
          <w:rFonts w:hint="eastAsia" w:hAnsi="宋体" w:cs="宋体"/>
          <w:color w:val="auto"/>
          <w:szCs w:val="21"/>
          <w:highlight w:val="none"/>
        </w:rPr>
        <w:t>小组集体讨论确定。</w:t>
      </w:r>
    </w:p>
    <w:p w14:paraId="1CEB9FBD">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（2）采购单位应当确定</w:t>
      </w:r>
      <w:r>
        <w:rPr>
          <w:rFonts w:hint="eastAsia" w:hAnsi="宋体" w:cs="宋体"/>
          <w:color w:val="auto"/>
          <w:kern w:val="0"/>
          <w:szCs w:val="21"/>
          <w:highlight w:val="none"/>
          <w:lang w:val="en-US" w:eastAsia="zh-CN"/>
        </w:rPr>
        <w:t>评审</w:t>
      </w:r>
      <w:r>
        <w:rPr>
          <w:rFonts w:hint="eastAsia" w:hAnsi="宋体" w:cs="宋体"/>
          <w:color w:val="auto"/>
          <w:kern w:val="0"/>
          <w:szCs w:val="21"/>
          <w:highlight w:val="none"/>
        </w:rPr>
        <w:t>小组推荐排名第一的成交候选供应商为</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供应商。</w:t>
      </w:r>
    </w:p>
    <w:p w14:paraId="2558D272">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（3）排名第一的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候选供应商放弃成交、因不可抗力提出不能履行合同，或者</w:t>
      </w:r>
      <w:r>
        <w:rPr>
          <w:rFonts w:hint="eastAsia" w:hAnsi="宋体" w:cs="宋体"/>
          <w:color w:val="auto"/>
          <w:kern w:val="0"/>
          <w:szCs w:val="21"/>
          <w:highlight w:val="none"/>
          <w:lang w:val="en-US" w:eastAsia="zh-CN"/>
        </w:rPr>
        <w:t>招标</w:t>
      </w:r>
      <w:r>
        <w:rPr>
          <w:rFonts w:hint="eastAsia" w:hAnsi="宋体" w:cs="宋体"/>
          <w:color w:val="auto"/>
          <w:kern w:val="0"/>
          <w:szCs w:val="21"/>
          <w:highlight w:val="none"/>
        </w:rPr>
        <w:t>文件规定应当提交履约保证金而在规定的期限内未能提交的，或因失信行为被取消</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候选人资格的，采购单位可以确定排名第二的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候选供应商为成交供应商。</w:t>
      </w:r>
    </w:p>
    <w:p w14:paraId="26804EAB">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（4）排名第二的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候选供应商因前款规定的同样原因不能签订合同的，采购单位可以确定排名第三的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候选人为</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供应商。以此类推。</w:t>
      </w:r>
    </w:p>
    <w:p w14:paraId="511E31A8">
      <w:pPr>
        <w:spacing w:line="312" w:lineRule="auto"/>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四、特别说明</w:t>
      </w:r>
    </w:p>
    <w:p w14:paraId="2367B3DC">
      <w:pPr>
        <w:spacing w:line="312" w:lineRule="auto"/>
        <w:ind w:firstLine="422" w:firstLineChars="200"/>
        <w:rPr>
          <w:rFonts w:ascii="宋体" w:hAnsi="宋体" w:cs="宋体"/>
          <w:color w:val="auto"/>
          <w:kern w:val="0"/>
          <w:highlight w:val="none"/>
        </w:rPr>
      </w:pPr>
      <w:r>
        <w:rPr>
          <w:rFonts w:hint="eastAsia" w:ascii="宋体" w:hAnsi="宋体" w:cs="宋体"/>
          <w:b/>
          <w:bCs/>
          <w:color w:val="auto"/>
          <w:szCs w:val="21"/>
          <w:highlight w:val="none"/>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F82A58">
      <w:pPr>
        <w:pStyle w:val="7"/>
        <w:ind w:left="0" w:leftChars="0" w:firstLine="0" w:firstLineChars="0"/>
        <w:rPr>
          <w:rFonts w:hint="eastAsia"/>
          <w:color w:val="auto"/>
          <w:highlight w:val="none"/>
          <w:lang w:val="en-US" w:eastAsia="zh-CN"/>
        </w:rPr>
      </w:pPr>
    </w:p>
    <w:p w14:paraId="674629FC">
      <w:pPr>
        <w:rPr>
          <w:rFonts w:hint="eastAsia" w:ascii="宋体" w:hAnsi="宋体"/>
          <w:b/>
          <w:bCs/>
          <w:color w:val="auto"/>
          <w:szCs w:val="21"/>
          <w:highlight w:val="none"/>
        </w:rPr>
      </w:pPr>
    </w:p>
    <w:p w14:paraId="7E053255">
      <w:pPr>
        <w:rPr>
          <w:rFonts w:hint="eastAsia" w:ascii="宋体" w:hAnsi="宋体"/>
          <w:b/>
          <w:bCs/>
          <w:color w:val="auto"/>
          <w:szCs w:val="21"/>
          <w:highlight w:val="none"/>
        </w:rPr>
      </w:pPr>
    </w:p>
    <w:p w14:paraId="5CD90E3B">
      <w:pPr>
        <w:rPr>
          <w:rFonts w:hint="eastAsia" w:ascii="宋体" w:hAnsi="宋体"/>
          <w:b/>
          <w:bCs/>
          <w:color w:val="auto"/>
          <w:szCs w:val="21"/>
          <w:highlight w:val="none"/>
        </w:rPr>
      </w:pPr>
    </w:p>
    <w:p w14:paraId="5BFE953F">
      <w:pPr>
        <w:rPr>
          <w:rFonts w:hint="eastAsia" w:ascii="宋体" w:hAnsi="宋体"/>
          <w:b/>
          <w:bCs/>
          <w:color w:val="auto"/>
          <w:szCs w:val="21"/>
          <w:highlight w:val="none"/>
        </w:rPr>
      </w:pPr>
    </w:p>
    <w:p w14:paraId="1DD2F5A7">
      <w:pPr>
        <w:rPr>
          <w:rFonts w:hint="eastAsia" w:ascii="宋体" w:hAnsi="宋体"/>
          <w:b/>
          <w:bCs/>
          <w:color w:val="auto"/>
          <w:szCs w:val="21"/>
          <w:highlight w:val="none"/>
        </w:rPr>
      </w:pPr>
    </w:p>
    <w:p w14:paraId="0B12E290">
      <w:pPr>
        <w:rPr>
          <w:rFonts w:hint="eastAsia" w:ascii="宋体" w:hAnsi="宋体"/>
          <w:b/>
          <w:bCs/>
          <w:color w:val="auto"/>
          <w:szCs w:val="21"/>
          <w:highlight w:val="none"/>
        </w:rPr>
      </w:pPr>
    </w:p>
    <w:p w14:paraId="5DCAD49A">
      <w:pPr>
        <w:rPr>
          <w:rFonts w:hint="eastAsia" w:ascii="宋体" w:hAnsi="宋体"/>
          <w:b/>
          <w:bCs/>
          <w:color w:val="auto"/>
          <w:szCs w:val="21"/>
          <w:highlight w:val="none"/>
        </w:rPr>
      </w:pPr>
    </w:p>
    <w:p w14:paraId="48FE62BA">
      <w:pPr>
        <w:rPr>
          <w:rFonts w:hint="eastAsia" w:ascii="宋体" w:hAnsi="宋体"/>
          <w:b/>
          <w:bCs/>
          <w:color w:val="auto"/>
          <w:szCs w:val="21"/>
          <w:highlight w:val="none"/>
        </w:rPr>
      </w:pPr>
    </w:p>
    <w:p w14:paraId="14B7E412">
      <w:pPr>
        <w:rPr>
          <w:rFonts w:hint="eastAsia" w:ascii="宋体" w:hAnsi="宋体"/>
          <w:b/>
          <w:bCs/>
          <w:color w:val="auto"/>
          <w:szCs w:val="21"/>
          <w:highlight w:val="none"/>
        </w:rPr>
      </w:pPr>
    </w:p>
    <w:p w14:paraId="28DE0D21">
      <w:pPr>
        <w:rPr>
          <w:rFonts w:hint="eastAsia" w:ascii="宋体" w:hAnsi="宋体"/>
          <w:b/>
          <w:bCs/>
          <w:color w:val="auto"/>
          <w:szCs w:val="21"/>
          <w:highlight w:val="none"/>
        </w:rPr>
      </w:pPr>
    </w:p>
    <w:p w14:paraId="69E176AC">
      <w:pPr>
        <w:rPr>
          <w:rFonts w:hint="eastAsia" w:ascii="宋体" w:hAnsi="宋体"/>
          <w:b/>
          <w:bCs/>
          <w:color w:val="auto"/>
          <w:szCs w:val="21"/>
          <w:highlight w:val="none"/>
        </w:rPr>
      </w:pPr>
    </w:p>
    <w:p w14:paraId="4A87890C">
      <w:pPr>
        <w:rPr>
          <w:rFonts w:hint="eastAsia" w:ascii="宋体" w:hAnsi="宋体"/>
          <w:b/>
          <w:bCs/>
          <w:color w:val="auto"/>
          <w:szCs w:val="21"/>
          <w:highlight w:val="none"/>
        </w:rPr>
      </w:pPr>
    </w:p>
    <w:p w14:paraId="496E1581">
      <w:pPr>
        <w:rPr>
          <w:rFonts w:hint="eastAsia" w:ascii="宋体" w:hAnsi="宋体"/>
          <w:b/>
          <w:bCs/>
          <w:color w:val="auto"/>
          <w:szCs w:val="21"/>
          <w:highlight w:val="none"/>
        </w:rPr>
      </w:pPr>
    </w:p>
    <w:p w14:paraId="24D9377F">
      <w:pPr>
        <w:rPr>
          <w:rFonts w:hint="eastAsia" w:ascii="宋体" w:hAnsi="宋体"/>
          <w:b/>
          <w:bCs/>
          <w:color w:val="auto"/>
          <w:szCs w:val="21"/>
          <w:highlight w:val="none"/>
        </w:rPr>
      </w:pPr>
    </w:p>
    <w:p w14:paraId="4777F6B8">
      <w:pPr>
        <w:rPr>
          <w:rFonts w:hint="eastAsia" w:ascii="宋体" w:hAnsi="宋体"/>
          <w:b/>
          <w:bCs/>
          <w:color w:val="auto"/>
          <w:szCs w:val="21"/>
          <w:highlight w:val="none"/>
        </w:rPr>
      </w:pPr>
    </w:p>
    <w:p w14:paraId="06719DEF">
      <w:pPr>
        <w:rPr>
          <w:rFonts w:hint="eastAsia" w:ascii="宋体" w:hAnsi="宋体"/>
          <w:b/>
          <w:bCs/>
          <w:color w:val="auto"/>
          <w:szCs w:val="21"/>
          <w:highlight w:val="none"/>
        </w:rPr>
      </w:pPr>
    </w:p>
    <w:p w14:paraId="5250A0DF">
      <w:pPr>
        <w:rPr>
          <w:rFonts w:hint="eastAsia"/>
          <w:color w:val="auto"/>
          <w:highlight w:val="none"/>
        </w:rPr>
      </w:pPr>
      <w:r>
        <w:rPr>
          <w:rFonts w:hint="eastAsia" w:ascii="宋体" w:hAnsi="宋体"/>
          <w:b/>
          <w:bCs/>
          <w:color w:val="auto"/>
          <w:szCs w:val="21"/>
          <w:highlight w:val="none"/>
        </w:rPr>
        <w:t>B分标评审办法</w:t>
      </w:r>
    </w:p>
    <w:p w14:paraId="1C7DB496">
      <w:pPr>
        <w:pStyle w:val="17"/>
        <w:spacing w:line="480" w:lineRule="exact"/>
        <w:ind w:firstLine="413" w:firstLineChars="196"/>
        <w:rPr>
          <w:rFonts w:hint="eastAsia" w:hAnsi="宋体" w:cs="宋体"/>
          <w:b/>
          <w:bCs/>
          <w:color w:val="auto"/>
          <w:highlight w:val="none"/>
        </w:rPr>
      </w:pPr>
      <w:r>
        <w:rPr>
          <w:rFonts w:hint="eastAsia" w:hAnsi="宋体" w:cs="宋体"/>
          <w:b/>
          <w:bCs/>
          <w:color w:val="auto"/>
          <w:highlight w:val="none"/>
        </w:rPr>
        <w:t>一、评审原则</w:t>
      </w:r>
    </w:p>
    <w:p w14:paraId="7D0E8FF2">
      <w:pPr>
        <w:pStyle w:val="17"/>
        <w:spacing w:line="480" w:lineRule="exact"/>
        <w:ind w:firstLine="420" w:firstLineChars="200"/>
        <w:rPr>
          <w:rFonts w:hint="eastAsia" w:hAnsi="宋体" w:cs="宋体"/>
          <w:color w:val="auto"/>
          <w:highlight w:val="none"/>
        </w:rPr>
      </w:pPr>
      <w:r>
        <w:rPr>
          <w:rFonts w:hint="eastAsia" w:hAnsi="宋体" w:cs="宋体"/>
          <w:color w:val="auto"/>
          <w:highlight w:val="none"/>
        </w:rPr>
        <w:t>1、评审依据：</w:t>
      </w:r>
      <w:r>
        <w:rPr>
          <w:rFonts w:hint="eastAsia" w:hAnsi="宋体" w:cs="宋体"/>
          <w:color w:val="auto"/>
          <w:highlight w:val="none"/>
          <w:lang w:val="en-US" w:eastAsia="zh-CN"/>
        </w:rPr>
        <w:t>评审</w:t>
      </w:r>
      <w:r>
        <w:rPr>
          <w:rFonts w:hint="eastAsia" w:hAnsi="宋体" w:cs="宋体"/>
          <w:color w:val="auto"/>
          <w:highlight w:val="none"/>
        </w:rPr>
        <w:t>小组以</w:t>
      </w:r>
      <w:r>
        <w:rPr>
          <w:rFonts w:hint="eastAsia" w:hAnsi="宋体" w:cs="宋体"/>
          <w:color w:val="auto"/>
          <w:highlight w:val="none"/>
          <w:lang w:val="en-US" w:eastAsia="zh-CN"/>
        </w:rPr>
        <w:t>招标</w:t>
      </w:r>
      <w:r>
        <w:rPr>
          <w:rFonts w:hint="eastAsia" w:hAnsi="宋体" w:cs="宋体"/>
          <w:color w:val="auto"/>
          <w:highlight w:val="none"/>
        </w:rPr>
        <w:t>文件和</w:t>
      </w:r>
      <w:r>
        <w:rPr>
          <w:rFonts w:hint="eastAsia" w:hAnsi="宋体" w:cs="宋体"/>
          <w:color w:val="auto"/>
          <w:highlight w:val="none"/>
          <w:lang w:val="en-US" w:eastAsia="zh-CN"/>
        </w:rPr>
        <w:t>投标</w:t>
      </w:r>
      <w:r>
        <w:rPr>
          <w:rFonts w:hint="eastAsia" w:hAnsi="宋体" w:cs="宋体"/>
          <w:color w:val="auto"/>
          <w:highlight w:val="none"/>
        </w:rPr>
        <w:t>文件为评审依据，对</w:t>
      </w:r>
      <w:r>
        <w:rPr>
          <w:rFonts w:hint="eastAsia" w:hAnsi="宋体" w:cs="宋体"/>
          <w:color w:val="auto"/>
          <w:highlight w:val="none"/>
          <w:lang w:val="en-US" w:eastAsia="zh-CN"/>
        </w:rPr>
        <w:t>投标</w:t>
      </w:r>
      <w:r>
        <w:rPr>
          <w:rFonts w:hint="eastAsia" w:hAnsi="宋体" w:cs="宋体"/>
          <w:color w:val="auto"/>
          <w:highlight w:val="none"/>
        </w:rPr>
        <w:t>供应商的价格、</w:t>
      </w:r>
      <w:r>
        <w:rPr>
          <w:rFonts w:hint="eastAsia" w:hAnsi="宋体" w:cs="宋体"/>
          <w:color w:val="auto"/>
          <w:kern w:val="0"/>
          <w:szCs w:val="21"/>
          <w:highlight w:val="none"/>
          <w:lang w:val="en-US" w:eastAsia="zh-CN"/>
        </w:rPr>
        <w:t>技术</w:t>
      </w:r>
      <w:r>
        <w:rPr>
          <w:rFonts w:hint="eastAsia" w:hAnsi="宋体" w:cs="宋体"/>
          <w:color w:val="auto"/>
          <w:highlight w:val="none"/>
        </w:rPr>
        <w:t>、</w:t>
      </w:r>
      <w:r>
        <w:rPr>
          <w:rFonts w:hint="eastAsia" w:hAnsi="宋体" w:cs="宋体"/>
          <w:color w:val="auto"/>
          <w:highlight w:val="none"/>
          <w:lang w:val="en-US" w:eastAsia="zh-CN"/>
        </w:rPr>
        <w:t>方案、售后</w:t>
      </w:r>
      <w:r>
        <w:rPr>
          <w:rFonts w:hint="eastAsia" w:hAnsi="宋体" w:cs="宋体"/>
          <w:color w:val="auto"/>
          <w:kern w:val="0"/>
          <w:szCs w:val="21"/>
          <w:highlight w:val="none"/>
        </w:rPr>
        <w:t>服务</w:t>
      </w:r>
      <w:r>
        <w:rPr>
          <w:rFonts w:hint="eastAsia" w:hAnsi="宋体" w:cs="宋体"/>
          <w:color w:val="auto"/>
          <w:highlight w:val="none"/>
        </w:rPr>
        <w:t>、信誉等方面内容按百分制打分。</w:t>
      </w:r>
    </w:p>
    <w:p w14:paraId="438DC9A5">
      <w:pPr>
        <w:pStyle w:val="17"/>
        <w:spacing w:line="480" w:lineRule="exact"/>
        <w:ind w:firstLine="420" w:firstLineChars="200"/>
        <w:rPr>
          <w:rFonts w:hint="eastAsia" w:hAnsi="宋体" w:cs="宋体"/>
          <w:color w:val="auto"/>
          <w:highlight w:val="none"/>
        </w:rPr>
      </w:pPr>
      <w:r>
        <w:rPr>
          <w:rFonts w:hint="eastAsia" w:hAnsi="宋体" w:cs="宋体"/>
          <w:color w:val="auto"/>
          <w:highlight w:val="none"/>
        </w:rPr>
        <w:t>2、评审方式：以封闭方式进行评审。</w:t>
      </w:r>
    </w:p>
    <w:p w14:paraId="1530CB1B">
      <w:pPr>
        <w:pStyle w:val="17"/>
        <w:spacing w:line="480" w:lineRule="exact"/>
        <w:ind w:firstLine="420" w:firstLineChars="200"/>
        <w:rPr>
          <w:rFonts w:hint="eastAsia" w:hAnsi="宋体" w:cs="宋体"/>
          <w:color w:val="auto"/>
          <w:highlight w:val="none"/>
        </w:rPr>
      </w:pPr>
      <w:r>
        <w:rPr>
          <w:rFonts w:hint="eastAsia" w:hAnsi="宋体" w:cs="宋体"/>
          <w:color w:val="auto"/>
          <w:szCs w:val="21"/>
          <w:highlight w:val="none"/>
        </w:rPr>
        <w:t>3、</w:t>
      </w:r>
      <w:r>
        <w:rPr>
          <w:rFonts w:hint="eastAsia" w:hAnsi="宋体" w:cs="宋体"/>
          <w:color w:val="auto"/>
          <w:highlight w:val="none"/>
        </w:rPr>
        <w:t>根据财库〔2012〕69号文规定，采购人和采购代理机构、</w:t>
      </w:r>
      <w:r>
        <w:rPr>
          <w:rFonts w:hint="eastAsia" w:hAnsi="宋体" w:cs="宋体"/>
          <w:color w:val="auto"/>
          <w:highlight w:val="none"/>
          <w:lang w:val="en-US" w:eastAsia="zh-CN"/>
        </w:rPr>
        <w:t>评审</w:t>
      </w:r>
      <w:r>
        <w:rPr>
          <w:rFonts w:hint="eastAsia" w:hAnsi="宋体" w:cs="宋体"/>
          <w:color w:val="auto"/>
          <w:highlight w:val="none"/>
        </w:rPr>
        <w:t>小组成员要严格遵守政府采购相关法律制度，依法履行各自职责，公正、客观、审慎地组织和参与评审工作。</w:t>
      </w:r>
    </w:p>
    <w:p w14:paraId="4A6CECAA">
      <w:pPr>
        <w:pStyle w:val="17"/>
        <w:spacing w:line="480" w:lineRule="exact"/>
        <w:ind w:firstLine="422" w:firstLineChars="200"/>
        <w:rPr>
          <w:rFonts w:hint="eastAsia" w:hAnsi="宋体" w:cs="宋体"/>
          <w:b/>
          <w:bCs/>
          <w:color w:val="auto"/>
          <w:highlight w:val="none"/>
        </w:rPr>
      </w:pPr>
      <w:r>
        <w:rPr>
          <w:rFonts w:hint="eastAsia" w:hAnsi="宋体" w:cs="宋体"/>
          <w:b/>
          <w:bCs/>
          <w:color w:val="auto"/>
          <w:highlight w:val="none"/>
        </w:rPr>
        <w:t>二、评审办法</w:t>
      </w:r>
    </w:p>
    <w:p w14:paraId="49E82F25">
      <w:pPr>
        <w:pStyle w:val="17"/>
        <w:spacing w:line="480" w:lineRule="exact"/>
        <w:ind w:firstLine="420" w:firstLineChars="200"/>
        <w:rPr>
          <w:rFonts w:hint="eastAsia" w:hAnsi="宋体" w:cs="宋体"/>
          <w:bCs/>
          <w:color w:val="auto"/>
          <w:highlight w:val="none"/>
        </w:rPr>
      </w:pPr>
      <w:r>
        <w:rPr>
          <w:rFonts w:hint="eastAsia" w:hAnsi="宋体" w:cs="宋体"/>
          <w:bCs/>
          <w:color w:val="auto"/>
          <w:highlight w:val="none"/>
        </w:rPr>
        <w:t>（一）对进入详评的，采用综合评分法。</w:t>
      </w:r>
    </w:p>
    <w:p w14:paraId="4ABF8FB1">
      <w:pPr>
        <w:pStyle w:val="17"/>
        <w:spacing w:line="480" w:lineRule="exact"/>
        <w:ind w:firstLine="420" w:firstLineChars="200"/>
        <w:rPr>
          <w:rFonts w:hint="eastAsia" w:hAnsi="宋体" w:cs="宋体"/>
          <w:bCs/>
          <w:color w:val="auto"/>
          <w:highlight w:val="none"/>
        </w:rPr>
      </w:pPr>
      <w:r>
        <w:rPr>
          <w:rFonts w:hint="eastAsia" w:hAnsi="宋体" w:cs="宋体"/>
          <w:bCs/>
          <w:color w:val="auto"/>
          <w:highlight w:val="none"/>
        </w:rPr>
        <w:t>（二）计分办法（按四舍五入取至小数点后二位）</w:t>
      </w:r>
    </w:p>
    <w:p w14:paraId="004064C0">
      <w:pPr>
        <w:pStyle w:val="17"/>
        <w:spacing w:line="480" w:lineRule="exact"/>
        <w:ind w:firstLine="420"/>
        <w:rPr>
          <w:rFonts w:hint="eastAsia" w:hAnsi="宋体" w:cs="宋体"/>
          <w:b/>
          <w:bCs/>
          <w:color w:val="auto"/>
          <w:highlight w:val="none"/>
        </w:rPr>
      </w:pPr>
      <w:r>
        <w:rPr>
          <w:rFonts w:hint="eastAsia" w:hAnsi="宋体" w:cs="宋体"/>
          <w:b/>
          <w:color w:val="auto"/>
          <w:highlight w:val="none"/>
        </w:rPr>
        <w:t xml:space="preserve">1. </w:t>
      </w:r>
      <w:r>
        <w:rPr>
          <w:rFonts w:hint="eastAsia" w:hAnsi="宋体" w:cs="宋体"/>
          <w:b/>
          <w:bCs/>
          <w:color w:val="auto"/>
          <w:highlight w:val="none"/>
        </w:rPr>
        <w:t>价格分…………………………………………………………………………………满分</w:t>
      </w:r>
      <w:r>
        <w:rPr>
          <w:rFonts w:hint="eastAsia" w:hAnsi="宋体" w:cs="宋体"/>
          <w:b/>
          <w:bCs/>
          <w:color w:val="auto"/>
          <w:highlight w:val="none"/>
          <w:lang w:eastAsia="zh-CN"/>
        </w:rPr>
        <w:t>3</w:t>
      </w:r>
      <w:r>
        <w:rPr>
          <w:rFonts w:hint="eastAsia" w:hAnsi="宋体" w:cs="宋体"/>
          <w:b/>
          <w:bCs/>
          <w:color w:val="auto"/>
          <w:highlight w:val="none"/>
        </w:rPr>
        <w:t>0分</w:t>
      </w:r>
    </w:p>
    <w:p w14:paraId="28FE4139">
      <w:pPr>
        <w:pStyle w:val="17"/>
        <w:spacing w:line="480" w:lineRule="exact"/>
        <w:ind w:firstLine="420"/>
        <w:rPr>
          <w:rFonts w:hint="eastAsia" w:hAnsi="宋体" w:cs="宋体"/>
          <w:color w:val="auto"/>
          <w:szCs w:val="21"/>
          <w:highlight w:val="none"/>
        </w:rPr>
      </w:pPr>
      <w:r>
        <w:rPr>
          <w:rFonts w:hint="eastAsia" w:hAnsi="宋体" w:cs="宋体"/>
          <w:bCs/>
          <w:color w:val="auto"/>
          <w:highlight w:val="none"/>
        </w:rPr>
        <w:t>以进入评标的最低的评标报价为</w:t>
      </w:r>
      <w:r>
        <w:rPr>
          <w:rFonts w:hint="eastAsia" w:hAnsi="宋体" w:cs="宋体"/>
          <w:bCs/>
          <w:color w:val="auto"/>
          <w:highlight w:val="none"/>
          <w:lang w:eastAsia="zh-CN"/>
        </w:rPr>
        <w:t>3</w:t>
      </w:r>
      <w:r>
        <w:rPr>
          <w:rFonts w:hint="eastAsia" w:hAnsi="宋体" w:cs="宋体"/>
          <w:bCs/>
          <w:color w:val="auto"/>
          <w:highlight w:val="none"/>
        </w:rPr>
        <w:t>0分</w:t>
      </w:r>
    </w:p>
    <w:p w14:paraId="283CC9C6">
      <w:pPr>
        <w:pStyle w:val="17"/>
        <w:spacing w:line="480" w:lineRule="exact"/>
        <w:ind w:firstLine="420"/>
        <w:rPr>
          <w:rFonts w:hint="eastAsia" w:hAnsi="宋体" w:cs="宋体"/>
          <w:color w:val="auto"/>
          <w:szCs w:val="21"/>
          <w:highlight w:val="none"/>
        </w:rPr>
      </w:pPr>
      <w:r>
        <w:rPr>
          <w:rFonts w:hint="eastAsia" w:hAnsi="宋体" w:cs="宋体"/>
          <w:color w:val="auto"/>
          <w:szCs w:val="21"/>
          <w:highlight w:val="none"/>
        </w:rPr>
        <w:t xml:space="preserve">价格分计算公式： </w:t>
      </w:r>
    </w:p>
    <w:p w14:paraId="4FDC7F5C">
      <w:pPr>
        <w:pStyle w:val="17"/>
        <w:spacing w:line="480" w:lineRule="exact"/>
        <w:ind w:firstLine="3150" w:firstLineChars="1500"/>
        <w:rPr>
          <w:rFonts w:hint="eastAsia" w:hAnsi="宋体" w:cs="宋体"/>
          <w:bCs/>
          <w:color w:val="auto"/>
          <w:highlight w:val="none"/>
        </w:rPr>
      </w:pPr>
      <w:r>
        <w:rPr>
          <w:rFonts w:hint="eastAsia" w:hAnsi="宋体" w:cs="宋体"/>
          <w:bCs/>
          <w:color w:val="auto"/>
          <w:highlight w:val="none"/>
        </w:rPr>
        <w:t>最低</w:t>
      </w:r>
      <w:r>
        <w:rPr>
          <w:rFonts w:hint="eastAsia" w:hAnsi="宋体" w:cs="宋体"/>
          <w:color w:val="auto"/>
          <w:highlight w:val="none"/>
          <w:lang w:val="en-US" w:eastAsia="zh-CN"/>
        </w:rPr>
        <w:t>投标</w:t>
      </w:r>
      <w:r>
        <w:rPr>
          <w:rFonts w:hint="eastAsia" w:hAnsi="宋体" w:cs="宋体"/>
          <w:color w:val="auto"/>
          <w:highlight w:val="none"/>
        </w:rPr>
        <w:t>供应商评审报价</w:t>
      </w:r>
      <w:r>
        <w:rPr>
          <w:rFonts w:hint="eastAsia" w:hAnsi="宋体" w:cs="宋体"/>
          <w:bCs/>
          <w:color w:val="auto"/>
          <w:highlight w:val="none"/>
        </w:rPr>
        <w:t xml:space="preserve">金额          </w:t>
      </w:r>
    </w:p>
    <w:p w14:paraId="1BD16438">
      <w:pPr>
        <w:pStyle w:val="17"/>
        <w:spacing w:line="480" w:lineRule="exact"/>
        <w:ind w:firstLine="420"/>
        <w:rPr>
          <w:rFonts w:hint="eastAsia" w:hAnsi="宋体" w:cs="宋体"/>
          <w:bCs/>
          <w:color w:val="auto"/>
          <w:highlight w:val="none"/>
        </w:rPr>
      </w:pPr>
      <w:r>
        <w:rPr>
          <w:rFonts w:hint="eastAsia" w:hAnsi="宋体" w:cs="宋体"/>
          <w:bCs/>
          <w:color w:val="auto"/>
          <w:highlight w:val="none"/>
        </w:rPr>
        <w:pict>
          <v:line id="_x0000_s2056" o:spid="_x0000_s2056" o:spt="20" style="position:absolute;left:0pt;margin-left:137.7pt;margin-top:9.85pt;height:0pt;width:173.25pt;z-index:251664384;mso-width-relative:page;mso-height-relative:page;" filled="f" stroked="t" coordsize="21600,21600" o:gfxdata="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Nv7ZbW&#10;AAAACQEAAA8AAAAAAAAAAQAgAAAAIgAAAGRycy9kb3ducmV2LnhtbFBLAQIUABQAAAAIAIdO4kDX&#10;X/ok6QEAALgDAAAOAAAAAAAAAAEAIAAAACUBAABkcnMvZTJvRG9jLnhtbFBLBQYAAAAABgAGAFkB&#10;AACABQAAAAA=&#10;">
            <v:path arrowok="t"/>
            <v:fill on="f" focussize="0,0"/>
            <v:stroke color="#000000" joinstyle="round"/>
            <v:imagedata o:title=""/>
            <o:lock v:ext="edit" aspectratio="f"/>
          </v:line>
        </w:pict>
      </w:r>
      <w:r>
        <w:rPr>
          <w:rFonts w:hint="eastAsia" w:hAnsi="宋体" w:cs="宋体"/>
          <w:bCs/>
          <w:color w:val="auto"/>
          <w:highlight w:val="none"/>
        </w:rPr>
        <w:t xml:space="preserve"> </w:t>
      </w:r>
      <w:r>
        <w:rPr>
          <w:rFonts w:hint="eastAsia" w:hAnsi="宋体" w:cs="宋体"/>
          <w:bCs/>
          <w:color w:val="auto"/>
          <w:highlight w:val="none"/>
          <w:lang w:val="en-US" w:eastAsia="zh-CN"/>
        </w:rPr>
        <w:t>投标</w:t>
      </w:r>
      <w:r>
        <w:rPr>
          <w:rFonts w:hint="eastAsia" w:hAnsi="宋体" w:cs="宋体"/>
          <w:color w:val="auto"/>
          <w:highlight w:val="none"/>
        </w:rPr>
        <w:t>供应商</w:t>
      </w:r>
      <w:r>
        <w:rPr>
          <w:rFonts w:hint="eastAsia" w:hAnsi="宋体" w:cs="宋体"/>
          <w:bCs/>
          <w:color w:val="auto"/>
          <w:highlight w:val="none"/>
        </w:rPr>
        <w:t>价格分 =                                    ×</w:t>
      </w:r>
      <w:r>
        <w:rPr>
          <w:rFonts w:hint="eastAsia" w:hAnsi="宋体" w:cs="宋体"/>
          <w:bCs/>
          <w:color w:val="auto"/>
          <w:highlight w:val="none"/>
          <w:lang w:eastAsia="zh-CN"/>
        </w:rPr>
        <w:t>3</w:t>
      </w:r>
      <w:r>
        <w:rPr>
          <w:rFonts w:hint="eastAsia" w:hAnsi="宋体" w:cs="宋体"/>
          <w:bCs/>
          <w:color w:val="auto"/>
          <w:highlight w:val="none"/>
        </w:rPr>
        <w:t>0分</w:t>
      </w:r>
    </w:p>
    <w:p w14:paraId="5A98C6C0">
      <w:pPr>
        <w:pStyle w:val="17"/>
        <w:spacing w:line="480" w:lineRule="exact"/>
        <w:ind w:firstLine="420" w:firstLineChars="200"/>
        <w:rPr>
          <w:rFonts w:hint="eastAsia" w:hAnsi="宋体" w:cs="宋体"/>
          <w:b/>
          <w:color w:val="auto"/>
          <w:highlight w:val="none"/>
        </w:rPr>
      </w:pPr>
      <w:r>
        <w:rPr>
          <w:rFonts w:hint="eastAsia" w:hAnsi="宋体" w:cs="宋体"/>
          <w:bCs/>
          <w:color w:val="auto"/>
          <w:highlight w:val="none"/>
        </w:rPr>
        <w:t xml:space="preserve">                           </w:t>
      </w:r>
      <w:r>
        <w:rPr>
          <w:rFonts w:hint="eastAsia" w:hAnsi="宋体" w:cs="宋体"/>
          <w:color w:val="auto"/>
          <w:highlight w:val="none"/>
          <w:lang w:val="en-US" w:eastAsia="zh-CN"/>
        </w:rPr>
        <w:t>投标</w:t>
      </w:r>
      <w:r>
        <w:rPr>
          <w:rFonts w:hint="eastAsia" w:hAnsi="宋体" w:cs="宋体"/>
          <w:color w:val="auto"/>
          <w:highlight w:val="none"/>
        </w:rPr>
        <w:t>供应商评审报价</w:t>
      </w:r>
      <w:r>
        <w:rPr>
          <w:rFonts w:hint="eastAsia" w:hAnsi="宋体" w:cs="宋体"/>
          <w:bCs/>
          <w:color w:val="auto"/>
          <w:highlight w:val="none"/>
        </w:rPr>
        <w:t xml:space="preserve">金额 </w:t>
      </w:r>
    </w:p>
    <w:p w14:paraId="7C548D39">
      <w:pPr>
        <w:pStyle w:val="17"/>
        <w:spacing w:line="480" w:lineRule="exact"/>
        <w:ind w:firstLine="422" w:firstLineChars="200"/>
        <w:rPr>
          <w:rFonts w:hint="eastAsia" w:hAnsi="宋体" w:cs="宋体"/>
          <w:b/>
          <w:bCs/>
          <w:color w:val="auto"/>
          <w:szCs w:val="21"/>
          <w:highlight w:val="none"/>
        </w:rPr>
      </w:pPr>
      <w:r>
        <w:rPr>
          <w:rFonts w:hint="eastAsia" w:hAnsi="宋体" w:cs="宋体"/>
          <w:b/>
          <w:bCs/>
          <w:color w:val="auto"/>
          <w:szCs w:val="21"/>
          <w:highlight w:val="none"/>
        </w:rPr>
        <w:t xml:space="preserve">2 </w:t>
      </w:r>
      <w:r>
        <w:rPr>
          <w:rFonts w:hint="eastAsia" w:hAnsi="宋体" w:cs="宋体"/>
          <w:b/>
          <w:bCs/>
          <w:color w:val="auto"/>
          <w:szCs w:val="21"/>
          <w:highlight w:val="none"/>
          <w:lang w:eastAsia="zh-CN"/>
        </w:rPr>
        <w:t>技术</w:t>
      </w:r>
      <w:r>
        <w:rPr>
          <w:rFonts w:hint="eastAsia" w:hAnsi="宋体" w:cs="宋体"/>
          <w:b/>
          <w:bCs/>
          <w:color w:val="auto"/>
          <w:szCs w:val="21"/>
          <w:highlight w:val="none"/>
        </w:rPr>
        <w:t>分………………………………………</w:t>
      </w:r>
      <w:r>
        <w:rPr>
          <w:rFonts w:hAnsi="宋体" w:cs="宋体"/>
          <w:b/>
          <w:bCs/>
          <w:color w:val="auto"/>
          <w:szCs w:val="21"/>
          <w:highlight w:val="none"/>
          <w:lang w:eastAsia="zh-CN"/>
        </w:rPr>
        <w:t>…………</w:t>
      </w:r>
      <w:r>
        <w:rPr>
          <w:rFonts w:hint="eastAsia" w:hAnsi="宋体" w:cs="宋体"/>
          <w:b/>
          <w:bCs/>
          <w:color w:val="auto"/>
          <w:szCs w:val="21"/>
          <w:highlight w:val="none"/>
        </w:rPr>
        <w:t>………………………………… 满分</w:t>
      </w:r>
      <w:r>
        <w:rPr>
          <w:rFonts w:hint="eastAsia" w:hAnsi="宋体" w:cs="宋体"/>
          <w:b/>
          <w:bCs/>
          <w:color w:val="auto"/>
          <w:szCs w:val="21"/>
          <w:highlight w:val="none"/>
          <w:lang w:eastAsia="zh-CN"/>
        </w:rPr>
        <w:t>2</w:t>
      </w:r>
      <w:r>
        <w:rPr>
          <w:rFonts w:hint="eastAsia" w:hAnsi="宋体" w:cs="宋体"/>
          <w:b/>
          <w:bCs/>
          <w:color w:val="auto"/>
          <w:szCs w:val="21"/>
          <w:highlight w:val="none"/>
          <w:lang w:val="en-US" w:eastAsia="zh-CN"/>
        </w:rPr>
        <w:t>9</w:t>
      </w:r>
      <w:r>
        <w:rPr>
          <w:rFonts w:hint="eastAsia" w:hAnsi="宋体" w:cs="宋体"/>
          <w:b/>
          <w:bCs/>
          <w:color w:val="auto"/>
          <w:szCs w:val="21"/>
          <w:highlight w:val="none"/>
        </w:rPr>
        <w:t>分</w:t>
      </w:r>
    </w:p>
    <w:p w14:paraId="7387AB24">
      <w:pPr>
        <w:spacing w:line="480" w:lineRule="exact"/>
        <w:ind w:firstLine="420"/>
        <w:rPr>
          <w:rFonts w:hint="eastAsia" w:ascii="宋体" w:hAnsi="宋体" w:cs="宋体"/>
          <w:bCs/>
          <w:color w:val="auto"/>
          <w:szCs w:val="21"/>
          <w:highlight w:val="none"/>
        </w:rPr>
      </w:pPr>
      <w:r>
        <w:rPr>
          <w:rFonts w:hint="eastAsia" w:ascii="宋体" w:hAnsi="宋体" w:cs="宋体"/>
          <w:b/>
          <w:bCs/>
          <w:color w:val="auto"/>
          <w:szCs w:val="21"/>
          <w:highlight w:val="none"/>
        </w:rPr>
        <w:t>（1）基本分（满分1</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分）</w:t>
      </w:r>
    </w:p>
    <w:p w14:paraId="1C0D1BE2">
      <w:pPr>
        <w:spacing w:line="480" w:lineRule="exact"/>
        <w:ind w:firstLine="630" w:firstLineChars="300"/>
        <w:rPr>
          <w:rFonts w:ascii="宋体" w:hAnsi="宋体" w:cs="宋体"/>
          <w:b/>
          <w:bCs/>
          <w:color w:val="auto"/>
          <w:szCs w:val="21"/>
          <w:highlight w:val="none"/>
        </w:rPr>
      </w:pPr>
      <w:r>
        <w:rPr>
          <w:rFonts w:hint="eastAsia" w:ascii="宋体" w:hAnsi="宋体" w:cs="宋体"/>
          <w:bCs/>
          <w:color w:val="auto"/>
          <w:szCs w:val="21"/>
          <w:highlight w:val="none"/>
        </w:rPr>
        <w:t>响应产品技术参数及性能配置完全符合</w:t>
      </w:r>
      <w:r>
        <w:rPr>
          <w:rFonts w:hint="eastAsia" w:ascii="宋体" w:hAnsi="宋体" w:cs="宋体"/>
          <w:bCs/>
          <w:color w:val="auto"/>
          <w:szCs w:val="21"/>
          <w:highlight w:val="none"/>
          <w:lang w:val="en-US" w:eastAsia="zh-CN"/>
        </w:rPr>
        <w:t>招标</w:t>
      </w:r>
      <w:r>
        <w:rPr>
          <w:rFonts w:hint="eastAsia" w:ascii="宋体" w:hAnsi="宋体" w:cs="宋体"/>
          <w:bCs/>
          <w:color w:val="auto"/>
          <w:szCs w:val="21"/>
          <w:highlight w:val="none"/>
        </w:rPr>
        <w:t>文件要求（含非标注★项）的，得 1</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 xml:space="preserve"> 分；非“★”的参数每负偏离一项扣1分，扣完为止，满分1</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分。</w:t>
      </w:r>
    </w:p>
    <w:p w14:paraId="50889F97">
      <w:pPr>
        <w:spacing w:line="480" w:lineRule="exact"/>
        <w:ind w:firstLine="420"/>
        <w:rPr>
          <w:rFonts w:ascii="宋体" w:hAnsi="宋体" w:cs="宋体"/>
          <w:bCs/>
          <w:color w:val="auto"/>
          <w:szCs w:val="21"/>
          <w:highlight w:val="none"/>
        </w:rPr>
      </w:pPr>
      <w:r>
        <w:rPr>
          <w:rFonts w:hint="eastAsia" w:ascii="宋体" w:hAnsi="宋体" w:cs="宋体"/>
          <w:b/>
          <w:bCs/>
          <w:color w:val="auto"/>
          <w:szCs w:val="21"/>
          <w:highlight w:val="none"/>
        </w:rPr>
        <w:t>（2）技术分（满分</w:t>
      </w:r>
      <w:r>
        <w:rPr>
          <w:rFonts w:hint="eastAsia" w:ascii="宋体" w:hAnsi="宋体" w:cs="宋体"/>
          <w:b/>
          <w:bCs/>
          <w:color w:val="auto"/>
          <w:szCs w:val="21"/>
          <w:highlight w:val="none"/>
          <w:lang w:val="en-US" w:eastAsia="zh-CN"/>
        </w:rPr>
        <w:t>19</w:t>
      </w:r>
      <w:r>
        <w:rPr>
          <w:rFonts w:hint="eastAsia" w:ascii="宋体" w:hAnsi="宋体" w:cs="宋体"/>
          <w:b/>
          <w:bCs/>
          <w:color w:val="auto"/>
          <w:szCs w:val="21"/>
          <w:highlight w:val="none"/>
        </w:rPr>
        <w:t>分）</w:t>
      </w:r>
    </w:p>
    <w:p w14:paraId="3E4E47A6">
      <w:pPr>
        <w:spacing w:line="480" w:lineRule="exact"/>
        <w:ind w:firstLine="630" w:firstLineChars="300"/>
        <w:rPr>
          <w:rFonts w:hint="eastAsia" w:ascii="宋体" w:hAnsi="宋体" w:cs="宋体"/>
          <w:bCs/>
          <w:color w:val="auto"/>
          <w:szCs w:val="21"/>
          <w:highlight w:val="none"/>
        </w:rPr>
      </w:pPr>
      <w:r>
        <w:rPr>
          <w:rFonts w:hint="eastAsia"/>
          <w:b w:val="0"/>
          <w:bCs w:val="0"/>
          <w:color w:val="auto"/>
          <w:sz w:val="21"/>
          <w:szCs w:val="21"/>
          <w:highlight w:val="none"/>
          <w:lang w:val="en-US" w:eastAsia="zh-CN"/>
        </w:rPr>
        <w:t>手机稳定器</w:t>
      </w:r>
      <w:r>
        <w:rPr>
          <w:rFonts w:hint="eastAsia"/>
          <w:b/>
          <w:bCs/>
          <w:color w:val="auto"/>
          <w:sz w:val="21"/>
          <w:szCs w:val="21"/>
          <w:highlight w:val="none"/>
          <w:lang w:val="en-US" w:eastAsia="zh-CN"/>
        </w:rPr>
        <w:t>“一、基本技术要求”</w:t>
      </w:r>
      <w:r>
        <w:rPr>
          <w:rFonts w:hint="eastAsia"/>
          <w:b w:val="0"/>
          <w:bCs w:val="0"/>
          <w:color w:val="auto"/>
          <w:sz w:val="21"/>
          <w:szCs w:val="21"/>
          <w:highlight w:val="none"/>
          <w:lang w:val="en-US" w:eastAsia="zh-CN"/>
        </w:rPr>
        <w:t>中</w:t>
      </w:r>
      <w:r>
        <w:rPr>
          <w:rFonts w:hint="eastAsia" w:ascii="宋体" w:hAnsi="宋体" w:cs="宋体"/>
          <w:bCs/>
          <w:color w:val="auto"/>
          <w:szCs w:val="21"/>
          <w:highlight w:val="none"/>
        </w:rPr>
        <w:t>标“▲”项的技术指标提供</w:t>
      </w:r>
      <w:r>
        <w:rPr>
          <w:rFonts w:hint="eastAsia" w:hAnsi="宋体" w:cs="宋体"/>
          <w:color w:val="auto"/>
          <w:szCs w:val="21"/>
          <w:highlight w:val="none"/>
          <w:lang w:eastAsia="zh-CN"/>
        </w:rPr>
        <w:t>供应商</w:t>
      </w:r>
      <w:r>
        <w:rPr>
          <w:rFonts w:hint="eastAsia" w:hAnsi="宋体" w:cs="宋体"/>
          <w:color w:val="auto"/>
          <w:szCs w:val="21"/>
          <w:highlight w:val="none"/>
          <w:lang w:val="en-US" w:eastAsia="zh-CN"/>
        </w:rPr>
        <w:t>或核心产品生产厂家使用说明书的得9</w:t>
      </w:r>
      <w:r>
        <w:rPr>
          <w:rFonts w:hint="eastAsia" w:asciiTheme="majorEastAsia" w:hAnsiTheme="majorEastAsia" w:eastAsiaTheme="majorEastAsia" w:cstheme="majorEastAsia"/>
          <w:color w:val="auto"/>
          <w:szCs w:val="21"/>
          <w:highlight w:val="none"/>
          <w:lang w:val="en-US" w:eastAsia="zh-CN"/>
        </w:rPr>
        <w:t>分，</w:t>
      </w:r>
      <w:r>
        <w:rPr>
          <w:rFonts w:hint="eastAsia"/>
          <w:b w:val="0"/>
          <w:bCs w:val="0"/>
          <w:color w:val="auto"/>
          <w:sz w:val="21"/>
          <w:szCs w:val="21"/>
          <w:highlight w:val="none"/>
          <w:lang w:val="en-US" w:eastAsia="zh-CN"/>
        </w:rPr>
        <w:t>手机稳定器</w:t>
      </w:r>
      <w:r>
        <w:rPr>
          <w:rFonts w:hint="eastAsia" w:ascii="宋体" w:hAnsi="宋体" w:cs="宋体"/>
          <w:b/>
          <w:bCs w:val="0"/>
          <w:color w:val="auto"/>
          <w:szCs w:val="21"/>
          <w:highlight w:val="none"/>
          <w:lang w:eastAsia="zh-CN"/>
        </w:rPr>
        <w:t>“二、整机”</w:t>
      </w:r>
      <w:r>
        <w:rPr>
          <w:rFonts w:hint="eastAsia" w:ascii="宋体" w:hAnsi="宋体" w:cs="宋体"/>
          <w:bCs/>
          <w:color w:val="auto"/>
          <w:szCs w:val="21"/>
          <w:highlight w:val="none"/>
          <w:lang w:val="en-US" w:eastAsia="zh-CN"/>
        </w:rPr>
        <w:t>中</w:t>
      </w:r>
      <w:r>
        <w:rPr>
          <w:rFonts w:hint="eastAsia" w:ascii="宋体" w:hAnsi="宋体" w:cs="宋体"/>
          <w:bCs/>
          <w:color w:val="auto"/>
          <w:szCs w:val="21"/>
          <w:highlight w:val="none"/>
        </w:rPr>
        <w:t>标“▲”项的技术指标提供202</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年以来由国家认可的具有CMA检测资质的第三方检测机构出具的合格有效检测（验）报告复印件并加盖供应商CA签章的，每一项得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分，满分</w:t>
      </w:r>
      <w:r>
        <w:rPr>
          <w:rFonts w:hint="eastAsia" w:ascii="宋体" w:hAnsi="宋体" w:cs="宋体"/>
          <w:bCs/>
          <w:color w:val="auto"/>
          <w:szCs w:val="21"/>
          <w:highlight w:val="none"/>
          <w:lang w:val="en-US" w:eastAsia="zh-CN"/>
        </w:rPr>
        <w:t>19</w:t>
      </w:r>
      <w:r>
        <w:rPr>
          <w:rFonts w:hint="eastAsia" w:ascii="宋体" w:hAnsi="宋体" w:cs="宋体"/>
          <w:bCs/>
          <w:color w:val="auto"/>
          <w:szCs w:val="21"/>
          <w:highlight w:val="none"/>
        </w:rPr>
        <w:t>分。</w:t>
      </w:r>
    </w:p>
    <w:p w14:paraId="4474E115">
      <w:pPr>
        <w:spacing w:line="480" w:lineRule="exact"/>
        <w:ind w:firstLine="420"/>
        <w:rPr>
          <w:rFonts w:hint="eastAsia" w:ascii="宋体" w:hAnsi="宋体" w:cs="宋体"/>
          <w:bCs/>
          <w:color w:val="auto"/>
          <w:szCs w:val="21"/>
          <w:highlight w:val="none"/>
        </w:rPr>
      </w:pPr>
      <w:r>
        <w:rPr>
          <w:rFonts w:hint="eastAsia" w:ascii="宋体" w:hAnsi="宋体" w:cs="宋体"/>
          <w:b/>
          <w:color w:val="auto"/>
          <w:szCs w:val="21"/>
          <w:highlight w:val="none"/>
        </w:rPr>
        <w:t>3、</w:t>
      </w:r>
      <w:r>
        <w:rPr>
          <w:rFonts w:hint="eastAsia" w:ascii="宋体" w:hAnsi="宋体" w:cs="宋体"/>
          <w:b/>
          <w:bCs/>
          <w:color w:val="auto"/>
          <w:szCs w:val="21"/>
          <w:highlight w:val="none"/>
        </w:rPr>
        <w:t>慰问信设计方案分</w:t>
      </w:r>
      <w:r>
        <w:rPr>
          <w:rFonts w:hint="eastAsia" w:ascii="宋体" w:hAnsi="宋体" w:cs="宋体"/>
          <w:b/>
          <w:color w:val="auto"/>
          <w:szCs w:val="21"/>
          <w:highlight w:val="none"/>
        </w:rPr>
        <w:t>……………………………………………………………………满分15分</w:t>
      </w:r>
    </w:p>
    <w:p w14:paraId="470F437F">
      <w:pPr>
        <w:widowControl/>
        <w:spacing w:line="44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评标委员会根据各供应商</w:t>
      </w:r>
      <w:r>
        <w:rPr>
          <w:rFonts w:hint="eastAsia" w:ascii="宋体" w:hAnsi="宋体" w:cs="宋体"/>
          <w:bCs/>
          <w:color w:val="auto"/>
          <w:szCs w:val="21"/>
          <w:highlight w:val="none"/>
        </w:rPr>
        <w:t>投标文件中慰问信设计方案内容的完整性、</w:t>
      </w:r>
      <w:r>
        <w:rPr>
          <w:rFonts w:hint="eastAsia" w:ascii="宋体" w:hAnsi="宋体" w:cs="宋体"/>
          <w:color w:val="auto"/>
          <w:szCs w:val="21"/>
          <w:highlight w:val="none"/>
        </w:rPr>
        <w:t>慰问信效果图、设计方案和文字说明的科学合理性、</w:t>
      </w:r>
      <w:r>
        <w:rPr>
          <w:rFonts w:hint="eastAsia" w:ascii="宋体" w:hAnsi="宋体" w:cs="宋体"/>
          <w:bCs/>
          <w:color w:val="auto"/>
          <w:szCs w:val="21"/>
          <w:highlight w:val="none"/>
        </w:rPr>
        <w:t>可行性，</w:t>
      </w:r>
      <w:r>
        <w:rPr>
          <w:rFonts w:hint="eastAsia" w:ascii="宋体" w:hAnsi="宋体" w:cs="宋体"/>
          <w:color w:val="auto"/>
          <w:szCs w:val="21"/>
          <w:highlight w:val="none"/>
        </w:rPr>
        <w:t>切合实际要求等方面进行独立评审并独立打分。</w:t>
      </w:r>
    </w:p>
    <w:p w14:paraId="7959BD02">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一档（0分）：</w:t>
      </w:r>
      <w:r>
        <w:rPr>
          <w:rFonts w:hint="eastAsia" w:ascii="宋体" w:hAnsi="宋体" w:cs="宋体"/>
          <w:color w:val="auto"/>
          <w:szCs w:val="22"/>
          <w:highlight w:val="none"/>
        </w:rPr>
        <w:t>未提供</w:t>
      </w:r>
      <w:r>
        <w:rPr>
          <w:rFonts w:hint="eastAsia" w:ascii="宋体" w:hAnsi="宋体" w:cs="宋体"/>
          <w:bCs/>
          <w:color w:val="auto"/>
          <w:szCs w:val="21"/>
          <w:highlight w:val="none"/>
        </w:rPr>
        <w:t>慰问信设计方案</w:t>
      </w:r>
      <w:r>
        <w:rPr>
          <w:rFonts w:hint="eastAsia" w:ascii="宋体" w:hAnsi="宋体" w:cs="宋体"/>
          <w:color w:val="auto"/>
          <w:szCs w:val="22"/>
          <w:highlight w:val="none"/>
        </w:rPr>
        <w:t>或方案被评定为差的，得0分。</w:t>
      </w:r>
    </w:p>
    <w:p w14:paraId="6CE22498">
      <w:pPr>
        <w:widowControl/>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二档（5分）：设计方案简单，基本理解项目内容及要求，文字说明简单，图、文偏离主题，效果图一般。</w:t>
      </w:r>
    </w:p>
    <w:p w14:paraId="6431296D">
      <w:pPr>
        <w:pStyle w:val="133"/>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三档（10分）：设计方案清晰明确，能较好理解项目内容及要求，方案文字比较完整，主题明确，切合实际，有针对性，效果图较整洁、美观。</w:t>
      </w:r>
    </w:p>
    <w:p w14:paraId="43F2339A">
      <w:pPr>
        <w:tabs>
          <w:tab w:val="left" w:pos="567"/>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四档（15分）</w:t>
      </w:r>
      <w:r>
        <w:rPr>
          <w:rFonts w:hint="eastAsia" w:ascii="宋体" w:hAnsi="宋体" w:cs="宋体"/>
          <w:bCs/>
          <w:color w:val="auto"/>
          <w:szCs w:val="21"/>
          <w:highlight w:val="none"/>
        </w:rPr>
        <w:t>：设计方案详细完整，能更好理解项目内容及要求，图文思路清晰、主题突出，切合实际情况，针对性强，效果图整洁、美观、大方且设计感强。</w:t>
      </w:r>
    </w:p>
    <w:p w14:paraId="07AD9F9B">
      <w:pPr>
        <w:spacing w:line="480" w:lineRule="exact"/>
        <w:ind w:firstLine="420"/>
        <w:rPr>
          <w:rFonts w:hint="eastAsia"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bCs/>
          <w:color w:val="auto"/>
          <w:szCs w:val="21"/>
          <w:highlight w:val="none"/>
        </w:rPr>
        <w:t>售后服务</w:t>
      </w:r>
      <w:r>
        <w:rPr>
          <w:rFonts w:hint="eastAsia" w:ascii="宋体" w:hAnsi="宋体" w:cs="宋体"/>
          <w:b/>
          <w:color w:val="auto"/>
          <w:szCs w:val="21"/>
          <w:highlight w:val="none"/>
        </w:rPr>
        <w:t>分………</w:t>
      </w:r>
      <w:r>
        <w:rPr>
          <w:rFonts w:ascii="宋体" w:hAnsi="宋体" w:cs="宋体"/>
          <w:b/>
          <w:color w:val="auto"/>
          <w:szCs w:val="21"/>
          <w:highlight w:val="none"/>
        </w:rPr>
        <w:t>……………</w:t>
      </w:r>
      <w:r>
        <w:rPr>
          <w:rFonts w:hint="eastAsia" w:ascii="宋体" w:hAnsi="宋体" w:cs="宋体"/>
          <w:b/>
          <w:color w:val="auto"/>
          <w:szCs w:val="21"/>
          <w:highlight w:val="none"/>
        </w:rPr>
        <w:t>…………………………………………………………满分15分</w:t>
      </w:r>
    </w:p>
    <w:p w14:paraId="7F828903">
      <w:pPr>
        <w:pStyle w:val="15"/>
        <w:spacing w:line="440" w:lineRule="exact"/>
        <w:ind w:firstLine="422" w:firstLineChars="200"/>
        <w:rPr>
          <w:rFonts w:hAnsi="宋体" w:cs="宋体"/>
          <w:color w:val="auto"/>
          <w:szCs w:val="21"/>
          <w:highlight w:val="none"/>
        </w:rPr>
      </w:pPr>
      <w:r>
        <w:rPr>
          <w:rFonts w:hint="eastAsia" w:hAnsi="宋体" w:cs="宋体"/>
          <w:b/>
          <w:color w:val="auto"/>
          <w:szCs w:val="21"/>
          <w:highlight w:val="none"/>
        </w:rPr>
        <w:t xml:space="preserve">  </w:t>
      </w:r>
      <w:r>
        <w:rPr>
          <w:rFonts w:hint="eastAsia" w:hAnsi="宋体" w:cs="宋体"/>
          <w:color w:val="auto"/>
          <w:sz w:val="21"/>
          <w:szCs w:val="21"/>
          <w:highlight w:val="none"/>
        </w:rPr>
        <w:t>评标委员会根据各</w:t>
      </w:r>
      <w:r>
        <w:rPr>
          <w:rFonts w:hint="eastAsia" w:hAnsi="宋体" w:cs="宋体"/>
          <w:color w:val="auto"/>
          <w:sz w:val="21"/>
          <w:szCs w:val="21"/>
          <w:highlight w:val="none"/>
          <w:lang w:eastAsia="zh-CN"/>
        </w:rPr>
        <w:t>供应商</w:t>
      </w:r>
      <w:r>
        <w:rPr>
          <w:rFonts w:hint="eastAsia" w:hAnsi="宋体" w:cs="宋体"/>
          <w:bCs/>
          <w:color w:val="auto"/>
          <w:sz w:val="21"/>
          <w:szCs w:val="21"/>
          <w:highlight w:val="none"/>
          <w:lang w:val="en-US" w:eastAsia="zh-CN"/>
        </w:rPr>
        <w:t>投标</w:t>
      </w:r>
      <w:r>
        <w:rPr>
          <w:rFonts w:hint="eastAsia" w:hAnsi="宋体" w:cs="宋体"/>
          <w:bCs/>
          <w:color w:val="auto"/>
          <w:sz w:val="21"/>
          <w:szCs w:val="21"/>
          <w:highlight w:val="none"/>
        </w:rPr>
        <w:t>文件中</w:t>
      </w:r>
      <w:r>
        <w:rPr>
          <w:rFonts w:hint="eastAsia" w:hAnsi="宋体" w:cs="宋体"/>
          <w:color w:val="auto"/>
          <w:sz w:val="21"/>
          <w:szCs w:val="21"/>
          <w:highlight w:val="none"/>
        </w:rPr>
        <w:t>售后服务要求的响应程度及提供的服务</w:t>
      </w:r>
      <w:r>
        <w:rPr>
          <w:rFonts w:hint="eastAsia" w:hAnsi="宋体" w:cs="宋体"/>
          <w:color w:val="auto"/>
          <w:sz w:val="21"/>
          <w:szCs w:val="21"/>
          <w:highlight w:val="none"/>
          <w:lang w:val="en-US" w:eastAsia="zh-CN"/>
        </w:rPr>
        <w:t>实施</w:t>
      </w:r>
      <w:r>
        <w:rPr>
          <w:rFonts w:hint="eastAsia" w:hAnsi="宋体" w:cs="宋体"/>
          <w:color w:val="auto"/>
          <w:sz w:val="21"/>
          <w:szCs w:val="21"/>
          <w:highlight w:val="none"/>
        </w:rPr>
        <w:t>措施等</w:t>
      </w:r>
      <w:r>
        <w:rPr>
          <w:rFonts w:hint="eastAsia" w:hAnsi="宋体" w:cs="宋体"/>
          <w:color w:val="auto"/>
          <w:sz w:val="21"/>
          <w:szCs w:val="21"/>
          <w:highlight w:val="none"/>
          <w:lang w:val="en-US" w:eastAsia="zh-CN"/>
        </w:rPr>
        <w:t>方面</w:t>
      </w:r>
      <w:r>
        <w:rPr>
          <w:rFonts w:hint="eastAsia" w:hAnsi="宋体" w:cs="宋体"/>
          <w:color w:val="auto"/>
          <w:sz w:val="21"/>
          <w:szCs w:val="21"/>
          <w:highlight w:val="none"/>
        </w:rPr>
        <w:t>进行</w:t>
      </w:r>
      <w:r>
        <w:rPr>
          <w:rFonts w:hint="eastAsia" w:hAnsi="宋体" w:cs="宋体"/>
          <w:color w:val="auto"/>
          <w:sz w:val="21"/>
          <w:szCs w:val="21"/>
          <w:highlight w:val="none"/>
          <w:lang w:val="en-US" w:eastAsia="zh-CN"/>
        </w:rPr>
        <w:t>独立</w:t>
      </w:r>
      <w:r>
        <w:rPr>
          <w:rFonts w:hint="eastAsia" w:hAnsi="宋体" w:cs="宋体"/>
          <w:color w:val="auto"/>
          <w:sz w:val="21"/>
          <w:szCs w:val="21"/>
          <w:highlight w:val="none"/>
        </w:rPr>
        <w:t>评审并</w:t>
      </w:r>
      <w:r>
        <w:rPr>
          <w:rFonts w:hint="eastAsia" w:hAnsi="宋体" w:cs="宋体"/>
          <w:color w:val="auto"/>
          <w:sz w:val="21"/>
          <w:szCs w:val="21"/>
          <w:highlight w:val="none"/>
          <w:lang w:val="en-US" w:eastAsia="zh-CN"/>
        </w:rPr>
        <w:t>独立</w:t>
      </w:r>
      <w:r>
        <w:rPr>
          <w:rFonts w:hint="eastAsia" w:hAnsi="宋体" w:cs="宋体"/>
          <w:color w:val="auto"/>
          <w:sz w:val="21"/>
          <w:szCs w:val="21"/>
          <w:highlight w:val="none"/>
        </w:rPr>
        <w:t>打分。</w:t>
      </w:r>
    </w:p>
    <w:p w14:paraId="74AA3FA9">
      <w:pPr>
        <w:pStyle w:val="15"/>
        <w:spacing w:line="440" w:lineRule="exact"/>
        <w:ind w:firstLine="420" w:firstLineChars="200"/>
        <w:rPr>
          <w:rFonts w:hAnsi="宋体" w:cs="宋体"/>
          <w:color w:val="auto"/>
          <w:szCs w:val="21"/>
          <w:highlight w:val="none"/>
        </w:rPr>
      </w:pPr>
      <w:r>
        <w:rPr>
          <w:rFonts w:hint="eastAsia" w:hAnsi="宋体" w:cs="宋体"/>
          <w:color w:val="auto"/>
          <w:sz w:val="21"/>
          <w:szCs w:val="21"/>
          <w:highlight w:val="none"/>
          <w:lang w:val="en-US" w:eastAsia="zh-CN"/>
        </w:rPr>
        <w:t>一档</w:t>
      </w:r>
      <w:r>
        <w:rPr>
          <w:rFonts w:hint="eastAsia" w:hAnsi="宋体" w:eastAsia="宋体" w:cs="宋体"/>
          <w:color w:val="auto"/>
          <w:sz w:val="21"/>
          <w:szCs w:val="21"/>
          <w:highlight w:val="none"/>
          <w:lang w:val="en-US" w:eastAsia="zh-CN"/>
        </w:rPr>
        <w:t>（5分</w:t>
      </w:r>
      <w:r>
        <w:rPr>
          <w:rFonts w:hint="eastAsia" w:hAnsi="宋体" w:cs="宋体"/>
          <w:color w:val="auto"/>
          <w:sz w:val="21"/>
          <w:szCs w:val="21"/>
          <w:highlight w:val="none"/>
          <w:lang w:val="en-US" w:eastAsia="zh-CN"/>
        </w:rPr>
        <w:t>）：售后服务方案较详细可行，对交付期、质保期、响应时间、技术培训、备品备件、故障解决方案等有所描述</w:t>
      </w:r>
      <w:r>
        <w:rPr>
          <w:rFonts w:hint="eastAsia" w:hAnsi="宋体" w:cs="宋体"/>
          <w:color w:val="auto"/>
          <w:sz w:val="21"/>
          <w:szCs w:val="21"/>
          <w:highlight w:val="none"/>
        </w:rPr>
        <w:t>，</w:t>
      </w:r>
      <w:r>
        <w:rPr>
          <w:rFonts w:hint="eastAsia" w:hAnsi="宋体" w:cs="宋体"/>
          <w:color w:val="auto"/>
          <w:sz w:val="21"/>
          <w:szCs w:val="21"/>
          <w:highlight w:val="none"/>
          <w:lang w:val="en-US"/>
        </w:rPr>
        <w:t>故障响应时间</w:t>
      </w:r>
      <w:r>
        <w:rPr>
          <w:rFonts w:hint="eastAsia" w:hAnsi="宋体" w:cs="宋体"/>
          <w:color w:val="auto"/>
          <w:sz w:val="21"/>
          <w:szCs w:val="21"/>
          <w:highlight w:val="none"/>
        </w:rPr>
        <w:t>满足</w:t>
      </w:r>
      <w:r>
        <w:rPr>
          <w:rFonts w:hint="eastAsia" w:hAnsi="宋体" w:cs="宋体"/>
          <w:color w:val="auto"/>
          <w:sz w:val="21"/>
          <w:szCs w:val="21"/>
          <w:highlight w:val="none"/>
          <w:lang w:val="en-US"/>
        </w:rPr>
        <w:t>采购需求</w:t>
      </w:r>
      <w:r>
        <w:rPr>
          <w:rFonts w:hint="eastAsia" w:hAnsi="宋体" w:cs="宋体"/>
          <w:color w:val="auto"/>
          <w:sz w:val="21"/>
          <w:szCs w:val="21"/>
          <w:highlight w:val="none"/>
          <w:lang w:val="en-US" w:eastAsia="zh-CN"/>
        </w:rPr>
        <w:t>。</w:t>
      </w:r>
    </w:p>
    <w:p w14:paraId="03B11B59">
      <w:pPr>
        <w:pStyle w:val="15"/>
        <w:spacing w:line="440" w:lineRule="exact"/>
        <w:ind w:firstLine="420" w:firstLineChars="200"/>
        <w:rPr>
          <w:rFonts w:hAnsi="宋体" w:cs="宋体"/>
          <w:color w:val="auto"/>
          <w:szCs w:val="21"/>
          <w:highlight w:val="none"/>
        </w:rPr>
      </w:pPr>
      <w:r>
        <w:rPr>
          <w:rFonts w:hint="eastAsia" w:hAnsi="宋体" w:cs="宋体"/>
          <w:color w:val="auto"/>
          <w:sz w:val="21"/>
          <w:szCs w:val="21"/>
          <w:highlight w:val="none"/>
          <w:lang w:val="en-US" w:eastAsia="zh-CN"/>
        </w:rPr>
        <w:t>二档</w:t>
      </w:r>
      <w:r>
        <w:rPr>
          <w:rFonts w:hint="eastAsia" w:ascii="宋体" w:hAnsi="宋体" w:eastAsia="宋体" w:cs="宋体"/>
          <w:color w:val="auto"/>
          <w:kern w:val="2"/>
          <w:sz w:val="21"/>
          <w:szCs w:val="21"/>
          <w:highlight w:val="none"/>
          <w:lang w:val="en-US" w:eastAsia="zh-CN" w:bidi="ar-SA"/>
        </w:rPr>
        <w:t>（10分）</w:t>
      </w:r>
      <w:r>
        <w:rPr>
          <w:rFonts w:hint="eastAsia" w:hAnsi="宋体" w:cs="宋体"/>
          <w:color w:val="auto"/>
          <w:sz w:val="21"/>
          <w:szCs w:val="21"/>
          <w:highlight w:val="none"/>
          <w:lang w:val="en-US" w:eastAsia="zh-CN"/>
        </w:rPr>
        <w:t>：售后服务方案全面详细可行，对交付期、质保期、响应时间、技术培训</w:t>
      </w:r>
      <w:r>
        <w:rPr>
          <w:rFonts w:hint="eastAsia" w:hAnsi="宋体" w:cs="宋体"/>
          <w:color w:val="auto"/>
          <w:sz w:val="21"/>
          <w:szCs w:val="21"/>
          <w:highlight w:val="none"/>
        </w:rPr>
        <w:t>、备品备件、故障解决方案、应急预案等详细描述，有简单的配送渠道，</w:t>
      </w:r>
      <w:r>
        <w:rPr>
          <w:rFonts w:hint="eastAsia" w:hAnsi="宋体" w:cs="宋体"/>
          <w:color w:val="auto"/>
          <w:sz w:val="21"/>
          <w:szCs w:val="21"/>
          <w:highlight w:val="none"/>
          <w:lang w:val="en-US"/>
        </w:rPr>
        <w:t>故障响应时间优于采购需求</w:t>
      </w:r>
      <w:r>
        <w:rPr>
          <w:rFonts w:hint="eastAsia" w:hAnsi="宋体" w:cs="宋体"/>
          <w:color w:val="auto"/>
          <w:sz w:val="21"/>
          <w:szCs w:val="21"/>
          <w:highlight w:val="none"/>
          <w:lang w:val="en-US" w:eastAsia="zh-CN"/>
        </w:rPr>
        <w:t>。</w:t>
      </w:r>
    </w:p>
    <w:p w14:paraId="74CB2403">
      <w:pPr>
        <w:pStyle w:val="17"/>
        <w:tabs>
          <w:tab w:val="left" w:pos="4214"/>
        </w:tabs>
        <w:spacing w:line="440" w:lineRule="exact"/>
        <w:ind w:firstLine="420" w:firstLineChars="200"/>
        <w:rPr>
          <w:rFonts w:hint="eastAsia" w:hAnsi="宋体" w:cs="宋体"/>
          <w:color w:val="auto"/>
          <w:szCs w:val="21"/>
          <w:highlight w:val="none"/>
        </w:rPr>
      </w:pPr>
      <w:r>
        <w:rPr>
          <w:rFonts w:hint="eastAsia" w:hAnsi="宋体" w:cs="宋体"/>
          <w:color w:val="auto"/>
          <w:szCs w:val="21"/>
          <w:highlight w:val="none"/>
          <w:lang w:val="en-US" w:eastAsia="zh-CN"/>
        </w:rPr>
        <w:t>三档（15分）：售后服务方案全面详细操控性强，对交付期、质保期、响应时间、技术培训、备件、故障解决方案、应急预案、配送渠道等详细描述，有合理的服务流程</w:t>
      </w:r>
      <w:r>
        <w:rPr>
          <w:rFonts w:hint="eastAsia" w:hAnsi="宋体" w:cs="宋体"/>
          <w:color w:val="auto"/>
          <w:szCs w:val="21"/>
          <w:highlight w:val="none"/>
        </w:rPr>
        <w:t>，故障响应时间优于采购需求</w:t>
      </w:r>
      <w:r>
        <w:rPr>
          <w:rFonts w:hint="eastAsia" w:hAnsi="宋体" w:cs="宋体"/>
          <w:color w:val="auto"/>
          <w:szCs w:val="21"/>
          <w:highlight w:val="none"/>
          <w:lang w:val="en-US" w:eastAsia="zh-CN"/>
        </w:rPr>
        <w:t>。</w:t>
      </w:r>
    </w:p>
    <w:p w14:paraId="5307C8EF">
      <w:pPr>
        <w:numPr>
          <w:ilvl w:val="0"/>
          <w:numId w:val="0"/>
        </w:numPr>
        <w:spacing w:line="48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信誉分 ………………………………</w:t>
      </w:r>
      <w:r>
        <w:rPr>
          <w:rFonts w:ascii="宋体" w:hAnsi="宋体" w:cs="宋体"/>
          <w:b/>
          <w:color w:val="auto"/>
          <w:szCs w:val="21"/>
          <w:highlight w:val="none"/>
        </w:rPr>
        <w:t>………</w:t>
      </w:r>
      <w:r>
        <w:rPr>
          <w:rFonts w:hint="eastAsia" w:ascii="宋体" w:hAnsi="宋体" w:cs="宋体"/>
          <w:b/>
          <w:color w:val="auto"/>
          <w:szCs w:val="21"/>
          <w:highlight w:val="none"/>
        </w:rPr>
        <w:t>…………………………………………满分</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分</w:t>
      </w:r>
    </w:p>
    <w:p w14:paraId="3A94AE05">
      <w:pPr>
        <w:pStyle w:val="17"/>
        <w:spacing w:line="440" w:lineRule="exact"/>
        <w:ind w:firstLine="420" w:firstLineChars="200"/>
        <w:jc w:val="left"/>
        <w:rPr>
          <w:rFonts w:hAnsi="宋体" w:cs="宋体"/>
          <w:b/>
          <w:bCs/>
          <w:color w:val="auto"/>
          <w:szCs w:val="21"/>
          <w:highlight w:val="none"/>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1</w:t>
      </w:r>
      <w:r>
        <w:rPr>
          <w:rFonts w:hint="eastAsia" w:hAnsi="宋体" w:cs="宋体"/>
          <w:color w:val="auto"/>
          <w:szCs w:val="21"/>
          <w:highlight w:val="none"/>
          <w:lang w:eastAsia="zh-CN"/>
        </w:rPr>
        <w:t>）供应商</w:t>
      </w:r>
      <w:r>
        <w:rPr>
          <w:rFonts w:hint="eastAsia" w:hAnsi="宋体" w:cs="宋体"/>
          <w:color w:val="auto"/>
          <w:szCs w:val="21"/>
          <w:highlight w:val="none"/>
          <w:lang w:val="en-US" w:eastAsia="zh-CN"/>
        </w:rPr>
        <w:t>或核心产品生产厂家2023年以来</w:t>
      </w:r>
      <w:r>
        <w:rPr>
          <w:rFonts w:hint="eastAsia" w:hAnsi="宋体" w:cs="宋体"/>
          <w:color w:val="auto"/>
          <w:szCs w:val="21"/>
          <w:highlight w:val="none"/>
        </w:rPr>
        <w:t>获得</w:t>
      </w:r>
      <w:r>
        <w:rPr>
          <w:rFonts w:hint="eastAsia" w:hAnsi="宋体" w:cs="宋体"/>
          <w:color w:val="auto"/>
          <w:szCs w:val="21"/>
          <w:highlight w:val="none"/>
          <w:lang w:val="en-US" w:eastAsia="zh-CN"/>
        </w:rPr>
        <w:t>工业和信息化部</w:t>
      </w:r>
      <w:r>
        <w:rPr>
          <w:rFonts w:hint="eastAsia" w:hAnsi="宋体" w:cs="宋体"/>
          <w:color w:val="auto"/>
          <w:szCs w:val="21"/>
          <w:highlight w:val="none"/>
          <w:lang w:eastAsia="zh-CN"/>
        </w:rPr>
        <w:t>专精特新“小巨人”企业</w:t>
      </w:r>
      <w:r>
        <w:rPr>
          <w:rFonts w:hint="eastAsia" w:hAnsi="宋体" w:cs="宋体"/>
          <w:color w:val="auto"/>
          <w:szCs w:val="21"/>
          <w:highlight w:val="none"/>
          <w:lang w:val="en-US" w:eastAsia="zh-CN"/>
        </w:rPr>
        <w:t>证书得 3分、获得省级高新技术企业证书得 3分，</w:t>
      </w:r>
      <w:r>
        <w:rPr>
          <w:rFonts w:hint="eastAsia" w:hAnsi="宋体" w:cs="宋体"/>
          <w:color w:val="auto"/>
          <w:szCs w:val="21"/>
          <w:highlight w:val="none"/>
        </w:rPr>
        <w:t>获得</w:t>
      </w:r>
      <w:r>
        <w:rPr>
          <w:rFonts w:hint="eastAsia" w:hAnsi="宋体" w:cs="宋体"/>
          <w:color w:val="auto"/>
          <w:szCs w:val="21"/>
          <w:highlight w:val="none"/>
          <w:lang w:val="en-US" w:eastAsia="zh-CN"/>
        </w:rPr>
        <w:t>省级科学技术奖证书得 3分，投标文件中需提供有效证书复印件并加盖供应商 CA 签章，否则不予计分。</w:t>
      </w:r>
      <w:r>
        <w:rPr>
          <w:rFonts w:hint="eastAsia" w:hAnsi="宋体" w:cs="宋体"/>
          <w:b/>
          <w:bCs/>
          <w:color w:val="auto"/>
          <w:szCs w:val="21"/>
          <w:highlight w:val="none"/>
        </w:rPr>
        <w:t>（满分</w:t>
      </w:r>
      <w:r>
        <w:rPr>
          <w:rFonts w:hint="eastAsia" w:hAnsi="宋体" w:cs="宋体"/>
          <w:b/>
          <w:bCs/>
          <w:color w:val="auto"/>
          <w:szCs w:val="21"/>
          <w:highlight w:val="none"/>
          <w:lang w:val="en-US" w:eastAsia="zh-CN"/>
        </w:rPr>
        <w:t>9</w:t>
      </w:r>
      <w:r>
        <w:rPr>
          <w:rFonts w:hint="eastAsia" w:hAnsi="宋体" w:cs="宋体"/>
          <w:b/>
          <w:bCs/>
          <w:color w:val="auto"/>
          <w:szCs w:val="21"/>
          <w:highlight w:val="none"/>
        </w:rPr>
        <w:t>分）</w:t>
      </w:r>
    </w:p>
    <w:p w14:paraId="7B344313">
      <w:pPr>
        <w:spacing w:line="48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、政策功能分(节能、环保产品等) ………………………………………………………满分2分</w:t>
      </w:r>
    </w:p>
    <w:p w14:paraId="4680736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（1）应优先采购财政部现行《节能产品政府采购品目清单》目录内（政府强制采购节能产品</w:t>
      </w:r>
      <w:r>
        <w:rPr>
          <w:rFonts w:hint="eastAsia" w:ascii="宋体" w:hAnsi="宋体" w:cs="宋体"/>
          <w:bCs/>
          <w:color w:val="auto"/>
          <w:szCs w:val="21"/>
          <w:highlight w:val="none"/>
        </w:rPr>
        <w:t>除外</w:t>
      </w:r>
      <w:r>
        <w:rPr>
          <w:rFonts w:hint="eastAsia" w:ascii="宋体" w:hAnsi="宋体" w:cs="宋体"/>
          <w:color w:val="auto"/>
          <w:szCs w:val="21"/>
          <w:highlight w:val="none"/>
        </w:rPr>
        <w:t>）的产品（提供有效证明复印件），根据其所占本分标金额比例得0～1分。（满分1分）</w:t>
      </w:r>
    </w:p>
    <w:p w14:paraId="3B916840">
      <w:pPr>
        <w:pStyle w:val="17"/>
        <w:spacing w:line="440" w:lineRule="exact"/>
        <w:ind w:firstLine="420" w:firstLineChars="200"/>
        <w:rPr>
          <w:rFonts w:hAnsi="宋体" w:cs="宋体"/>
          <w:b/>
          <w:color w:val="auto"/>
          <w:szCs w:val="21"/>
          <w:highlight w:val="none"/>
        </w:rPr>
      </w:pPr>
      <w:r>
        <w:rPr>
          <w:rFonts w:hint="eastAsia" w:hAnsi="宋体" w:cs="宋体"/>
          <w:color w:val="auto"/>
          <w:szCs w:val="21"/>
          <w:highlight w:val="none"/>
        </w:rPr>
        <w:t>（2）应优先采购财政部现行《环境标志产品政府采购品目清单》目录内的产品（提供有效证明复印件），根据其所占</w:t>
      </w:r>
      <w:r>
        <w:rPr>
          <w:rFonts w:hint="eastAsia" w:hAnsi="宋体" w:cs="宋体"/>
          <w:color w:val="auto"/>
          <w:szCs w:val="21"/>
          <w:highlight w:val="none"/>
          <w:lang w:val="en-US" w:eastAsia="zh-CN"/>
        </w:rPr>
        <w:t>本</w:t>
      </w:r>
      <w:r>
        <w:rPr>
          <w:rFonts w:hint="eastAsia" w:hAnsi="宋体" w:cs="宋体"/>
          <w:color w:val="auto"/>
          <w:szCs w:val="21"/>
          <w:highlight w:val="none"/>
        </w:rPr>
        <w:t>分标比例得0～</w:t>
      </w:r>
      <w:r>
        <w:rPr>
          <w:rFonts w:hint="eastAsia" w:hAnsi="宋体" w:cs="宋体"/>
          <w:color w:val="auto"/>
          <w:szCs w:val="21"/>
          <w:highlight w:val="none"/>
          <w:lang w:val="en-US" w:eastAsia="zh-CN"/>
        </w:rPr>
        <w:t>1</w:t>
      </w:r>
      <w:r>
        <w:rPr>
          <w:rFonts w:hint="eastAsia" w:hAnsi="宋体" w:cs="宋体"/>
          <w:color w:val="auto"/>
          <w:szCs w:val="21"/>
          <w:highlight w:val="none"/>
        </w:rPr>
        <w:t>分。（满分</w:t>
      </w:r>
      <w:r>
        <w:rPr>
          <w:rFonts w:hint="eastAsia" w:hAnsi="宋体" w:cs="宋体"/>
          <w:color w:val="auto"/>
          <w:szCs w:val="21"/>
          <w:highlight w:val="none"/>
          <w:lang w:val="en-US" w:eastAsia="zh-CN"/>
        </w:rPr>
        <w:t>1</w:t>
      </w:r>
      <w:r>
        <w:rPr>
          <w:rFonts w:hint="eastAsia" w:hAnsi="宋体" w:cs="宋体"/>
          <w:color w:val="auto"/>
          <w:szCs w:val="21"/>
          <w:highlight w:val="none"/>
        </w:rPr>
        <w:t>分）</w:t>
      </w:r>
    </w:p>
    <w:p w14:paraId="798628D6">
      <w:pPr>
        <w:pStyle w:val="7"/>
        <w:ind w:left="0" w:leftChars="0"/>
        <w:rPr>
          <w:rFonts w:hint="eastAsia"/>
          <w:color w:val="auto"/>
          <w:highlight w:val="none"/>
        </w:rPr>
      </w:pPr>
    </w:p>
    <w:p w14:paraId="79629B46">
      <w:pPr>
        <w:pStyle w:val="17"/>
        <w:numPr>
          <w:ilvl w:val="0"/>
          <w:numId w:val="0"/>
        </w:numPr>
        <w:spacing w:line="360" w:lineRule="auto"/>
        <w:ind w:left="420" w:leftChars="0"/>
        <w:rPr>
          <w:rFonts w:hint="eastAsia" w:hAnsi="宋体" w:cs="宋体"/>
          <w:b/>
          <w:bCs/>
          <w:color w:val="auto"/>
          <w:szCs w:val="21"/>
          <w:highlight w:val="none"/>
          <w:lang w:val="en-US" w:eastAsia="zh-CN"/>
        </w:rPr>
      </w:pPr>
      <w:r>
        <w:rPr>
          <w:rFonts w:hint="eastAsia" w:hAnsi="宋体" w:cs="宋体"/>
          <w:b/>
          <w:bCs/>
          <w:color w:val="auto"/>
          <w:szCs w:val="21"/>
          <w:highlight w:val="none"/>
          <w:lang w:val="en-US" w:eastAsia="zh-CN"/>
        </w:rPr>
        <w:t>7、</w:t>
      </w:r>
      <w:r>
        <w:rPr>
          <w:rFonts w:hint="eastAsia" w:hAnsi="宋体" w:cs="宋体"/>
          <w:b/>
          <w:bCs/>
          <w:color w:val="auto"/>
          <w:szCs w:val="21"/>
          <w:highlight w:val="none"/>
        </w:rPr>
        <w:t>综合得分＝1+2+3+4</w:t>
      </w:r>
      <w:r>
        <w:rPr>
          <w:rFonts w:hint="eastAsia" w:hAnsi="宋体" w:cs="宋体"/>
          <w:b/>
          <w:bCs/>
          <w:color w:val="auto"/>
          <w:szCs w:val="21"/>
          <w:highlight w:val="none"/>
          <w:lang w:val="en-US" w:eastAsia="zh-CN"/>
        </w:rPr>
        <w:t>+5+6</w:t>
      </w:r>
    </w:p>
    <w:p w14:paraId="75FEA3D7">
      <w:pPr>
        <w:pStyle w:val="17"/>
        <w:numPr>
          <w:ilvl w:val="0"/>
          <w:numId w:val="0"/>
        </w:numPr>
        <w:spacing w:line="360" w:lineRule="auto"/>
        <w:ind w:left="420" w:leftChars="0"/>
        <w:rPr>
          <w:rFonts w:hint="eastAsia" w:hAnsi="宋体" w:cs="宋体"/>
          <w:b/>
          <w:color w:val="auto"/>
          <w:kern w:val="0"/>
          <w:szCs w:val="21"/>
          <w:highlight w:val="none"/>
        </w:rPr>
      </w:pPr>
      <w:r>
        <w:rPr>
          <w:rFonts w:hint="eastAsia" w:hAnsi="宋体" w:cs="宋体"/>
          <w:b/>
          <w:color w:val="auto"/>
          <w:kern w:val="0"/>
          <w:szCs w:val="21"/>
          <w:highlight w:val="none"/>
        </w:rPr>
        <w:t>三、推荐及确定成交候选供应商原则</w:t>
      </w:r>
    </w:p>
    <w:p w14:paraId="182BD9C5">
      <w:pPr>
        <w:pStyle w:val="17"/>
        <w:tabs>
          <w:tab w:val="left" w:pos="4214"/>
        </w:tabs>
        <w:spacing w:line="480" w:lineRule="exact"/>
        <w:ind w:firstLine="420" w:firstLineChars="200"/>
        <w:rPr>
          <w:rFonts w:hint="eastAsia" w:hAnsi="宋体" w:cs="宋体"/>
          <w:color w:val="auto"/>
          <w:szCs w:val="21"/>
          <w:highlight w:val="none"/>
        </w:rPr>
      </w:pPr>
      <w:r>
        <w:rPr>
          <w:rFonts w:hint="eastAsia" w:hAnsi="宋体" w:cs="宋体"/>
          <w:color w:val="auto"/>
          <w:kern w:val="0"/>
          <w:szCs w:val="21"/>
          <w:highlight w:val="none"/>
        </w:rPr>
        <w:t>（1）</w:t>
      </w:r>
      <w:r>
        <w:rPr>
          <w:rFonts w:hint="eastAsia" w:hAnsi="宋体" w:cs="宋体"/>
          <w:color w:val="auto"/>
          <w:szCs w:val="21"/>
          <w:highlight w:val="none"/>
          <w:lang w:val="en-US" w:eastAsia="zh-CN"/>
        </w:rPr>
        <w:t>评审</w:t>
      </w:r>
      <w:r>
        <w:rPr>
          <w:rFonts w:hint="eastAsia" w:hAnsi="宋体" w:cs="宋体"/>
          <w:color w:val="auto"/>
          <w:szCs w:val="21"/>
          <w:highlight w:val="none"/>
        </w:rPr>
        <w:t>小组应当根据综合评分情况，按照评审得分由高到低顺序推荐3名以上（含3名）</w:t>
      </w:r>
      <w:r>
        <w:rPr>
          <w:rFonts w:hint="eastAsia" w:hAnsi="宋体" w:cs="宋体"/>
          <w:color w:val="auto"/>
          <w:szCs w:val="21"/>
          <w:highlight w:val="none"/>
          <w:lang w:val="en-US" w:eastAsia="zh-CN"/>
        </w:rPr>
        <w:t>中标</w:t>
      </w:r>
      <w:r>
        <w:rPr>
          <w:rFonts w:hint="eastAsia" w:hAnsi="宋体" w:cs="宋体"/>
          <w:color w:val="auto"/>
          <w:szCs w:val="21"/>
          <w:highlight w:val="none"/>
        </w:rPr>
        <w:t>候选供应商，并编写评审报告；如采购项目为政府购买服务项目（含政府和社会资本合作项目），</w:t>
      </w:r>
      <w:r>
        <w:rPr>
          <w:rFonts w:hint="eastAsia" w:hAnsi="宋体" w:cs="宋体"/>
          <w:color w:val="auto"/>
          <w:szCs w:val="21"/>
          <w:highlight w:val="none"/>
          <w:lang w:val="en-US" w:eastAsia="zh-CN"/>
        </w:rPr>
        <w:t>评审</w:t>
      </w:r>
      <w:r>
        <w:rPr>
          <w:rFonts w:hint="eastAsia" w:hAnsi="宋体" w:cs="宋体"/>
          <w:color w:val="auto"/>
          <w:szCs w:val="21"/>
          <w:highlight w:val="none"/>
        </w:rPr>
        <w:t>小组应当根据综合评分情况，按照评审得分由高到低顺序推荐2名以上（含2名）成交候选供应商，并编写评审报告。</w:t>
      </w:r>
      <w:r>
        <w:rPr>
          <w:rFonts w:hint="eastAsia" w:hAnsi="宋体" w:cs="宋体"/>
          <w:color w:val="auto"/>
          <w:szCs w:val="21"/>
          <w:highlight w:val="none"/>
          <w:lang w:val="en-US" w:eastAsia="zh-CN"/>
        </w:rPr>
        <w:t>评审</w:t>
      </w:r>
      <w:r>
        <w:rPr>
          <w:rFonts w:hint="eastAsia" w:hAnsi="宋体" w:cs="宋体"/>
          <w:color w:val="auto"/>
          <w:szCs w:val="21"/>
          <w:highlight w:val="none"/>
        </w:rPr>
        <w:t>小组根据综合得分由高到低排列次序，若得分相同时，以评审报价由低到高顺序排列；若得分相同且评审报价相同的，以最后报价由低到高顺序排列；若仍相同的，按项目</w:t>
      </w:r>
      <w:r>
        <w:rPr>
          <w:rFonts w:hint="eastAsia" w:hAnsi="宋体" w:cs="宋体"/>
          <w:color w:val="auto"/>
          <w:szCs w:val="21"/>
          <w:highlight w:val="none"/>
          <w:lang w:val="en-US" w:eastAsia="zh-CN"/>
        </w:rPr>
        <w:t>售后服务</w:t>
      </w:r>
      <w:r>
        <w:rPr>
          <w:rFonts w:hint="eastAsia" w:hAnsi="宋体" w:cs="宋体"/>
          <w:color w:val="auto"/>
          <w:szCs w:val="21"/>
          <w:highlight w:val="none"/>
        </w:rPr>
        <w:t>分由高到低顺序排列并推荐</w:t>
      </w:r>
      <w:r>
        <w:rPr>
          <w:rFonts w:hint="eastAsia" w:hAnsi="宋体" w:cs="宋体"/>
          <w:color w:val="auto"/>
          <w:szCs w:val="21"/>
          <w:highlight w:val="none"/>
          <w:lang w:val="en-US" w:eastAsia="zh-CN"/>
        </w:rPr>
        <w:t>中标</w:t>
      </w:r>
      <w:r>
        <w:rPr>
          <w:rFonts w:hint="eastAsia" w:hAnsi="宋体" w:cs="宋体"/>
          <w:color w:val="auto"/>
          <w:szCs w:val="21"/>
          <w:highlight w:val="none"/>
        </w:rPr>
        <w:t>候选供应商。若仍相同时，则由</w:t>
      </w:r>
      <w:r>
        <w:rPr>
          <w:rFonts w:hint="eastAsia" w:hAnsi="宋体" w:cs="宋体"/>
          <w:color w:val="auto"/>
          <w:szCs w:val="21"/>
          <w:highlight w:val="none"/>
          <w:lang w:val="en-US" w:eastAsia="zh-CN"/>
        </w:rPr>
        <w:t>评审</w:t>
      </w:r>
      <w:r>
        <w:rPr>
          <w:rFonts w:hint="eastAsia" w:hAnsi="宋体" w:cs="宋体"/>
          <w:color w:val="auto"/>
          <w:szCs w:val="21"/>
          <w:highlight w:val="none"/>
        </w:rPr>
        <w:t>小组集体讨论确定。</w:t>
      </w:r>
    </w:p>
    <w:p w14:paraId="26CE0611">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（2）采购单位应当确定</w:t>
      </w:r>
      <w:r>
        <w:rPr>
          <w:rFonts w:hint="eastAsia" w:hAnsi="宋体" w:cs="宋体"/>
          <w:color w:val="auto"/>
          <w:kern w:val="0"/>
          <w:szCs w:val="21"/>
          <w:highlight w:val="none"/>
          <w:lang w:val="en-US" w:eastAsia="zh-CN"/>
        </w:rPr>
        <w:t>评审</w:t>
      </w:r>
      <w:r>
        <w:rPr>
          <w:rFonts w:hint="eastAsia" w:hAnsi="宋体" w:cs="宋体"/>
          <w:color w:val="auto"/>
          <w:kern w:val="0"/>
          <w:szCs w:val="21"/>
          <w:highlight w:val="none"/>
        </w:rPr>
        <w:t>小组推荐排名第一的成交候选供应商为</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供应商。</w:t>
      </w:r>
    </w:p>
    <w:p w14:paraId="66335344">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（3）排名第一的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候选供应商放弃成交、因不可抗力提出不能履行合同，或者</w:t>
      </w:r>
      <w:r>
        <w:rPr>
          <w:rFonts w:hint="eastAsia" w:hAnsi="宋体" w:cs="宋体"/>
          <w:color w:val="auto"/>
          <w:kern w:val="0"/>
          <w:szCs w:val="21"/>
          <w:highlight w:val="none"/>
          <w:lang w:val="en-US" w:eastAsia="zh-CN"/>
        </w:rPr>
        <w:t>招标</w:t>
      </w:r>
      <w:r>
        <w:rPr>
          <w:rFonts w:hint="eastAsia" w:hAnsi="宋体" w:cs="宋体"/>
          <w:color w:val="auto"/>
          <w:kern w:val="0"/>
          <w:szCs w:val="21"/>
          <w:highlight w:val="none"/>
        </w:rPr>
        <w:t>文件规定应当提交履约保证金而在规定的期限内未能提交的，或因失信行为被取消</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候选人资格的，采购单位可以确定排名第二的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候选供应商为成交供应商。</w:t>
      </w:r>
    </w:p>
    <w:p w14:paraId="2041B3F0">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（4）排名第二的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候选供应商因前款规定的同样原因不能签订合同的，采购单位可以确定排名第三的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候选人为</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供应商。以此类推。</w:t>
      </w:r>
    </w:p>
    <w:p w14:paraId="663507FA">
      <w:pPr>
        <w:spacing w:line="312" w:lineRule="auto"/>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四、特别说明</w:t>
      </w:r>
    </w:p>
    <w:p w14:paraId="2302CA8C">
      <w:pPr>
        <w:spacing w:line="312" w:lineRule="auto"/>
        <w:ind w:firstLine="422" w:firstLineChars="200"/>
        <w:rPr>
          <w:rFonts w:ascii="宋体" w:hAnsi="宋体" w:cs="宋体"/>
          <w:color w:val="auto"/>
          <w:kern w:val="0"/>
          <w:highlight w:val="none"/>
        </w:rPr>
      </w:pPr>
      <w:r>
        <w:rPr>
          <w:rFonts w:hint="eastAsia" w:ascii="宋体" w:hAnsi="宋体" w:cs="宋体"/>
          <w:b/>
          <w:bCs/>
          <w:color w:val="auto"/>
          <w:szCs w:val="21"/>
          <w:highlight w:val="none"/>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265"/>
    <w:p w14:paraId="0908BC63">
      <w:pPr>
        <w:widowControl/>
        <w:jc w:val="left"/>
        <w:rPr>
          <w:b/>
          <w:bCs/>
          <w:color w:val="auto"/>
          <w:highlight w:val="none"/>
        </w:rPr>
      </w:pPr>
    </w:p>
    <w:p w14:paraId="6CED4520">
      <w:pPr>
        <w:widowControl/>
        <w:jc w:val="left"/>
        <w:rPr>
          <w:b/>
          <w:bCs/>
          <w:color w:val="auto"/>
          <w:highlight w:val="none"/>
        </w:rPr>
      </w:pPr>
    </w:p>
    <w:p w14:paraId="0EC88A1C">
      <w:pPr>
        <w:widowControl/>
        <w:jc w:val="left"/>
        <w:rPr>
          <w:b/>
          <w:bCs/>
          <w:color w:val="auto"/>
          <w:highlight w:val="none"/>
        </w:rPr>
      </w:pPr>
    </w:p>
    <w:p w14:paraId="39F33FBD">
      <w:pPr>
        <w:widowControl/>
        <w:jc w:val="left"/>
        <w:rPr>
          <w:b/>
          <w:bCs/>
          <w:color w:val="auto"/>
          <w:highlight w:val="none"/>
        </w:rPr>
      </w:pPr>
    </w:p>
    <w:p w14:paraId="7DF0689A">
      <w:pPr>
        <w:widowControl/>
        <w:jc w:val="left"/>
        <w:rPr>
          <w:b/>
          <w:bCs/>
          <w:color w:val="auto"/>
          <w:highlight w:val="none"/>
        </w:rPr>
      </w:pPr>
    </w:p>
    <w:p w14:paraId="67708B06">
      <w:pPr>
        <w:widowControl/>
        <w:jc w:val="left"/>
        <w:rPr>
          <w:b/>
          <w:bCs/>
          <w:color w:val="auto"/>
          <w:highlight w:val="none"/>
        </w:rPr>
      </w:pPr>
    </w:p>
    <w:p w14:paraId="405DF611">
      <w:pPr>
        <w:widowControl/>
        <w:jc w:val="left"/>
        <w:rPr>
          <w:b/>
          <w:bCs/>
          <w:color w:val="auto"/>
          <w:highlight w:val="none"/>
        </w:rPr>
      </w:pPr>
    </w:p>
    <w:p w14:paraId="5BBAA780">
      <w:pPr>
        <w:widowControl/>
        <w:jc w:val="left"/>
        <w:rPr>
          <w:b/>
          <w:bCs/>
          <w:color w:val="auto"/>
          <w:highlight w:val="none"/>
        </w:rPr>
      </w:pPr>
    </w:p>
    <w:p w14:paraId="2B7F1854">
      <w:pPr>
        <w:widowControl/>
        <w:jc w:val="left"/>
        <w:rPr>
          <w:b/>
          <w:bCs/>
          <w:color w:val="auto"/>
          <w:highlight w:val="none"/>
        </w:rPr>
      </w:pPr>
    </w:p>
    <w:p w14:paraId="0D09A227">
      <w:pPr>
        <w:widowControl/>
        <w:jc w:val="left"/>
        <w:rPr>
          <w:b/>
          <w:bCs/>
          <w:color w:val="auto"/>
          <w:highlight w:val="none"/>
        </w:rPr>
      </w:pPr>
    </w:p>
    <w:p w14:paraId="1692EE9D">
      <w:pPr>
        <w:widowControl/>
        <w:jc w:val="left"/>
        <w:rPr>
          <w:b/>
          <w:bCs/>
          <w:color w:val="auto"/>
          <w:highlight w:val="none"/>
        </w:rPr>
      </w:pPr>
    </w:p>
    <w:p w14:paraId="6753672C">
      <w:pPr>
        <w:widowControl/>
        <w:jc w:val="left"/>
        <w:rPr>
          <w:b/>
          <w:bCs/>
          <w:color w:val="auto"/>
          <w:highlight w:val="none"/>
        </w:rPr>
      </w:pPr>
    </w:p>
    <w:p w14:paraId="0EC579DF">
      <w:pPr>
        <w:widowControl/>
        <w:jc w:val="left"/>
        <w:rPr>
          <w:b/>
          <w:bCs/>
          <w:color w:val="auto"/>
          <w:highlight w:val="none"/>
        </w:rPr>
      </w:pPr>
    </w:p>
    <w:p w14:paraId="224E0EC7">
      <w:pPr>
        <w:widowControl/>
        <w:jc w:val="left"/>
        <w:rPr>
          <w:b/>
          <w:bCs/>
          <w:color w:val="auto"/>
          <w:highlight w:val="none"/>
        </w:rPr>
      </w:pPr>
    </w:p>
    <w:p w14:paraId="10592125">
      <w:pPr>
        <w:widowControl/>
        <w:jc w:val="left"/>
        <w:rPr>
          <w:b/>
          <w:bCs/>
          <w:color w:val="auto"/>
          <w:highlight w:val="none"/>
        </w:rPr>
      </w:pPr>
    </w:p>
    <w:p w14:paraId="393B28E6">
      <w:pPr>
        <w:widowControl/>
        <w:jc w:val="left"/>
        <w:rPr>
          <w:b/>
          <w:bCs/>
          <w:color w:val="auto"/>
          <w:highlight w:val="none"/>
        </w:rPr>
      </w:pPr>
    </w:p>
    <w:p w14:paraId="02418C3E">
      <w:pPr>
        <w:widowControl/>
        <w:jc w:val="left"/>
        <w:rPr>
          <w:b/>
          <w:bCs/>
          <w:color w:val="auto"/>
          <w:highlight w:val="none"/>
        </w:rPr>
      </w:pPr>
    </w:p>
    <w:p w14:paraId="65B47FCA">
      <w:pPr>
        <w:widowControl/>
        <w:jc w:val="left"/>
        <w:rPr>
          <w:b/>
          <w:bCs/>
          <w:color w:val="auto"/>
          <w:highlight w:val="none"/>
        </w:rPr>
      </w:pPr>
    </w:p>
    <w:p w14:paraId="04FAF573">
      <w:pPr>
        <w:widowControl/>
        <w:jc w:val="left"/>
        <w:rPr>
          <w:b/>
          <w:bCs/>
          <w:color w:val="auto"/>
          <w:highlight w:val="none"/>
        </w:rPr>
      </w:pPr>
    </w:p>
    <w:p w14:paraId="2431BD98">
      <w:pPr>
        <w:widowControl/>
        <w:jc w:val="left"/>
        <w:rPr>
          <w:b/>
          <w:bCs/>
          <w:color w:val="auto"/>
          <w:highlight w:val="none"/>
        </w:rPr>
      </w:pPr>
    </w:p>
    <w:p w14:paraId="63B993CA">
      <w:pPr>
        <w:widowControl/>
        <w:jc w:val="left"/>
        <w:rPr>
          <w:b/>
          <w:bCs/>
          <w:color w:val="auto"/>
          <w:highlight w:val="none"/>
        </w:rPr>
      </w:pPr>
    </w:p>
    <w:p w14:paraId="4A9996B8">
      <w:pPr>
        <w:widowControl/>
        <w:jc w:val="left"/>
        <w:rPr>
          <w:b/>
          <w:bCs/>
          <w:color w:val="auto"/>
          <w:highlight w:val="none"/>
        </w:rPr>
      </w:pPr>
    </w:p>
    <w:p w14:paraId="3E97512B">
      <w:pPr>
        <w:widowControl/>
        <w:jc w:val="left"/>
        <w:rPr>
          <w:b/>
          <w:bCs/>
          <w:color w:val="auto"/>
          <w:highlight w:val="none"/>
        </w:rPr>
      </w:pPr>
    </w:p>
    <w:p w14:paraId="0973C572">
      <w:pPr>
        <w:widowControl/>
        <w:jc w:val="left"/>
        <w:rPr>
          <w:b/>
          <w:bCs/>
          <w:color w:val="auto"/>
          <w:highlight w:val="none"/>
        </w:rPr>
      </w:pPr>
    </w:p>
    <w:p w14:paraId="39ADF979">
      <w:pPr>
        <w:widowControl/>
        <w:jc w:val="left"/>
        <w:rPr>
          <w:b/>
          <w:bCs/>
          <w:color w:val="auto"/>
          <w:highlight w:val="none"/>
        </w:rPr>
      </w:pPr>
    </w:p>
    <w:p w14:paraId="4C286CBD">
      <w:pPr>
        <w:widowControl/>
        <w:jc w:val="left"/>
        <w:rPr>
          <w:b/>
          <w:bCs/>
          <w:color w:val="auto"/>
          <w:highlight w:val="none"/>
        </w:rPr>
      </w:pPr>
    </w:p>
    <w:p w14:paraId="469BF7FA">
      <w:pPr>
        <w:widowControl/>
        <w:jc w:val="left"/>
        <w:rPr>
          <w:b/>
          <w:bCs/>
          <w:color w:val="auto"/>
          <w:highlight w:val="none"/>
        </w:rPr>
      </w:pPr>
    </w:p>
    <w:p w14:paraId="463ABFFF">
      <w:pPr>
        <w:widowControl/>
        <w:jc w:val="left"/>
        <w:rPr>
          <w:b/>
          <w:bCs/>
          <w:color w:val="auto"/>
          <w:highlight w:val="none"/>
        </w:rPr>
      </w:pPr>
    </w:p>
    <w:p w14:paraId="74DD5429">
      <w:pPr>
        <w:widowControl/>
        <w:jc w:val="left"/>
        <w:rPr>
          <w:b/>
          <w:bCs/>
          <w:color w:val="auto"/>
          <w:highlight w:val="none"/>
        </w:rPr>
      </w:pPr>
    </w:p>
    <w:p w14:paraId="4D0B7822">
      <w:pPr>
        <w:widowControl/>
        <w:jc w:val="left"/>
        <w:rPr>
          <w:b/>
          <w:bCs/>
          <w:color w:val="auto"/>
          <w:highlight w:val="none"/>
        </w:rPr>
      </w:pPr>
    </w:p>
    <w:p w14:paraId="66773F57">
      <w:pPr>
        <w:pStyle w:val="14"/>
        <w:rPr>
          <w:b/>
          <w:bCs/>
          <w:color w:val="auto"/>
          <w:highlight w:val="none"/>
        </w:rPr>
      </w:pPr>
    </w:p>
    <w:p w14:paraId="31C2FE33">
      <w:pPr>
        <w:rPr>
          <w:b/>
          <w:bCs/>
          <w:color w:val="auto"/>
          <w:highlight w:val="none"/>
        </w:rPr>
      </w:pPr>
    </w:p>
    <w:p w14:paraId="35422B3D">
      <w:pPr>
        <w:pStyle w:val="14"/>
        <w:rPr>
          <w:color w:val="auto"/>
          <w:highlight w:val="none"/>
        </w:rPr>
      </w:pPr>
    </w:p>
    <w:p w14:paraId="6EAC323C">
      <w:pPr>
        <w:rPr>
          <w:b/>
          <w:bCs/>
          <w:color w:val="auto"/>
          <w:highlight w:val="none"/>
        </w:rPr>
      </w:pPr>
      <w:r>
        <w:rPr>
          <w:rFonts w:hint="eastAsia" w:ascii="宋体" w:hAnsi="宋体"/>
          <w:b/>
          <w:bCs/>
          <w:color w:val="auto"/>
          <w:szCs w:val="21"/>
          <w:highlight w:val="none"/>
          <w:lang w:val="en-US" w:eastAsia="zh-CN"/>
        </w:rPr>
        <w:t>C</w:t>
      </w:r>
      <w:r>
        <w:rPr>
          <w:rFonts w:hint="eastAsia" w:ascii="宋体" w:hAnsi="宋体"/>
          <w:b/>
          <w:bCs/>
          <w:color w:val="auto"/>
          <w:szCs w:val="21"/>
          <w:highlight w:val="none"/>
        </w:rPr>
        <w:t>分标评审办法</w:t>
      </w:r>
    </w:p>
    <w:p w14:paraId="4DA278A4">
      <w:pPr>
        <w:pStyle w:val="17"/>
        <w:spacing w:line="480" w:lineRule="exact"/>
        <w:rPr>
          <w:rFonts w:hint="eastAsia" w:hAnsi="宋体" w:cs="宋体"/>
          <w:b/>
          <w:bCs/>
          <w:color w:val="auto"/>
          <w:highlight w:val="none"/>
        </w:rPr>
      </w:pPr>
      <w:r>
        <w:rPr>
          <w:rFonts w:hint="eastAsia" w:hAnsi="宋体" w:cs="宋体"/>
          <w:b/>
          <w:bCs/>
          <w:color w:val="auto"/>
          <w:highlight w:val="none"/>
        </w:rPr>
        <w:t>一、评审原则</w:t>
      </w:r>
    </w:p>
    <w:p w14:paraId="6E66EDA6">
      <w:pPr>
        <w:pStyle w:val="17"/>
        <w:spacing w:line="480" w:lineRule="exact"/>
        <w:rPr>
          <w:rFonts w:hint="eastAsia" w:hAnsi="宋体" w:cs="宋体"/>
          <w:color w:val="auto"/>
          <w:highlight w:val="none"/>
        </w:rPr>
      </w:pPr>
      <w:r>
        <w:rPr>
          <w:rFonts w:hint="eastAsia" w:hAnsi="宋体" w:cs="宋体"/>
          <w:color w:val="auto"/>
          <w:highlight w:val="none"/>
        </w:rPr>
        <w:t>1、评审依据：</w:t>
      </w:r>
      <w:r>
        <w:rPr>
          <w:rFonts w:hint="eastAsia" w:hAnsi="宋体" w:cs="宋体"/>
          <w:color w:val="auto"/>
          <w:highlight w:val="none"/>
          <w:lang w:val="en-US" w:eastAsia="zh-CN"/>
        </w:rPr>
        <w:t>评审</w:t>
      </w:r>
      <w:r>
        <w:rPr>
          <w:rFonts w:hint="eastAsia" w:hAnsi="宋体" w:cs="宋体"/>
          <w:color w:val="auto"/>
          <w:highlight w:val="none"/>
        </w:rPr>
        <w:t>小组以</w:t>
      </w:r>
      <w:r>
        <w:rPr>
          <w:rFonts w:hint="eastAsia" w:hAnsi="宋体" w:cs="宋体"/>
          <w:color w:val="auto"/>
          <w:highlight w:val="none"/>
          <w:lang w:val="en-US" w:eastAsia="zh-CN"/>
        </w:rPr>
        <w:t>招标</w:t>
      </w:r>
      <w:r>
        <w:rPr>
          <w:rFonts w:hint="eastAsia" w:hAnsi="宋体" w:cs="宋体"/>
          <w:color w:val="auto"/>
          <w:highlight w:val="none"/>
        </w:rPr>
        <w:t>文件和响应文件为评审依据，对</w:t>
      </w:r>
      <w:r>
        <w:rPr>
          <w:rFonts w:hint="eastAsia" w:hAnsi="宋体" w:cs="宋体"/>
          <w:color w:val="auto"/>
          <w:highlight w:val="none"/>
          <w:lang w:val="en-US" w:eastAsia="zh-CN"/>
        </w:rPr>
        <w:t>投标</w:t>
      </w:r>
      <w:r>
        <w:rPr>
          <w:rFonts w:hint="eastAsia" w:hAnsi="宋体" w:cs="宋体"/>
          <w:color w:val="auto"/>
          <w:highlight w:val="none"/>
        </w:rPr>
        <w:t>供应商的价格、</w:t>
      </w:r>
      <w:r>
        <w:rPr>
          <w:rFonts w:hint="eastAsia" w:hAnsi="宋体" w:cs="宋体"/>
          <w:color w:val="auto"/>
          <w:highlight w:val="none"/>
          <w:lang w:val="en-US" w:eastAsia="zh-CN"/>
        </w:rPr>
        <w:t>技术、</w:t>
      </w:r>
      <w:r>
        <w:rPr>
          <w:rFonts w:hint="eastAsia" w:hAnsi="宋体" w:cs="宋体"/>
          <w:color w:val="auto"/>
          <w:kern w:val="0"/>
          <w:szCs w:val="21"/>
          <w:highlight w:val="none"/>
        </w:rPr>
        <w:t>方案</w:t>
      </w:r>
      <w:r>
        <w:rPr>
          <w:rFonts w:hint="eastAsia" w:hAnsi="宋体" w:cs="宋体"/>
          <w:color w:val="auto"/>
          <w:highlight w:val="none"/>
        </w:rPr>
        <w:t>、</w:t>
      </w:r>
      <w:r>
        <w:rPr>
          <w:rFonts w:hint="eastAsia" w:hAnsi="宋体" w:cs="宋体"/>
          <w:color w:val="auto"/>
          <w:highlight w:val="none"/>
          <w:lang w:val="en-US" w:eastAsia="zh-CN"/>
        </w:rPr>
        <w:t>售后</w:t>
      </w:r>
      <w:r>
        <w:rPr>
          <w:rFonts w:hint="eastAsia" w:hAnsi="宋体" w:cs="宋体"/>
          <w:color w:val="auto"/>
          <w:kern w:val="0"/>
          <w:szCs w:val="21"/>
          <w:highlight w:val="none"/>
        </w:rPr>
        <w:t>服务</w:t>
      </w:r>
      <w:r>
        <w:rPr>
          <w:rFonts w:hint="eastAsia" w:hAnsi="宋体" w:cs="宋体"/>
          <w:color w:val="auto"/>
          <w:kern w:val="0"/>
          <w:szCs w:val="21"/>
          <w:highlight w:val="none"/>
          <w:lang w:eastAsia="zh-CN"/>
        </w:rPr>
        <w:t>、</w:t>
      </w:r>
      <w:r>
        <w:rPr>
          <w:rFonts w:hint="eastAsia" w:hAnsi="宋体" w:cs="宋体"/>
          <w:color w:val="auto"/>
          <w:highlight w:val="none"/>
        </w:rPr>
        <w:t>信誉等方面内容按百分制打分。</w:t>
      </w:r>
    </w:p>
    <w:p w14:paraId="6CF26F98">
      <w:pPr>
        <w:pStyle w:val="17"/>
        <w:spacing w:line="480" w:lineRule="exact"/>
        <w:rPr>
          <w:rFonts w:hint="eastAsia" w:hAnsi="宋体" w:cs="宋体"/>
          <w:color w:val="auto"/>
          <w:highlight w:val="none"/>
        </w:rPr>
      </w:pPr>
      <w:r>
        <w:rPr>
          <w:rFonts w:hint="eastAsia" w:hAnsi="宋体" w:cs="宋体"/>
          <w:color w:val="auto"/>
          <w:highlight w:val="none"/>
        </w:rPr>
        <w:t>2、评审方式：以封闭方式进行评审。</w:t>
      </w:r>
    </w:p>
    <w:p w14:paraId="66F58100">
      <w:pPr>
        <w:pStyle w:val="17"/>
        <w:spacing w:line="480" w:lineRule="exact"/>
        <w:rPr>
          <w:rFonts w:hint="eastAsia" w:hAnsi="宋体" w:cs="宋体"/>
          <w:color w:val="auto"/>
          <w:highlight w:val="none"/>
        </w:rPr>
      </w:pPr>
      <w:r>
        <w:rPr>
          <w:rFonts w:hint="eastAsia" w:hAnsi="宋体" w:cs="宋体"/>
          <w:color w:val="auto"/>
          <w:szCs w:val="21"/>
          <w:highlight w:val="none"/>
        </w:rPr>
        <w:t>3、</w:t>
      </w:r>
      <w:r>
        <w:rPr>
          <w:rFonts w:hint="eastAsia" w:hAnsi="宋体" w:cs="宋体"/>
          <w:color w:val="auto"/>
          <w:highlight w:val="none"/>
        </w:rPr>
        <w:t>根据财库〔2012〕69号文规定，采购人和采购代理机构、</w:t>
      </w:r>
      <w:r>
        <w:rPr>
          <w:rFonts w:hint="eastAsia" w:hAnsi="宋体" w:cs="宋体"/>
          <w:color w:val="auto"/>
          <w:highlight w:val="none"/>
          <w:lang w:val="en-US" w:eastAsia="zh-CN"/>
        </w:rPr>
        <w:t>评审</w:t>
      </w:r>
      <w:r>
        <w:rPr>
          <w:rFonts w:hint="eastAsia" w:hAnsi="宋体" w:cs="宋体"/>
          <w:color w:val="auto"/>
          <w:highlight w:val="none"/>
        </w:rPr>
        <w:t>小组成员要严格遵守政府采购相关法律制度，依法履行各自职责，公正、客观、审慎地组织和参与评审工作。</w:t>
      </w:r>
    </w:p>
    <w:p w14:paraId="78358227">
      <w:pPr>
        <w:pStyle w:val="17"/>
        <w:spacing w:line="480" w:lineRule="exact"/>
        <w:rPr>
          <w:rFonts w:hint="eastAsia" w:hAnsi="宋体" w:cs="宋体"/>
          <w:b/>
          <w:bCs/>
          <w:color w:val="auto"/>
          <w:highlight w:val="none"/>
        </w:rPr>
      </w:pPr>
      <w:r>
        <w:rPr>
          <w:rFonts w:hint="eastAsia" w:hAnsi="宋体" w:cs="宋体"/>
          <w:b/>
          <w:bCs/>
          <w:color w:val="auto"/>
          <w:highlight w:val="none"/>
        </w:rPr>
        <w:t>二、评审办法</w:t>
      </w:r>
    </w:p>
    <w:p w14:paraId="39A2FC18">
      <w:pPr>
        <w:pStyle w:val="17"/>
        <w:spacing w:line="480" w:lineRule="exact"/>
        <w:rPr>
          <w:rFonts w:hint="eastAsia" w:hAnsi="宋体" w:cs="宋体"/>
          <w:bCs/>
          <w:color w:val="auto"/>
          <w:highlight w:val="none"/>
        </w:rPr>
      </w:pPr>
      <w:r>
        <w:rPr>
          <w:rFonts w:hint="eastAsia" w:hAnsi="宋体" w:cs="宋体"/>
          <w:bCs/>
          <w:color w:val="auto"/>
          <w:highlight w:val="none"/>
        </w:rPr>
        <w:t>（一）对进入详评的，采用综合评分法。</w:t>
      </w:r>
    </w:p>
    <w:p w14:paraId="496EEF26">
      <w:pPr>
        <w:pStyle w:val="17"/>
        <w:spacing w:line="480" w:lineRule="exact"/>
        <w:rPr>
          <w:rFonts w:hint="eastAsia" w:hAnsi="宋体" w:cs="宋体"/>
          <w:bCs/>
          <w:color w:val="auto"/>
          <w:highlight w:val="none"/>
        </w:rPr>
      </w:pPr>
      <w:r>
        <w:rPr>
          <w:rFonts w:hint="eastAsia" w:hAnsi="宋体" w:cs="宋体"/>
          <w:bCs/>
          <w:color w:val="auto"/>
          <w:highlight w:val="none"/>
        </w:rPr>
        <w:t>（二）计分办法（按四舍五入取至小数点后二位）</w:t>
      </w:r>
    </w:p>
    <w:p w14:paraId="1BDEA8CC">
      <w:pPr>
        <w:pStyle w:val="17"/>
        <w:spacing w:line="480" w:lineRule="exact"/>
        <w:ind w:firstLine="211" w:firstLineChars="100"/>
        <w:rPr>
          <w:rFonts w:hint="eastAsia" w:hAnsi="宋体" w:cs="宋体"/>
          <w:b/>
          <w:bCs/>
          <w:color w:val="auto"/>
          <w:highlight w:val="none"/>
        </w:rPr>
      </w:pPr>
      <w:r>
        <w:rPr>
          <w:rFonts w:hint="eastAsia" w:hAnsi="宋体" w:cs="宋体"/>
          <w:b/>
          <w:color w:val="auto"/>
          <w:highlight w:val="none"/>
        </w:rPr>
        <w:t xml:space="preserve">1. </w:t>
      </w:r>
      <w:r>
        <w:rPr>
          <w:rFonts w:hint="eastAsia" w:hAnsi="宋体" w:cs="宋体"/>
          <w:b/>
          <w:bCs/>
          <w:color w:val="auto"/>
          <w:highlight w:val="none"/>
        </w:rPr>
        <w:t>价格分…………………………………………………………………………………满分</w:t>
      </w:r>
      <w:r>
        <w:rPr>
          <w:rFonts w:hint="eastAsia" w:hAnsi="宋体" w:cs="宋体"/>
          <w:b/>
          <w:bCs/>
          <w:color w:val="auto"/>
          <w:highlight w:val="none"/>
          <w:lang w:eastAsia="zh-CN"/>
        </w:rPr>
        <w:t>3</w:t>
      </w:r>
      <w:r>
        <w:rPr>
          <w:rFonts w:hint="eastAsia" w:hAnsi="宋体" w:cs="宋体"/>
          <w:b/>
          <w:bCs/>
          <w:color w:val="auto"/>
          <w:highlight w:val="none"/>
        </w:rPr>
        <w:t>0分</w:t>
      </w:r>
    </w:p>
    <w:p w14:paraId="5815A36F">
      <w:pPr>
        <w:pStyle w:val="17"/>
        <w:spacing w:line="480" w:lineRule="exact"/>
        <w:ind w:firstLine="420"/>
        <w:rPr>
          <w:rFonts w:hint="eastAsia" w:hAnsi="宋体" w:cs="宋体"/>
          <w:color w:val="auto"/>
          <w:szCs w:val="21"/>
          <w:highlight w:val="none"/>
        </w:rPr>
      </w:pPr>
      <w:r>
        <w:rPr>
          <w:rFonts w:hint="eastAsia" w:hAnsi="宋体" w:cs="宋体"/>
          <w:bCs/>
          <w:color w:val="auto"/>
          <w:highlight w:val="none"/>
        </w:rPr>
        <w:t>以进入评标的最低的评标报价为</w:t>
      </w:r>
      <w:r>
        <w:rPr>
          <w:rFonts w:hint="eastAsia" w:hAnsi="宋体" w:cs="宋体"/>
          <w:bCs/>
          <w:color w:val="auto"/>
          <w:highlight w:val="none"/>
          <w:lang w:eastAsia="zh-CN"/>
        </w:rPr>
        <w:t>3</w:t>
      </w:r>
      <w:r>
        <w:rPr>
          <w:rFonts w:hint="eastAsia" w:hAnsi="宋体" w:cs="宋体"/>
          <w:bCs/>
          <w:color w:val="auto"/>
          <w:highlight w:val="none"/>
        </w:rPr>
        <w:t>0分</w:t>
      </w:r>
    </w:p>
    <w:p w14:paraId="7BD2DB66">
      <w:pPr>
        <w:pStyle w:val="17"/>
        <w:spacing w:line="480" w:lineRule="exact"/>
        <w:ind w:firstLine="420"/>
        <w:rPr>
          <w:rFonts w:hint="eastAsia" w:hAnsi="宋体" w:cs="宋体"/>
          <w:color w:val="auto"/>
          <w:szCs w:val="21"/>
          <w:highlight w:val="none"/>
        </w:rPr>
      </w:pPr>
      <w:r>
        <w:rPr>
          <w:rFonts w:hint="eastAsia" w:hAnsi="宋体" w:cs="宋体"/>
          <w:color w:val="auto"/>
          <w:szCs w:val="21"/>
          <w:highlight w:val="none"/>
        </w:rPr>
        <w:t xml:space="preserve">价格分计算公式： </w:t>
      </w:r>
    </w:p>
    <w:p w14:paraId="4197362C">
      <w:pPr>
        <w:pStyle w:val="17"/>
        <w:spacing w:line="480" w:lineRule="exact"/>
        <w:ind w:firstLine="3150" w:firstLineChars="1500"/>
        <w:rPr>
          <w:rFonts w:hint="eastAsia" w:hAnsi="宋体" w:cs="宋体"/>
          <w:bCs/>
          <w:color w:val="auto"/>
          <w:highlight w:val="none"/>
        </w:rPr>
      </w:pPr>
      <w:r>
        <w:rPr>
          <w:rFonts w:hint="eastAsia" w:hAnsi="宋体" w:cs="宋体"/>
          <w:bCs/>
          <w:color w:val="auto"/>
          <w:highlight w:val="none"/>
        </w:rPr>
        <w:t>最低</w:t>
      </w:r>
      <w:r>
        <w:rPr>
          <w:rFonts w:hint="eastAsia" w:hAnsi="宋体" w:cs="宋体"/>
          <w:color w:val="auto"/>
          <w:highlight w:val="none"/>
          <w:lang w:val="en-US" w:eastAsia="zh-CN"/>
        </w:rPr>
        <w:t>投标</w:t>
      </w:r>
      <w:r>
        <w:rPr>
          <w:rFonts w:hint="eastAsia" w:hAnsi="宋体" w:cs="宋体"/>
          <w:color w:val="auto"/>
          <w:highlight w:val="none"/>
        </w:rPr>
        <w:t>供应商评审报价</w:t>
      </w:r>
      <w:r>
        <w:rPr>
          <w:rFonts w:hint="eastAsia" w:hAnsi="宋体" w:cs="宋体"/>
          <w:bCs/>
          <w:color w:val="auto"/>
          <w:highlight w:val="none"/>
        </w:rPr>
        <w:t xml:space="preserve">金额          </w:t>
      </w:r>
    </w:p>
    <w:p w14:paraId="4C39327A">
      <w:pPr>
        <w:pStyle w:val="17"/>
        <w:spacing w:line="480" w:lineRule="exact"/>
        <w:ind w:firstLine="420"/>
        <w:rPr>
          <w:rFonts w:hint="eastAsia" w:hAnsi="宋体" w:cs="宋体"/>
          <w:bCs/>
          <w:color w:val="auto"/>
          <w:highlight w:val="none"/>
        </w:rPr>
      </w:pPr>
      <w:r>
        <w:rPr>
          <w:rFonts w:hint="eastAsia" w:hAnsi="宋体" w:cs="宋体"/>
          <w:bCs/>
          <w:color w:val="auto"/>
          <w:highlight w:val="none"/>
        </w:rPr>
        <w:pict>
          <v:line id="直接连接符 6" o:spid="_x0000_s2055" o:spt="20" style="position:absolute;left:0pt;margin-left:137.7pt;margin-top:9.85pt;height:0pt;width:173.25pt;z-index:251663360;mso-width-relative:page;mso-height-relative:page;" filled="f" stroked="t" coordsize="21600,21600" o:gfxdata="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Nv7ZbW&#10;AAAACQEAAA8AAAAAAAAAAQAgAAAAIgAAAGRycy9kb3ducmV2LnhtbFBLAQIUABQAAAAIAIdO4kDX&#10;X/ok6QEAALgDAAAOAAAAAAAAAAEAIAAAACUBAABkcnMvZTJvRG9jLnhtbFBLBQYAAAAABgAGAFkB&#10;AACABQAAAAA=&#10;">
            <v:path arrowok="t"/>
            <v:fill on="f" focussize="0,0"/>
            <v:stroke color="#000000" joinstyle="round"/>
            <v:imagedata o:title=""/>
            <o:lock v:ext="edit" aspectratio="f"/>
          </v:line>
        </w:pict>
      </w:r>
      <w:r>
        <w:rPr>
          <w:rFonts w:hint="eastAsia" w:hAnsi="宋体" w:cs="宋体"/>
          <w:bCs/>
          <w:color w:val="auto"/>
          <w:highlight w:val="none"/>
        </w:rPr>
        <w:t xml:space="preserve">  </w:t>
      </w:r>
      <w:r>
        <w:rPr>
          <w:rFonts w:hint="eastAsia" w:hAnsi="宋体" w:cs="宋体"/>
          <w:color w:val="auto"/>
          <w:highlight w:val="none"/>
          <w:lang w:val="en-US" w:eastAsia="zh-CN"/>
        </w:rPr>
        <w:t>投标</w:t>
      </w:r>
      <w:r>
        <w:rPr>
          <w:rFonts w:hint="eastAsia" w:hAnsi="宋体" w:cs="宋体"/>
          <w:color w:val="auto"/>
          <w:highlight w:val="none"/>
        </w:rPr>
        <w:t>供应商</w:t>
      </w:r>
      <w:r>
        <w:rPr>
          <w:rFonts w:hint="eastAsia" w:hAnsi="宋体" w:cs="宋体"/>
          <w:bCs/>
          <w:color w:val="auto"/>
          <w:highlight w:val="none"/>
        </w:rPr>
        <w:t>价格分 =                                    ×</w:t>
      </w:r>
      <w:r>
        <w:rPr>
          <w:rFonts w:hint="eastAsia" w:hAnsi="宋体" w:cs="宋体"/>
          <w:bCs/>
          <w:color w:val="auto"/>
          <w:highlight w:val="none"/>
          <w:lang w:eastAsia="zh-CN"/>
        </w:rPr>
        <w:t>3</w:t>
      </w:r>
      <w:r>
        <w:rPr>
          <w:rFonts w:hint="eastAsia" w:hAnsi="宋体" w:cs="宋体"/>
          <w:bCs/>
          <w:color w:val="auto"/>
          <w:highlight w:val="none"/>
        </w:rPr>
        <w:t>0分</w:t>
      </w:r>
    </w:p>
    <w:p w14:paraId="3BB5A176">
      <w:pPr>
        <w:pStyle w:val="17"/>
        <w:spacing w:line="480" w:lineRule="exact"/>
        <w:ind w:firstLine="420" w:firstLineChars="200"/>
        <w:rPr>
          <w:rFonts w:hint="eastAsia" w:hAnsi="宋体" w:cs="宋体"/>
          <w:b/>
          <w:color w:val="auto"/>
          <w:highlight w:val="none"/>
        </w:rPr>
      </w:pPr>
      <w:r>
        <w:rPr>
          <w:rFonts w:hint="eastAsia" w:hAnsi="宋体" w:cs="宋体"/>
          <w:bCs/>
          <w:color w:val="auto"/>
          <w:highlight w:val="none"/>
        </w:rPr>
        <w:t xml:space="preserve">                          </w:t>
      </w:r>
      <w:r>
        <w:rPr>
          <w:rFonts w:hint="eastAsia" w:hAnsi="宋体" w:cs="宋体"/>
          <w:bCs/>
          <w:color w:val="auto"/>
          <w:highlight w:val="none"/>
          <w:lang w:val="en-US" w:eastAsia="zh-CN"/>
        </w:rPr>
        <w:t>投标</w:t>
      </w:r>
      <w:r>
        <w:rPr>
          <w:rFonts w:hint="eastAsia" w:hAnsi="宋体" w:cs="宋体"/>
          <w:color w:val="auto"/>
          <w:highlight w:val="none"/>
        </w:rPr>
        <w:t>供应商评审报价</w:t>
      </w:r>
      <w:r>
        <w:rPr>
          <w:rFonts w:hint="eastAsia" w:hAnsi="宋体" w:cs="宋体"/>
          <w:bCs/>
          <w:color w:val="auto"/>
          <w:highlight w:val="none"/>
        </w:rPr>
        <w:t xml:space="preserve">金额 </w:t>
      </w:r>
    </w:p>
    <w:p w14:paraId="60A6ECAC">
      <w:pPr>
        <w:pStyle w:val="17"/>
        <w:spacing w:line="480" w:lineRule="exact"/>
        <w:rPr>
          <w:rFonts w:hint="eastAsia" w:hAnsi="宋体" w:cs="宋体"/>
          <w:b/>
          <w:bCs/>
          <w:color w:val="auto"/>
          <w:szCs w:val="21"/>
          <w:highlight w:val="none"/>
        </w:rPr>
      </w:pPr>
    </w:p>
    <w:p w14:paraId="5DA2B259">
      <w:pPr>
        <w:pStyle w:val="17"/>
        <w:spacing w:line="480" w:lineRule="exact"/>
        <w:ind w:firstLine="422" w:firstLineChars="200"/>
        <w:rPr>
          <w:rFonts w:hint="eastAsia" w:hAnsi="宋体" w:cs="宋体"/>
          <w:b/>
          <w:bCs/>
          <w:color w:val="auto"/>
          <w:szCs w:val="21"/>
          <w:highlight w:val="none"/>
        </w:rPr>
      </w:pPr>
      <w:r>
        <w:rPr>
          <w:rFonts w:hint="eastAsia" w:hAnsi="宋体" w:cs="宋体"/>
          <w:b/>
          <w:bCs/>
          <w:color w:val="auto"/>
          <w:szCs w:val="21"/>
          <w:highlight w:val="none"/>
        </w:rPr>
        <w:t xml:space="preserve">2 </w:t>
      </w:r>
      <w:r>
        <w:rPr>
          <w:rFonts w:hint="eastAsia" w:hAnsi="宋体" w:cs="宋体"/>
          <w:b/>
          <w:bCs/>
          <w:color w:val="auto"/>
          <w:szCs w:val="21"/>
          <w:highlight w:val="none"/>
          <w:lang w:eastAsia="zh-CN"/>
        </w:rPr>
        <w:t>技术</w:t>
      </w:r>
      <w:r>
        <w:rPr>
          <w:rFonts w:hint="eastAsia" w:hAnsi="宋体" w:cs="宋体"/>
          <w:b/>
          <w:bCs/>
          <w:color w:val="auto"/>
          <w:szCs w:val="21"/>
          <w:highlight w:val="none"/>
        </w:rPr>
        <w:t>分………………………………………</w:t>
      </w:r>
      <w:r>
        <w:rPr>
          <w:rFonts w:hAnsi="宋体" w:cs="宋体"/>
          <w:b/>
          <w:bCs/>
          <w:color w:val="auto"/>
          <w:szCs w:val="21"/>
          <w:highlight w:val="none"/>
          <w:lang w:eastAsia="zh-CN"/>
        </w:rPr>
        <w:t>…………</w:t>
      </w:r>
      <w:r>
        <w:rPr>
          <w:rFonts w:hint="eastAsia" w:hAnsi="宋体" w:cs="宋体"/>
          <w:b/>
          <w:bCs/>
          <w:color w:val="auto"/>
          <w:szCs w:val="21"/>
          <w:highlight w:val="none"/>
        </w:rPr>
        <w:t>………………………………… 满分</w:t>
      </w:r>
      <w:r>
        <w:rPr>
          <w:rFonts w:hint="eastAsia" w:hAnsi="宋体" w:cs="宋体"/>
          <w:b/>
          <w:bCs/>
          <w:color w:val="auto"/>
          <w:szCs w:val="21"/>
          <w:highlight w:val="none"/>
          <w:lang w:val="en-US" w:eastAsia="zh-CN"/>
        </w:rPr>
        <w:t>21</w:t>
      </w:r>
      <w:r>
        <w:rPr>
          <w:rFonts w:hint="eastAsia" w:hAnsi="宋体" w:cs="宋体"/>
          <w:b/>
          <w:bCs/>
          <w:color w:val="auto"/>
          <w:szCs w:val="21"/>
          <w:highlight w:val="none"/>
        </w:rPr>
        <w:t>分</w:t>
      </w:r>
    </w:p>
    <w:p w14:paraId="2B0F18A9">
      <w:pPr>
        <w:spacing w:line="480" w:lineRule="exact"/>
        <w:ind w:firstLine="420"/>
        <w:rPr>
          <w:rFonts w:hint="eastAsia" w:ascii="宋体" w:hAnsi="宋体" w:cs="宋体"/>
          <w:bCs/>
          <w:color w:val="auto"/>
          <w:szCs w:val="21"/>
          <w:highlight w:val="none"/>
        </w:rPr>
      </w:pPr>
      <w:r>
        <w:rPr>
          <w:rFonts w:hint="eastAsia" w:ascii="宋体" w:hAnsi="宋体" w:cs="宋体"/>
          <w:b/>
          <w:bCs/>
          <w:color w:val="auto"/>
          <w:szCs w:val="21"/>
          <w:highlight w:val="none"/>
        </w:rPr>
        <w:t>（1）基本分（满分1</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分）</w:t>
      </w:r>
    </w:p>
    <w:p w14:paraId="61583846">
      <w:pPr>
        <w:spacing w:line="480" w:lineRule="exact"/>
        <w:ind w:firstLine="630" w:firstLineChars="300"/>
        <w:rPr>
          <w:rFonts w:ascii="宋体" w:hAnsi="宋体" w:cs="宋体"/>
          <w:b/>
          <w:bCs/>
          <w:color w:val="auto"/>
          <w:szCs w:val="21"/>
          <w:highlight w:val="none"/>
        </w:rPr>
      </w:pPr>
      <w:r>
        <w:rPr>
          <w:rFonts w:hint="eastAsia" w:ascii="宋体" w:hAnsi="宋体" w:cs="宋体"/>
          <w:bCs/>
          <w:color w:val="auto"/>
          <w:szCs w:val="21"/>
          <w:highlight w:val="none"/>
        </w:rPr>
        <w:t>响应产品技术参数及性能配置完全符合</w:t>
      </w:r>
      <w:r>
        <w:rPr>
          <w:rFonts w:hint="eastAsia" w:ascii="宋体" w:hAnsi="宋体" w:cs="宋体"/>
          <w:bCs/>
          <w:color w:val="auto"/>
          <w:szCs w:val="21"/>
          <w:highlight w:val="none"/>
          <w:lang w:val="en-US" w:eastAsia="zh-CN"/>
        </w:rPr>
        <w:t>招标</w:t>
      </w:r>
      <w:r>
        <w:rPr>
          <w:rFonts w:hint="eastAsia" w:ascii="宋体" w:hAnsi="宋体" w:cs="宋体"/>
          <w:bCs/>
          <w:color w:val="auto"/>
          <w:szCs w:val="21"/>
          <w:highlight w:val="none"/>
        </w:rPr>
        <w:t>文件要求（含非标注★项）的，得 1</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 xml:space="preserve"> 分；非“★”的参数每负偏离一项扣1分，扣完为止，满分1</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14:paraId="2B09E239">
      <w:pPr>
        <w:spacing w:line="480" w:lineRule="exact"/>
        <w:ind w:firstLine="420"/>
        <w:rPr>
          <w:rFonts w:ascii="宋体" w:hAnsi="宋体" w:cs="宋体"/>
          <w:bCs/>
          <w:color w:val="auto"/>
          <w:szCs w:val="21"/>
          <w:highlight w:val="none"/>
        </w:rPr>
      </w:pPr>
      <w:r>
        <w:rPr>
          <w:rFonts w:hint="eastAsia" w:ascii="宋体" w:hAnsi="宋体" w:cs="宋体"/>
          <w:b/>
          <w:bCs/>
          <w:color w:val="auto"/>
          <w:szCs w:val="21"/>
          <w:highlight w:val="none"/>
        </w:rPr>
        <w:t>（2）技术分（满分</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分）</w:t>
      </w:r>
    </w:p>
    <w:p w14:paraId="325D5B42">
      <w:pPr>
        <w:pageBreakBefore w:val="0"/>
        <w:kinsoku/>
        <w:wordWrap/>
        <w:overflowPunct/>
        <w:topLinePunct w:val="0"/>
        <w:autoSpaceDE/>
        <w:autoSpaceDN/>
        <w:bidi w:val="0"/>
        <w:snapToGrid/>
        <w:spacing w:line="380" w:lineRule="exact"/>
        <w:ind w:firstLine="630" w:firstLineChars="300"/>
        <w:textAlignment w:val="auto"/>
        <w:rPr>
          <w:rFonts w:hint="eastAsia" w:ascii="宋体" w:hAnsi="宋体" w:cs="宋体"/>
          <w:bCs/>
          <w:color w:val="auto"/>
          <w:szCs w:val="21"/>
          <w:highlight w:val="none"/>
        </w:rPr>
      </w:pPr>
      <w:r>
        <w:rPr>
          <w:rFonts w:hint="eastAsia" w:ascii="宋体" w:hAnsi="宋体" w:eastAsia="宋体" w:cs="宋体"/>
          <w:b w:val="0"/>
          <w:bCs/>
          <w:i w:val="0"/>
          <w:iCs w:val="0"/>
          <w:caps w:val="0"/>
          <w:color w:val="auto"/>
          <w:spacing w:val="0"/>
          <w:sz w:val="21"/>
          <w:szCs w:val="21"/>
          <w:highlight w:val="none"/>
        </w:rPr>
        <w:t>电动牙刷</w:t>
      </w:r>
      <w:r>
        <w:rPr>
          <w:rFonts w:hint="eastAsia" w:ascii="宋体" w:hAnsi="宋体" w:cs="宋体"/>
          <w:bCs/>
          <w:color w:val="auto"/>
          <w:szCs w:val="21"/>
          <w:highlight w:val="none"/>
        </w:rPr>
        <w:t>标“▲”项的技术指标提供202</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年以来由国家认可的具有CMA检测资质的第三方检测机构出具的合格有效检测（验）报告复印件并加盖供应商CA签章的，得</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分，满分</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p w14:paraId="4A1B9835">
      <w:pPr>
        <w:spacing w:line="480" w:lineRule="exact"/>
        <w:ind w:firstLine="420"/>
        <w:rPr>
          <w:rFonts w:hint="eastAsia" w:ascii="宋体" w:hAnsi="宋体" w:cs="宋体"/>
          <w:bCs/>
          <w:color w:val="auto"/>
          <w:szCs w:val="21"/>
          <w:highlight w:val="none"/>
        </w:rPr>
      </w:pPr>
      <w:r>
        <w:rPr>
          <w:rFonts w:hint="eastAsia" w:ascii="宋体" w:hAnsi="宋体" w:cs="宋体"/>
          <w:b/>
          <w:color w:val="auto"/>
          <w:szCs w:val="21"/>
          <w:highlight w:val="none"/>
        </w:rPr>
        <w:t>3、</w:t>
      </w:r>
      <w:r>
        <w:rPr>
          <w:rFonts w:hint="eastAsia" w:ascii="宋体" w:hAnsi="宋体" w:cs="宋体"/>
          <w:b/>
          <w:bCs/>
          <w:color w:val="auto"/>
          <w:szCs w:val="21"/>
          <w:highlight w:val="none"/>
        </w:rPr>
        <w:t>慰问信设计方案分</w:t>
      </w:r>
      <w:r>
        <w:rPr>
          <w:rFonts w:hint="eastAsia" w:ascii="宋体" w:hAnsi="宋体" w:cs="宋体"/>
          <w:b/>
          <w:color w:val="auto"/>
          <w:szCs w:val="21"/>
          <w:highlight w:val="none"/>
        </w:rPr>
        <w:t>……………………………………………………………………满分15分</w:t>
      </w:r>
    </w:p>
    <w:p w14:paraId="1D545B05">
      <w:pPr>
        <w:widowControl/>
        <w:spacing w:line="44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评标委员会根据各供应商</w:t>
      </w:r>
      <w:r>
        <w:rPr>
          <w:rFonts w:hint="eastAsia" w:ascii="宋体" w:hAnsi="宋体" w:cs="宋体"/>
          <w:bCs/>
          <w:color w:val="auto"/>
          <w:szCs w:val="21"/>
          <w:highlight w:val="none"/>
        </w:rPr>
        <w:t>投标文件中慰问信设计方案内容的完整性、</w:t>
      </w:r>
      <w:r>
        <w:rPr>
          <w:rFonts w:hint="eastAsia" w:ascii="宋体" w:hAnsi="宋体" w:cs="宋体"/>
          <w:color w:val="auto"/>
          <w:szCs w:val="21"/>
          <w:highlight w:val="none"/>
        </w:rPr>
        <w:t>慰问信效果图、设计方案和文字说明的科学合理性、</w:t>
      </w:r>
      <w:r>
        <w:rPr>
          <w:rFonts w:hint="eastAsia" w:ascii="宋体" w:hAnsi="宋体" w:cs="宋体"/>
          <w:bCs/>
          <w:color w:val="auto"/>
          <w:szCs w:val="21"/>
          <w:highlight w:val="none"/>
        </w:rPr>
        <w:t>可行性，</w:t>
      </w:r>
      <w:r>
        <w:rPr>
          <w:rFonts w:hint="eastAsia" w:ascii="宋体" w:hAnsi="宋体" w:cs="宋体"/>
          <w:color w:val="auto"/>
          <w:szCs w:val="21"/>
          <w:highlight w:val="none"/>
        </w:rPr>
        <w:t>切合实际要求等方面进行独立评审并独立打分。</w:t>
      </w:r>
    </w:p>
    <w:p w14:paraId="446100D0">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一档（0分）：</w:t>
      </w:r>
      <w:r>
        <w:rPr>
          <w:rFonts w:hint="eastAsia" w:ascii="宋体" w:hAnsi="宋体" w:cs="宋体"/>
          <w:color w:val="auto"/>
          <w:szCs w:val="22"/>
          <w:highlight w:val="none"/>
        </w:rPr>
        <w:t>未提供</w:t>
      </w:r>
      <w:r>
        <w:rPr>
          <w:rFonts w:hint="eastAsia" w:ascii="宋体" w:hAnsi="宋体" w:cs="宋体"/>
          <w:bCs/>
          <w:color w:val="auto"/>
          <w:szCs w:val="21"/>
          <w:highlight w:val="none"/>
        </w:rPr>
        <w:t>慰问信设计方案</w:t>
      </w:r>
      <w:r>
        <w:rPr>
          <w:rFonts w:hint="eastAsia" w:ascii="宋体" w:hAnsi="宋体" w:cs="宋体"/>
          <w:color w:val="auto"/>
          <w:szCs w:val="22"/>
          <w:highlight w:val="none"/>
        </w:rPr>
        <w:t>或方案被评定为差的，得0分。</w:t>
      </w:r>
    </w:p>
    <w:p w14:paraId="606663D5">
      <w:pPr>
        <w:widowControl/>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二档（5分）：设计方案简单，基本理解项目内容及要求，文字说明简单，图、文偏离主题，效果图一般。</w:t>
      </w:r>
    </w:p>
    <w:p w14:paraId="3219B8B1">
      <w:pPr>
        <w:pStyle w:val="133"/>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三档（10分）：设计方案清晰明确，能较好理解项目内容及要求，方案文字比较完整，主题明确，切合实际，有针对性，效果图较整洁、美观。</w:t>
      </w:r>
    </w:p>
    <w:p w14:paraId="65003F6C">
      <w:pPr>
        <w:tabs>
          <w:tab w:val="left" w:pos="567"/>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四档（15分）</w:t>
      </w:r>
      <w:r>
        <w:rPr>
          <w:rFonts w:hint="eastAsia" w:ascii="宋体" w:hAnsi="宋体" w:cs="宋体"/>
          <w:bCs/>
          <w:color w:val="auto"/>
          <w:szCs w:val="21"/>
          <w:highlight w:val="none"/>
        </w:rPr>
        <w:t>：设计方案详细完整，能更好理解项目内容及要求，图文思路清晰、主题突出，切合实际情况，针对性强，效果图整洁、美观、大方且设计感强。</w:t>
      </w:r>
    </w:p>
    <w:p w14:paraId="110611D5">
      <w:pPr>
        <w:spacing w:line="480" w:lineRule="exact"/>
        <w:ind w:firstLine="420"/>
        <w:rPr>
          <w:rFonts w:hint="eastAsia"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bCs/>
          <w:color w:val="auto"/>
          <w:szCs w:val="21"/>
          <w:highlight w:val="none"/>
        </w:rPr>
        <w:t>售后服务</w:t>
      </w:r>
      <w:r>
        <w:rPr>
          <w:rFonts w:hint="eastAsia" w:ascii="宋体" w:hAnsi="宋体" w:cs="宋体"/>
          <w:b/>
          <w:color w:val="auto"/>
          <w:szCs w:val="21"/>
          <w:highlight w:val="none"/>
        </w:rPr>
        <w:t>分………</w:t>
      </w:r>
      <w:r>
        <w:rPr>
          <w:rFonts w:ascii="宋体" w:hAnsi="宋体" w:cs="宋体"/>
          <w:b/>
          <w:color w:val="auto"/>
          <w:szCs w:val="21"/>
          <w:highlight w:val="none"/>
        </w:rPr>
        <w:t>……………</w:t>
      </w:r>
      <w:r>
        <w:rPr>
          <w:rFonts w:hint="eastAsia" w:ascii="宋体" w:hAnsi="宋体" w:cs="宋体"/>
          <w:b/>
          <w:color w:val="auto"/>
          <w:szCs w:val="21"/>
          <w:highlight w:val="none"/>
        </w:rPr>
        <w:t>…………………………………………………………满分</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分</w:t>
      </w:r>
    </w:p>
    <w:p w14:paraId="061F6F6A">
      <w:pPr>
        <w:pStyle w:val="15"/>
        <w:spacing w:line="440" w:lineRule="exact"/>
        <w:ind w:firstLine="422" w:firstLineChars="200"/>
        <w:rPr>
          <w:rFonts w:hAnsi="宋体" w:cs="宋体"/>
          <w:color w:val="auto"/>
          <w:szCs w:val="21"/>
          <w:highlight w:val="none"/>
        </w:rPr>
      </w:pPr>
      <w:r>
        <w:rPr>
          <w:rFonts w:hint="eastAsia" w:hAnsi="宋体" w:cs="宋体"/>
          <w:b/>
          <w:color w:val="auto"/>
          <w:szCs w:val="21"/>
          <w:highlight w:val="none"/>
        </w:rPr>
        <w:t xml:space="preserve">  </w:t>
      </w:r>
      <w:r>
        <w:rPr>
          <w:rFonts w:hint="eastAsia" w:hAnsi="宋体" w:cs="宋体"/>
          <w:color w:val="auto"/>
          <w:sz w:val="21"/>
          <w:szCs w:val="21"/>
          <w:highlight w:val="none"/>
        </w:rPr>
        <w:t>评标委员会根据各</w:t>
      </w:r>
      <w:r>
        <w:rPr>
          <w:rFonts w:hint="eastAsia" w:hAnsi="宋体" w:cs="宋体"/>
          <w:color w:val="auto"/>
          <w:sz w:val="21"/>
          <w:szCs w:val="21"/>
          <w:highlight w:val="none"/>
          <w:lang w:eastAsia="zh-CN"/>
        </w:rPr>
        <w:t>供应商</w:t>
      </w:r>
      <w:r>
        <w:rPr>
          <w:rFonts w:hint="eastAsia" w:hAnsi="宋体" w:cs="宋体"/>
          <w:bCs/>
          <w:color w:val="auto"/>
          <w:sz w:val="21"/>
          <w:szCs w:val="21"/>
          <w:highlight w:val="none"/>
          <w:lang w:eastAsia="zh-CN"/>
        </w:rPr>
        <w:t>响应</w:t>
      </w:r>
      <w:r>
        <w:rPr>
          <w:rFonts w:hint="eastAsia" w:hAnsi="宋体" w:cs="宋体"/>
          <w:bCs/>
          <w:color w:val="auto"/>
          <w:sz w:val="21"/>
          <w:szCs w:val="21"/>
          <w:highlight w:val="none"/>
        </w:rPr>
        <w:t>文件中</w:t>
      </w:r>
      <w:r>
        <w:rPr>
          <w:rFonts w:hint="eastAsia" w:hAnsi="宋体" w:cs="宋体"/>
          <w:color w:val="auto"/>
          <w:sz w:val="21"/>
          <w:szCs w:val="21"/>
          <w:highlight w:val="none"/>
        </w:rPr>
        <w:t>售后服务要求的响应程度及提供的服务</w:t>
      </w:r>
      <w:r>
        <w:rPr>
          <w:rFonts w:hint="eastAsia" w:hAnsi="宋体" w:cs="宋体"/>
          <w:color w:val="auto"/>
          <w:sz w:val="21"/>
          <w:szCs w:val="21"/>
          <w:highlight w:val="none"/>
          <w:lang w:val="en-US" w:eastAsia="zh-CN"/>
        </w:rPr>
        <w:t>实施</w:t>
      </w:r>
      <w:r>
        <w:rPr>
          <w:rFonts w:hint="eastAsia" w:hAnsi="宋体" w:cs="宋体"/>
          <w:color w:val="auto"/>
          <w:sz w:val="21"/>
          <w:szCs w:val="21"/>
          <w:highlight w:val="none"/>
        </w:rPr>
        <w:t>措施等</w:t>
      </w:r>
      <w:r>
        <w:rPr>
          <w:rFonts w:hint="eastAsia" w:hAnsi="宋体" w:cs="宋体"/>
          <w:color w:val="auto"/>
          <w:sz w:val="21"/>
          <w:szCs w:val="21"/>
          <w:highlight w:val="none"/>
          <w:lang w:val="en-US" w:eastAsia="zh-CN"/>
        </w:rPr>
        <w:t>方面</w:t>
      </w:r>
      <w:r>
        <w:rPr>
          <w:rFonts w:hint="eastAsia" w:hAnsi="宋体" w:cs="宋体"/>
          <w:color w:val="auto"/>
          <w:sz w:val="21"/>
          <w:szCs w:val="21"/>
          <w:highlight w:val="none"/>
        </w:rPr>
        <w:t>进行</w:t>
      </w:r>
      <w:r>
        <w:rPr>
          <w:rFonts w:hint="eastAsia" w:hAnsi="宋体" w:cs="宋体"/>
          <w:color w:val="auto"/>
          <w:sz w:val="21"/>
          <w:szCs w:val="21"/>
          <w:highlight w:val="none"/>
          <w:lang w:val="en-US" w:eastAsia="zh-CN"/>
        </w:rPr>
        <w:t>独立</w:t>
      </w:r>
      <w:r>
        <w:rPr>
          <w:rFonts w:hint="eastAsia" w:hAnsi="宋体" w:cs="宋体"/>
          <w:color w:val="auto"/>
          <w:sz w:val="21"/>
          <w:szCs w:val="21"/>
          <w:highlight w:val="none"/>
        </w:rPr>
        <w:t>评审并</w:t>
      </w:r>
      <w:r>
        <w:rPr>
          <w:rFonts w:hint="eastAsia" w:hAnsi="宋体" w:cs="宋体"/>
          <w:color w:val="auto"/>
          <w:sz w:val="21"/>
          <w:szCs w:val="21"/>
          <w:highlight w:val="none"/>
          <w:lang w:val="en-US" w:eastAsia="zh-CN"/>
        </w:rPr>
        <w:t>独立</w:t>
      </w:r>
      <w:r>
        <w:rPr>
          <w:rFonts w:hint="eastAsia" w:hAnsi="宋体" w:cs="宋体"/>
          <w:color w:val="auto"/>
          <w:sz w:val="21"/>
          <w:szCs w:val="21"/>
          <w:highlight w:val="none"/>
        </w:rPr>
        <w:t>打分。</w:t>
      </w:r>
    </w:p>
    <w:p w14:paraId="642F2A40">
      <w:pPr>
        <w:pStyle w:val="15"/>
        <w:spacing w:line="440" w:lineRule="exact"/>
        <w:ind w:firstLine="420" w:firstLineChars="200"/>
        <w:rPr>
          <w:rFonts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一档（6分）：</w:t>
      </w:r>
      <w:r>
        <w:rPr>
          <w:rFonts w:hint="eastAsia" w:hAnsi="宋体" w:cs="宋体"/>
          <w:color w:val="auto"/>
          <w:sz w:val="21"/>
          <w:szCs w:val="21"/>
          <w:highlight w:val="none"/>
          <w:lang w:val="en-US" w:eastAsia="zh-CN"/>
        </w:rPr>
        <w:t>售后服务方案较详细可行，对交付期、质保期、响应时间、技术培训、备品备件、故障解决方案等有所描述</w:t>
      </w:r>
      <w:r>
        <w:rPr>
          <w:rFonts w:hint="eastAsia" w:hAnsi="宋体" w:cs="宋体"/>
          <w:color w:val="auto"/>
          <w:sz w:val="21"/>
          <w:szCs w:val="21"/>
          <w:highlight w:val="none"/>
        </w:rPr>
        <w:t>，</w:t>
      </w:r>
      <w:r>
        <w:rPr>
          <w:rFonts w:hint="eastAsia" w:hAnsi="宋体" w:cs="宋体"/>
          <w:color w:val="auto"/>
          <w:sz w:val="21"/>
          <w:szCs w:val="21"/>
          <w:highlight w:val="none"/>
          <w:lang w:val="en-US"/>
        </w:rPr>
        <w:t>故障响应时间</w:t>
      </w:r>
      <w:r>
        <w:rPr>
          <w:rFonts w:hint="eastAsia" w:hAnsi="宋体" w:cs="宋体"/>
          <w:color w:val="auto"/>
          <w:sz w:val="21"/>
          <w:szCs w:val="21"/>
          <w:highlight w:val="none"/>
        </w:rPr>
        <w:t>满足</w:t>
      </w:r>
      <w:r>
        <w:rPr>
          <w:rFonts w:hint="eastAsia" w:hAnsi="宋体" w:cs="宋体"/>
          <w:color w:val="auto"/>
          <w:sz w:val="21"/>
          <w:szCs w:val="21"/>
          <w:highlight w:val="none"/>
          <w:lang w:val="en-US"/>
        </w:rPr>
        <w:t>采购需求</w:t>
      </w:r>
      <w:r>
        <w:rPr>
          <w:rFonts w:hint="eastAsia" w:hAnsi="宋体" w:cs="宋体"/>
          <w:color w:val="auto"/>
          <w:sz w:val="21"/>
          <w:szCs w:val="21"/>
          <w:highlight w:val="none"/>
          <w:lang w:val="en-US" w:eastAsia="zh-CN"/>
        </w:rPr>
        <w:t>。</w:t>
      </w:r>
    </w:p>
    <w:p w14:paraId="505F0DC2">
      <w:pPr>
        <w:pStyle w:val="15"/>
        <w:spacing w:line="440" w:lineRule="exact"/>
        <w:ind w:firstLine="420" w:firstLineChars="200"/>
        <w:rPr>
          <w:rFonts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二档（13分）</w:t>
      </w:r>
      <w:r>
        <w:rPr>
          <w:rFonts w:hint="eastAsia" w:hAnsi="宋体" w:cs="宋体"/>
          <w:color w:val="auto"/>
          <w:sz w:val="21"/>
          <w:szCs w:val="21"/>
          <w:highlight w:val="none"/>
          <w:lang w:val="en-US" w:eastAsia="zh-CN"/>
        </w:rPr>
        <w:t>：售后服务方案全面详细可行，对交付期、质保期、响应时间、技术培训</w:t>
      </w:r>
      <w:r>
        <w:rPr>
          <w:rFonts w:hint="eastAsia" w:hAnsi="宋体" w:cs="宋体"/>
          <w:color w:val="auto"/>
          <w:sz w:val="21"/>
          <w:szCs w:val="21"/>
          <w:highlight w:val="none"/>
        </w:rPr>
        <w:t>、备品备件、故障解决方案、应急预案等详细描述，有简单的配送渠道，</w:t>
      </w:r>
      <w:r>
        <w:rPr>
          <w:rFonts w:hint="eastAsia" w:hAnsi="宋体" w:cs="宋体"/>
          <w:color w:val="auto"/>
          <w:sz w:val="21"/>
          <w:szCs w:val="21"/>
          <w:highlight w:val="none"/>
          <w:lang w:val="en-US"/>
        </w:rPr>
        <w:t>故障响应时间优于采购需求</w:t>
      </w:r>
      <w:r>
        <w:rPr>
          <w:rFonts w:hint="eastAsia" w:hAnsi="宋体" w:cs="宋体"/>
          <w:color w:val="auto"/>
          <w:sz w:val="21"/>
          <w:szCs w:val="21"/>
          <w:highlight w:val="none"/>
          <w:lang w:val="en-US" w:eastAsia="zh-CN"/>
        </w:rPr>
        <w:t>。</w:t>
      </w:r>
    </w:p>
    <w:p w14:paraId="6D1955D9">
      <w:pPr>
        <w:pStyle w:val="17"/>
        <w:tabs>
          <w:tab w:val="left" w:pos="4214"/>
        </w:tabs>
        <w:spacing w:line="440" w:lineRule="exact"/>
        <w:ind w:firstLine="840" w:firstLineChars="400"/>
        <w:rPr>
          <w:rFonts w:hint="eastAsia" w:hAnsi="宋体" w:cs="宋体"/>
          <w:color w:val="auto"/>
          <w:szCs w:val="21"/>
          <w:highlight w:val="none"/>
        </w:rPr>
      </w:pPr>
      <w:r>
        <w:rPr>
          <w:rFonts w:hint="eastAsia" w:hAnsi="宋体" w:cs="宋体"/>
          <w:color w:val="auto"/>
          <w:szCs w:val="21"/>
          <w:highlight w:val="none"/>
          <w:lang w:val="en-US" w:eastAsia="zh-CN"/>
        </w:rPr>
        <w:t>三档（20分）：售后服务方案全面详细操控性强，对交付期、质保期、响应时间、技术培训、备件、故障解决方案、应急预案、配送渠道等详细描述，有合理的服务流程</w:t>
      </w:r>
      <w:r>
        <w:rPr>
          <w:rFonts w:hint="eastAsia" w:hAnsi="宋体" w:cs="宋体"/>
          <w:color w:val="auto"/>
          <w:szCs w:val="21"/>
          <w:highlight w:val="none"/>
        </w:rPr>
        <w:t>，故障响应时间优于采购需求</w:t>
      </w:r>
      <w:r>
        <w:rPr>
          <w:rFonts w:hint="eastAsia" w:hAnsi="宋体" w:cs="宋体"/>
          <w:color w:val="auto"/>
          <w:szCs w:val="21"/>
          <w:highlight w:val="none"/>
          <w:lang w:val="en-US" w:eastAsia="zh-CN"/>
        </w:rPr>
        <w:t>。</w:t>
      </w:r>
    </w:p>
    <w:p w14:paraId="33866C5C">
      <w:pPr>
        <w:numPr>
          <w:ilvl w:val="0"/>
          <w:numId w:val="4"/>
        </w:numPr>
        <w:spacing w:line="480" w:lineRule="exact"/>
        <w:ind w:firstLine="420"/>
        <w:rPr>
          <w:rFonts w:hint="eastAsia" w:ascii="宋体" w:hAnsi="宋体" w:cs="宋体"/>
          <w:b/>
          <w:color w:val="auto"/>
          <w:szCs w:val="21"/>
          <w:highlight w:val="none"/>
        </w:rPr>
      </w:pPr>
      <w:r>
        <w:rPr>
          <w:rFonts w:hint="eastAsia" w:ascii="宋体" w:hAnsi="宋体" w:cs="宋体"/>
          <w:b/>
          <w:color w:val="auto"/>
          <w:szCs w:val="21"/>
          <w:highlight w:val="none"/>
        </w:rPr>
        <w:t>信誉分 ………………………………</w:t>
      </w:r>
      <w:r>
        <w:rPr>
          <w:rFonts w:ascii="宋体" w:hAnsi="宋体" w:cs="宋体"/>
          <w:b/>
          <w:color w:val="auto"/>
          <w:szCs w:val="21"/>
          <w:highlight w:val="none"/>
        </w:rPr>
        <w:t>………</w:t>
      </w:r>
      <w:r>
        <w:rPr>
          <w:rFonts w:hint="eastAsia" w:ascii="宋体" w:hAnsi="宋体" w:cs="宋体"/>
          <w:b/>
          <w:color w:val="auto"/>
          <w:szCs w:val="21"/>
          <w:highlight w:val="none"/>
        </w:rPr>
        <w:t>…………………………………………满分</w:t>
      </w:r>
      <w:r>
        <w:rPr>
          <w:rFonts w:ascii="宋体" w:hAnsi="宋体" w:cs="宋体"/>
          <w:b/>
          <w:color w:val="auto"/>
          <w:szCs w:val="21"/>
          <w:highlight w:val="none"/>
        </w:rPr>
        <w:t>1</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分</w:t>
      </w:r>
    </w:p>
    <w:p w14:paraId="0245D4CE">
      <w:pPr>
        <w:pStyle w:val="17"/>
        <w:numPr>
          <w:ilvl w:val="0"/>
          <w:numId w:val="0"/>
        </w:numPr>
        <w:spacing w:line="360" w:lineRule="auto"/>
        <w:ind w:firstLine="210" w:firstLineChars="100"/>
        <w:jc w:val="left"/>
        <w:rPr>
          <w:rFonts w:hAnsi="宋体" w:cs="宋体"/>
          <w:b/>
          <w:bCs/>
          <w:color w:val="auto"/>
          <w:szCs w:val="21"/>
          <w:highlight w:val="none"/>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1</w:t>
      </w:r>
      <w:r>
        <w:rPr>
          <w:rFonts w:hint="eastAsia" w:hAnsi="宋体" w:cs="宋体"/>
          <w:color w:val="auto"/>
          <w:szCs w:val="21"/>
          <w:highlight w:val="none"/>
          <w:lang w:eastAsia="zh-CN"/>
        </w:rPr>
        <w:t>）供应商</w:t>
      </w:r>
      <w:r>
        <w:rPr>
          <w:rFonts w:hint="eastAsia" w:hAnsi="宋体" w:cs="宋体"/>
          <w:color w:val="auto"/>
          <w:szCs w:val="21"/>
          <w:highlight w:val="none"/>
          <w:lang w:val="en-US" w:eastAsia="zh-CN"/>
        </w:rPr>
        <w:t>或</w:t>
      </w:r>
      <w:r>
        <w:rPr>
          <w:rFonts w:hint="eastAsia" w:ascii="宋体" w:hAnsi="宋体" w:eastAsia="宋体" w:cs="宋体"/>
          <w:b w:val="0"/>
          <w:bCs w:val="0"/>
          <w:i w:val="0"/>
          <w:iCs w:val="0"/>
          <w:caps w:val="0"/>
          <w:color w:val="auto"/>
          <w:spacing w:val="0"/>
          <w:sz w:val="21"/>
          <w:szCs w:val="21"/>
          <w:highlight w:val="none"/>
        </w:rPr>
        <w:t>尿酸/血糖分析仪</w:t>
      </w:r>
      <w:r>
        <w:rPr>
          <w:rFonts w:hint="eastAsia" w:hAnsi="宋体" w:cs="宋体"/>
          <w:color w:val="auto"/>
          <w:szCs w:val="21"/>
          <w:highlight w:val="none"/>
          <w:lang w:val="en-US" w:eastAsia="zh-CN"/>
        </w:rPr>
        <w:t>产品生产厂家2021年以来</w:t>
      </w:r>
      <w:r>
        <w:rPr>
          <w:rFonts w:hint="eastAsia" w:hAnsi="宋体" w:cs="宋体"/>
          <w:color w:val="auto"/>
          <w:szCs w:val="21"/>
          <w:highlight w:val="none"/>
        </w:rPr>
        <w:t>获得</w:t>
      </w:r>
      <w:r>
        <w:rPr>
          <w:rFonts w:hint="eastAsia" w:hAnsi="宋体" w:cs="宋体"/>
          <w:color w:val="auto"/>
          <w:szCs w:val="21"/>
          <w:highlight w:val="none"/>
          <w:lang w:val="en-US" w:eastAsia="zh-CN"/>
        </w:rPr>
        <w:t>高新技术企业证书得 4分，响应文件中需提供证书复印件并加盖供应商 CA 签章，否则不予计分。</w:t>
      </w:r>
      <w:r>
        <w:rPr>
          <w:rFonts w:hint="eastAsia" w:hAnsi="宋体" w:cs="宋体"/>
          <w:b/>
          <w:bCs/>
          <w:color w:val="auto"/>
          <w:szCs w:val="21"/>
          <w:highlight w:val="none"/>
        </w:rPr>
        <w:t>（满分</w:t>
      </w:r>
      <w:r>
        <w:rPr>
          <w:rFonts w:hint="eastAsia" w:hAnsi="宋体" w:cs="宋体"/>
          <w:b/>
          <w:bCs/>
          <w:color w:val="auto"/>
          <w:szCs w:val="21"/>
          <w:highlight w:val="none"/>
          <w:lang w:val="en-US" w:eastAsia="zh-CN"/>
        </w:rPr>
        <w:t>4</w:t>
      </w:r>
      <w:r>
        <w:rPr>
          <w:rFonts w:hint="eastAsia" w:hAnsi="宋体" w:cs="宋体"/>
          <w:b/>
          <w:bCs/>
          <w:color w:val="auto"/>
          <w:szCs w:val="21"/>
          <w:highlight w:val="none"/>
        </w:rPr>
        <w:t>分）</w:t>
      </w:r>
    </w:p>
    <w:p w14:paraId="4C34DB06">
      <w:pPr>
        <w:pStyle w:val="17"/>
        <w:numPr>
          <w:ilvl w:val="0"/>
          <w:numId w:val="0"/>
        </w:numPr>
        <w:spacing w:line="360" w:lineRule="auto"/>
        <w:ind w:firstLine="210" w:firstLineChars="100"/>
        <w:jc w:val="left"/>
        <w:rPr>
          <w:rFonts w:hAnsi="宋体" w:cs="宋体"/>
          <w:b/>
          <w:bCs/>
          <w:color w:val="auto"/>
          <w:szCs w:val="21"/>
          <w:highlight w:val="none"/>
        </w:rPr>
      </w:pPr>
      <w:r>
        <w:rPr>
          <w:rFonts w:hint="eastAsia" w:hAnsi="宋体" w:cs="宋体"/>
          <w:b w:val="0"/>
          <w:bCs w:val="0"/>
          <w:color w:val="auto"/>
          <w:szCs w:val="21"/>
          <w:highlight w:val="none"/>
          <w:lang w:eastAsia="zh-CN"/>
        </w:rPr>
        <w:t>（</w:t>
      </w:r>
      <w:r>
        <w:rPr>
          <w:rFonts w:hint="eastAsia" w:hAnsi="宋体" w:cs="宋体"/>
          <w:b w:val="0"/>
          <w:bCs w:val="0"/>
          <w:color w:val="auto"/>
          <w:szCs w:val="21"/>
          <w:highlight w:val="none"/>
          <w:lang w:val="en-US" w:eastAsia="zh-CN"/>
        </w:rPr>
        <w:t>2</w:t>
      </w:r>
      <w:r>
        <w:rPr>
          <w:rFonts w:hint="eastAsia" w:hAnsi="宋体" w:cs="宋体"/>
          <w:b w:val="0"/>
          <w:bCs w:val="0"/>
          <w:color w:val="auto"/>
          <w:szCs w:val="21"/>
          <w:highlight w:val="none"/>
          <w:lang w:eastAsia="zh-CN"/>
        </w:rPr>
        <w:t>）</w:t>
      </w:r>
      <w:r>
        <w:rPr>
          <w:rFonts w:hint="eastAsia" w:hAnsi="宋体" w:cs="宋体"/>
          <w:color w:val="auto"/>
          <w:szCs w:val="21"/>
          <w:highlight w:val="none"/>
          <w:lang w:eastAsia="zh-CN"/>
        </w:rPr>
        <w:t>供应商</w:t>
      </w:r>
      <w:r>
        <w:rPr>
          <w:rFonts w:hint="eastAsia" w:hAnsi="宋体" w:cs="宋体"/>
          <w:color w:val="auto"/>
          <w:szCs w:val="21"/>
          <w:highlight w:val="none"/>
          <w:lang w:val="en-US" w:eastAsia="zh-CN"/>
        </w:rPr>
        <w:t>或</w:t>
      </w:r>
      <w:r>
        <w:rPr>
          <w:rFonts w:hint="eastAsia" w:ascii="宋体" w:hAnsi="宋体" w:eastAsia="宋体" w:cs="宋体"/>
          <w:b w:val="0"/>
          <w:bCs w:val="0"/>
          <w:i w:val="0"/>
          <w:iCs w:val="0"/>
          <w:caps w:val="0"/>
          <w:color w:val="auto"/>
          <w:spacing w:val="0"/>
          <w:sz w:val="21"/>
          <w:szCs w:val="21"/>
          <w:highlight w:val="none"/>
        </w:rPr>
        <w:t>尿酸/血糖分析仪</w:t>
      </w:r>
      <w:r>
        <w:rPr>
          <w:rFonts w:hint="eastAsia" w:hAnsi="宋体" w:cs="宋体"/>
          <w:color w:val="auto"/>
          <w:szCs w:val="21"/>
          <w:highlight w:val="none"/>
          <w:lang w:val="en-US" w:eastAsia="zh-CN"/>
        </w:rPr>
        <w:t>产品生产厂家2023年以来</w:t>
      </w:r>
      <w:r>
        <w:rPr>
          <w:rFonts w:hint="eastAsia" w:hAnsi="宋体" w:cs="宋体"/>
          <w:color w:val="auto"/>
          <w:szCs w:val="21"/>
          <w:highlight w:val="none"/>
        </w:rPr>
        <w:t>获得</w:t>
      </w:r>
      <w:r>
        <w:rPr>
          <w:rFonts w:hint="eastAsia" w:hAnsi="宋体" w:cs="宋体"/>
          <w:color w:val="auto"/>
          <w:szCs w:val="21"/>
          <w:highlight w:val="none"/>
          <w:lang w:val="en-US" w:eastAsia="zh-CN"/>
        </w:rPr>
        <w:t>工业和信息化部</w:t>
      </w:r>
      <w:r>
        <w:rPr>
          <w:rFonts w:hint="eastAsia" w:hAnsi="宋体" w:cs="宋体"/>
          <w:color w:val="auto"/>
          <w:szCs w:val="21"/>
          <w:highlight w:val="none"/>
          <w:lang w:eastAsia="zh-CN"/>
        </w:rPr>
        <w:t>专精特新“小巨人”企业</w:t>
      </w:r>
      <w:r>
        <w:rPr>
          <w:rFonts w:hint="eastAsia" w:hAnsi="宋体" w:cs="宋体"/>
          <w:color w:val="auto"/>
          <w:szCs w:val="21"/>
          <w:highlight w:val="none"/>
          <w:lang w:val="en-US" w:eastAsia="zh-CN"/>
        </w:rPr>
        <w:t>证书得 4分，响应文件中需提供证书复印件并加盖供应商 CA 签章，否则不予计分。</w:t>
      </w:r>
      <w:r>
        <w:rPr>
          <w:rFonts w:hint="eastAsia" w:hAnsi="宋体" w:cs="宋体"/>
          <w:b/>
          <w:bCs/>
          <w:color w:val="auto"/>
          <w:szCs w:val="21"/>
          <w:highlight w:val="none"/>
        </w:rPr>
        <w:t>（满分</w:t>
      </w:r>
      <w:r>
        <w:rPr>
          <w:rFonts w:hint="eastAsia" w:hAnsi="宋体" w:cs="宋体"/>
          <w:b/>
          <w:bCs/>
          <w:color w:val="auto"/>
          <w:szCs w:val="21"/>
          <w:highlight w:val="none"/>
          <w:lang w:val="en-US" w:eastAsia="zh-CN"/>
        </w:rPr>
        <w:t>4</w:t>
      </w:r>
      <w:r>
        <w:rPr>
          <w:rFonts w:hint="eastAsia" w:hAnsi="宋体" w:cs="宋体"/>
          <w:b/>
          <w:bCs/>
          <w:color w:val="auto"/>
          <w:szCs w:val="21"/>
          <w:highlight w:val="none"/>
        </w:rPr>
        <w:t>分）</w:t>
      </w:r>
    </w:p>
    <w:p w14:paraId="25FD08CE">
      <w:pPr>
        <w:pStyle w:val="17"/>
        <w:numPr>
          <w:ilvl w:val="0"/>
          <w:numId w:val="0"/>
        </w:numPr>
        <w:spacing w:line="440" w:lineRule="exact"/>
        <w:ind w:firstLine="210" w:firstLineChars="100"/>
        <w:jc w:val="left"/>
        <w:rPr>
          <w:rFonts w:hAnsi="宋体" w:cs="宋体"/>
          <w:b/>
          <w:bCs/>
          <w:color w:val="auto"/>
          <w:szCs w:val="21"/>
          <w:highlight w:val="none"/>
        </w:rPr>
      </w:pPr>
      <w:r>
        <w:rPr>
          <w:rFonts w:hint="eastAsia" w:hAnsi="宋体" w:cs="宋体"/>
          <w:b w:val="0"/>
          <w:bCs w:val="0"/>
          <w:color w:val="auto"/>
          <w:szCs w:val="21"/>
          <w:highlight w:val="none"/>
          <w:lang w:eastAsia="zh-CN"/>
        </w:rPr>
        <w:t>（</w:t>
      </w:r>
      <w:r>
        <w:rPr>
          <w:rFonts w:hint="eastAsia" w:hAnsi="宋体" w:cs="宋体"/>
          <w:b w:val="0"/>
          <w:bCs w:val="0"/>
          <w:color w:val="auto"/>
          <w:szCs w:val="21"/>
          <w:highlight w:val="none"/>
          <w:lang w:val="en-US" w:eastAsia="zh-CN"/>
        </w:rPr>
        <w:t>3</w:t>
      </w:r>
      <w:r>
        <w:rPr>
          <w:rFonts w:hint="eastAsia" w:hAnsi="宋体" w:cs="宋体"/>
          <w:b w:val="0"/>
          <w:bCs w:val="0"/>
          <w:color w:val="auto"/>
          <w:szCs w:val="21"/>
          <w:highlight w:val="none"/>
          <w:lang w:eastAsia="zh-CN"/>
        </w:rPr>
        <w:t>）</w:t>
      </w:r>
      <w:r>
        <w:rPr>
          <w:rFonts w:hint="eastAsia" w:hAnsi="宋体" w:cs="宋体"/>
          <w:color w:val="auto"/>
          <w:szCs w:val="21"/>
          <w:highlight w:val="none"/>
          <w:lang w:eastAsia="zh-CN"/>
        </w:rPr>
        <w:t>供应商</w:t>
      </w:r>
      <w:r>
        <w:rPr>
          <w:rFonts w:hint="eastAsia" w:hAnsi="宋体" w:cs="宋体"/>
          <w:color w:val="auto"/>
          <w:szCs w:val="21"/>
          <w:highlight w:val="none"/>
          <w:lang w:val="en-US" w:eastAsia="zh-CN"/>
        </w:rPr>
        <w:t>或</w:t>
      </w:r>
      <w:r>
        <w:rPr>
          <w:rFonts w:hint="eastAsia" w:ascii="宋体" w:hAnsi="宋体" w:eastAsia="宋体" w:cs="宋体"/>
          <w:b w:val="0"/>
          <w:bCs w:val="0"/>
          <w:i w:val="0"/>
          <w:iCs w:val="0"/>
          <w:caps w:val="0"/>
          <w:color w:val="auto"/>
          <w:spacing w:val="0"/>
          <w:sz w:val="21"/>
          <w:szCs w:val="21"/>
          <w:highlight w:val="none"/>
        </w:rPr>
        <w:t>尿酸/血糖分析仪</w:t>
      </w:r>
      <w:r>
        <w:rPr>
          <w:rFonts w:hint="eastAsia" w:hAnsi="宋体" w:cs="宋体"/>
          <w:color w:val="auto"/>
          <w:szCs w:val="21"/>
          <w:highlight w:val="none"/>
          <w:lang w:val="en-US" w:eastAsia="zh-CN"/>
        </w:rPr>
        <w:t>产品生产厂家2019年以来</w:t>
      </w:r>
      <w:r>
        <w:rPr>
          <w:rFonts w:hint="eastAsia" w:hAnsi="宋体" w:cs="宋体"/>
          <w:color w:val="auto"/>
          <w:szCs w:val="21"/>
          <w:highlight w:val="none"/>
        </w:rPr>
        <w:t>获得</w:t>
      </w:r>
      <w:r>
        <w:rPr>
          <w:rFonts w:hint="eastAsia" w:hAnsi="宋体" w:cs="宋体"/>
          <w:color w:val="auto"/>
          <w:szCs w:val="21"/>
          <w:highlight w:val="none"/>
          <w:lang w:val="en-US" w:eastAsia="zh-CN"/>
        </w:rPr>
        <w:t>省级工业龙头企业</w:t>
      </w:r>
      <w:r>
        <w:rPr>
          <w:rFonts w:hint="eastAsia" w:hAnsi="宋体" w:cs="宋体"/>
          <w:color w:val="auto"/>
          <w:szCs w:val="21"/>
          <w:highlight w:val="none"/>
          <w:lang w:eastAsia="zh-CN"/>
        </w:rPr>
        <w:t>企业</w:t>
      </w:r>
      <w:r>
        <w:rPr>
          <w:rFonts w:hint="eastAsia" w:hAnsi="宋体" w:cs="宋体"/>
          <w:color w:val="auto"/>
          <w:szCs w:val="21"/>
          <w:highlight w:val="none"/>
          <w:lang w:val="en-US" w:eastAsia="zh-CN"/>
        </w:rPr>
        <w:t>证书得 4分，响应文件中需提供证书复印件并加盖供应商 CA 签章，否则不予计分。</w:t>
      </w:r>
      <w:r>
        <w:rPr>
          <w:rFonts w:hint="eastAsia" w:hAnsi="宋体" w:cs="宋体"/>
          <w:b/>
          <w:bCs/>
          <w:color w:val="auto"/>
          <w:szCs w:val="21"/>
          <w:highlight w:val="none"/>
        </w:rPr>
        <w:t>（满分</w:t>
      </w:r>
      <w:r>
        <w:rPr>
          <w:rFonts w:hint="eastAsia" w:hAnsi="宋体" w:cs="宋体"/>
          <w:b/>
          <w:bCs/>
          <w:color w:val="auto"/>
          <w:szCs w:val="21"/>
          <w:highlight w:val="none"/>
          <w:lang w:val="en-US" w:eastAsia="zh-CN"/>
        </w:rPr>
        <w:t>4</w:t>
      </w:r>
      <w:r>
        <w:rPr>
          <w:rFonts w:hint="eastAsia" w:hAnsi="宋体" w:cs="宋体"/>
          <w:b/>
          <w:bCs/>
          <w:color w:val="auto"/>
          <w:szCs w:val="21"/>
          <w:highlight w:val="none"/>
        </w:rPr>
        <w:t>分）</w:t>
      </w:r>
    </w:p>
    <w:p w14:paraId="55CE16BB">
      <w:pPr>
        <w:spacing w:line="48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6、政策功能分(节能、环保产品等) ………………………………………………………满分</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分</w:t>
      </w:r>
    </w:p>
    <w:p w14:paraId="1C0832E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（1）应优先采购财政部现行《节能产品政府采购品目清单》目录内（政府强制采购节能产品</w:t>
      </w:r>
      <w:r>
        <w:rPr>
          <w:rFonts w:hint="eastAsia" w:ascii="宋体" w:hAnsi="宋体" w:cs="宋体"/>
          <w:bCs/>
          <w:color w:val="auto"/>
          <w:szCs w:val="21"/>
          <w:highlight w:val="none"/>
        </w:rPr>
        <w:t>除外</w:t>
      </w:r>
      <w:r>
        <w:rPr>
          <w:rFonts w:hint="eastAsia" w:ascii="宋体" w:hAnsi="宋体" w:cs="宋体"/>
          <w:color w:val="auto"/>
          <w:szCs w:val="21"/>
          <w:highlight w:val="none"/>
        </w:rPr>
        <w:t>）的产品（提供有效证明复印件），根据其所占本分标金额比例得0～1分。（满分1分）</w:t>
      </w:r>
    </w:p>
    <w:p w14:paraId="4E1AA484">
      <w:pPr>
        <w:pStyle w:val="17"/>
        <w:spacing w:line="440" w:lineRule="exact"/>
        <w:ind w:firstLine="420" w:firstLineChars="200"/>
        <w:rPr>
          <w:rFonts w:hAnsi="宋体" w:cs="宋体"/>
          <w:b/>
          <w:color w:val="auto"/>
          <w:szCs w:val="21"/>
          <w:highlight w:val="none"/>
        </w:rPr>
      </w:pPr>
      <w:r>
        <w:rPr>
          <w:rFonts w:hint="eastAsia" w:hAnsi="宋体" w:cs="宋体"/>
          <w:color w:val="auto"/>
          <w:szCs w:val="21"/>
          <w:highlight w:val="none"/>
        </w:rPr>
        <w:t>（2）应优先采购财政部现行《环境标志产品政府采购品目清单》目录内的产品（提供有效证明复印件），根据其所占</w:t>
      </w:r>
      <w:r>
        <w:rPr>
          <w:rFonts w:hint="eastAsia" w:hAnsi="宋体" w:cs="宋体"/>
          <w:color w:val="auto"/>
          <w:szCs w:val="21"/>
          <w:highlight w:val="none"/>
          <w:lang w:val="en-US" w:eastAsia="zh-CN"/>
        </w:rPr>
        <w:t>本</w:t>
      </w:r>
      <w:r>
        <w:rPr>
          <w:rFonts w:hint="eastAsia" w:hAnsi="宋体" w:cs="宋体"/>
          <w:color w:val="auto"/>
          <w:szCs w:val="21"/>
          <w:highlight w:val="none"/>
        </w:rPr>
        <w:t>分标比例得0～</w:t>
      </w:r>
      <w:r>
        <w:rPr>
          <w:rFonts w:hint="eastAsia" w:hAnsi="宋体" w:cs="宋体"/>
          <w:color w:val="auto"/>
          <w:szCs w:val="21"/>
          <w:highlight w:val="none"/>
          <w:lang w:val="en-US" w:eastAsia="zh-CN"/>
        </w:rPr>
        <w:t>1</w:t>
      </w:r>
      <w:r>
        <w:rPr>
          <w:rFonts w:hint="eastAsia" w:hAnsi="宋体" w:cs="宋体"/>
          <w:color w:val="auto"/>
          <w:szCs w:val="21"/>
          <w:highlight w:val="none"/>
        </w:rPr>
        <w:t>分。（满分</w:t>
      </w:r>
      <w:r>
        <w:rPr>
          <w:rFonts w:hint="eastAsia" w:hAnsi="宋体" w:cs="宋体"/>
          <w:color w:val="auto"/>
          <w:szCs w:val="21"/>
          <w:highlight w:val="none"/>
          <w:lang w:val="en-US" w:eastAsia="zh-CN"/>
        </w:rPr>
        <w:t>1</w:t>
      </w:r>
      <w:r>
        <w:rPr>
          <w:rFonts w:hint="eastAsia" w:hAnsi="宋体" w:cs="宋体"/>
          <w:color w:val="auto"/>
          <w:szCs w:val="21"/>
          <w:highlight w:val="none"/>
        </w:rPr>
        <w:t>分）</w:t>
      </w:r>
    </w:p>
    <w:p w14:paraId="7DE15A8C">
      <w:pPr>
        <w:pStyle w:val="7"/>
        <w:ind w:left="0" w:leftChars="0"/>
        <w:rPr>
          <w:rFonts w:hint="eastAsia"/>
          <w:color w:val="auto"/>
          <w:highlight w:val="none"/>
        </w:rPr>
      </w:pPr>
    </w:p>
    <w:p w14:paraId="14199F62">
      <w:pPr>
        <w:pStyle w:val="17"/>
        <w:spacing w:line="360" w:lineRule="auto"/>
        <w:ind w:firstLine="517" w:firstLineChars="245"/>
        <w:rPr>
          <w:rFonts w:hint="eastAsia" w:hAnsi="宋体" w:cs="宋体"/>
          <w:b/>
          <w:bCs/>
          <w:color w:val="auto"/>
          <w:szCs w:val="21"/>
          <w:highlight w:val="none"/>
          <w:lang w:val="en-US" w:eastAsia="zh-CN"/>
        </w:rPr>
      </w:pPr>
      <w:r>
        <w:rPr>
          <w:rFonts w:hint="eastAsia" w:hAnsi="宋体" w:cs="宋体"/>
          <w:b/>
          <w:bCs/>
          <w:color w:val="auto"/>
          <w:szCs w:val="21"/>
          <w:highlight w:val="none"/>
          <w:lang w:val="en-US" w:eastAsia="zh-CN"/>
        </w:rPr>
        <w:t>7</w:t>
      </w:r>
      <w:r>
        <w:rPr>
          <w:rFonts w:hint="eastAsia" w:hAnsi="宋体" w:cs="宋体"/>
          <w:b/>
          <w:bCs/>
          <w:color w:val="auto"/>
          <w:szCs w:val="21"/>
          <w:highlight w:val="none"/>
        </w:rPr>
        <w:t>、综合得分＝1+2+3+4</w:t>
      </w:r>
      <w:r>
        <w:rPr>
          <w:rFonts w:hint="eastAsia" w:hAnsi="宋体" w:cs="宋体"/>
          <w:b/>
          <w:bCs/>
          <w:color w:val="auto"/>
          <w:szCs w:val="21"/>
          <w:highlight w:val="none"/>
          <w:lang w:val="en-US" w:eastAsia="zh-CN"/>
        </w:rPr>
        <w:t>+5+6</w:t>
      </w:r>
    </w:p>
    <w:p w14:paraId="39964951">
      <w:pPr>
        <w:rPr>
          <w:rFonts w:hint="eastAsia" w:ascii="宋体" w:hAnsi="宋体"/>
          <w:b/>
          <w:bCs/>
          <w:color w:val="auto"/>
          <w:szCs w:val="21"/>
          <w:highlight w:val="none"/>
        </w:rPr>
      </w:pPr>
    </w:p>
    <w:p w14:paraId="3A565A60">
      <w:pPr>
        <w:pStyle w:val="17"/>
        <w:numPr>
          <w:ilvl w:val="0"/>
          <w:numId w:val="0"/>
        </w:numPr>
        <w:spacing w:line="360" w:lineRule="auto"/>
        <w:ind w:left="420" w:leftChars="0"/>
        <w:rPr>
          <w:rFonts w:hint="eastAsia" w:hAnsi="宋体" w:cs="宋体"/>
          <w:b/>
          <w:color w:val="auto"/>
          <w:kern w:val="0"/>
          <w:szCs w:val="21"/>
          <w:highlight w:val="none"/>
        </w:rPr>
      </w:pPr>
      <w:r>
        <w:rPr>
          <w:rFonts w:hint="eastAsia" w:hAnsi="宋体" w:cs="宋体"/>
          <w:b/>
          <w:color w:val="auto"/>
          <w:kern w:val="0"/>
          <w:szCs w:val="21"/>
          <w:highlight w:val="none"/>
        </w:rPr>
        <w:t>三、推荐及确定成交候选供应商原则</w:t>
      </w:r>
    </w:p>
    <w:p w14:paraId="6998190F">
      <w:pPr>
        <w:pStyle w:val="17"/>
        <w:tabs>
          <w:tab w:val="left" w:pos="4214"/>
        </w:tabs>
        <w:spacing w:line="480" w:lineRule="exact"/>
        <w:ind w:firstLine="420" w:firstLineChars="200"/>
        <w:rPr>
          <w:rFonts w:hint="eastAsia" w:hAnsi="宋体" w:cs="宋体"/>
          <w:color w:val="auto"/>
          <w:szCs w:val="21"/>
          <w:highlight w:val="none"/>
        </w:rPr>
      </w:pPr>
      <w:r>
        <w:rPr>
          <w:rFonts w:hint="eastAsia" w:hAnsi="宋体" w:cs="宋体"/>
          <w:color w:val="auto"/>
          <w:kern w:val="0"/>
          <w:szCs w:val="21"/>
          <w:highlight w:val="none"/>
        </w:rPr>
        <w:t>（1）</w:t>
      </w:r>
      <w:r>
        <w:rPr>
          <w:rFonts w:hint="eastAsia" w:hAnsi="宋体" w:cs="宋体"/>
          <w:color w:val="auto"/>
          <w:szCs w:val="21"/>
          <w:highlight w:val="none"/>
          <w:lang w:val="en-US" w:eastAsia="zh-CN"/>
        </w:rPr>
        <w:t>评审</w:t>
      </w:r>
      <w:r>
        <w:rPr>
          <w:rFonts w:hint="eastAsia" w:hAnsi="宋体" w:cs="宋体"/>
          <w:color w:val="auto"/>
          <w:szCs w:val="21"/>
          <w:highlight w:val="none"/>
        </w:rPr>
        <w:t>小组应当根据综合评分情况，按照评审得分由高到低顺序推荐3名以上（含3名）</w:t>
      </w:r>
      <w:r>
        <w:rPr>
          <w:rFonts w:hint="eastAsia" w:hAnsi="宋体" w:cs="宋体"/>
          <w:color w:val="auto"/>
          <w:szCs w:val="21"/>
          <w:highlight w:val="none"/>
          <w:lang w:val="en-US" w:eastAsia="zh-CN"/>
        </w:rPr>
        <w:t>中标</w:t>
      </w:r>
      <w:r>
        <w:rPr>
          <w:rFonts w:hint="eastAsia" w:hAnsi="宋体" w:cs="宋体"/>
          <w:color w:val="auto"/>
          <w:szCs w:val="21"/>
          <w:highlight w:val="none"/>
        </w:rPr>
        <w:t>候选供应商，并编写评审报告；如采购项目为政府购买服务项目（含政府和社会资本合作项目），</w:t>
      </w:r>
      <w:r>
        <w:rPr>
          <w:rFonts w:hint="eastAsia" w:hAnsi="宋体" w:cs="宋体"/>
          <w:color w:val="auto"/>
          <w:szCs w:val="21"/>
          <w:highlight w:val="none"/>
          <w:lang w:val="en-US" w:eastAsia="zh-CN"/>
        </w:rPr>
        <w:t>评审</w:t>
      </w:r>
      <w:r>
        <w:rPr>
          <w:rFonts w:hint="eastAsia" w:hAnsi="宋体" w:cs="宋体"/>
          <w:color w:val="auto"/>
          <w:szCs w:val="21"/>
          <w:highlight w:val="none"/>
        </w:rPr>
        <w:t>小组应当根据综合评分情况，按照评审得分由高到低顺序推荐2名以上（含2名）成交候选供应商，并编写评审报告。</w:t>
      </w:r>
      <w:r>
        <w:rPr>
          <w:rFonts w:hint="eastAsia" w:hAnsi="宋体" w:cs="宋体"/>
          <w:color w:val="auto"/>
          <w:szCs w:val="21"/>
          <w:highlight w:val="none"/>
          <w:lang w:val="en-US" w:eastAsia="zh-CN"/>
        </w:rPr>
        <w:t>评审</w:t>
      </w:r>
      <w:r>
        <w:rPr>
          <w:rFonts w:hint="eastAsia" w:hAnsi="宋体" w:cs="宋体"/>
          <w:color w:val="auto"/>
          <w:szCs w:val="21"/>
          <w:highlight w:val="none"/>
        </w:rPr>
        <w:t>小组根据综合得分由高到低排列次序，若得分相同时，以评审报价由低到高顺序排列；若得分相同且评审报价相同的，以最后报价由低到高顺序排列；若仍相同的，按项目</w:t>
      </w:r>
      <w:r>
        <w:rPr>
          <w:rFonts w:hint="eastAsia" w:hAnsi="宋体" w:cs="宋体"/>
          <w:color w:val="auto"/>
          <w:szCs w:val="21"/>
          <w:highlight w:val="none"/>
          <w:lang w:val="en-US" w:eastAsia="zh-CN"/>
        </w:rPr>
        <w:t>售后服务</w:t>
      </w:r>
      <w:r>
        <w:rPr>
          <w:rFonts w:hint="eastAsia" w:hAnsi="宋体" w:cs="宋体"/>
          <w:color w:val="auto"/>
          <w:szCs w:val="21"/>
          <w:highlight w:val="none"/>
        </w:rPr>
        <w:t>分由高到低顺序排列并推荐</w:t>
      </w:r>
      <w:r>
        <w:rPr>
          <w:rFonts w:hint="eastAsia" w:hAnsi="宋体" w:cs="宋体"/>
          <w:color w:val="auto"/>
          <w:szCs w:val="21"/>
          <w:highlight w:val="none"/>
          <w:lang w:val="en-US" w:eastAsia="zh-CN"/>
        </w:rPr>
        <w:t>中标</w:t>
      </w:r>
      <w:r>
        <w:rPr>
          <w:rFonts w:hint="eastAsia" w:hAnsi="宋体" w:cs="宋体"/>
          <w:color w:val="auto"/>
          <w:szCs w:val="21"/>
          <w:highlight w:val="none"/>
        </w:rPr>
        <w:t>候选供应商。若仍相同时，则由</w:t>
      </w:r>
      <w:r>
        <w:rPr>
          <w:rFonts w:hint="eastAsia" w:hAnsi="宋体" w:cs="宋体"/>
          <w:color w:val="auto"/>
          <w:szCs w:val="21"/>
          <w:highlight w:val="none"/>
          <w:lang w:val="en-US" w:eastAsia="zh-CN"/>
        </w:rPr>
        <w:t>评审</w:t>
      </w:r>
      <w:r>
        <w:rPr>
          <w:rFonts w:hint="eastAsia" w:hAnsi="宋体" w:cs="宋体"/>
          <w:color w:val="auto"/>
          <w:szCs w:val="21"/>
          <w:highlight w:val="none"/>
        </w:rPr>
        <w:t>小组集体讨论确定。</w:t>
      </w:r>
    </w:p>
    <w:p w14:paraId="7739EE05">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（2）采购单位应当确定</w:t>
      </w:r>
      <w:r>
        <w:rPr>
          <w:rFonts w:hint="eastAsia" w:hAnsi="宋体" w:cs="宋体"/>
          <w:color w:val="auto"/>
          <w:kern w:val="0"/>
          <w:szCs w:val="21"/>
          <w:highlight w:val="none"/>
          <w:lang w:val="en-US" w:eastAsia="zh-CN"/>
        </w:rPr>
        <w:t>评审</w:t>
      </w:r>
      <w:r>
        <w:rPr>
          <w:rFonts w:hint="eastAsia" w:hAnsi="宋体" w:cs="宋体"/>
          <w:color w:val="auto"/>
          <w:kern w:val="0"/>
          <w:szCs w:val="21"/>
          <w:highlight w:val="none"/>
        </w:rPr>
        <w:t>小组推荐排名第一的成交候选供应商为</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供应商。</w:t>
      </w:r>
    </w:p>
    <w:p w14:paraId="630BCE7B">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（3）排名第一的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候选供应商放弃成交、因不可抗力提出不能履行合同，或者</w:t>
      </w:r>
      <w:r>
        <w:rPr>
          <w:rFonts w:hint="eastAsia" w:hAnsi="宋体" w:cs="宋体"/>
          <w:color w:val="auto"/>
          <w:kern w:val="0"/>
          <w:szCs w:val="21"/>
          <w:highlight w:val="none"/>
          <w:lang w:val="en-US" w:eastAsia="zh-CN"/>
        </w:rPr>
        <w:t>招标</w:t>
      </w:r>
      <w:r>
        <w:rPr>
          <w:rFonts w:hint="eastAsia" w:hAnsi="宋体" w:cs="宋体"/>
          <w:color w:val="auto"/>
          <w:kern w:val="0"/>
          <w:szCs w:val="21"/>
          <w:highlight w:val="none"/>
        </w:rPr>
        <w:t>文件规定应当提交履约保证金而在规定的期限内未能提交的，或因失信行为被取消</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候选人资格的，采购单位可以确定排名第二的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候选供应商为成交供应商。</w:t>
      </w:r>
    </w:p>
    <w:p w14:paraId="4246A2BE">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（4）排名第二的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候选供应商因前款规定的同样原因不能签订合同的，采购单位可以确定排名第三的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候选人为</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供应商。以此类推。</w:t>
      </w:r>
    </w:p>
    <w:p w14:paraId="731C456B">
      <w:pPr>
        <w:spacing w:line="312" w:lineRule="auto"/>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四、特别说明</w:t>
      </w:r>
    </w:p>
    <w:p w14:paraId="40F913AF">
      <w:pPr>
        <w:spacing w:line="312" w:lineRule="auto"/>
        <w:ind w:firstLine="422" w:firstLineChars="200"/>
        <w:rPr>
          <w:rFonts w:ascii="宋体" w:hAnsi="宋体" w:cs="宋体"/>
          <w:color w:val="auto"/>
          <w:kern w:val="0"/>
          <w:highlight w:val="none"/>
        </w:rPr>
      </w:pPr>
      <w:r>
        <w:rPr>
          <w:rFonts w:hint="eastAsia" w:ascii="宋体" w:hAnsi="宋体" w:cs="宋体"/>
          <w:b/>
          <w:bCs/>
          <w:color w:val="auto"/>
          <w:szCs w:val="21"/>
          <w:highlight w:val="none"/>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A5B4F">
      <w:pPr>
        <w:widowControl/>
        <w:jc w:val="left"/>
        <w:rPr>
          <w:b/>
          <w:bCs/>
          <w:color w:val="auto"/>
          <w:highlight w:val="none"/>
        </w:rPr>
      </w:pPr>
    </w:p>
    <w:p w14:paraId="7492A520">
      <w:pPr>
        <w:widowControl/>
        <w:jc w:val="left"/>
        <w:rPr>
          <w:b/>
          <w:bCs/>
          <w:color w:val="auto"/>
          <w:highlight w:val="none"/>
        </w:rPr>
      </w:pPr>
    </w:p>
    <w:p w14:paraId="64B9A1D2">
      <w:pPr>
        <w:widowControl/>
        <w:jc w:val="left"/>
        <w:rPr>
          <w:b/>
          <w:bCs/>
          <w:color w:val="auto"/>
          <w:highlight w:val="none"/>
        </w:rPr>
      </w:pPr>
    </w:p>
    <w:p w14:paraId="09D60F73">
      <w:pPr>
        <w:widowControl/>
        <w:jc w:val="left"/>
        <w:rPr>
          <w:b/>
          <w:bCs/>
          <w:color w:val="auto"/>
          <w:highlight w:val="none"/>
        </w:rPr>
      </w:pPr>
    </w:p>
    <w:p w14:paraId="5095D66F">
      <w:pPr>
        <w:widowControl/>
        <w:jc w:val="left"/>
        <w:rPr>
          <w:b/>
          <w:bCs/>
          <w:color w:val="auto"/>
          <w:highlight w:val="none"/>
        </w:rPr>
      </w:pPr>
    </w:p>
    <w:p w14:paraId="7DE05235">
      <w:pPr>
        <w:widowControl/>
        <w:jc w:val="left"/>
        <w:rPr>
          <w:b/>
          <w:bCs/>
          <w:color w:val="auto"/>
          <w:highlight w:val="none"/>
        </w:rPr>
      </w:pPr>
    </w:p>
    <w:p w14:paraId="07192C5A">
      <w:pPr>
        <w:widowControl/>
        <w:jc w:val="left"/>
        <w:rPr>
          <w:b/>
          <w:bCs/>
          <w:color w:val="auto"/>
          <w:highlight w:val="none"/>
        </w:rPr>
      </w:pPr>
    </w:p>
    <w:p w14:paraId="430AE230">
      <w:pPr>
        <w:widowControl/>
        <w:jc w:val="left"/>
        <w:rPr>
          <w:b/>
          <w:bCs/>
          <w:color w:val="auto"/>
          <w:highlight w:val="none"/>
        </w:rPr>
      </w:pPr>
    </w:p>
    <w:p w14:paraId="1698178C">
      <w:pPr>
        <w:widowControl/>
        <w:jc w:val="left"/>
        <w:rPr>
          <w:b/>
          <w:bCs/>
          <w:color w:val="auto"/>
          <w:highlight w:val="none"/>
        </w:rPr>
      </w:pPr>
    </w:p>
    <w:p w14:paraId="0A329087">
      <w:pPr>
        <w:widowControl/>
        <w:jc w:val="left"/>
        <w:rPr>
          <w:b/>
          <w:bCs/>
          <w:color w:val="auto"/>
          <w:highlight w:val="none"/>
        </w:rPr>
      </w:pPr>
    </w:p>
    <w:p w14:paraId="6AF7FADA">
      <w:pPr>
        <w:widowControl/>
        <w:jc w:val="left"/>
        <w:rPr>
          <w:b/>
          <w:bCs/>
          <w:color w:val="auto"/>
          <w:highlight w:val="none"/>
        </w:rPr>
      </w:pPr>
    </w:p>
    <w:p w14:paraId="7146E564">
      <w:pPr>
        <w:widowControl/>
        <w:jc w:val="left"/>
        <w:rPr>
          <w:b/>
          <w:bCs/>
          <w:color w:val="auto"/>
          <w:highlight w:val="none"/>
        </w:rPr>
      </w:pPr>
    </w:p>
    <w:p w14:paraId="07042B37">
      <w:pPr>
        <w:widowControl/>
        <w:jc w:val="left"/>
        <w:rPr>
          <w:b/>
          <w:bCs/>
          <w:color w:val="auto"/>
          <w:highlight w:val="none"/>
        </w:rPr>
      </w:pPr>
    </w:p>
    <w:p w14:paraId="37B6AB5D">
      <w:pPr>
        <w:widowControl/>
        <w:jc w:val="left"/>
        <w:rPr>
          <w:b/>
          <w:bCs/>
          <w:color w:val="auto"/>
          <w:highlight w:val="none"/>
        </w:rPr>
      </w:pPr>
    </w:p>
    <w:p w14:paraId="559689AD">
      <w:pPr>
        <w:widowControl/>
        <w:jc w:val="left"/>
        <w:rPr>
          <w:b/>
          <w:bCs/>
          <w:color w:val="auto"/>
          <w:highlight w:val="none"/>
        </w:rPr>
      </w:pPr>
    </w:p>
    <w:p w14:paraId="463F451A">
      <w:pPr>
        <w:widowControl/>
        <w:jc w:val="left"/>
        <w:rPr>
          <w:b/>
          <w:bCs/>
          <w:color w:val="auto"/>
          <w:highlight w:val="none"/>
        </w:rPr>
      </w:pPr>
    </w:p>
    <w:p w14:paraId="44E94A48">
      <w:pPr>
        <w:widowControl/>
        <w:jc w:val="left"/>
        <w:rPr>
          <w:b/>
          <w:bCs/>
          <w:color w:val="auto"/>
          <w:highlight w:val="none"/>
        </w:rPr>
      </w:pPr>
    </w:p>
    <w:p w14:paraId="21AABF45">
      <w:pPr>
        <w:widowControl/>
        <w:jc w:val="left"/>
        <w:rPr>
          <w:b/>
          <w:bCs/>
          <w:color w:val="auto"/>
          <w:highlight w:val="none"/>
        </w:rPr>
      </w:pPr>
    </w:p>
    <w:p w14:paraId="3788CC2A">
      <w:pPr>
        <w:widowControl/>
        <w:jc w:val="left"/>
        <w:rPr>
          <w:b/>
          <w:bCs/>
          <w:color w:val="auto"/>
          <w:highlight w:val="none"/>
        </w:rPr>
      </w:pPr>
    </w:p>
    <w:p w14:paraId="3B869A8F">
      <w:pPr>
        <w:widowControl/>
        <w:jc w:val="left"/>
        <w:rPr>
          <w:b/>
          <w:bCs/>
          <w:color w:val="auto"/>
          <w:highlight w:val="none"/>
        </w:rPr>
      </w:pPr>
    </w:p>
    <w:p w14:paraId="00685A43">
      <w:pPr>
        <w:widowControl/>
        <w:jc w:val="left"/>
        <w:rPr>
          <w:b/>
          <w:bCs/>
          <w:color w:val="auto"/>
          <w:highlight w:val="none"/>
        </w:rPr>
      </w:pPr>
    </w:p>
    <w:p w14:paraId="4AF9A595">
      <w:pPr>
        <w:widowControl/>
        <w:jc w:val="left"/>
        <w:rPr>
          <w:b/>
          <w:bCs/>
          <w:color w:val="auto"/>
          <w:highlight w:val="none"/>
        </w:rPr>
      </w:pPr>
    </w:p>
    <w:p w14:paraId="0BD6E862">
      <w:pPr>
        <w:widowControl/>
        <w:jc w:val="left"/>
        <w:rPr>
          <w:b/>
          <w:bCs/>
          <w:color w:val="auto"/>
          <w:highlight w:val="none"/>
        </w:rPr>
      </w:pPr>
    </w:p>
    <w:p w14:paraId="50248C98">
      <w:pPr>
        <w:widowControl/>
        <w:jc w:val="left"/>
        <w:rPr>
          <w:b/>
          <w:bCs/>
          <w:color w:val="auto"/>
          <w:highlight w:val="none"/>
        </w:rPr>
      </w:pPr>
    </w:p>
    <w:p w14:paraId="0B0C5B7D">
      <w:pPr>
        <w:widowControl/>
        <w:jc w:val="left"/>
        <w:rPr>
          <w:b/>
          <w:bCs/>
          <w:color w:val="auto"/>
          <w:highlight w:val="none"/>
        </w:rPr>
      </w:pPr>
    </w:p>
    <w:p w14:paraId="50686805">
      <w:pPr>
        <w:widowControl/>
        <w:jc w:val="left"/>
        <w:rPr>
          <w:b/>
          <w:bCs/>
          <w:color w:val="auto"/>
          <w:highlight w:val="none"/>
        </w:rPr>
      </w:pPr>
    </w:p>
    <w:p w14:paraId="030DA5C2">
      <w:pPr>
        <w:widowControl/>
        <w:jc w:val="left"/>
        <w:rPr>
          <w:b/>
          <w:bCs/>
          <w:color w:val="auto"/>
          <w:highlight w:val="none"/>
        </w:rPr>
      </w:pPr>
    </w:p>
    <w:p w14:paraId="3EE7BA68">
      <w:pPr>
        <w:widowControl/>
        <w:jc w:val="left"/>
        <w:rPr>
          <w:b/>
          <w:bCs/>
          <w:color w:val="auto"/>
          <w:highlight w:val="none"/>
        </w:rPr>
      </w:pPr>
    </w:p>
    <w:p w14:paraId="4242B964">
      <w:pPr>
        <w:widowControl/>
        <w:jc w:val="left"/>
        <w:rPr>
          <w:rFonts w:hint="eastAsia" w:ascii="宋体" w:hAnsi="宋体" w:eastAsia="宋体" w:cs="宋体"/>
          <w:b/>
          <w:bCs/>
          <w:color w:val="auto"/>
          <w:kern w:val="2"/>
          <w:sz w:val="28"/>
          <w:szCs w:val="24"/>
          <w:highlight w:val="none"/>
          <w:lang w:val="en-US" w:eastAsia="zh-CN" w:bidi="ar-SA"/>
        </w:rPr>
      </w:pPr>
      <w:r>
        <w:rPr>
          <w:rFonts w:hint="eastAsia" w:ascii="宋体" w:hAnsi="宋体" w:eastAsia="宋体" w:cs="宋体"/>
          <w:b/>
          <w:bCs/>
          <w:color w:val="auto"/>
          <w:kern w:val="2"/>
          <w:sz w:val="28"/>
          <w:szCs w:val="24"/>
          <w:highlight w:val="none"/>
          <w:lang w:val="en-US" w:eastAsia="zh-CN" w:bidi="ar-SA"/>
        </w:rPr>
        <w:t>D分标评审办法</w:t>
      </w:r>
    </w:p>
    <w:p w14:paraId="7651D1C6">
      <w:pPr>
        <w:pStyle w:val="17"/>
        <w:spacing w:line="480" w:lineRule="exact"/>
        <w:ind w:firstLine="413" w:firstLineChars="196"/>
        <w:rPr>
          <w:rFonts w:hint="eastAsia" w:hAnsi="宋体" w:cs="宋体"/>
          <w:b/>
          <w:bCs/>
          <w:color w:val="auto"/>
          <w:highlight w:val="none"/>
        </w:rPr>
      </w:pPr>
      <w:r>
        <w:rPr>
          <w:rFonts w:hint="eastAsia" w:hAnsi="宋体" w:cs="宋体"/>
          <w:b/>
          <w:bCs/>
          <w:color w:val="auto"/>
          <w:highlight w:val="none"/>
        </w:rPr>
        <w:t>一、评审原则</w:t>
      </w:r>
    </w:p>
    <w:p w14:paraId="0C61580F">
      <w:pPr>
        <w:pStyle w:val="17"/>
        <w:spacing w:line="480" w:lineRule="exact"/>
        <w:ind w:firstLine="420" w:firstLineChars="200"/>
        <w:rPr>
          <w:rFonts w:hint="eastAsia" w:hAnsi="宋体" w:cs="宋体"/>
          <w:color w:val="auto"/>
          <w:highlight w:val="none"/>
        </w:rPr>
      </w:pPr>
      <w:r>
        <w:rPr>
          <w:rFonts w:hint="eastAsia" w:hAnsi="宋体" w:cs="宋体"/>
          <w:color w:val="auto"/>
          <w:highlight w:val="none"/>
        </w:rPr>
        <w:t>1、评审依据：</w:t>
      </w:r>
      <w:r>
        <w:rPr>
          <w:rFonts w:hint="eastAsia" w:hAnsi="宋体" w:cs="宋体"/>
          <w:color w:val="auto"/>
          <w:highlight w:val="none"/>
          <w:lang w:val="en-US" w:eastAsia="zh-CN"/>
        </w:rPr>
        <w:t>评审</w:t>
      </w:r>
      <w:r>
        <w:rPr>
          <w:rFonts w:hint="eastAsia" w:hAnsi="宋体" w:cs="宋体"/>
          <w:color w:val="auto"/>
          <w:highlight w:val="none"/>
        </w:rPr>
        <w:t>小组以</w:t>
      </w:r>
      <w:r>
        <w:rPr>
          <w:rFonts w:hint="eastAsia" w:hAnsi="宋体" w:cs="宋体"/>
          <w:color w:val="auto"/>
          <w:highlight w:val="none"/>
          <w:lang w:val="en-US" w:eastAsia="zh-CN"/>
        </w:rPr>
        <w:t>招标</w:t>
      </w:r>
      <w:r>
        <w:rPr>
          <w:rFonts w:hint="eastAsia" w:hAnsi="宋体" w:cs="宋体"/>
          <w:color w:val="auto"/>
          <w:highlight w:val="none"/>
        </w:rPr>
        <w:t>文件和</w:t>
      </w:r>
      <w:r>
        <w:rPr>
          <w:rFonts w:hint="eastAsia" w:hAnsi="宋体" w:cs="宋体"/>
          <w:color w:val="auto"/>
          <w:highlight w:val="none"/>
          <w:lang w:val="en-US" w:eastAsia="zh-CN"/>
        </w:rPr>
        <w:t>投标</w:t>
      </w:r>
      <w:r>
        <w:rPr>
          <w:rFonts w:hint="eastAsia" w:hAnsi="宋体" w:cs="宋体"/>
          <w:color w:val="auto"/>
          <w:highlight w:val="none"/>
        </w:rPr>
        <w:t>文件为评审依据，对</w:t>
      </w:r>
      <w:r>
        <w:rPr>
          <w:rFonts w:hint="eastAsia" w:hAnsi="宋体" w:cs="宋体"/>
          <w:color w:val="auto"/>
          <w:highlight w:val="none"/>
          <w:lang w:val="en-US" w:eastAsia="zh-CN"/>
        </w:rPr>
        <w:t>投标</w:t>
      </w:r>
      <w:r>
        <w:rPr>
          <w:rFonts w:hint="eastAsia" w:hAnsi="宋体" w:cs="宋体"/>
          <w:color w:val="auto"/>
          <w:highlight w:val="none"/>
        </w:rPr>
        <w:t>供应商的价格、</w:t>
      </w:r>
      <w:r>
        <w:rPr>
          <w:rFonts w:hint="eastAsia" w:hAnsi="宋体" w:cs="宋体"/>
          <w:color w:val="auto"/>
          <w:kern w:val="0"/>
          <w:szCs w:val="21"/>
          <w:highlight w:val="none"/>
          <w:lang w:val="en-US" w:eastAsia="zh-CN"/>
        </w:rPr>
        <w:t>技术</w:t>
      </w:r>
      <w:r>
        <w:rPr>
          <w:rFonts w:hint="eastAsia" w:hAnsi="宋体" w:cs="宋体"/>
          <w:color w:val="auto"/>
          <w:highlight w:val="none"/>
        </w:rPr>
        <w:t>、</w:t>
      </w:r>
      <w:r>
        <w:rPr>
          <w:rFonts w:hint="eastAsia" w:hAnsi="宋体" w:cs="宋体"/>
          <w:color w:val="auto"/>
          <w:highlight w:val="none"/>
          <w:lang w:val="en-US" w:eastAsia="zh-CN"/>
        </w:rPr>
        <w:t>方案、售后</w:t>
      </w:r>
      <w:r>
        <w:rPr>
          <w:rFonts w:hint="eastAsia" w:hAnsi="宋体" w:cs="宋体"/>
          <w:color w:val="auto"/>
          <w:kern w:val="0"/>
          <w:szCs w:val="21"/>
          <w:highlight w:val="none"/>
        </w:rPr>
        <w:t>服务</w:t>
      </w:r>
      <w:r>
        <w:rPr>
          <w:rFonts w:hint="eastAsia" w:hAnsi="宋体" w:cs="宋体"/>
          <w:color w:val="auto"/>
          <w:highlight w:val="none"/>
        </w:rPr>
        <w:t>、信誉等方面内容按百分制打分。</w:t>
      </w:r>
    </w:p>
    <w:p w14:paraId="612E3F7B">
      <w:pPr>
        <w:pStyle w:val="17"/>
        <w:spacing w:line="480" w:lineRule="exact"/>
        <w:ind w:firstLine="420" w:firstLineChars="200"/>
        <w:rPr>
          <w:rFonts w:hint="eastAsia" w:hAnsi="宋体" w:cs="宋体"/>
          <w:color w:val="auto"/>
          <w:highlight w:val="none"/>
        </w:rPr>
      </w:pPr>
      <w:r>
        <w:rPr>
          <w:rFonts w:hint="eastAsia" w:hAnsi="宋体" w:cs="宋体"/>
          <w:color w:val="auto"/>
          <w:highlight w:val="none"/>
        </w:rPr>
        <w:t>2、评审方式：以封闭方式进行评审。</w:t>
      </w:r>
    </w:p>
    <w:p w14:paraId="368029CB">
      <w:pPr>
        <w:pStyle w:val="17"/>
        <w:spacing w:line="480" w:lineRule="exact"/>
        <w:ind w:firstLine="420" w:firstLineChars="200"/>
        <w:rPr>
          <w:rFonts w:hint="eastAsia" w:hAnsi="宋体" w:cs="宋体"/>
          <w:color w:val="auto"/>
          <w:highlight w:val="none"/>
        </w:rPr>
      </w:pPr>
      <w:r>
        <w:rPr>
          <w:rFonts w:hint="eastAsia" w:hAnsi="宋体" w:cs="宋体"/>
          <w:color w:val="auto"/>
          <w:szCs w:val="21"/>
          <w:highlight w:val="none"/>
        </w:rPr>
        <w:t>3、</w:t>
      </w:r>
      <w:r>
        <w:rPr>
          <w:rFonts w:hint="eastAsia" w:hAnsi="宋体" w:cs="宋体"/>
          <w:color w:val="auto"/>
          <w:highlight w:val="none"/>
        </w:rPr>
        <w:t>根据财库〔2012〕69号文规定，采购人和采购代理机构、</w:t>
      </w:r>
      <w:r>
        <w:rPr>
          <w:rFonts w:hint="eastAsia" w:hAnsi="宋体" w:cs="宋体"/>
          <w:color w:val="auto"/>
          <w:highlight w:val="none"/>
          <w:lang w:val="en-US" w:eastAsia="zh-CN"/>
        </w:rPr>
        <w:t>评审</w:t>
      </w:r>
      <w:r>
        <w:rPr>
          <w:rFonts w:hint="eastAsia" w:hAnsi="宋体" w:cs="宋体"/>
          <w:color w:val="auto"/>
          <w:highlight w:val="none"/>
        </w:rPr>
        <w:t>小组成员要严格遵守政府采购相关法律制度，依法履行各自职责，公正、客观、审慎地组织和参与评审工作。</w:t>
      </w:r>
    </w:p>
    <w:p w14:paraId="2A5B0EAF">
      <w:pPr>
        <w:pStyle w:val="17"/>
        <w:spacing w:line="480" w:lineRule="exact"/>
        <w:ind w:firstLine="422" w:firstLineChars="200"/>
        <w:rPr>
          <w:rFonts w:hint="eastAsia" w:hAnsi="宋体" w:cs="宋体"/>
          <w:b/>
          <w:bCs/>
          <w:color w:val="auto"/>
          <w:highlight w:val="none"/>
        </w:rPr>
      </w:pPr>
      <w:r>
        <w:rPr>
          <w:rFonts w:hint="eastAsia" w:hAnsi="宋体" w:cs="宋体"/>
          <w:b/>
          <w:bCs/>
          <w:color w:val="auto"/>
          <w:highlight w:val="none"/>
        </w:rPr>
        <w:t>二、评审办法</w:t>
      </w:r>
    </w:p>
    <w:p w14:paraId="1B961A9D">
      <w:pPr>
        <w:pStyle w:val="17"/>
        <w:spacing w:line="480" w:lineRule="exact"/>
        <w:ind w:firstLine="420" w:firstLineChars="200"/>
        <w:rPr>
          <w:rFonts w:hint="eastAsia" w:hAnsi="宋体" w:cs="宋体"/>
          <w:bCs/>
          <w:color w:val="auto"/>
          <w:highlight w:val="none"/>
        </w:rPr>
      </w:pPr>
      <w:r>
        <w:rPr>
          <w:rFonts w:hint="eastAsia" w:hAnsi="宋体" w:cs="宋体"/>
          <w:bCs/>
          <w:color w:val="auto"/>
          <w:highlight w:val="none"/>
        </w:rPr>
        <w:t>（一）对进入详评的，采用综合评分法。</w:t>
      </w:r>
    </w:p>
    <w:p w14:paraId="3E55FAA1">
      <w:pPr>
        <w:pStyle w:val="17"/>
        <w:spacing w:line="480" w:lineRule="exact"/>
        <w:ind w:firstLine="420" w:firstLineChars="200"/>
        <w:rPr>
          <w:rFonts w:hint="eastAsia" w:hAnsi="宋体" w:cs="宋体"/>
          <w:bCs/>
          <w:color w:val="auto"/>
          <w:highlight w:val="none"/>
        </w:rPr>
      </w:pPr>
      <w:r>
        <w:rPr>
          <w:rFonts w:hint="eastAsia" w:hAnsi="宋体" w:cs="宋体"/>
          <w:bCs/>
          <w:color w:val="auto"/>
          <w:highlight w:val="none"/>
        </w:rPr>
        <w:t>（二）计分办法（按四舍五入取至小数点后二位）</w:t>
      </w:r>
    </w:p>
    <w:p w14:paraId="50498A76">
      <w:pPr>
        <w:pStyle w:val="17"/>
        <w:spacing w:line="480" w:lineRule="exact"/>
        <w:ind w:firstLine="420"/>
        <w:rPr>
          <w:rFonts w:hint="eastAsia" w:hAnsi="宋体" w:cs="宋体"/>
          <w:b/>
          <w:bCs/>
          <w:color w:val="auto"/>
          <w:highlight w:val="none"/>
        </w:rPr>
      </w:pPr>
      <w:r>
        <w:rPr>
          <w:rFonts w:hint="eastAsia" w:hAnsi="宋体" w:cs="宋体"/>
          <w:b/>
          <w:color w:val="auto"/>
          <w:highlight w:val="none"/>
        </w:rPr>
        <w:t xml:space="preserve">1. </w:t>
      </w:r>
      <w:r>
        <w:rPr>
          <w:rFonts w:hint="eastAsia" w:hAnsi="宋体" w:cs="宋体"/>
          <w:b/>
          <w:bCs/>
          <w:color w:val="auto"/>
          <w:highlight w:val="none"/>
        </w:rPr>
        <w:t>价格分…………………………………………………………………………………满分</w:t>
      </w:r>
      <w:r>
        <w:rPr>
          <w:rFonts w:hint="eastAsia" w:hAnsi="宋体" w:cs="宋体"/>
          <w:b/>
          <w:bCs/>
          <w:color w:val="auto"/>
          <w:highlight w:val="none"/>
          <w:lang w:eastAsia="zh-CN"/>
        </w:rPr>
        <w:t>3</w:t>
      </w:r>
      <w:r>
        <w:rPr>
          <w:rFonts w:hint="eastAsia" w:hAnsi="宋体" w:cs="宋体"/>
          <w:b/>
          <w:bCs/>
          <w:color w:val="auto"/>
          <w:highlight w:val="none"/>
        </w:rPr>
        <w:t>0分</w:t>
      </w:r>
    </w:p>
    <w:p w14:paraId="2DA68A22">
      <w:pPr>
        <w:pStyle w:val="17"/>
        <w:spacing w:line="480" w:lineRule="exact"/>
        <w:ind w:firstLine="420"/>
        <w:rPr>
          <w:rFonts w:hint="eastAsia" w:hAnsi="宋体" w:cs="宋体"/>
          <w:color w:val="auto"/>
          <w:szCs w:val="21"/>
          <w:highlight w:val="none"/>
        </w:rPr>
      </w:pPr>
      <w:r>
        <w:rPr>
          <w:rFonts w:hint="eastAsia" w:hAnsi="宋体" w:cs="宋体"/>
          <w:bCs/>
          <w:color w:val="auto"/>
          <w:highlight w:val="none"/>
        </w:rPr>
        <w:t>以进入评标的最低的评标报价为</w:t>
      </w:r>
      <w:r>
        <w:rPr>
          <w:rFonts w:hint="eastAsia" w:hAnsi="宋体" w:cs="宋体"/>
          <w:bCs/>
          <w:color w:val="auto"/>
          <w:highlight w:val="none"/>
          <w:lang w:eastAsia="zh-CN"/>
        </w:rPr>
        <w:t>3</w:t>
      </w:r>
      <w:r>
        <w:rPr>
          <w:rFonts w:hint="eastAsia" w:hAnsi="宋体" w:cs="宋体"/>
          <w:bCs/>
          <w:color w:val="auto"/>
          <w:highlight w:val="none"/>
        </w:rPr>
        <w:t>0分</w:t>
      </w:r>
    </w:p>
    <w:p w14:paraId="74C99E70">
      <w:pPr>
        <w:pStyle w:val="17"/>
        <w:spacing w:line="480" w:lineRule="exact"/>
        <w:ind w:firstLine="420"/>
        <w:rPr>
          <w:rFonts w:hint="eastAsia" w:hAnsi="宋体" w:cs="宋体"/>
          <w:color w:val="auto"/>
          <w:szCs w:val="21"/>
          <w:highlight w:val="none"/>
        </w:rPr>
      </w:pPr>
      <w:r>
        <w:rPr>
          <w:rFonts w:hint="eastAsia" w:hAnsi="宋体" w:cs="宋体"/>
          <w:color w:val="auto"/>
          <w:szCs w:val="21"/>
          <w:highlight w:val="none"/>
        </w:rPr>
        <w:t xml:space="preserve">价格分计算公式： </w:t>
      </w:r>
    </w:p>
    <w:p w14:paraId="33167E82">
      <w:pPr>
        <w:pStyle w:val="17"/>
        <w:spacing w:line="480" w:lineRule="exact"/>
        <w:ind w:firstLine="3150" w:firstLineChars="1500"/>
        <w:rPr>
          <w:rFonts w:hint="eastAsia" w:hAnsi="宋体" w:cs="宋体"/>
          <w:bCs/>
          <w:color w:val="auto"/>
          <w:highlight w:val="none"/>
        </w:rPr>
      </w:pPr>
      <w:r>
        <w:rPr>
          <w:rFonts w:hint="eastAsia" w:hAnsi="宋体" w:cs="宋体"/>
          <w:bCs/>
          <w:color w:val="auto"/>
          <w:highlight w:val="none"/>
        </w:rPr>
        <w:t>最低</w:t>
      </w:r>
      <w:r>
        <w:rPr>
          <w:rFonts w:hint="eastAsia" w:hAnsi="宋体" w:cs="宋体"/>
          <w:color w:val="auto"/>
          <w:highlight w:val="none"/>
          <w:lang w:val="en-US" w:eastAsia="zh-CN"/>
        </w:rPr>
        <w:t>投标</w:t>
      </w:r>
      <w:r>
        <w:rPr>
          <w:rFonts w:hint="eastAsia" w:hAnsi="宋体" w:cs="宋体"/>
          <w:color w:val="auto"/>
          <w:highlight w:val="none"/>
        </w:rPr>
        <w:t>供应商评审报价</w:t>
      </w:r>
      <w:r>
        <w:rPr>
          <w:rFonts w:hint="eastAsia" w:hAnsi="宋体" w:cs="宋体"/>
          <w:bCs/>
          <w:color w:val="auto"/>
          <w:highlight w:val="none"/>
        </w:rPr>
        <w:t xml:space="preserve">金额          </w:t>
      </w:r>
    </w:p>
    <w:p w14:paraId="27A9FFA0">
      <w:pPr>
        <w:pStyle w:val="17"/>
        <w:spacing w:line="480" w:lineRule="exact"/>
        <w:ind w:firstLine="420"/>
        <w:rPr>
          <w:rFonts w:hint="eastAsia" w:hAnsi="宋体" w:cs="宋体"/>
          <w:bCs/>
          <w:color w:val="auto"/>
          <w:highlight w:val="none"/>
        </w:rPr>
      </w:pPr>
      <w:r>
        <w:rPr>
          <w:rFonts w:hint="eastAsia" w:hAnsi="宋体" w:cs="宋体"/>
          <w:bCs/>
          <w:color w:val="auto"/>
          <w:highlight w:val="none"/>
        </w:rPr>
        <w:pict>
          <v:line id="_x0000_s2057" o:spid="_x0000_s2057" o:spt="20" style="position:absolute;left:0pt;margin-left:137.7pt;margin-top:9.85pt;height:0pt;width:173.25pt;z-index:251665408;mso-width-relative:page;mso-height-relative:page;" filled="f" stroked="t" coordsize="21600,21600" o:gfxdata="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Nv7ZbW&#10;AAAACQEAAA8AAAAAAAAAAQAgAAAAIgAAAGRycy9kb3ducmV2LnhtbFBLAQIUABQAAAAIAIdO4kDX&#10;X/ok6QEAALgDAAAOAAAAAAAAAAEAIAAAACUBAABkcnMvZTJvRG9jLnhtbFBLBQYAAAAABgAGAFkB&#10;AACABQAAAAA=&#10;">
            <v:path arrowok="t"/>
            <v:fill on="f" focussize="0,0"/>
            <v:stroke color="#000000" joinstyle="round"/>
            <v:imagedata o:title=""/>
            <o:lock v:ext="edit" aspectratio="f"/>
          </v:line>
        </w:pict>
      </w:r>
      <w:r>
        <w:rPr>
          <w:rFonts w:hint="eastAsia" w:hAnsi="宋体" w:cs="宋体"/>
          <w:bCs/>
          <w:color w:val="auto"/>
          <w:highlight w:val="none"/>
        </w:rPr>
        <w:t xml:space="preserve"> </w:t>
      </w:r>
      <w:r>
        <w:rPr>
          <w:rFonts w:hint="eastAsia" w:hAnsi="宋体" w:cs="宋体"/>
          <w:bCs/>
          <w:color w:val="auto"/>
          <w:highlight w:val="none"/>
          <w:lang w:val="en-US" w:eastAsia="zh-CN"/>
        </w:rPr>
        <w:t>投标</w:t>
      </w:r>
      <w:r>
        <w:rPr>
          <w:rFonts w:hint="eastAsia" w:hAnsi="宋体" w:cs="宋体"/>
          <w:color w:val="auto"/>
          <w:highlight w:val="none"/>
        </w:rPr>
        <w:t>供应商</w:t>
      </w:r>
      <w:r>
        <w:rPr>
          <w:rFonts w:hint="eastAsia" w:hAnsi="宋体" w:cs="宋体"/>
          <w:bCs/>
          <w:color w:val="auto"/>
          <w:highlight w:val="none"/>
        </w:rPr>
        <w:t xml:space="preserve">价格分 =                                   </w:t>
      </w:r>
      <w:r>
        <w:rPr>
          <w:rFonts w:hint="eastAsia" w:hAnsi="宋体" w:cs="宋体"/>
          <w:bCs/>
          <w:color w:val="auto"/>
          <w:highlight w:val="none"/>
          <w:u w:val="none"/>
        </w:rPr>
        <w:t xml:space="preserve"> </w:t>
      </w:r>
      <w:r>
        <w:rPr>
          <w:rFonts w:hint="eastAsia" w:hAnsi="宋体" w:cs="宋体"/>
          <w:bCs/>
          <w:color w:val="auto"/>
          <w:highlight w:val="none"/>
          <w:u w:val="none"/>
          <w:lang w:val="en-US" w:eastAsia="zh-CN"/>
        </w:rPr>
        <w:t xml:space="preserve">  </w:t>
      </w:r>
      <w:r>
        <w:rPr>
          <w:rFonts w:hint="eastAsia" w:hAnsi="宋体" w:cs="宋体"/>
          <w:bCs/>
          <w:color w:val="auto"/>
          <w:highlight w:val="none"/>
        </w:rPr>
        <w:t>×</w:t>
      </w:r>
      <w:r>
        <w:rPr>
          <w:rFonts w:hint="eastAsia" w:hAnsi="宋体" w:cs="宋体"/>
          <w:bCs/>
          <w:color w:val="auto"/>
          <w:highlight w:val="none"/>
          <w:lang w:eastAsia="zh-CN"/>
        </w:rPr>
        <w:t>3</w:t>
      </w:r>
      <w:r>
        <w:rPr>
          <w:rFonts w:hint="eastAsia" w:hAnsi="宋体" w:cs="宋体"/>
          <w:bCs/>
          <w:color w:val="auto"/>
          <w:highlight w:val="none"/>
        </w:rPr>
        <w:t>0分</w:t>
      </w:r>
    </w:p>
    <w:p w14:paraId="28EA67EC">
      <w:pPr>
        <w:pStyle w:val="17"/>
        <w:spacing w:line="480" w:lineRule="exact"/>
        <w:ind w:firstLine="420" w:firstLineChars="200"/>
        <w:rPr>
          <w:rFonts w:hint="eastAsia" w:hAnsi="宋体" w:cs="宋体"/>
          <w:b/>
          <w:color w:val="auto"/>
          <w:highlight w:val="none"/>
        </w:rPr>
      </w:pPr>
      <w:r>
        <w:rPr>
          <w:rFonts w:hint="eastAsia" w:hAnsi="宋体" w:cs="宋体"/>
          <w:bCs/>
          <w:color w:val="auto"/>
          <w:highlight w:val="none"/>
        </w:rPr>
        <w:t xml:space="preserve">                           </w:t>
      </w:r>
      <w:r>
        <w:rPr>
          <w:rFonts w:hint="eastAsia" w:hAnsi="宋体" w:cs="宋体"/>
          <w:color w:val="auto"/>
          <w:highlight w:val="none"/>
          <w:lang w:val="en-US" w:eastAsia="zh-CN"/>
        </w:rPr>
        <w:t>投标</w:t>
      </w:r>
      <w:r>
        <w:rPr>
          <w:rFonts w:hint="eastAsia" w:hAnsi="宋体" w:cs="宋体"/>
          <w:color w:val="auto"/>
          <w:highlight w:val="none"/>
        </w:rPr>
        <w:t>供应商评审报价</w:t>
      </w:r>
      <w:r>
        <w:rPr>
          <w:rFonts w:hint="eastAsia" w:hAnsi="宋体" w:cs="宋体"/>
          <w:bCs/>
          <w:color w:val="auto"/>
          <w:highlight w:val="none"/>
        </w:rPr>
        <w:t xml:space="preserve">金额 </w:t>
      </w:r>
    </w:p>
    <w:p w14:paraId="65127A9F">
      <w:pPr>
        <w:numPr>
          <w:ilvl w:val="0"/>
          <w:numId w:val="0"/>
        </w:numPr>
        <w:spacing w:line="400" w:lineRule="exact"/>
        <w:ind w:firstLine="422" w:firstLineChars="200"/>
        <w:jc w:val="left"/>
        <w:rPr>
          <w:color w:val="auto"/>
          <w:highlight w:val="none"/>
        </w:rPr>
      </w:pPr>
      <w:r>
        <w:rPr>
          <w:rFonts w:hint="eastAsia"/>
          <w:b/>
          <w:bCs/>
          <w:color w:val="auto"/>
          <w:highlight w:val="none"/>
          <w:lang w:val="en-US" w:eastAsia="zh-CN"/>
        </w:rPr>
        <w:t>2.</w:t>
      </w:r>
      <w:r>
        <w:rPr>
          <w:rFonts w:hint="eastAsia" w:ascii="宋体" w:hAnsi="宋体" w:cs="宋体"/>
          <w:b/>
          <w:color w:val="auto"/>
          <w:szCs w:val="21"/>
          <w:highlight w:val="none"/>
        </w:rPr>
        <w:t>货物性能分…………………………………………………………………………满分8分</w:t>
      </w:r>
    </w:p>
    <w:p w14:paraId="10F72106">
      <w:pPr>
        <w:spacing w:line="400" w:lineRule="exact"/>
        <w:ind w:firstLine="420" w:firstLineChars="200"/>
        <w:jc w:val="left"/>
        <w:rPr>
          <w:rFonts w:hint="eastAsia" w:ascii="宋体" w:hAnsi="宋体"/>
          <w:color w:val="auto"/>
          <w:szCs w:val="21"/>
          <w:highlight w:val="none"/>
        </w:rPr>
      </w:pPr>
      <w:r>
        <w:rPr>
          <w:rFonts w:hint="eastAsia" w:ascii="宋体" w:hAnsi="宋体" w:cs="宋体"/>
          <w:bCs/>
          <w:color w:val="auto"/>
          <w:szCs w:val="21"/>
          <w:highlight w:val="none"/>
        </w:rPr>
        <w:t>一档 (2 分) ：</w:t>
      </w:r>
      <w:r>
        <w:rPr>
          <w:rFonts w:ascii="宋体" w:hAnsi="宋体"/>
          <w:color w:val="auto"/>
          <w:szCs w:val="21"/>
          <w:highlight w:val="none"/>
        </w:rPr>
        <w:t>技术指标</w:t>
      </w:r>
      <w:r>
        <w:rPr>
          <w:rFonts w:hint="eastAsia" w:ascii="宋体" w:hAnsi="宋体"/>
          <w:color w:val="auto"/>
          <w:szCs w:val="21"/>
          <w:highlight w:val="none"/>
        </w:rPr>
        <w:t>无</w:t>
      </w:r>
      <w:r>
        <w:rPr>
          <w:rFonts w:ascii="宋体" w:hAnsi="宋体"/>
          <w:color w:val="auto"/>
          <w:szCs w:val="21"/>
          <w:highlight w:val="none"/>
        </w:rPr>
        <w:t>偏离。</w:t>
      </w:r>
    </w:p>
    <w:p w14:paraId="73BA8EEF">
      <w:pPr>
        <w:spacing w:line="400" w:lineRule="exact"/>
        <w:ind w:firstLine="420" w:firstLineChars="200"/>
        <w:jc w:val="left"/>
        <w:rPr>
          <w:rFonts w:hint="eastAsia" w:ascii="宋体" w:hAnsi="宋体"/>
          <w:color w:val="auto"/>
          <w:szCs w:val="21"/>
          <w:highlight w:val="none"/>
        </w:rPr>
      </w:pPr>
      <w:r>
        <w:rPr>
          <w:rFonts w:hint="eastAsia" w:ascii="宋体" w:hAnsi="宋体" w:cs="宋体"/>
          <w:bCs/>
          <w:color w:val="auto"/>
          <w:szCs w:val="21"/>
          <w:highlight w:val="none"/>
        </w:rPr>
        <w:t>二档 (4分) ：</w:t>
      </w:r>
      <w:r>
        <w:rPr>
          <w:rFonts w:ascii="宋体" w:hAnsi="宋体"/>
          <w:color w:val="auto"/>
          <w:szCs w:val="21"/>
          <w:highlight w:val="none"/>
        </w:rPr>
        <w:t>货物性能、配置完全满足采购文件要求。</w:t>
      </w:r>
    </w:p>
    <w:p w14:paraId="570A6A06">
      <w:pPr>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三档 (6分) ：</w:t>
      </w:r>
      <w:r>
        <w:rPr>
          <w:rFonts w:ascii="宋体" w:hAnsi="宋体"/>
          <w:color w:val="auto"/>
          <w:szCs w:val="21"/>
          <w:highlight w:val="none"/>
        </w:rPr>
        <w:t>货物性能、配置完全满足且优于采购文件要求，经评标委员会认可的技术指标、功能等有1～2项优于采购文件要求。</w:t>
      </w:r>
    </w:p>
    <w:p w14:paraId="4592441E">
      <w:pPr>
        <w:pStyle w:val="151"/>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四档（8分) ：</w:t>
      </w:r>
      <w:r>
        <w:rPr>
          <w:rFonts w:ascii="宋体" w:hAnsi="宋体"/>
          <w:color w:val="auto"/>
          <w:szCs w:val="21"/>
          <w:highlight w:val="none"/>
        </w:rPr>
        <w:t>货物性能、配置完全满足且优于采购文件要求，经评标委员会认可的技术指标、功能等有3项及以上优于采购文件要求</w:t>
      </w:r>
      <w:r>
        <w:rPr>
          <w:rFonts w:hint="eastAsia" w:ascii="宋体" w:hAnsi="宋体"/>
          <w:color w:val="auto"/>
          <w:szCs w:val="21"/>
          <w:highlight w:val="none"/>
        </w:rPr>
        <w:t>。</w:t>
      </w:r>
    </w:p>
    <w:p w14:paraId="174C07DF">
      <w:pPr>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售后服务方案分…………………………………………………………………满分20分</w:t>
      </w:r>
    </w:p>
    <w:p w14:paraId="5AD6A8BD">
      <w:pPr>
        <w:pStyle w:val="17"/>
        <w:spacing w:line="400" w:lineRule="exact"/>
        <w:ind w:firstLine="420" w:firstLineChars="200"/>
        <w:outlineLvl w:val="0"/>
        <w:rPr>
          <w:color w:val="auto"/>
          <w:highlight w:val="none"/>
        </w:rPr>
      </w:pPr>
      <w:r>
        <w:rPr>
          <w:color w:val="auto"/>
          <w:highlight w:val="none"/>
        </w:rPr>
        <w:t>评委根据各投标人所提供的售后服务方案 (包含但不限于：</w:t>
      </w:r>
      <w:r>
        <w:rPr>
          <w:rFonts w:ascii="Cambria Math" w:hAnsi="Cambria Math" w:cs="Cambria Math"/>
          <w:color w:val="auto"/>
          <w:highlight w:val="none"/>
        </w:rPr>
        <w:t>①</w:t>
      </w:r>
      <w:r>
        <w:rPr>
          <w:color w:val="auto"/>
          <w:highlight w:val="none"/>
        </w:rPr>
        <w:t>售后服务保障方案、</w:t>
      </w:r>
      <w:r>
        <w:rPr>
          <w:rFonts w:ascii="Cambria Math" w:hAnsi="Cambria Math" w:cs="Cambria Math"/>
          <w:color w:val="auto"/>
          <w:highlight w:val="none"/>
        </w:rPr>
        <w:t>②</w:t>
      </w:r>
      <w:r>
        <w:rPr>
          <w:color w:val="auto"/>
          <w:highlight w:val="none"/>
        </w:rPr>
        <w:t>免费保修期外维修方案、</w:t>
      </w:r>
      <w:r>
        <w:rPr>
          <w:rFonts w:ascii="Cambria Math" w:hAnsi="Cambria Math" w:cs="Cambria Math"/>
          <w:color w:val="auto"/>
          <w:highlight w:val="none"/>
        </w:rPr>
        <w:t>③</w:t>
      </w:r>
      <w:r>
        <w:rPr>
          <w:color w:val="auto"/>
          <w:highlight w:val="none"/>
        </w:rPr>
        <w:t>零配件供应方案、</w:t>
      </w:r>
      <w:r>
        <w:rPr>
          <w:rFonts w:ascii="Cambria Math" w:hAnsi="Cambria Math" w:cs="Cambria Math"/>
          <w:color w:val="auto"/>
          <w:highlight w:val="none"/>
        </w:rPr>
        <w:t>④</w:t>
      </w:r>
      <w:r>
        <w:rPr>
          <w:color w:val="auto"/>
          <w:highlight w:val="none"/>
        </w:rPr>
        <w:t>故障出现解决方案</w:t>
      </w:r>
      <w:r>
        <w:rPr>
          <w:rFonts w:hint="eastAsia"/>
          <w:color w:val="auto"/>
          <w:highlight w:val="none"/>
        </w:rPr>
        <w:t>、</w:t>
      </w:r>
      <w:r>
        <w:rPr>
          <w:rFonts w:hint="eastAsia" w:hAnsi="宋体" w:cs="宋体"/>
          <w:color w:val="auto"/>
          <w:highlight w:val="none"/>
        </w:rPr>
        <w:t>⑤</w:t>
      </w:r>
      <w:r>
        <w:rPr>
          <w:rFonts w:hint="eastAsia"/>
          <w:color w:val="auto"/>
          <w:highlight w:val="none"/>
        </w:rPr>
        <w:t>质保期</w:t>
      </w:r>
      <w:r>
        <w:rPr>
          <w:color w:val="auto"/>
          <w:highlight w:val="none"/>
        </w:rPr>
        <w:t>等) 进行比较后打分</w:t>
      </w:r>
      <w:r>
        <w:rPr>
          <w:rFonts w:hint="eastAsia"/>
          <w:color w:val="auto"/>
          <w:highlight w:val="none"/>
        </w:rPr>
        <w:t>，不提供不得分。</w:t>
      </w:r>
    </w:p>
    <w:p w14:paraId="7814335F">
      <w:pPr>
        <w:pStyle w:val="17"/>
        <w:spacing w:line="400" w:lineRule="exact"/>
        <w:ind w:firstLine="420" w:firstLineChars="200"/>
        <w:outlineLvl w:val="0"/>
        <w:rPr>
          <w:color w:val="auto"/>
          <w:highlight w:val="none"/>
        </w:rPr>
      </w:pPr>
      <w:r>
        <w:rPr>
          <w:color w:val="auto"/>
          <w:highlight w:val="none"/>
        </w:rPr>
        <w:t>一档 (</w:t>
      </w:r>
      <w:r>
        <w:rPr>
          <w:rFonts w:hint="eastAsia"/>
          <w:color w:val="auto"/>
          <w:highlight w:val="none"/>
        </w:rPr>
        <w:t>3</w:t>
      </w:r>
      <w:r>
        <w:rPr>
          <w:color w:val="auto"/>
          <w:highlight w:val="none"/>
        </w:rPr>
        <w:t>分) ：售后服务方案简单，</w:t>
      </w:r>
      <w:r>
        <w:rPr>
          <w:rFonts w:hint="eastAsia"/>
          <w:color w:val="auto"/>
          <w:highlight w:val="none"/>
        </w:rPr>
        <w:t>服务响应时间等基本满足采购文件要求</w:t>
      </w:r>
      <w:r>
        <w:rPr>
          <w:color w:val="auto"/>
          <w:highlight w:val="none"/>
        </w:rPr>
        <w:t>；</w:t>
      </w:r>
    </w:p>
    <w:p w14:paraId="3A03C61D">
      <w:pPr>
        <w:pStyle w:val="17"/>
        <w:spacing w:line="400" w:lineRule="exact"/>
        <w:ind w:firstLine="420" w:firstLineChars="200"/>
        <w:outlineLvl w:val="0"/>
        <w:rPr>
          <w:color w:val="auto"/>
          <w:highlight w:val="none"/>
        </w:rPr>
      </w:pPr>
      <w:r>
        <w:rPr>
          <w:color w:val="auto"/>
          <w:highlight w:val="none"/>
        </w:rPr>
        <w:t>二档 (</w:t>
      </w:r>
      <w:r>
        <w:rPr>
          <w:rFonts w:hint="eastAsia"/>
          <w:color w:val="auto"/>
          <w:highlight w:val="none"/>
        </w:rPr>
        <w:t>7</w:t>
      </w:r>
      <w:r>
        <w:rPr>
          <w:color w:val="auto"/>
          <w:highlight w:val="none"/>
        </w:rPr>
        <w:t>分) ：售后服务方案较为</w:t>
      </w:r>
      <w:r>
        <w:rPr>
          <w:rFonts w:hint="eastAsia"/>
          <w:color w:val="auto"/>
          <w:highlight w:val="none"/>
        </w:rPr>
        <w:t>具体</w:t>
      </w:r>
      <w:r>
        <w:rPr>
          <w:color w:val="auto"/>
          <w:highlight w:val="none"/>
        </w:rPr>
        <w:t>，方案满足采购文件要求</w:t>
      </w:r>
      <w:r>
        <w:rPr>
          <w:rFonts w:hint="eastAsia"/>
          <w:color w:val="auto"/>
          <w:highlight w:val="none"/>
        </w:rPr>
        <w:t>，</w:t>
      </w:r>
      <w:r>
        <w:rPr>
          <w:color w:val="auto"/>
          <w:highlight w:val="none"/>
        </w:rPr>
        <w:t xml:space="preserve"> 对售后工作有简单的分析，具有可行性。</w:t>
      </w:r>
    </w:p>
    <w:p w14:paraId="3DD41117">
      <w:pPr>
        <w:pStyle w:val="17"/>
        <w:spacing w:line="400" w:lineRule="exact"/>
        <w:ind w:firstLine="420" w:firstLineChars="200"/>
        <w:outlineLvl w:val="0"/>
        <w:rPr>
          <w:color w:val="auto"/>
          <w:highlight w:val="none"/>
        </w:rPr>
      </w:pPr>
      <w:r>
        <w:rPr>
          <w:color w:val="auto"/>
          <w:highlight w:val="none"/>
        </w:rPr>
        <w:t>三档 (</w:t>
      </w:r>
      <w:r>
        <w:rPr>
          <w:rFonts w:hint="eastAsia"/>
          <w:color w:val="auto"/>
          <w:highlight w:val="none"/>
        </w:rPr>
        <w:t>13</w:t>
      </w:r>
      <w:r>
        <w:rPr>
          <w:color w:val="auto"/>
          <w:highlight w:val="none"/>
        </w:rPr>
        <w:t>分) ：售后服务方案</w:t>
      </w:r>
      <w:r>
        <w:rPr>
          <w:rFonts w:hint="eastAsia"/>
          <w:color w:val="auto"/>
          <w:highlight w:val="none"/>
        </w:rPr>
        <w:t>详细</w:t>
      </w:r>
      <w:r>
        <w:rPr>
          <w:color w:val="auto"/>
          <w:highlight w:val="none"/>
        </w:rPr>
        <w:t>，详细说明了售后各个阶段工作、人员安排，阐述清楚售后保障体系，方案表述清晰、完整、严谨、合理。</w:t>
      </w:r>
    </w:p>
    <w:p w14:paraId="0BA06EEF">
      <w:pPr>
        <w:pStyle w:val="17"/>
        <w:spacing w:line="400" w:lineRule="exact"/>
        <w:ind w:firstLine="420" w:firstLineChars="200"/>
        <w:outlineLvl w:val="0"/>
        <w:rPr>
          <w:rFonts w:hint="eastAsia" w:hAnsi="宋体" w:cs="宋体"/>
          <w:b/>
          <w:color w:val="auto"/>
          <w:szCs w:val="21"/>
          <w:highlight w:val="none"/>
        </w:rPr>
      </w:pPr>
      <w:r>
        <w:rPr>
          <w:color w:val="auto"/>
          <w:highlight w:val="none"/>
        </w:rPr>
        <w:t>四档 (</w:t>
      </w:r>
      <w:r>
        <w:rPr>
          <w:rFonts w:hint="eastAsia"/>
          <w:color w:val="auto"/>
          <w:highlight w:val="none"/>
        </w:rPr>
        <w:t>20</w:t>
      </w:r>
      <w:r>
        <w:rPr>
          <w:color w:val="auto"/>
          <w:highlight w:val="none"/>
        </w:rPr>
        <w:t>分) ：售后服务方案</w:t>
      </w:r>
      <w:r>
        <w:rPr>
          <w:rFonts w:hint="eastAsia"/>
          <w:color w:val="auto"/>
          <w:highlight w:val="none"/>
        </w:rPr>
        <w:t>完善周全</w:t>
      </w:r>
      <w:r>
        <w:rPr>
          <w:color w:val="auto"/>
          <w:highlight w:val="none"/>
        </w:rPr>
        <w:t>，详细说明了售后各个阶段工作、人员 安排，阐述清楚售后保障体系，</w:t>
      </w:r>
      <w:r>
        <w:rPr>
          <w:rFonts w:hint="eastAsia"/>
          <w:color w:val="auto"/>
          <w:highlight w:val="none"/>
        </w:rPr>
        <w:t>保障响应措施有力，服务经验丰富，接到故障通知后响应快捷、迅速，售后服务团队、培训方案、服务承诺、质保期限、服务措施、服务响应时间、故障排除时间和上门响应时间、应急处理方案详细合理、有效、切实可行，能充分为采购人考虑。</w:t>
      </w:r>
    </w:p>
    <w:p w14:paraId="24CC768E">
      <w:pPr>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项目实施方案分…………………………………………………………………满分20分</w:t>
      </w:r>
    </w:p>
    <w:p w14:paraId="52ECF41C">
      <w:pPr>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由评委在打分前根据招标文件要求，对比各投标人提供的项目实施方案(如工作内容、时间进度表、配送方案、货物质量保证、项目实施人员、 运输能力等保障条件和管理能力项目验收等) 内容的详尽性、科学性、合理性进行评审</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未提供不得分</w:t>
      </w:r>
      <w:r>
        <w:rPr>
          <w:rFonts w:hint="eastAsia" w:ascii="宋体" w:hAnsi="宋体" w:cs="宋体"/>
          <w:bCs/>
          <w:color w:val="auto"/>
          <w:szCs w:val="21"/>
          <w:highlight w:val="none"/>
        </w:rPr>
        <w:t>。</w:t>
      </w:r>
      <w:bookmarkStart w:id="392" w:name="_GoBack"/>
      <w:bookmarkEnd w:id="392"/>
    </w:p>
    <w:p w14:paraId="675DBDCC">
      <w:pPr>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一档 (3分) ：实施方案仅基本满足招标要求，方案较为简单，可操作性不强，缺乏针对性；</w:t>
      </w:r>
    </w:p>
    <w:p w14:paraId="12471CF8">
      <w:pPr>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二档 (7分) :实施方案满足招标文件需求，方案可行,有一定的操作性和针对性，综合评定为一般；</w:t>
      </w:r>
    </w:p>
    <w:p w14:paraId="4D2F121C">
      <w:pPr>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三档 (13分) : 实施方案完全满足招标文件需求,方案计划合理、配送及时高效、产品 配套齐全、针对性强、保障措施运输措施、配套服务、物资存储措施等方面比较完善，综合评定为良好。</w:t>
      </w:r>
    </w:p>
    <w:p w14:paraId="21D6A8F8">
      <w:pPr>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四档 (20分) ：方案完全满足或优于招标文件需求,计划安排科学合理，供货能力充足， 产品配送及时高效，质量保障措施、运输保障措施、应急保障措施、配套服务、物资存储措 施等完善、可行，综合评定为优秀。</w:t>
      </w:r>
    </w:p>
    <w:p w14:paraId="431D020B">
      <w:pPr>
        <w:spacing w:line="480" w:lineRule="exact"/>
        <w:ind w:firstLine="420"/>
        <w:rPr>
          <w:rFonts w:hint="eastAsia" w:ascii="宋体" w:hAnsi="宋体" w:cs="宋体"/>
          <w:bCs/>
          <w:color w:val="auto"/>
          <w:szCs w:val="21"/>
          <w:highlight w:val="none"/>
        </w:rPr>
      </w:pPr>
      <w:r>
        <w:rPr>
          <w:rFonts w:hint="eastAsia" w:ascii="宋体" w:hAnsi="宋体" w:cs="宋体"/>
          <w:b/>
          <w:color w:val="auto"/>
          <w:szCs w:val="21"/>
          <w:highlight w:val="none"/>
        </w:rPr>
        <w:t>5</w:t>
      </w:r>
      <w:r>
        <w:rPr>
          <w:rFonts w:hint="eastAsia" w:ascii="宋体" w:hAnsi="宋体" w:cs="宋体"/>
          <w:b/>
          <w:color w:val="auto"/>
          <w:szCs w:val="21"/>
          <w:highlight w:val="none"/>
          <w:lang w:val="en-US" w:eastAsia="zh-CN"/>
        </w:rPr>
        <w:t>.</w:t>
      </w:r>
      <w:r>
        <w:rPr>
          <w:rFonts w:hint="eastAsia" w:ascii="宋体" w:hAnsi="宋体" w:cs="宋体"/>
          <w:b/>
          <w:bCs/>
          <w:color w:val="auto"/>
          <w:szCs w:val="21"/>
          <w:highlight w:val="none"/>
        </w:rPr>
        <w:t>慰问信设计方案分</w:t>
      </w:r>
      <w:r>
        <w:rPr>
          <w:rFonts w:hint="eastAsia" w:ascii="宋体" w:hAnsi="宋体" w:cs="宋体"/>
          <w:b/>
          <w:color w:val="auto"/>
          <w:szCs w:val="21"/>
          <w:highlight w:val="none"/>
        </w:rPr>
        <w:t>……………………………………………………………满分15分</w:t>
      </w:r>
    </w:p>
    <w:p w14:paraId="4AE43291">
      <w:pPr>
        <w:widowControl/>
        <w:spacing w:line="44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评标委员会根据各供应商</w:t>
      </w:r>
      <w:r>
        <w:rPr>
          <w:rFonts w:hint="eastAsia" w:ascii="宋体" w:hAnsi="宋体" w:cs="宋体"/>
          <w:bCs/>
          <w:color w:val="auto"/>
          <w:szCs w:val="21"/>
          <w:highlight w:val="none"/>
        </w:rPr>
        <w:t>投标文件中慰问信设计方案内容的完整性、</w:t>
      </w:r>
      <w:r>
        <w:rPr>
          <w:rFonts w:hint="eastAsia" w:ascii="宋体" w:hAnsi="宋体" w:cs="宋体"/>
          <w:color w:val="auto"/>
          <w:szCs w:val="21"/>
          <w:highlight w:val="none"/>
        </w:rPr>
        <w:t>慰问信效果图、设计方案和文字说明的科学合理性、</w:t>
      </w:r>
      <w:r>
        <w:rPr>
          <w:rFonts w:hint="eastAsia" w:ascii="宋体" w:hAnsi="宋体" w:cs="宋体"/>
          <w:bCs/>
          <w:color w:val="auto"/>
          <w:szCs w:val="21"/>
          <w:highlight w:val="none"/>
        </w:rPr>
        <w:t>可行性，</w:t>
      </w:r>
      <w:r>
        <w:rPr>
          <w:rFonts w:hint="eastAsia" w:ascii="宋体" w:hAnsi="宋体" w:cs="宋体"/>
          <w:color w:val="auto"/>
          <w:szCs w:val="21"/>
          <w:highlight w:val="none"/>
        </w:rPr>
        <w:t>切合实际要求等方面进行独立评审并独立打分。</w:t>
      </w:r>
    </w:p>
    <w:p w14:paraId="2F74C4F6">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一档（0分）：</w:t>
      </w:r>
      <w:r>
        <w:rPr>
          <w:rFonts w:hint="eastAsia" w:ascii="宋体" w:hAnsi="宋体" w:cs="宋体"/>
          <w:color w:val="auto"/>
          <w:highlight w:val="none"/>
        </w:rPr>
        <w:t>未提供</w:t>
      </w:r>
      <w:r>
        <w:rPr>
          <w:rFonts w:hint="eastAsia" w:ascii="宋体" w:hAnsi="宋体" w:cs="宋体"/>
          <w:bCs/>
          <w:color w:val="auto"/>
          <w:szCs w:val="21"/>
          <w:highlight w:val="none"/>
        </w:rPr>
        <w:t>慰问信设计方案</w:t>
      </w:r>
      <w:r>
        <w:rPr>
          <w:rFonts w:hint="eastAsia" w:ascii="宋体" w:hAnsi="宋体" w:cs="宋体"/>
          <w:color w:val="auto"/>
          <w:highlight w:val="none"/>
        </w:rPr>
        <w:t>或方案被评定为差的，得0分。</w:t>
      </w:r>
    </w:p>
    <w:p w14:paraId="2DB4D481">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二档（5分）：设计方案简单，基本理解项目内容及要求，文字说明简单，图、文偏离主题，效果图一般。</w:t>
      </w:r>
    </w:p>
    <w:p w14:paraId="0D49291D">
      <w:pPr>
        <w:pStyle w:val="133"/>
        <w:spacing w:line="440" w:lineRule="exact"/>
        <w:rPr>
          <w:rFonts w:hint="eastAsia"/>
          <w:color w:val="auto"/>
          <w:szCs w:val="21"/>
          <w:highlight w:val="none"/>
        </w:rPr>
      </w:pPr>
      <w:r>
        <w:rPr>
          <w:rFonts w:hint="eastAsia"/>
          <w:color w:val="auto"/>
          <w:szCs w:val="21"/>
          <w:highlight w:val="none"/>
        </w:rPr>
        <w:t>三档（10分）：设计方案清晰明确，能较好理解项目内容及要求，方案文字比较完整，主题明确，切合实际，有针对性，效果图较整洁、美观。</w:t>
      </w:r>
    </w:p>
    <w:p w14:paraId="02DBAEF4">
      <w:pPr>
        <w:tabs>
          <w:tab w:val="left" w:pos="567"/>
        </w:tabs>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四档（15分）</w:t>
      </w:r>
      <w:r>
        <w:rPr>
          <w:rFonts w:hint="eastAsia" w:ascii="宋体" w:hAnsi="宋体" w:cs="宋体"/>
          <w:bCs/>
          <w:color w:val="auto"/>
          <w:szCs w:val="21"/>
          <w:highlight w:val="none"/>
        </w:rPr>
        <w:t>：设计方案详细完整，能更好理解项目内容及要求，图文思路清晰、主题突出，切合实际情况，针对性强，效果图整洁、美观、大方且设计感强。</w:t>
      </w:r>
    </w:p>
    <w:p w14:paraId="03D34E33">
      <w:pPr>
        <w:tabs>
          <w:tab w:val="left" w:pos="567"/>
        </w:tabs>
        <w:spacing w:line="440" w:lineRule="exact"/>
        <w:ind w:firstLine="422" w:firstLineChars="200"/>
        <w:rPr>
          <w:rFonts w:hint="eastAsia" w:ascii="宋体" w:hAnsi="宋体" w:cs="宋体"/>
          <w:b/>
          <w:color w:val="auto"/>
          <w:szCs w:val="21"/>
          <w:highlight w:val="none"/>
        </w:rPr>
      </w:pPr>
      <w:r>
        <w:rPr>
          <w:rFonts w:hint="eastAsia" w:ascii="宋体" w:hAnsi="宋体" w:cs="宋体"/>
          <w:b/>
          <w:bCs w:val="0"/>
          <w:color w:val="auto"/>
          <w:szCs w:val="21"/>
          <w:highlight w:val="none"/>
          <w:lang w:val="en-US" w:eastAsia="zh-CN"/>
        </w:rPr>
        <w:t>6.</w:t>
      </w:r>
      <w:r>
        <w:rPr>
          <w:rFonts w:hint="eastAsia" w:ascii="宋体" w:hAnsi="宋体" w:cs="宋体"/>
          <w:b/>
          <w:color w:val="auto"/>
          <w:szCs w:val="21"/>
          <w:highlight w:val="none"/>
        </w:rPr>
        <w:t>信誉分 ………………………………</w:t>
      </w:r>
      <w:r>
        <w:rPr>
          <w:rFonts w:ascii="宋体" w:hAnsi="宋体" w:cs="宋体"/>
          <w:b/>
          <w:color w:val="auto"/>
          <w:szCs w:val="21"/>
          <w:highlight w:val="none"/>
        </w:rPr>
        <w:t>………</w:t>
      </w:r>
      <w:r>
        <w:rPr>
          <w:rFonts w:hint="eastAsia" w:ascii="宋体" w:hAnsi="宋体" w:cs="宋体"/>
          <w:b/>
          <w:color w:val="auto"/>
          <w:szCs w:val="21"/>
          <w:highlight w:val="none"/>
        </w:rPr>
        <w:t>…………………………………满分4分</w:t>
      </w:r>
    </w:p>
    <w:p w14:paraId="5C6BBF29">
      <w:pPr>
        <w:pStyle w:val="17"/>
        <w:numPr>
          <w:ilvl w:val="0"/>
          <w:numId w:val="5"/>
        </w:numPr>
        <w:spacing w:line="440" w:lineRule="exact"/>
        <w:ind w:firstLine="420" w:firstLineChars="200"/>
        <w:jc w:val="left"/>
        <w:rPr>
          <w:rFonts w:hint="eastAsia" w:hAnsi="宋体" w:cs="宋体"/>
          <w:bCs/>
          <w:color w:val="auto"/>
          <w:szCs w:val="21"/>
          <w:highlight w:val="none"/>
        </w:rPr>
      </w:pPr>
      <w:r>
        <w:rPr>
          <w:rFonts w:hint="eastAsia" w:hAnsi="宋体" w:cs="宋体"/>
          <w:color w:val="auto"/>
          <w:szCs w:val="21"/>
          <w:highlight w:val="none"/>
        </w:rPr>
        <w:t>供应商或生产厂家获得：</w:t>
      </w:r>
      <w:r>
        <w:rPr>
          <w:rFonts w:hint="eastAsia" w:hAnsi="宋体" w:cs="宋体"/>
          <w:bCs/>
          <w:color w:val="auto"/>
          <w:szCs w:val="21"/>
          <w:highlight w:val="none"/>
        </w:rPr>
        <w:t>ISO9001：2015质量管理体系认证、</w:t>
      </w:r>
      <w:r>
        <w:rPr>
          <w:rFonts w:hint="eastAsia" w:hAnsi="宋体" w:cs="宋体"/>
          <w:color w:val="auto"/>
          <w:szCs w:val="21"/>
          <w:highlight w:val="none"/>
        </w:rPr>
        <w:t>ISO14001：2015环境管理体系认证</w:t>
      </w:r>
      <w:r>
        <w:rPr>
          <w:rFonts w:hint="eastAsia" w:hAnsi="宋体" w:cs="宋体"/>
          <w:bCs/>
          <w:color w:val="auto"/>
          <w:szCs w:val="21"/>
          <w:highlight w:val="none"/>
        </w:rPr>
        <w:t>、ISO45001：2018职业健康安全管理体系认证、守合同重信用公示企业证书，每提供一份得1分；响应文件中须提供以上有效证书复印件并加盖供应商公章，</w:t>
      </w:r>
      <w:r>
        <w:rPr>
          <w:rFonts w:hint="eastAsia" w:hAnsi="宋体" w:cs="宋体"/>
          <w:color w:val="auto"/>
          <w:szCs w:val="21"/>
          <w:highlight w:val="none"/>
        </w:rPr>
        <w:t>否则不予计分</w:t>
      </w:r>
      <w:r>
        <w:rPr>
          <w:rFonts w:hint="eastAsia" w:hAnsi="宋体" w:cs="宋体"/>
          <w:bCs/>
          <w:color w:val="auto"/>
          <w:szCs w:val="21"/>
          <w:highlight w:val="none"/>
        </w:rPr>
        <w:t>。</w:t>
      </w:r>
      <w:r>
        <w:rPr>
          <w:rFonts w:hint="eastAsia" w:hAnsi="宋体" w:cs="宋体"/>
          <w:b/>
          <w:bCs/>
          <w:color w:val="auto"/>
          <w:szCs w:val="21"/>
          <w:highlight w:val="none"/>
        </w:rPr>
        <w:t xml:space="preserve">（满分4分） </w:t>
      </w:r>
    </w:p>
    <w:p w14:paraId="2C91706C">
      <w:pPr>
        <w:spacing w:line="48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、政策功能分(节能、环保产品等) ……………………………………………满分3分</w:t>
      </w:r>
    </w:p>
    <w:p w14:paraId="6292A19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（1）应优先采购财政部现行《节能产品政府采购品目清单》目录内（政府强制采购节能产品</w:t>
      </w:r>
      <w:r>
        <w:rPr>
          <w:rFonts w:hint="eastAsia" w:ascii="宋体" w:hAnsi="宋体" w:cs="宋体"/>
          <w:bCs/>
          <w:color w:val="auto"/>
          <w:szCs w:val="21"/>
          <w:highlight w:val="none"/>
        </w:rPr>
        <w:t>除外</w:t>
      </w:r>
      <w:r>
        <w:rPr>
          <w:rFonts w:hint="eastAsia" w:ascii="宋体" w:hAnsi="宋体" w:cs="宋体"/>
          <w:color w:val="auto"/>
          <w:szCs w:val="21"/>
          <w:highlight w:val="none"/>
        </w:rPr>
        <w:t>）的产品（提供有效证明复印件），提供得1.5分，不提供得0分。（满分1.5分）</w:t>
      </w:r>
    </w:p>
    <w:p w14:paraId="2E4F280E">
      <w:pPr>
        <w:pStyle w:val="17"/>
        <w:spacing w:line="440" w:lineRule="exact"/>
        <w:ind w:firstLine="420" w:firstLineChars="200"/>
        <w:rPr>
          <w:rFonts w:hint="eastAsia" w:hAnsi="宋体" w:cs="宋体"/>
          <w:b/>
          <w:color w:val="auto"/>
          <w:szCs w:val="21"/>
          <w:highlight w:val="none"/>
        </w:rPr>
      </w:pPr>
      <w:r>
        <w:rPr>
          <w:rFonts w:hint="eastAsia" w:hAnsi="宋体" w:cs="宋体"/>
          <w:color w:val="auto"/>
          <w:szCs w:val="21"/>
          <w:highlight w:val="none"/>
        </w:rPr>
        <w:t>（2）应优先采购财政部现行《环境标志产品政府采购品目清单》目录内的产品（提供有效证明复印件），提供得1.5分，不提供得0分。（满分1.5分）</w:t>
      </w:r>
    </w:p>
    <w:p w14:paraId="2DC06C04">
      <w:pPr>
        <w:rPr>
          <w:color w:val="auto"/>
          <w:highlight w:val="none"/>
        </w:rPr>
      </w:pPr>
      <w:r>
        <w:rPr>
          <w:rFonts w:hint="eastAsia" w:hAnsi="宋体" w:cs="宋体"/>
          <w:b/>
          <w:bCs/>
          <w:color w:val="auto"/>
          <w:szCs w:val="21"/>
          <w:highlight w:val="none"/>
        </w:rPr>
        <w:t>8、综合得分＝1+2+3+4+5+6</w:t>
      </w:r>
      <w:r>
        <w:rPr>
          <w:rFonts w:hAnsi="宋体" w:cs="宋体"/>
          <w:b/>
          <w:bCs/>
          <w:color w:val="auto"/>
          <w:szCs w:val="21"/>
          <w:highlight w:val="none"/>
        </w:rPr>
        <w:t>+7</w:t>
      </w:r>
    </w:p>
    <w:p w14:paraId="563A27F3">
      <w:pPr>
        <w:pStyle w:val="17"/>
        <w:numPr>
          <w:ilvl w:val="0"/>
          <w:numId w:val="0"/>
        </w:numPr>
        <w:spacing w:line="360" w:lineRule="auto"/>
        <w:ind w:left="420" w:leftChars="0"/>
        <w:rPr>
          <w:rFonts w:hint="eastAsia" w:hAnsi="宋体" w:cs="宋体"/>
          <w:b/>
          <w:color w:val="auto"/>
          <w:kern w:val="0"/>
          <w:szCs w:val="21"/>
          <w:highlight w:val="none"/>
        </w:rPr>
      </w:pPr>
    </w:p>
    <w:p w14:paraId="72544360">
      <w:pPr>
        <w:pStyle w:val="17"/>
        <w:numPr>
          <w:ilvl w:val="0"/>
          <w:numId w:val="0"/>
        </w:numPr>
        <w:spacing w:line="360" w:lineRule="auto"/>
        <w:ind w:left="420" w:leftChars="0"/>
        <w:rPr>
          <w:rFonts w:hint="eastAsia" w:hAnsi="宋体" w:cs="宋体"/>
          <w:b/>
          <w:color w:val="auto"/>
          <w:kern w:val="0"/>
          <w:szCs w:val="21"/>
          <w:highlight w:val="none"/>
        </w:rPr>
      </w:pPr>
      <w:r>
        <w:rPr>
          <w:rFonts w:hint="eastAsia" w:hAnsi="宋体" w:cs="宋体"/>
          <w:b/>
          <w:color w:val="auto"/>
          <w:kern w:val="0"/>
          <w:szCs w:val="21"/>
          <w:highlight w:val="none"/>
        </w:rPr>
        <w:t>三、推荐及确定成交候选供应商原则</w:t>
      </w:r>
    </w:p>
    <w:p w14:paraId="5B97C8BB">
      <w:pPr>
        <w:pStyle w:val="17"/>
        <w:tabs>
          <w:tab w:val="left" w:pos="4214"/>
        </w:tabs>
        <w:spacing w:line="480" w:lineRule="exact"/>
        <w:ind w:firstLine="420" w:firstLineChars="200"/>
        <w:rPr>
          <w:rFonts w:hint="eastAsia" w:hAnsi="宋体" w:cs="宋体"/>
          <w:color w:val="auto"/>
          <w:szCs w:val="21"/>
          <w:highlight w:val="none"/>
        </w:rPr>
      </w:pPr>
      <w:r>
        <w:rPr>
          <w:rFonts w:hint="eastAsia" w:hAnsi="宋体" w:cs="宋体"/>
          <w:color w:val="auto"/>
          <w:kern w:val="0"/>
          <w:szCs w:val="21"/>
          <w:highlight w:val="none"/>
        </w:rPr>
        <w:t>（1）</w:t>
      </w:r>
      <w:r>
        <w:rPr>
          <w:rFonts w:hint="eastAsia" w:hAnsi="宋体" w:cs="宋体"/>
          <w:color w:val="auto"/>
          <w:szCs w:val="21"/>
          <w:highlight w:val="none"/>
          <w:lang w:val="en-US" w:eastAsia="zh-CN"/>
        </w:rPr>
        <w:t>评审</w:t>
      </w:r>
      <w:r>
        <w:rPr>
          <w:rFonts w:hint="eastAsia" w:hAnsi="宋体" w:cs="宋体"/>
          <w:color w:val="auto"/>
          <w:szCs w:val="21"/>
          <w:highlight w:val="none"/>
        </w:rPr>
        <w:t>小组应当根据综合评分情况，按照评审得分由高到低顺序推荐3名以上（含3名）</w:t>
      </w:r>
      <w:r>
        <w:rPr>
          <w:rFonts w:hint="eastAsia" w:hAnsi="宋体" w:cs="宋体"/>
          <w:color w:val="auto"/>
          <w:szCs w:val="21"/>
          <w:highlight w:val="none"/>
          <w:lang w:val="en-US" w:eastAsia="zh-CN"/>
        </w:rPr>
        <w:t>中标</w:t>
      </w:r>
      <w:r>
        <w:rPr>
          <w:rFonts w:hint="eastAsia" w:hAnsi="宋体" w:cs="宋体"/>
          <w:color w:val="auto"/>
          <w:szCs w:val="21"/>
          <w:highlight w:val="none"/>
        </w:rPr>
        <w:t>候选供应商，并编写评审报告；如采购项目为政府购买服务项目（含政府和社会资本合作项目），</w:t>
      </w:r>
      <w:r>
        <w:rPr>
          <w:rFonts w:hint="eastAsia" w:hAnsi="宋体" w:cs="宋体"/>
          <w:color w:val="auto"/>
          <w:szCs w:val="21"/>
          <w:highlight w:val="none"/>
          <w:lang w:val="en-US" w:eastAsia="zh-CN"/>
        </w:rPr>
        <w:t>评审</w:t>
      </w:r>
      <w:r>
        <w:rPr>
          <w:rFonts w:hint="eastAsia" w:hAnsi="宋体" w:cs="宋体"/>
          <w:color w:val="auto"/>
          <w:szCs w:val="21"/>
          <w:highlight w:val="none"/>
        </w:rPr>
        <w:t>小组应当根据综合评分情况，按照评审得分由高到低顺序推荐2名以上（含2名）成交候选供应商，并编写评审报告。</w:t>
      </w:r>
      <w:r>
        <w:rPr>
          <w:rFonts w:hint="eastAsia" w:hAnsi="宋体" w:cs="宋体"/>
          <w:color w:val="auto"/>
          <w:szCs w:val="21"/>
          <w:highlight w:val="none"/>
          <w:lang w:val="en-US" w:eastAsia="zh-CN"/>
        </w:rPr>
        <w:t>评审</w:t>
      </w:r>
      <w:r>
        <w:rPr>
          <w:rFonts w:hint="eastAsia" w:hAnsi="宋体" w:cs="宋体"/>
          <w:color w:val="auto"/>
          <w:szCs w:val="21"/>
          <w:highlight w:val="none"/>
        </w:rPr>
        <w:t>小组根据综合得分由高到低排列次序，若得分相同时，以评审报价由低到高顺序排列；若得分相同且评审报价相同的，以最后报价由低到高顺序排列；若仍相同的，按项目</w:t>
      </w:r>
      <w:r>
        <w:rPr>
          <w:rFonts w:hint="eastAsia" w:hAnsi="宋体" w:cs="宋体"/>
          <w:color w:val="auto"/>
          <w:szCs w:val="21"/>
          <w:highlight w:val="none"/>
          <w:lang w:val="en-US" w:eastAsia="zh-CN"/>
        </w:rPr>
        <w:t>售后服务</w:t>
      </w:r>
      <w:r>
        <w:rPr>
          <w:rFonts w:hint="eastAsia" w:hAnsi="宋体" w:cs="宋体"/>
          <w:color w:val="auto"/>
          <w:szCs w:val="21"/>
          <w:highlight w:val="none"/>
        </w:rPr>
        <w:t>分由高到低顺序排列并推荐</w:t>
      </w:r>
      <w:r>
        <w:rPr>
          <w:rFonts w:hint="eastAsia" w:hAnsi="宋体" w:cs="宋体"/>
          <w:color w:val="auto"/>
          <w:szCs w:val="21"/>
          <w:highlight w:val="none"/>
          <w:lang w:val="en-US" w:eastAsia="zh-CN"/>
        </w:rPr>
        <w:t>中标</w:t>
      </w:r>
      <w:r>
        <w:rPr>
          <w:rFonts w:hint="eastAsia" w:hAnsi="宋体" w:cs="宋体"/>
          <w:color w:val="auto"/>
          <w:szCs w:val="21"/>
          <w:highlight w:val="none"/>
        </w:rPr>
        <w:t>候选供应商。若仍相同时，则由</w:t>
      </w:r>
      <w:r>
        <w:rPr>
          <w:rFonts w:hint="eastAsia" w:hAnsi="宋体" w:cs="宋体"/>
          <w:color w:val="auto"/>
          <w:szCs w:val="21"/>
          <w:highlight w:val="none"/>
          <w:lang w:val="en-US" w:eastAsia="zh-CN"/>
        </w:rPr>
        <w:t>评审</w:t>
      </w:r>
      <w:r>
        <w:rPr>
          <w:rFonts w:hint="eastAsia" w:hAnsi="宋体" w:cs="宋体"/>
          <w:color w:val="auto"/>
          <w:szCs w:val="21"/>
          <w:highlight w:val="none"/>
        </w:rPr>
        <w:t>小组集体讨论确定。</w:t>
      </w:r>
    </w:p>
    <w:p w14:paraId="0B6F9535">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（2）采购单位应当确定</w:t>
      </w:r>
      <w:r>
        <w:rPr>
          <w:rFonts w:hint="eastAsia" w:hAnsi="宋体" w:cs="宋体"/>
          <w:color w:val="auto"/>
          <w:kern w:val="0"/>
          <w:szCs w:val="21"/>
          <w:highlight w:val="none"/>
          <w:lang w:val="en-US" w:eastAsia="zh-CN"/>
        </w:rPr>
        <w:t>评审</w:t>
      </w:r>
      <w:r>
        <w:rPr>
          <w:rFonts w:hint="eastAsia" w:hAnsi="宋体" w:cs="宋体"/>
          <w:color w:val="auto"/>
          <w:kern w:val="0"/>
          <w:szCs w:val="21"/>
          <w:highlight w:val="none"/>
        </w:rPr>
        <w:t>小组推荐排名第一的成交候选供应商为</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供应商。</w:t>
      </w:r>
    </w:p>
    <w:p w14:paraId="7C639273">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（3）排名第一的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候选供应商放弃成交、因不可抗力提出不能履行合同，或者</w:t>
      </w:r>
      <w:r>
        <w:rPr>
          <w:rFonts w:hint="eastAsia" w:hAnsi="宋体" w:cs="宋体"/>
          <w:color w:val="auto"/>
          <w:kern w:val="0"/>
          <w:szCs w:val="21"/>
          <w:highlight w:val="none"/>
          <w:lang w:val="en-US" w:eastAsia="zh-CN"/>
        </w:rPr>
        <w:t>招标</w:t>
      </w:r>
      <w:r>
        <w:rPr>
          <w:rFonts w:hint="eastAsia" w:hAnsi="宋体" w:cs="宋体"/>
          <w:color w:val="auto"/>
          <w:kern w:val="0"/>
          <w:szCs w:val="21"/>
          <w:highlight w:val="none"/>
        </w:rPr>
        <w:t>文件规定应当提交履约保证金而在规定的期限内未能提交的，或因失信行为被取消</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候选人资格的，采购单位可以确定排名第二的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候选供应商为成交供应商。</w:t>
      </w:r>
    </w:p>
    <w:p w14:paraId="632032B1">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（4）排名第二的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候选供应商因前款规定的同样原因不能签订合同的，采购单位可以确定排名第三的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候选人为</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供应商。以此类推。</w:t>
      </w:r>
    </w:p>
    <w:p w14:paraId="3B0E68F0">
      <w:pPr>
        <w:spacing w:line="312" w:lineRule="auto"/>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四、特别说明</w:t>
      </w:r>
    </w:p>
    <w:p w14:paraId="1147C211">
      <w:pPr>
        <w:spacing w:line="312" w:lineRule="auto"/>
        <w:ind w:firstLine="422" w:firstLineChars="200"/>
        <w:rPr>
          <w:rFonts w:ascii="宋体" w:hAnsi="宋体" w:cs="宋体"/>
          <w:color w:val="auto"/>
          <w:kern w:val="0"/>
          <w:highlight w:val="none"/>
        </w:rPr>
      </w:pPr>
      <w:r>
        <w:rPr>
          <w:rFonts w:hint="eastAsia" w:ascii="宋体" w:hAnsi="宋体" w:cs="宋体"/>
          <w:b/>
          <w:bCs/>
          <w:color w:val="auto"/>
          <w:szCs w:val="21"/>
          <w:highlight w:val="none"/>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D91797">
      <w:pPr>
        <w:widowControl/>
        <w:jc w:val="left"/>
        <w:rPr>
          <w:b/>
          <w:bCs/>
          <w:color w:val="auto"/>
          <w:highlight w:val="none"/>
        </w:rPr>
      </w:pPr>
    </w:p>
    <w:p w14:paraId="3EF7E385">
      <w:pPr>
        <w:widowControl/>
        <w:jc w:val="left"/>
        <w:rPr>
          <w:rFonts w:ascii="宋体" w:hAnsi="Courier New"/>
          <w:b/>
          <w:bCs/>
          <w:color w:val="auto"/>
          <w:szCs w:val="20"/>
          <w:highlight w:val="none"/>
        </w:rPr>
      </w:pPr>
      <w:r>
        <w:rPr>
          <w:b/>
          <w:bCs/>
          <w:color w:val="auto"/>
          <w:highlight w:val="none"/>
        </w:rPr>
        <w:br w:type="page"/>
      </w:r>
    </w:p>
    <w:p w14:paraId="03F86638">
      <w:pPr>
        <w:pStyle w:val="17"/>
        <w:adjustRightInd w:val="0"/>
        <w:spacing w:line="390" w:lineRule="exact"/>
        <w:contextualSpacing/>
        <w:rPr>
          <w:rFonts w:hAnsi="宋体" w:cs="宋体"/>
          <w:b/>
          <w:bCs/>
          <w:color w:val="auto"/>
          <w:highlight w:val="none"/>
        </w:rPr>
      </w:pPr>
      <w:r>
        <w:rPr>
          <w:rFonts w:hint="eastAsia"/>
          <w:b/>
          <w:bCs/>
          <w:color w:val="auto"/>
          <w:highlight w:val="none"/>
        </w:rPr>
        <w:t>附表</w:t>
      </w:r>
    </w:p>
    <w:p w14:paraId="2433D45F">
      <w:pPr>
        <w:widowControl/>
        <w:spacing w:beforeLines="50" w:afterLines="50" w:line="400" w:lineRule="exact"/>
        <w:jc w:val="center"/>
        <w:rPr>
          <w:rFonts w:ascii="宋体" w:hAnsi="宋体" w:cs="宋体"/>
          <w:b/>
          <w:bCs/>
          <w:color w:val="auto"/>
          <w:kern w:val="0"/>
          <w:sz w:val="30"/>
          <w:szCs w:val="30"/>
          <w:highlight w:val="none"/>
        </w:rPr>
      </w:pPr>
      <w:bookmarkStart w:id="274" w:name="_Toc28361_WPSOffice_Level2"/>
      <w:r>
        <w:rPr>
          <w:rFonts w:hint="eastAsia" w:ascii="宋体" w:hAnsi="宋体" w:cs="宋体"/>
          <w:b/>
          <w:bCs/>
          <w:color w:val="auto"/>
          <w:kern w:val="0"/>
          <w:sz w:val="30"/>
          <w:szCs w:val="30"/>
          <w:highlight w:val="none"/>
        </w:rPr>
        <w:t>统计上大中小微型企业划分标准</w:t>
      </w:r>
      <w:bookmarkEnd w:id="274"/>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14:paraId="3E6A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vAlign w:val="center"/>
          </w:tcPr>
          <w:p w14:paraId="36F5918C">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445" w:type="dxa"/>
            <w:shd w:val="clear" w:color="auto" w:fill="8DB3E2"/>
            <w:vAlign w:val="center"/>
          </w:tcPr>
          <w:p w14:paraId="41B8422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48" w:type="dxa"/>
            <w:shd w:val="clear" w:color="auto" w:fill="8DB3E2"/>
            <w:vAlign w:val="center"/>
          </w:tcPr>
          <w:p w14:paraId="7FF3A3C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0AE12A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88" w:type="dxa"/>
            <w:shd w:val="clear" w:color="auto" w:fill="8DB3E2"/>
            <w:vAlign w:val="center"/>
          </w:tcPr>
          <w:p w14:paraId="66A82A5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96" w:type="dxa"/>
            <w:shd w:val="clear" w:color="auto" w:fill="8DB3E2"/>
            <w:vAlign w:val="center"/>
          </w:tcPr>
          <w:p w14:paraId="52F91E3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05" w:type="dxa"/>
            <w:shd w:val="clear" w:color="auto" w:fill="8DB3E2"/>
            <w:vAlign w:val="center"/>
          </w:tcPr>
          <w:p w14:paraId="4AE00B9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047" w:type="dxa"/>
            <w:shd w:val="clear" w:color="auto" w:fill="8DB3E2"/>
            <w:vAlign w:val="center"/>
          </w:tcPr>
          <w:p w14:paraId="226EBA2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4EC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07138C3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445" w:type="dxa"/>
            <w:vAlign w:val="center"/>
          </w:tcPr>
          <w:p w14:paraId="3715D3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74576D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3089C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117300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57A9EF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7" w:type="dxa"/>
            <w:vAlign w:val="center"/>
          </w:tcPr>
          <w:p w14:paraId="45E9AA3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4F8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3D4F32E">
            <w:pPr>
              <w:widowControl/>
              <w:spacing w:line="240" w:lineRule="exact"/>
              <w:jc w:val="left"/>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工业 *</w:t>
            </w:r>
          </w:p>
        </w:tc>
        <w:tc>
          <w:tcPr>
            <w:tcW w:w="1445" w:type="dxa"/>
            <w:vAlign w:val="center"/>
          </w:tcPr>
          <w:p w14:paraId="32F69A3A">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从业人员(X)</w:t>
            </w:r>
          </w:p>
        </w:tc>
        <w:tc>
          <w:tcPr>
            <w:tcW w:w="748" w:type="dxa"/>
            <w:vAlign w:val="center"/>
          </w:tcPr>
          <w:p w14:paraId="71E627C6">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人</w:t>
            </w:r>
          </w:p>
        </w:tc>
        <w:tc>
          <w:tcPr>
            <w:tcW w:w="1188" w:type="dxa"/>
            <w:vAlign w:val="center"/>
          </w:tcPr>
          <w:p w14:paraId="3D66D33B">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X≥1000</w:t>
            </w:r>
          </w:p>
        </w:tc>
        <w:tc>
          <w:tcPr>
            <w:tcW w:w="1796" w:type="dxa"/>
            <w:vAlign w:val="center"/>
          </w:tcPr>
          <w:p w14:paraId="57095CAD">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300≤X＜1000</w:t>
            </w:r>
          </w:p>
        </w:tc>
        <w:tc>
          <w:tcPr>
            <w:tcW w:w="1505" w:type="dxa"/>
            <w:vAlign w:val="center"/>
          </w:tcPr>
          <w:p w14:paraId="0D3802D8">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20≤X＜300</w:t>
            </w:r>
          </w:p>
        </w:tc>
        <w:tc>
          <w:tcPr>
            <w:tcW w:w="1047" w:type="dxa"/>
            <w:vAlign w:val="center"/>
          </w:tcPr>
          <w:p w14:paraId="55372514">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X＜20</w:t>
            </w:r>
          </w:p>
        </w:tc>
      </w:tr>
      <w:tr w14:paraId="5A10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628C2FAF">
            <w:pPr>
              <w:widowControl/>
              <w:jc w:val="left"/>
              <w:rPr>
                <w:rFonts w:ascii="宋体" w:hAnsi="宋体" w:cs="宋体"/>
                <w:b/>
                <w:color w:val="auto"/>
                <w:kern w:val="0"/>
                <w:sz w:val="18"/>
                <w:szCs w:val="18"/>
                <w:highlight w:val="none"/>
                <w:shd w:val="pct10" w:color="auto" w:fill="FFFFFF"/>
              </w:rPr>
            </w:pPr>
          </w:p>
        </w:tc>
        <w:tc>
          <w:tcPr>
            <w:tcW w:w="1445" w:type="dxa"/>
            <w:vAlign w:val="center"/>
          </w:tcPr>
          <w:p w14:paraId="3226338F">
            <w:pPr>
              <w:widowControl/>
              <w:spacing w:line="240" w:lineRule="exact"/>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营业收入(Y)</w:t>
            </w:r>
          </w:p>
        </w:tc>
        <w:tc>
          <w:tcPr>
            <w:tcW w:w="748" w:type="dxa"/>
            <w:vAlign w:val="center"/>
          </w:tcPr>
          <w:p w14:paraId="29159344">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万元</w:t>
            </w:r>
          </w:p>
        </w:tc>
        <w:tc>
          <w:tcPr>
            <w:tcW w:w="1188" w:type="dxa"/>
            <w:vAlign w:val="center"/>
          </w:tcPr>
          <w:p w14:paraId="4958B8BB">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Y≥40000</w:t>
            </w:r>
          </w:p>
        </w:tc>
        <w:tc>
          <w:tcPr>
            <w:tcW w:w="1796" w:type="dxa"/>
            <w:vAlign w:val="center"/>
          </w:tcPr>
          <w:p w14:paraId="0D9AED7F">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2000≤Y＜40000</w:t>
            </w:r>
          </w:p>
        </w:tc>
        <w:tc>
          <w:tcPr>
            <w:tcW w:w="1505" w:type="dxa"/>
            <w:vAlign w:val="center"/>
          </w:tcPr>
          <w:p w14:paraId="3E3E6B41">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300≤Y＜2000</w:t>
            </w:r>
          </w:p>
        </w:tc>
        <w:tc>
          <w:tcPr>
            <w:tcW w:w="1047" w:type="dxa"/>
            <w:vAlign w:val="center"/>
          </w:tcPr>
          <w:p w14:paraId="4A928F9B">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Y＜300</w:t>
            </w:r>
          </w:p>
        </w:tc>
      </w:tr>
      <w:tr w14:paraId="643F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60DC0C2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445" w:type="dxa"/>
            <w:vAlign w:val="center"/>
          </w:tcPr>
          <w:p w14:paraId="7289C7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13D72D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5EE05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96" w:type="dxa"/>
            <w:vAlign w:val="center"/>
          </w:tcPr>
          <w:p w14:paraId="65ECB6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05" w:type="dxa"/>
            <w:vAlign w:val="center"/>
          </w:tcPr>
          <w:p w14:paraId="56B2E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7" w:type="dxa"/>
            <w:vAlign w:val="center"/>
          </w:tcPr>
          <w:p w14:paraId="6F7932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7D9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E659EC2">
            <w:pPr>
              <w:widowControl/>
              <w:jc w:val="left"/>
              <w:rPr>
                <w:rFonts w:ascii="宋体" w:hAnsi="宋体" w:cs="宋体"/>
                <w:color w:val="auto"/>
                <w:kern w:val="0"/>
                <w:sz w:val="18"/>
                <w:szCs w:val="18"/>
                <w:highlight w:val="none"/>
              </w:rPr>
            </w:pPr>
          </w:p>
        </w:tc>
        <w:tc>
          <w:tcPr>
            <w:tcW w:w="1445" w:type="dxa"/>
            <w:vAlign w:val="center"/>
          </w:tcPr>
          <w:p w14:paraId="02270E8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7632FF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C79C3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96" w:type="dxa"/>
            <w:vAlign w:val="center"/>
          </w:tcPr>
          <w:p w14:paraId="0C200B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05" w:type="dxa"/>
            <w:vAlign w:val="center"/>
          </w:tcPr>
          <w:p w14:paraId="5E1259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7" w:type="dxa"/>
            <w:vAlign w:val="center"/>
          </w:tcPr>
          <w:p w14:paraId="1052DB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3B2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EC17ED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445" w:type="dxa"/>
            <w:vAlign w:val="center"/>
          </w:tcPr>
          <w:p w14:paraId="0F463A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416EFA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197EB9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1A87C4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05" w:type="dxa"/>
            <w:vAlign w:val="center"/>
          </w:tcPr>
          <w:p w14:paraId="7815AA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7" w:type="dxa"/>
            <w:vAlign w:val="center"/>
          </w:tcPr>
          <w:p w14:paraId="46C2D4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55E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36FD9DCD">
            <w:pPr>
              <w:widowControl/>
              <w:jc w:val="left"/>
              <w:rPr>
                <w:rFonts w:ascii="宋体" w:hAnsi="宋体" w:cs="宋体"/>
                <w:color w:val="auto"/>
                <w:kern w:val="0"/>
                <w:sz w:val="18"/>
                <w:szCs w:val="18"/>
                <w:highlight w:val="none"/>
              </w:rPr>
            </w:pPr>
          </w:p>
        </w:tc>
        <w:tc>
          <w:tcPr>
            <w:tcW w:w="1445" w:type="dxa"/>
            <w:vAlign w:val="center"/>
          </w:tcPr>
          <w:p w14:paraId="26FDE3C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611F28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3EBE8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96" w:type="dxa"/>
            <w:vAlign w:val="center"/>
          </w:tcPr>
          <w:p w14:paraId="0873FF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05" w:type="dxa"/>
            <w:vAlign w:val="center"/>
          </w:tcPr>
          <w:p w14:paraId="0D531350">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7" w:type="dxa"/>
            <w:vAlign w:val="center"/>
          </w:tcPr>
          <w:p w14:paraId="278218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37B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21B4D09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445" w:type="dxa"/>
            <w:vAlign w:val="center"/>
          </w:tcPr>
          <w:p w14:paraId="25E3EE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52BFA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2B6BA8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049DC1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05" w:type="dxa"/>
            <w:vAlign w:val="center"/>
          </w:tcPr>
          <w:p w14:paraId="21A9520C">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047" w:type="dxa"/>
            <w:vAlign w:val="center"/>
          </w:tcPr>
          <w:p w14:paraId="507020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A12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717268D5">
            <w:pPr>
              <w:widowControl/>
              <w:jc w:val="left"/>
              <w:rPr>
                <w:rFonts w:ascii="宋体" w:hAnsi="宋体" w:cs="宋体"/>
                <w:color w:val="auto"/>
                <w:kern w:val="0"/>
                <w:sz w:val="18"/>
                <w:szCs w:val="18"/>
                <w:highlight w:val="none"/>
              </w:rPr>
            </w:pPr>
          </w:p>
        </w:tc>
        <w:tc>
          <w:tcPr>
            <w:tcW w:w="1445" w:type="dxa"/>
            <w:vAlign w:val="center"/>
          </w:tcPr>
          <w:p w14:paraId="449BF97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3B4A4C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371F2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05512F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10D2620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7" w:type="dxa"/>
            <w:vAlign w:val="center"/>
          </w:tcPr>
          <w:p w14:paraId="0C596B2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7D5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518DA5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445" w:type="dxa"/>
            <w:vAlign w:val="center"/>
          </w:tcPr>
          <w:p w14:paraId="7B29D9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3FFEE7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5CD46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5D552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43B001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4549DB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E8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36E8734B">
            <w:pPr>
              <w:widowControl/>
              <w:jc w:val="left"/>
              <w:rPr>
                <w:rFonts w:ascii="宋体" w:hAnsi="宋体" w:cs="宋体"/>
                <w:color w:val="auto"/>
                <w:kern w:val="0"/>
                <w:sz w:val="18"/>
                <w:szCs w:val="18"/>
                <w:highlight w:val="none"/>
              </w:rPr>
            </w:pPr>
          </w:p>
        </w:tc>
        <w:tc>
          <w:tcPr>
            <w:tcW w:w="1445" w:type="dxa"/>
            <w:vAlign w:val="center"/>
          </w:tcPr>
          <w:p w14:paraId="156A0A8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1664AB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A1022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3C3F1B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05" w:type="dxa"/>
            <w:vAlign w:val="center"/>
          </w:tcPr>
          <w:p w14:paraId="7F613C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7" w:type="dxa"/>
            <w:vAlign w:val="center"/>
          </w:tcPr>
          <w:p w14:paraId="4D6EB5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72F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CCC560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445" w:type="dxa"/>
            <w:vAlign w:val="center"/>
          </w:tcPr>
          <w:p w14:paraId="636D2B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5AC3C1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57311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241563A4">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05" w:type="dxa"/>
            <w:vAlign w:val="center"/>
          </w:tcPr>
          <w:p w14:paraId="561309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7" w:type="dxa"/>
            <w:vAlign w:val="center"/>
          </w:tcPr>
          <w:p w14:paraId="0590FB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9E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367E31F4">
            <w:pPr>
              <w:widowControl/>
              <w:jc w:val="left"/>
              <w:rPr>
                <w:rFonts w:ascii="宋体" w:hAnsi="宋体" w:cs="宋体"/>
                <w:color w:val="auto"/>
                <w:kern w:val="0"/>
                <w:sz w:val="18"/>
                <w:szCs w:val="18"/>
                <w:highlight w:val="none"/>
              </w:rPr>
            </w:pPr>
          </w:p>
        </w:tc>
        <w:tc>
          <w:tcPr>
            <w:tcW w:w="1445" w:type="dxa"/>
            <w:vAlign w:val="center"/>
          </w:tcPr>
          <w:p w14:paraId="2D34927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C8617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E386F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18ABC7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05" w:type="dxa"/>
            <w:vAlign w:val="center"/>
          </w:tcPr>
          <w:p w14:paraId="25304A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2CE804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85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0B1F165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445" w:type="dxa"/>
            <w:vAlign w:val="center"/>
          </w:tcPr>
          <w:p w14:paraId="799C77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D6636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5ACA05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20E8E3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3646C8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05DC64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05A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4B96C94">
            <w:pPr>
              <w:widowControl/>
              <w:jc w:val="left"/>
              <w:rPr>
                <w:rFonts w:ascii="宋体" w:hAnsi="宋体" w:cs="宋体"/>
                <w:color w:val="auto"/>
                <w:kern w:val="0"/>
                <w:sz w:val="18"/>
                <w:szCs w:val="18"/>
                <w:highlight w:val="none"/>
              </w:rPr>
            </w:pPr>
          </w:p>
        </w:tc>
        <w:tc>
          <w:tcPr>
            <w:tcW w:w="1445" w:type="dxa"/>
            <w:vAlign w:val="center"/>
          </w:tcPr>
          <w:p w14:paraId="25830D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37AE80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10DA9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67BD47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05" w:type="dxa"/>
            <w:vAlign w:val="center"/>
          </w:tcPr>
          <w:p w14:paraId="2077CB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383BE7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F3B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2DFC2A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445" w:type="dxa"/>
            <w:vAlign w:val="center"/>
          </w:tcPr>
          <w:p w14:paraId="43EFBA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026895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5D7ADA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4869B57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6B0E2B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21E85A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B8B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C4B1F11">
            <w:pPr>
              <w:widowControl/>
              <w:jc w:val="left"/>
              <w:rPr>
                <w:rFonts w:ascii="宋体" w:hAnsi="宋体" w:cs="宋体"/>
                <w:color w:val="auto"/>
                <w:kern w:val="0"/>
                <w:sz w:val="18"/>
                <w:szCs w:val="18"/>
                <w:highlight w:val="none"/>
              </w:rPr>
            </w:pPr>
          </w:p>
        </w:tc>
        <w:tc>
          <w:tcPr>
            <w:tcW w:w="1445" w:type="dxa"/>
            <w:vAlign w:val="center"/>
          </w:tcPr>
          <w:p w14:paraId="0B887C5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390C82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5DD052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2CAC1F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60806D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504845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2DC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6265197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445" w:type="dxa"/>
            <w:vAlign w:val="center"/>
          </w:tcPr>
          <w:p w14:paraId="40769D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66C0C6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1559DA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377A9A2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4D031B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3E6E3F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981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4BE57AAA">
            <w:pPr>
              <w:widowControl/>
              <w:jc w:val="left"/>
              <w:rPr>
                <w:rFonts w:ascii="宋体" w:hAnsi="宋体" w:cs="宋体"/>
                <w:color w:val="auto"/>
                <w:kern w:val="0"/>
                <w:sz w:val="18"/>
                <w:szCs w:val="18"/>
                <w:highlight w:val="none"/>
              </w:rPr>
            </w:pPr>
          </w:p>
        </w:tc>
        <w:tc>
          <w:tcPr>
            <w:tcW w:w="1445" w:type="dxa"/>
            <w:vAlign w:val="center"/>
          </w:tcPr>
          <w:p w14:paraId="0F871AA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E9A3C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54E50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3CCF9E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20020F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718E17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B84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14CE78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445" w:type="dxa"/>
            <w:vAlign w:val="center"/>
          </w:tcPr>
          <w:p w14:paraId="5A6046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607369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3CEC59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96" w:type="dxa"/>
            <w:vAlign w:val="center"/>
          </w:tcPr>
          <w:p w14:paraId="084744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05" w:type="dxa"/>
            <w:vAlign w:val="center"/>
          </w:tcPr>
          <w:p w14:paraId="5D6BE6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3D4C8A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B3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1F9181E2">
            <w:pPr>
              <w:widowControl/>
              <w:jc w:val="left"/>
              <w:rPr>
                <w:rFonts w:ascii="宋体" w:hAnsi="宋体" w:cs="宋体"/>
                <w:color w:val="auto"/>
                <w:kern w:val="0"/>
                <w:sz w:val="18"/>
                <w:szCs w:val="18"/>
                <w:highlight w:val="none"/>
              </w:rPr>
            </w:pPr>
          </w:p>
        </w:tc>
        <w:tc>
          <w:tcPr>
            <w:tcW w:w="1445" w:type="dxa"/>
            <w:vAlign w:val="center"/>
          </w:tcPr>
          <w:p w14:paraId="66BA993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D3856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A2D8D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96" w:type="dxa"/>
            <w:vAlign w:val="center"/>
          </w:tcPr>
          <w:p w14:paraId="7E485A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05" w:type="dxa"/>
            <w:vAlign w:val="center"/>
          </w:tcPr>
          <w:p w14:paraId="499562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1753DE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B1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393DA03A">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445" w:type="dxa"/>
            <w:vAlign w:val="center"/>
          </w:tcPr>
          <w:p w14:paraId="4EF29B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650C3D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313840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7D5985E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714B68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533B2C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074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3B92FAFA">
            <w:pPr>
              <w:widowControl/>
              <w:jc w:val="left"/>
              <w:rPr>
                <w:rFonts w:ascii="宋体" w:hAnsi="宋体" w:cs="宋体"/>
                <w:color w:val="auto"/>
                <w:spacing w:val="-12"/>
                <w:kern w:val="0"/>
                <w:sz w:val="18"/>
                <w:szCs w:val="18"/>
                <w:highlight w:val="none"/>
              </w:rPr>
            </w:pPr>
          </w:p>
        </w:tc>
        <w:tc>
          <w:tcPr>
            <w:tcW w:w="1445" w:type="dxa"/>
            <w:vAlign w:val="center"/>
          </w:tcPr>
          <w:p w14:paraId="1ABA53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0BB76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D3280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108DDD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05" w:type="dxa"/>
            <w:vAlign w:val="center"/>
          </w:tcPr>
          <w:p w14:paraId="6F30DF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7" w:type="dxa"/>
            <w:vAlign w:val="center"/>
          </w:tcPr>
          <w:p w14:paraId="7E006F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0EF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442550B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445" w:type="dxa"/>
            <w:vAlign w:val="center"/>
          </w:tcPr>
          <w:p w14:paraId="69D857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0DBD4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10CBF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96" w:type="dxa"/>
            <w:vAlign w:val="center"/>
          </w:tcPr>
          <w:p w14:paraId="0EF6DA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05" w:type="dxa"/>
            <w:vAlign w:val="center"/>
          </w:tcPr>
          <w:p w14:paraId="061B80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61C4D3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FC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0D817E0D">
            <w:pPr>
              <w:widowControl/>
              <w:jc w:val="left"/>
              <w:rPr>
                <w:rFonts w:ascii="宋体" w:hAnsi="宋体" w:cs="宋体"/>
                <w:color w:val="auto"/>
                <w:kern w:val="0"/>
                <w:sz w:val="18"/>
                <w:szCs w:val="18"/>
                <w:highlight w:val="none"/>
              </w:rPr>
            </w:pPr>
          </w:p>
        </w:tc>
        <w:tc>
          <w:tcPr>
            <w:tcW w:w="1445" w:type="dxa"/>
            <w:vAlign w:val="center"/>
          </w:tcPr>
          <w:p w14:paraId="36B7F54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755314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69AA5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96" w:type="dxa"/>
            <w:vAlign w:val="center"/>
          </w:tcPr>
          <w:p w14:paraId="372C4E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05" w:type="dxa"/>
            <w:vAlign w:val="center"/>
          </w:tcPr>
          <w:p w14:paraId="7B60CF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047" w:type="dxa"/>
            <w:vAlign w:val="center"/>
          </w:tcPr>
          <w:p w14:paraId="48BAC8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7BC0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36944D9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445" w:type="dxa"/>
            <w:vAlign w:val="center"/>
          </w:tcPr>
          <w:p w14:paraId="0B3D88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F4457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285F1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6AA5CE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59B063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7" w:type="dxa"/>
            <w:vAlign w:val="center"/>
          </w:tcPr>
          <w:p w14:paraId="231752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2F3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0CA13E47">
            <w:pPr>
              <w:widowControl/>
              <w:jc w:val="left"/>
              <w:rPr>
                <w:rFonts w:ascii="宋体" w:hAnsi="宋体" w:cs="宋体"/>
                <w:color w:val="auto"/>
                <w:kern w:val="0"/>
                <w:sz w:val="18"/>
                <w:szCs w:val="18"/>
                <w:highlight w:val="none"/>
              </w:rPr>
            </w:pPr>
          </w:p>
        </w:tc>
        <w:tc>
          <w:tcPr>
            <w:tcW w:w="1445" w:type="dxa"/>
            <w:vAlign w:val="center"/>
          </w:tcPr>
          <w:p w14:paraId="69F7E97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3A897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BD08A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96" w:type="dxa"/>
            <w:vAlign w:val="center"/>
          </w:tcPr>
          <w:p w14:paraId="20C7913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05" w:type="dxa"/>
            <w:vAlign w:val="center"/>
          </w:tcPr>
          <w:p w14:paraId="315549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7" w:type="dxa"/>
            <w:vAlign w:val="center"/>
          </w:tcPr>
          <w:p w14:paraId="319F05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BC8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3734C72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445" w:type="dxa"/>
            <w:vAlign w:val="center"/>
          </w:tcPr>
          <w:p w14:paraId="1415F6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40EABC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5DE86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17D48E6A">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575D1E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48B487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70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65C0D48E">
            <w:pPr>
              <w:widowControl/>
              <w:jc w:val="left"/>
              <w:rPr>
                <w:rFonts w:ascii="宋体" w:hAnsi="宋体" w:cs="宋体"/>
                <w:color w:val="auto"/>
                <w:kern w:val="0"/>
                <w:sz w:val="18"/>
                <w:szCs w:val="18"/>
                <w:highlight w:val="none"/>
              </w:rPr>
            </w:pPr>
          </w:p>
        </w:tc>
        <w:tc>
          <w:tcPr>
            <w:tcW w:w="1445" w:type="dxa"/>
            <w:vAlign w:val="center"/>
          </w:tcPr>
          <w:p w14:paraId="75C4DA0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74AAEF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FA07E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96" w:type="dxa"/>
            <w:vAlign w:val="center"/>
          </w:tcPr>
          <w:p w14:paraId="208D4B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05" w:type="dxa"/>
            <w:vAlign w:val="center"/>
          </w:tcPr>
          <w:p w14:paraId="111B76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7" w:type="dxa"/>
            <w:vAlign w:val="center"/>
          </w:tcPr>
          <w:p w14:paraId="1150A6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4B9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0C5EE50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445" w:type="dxa"/>
            <w:vAlign w:val="center"/>
          </w:tcPr>
          <w:p w14:paraId="0DFF64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356AFD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69A432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62C116D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5506F3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456825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295B76C">
      <w:pPr>
        <w:widowControl/>
        <w:spacing w:line="540" w:lineRule="exact"/>
        <w:rPr>
          <w:rFonts w:ascii="宋体" w:hAnsi="宋体" w:cs="宋体"/>
          <w:color w:val="auto"/>
          <w:spacing w:val="8"/>
          <w:kern w:val="0"/>
          <w:sz w:val="24"/>
          <w:highlight w:val="none"/>
        </w:rPr>
      </w:pPr>
    </w:p>
    <w:p w14:paraId="558883C1">
      <w:pPr>
        <w:widowControl/>
        <w:spacing w:line="540" w:lineRule="exact"/>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说明：</w:t>
      </w:r>
    </w:p>
    <w:p w14:paraId="3881FF91">
      <w:pPr>
        <w:pStyle w:val="17"/>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1.大型、中型和小型企业须同时满足所列指标的下限，否则下划一档；微型企业只须满足所列指标中的一项即可。</w:t>
      </w:r>
    </w:p>
    <w:p w14:paraId="67198DFA">
      <w:pPr>
        <w:pStyle w:val="17"/>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6872D84">
      <w:pPr>
        <w:pStyle w:val="17"/>
        <w:adjustRightInd w:val="0"/>
        <w:spacing w:line="380" w:lineRule="exact"/>
        <w:ind w:firstLine="512" w:firstLineChars="200"/>
        <w:contextualSpacing/>
        <w:rPr>
          <w:rFonts w:hAnsi="宋体" w:cs="宋体"/>
          <w:bCs/>
          <w:color w:val="auto"/>
          <w:highlight w:val="none"/>
        </w:rPr>
      </w:pPr>
      <w:r>
        <w:rPr>
          <w:rFonts w:hint="eastAsia" w:hAnsi="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54F9DF3">
      <w:pPr>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br w:type="page"/>
      </w:r>
      <w:bookmarkStart w:id="275" w:name="_Toc30884"/>
      <w:bookmarkStart w:id="276" w:name="_Toc19096"/>
      <w:bookmarkStart w:id="277" w:name="_Toc14595"/>
      <w:bookmarkStart w:id="278" w:name="_Toc7619"/>
      <w:r>
        <w:rPr>
          <w:rFonts w:hint="eastAsia" w:ascii="宋体" w:hAnsi="宋体" w:cs="宋体"/>
          <w:b/>
          <w:bCs/>
          <w:color w:val="auto"/>
          <w:kern w:val="44"/>
          <w:sz w:val="32"/>
          <w:szCs w:val="32"/>
          <w:highlight w:val="none"/>
        </w:rPr>
        <w:t>第五章  采购合同（合同主要条款及格式）</w:t>
      </w:r>
      <w:bookmarkEnd w:id="275"/>
      <w:bookmarkEnd w:id="276"/>
      <w:bookmarkEnd w:id="277"/>
      <w:bookmarkEnd w:id="278"/>
    </w:p>
    <w:p w14:paraId="7C133D7C">
      <w:pPr>
        <w:spacing w:line="400" w:lineRule="exact"/>
        <w:rPr>
          <w:rFonts w:ascii="宋体" w:hAnsi="宋体" w:cs="宋体"/>
          <w:color w:val="auto"/>
          <w:highlight w:val="none"/>
        </w:rPr>
      </w:pPr>
    </w:p>
    <w:p w14:paraId="615363B1">
      <w:pPr>
        <w:spacing w:line="276" w:lineRule="auto"/>
        <w:rPr>
          <w:rFonts w:ascii="宋体" w:hAnsi="宋体" w:cs="宋体"/>
          <w:color w:val="auto"/>
          <w:szCs w:val="21"/>
          <w:highlight w:val="none"/>
        </w:rPr>
      </w:pPr>
      <w:bookmarkStart w:id="279" w:name="_Toc24269"/>
      <w:bookmarkStart w:id="280" w:name="_Toc15164"/>
      <w:bookmarkStart w:id="281" w:name="_Toc18889"/>
      <w:bookmarkStart w:id="282" w:name="_Toc3617"/>
      <w:r>
        <w:rPr>
          <w:rFonts w:hint="eastAsia" w:ascii="宋体" w:hAnsi="宋体" w:cs="宋体"/>
          <w:color w:val="auto"/>
          <w:szCs w:val="21"/>
          <w:highlight w:val="none"/>
        </w:rPr>
        <w:t>项目名称：</w:t>
      </w:r>
    </w:p>
    <w:p w14:paraId="04C55A7C">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项目编号：</w:t>
      </w:r>
    </w:p>
    <w:p w14:paraId="5D3B3817">
      <w:pPr>
        <w:pStyle w:val="14"/>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分标号：</w:t>
      </w:r>
    </w:p>
    <w:p w14:paraId="76FC860A">
      <w:pPr>
        <w:spacing w:line="276" w:lineRule="auto"/>
        <w:rPr>
          <w:rFonts w:ascii="宋体" w:hAnsi="宋体" w:cs="宋体"/>
          <w:color w:val="auto"/>
          <w:highlight w:val="none"/>
        </w:rPr>
      </w:pPr>
    </w:p>
    <w:p w14:paraId="65FD6666">
      <w:pPr>
        <w:spacing w:line="276" w:lineRule="auto"/>
        <w:rPr>
          <w:rFonts w:ascii="宋体" w:hAnsi="宋体" w:cs="宋体"/>
          <w:color w:val="auto"/>
          <w:highlight w:val="none"/>
        </w:rPr>
      </w:pPr>
      <w:r>
        <w:rPr>
          <w:rFonts w:hint="eastAsia" w:ascii="宋体" w:hAnsi="宋体" w:cs="宋体"/>
          <w:color w:val="auto"/>
          <w:highlight w:val="none"/>
        </w:rPr>
        <w:t>甲方：（采购人）</w:t>
      </w:r>
    </w:p>
    <w:p w14:paraId="7956B506">
      <w:pPr>
        <w:spacing w:line="276" w:lineRule="auto"/>
        <w:rPr>
          <w:rFonts w:ascii="宋体" w:hAnsi="宋体" w:cs="宋体"/>
          <w:color w:val="auto"/>
          <w:highlight w:val="none"/>
        </w:rPr>
      </w:pPr>
      <w:r>
        <w:rPr>
          <w:rFonts w:hint="eastAsia" w:ascii="宋体" w:hAnsi="宋体" w:cs="宋体"/>
          <w:color w:val="auto"/>
          <w:highlight w:val="none"/>
        </w:rPr>
        <w:t>乙方：（</w:t>
      </w:r>
      <w:r>
        <w:rPr>
          <w:rFonts w:hint="eastAsia" w:ascii="宋体" w:hAnsi="宋体" w:cs="宋体"/>
          <w:color w:val="auto"/>
          <w:highlight w:val="none"/>
          <w:lang w:val="en-US" w:eastAsia="zh-CN"/>
        </w:rPr>
        <w:t>中标</w:t>
      </w:r>
      <w:r>
        <w:rPr>
          <w:rFonts w:hint="eastAsia" w:ascii="宋体" w:hAnsi="宋体" w:cs="宋体"/>
          <w:color w:val="auto"/>
          <w:highlight w:val="none"/>
        </w:rPr>
        <w:t>人）</w:t>
      </w:r>
    </w:p>
    <w:p w14:paraId="41DC913E">
      <w:pPr>
        <w:ind w:firstLine="42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根据《中华人民共和国政府采购法》、《中华人民共和国政府采购法实施条例》、《政府采购</w:t>
      </w:r>
      <w:r>
        <w:rPr>
          <w:rFonts w:hint="eastAsia" w:ascii="宋体" w:hAnsi="宋体" w:cs="宋体"/>
          <w:color w:val="auto"/>
          <w:szCs w:val="21"/>
          <w:highlight w:val="none"/>
          <w:lang w:val="en-US" w:eastAsia="zh-CN"/>
        </w:rPr>
        <w:t>公开招标</w:t>
      </w:r>
      <w:r>
        <w:rPr>
          <w:rFonts w:hint="eastAsia" w:ascii="宋体" w:hAnsi="宋体" w:cs="宋体"/>
          <w:color w:val="auto"/>
          <w:szCs w:val="21"/>
          <w:highlight w:val="none"/>
        </w:rPr>
        <w:t>采购方式管理暂行办法》、《中华人民共和国民法典》等有关法律、法规规定，按照</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文件（以下简称</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文件规定条款和</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供应商的承诺，甲乙双方签订本采购合同。</w:t>
      </w:r>
    </w:p>
    <w:p w14:paraId="6333FFDD">
      <w:pPr>
        <w:numPr>
          <w:ilvl w:val="0"/>
          <w:numId w:val="6"/>
        </w:num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 xml:space="preserve"> 合同标的及价格约定</w:t>
      </w:r>
    </w:p>
    <w:tbl>
      <w:tblPr>
        <w:tblStyle w:val="3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14:paraId="09E5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noWrap w:val="0"/>
            <w:vAlign w:val="center"/>
          </w:tcPr>
          <w:p w14:paraId="5402FDC9">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1232" w:type="dxa"/>
            <w:shd w:val="clear" w:color="auto" w:fill="8DB3E2"/>
            <w:noWrap w:val="0"/>
            <w:vAlign w:val="center"/>
          </w:tcPr>
          <w:p w14:paraId="0E5E8E13">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货物名称</w:t>
            </w:r>
          </w:p>
        </w:tc>
        <w:tc>
          <w:tcPr>
            <w:tcW w:w="1445" w:type="dxa"/>
            <w:shd w:val="clear" w:color="auto" w:fill="8DB3E2"/>
            <w:noWrap w:val="0"/>
            <w:vAlign w:val="center"/>
          </w:tcPr>
          <w:p w14:paraId="189A5F14">
            <w:pPr>
              <w:snapToGrid w:val="0"/>
              <w:spacing w:line="280" w:lineRule="exact"/>
              <w:jc w:val="center"/>
              <w:rPr>
                <w:rFonts w:ascii="宋体" w:hAnsi="宋体" w:cs="宋体"/>
                <w:b/>
                <w:color w:val="auto"/>
                <w:szCs w:val="21"/>
                <w:highlight w:val="none"/>
              </w:rPr>
            </w:pPr>
            <w:r>
              <w:rPr>
                <w:rFonts w:hint="eastAsia" w:ascii="宋体" w:hAnsi="宋体" w:cs="宋体"/>
                <w:b/>
                <w:color w:val="auto"/>
                <w:szCs w:val="30"/>
                <w:highlight w:val="none"/>
              </w:rPr>
              <w:t>生产厂家、品牌、规格型号</w:t>
            </w:r>
          </w:p>
        </w:tc>
        <w:tc>
          <w:tcPr>
            <w:tcW w:w="1483" w:type="dxa"/>
            <w:shd w:val="clear" w:color="auto" w:fill="8DB3E2"/>
            <w:noWrap w:val="0"/>
            <w:vAlign w:val="center"/>
          </w:tcPr>
          <w:p w14:paraId="477AAB99">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技术参数</w:t>
            </w:r>
          </w:p>
        </w:tc>
        <w:tc>
          <w:tcPr>
            <w:tcW w:w="1073" w:type="dxa"/>
            <w:shd w:val="clear" w:color="auto" w:fill="8DB3E2"/>
            <w:noWrap w:val="0"/>
            <w:vAlign w:val="center"/>
          </w:tcPr>
          <w:p w14:paraId="0C1DA21F">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p w14:paraId="304BE6A6">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①</w:t>
            </w:r>
          </w:p>
        </w:tc>
        <w:tc>
          <w:tcPr>
            <w:tcW w:w="714" w:type="dxa"/>
            <w:shd w:val="clear" w:color="auto" w:fill="8DB3E2"/>
            <w:noWrap w:val="0"/>
            <w:vAlign w:val="center"/>
          </w:tcPr>
          <w:p w14:paraId="44D9F033">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545" w:type="dxa"/>
            <w:shd w:val="clear" w:color="auto" w:fill="8DB3E2"/>
            <w:noWrap w:val="0"/>
            <w:vAlign w:val="center"/>
          </w:tcPr>
          <w:p w14:paraId="18E59F02">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单价（元）</w:t>
            </w:r>
          </w:p>
          <w:p w14:paraId="313209F7">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②</w:t>
            </w:r>
          </w:p>
        </w:tc>
        <w:tc>
          <w:tcPr>
            <w:tcW w:w="1575" w:type="dxa"/>
            <w:shd w:val="clear" w:color="auto" w:fill="8DB3E2"/>
            <w:noWrap w:val="0"/>
            <w:vAlign w:val="center"/>
          </w:tcPr>
          <w:p w14:paraId="03E69F02">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单项合计金额（元）</w:t>
            </w:r>
          </w:p>
          <w:p w14:paraId="186BEBC2">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③＝①×②</w:t>
            </w:r>
          </w:p>
        </w:tc>
      </w:tr>
      <w:tr w14:paraId="605D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01CB988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2" w:type="dxa"/>
            <w:noWrap w:val="0"/>
            <w:vAlign w:val="center"/>
          </w:tcPr>
          <w:p w14:paraId="470FCFA5">
            <w:pPr>
              <w:snapToGrid w:val="0"/>
              <w:spacing w:line="400" w:lineRule="exact"/>
              <w:jc w:val="center"/>
              <w:rPr>
                <w:rFonts w:ascii="宋体" w:hAnsi="宋体" w:cs="宋体"/>
                <w:color w:val="auto"/>
                <w:szCs w:val="21"/>
                <w:highlight w:val="none"/>
              </w:rPr>
            </w:pPr>
          </w:p>
        </w:tc>
        <w:tc>
          <w:tcPr>
            <w:tcW w:w="1445" w:type="dxa"/>
            <w:noWrap w:val="0"/>
            <w:vAlign w:val="center"/>
          </w:tcPr>
          <w:p w14:paraId="6DC97628">
            <w:pPr>
              <w:snapToGrid w:val="0"/>
              <w:spacing w:line="400" w:lineRule="exact"/>
              <w:jc w:val="center"/>
              <w:rPr>
                <w:rFonts w:ascii="宋体" w:hAnsi="宋体" w:cs="宋体"/>
                <w:color w:val="auto"/>
                <w:szCs w:val="21"/>
                <w:highlight w:val="none"/>
              </w:rPr>
            </w:pPr>
          </w:p>
        </w:tc>
        <w:tc>
          <w:tcPr>
            <w:tcW w:w="1483" w:type="dxa"/>
            <w:noWrap w:val="0"/>
            <w:vAlign w:val="center"/>
          </w:tcPr>
          <w:p w14:paraId="1A1EFF52">
            <w:pPr>
              <w:snapToGrid w:val="0"/>
              <w:spacing w:line="400" w:lineRule="exact"/>
              <w:jc w:val="center"/>
              <w:rPr>
                <w:rFonts w:ascii="宋体" w:hAnsi="宋体" w:cs="宋体"/>
                <w:color w:val="auto"/>
                <w:szCs w:val="21"/>
                <w:highlight w:val="none"/>
              </w:rPr>
            </w:pPr>
          </w:p>
        </w:tc>
        <w:tc>
          <w:tcPr>
            <w:tcW w:w="1073" w:type="dxa"/>
            <w:noWrap w:val="0"/>
            <w:vAlign w:val="center"/>
          </w:tcPr>
          <w:p w14:paraId="422883CE">
            <w:pPr>
              <w:snapToGrid w:val="0"/>
              <w:spacing w:line="400" w:lineRule="exact"/>
              <w:jc w:val="center"/>
              <w:rPr>
                <w:rFonts w:ascii="宋体" w:hAnsi="宋体" w:cs="宋体"/>
                <w:color w:val="auto"/>
                <w:szCs w:val="21"/>
                <w:highlight w:val="none"/>
              </w:rPr>
            </w:pPr>
          </w:p>
        </w:tc>
        <w:tc>
          <w:tcPr>
            <w:tcW w:w="714" w:type="dxa"/>
            <w:noWrap w:val="0"/>
            <w:vAlign w:val="center"/>
          </w:tcPr>
          <w:p w14:paraId="6F4A7B53">
            <w:pPr>
              <w:snapToGrid w:val="0"/>
              <w:spacing w:line="400" w:lineRule="exact"/>
              <w:jc w:val="center"/>
              <w:rPr>
                <w:rFonts w:ascii="宋体" w:hAnsi="宋体" w:cs="宋体"/>
                <w:color w:val="auto"/>
                <w:szCs w:val="21"/>
                <w:highlight w:val="none"/>
              </w:rPr>
            </w:pPr>
          </w:p>
        </w:tc>
        <w:tc>
          <w:tcPr>
            <w:tcW w:w="1545" w:type="dxa"/>
            <w:noWrap w:val="0"/>
            <w:vAlign w:val="center"/>
          </w:tcPr>
          <w:p w14:paraId="0ADE2801">
            <w:pPr>
              <w:snapToGrid w:val="0"/>
              <w:spacing w:line="400" w:lineRule="exact"/>
              <w:jc w:val="center"/>
              <w:rPr>
                <w:rFonts w:ascii="宋体" w:hAnsi="宋体" w:cs="宋体"/>
                <w:color w:val="auto"/>
                <w:szCs w:val="21"/>
                <w:highlight w:val="none"/>
              </w:rPr>
            </w:pPr>
          </w:p>
        </w:tc>
        <w:tc>
          <w:tcPr>
            <w:tcW w:w="1575" w:type="dxa"/>
            <w:noWrap w:val="0"/>
            <w:vAlign w:val="center"/>
          </w:tcPr>
          <w:p w14:paraId="2ADEF844">
            <w:pPr>
              <w:snapToGrid w:val="0"/>
              <w:spacing w:line="400" w:lineRule="exact"/>
              <w:jc w:val="center"/>
              <w:rPr>
                <w:rFonts w:ascii="宋体" w:hAnsi="宋体" w:cs="宋体"/>
                <w:color w:val="auto"/>
                <w:szCs w:val="21"/>
                <w:highlight w:val="none"/>
              </w:rPr>
            </w:pPr>
          </w:p>
        </w:tc>
      </w:tr>
      <w:tr w14:paraId="050A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3A9DCCE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2" w:type="dxa"/>
            <w:noWrap w:val="0"/>
            <w:vAlign w:val="center"/>
          </w:tcPr>
          <w:p w14:paraId="508E632D">
            <w:pPr>
              <w:snapToGrid w:val="0"/>
              <w:spacing w:line="400" w:lineRule="exact"/>
              <w:jc w:val="center"/>
              <w:rPr>
                <w:rFonts w:ascii="宋体" w:hAnsi="宋体" w:cs="宋体"/>
                <w:color w:val="auto"/>
                <w:szCs w:val="21"/>
                <w:highlight w:val="none"/>
              </w:rPr>
            </w:pPr>
          </w:p>
        </w:tc>
        <w:tc>
          <w:tcPr>
            <w:tcW w:w="1445" w:type="dxa"/>
            <w:noWrap w:val="0"/>
            <w:vAlign w:val="center"/>
          </w:tcPr>
          <w:p w14:paraId="6537B6D9">
            <w:pPr>
              <w:snapToGrid w:val="0"/>
              <w:spacing w:line="400" w:lineRule="exact"/>
              <w:jc w:val="center"/>
              <w:rPr>
                <w:rFonts w:ascii="宋体" w:hAnsi="宋体" w:cs="宋体"/>
                <w:color w:val="auto"/>
                <w:szCs w:val="21"/>
                <w:highlight w:val="none"/>
              </w:rPr>
            </w:pPr>
          </w:p>
        </w:tc>
        <w:tc>
          <w:tcPr>
            <w:tcW w:w="1483" w:type="dxa"/>
            <w:noWrap w:val="0"/>
            <w:vAlign w:val="center"/>
          </w:tcPr>
          <w:p w14:paraId="0FFF0F8B">
            <w:pPr>
              <w:snapToGrid w:val="0"/>
              <w:spacing w:line="400" w:lineRule="exact"/>
              <w:jc w:val="center"/>
              <w:rPr>
                <w:rFonts w:ascii="宋体" w:hAnsi="宋体" w:cs="宋体"/>
                <w:color w:val="auto"/>
                <w:szCs w:val="21"/>
                <w:highlight w:val="none"/>
              </w:rPr>
            </w:pPr>
          </w:p>
        </w:tc>
        <w:tc>
          <w:tcPr>
            <w:tcW w:w="1073" w:type="dxa"/>
            <w:noWrap w:val="0"/>
            <w:vAlign w:val="center"/>
          </w:tcPr>
          <w:p w14:paraId="370E83FF">
            <w:pPr>
              <w:snapToGrid w:val="0"/>
              <w:spacing w:line="400" w:lineRule="exact"/>
              <w:jc w:val="center"/>
              <w:rPr>
                <w:rFonts w:ascii="宋体" w:hAnsi="宋体" w:cs="宋体"/>
                <w:color w:val="auto"/>
                <w:szCs w:val="21"/>
                <w:highlight w:val="none"/>
              </w:rPr>
            </w:pPr>
          </w:p>
        </w:tc>
        <w:tc>
          <w:tcPr>
            <w:tcW w:w="714" w:type="dxa"/>
            <w:noWrap w:val="0"/>
            <w:vAlign w:val="center"/>
          </w:tcPr>
          <w:p w14:paraId="7804A513">
            <w:pPr>
              <w:snapToGrid w:val="0"/>
              <w:spacing w:line="400" w:lineRule="exact"/>
              <w:jc w:val="center"/>
              <w:rPr>
                <w:rFonts w:ascii="宋体" w:hAnsi="宋体" w:cs="宋体"/>
                <w:color w:val="auto"/>
                <w:szCs w:val="21"/>
                <w:highlight w:val="none"/>
              </w:rPr>
            </w:pPr>
          </w:p>
        </w:tc>
        <w:tc>
          <w:tcPr>
            <w:tcW w:w="1545" w:type="dxa"/>
            <w:noWrap w:val="0"/>
            <w:vAlign w:val="center"/>
          </w:tcPr>
          <w:p w14:paraId="2AB4648E">
            <w:pPr>
              <w:snapToGrid w:val="0"/>
              <w:spacing w:line="400" w:lineRule="exact"/>
              <w:jc w:val="center"/>
              <w:rPr>
                <w:rFonts w:ascii="宋体" w:hAnsi="宋体" w:cs="宋体"/>
                <w:color w:val="auto"/>
                <w:szCs w:val="21"/>
                <w:highlight w:val="none"/>
              </w:rPr>
            </w:pPr>
          </w:p>
        </w:tc>
        <w:tc>
          <w:tcPr>
            <w:tcW w:w="1575" w:type="dxa"/>
            <w:noWrap w:val="0"/>
            <w:vAlign w:val="center"/>
          </w:tcPr>
          <w:p w14:paraId="579C9F42">
            <w:pPr>
              <w:snapToGrid w:val="0"/>
              <w:spacing w:line="400" w:lineRule="exact"/>
              <w:jc w:val="center"/>
              <w:rPr>
                <w:rFonts w:ascii="宋体" w:hAnsi="宋体" w:cs="宋体"/>
                <w:color w:val="auto"/>
                <w:szCs w:val="21"/>
                <w:highlight w:val="none"/>
              </w:rPr>
            </w:pPr>
          </w:p>
        </w:tc>
      </w:tr>
      <w:tr w14:paraId="6BF7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57FB61A1">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232" w:type="dxa"/>
            <w:noWrap w:val="0"/>
            <w:vAlign w:val="center"/>
          </w:tcPr>
          <w:p w14:paraId="2411C5AB">
            <w:pPr>
              <w:snapToGrid w:val="0"/>
              <w:spacing w:line="400" w:lineRule="exact"/>
              <w:jc w:val="center"/>
              <w:rPr>
                <w:rFonts w:ascii="宋体" w:hAnsi="宋体" w:cs="宋体"/>
                <w:color w:val="auto"/>
                <w:szCs w:val="21"/>
                <w:highlight w:val="none"/>
              </w:rPr>
            </w:pPr>
          </w:p>
        </w:tc>
        <w:tc>
          <w:tcPr>
            <w:tcW w:w="1445" w:type="dxa"/>
            <w:noWrap w:val="0"/>
            <w:vAlign w:val="center"/>
          </w:tcPr>
          <w:p w14:paraId="7D343A28">
            <w:pPr>
              <w:snapToGrid w:val="0"/>
              <w:spacing w:line="400" w:lineRule="exact"/>
              <w:jc w:val="center"/>
              <w:rPr>
                <w:rFonts w:ascii="宋体" w:hAnsi="宋体" w:cs="宋体"/>
                <w:color w:val="auto"/>
                <w:szCs w:val="21"/>
                <w:highlight w:val="none"/>
              </w:rPr>
            </w:pPr>
          </w:p>
        </w:tc>
        <w:tc>
          <w:tcPr>
            <w:tcW w:w="1483" w:type="dxa"/>
            <w:noWrap w:val="0"/>
            <w:vAlign w:val="center"/>
          </w:tcPr>
          <w:p w14:paraId="34790559">
            <w:pPr>
              <w:snapToGrid w:val="0"/>
              <w:spacing w:line="400" w:lineRule="exact"/>
              <w:jc w:val="center"/>
              <w:rPr>
                <w:rFonts w:ascii="宋体" w:hAnsi="宋体" w:cs="宋体"/>
                <w:color w:val="auto"/>
                <w:szCs w:val="21"/>
                <w:highlight w:val="none"/>
              </w:rPr>
            </w:pPr>
          </w:p>
        </w:tc>
        <w:tc>
          <w:tcPr>
            <w:tcW w:w="1073" w:type="dxa"/>
            <w:noWrap w:val="0"/>
            <w:vAlign w:val="center"/>
          </w:tcPr>
          <w:p w14:paraId="1F8D097F">
            <w:pPr>
              <w:snapToGrid w:val="0"/>
              <w:spacing w:line="400" w:lineRule="exact"/>
              <w:jc w:val="center"/>
              <w:rPr>
                <w:rFonts w:ascii="宋体" w:hAnsi="宋体" w:cs="宋体"/>
                <w:color w:val="auto"/>
                <w:szCs w:val="21"/>
                <w:highlight w:val="none"/>
              </w:rPr>
            </w:pPr>
          </w:p>
        </w:tc>
        <w:tc>
          <w:tcPr>
            <w:tcW w:w="714" w:type="dxa"/>
            <w:noWrap w:val="0"/>
            <w:vAlign w:val="center"/>
          </w:tcPr>
          <w:p w14:paraId="34A62CFC">
            <w:pPr>
              <w:snapToGrid w:val="0"/>
              <w:spacing w:line="400" w:lineRule="exact"/>
              <w:jc w:val="center"/>
              <w:rPr>
                <w:rFonts w:ascii="宋体" w:hAnsi="宋体" w:cs="宋体"/>
                <w:color w:val="auto"/>
                <w:szCs w:val="21"/>
                <w:highlight w:val="none"/>
              </w:rPr>
            </w:pPr>
          </w:p>
        </w:tc>
        <w:tc>
          <w:tcPr>
            <w:tcW w:w="1545" w:type="dxa"/>
            <w:noWrap w:val="0"/>
            <w:vAlign w:val="center"/>
          </w:tcPr>
          <w:p w14:paraId="77A8961A">
            <w:pPr>
              <w:snapToGrid w:val="0"/>
              <w:spacing w:line="400" w:lineRule="exact"/>
              <w:jc w:val="center"/>
              <w:rPr>
                <w:rFonts w:ascii="宋体" w:hAnsi="宋体" w:cs="宋体"/>
                <w:color w:val="auto"/>
                <w:szCs w:val="21"/>
                <w:highlight w:val="none"/>
              </w:rPr>
            </w:pPr>
          </w:p>
        </w:tc>
        <w:tc>
          <w:tcPr>
            <w:tcW w:w="1575" w:type="dxa"/>
            <w:noWrap w:val="0"/>
            <w:vAlign w:val="center"/>
          </w:tcPr>
          <w:p w14:paraId="642A4569">
            <w:pPr>
              <w:snapToGrid w:val="0"/>
              <w:spacing w:line="400" w:lineRule="exact"/>
              <w:jc w:val="center"/>
              <w:rPr>
                <w:rFonts w:ascii="宋体" w:hAnsi="宋体" w:cs="宋体"/>
                <w:color w:val="auto"/>
                <w:szCs w:val="21"/>
                <w:highlight w:val="none"/>
              </w:rPr>
            </w:pPr>
          </w:p>
        </w:tc>
      </w:tr>
      <w:tr w14:paraId="348A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noWrap w:val="0"/>
            <w:vAlign w:val="center"/>
          </w:tcPr>
          <w:p w14:paraId="0EF54DD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合     计</w:t>
            </w:r>
          </w:p>
        </w:tc>
        <w:tc>
          <w:tcPr>
            <w:tcW w:w="1575" w:type="dxa"/>
            <w:noWrap w:val="0"/>
            <w:vAlign w:val="center"/>
          </w:tcPr>
          <w:p w14:paraId="1453EFB9">
            <w:pPr>
              <w:snapToGrid w:val="0"/>
              <w:spacing w:line="400" w:lineRule="exact"/>
              <w:rPr>
                <w:rFonts w:ascii="宋体" w:hAnsi="宋体" w:cs="宋体"/>
                <w:color w:val="auto"/>
                <w:szCs w:val="21"/>
                <w:highlight w:val="none"/>
              </w:rPr>
            </w:pPr>
          </w:p>
        </w:tc>
      </w:tr>
    </w:tbl>
    <w:p w14:paraId="39594A35">
      <w:pPr>
        <w:spacing w:line="400" w:lineRule="exact"/>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通知书》的成交内容，合同的总金额为：（大写）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0F8118B">
      <w:pPr>
        <w:spacing w:line="400" w:lineRule="exact"/>
        <w:ind w:firstLine="413" w:firstLineChars="196"/>
        <w:outlineLvl w:val="1"/>
        <w:rPr>
          <w:rFonts w:ascii="宋体" w:hAnsi="宋体" w:cs="宋体"/>
          <w:b/>
          <w:color w:val="auto"/>
          <w:szCs w:val="21"/>
          <w:highlight w:val="none"/>
        </w:rPr>
      </w:pPr>
      <w:bookmarkStart w:id="283" w:name="_Toc15939"/>
      <w:bookmarkStart w:id="284" w:name="_Toc743"/>
      <w:bookmarkStart w:id="285" w:name="_Toc23954"/>
      <w:bookmarkStart w:id="286" w:name="_Toc495841769"/>
      <w:r>
        <w:rPr>
          <w:rFonts w:hint="eastAsia" w:ascii="宋体" w:hAnsi="宋体" w:cs="宋体"/>
          <w:b/>
          <w:color w:val="auto"/>
          <w:szCs w:val="21"/>
          <w:highlight w:val="none"/>
        </w:rPr>
        <w:t>第二条  质量保证</w:t>
      </w:r>
      <w:bookmarkEnd w:id="283"/>
      <w:bookmarkEnd w:id="284"/>
      <w:bookmarkEnd w:id="285"/>
      <w:bookmarkEnd w:id="286"/>
    </w:p>
    <w:p w14:paraId="27A1765C">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1.乙方应按</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文件承诺的货物规格型号、技术参数、质量标准等向甲方提供未经使用的全新原装产品，且在正常安装使用和保养条件下，其使用寿命期内各项指标均达到质量标准。</w:t>
      </w:r>
    </w:p>
    <w:p w14:paraId="2953D60F">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2.乙方提供货物的质量保证期为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厂家规定质保期超过一年的，按厂家规定，“货物采购需求”有规定的，按规定执行）。在质保期内因货物本身的质量问题发生故障，乙方应负责免费修理和更换零部件。对达不到技术要求者，根据实际情况，经双方协商，可按以下第（1）款办法处理：</w:t>
      </w:r>
    </w:p>
    <w:p w14:paraId="1ACA3DBA">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（1）更换：由乙方承担所有发生的全部费用。</w:t>
      </w:r>
    </w:p>
    <w:p w14:paraId="35DA9A9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（2）贬值处理：由甲乙双方合议定价。</w:t>
      </w:r>
    </w:p>
    <w:p w14:paraId="1EA62BB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（3）退货处理：乙方应退还甲方支付的合同款，同时应承担该货物的直接费用（运输、保险、检验、贷款利息及银行手续费等）。</w:t>
      </w:r>
    </w:p>
    <w:p w14:paraId="20CFBDE7">
      <w:pPr>
        <w:spacing w:line="400" w:lineRule="exact"/>
        <w:ind w:firstLine="413" w:firstLineChars="196"/>
        <w:outlineLvl w:val="1"/>
        <w:rPr>
          <w:rFonts w:ascii="宋体" w:hAnsi="宋体" w:cs="宋体"/>
          <w:b/>
          <w:color w:val="auto"/>
          <w:szCs w:val="21"/>
          <w:highlight w:val="none"/>
        </w:rPr>
      </w:pPr>
      <w:bookmarkStart w:id="287" w:name="_Toc28745"/>
      <w:bookmarkStart w:id="288" w:name="_Toc495841770"/>
      <w:bookmarkStart w:id="289" w:name="_Toc20743"/>
      <w:bookmarkStart w:id="290" w:name="_Toc18250"/>
      <w:r>
        <w:rPr>
          <w:rFonts w:hint="eastAsia" w:ascii="宋体" w:hAnsi="宋体" w:cs="宋体"/>
          <w:b/>
          <w:color w:val="auto"/>
          <w:szCs w:val="21"/>
          <w:highlight w:val="none"/>
        </w:rPr>
        <w:t>第三条  权利保证</w:t>
      </w:r>
      <w:bookmarkEnd w:id="287"/>
      <w:bookmarkEnd w:id="288"/>
      <w:bookmarkEnd w:id="289"/>
      <w:bookmarkEnd w:id="290"/>
    </w:p>
    <w:p w14:paraId="5BC7C03E">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1.乙方应保证所提供货物在使用时不会侵犯任何第三方的专利权、商标权、工业设计权或其他权利。</w:t>
      </w:r>
    </w:p>
    <w:p w14:paraId="09BBED8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2.乙方应按招标文件规定的时间向甲方提供使用货物的有关技术资料。</w:t>
      </w:r>
    </w:p>
    <w:p w14:paraId="13F3E3F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3.乙方保证所交付的货物的所有权完全属于乙方且无任何抵押、质押、查封等产权瑕疵。</w:t>
      </w:r>
    </w:p>
    <w:p w14:paraId="096E4B43">
      <w:pPr>
        <w:spacing w:line="400" w:lineRule="exact"/>
        <w:ind w:firstLine="413" w:firstLineChars="196"/>
        <w:outlineLvl w:val="1"/>
        <w:rPr>
          <w:rFonts w:ascii="宋体" w:hAnsi="宋体" w:cs="宋体"/>
          <w:b/>
          <w:color w:val="auto"/>
          <w:szCs w:val="21"/>
          <w:highlight w:val="none"/>
        </w:rPr>
      </w:pPr>
      <w:bookmarkStart w:id="291" w:name="_Toc24662"/>
      <w:bookmarkStart w:id="292" w:name="_Toc495841771"/>
      <w:bookmarkStart w:id="293" w:name="_Toc1435"/>
      <w:bookmarkStart w:id="294" w:name="_Toc23388"/>
      <w:r>
        <w:rPr>
          <w:rFonts w:hint="eastAsia" w:ascii="宋体" w:hAnsi="宋体" w:cs="宋体"/>
          <w:b/>
          <w:color w:val="auto"/>
          <w:szCs w:val="21"/>
          <w:highlight w:val="none"/>
        </w:rPr>
        <w:t>第四条  货物包装、运输</w:t>
      </w:r>
      <w:bookmarkEnd w:id="291"/>
      <w:bookmarkEnd w:id="292"/>
      <w:bookmarkEnd w:id="293"/>
      <w:bookmarkEnd w:id="294"/>
    </w:p>
    <w:p w14:paraId="19F22D0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1.乙方应在货物发运前对其进行满足运输距离、防潮、防震、防锈和防破损装卸等要求包装，以保证货物安全运达甲方指定地点。</w:t>
      </w:r>
    </w:p>
    <w:p w14:paraId="6FF8998B">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2.使用中文说明书（货物属于进口产品的，供货时应同时附上中文使用说明书）、质量检验证明书、随配附件和工具以及清单一并附于货物内。</w:t>
      </w:r>
    </w:p>
    <w:p w14:paraId="7EEB815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3.乙方在货物发运手续办理完毕后二十四小时内或货到甲方四十八小时前通知甲方，以准备接货。</w:t>
      </w:r>
    </w:p>
    <w:p w14:paraId="1DBB64E6">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4.货物在交付甲方前发生的风险均由乙方负责。</w:t>
      </w:r>
    </w:p>
    <w:p w14:paraId="559BFF8A">
      <w:pPr>
        <w:spacing w:line="360" w:lineRule="auto"/>
        <w:ind w:firstLine="413" w:firstLineChars="196"/>
        <w:outlineLvl w:val="1"/>
        <w:rPr>
          <w:rFonts w:hint="eastAsia" w:ascii="宋体" w:hAnsi="宋体" w:cs="宋体"/>
          <w:color w:val="auto"/>
          <w:szCs w:val="21"/>
          <w:highlight w:val="none"/>
        </w:rPr>
      </w:pPr>
      <w:bookmarkStart w:id="295" w:name="_Toc6786"/>
      <w:bookmarkStart w:id="296" w:name="_Toc495841772"/>
      <w:bookmarkStart w:id="297" w:name="_Toc7400"/>
      <w:bookmarkStart w:id="298" w:name="_Toc18868"/>
      <w:r>
        <w:rPr>
          <w:rFonts w:hint="eastAsia" w:ascii="宋体" w:hAnsi="宋体" w:cs="宋体"/>
          <w:b/>
          <w:color w:val="auto"/>
          <w:szCs w:val="21"/>
          <w:highlight w:val="none"/>
        </w:rPr>
        <w:t>第五条  交付</w:t>
      </w:r>
      <w:bookmarkEnd w:id="295"/>
      <w:bookmarkEnd w:id="296"/>
      <w:bookmarkEnd w:id="297"/>
      <w:bookmarkEnd w:id="298"/>
      <w:bookmarkStart w:id="299" w:name="_Toc14073"/>
      <w:bookmarkStart w:id="300" w:name="_Toc495841773"/>
      <w:bookmarkStart w:id="301" w:name="_Toc27611"/>
    </w:p>
    <w:p w14:paraId="55603CC0">
      <w:pPr>
        <w:adjustRightInd w:val="0"/>
        <w:snapToGrid w:val="0"/>
        <w:spacing w:line="360" w:lineRule="auto"/>
        <w:ind w:firstLine="420" w:firstLineChars="200"/>
        <w:rPr>
          <w:bCs/>
          <w:color w:val="auto"/>
          <w:highlight w:val="none"/>
        </w:rPr>
      </w:pPr>
      <w:r>
        <w:rPr>
          <w:rFonts w:hint="eastAsia"/>
          <w:color w:val="auto"/>
          <w:highlight w:val="none"/>
        </w:rPr>
        <w:t>（1）交货期：</w:t>
      </w:r>
      <w:r>
        <w:rPr>
          <w:rFonts w:hint="eastAsia" w:ascii="宋体" w:hAnsi="宋体" w:cs="宋体"/>
          <w:bCs/>
          <w:color w:val="auto"/>
          <w:szCs w:val="21"/>
          <w:highlight w:val="none"/>
        </w:rPr>
        <w:t>由于物品发放时间紧急,</w:t>
      </w:r>
      <w:r>
        <w:rPr>
          <w:rFonts w:hint="eastAsia"/>
          <w:bCs/>
          <w:color w:val="auto"/>
          <w:highlight w:val="none"/>
        </w:rPr>
        <w:t>在202</w:t>
      </w:r>
      <w:r>
        <w:rPr>
          <w:rFonts w:hint="eastAsia"/>
          <w:bCs/>
          <w:color w:val="auto"/>
          <w:highlight w:val="none"/>
          <w:lang w:val="en-US" w:eastAsia="zh-CN"/>
        </w:rPr>
        <w:t>5</w:t>
      </w:r>
      <w:r>
        <w:rPr>
          <w:rFonts w:hint="eastAsia"/>
          <w:bCs/>
          <w:color w:val="auto"/>
          <w:highlight w:val="none"/>
        </w:rPr>
        <w:t>年</w:t>
      </w:r>
      <w:r>
        <w:rPr>
          <w:rFonts w:hint="eastAsia"/>
          <w:bCs/>
          <w:color w:val="auto"/>
          <w:highlight w:val="none"/>
          <w:lang w:val="en-US" w:eastAsia="zh-CN"/>
        </w:rPr>
        <w:t>1</w:t>
      </w:r>
      <w:r>
        <w:rPr>
          <w:rFonts w:hint="eastAsia"/>
          <w:bCs/>
          <w:color w:val="auto"/>
          <w:highlight w:val="none"/>
        </w:rPr>
        <w:t>月</w:t>
      </w:r>
      <w:r>
        <w:rPr>
          <w:rFonts w:hint="eastAsia"/>
          <w:bCs/>
          <w:color w:val="auto"/>
          <w:highlight w:val="none"/>
          <w:lang w:val="en-US" w:eastAsia="zh-CN"/>
        </w:rPr>
        <w:t>22</w:t>
      </w:r>
      <w:r>
        <w:rPr>
          <w:rFonts w:hint="eastAsia"/>
          <w:bCs/>
          <w:color w:val="auto"/>
          <w:highlight w:val="none"/>
        </w:rPr>
        <w:t>日前完成交付使用</w:t>
      </w:r>
      <w:r>
        <w:rPr>
          <w:rFonts w:hint="eastAsia"/>
          <w:color w:val="auto"/>
          <w:highlight w:val="none"/>
        </w:rPr>
        <w:t>，不能延期，如果延期将按违约处理。</w:t>
      </w:r>
    </w:p>
    <w:p w14:paraId="0E458586">
      <w:pPr>
        <w:adjustRightInd w:val="0"/>
        <w:snapToGrid w:val="0"/>
        <w:spacing w:line="360" w:lineRule="auto"/>
        <w:ind w:firstLine="420" w:firstLineChars="200"/>
        <w:rPr>
          <w:rFonts w:hint="eastAsia" w:eastAsia="宋体"/>
          <w:color w:val="auto"/>
          <w:highlight w:val="none"/>
          <w:lang w:eastAsia="zh-CN"/>
        </w:rPr>
      </w:pPr>
      <w:r>
        <w:rPr>
          <w:rFonts w:hint="eastAsia"/>
          <w:color w:val="auto"/>
          <w:highlight w:val="none"/>
        </w:rPr>
        <w:t>（2）交货地点：广西桂林市采购人指定地点（涉及多个地点）</w:t>
      </w:r>
      <w:r>
        <w:rPr>
          <w:rFonts w:hint="eastAsia"/>
          <w:color w:val="auto"/>
          <w:highlight w:val="none"/>
          <w:lang w:eastAsia="zh-CN"/>
        </w:rPr>
        <w:t>。</w:t>
      </w:r>
    </w:p>
    <w:p w14:paraId="20D81513">
      <w:pPr>
        <w:spacing w:line="360" w:lineRule="auto"/>
        <w:ind w:firstLine="413" w:firstLineChars="196"/>
        <w:outlineLvl w:val="1"/>
        <w:rPr>
          <w:rFonts w:ascii="宋体" w:hAnsi="宋体" w:cs="宋体"/>
          <w:b/>
          <w:color w:val="auto"/>
          <w:szCs w:val="21"/>
          <w:highlight w:val="none"/>
        </w:rPr>
      </w:pPr>
      <w:bookmarkStart w:id="302" w:name="_Toc15018"/>
      <w:r>
        <w:rPr>
          <w:rFonts w:hint="eastAsia" w:ascii="宋体" w:hAnsi="宋体" w:cs="宋体"/>
          <w:b/>
          <w:color w:val="auto"/>
          <w:szCs w:val="21"/>
          <w:highlight w:val="none"/>
        </w:rPr>
        <w:t>第六条  调试和验收</w:t>
      </w:r>
      <w:bookmarkEnd w:id="299"/>
      <w:bookmarkEnd w:id="300"/>
      <w:bookmarkEnd w:id="301"/>
      <w:bookmarkEnd w:id="302"/>
    </w:p>
    <w:p w14:paraId="6BB5B97C">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color w:val="auto"/>
          <w:highlight w:val="none"/>
        </w:rPr>
        <w:t>验收标准：按</w:t>
      </w:r>
      <w:r>
        <w:rPr>
          <w:rFonts w:hint="eastAsia"/>
          <w:color w:val="auto"/>
          <w:highlight w:val="none"/>
          <w:lang w:val="en-US" w:eastAsia="zh-CN"/>
        </w:rPr>
        <w:t>招标</w:t>
      </w:r>
      <w:r>
        <w:rPr>
          <w:rFonts w:hint="eastAsia"/>
          <w:color w:val="auto"/>
          <w:highlight w:val="none"/>
        </w:rPr>
        <w:t>文件要求，供应商响应承诺及强制执行的国家、行业、地方标准要求验收。供应商的响应文件承诺必须是真实、有效的响应和承诺。所提供的硬件设备必须为原装正品的、全新的、完好无破损、且为未开箱状态的产品，产品应符合相关国家标准、行业标准、地方标准或者其他标准、规范等有关质量标准；硬件设备到货安装前，软件产品交付时，采购人于现场根据</w:t>
      </w:r>
      <w:r>
        <w:rPr>
          <w:rFonts w:hint="eastAsia"/>
          <w:color w:val="auto"/>
          <w:highlight w:val="none"/>
          <w:lang w:val="en-US" w:eastAsia="zh-CN"/>
        </w:rPr>
        <w:t>招标</w:t>
      </w:r>
      <w:r>
        <w:rPr>
          <w:rFonts w:hint="eastAsia"/>
          <w:color w:val="auto"/>
          <w:highlight w:val="none"/>
        </w:rPr>
        <w:t>文件要求及</w:t>
      </w:r>
      <w:r>
        <w:rPr>
          <w:rFonts w:hint="eastAsia"/>
          <w:color w:val="auto"/>
          <w:highlight w:val="none"/>
          <w:lang w:val="en-US" w:eastAsia="zh-CN"/>
        </w:rPr>
        <w:t>投标</w:t>
      </w:r>
      <w:r>
        <w:rPr>
          <w:rFonts w:hint="eastAsia"/>
          <w:color w:val="auto"/>
          <w:highlight w:val="none"/>
        </w:rPr>
        <w:t>文件承诺逐条对应进行核验，核验不合格的，采购人有权终止合同执行并全部退货，同时报相关监督管理部门处理，由此造成采购人损失的由成交供应商负责承担全部赔偿责任。</w:t>
      </w:r>
    </w:p>
    <w:p w14:paraId="177BE33F">
      <w:pPr>
        <w:spacing w:line="400" w:lineRule="exact"/>
        <w:ind w:firstLine="413" w:firstLineChars="196"/>
        <w:outlineLvl w:val="1"/>
        <w:rPr>
          <w:rFonts w:ascii="宋体" w:hAnsi="宋体" w:cs="宋体"/>
          <w:b/>
          <w:color w:val="auto"/>
          <w:szCs w:val="21"/>
          <w:highlight w:val="none"/>
        </w:rPr>
      </w:pPr>
      <w:bookmarkStart w:id="303" w:name="_Toc15933"/>
      <w:bookmarkStart w:id="304" w:name="_Toc724"/>
      <w:bookmarkStart w:id="305" w:name="_Toc26400"/>
      <w:bookmarkStart w:id="306" w:name="_Toc495841774"/>
      <w:r>
        <w:rPr>
          <w:rFonts w:hint="eastAsia" w:ascii="宋体" w:hAnsi="宋体" w:cs="宋体"/>
          <w:b/>
          <w:color w:val="auto"/>
          <w:szCs w:val="21"/>
          <w:highlight w:val="none"/>
        </w:rPr>
        <w:t>第七条  安装和培训</w:t>
      </w:r>
      <w:bookmarkEnd w:id="303"/>
      <w:bookmarkEnd w:id="304"/>
      <w:bookmarkEnd w:id="305"/>
      <w:bookmarkEnd w:id="306"/>
    </w:p>
    <w:p w14:paraId="44529237">
      <w:pPr>
        <w:tabs>
          <w:tab w:val="left" w:pos="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1.甲方应提供必要安装条件（如场地、电源、水源等）。</w:t>
      </w:r>
    </w:p>
    <w:p w14:paraId="054F6D79">
      <w:pPr>
        <w:tabs>
          <w:tab w:val="left" w:pos="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2.乙方负责甲方有关人员的培训。培训时间、地点：</w:t>
      </w:r>
      <w:r>
        <w:rPr>
          <w:rFonts w:hint="eastAsia" w:ascii="宋体" w:hAnsi="宋体" w:cs="宋体"/>
          <w:bCs/>
          <w:color w:val="auto"/>
          <w:kern w:val="0"/>
          <w:szCs w:val="21"/>
          <w:highlight w:val="none"/>
        </w:rPr>
        <w:t>采购人指定地点。</w:t>
      </w:r>
    </w:p>
    <w:p w14:paraId="02448F5A">
      <w:pPr>
        <w:spacing w:line="400" w:lineRule="exact"/>
        <w:ind w:firstLine="413" w:firstLineChars="196"/>
        <w:outlineLvl w:val="1"/>
        <w:rPr>
          <w:rFonts w:ascii="宋体" w:hAnsi="宋体" w:cs="宋体"/>
          <w:b/>
          <w:color w:val="auto"/>
          <w:szCs w:val="21"/>
          <w:highlight w:val="none"/>
        </w:rPr>
      </w:pPr>
      <w:bookmarkStart w:id="307" w:name="_Toc495841775"/>
      <w:bookmarkStart w:id="308" w:name="_Toc29939"/>
      <w:bookmarkStart w:id="309" w:name="_Toc2489"/>
      <w:bookmarkStart w:id="310" w:name="_Toc20484"/>
      <w:r>
        <w:rPr>
          <w:rFonts w:hint="eastAsia" w:ascii="宋体" w:hAnsi="宋体" w:cs="宋体"/>
          <w:b/>
          <w:color w:val="auto"/>
          <w:szCs w:val="21"/>
          <w:highlight w:val="none"/>
        </w:rPr>
        <w:t>第八条  售后服务、保修期</w:t>
      </w:r>
      <w:bookmarkEnd w:id="307"/>
      <w:bookmarkEnd w:id="308"/>
      <w:bookmarkEnd w:id="309"/>
      <w:bookmarkEnd w:id="310"/>
    </w:p>
    <w:p w14:paraId="295CFE98">
      <w:pPr>
        <w:tabs>
          <w:tab w:val="left" w:pos="0"/>
        </w:tabs>
        <w:spacing w:line="400" w:lineRule="exact"/>
        <w:rPr>
          <w:rFonts w:ascii="宋体" w:hAnsi="宋体" w:cs="宋体"/>
          <w:color w:val="auto"/>
          <w:szCs w:val="21"/>
          <w:highlight w:val="none"/>
        </w:rPr>
      </w:pPr>
      <w:bookmarkStart w:id="311" w:name="_Toc9622"/>
      <w:bookmarkStart w:id="312" w:name="_Toc495841776"/>
      <w:bookmarkStart w:id="313" w:name="_Toc12595"/>
      <w:r>
        <w:rPr>
          <w:rFonts w:hint="eastAsia" w:ascii="宋体" w:hAnsi="宋体" w:cs="宋体"/>
          <w:color w:val="auto"/>
          <w:szCs w:val="21"/>
          <w:highlight w:val="none"/>
        </w:rPr>
        <w:t xml:space="preserve">    1.乙方应按照国家有关法律规定和“三包”规定以及</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和</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文件及本合同所附《服务承诺》，为甲方提供售后服务。</w:t>
      </w:r>
    </w:p>
    <w:p w14:paraId="2F00C99C">
      <w:pPr>
        <w:tabs>
          <w:tab w:val="left" w:pos="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2.如在使用过程中发生质量问题，乙方在接到甲方通知后在小时内到达甲方现场处理。</w:t>
      </w:r>
    </w:p>
    <w:p w14:paraId="0000EA5A">
      <w:pPr>
        <w:tabs>
          <w:tab w:val="left" w:pos="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3.在质保期内，乙方应对货物出现的质量及安全问题负责处理解决并承担一切费用。</w:t>
      </w:r>
    </w:p>
    <w:p w14:paraId="1FC410C2">
      <w:pPr>
        <w:tabs>
          <w:tab w:val="left" w:pos="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4.货物免费保修期为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年（免费保修期自货物安装调试并在验收合格之日起计算），需免费上门保修服务。因人为因素出现的故障不在免费保修范围内。超过保修期的货物，终生维修，维修时只收部件成本费。</w:t>
      </w:r>
    </w:p>
    <w:p w14:paraId="6A19314B">
      <w:pPr>
        <w:spacing w:line="400" w:lineRule="exact"/>
        <w:ind w:firstLine="413" w:firstLineChars="196"/>
        <w:outlineLvl w:val="1"/>
        <w:rPr>
          <w:rFonts w:ascii="宋体" w:hAnsi="宋体" w:cs="宋体"/>
          <w:b/>
          <w:color w:val="auto"/>
          <w:szCs w:val="21"/>
          <w:highlight w:val="none"/>
        </w:rPr>
      </w:pPr>
      <w:bookmarkStart w:id="314" w:name="_Toc15982"/>
      <w:r>
        <w:rPr>
          <w:rFonts w:hint="eastAsia" w:ascii="宋体" w:hAnsi="宋体" w:cs="宋体"/>
          <w:b/>
          <w:color w:val="auto"/>
          <w:szCs w:val="21"/>
          <w:highlight w:val="none"/>
        </w:rPr>
        <w:t>第九条  税费</w:t>
      </w:r>
      <w:bookmarkEnd w:id="311"/>
      <w:bookmarkEnd w:id="312"/>
      <w:bookmarkEnd w:id="313"/>
      <w:bookmarkEnd w:id="314"/>
    </w:p>
    <w:p w14:paraId="0D1A5AC8">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7B721B34">
      <w:pPr>
        <w:spacing w:line="400" w:lineRule="exact"/>
        <w:ind w:firstLine="413" w:firstLineChars="196"/>
        <w:outlineLvl w:val="1"/>
        <w:rPr>
          <w:rFonts w:ascii="宋体" w:hAnsi="宋体" w:cs="宋体"/>
          <w:b/>
          <w:color w:val="auto"/>
          <w:szCs w:val="21"/>
          <w:highlight w:val="none"/>
        </w:rPr>
      </w:pPr>
      <w:bookmarkStart w:id="315" w:name="_Toc495841777"/>
      <w:bookmarkStart w:id="316" w:name="_Toc21277"/>
      <w:bookmarkStart w:id="317" w:name="_Toc19838"/>
      <w:bookmarkStart w:id="318" w:name="_Toc18828"/>
      <w:r>
        <w:rPr>
          <w:rFonts w:hint="eastAsia" w:ascii="宋体" w:hAnsi="宋体" w:cs="宋体"/>
          <w:b/>
          <w:color w:val="auto"/>
          <w:szCs w:val="21"/>
          <w:highlight w:val="none"/>
        </w:rPr>
        <w:t>第十条  付款方式</w:t>
      </w:r>
      <w:bookmarkEnd w:id="315"/>
      <w:bookmarkEnd w:id="316"/>
      <w:bookmarkEnd w:id="317"/>
      <w:bookmarkEnd w:id="318"/>
    </w:p>
    <w:p w14:paraId="5DCEA433">
      <w:pPr>
        <w:adjustRightInd w:val="0"/>
        <w:snapToGrid w:val="0"/>
        <w:spacing w:line="360" w:lineRule="auto"/>
        <w:ind w:firstLine="420" w:firstLineChars="200"/>
        <w:rPr>
          <w:rFonts w:hint="eastAsia"/>
          <w:color w:val="auto"/>
          <w:highlight w:val="none"/>
        </w:rPr>
      </w:pPr>
      <w:bookmarkStart w:id="319" w:name="_Toc19042"/>
      <w:bookmarkStart w:id="320" w:name="_Toc16444"/>
      <w:bookmarkStart w:id="321" w:name="_Toc495841778"/>
      <w:r>
        <w:rPr>
          <w:rFonts w:hint="eastAsia"/>
          <w:color w:val="auto"/>
          <w:highlight w:val="none"/>
        </w:rPr>
        <w:t>本项目无预付款，成交供应商交货并经验收合格后，采购人自收到供应商提供的全额正规合法含税发票后，10个工作日内一次性付清合同款项。</w:t>
      </w:r>
    </w:p>
    <w:p w14:paraId="2AA69AAD">
      <w:pPr>
        <w:spacing w:line="400" w:lineRule="exact"/>
        <w:ind w:firstLine="413" w:firstLineChars="196"/>
        <w:outlineLvl w:val="1"/>
        <w:rPr>
          <w:rFonts w:ascii="宋体" w:hAnsi="宋体" w:cs="宋体"/>
          <w:b/>
          <w:color w:val="auto"/>
          <w:szCs w:val="21"/>
          <w:highlight w:val="none"/>
        </w:rPr>
      </w:pPr>
      <w:bookmarkStart w:id="322" w:name="_Toc20663"/>
      <w:r>
        <w:rPr>
          <w:rFonts w:hint="eastAsia" w:ascii="宋体" w:hAnsi="宋体" w:cs="宋体"/>
          <w:b/>
          <w:color w:val="auto"/>
          <w:szCs w:val="21"/>
          <w:highlight w:val="none"/>
        </w:rPr>
        <w:t>第十一条  违约责任</w:t>
      </w:r>
      <w:bookmarkEnd w:id="319"/>
      <w:bookmarkEnd w:id="320"/>
      <w:bookmarkEnd w:id="321"/>
      <w:bookmarkEnd w:id="322"/>
    </w:p>
    <w:p w14:paraId="35D2F592">
      <w:pPr>
        <w:spacing w:line="400" w:lineRule="exact"/>
        <w:ind w:firstLine="420" w:firstLineChars="200"/>
        <w:rPr>
          <w:rFonts w:ascii="宋体" w:hAnsi="宋体" w:cs="宋体"/>
          <w:color w:val="auto"/>
          <w:szCs w:val="21"/>
          <w:highlight w:val="none"/>
        </w:rPr>
      </w:pPr>
      <w:bookmarkStart w:id="323" w:name="_Toc24177"/>
      <w:bookmarkStart w:id="324" w:name="_Toc5808"/>
      <w:bookmarkStart w:id="325" w:name="_Toc495841779"/>
      <w:r>
        <w:rPr>
          <w:rFonts w:hint="eastAsia" w:ascii="宋体" w:hAnsi="宋体" w:cs="宋体"/>
          <w:color w:val="auto"/>
          <w:szCs w:val="21"/>
          <w:highlight w:val="none"/>
        </w:rPr>
        <w:t>1. 乙方所提供的货物规格、技术标准、材料等质量不合格的，应及时更换，更换不及时的按逾期交货处罚，乙方应向甲方支付合同金额</w:t>
      </w:r>
      <w:r>
        <w:rPr>
          <w:rFonts w:hint="eastAsia" w:ascii="宋体" w:hAnsi="宋体" w:cs="宋体"/>
          <w:color w:val="auto"/>
          <w:szCs w:val="21"/>
          <w:highlight w:val="none"/>
          <w:u w:val="single"/>
        </w:rPr>
        <w:t>5</w:t>
      </w:r>
      <w:r>
        <w:rPr>
          <w:rFonts w:hint="eastAsia" w:ascii="宋体" w:hAnsi="宋体" w:cs="宋体"/>
          <w:color w:val="auto"/>
          <w:szCs w:val="21"/>
          <w:highlight w:val="none"/>
        </w:rPr>
        <w:t>%违约金并赔偿甲方经济损失。</w:t>
      </w:r>
    </w:p>
    <w:p w14:paraId="316CE196">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 乙方提供的货物如果侵犯了第三方合法权益而引发的任何纠纷或诉讼，均由乙方负责交涉并承担全部责任。</w:t>
      </w:r>
    </w:p>
    <w:p w14:paraId="41EF0CC8">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 因包装、运输引起的货物损坏，按质量不合格处理。</w:t>
      </w:r>
    </w:p>
    <w:p w14:paraId="41D09148">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 甲方无故延期接收货物、乙方逾期交货的，每天向对方偿付违约货款额</w:t>
      </w:r>
      <w:r>
        <w:rPr>
          <w:rFonts w:hint="eastAsia" w:ascii="宋体" w:hAnsi="宋体" w:cs="宋体"/>
          <w:color w:val="auto"/>
          <w:szCs w:val="21"/>
          <w:highlight w:val="none"/>
          <w:u w:val="single"/>
        </w:rPr>
        <w:t>0.5‰</w:t>
      </w:r>
      <w:r>
        <w:rPr>
          <w:rFonts w:hint="eastAsia" w:ascii="宋体" w:hAnsi="宋体" w:cs="宋体"/>
          <w:color w:val="auto"/>
          <w:szCs w:val="21"/>
          <w:highlight w:val="none"/>
        </w:rPr>
        <w:t>违约金，但违约金累计不得超过违约货款额5</w:t>
      </w:r>
      <w:r>
        <w:rPr>
          <w:rFonts w:hint="eastAsia" w:ascii="宋体" w:hAnsi="宋体" w:cs="宋体"/>
          <w:color w:val="auto"/>
          <w:szCs w:val="21"/>
          <w:highlight w:val="none"/>
          <w:u w:val="single"/>
        </w:rPr>
        <w:t>%</w:t>
      </w:r>
      <w:r>
        <w:rPr>
          <w:rFonts w:hint="eastAsia" w:ascii="宋体" w:hAnsi="宋体" w:cs="宋体"/>
          <w:color w:val="auto"/>
          <w:szCs w:val="21"/>
          <w:highlight w:val="none"/>
        </w:rPr>
        <w:t>，超过</w:t>
      </w:r>
      <w:r>
        <w:rPr>
          <w:rFonts w:hint="eastAsia" w:ascii="宋体" w:hAnsi="宋体" w:cs="宋体"/>
          <w:color w:val="auto"/>
          <w:szCs w:val="21"/>
          <w:highlight w:val="none"/>
          <w:u w:val="single"/>
        </w:rPr>
        <w:t xml:space="preserve"> 30</w:t>
      </w:r>
      <w:r>
        <w:rPr>
          <w:rFonts w:hint="eastAsia" w:ascii="宋体" w:hAnsi="宋体" w:cs="宋体"/>
          <w:color w:val="auto"/>
          <w:szCs w:val="21"/>
          <w:highlight w:val="none"/>
        </w:rPr>
        <w:t>天对方有权解除合同，违约方承担因此给对方造成经济损失；甲方延期付货款的，每天向乙方偿付延期货款额</w:t>
      </w:r>
      <w:r>
        <w:rPr>
          <w:rFonts w:hint="eastAsia" w:ascii="宋体" w:hAnsi="宋体" w:cs="宋体"/>
          <w:color w:val="auto"/>
          <w:szCs w:val="21"/>
          <w:highlight w:val="none"/>
          <w:u w:val="single"/>
        </w:rPr>
        <w:t>0.5</w:t>
      </w:r>
      <w:r>
        <w:rPr>
          <w:rFonts w:hint="eastAsia" w:ascii="宋体" w:hAnsi="宋体" w:cs="宋体"/>
          <w:color w:val="auto"/>
          <w:szCs w:val="21"/>
          <w:highlight w:val="none"/>
        </w:rPr>
        <w:t>‰滞纳金，但滞纳金累计不得超过延期货款额</w:t>
      </w:r>
      <w:r>
        <w:rPr>
          <w:rFonts w:hint="eastAsia" w:ascii="宋体" w:hAnsi="宋体" w:cs="宋体"/>
          <w:color w:val="auto"/>
          <w:szCs w:val="21"/>
          <w:highlight w:val="none"/>
          <w:u w:val="single"/>
        </w:rPr>
        <w:t>5%</w:t>
      </w:r>
      <w:r>
        <w:rPr>
          <w:rFonts w:hint="eastAsia" w:ascii="宋体" w:hAnsi="宋体" w:cs="宋体"/>
          <w:color w:val="auto"/>
          <w:szCs w:val="21"/>
          <w:highlight w:val="none"/>
        </w:rPr>
        <w:t>。</w:t>
      </w:r>
    </w:p>
    <w:p w14:paraId="485B4484">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 乙方未按本合同和投标文件中规定的服务承诺提供售后服务的，乙方应按本合同合同金额5%向甲方支付违约金。</w:t>
      </w:r>
    </w:p>
    <w:p w14:paraId="109C13D6">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6. 乙方提供的货物在质保期内，因设计、工艺或材料的缺陷和其他质量原因造成的问题，由乙方负责。</w:t>
      </w:r>
    </w:p>
    <w:p w14:paraId="57EDE23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7. 其他违约行为按违约货款额</w:t>
      </w:r>
      <w:r>
        <w:rPr>
          <w:rFonts w:hint="eastAsia" w:ascii="宋体" w:hAnsi="宋体" w:cs="宋体"/>
          <w:color w:val="auto"/>
          <w:szCs w:val="21"/>
          <w:highlight w:val="none"/>
          <w:u w:val="single"/>
        </w:rPr>
        <w:t>2</w:t>
      </w:r>
      <w:r>
        <w:rPr>
          <w:rFonts w:hint="eastAsia" w:ascii="宋体" w:hAnsi="宋体" w:cs="宋体"/>
          <w:color w:val="auto"/>
          <w:szCs w:val="21"/>
          <w:highlight w:val="none"/>
        </w:rPr>
        <w:t>%收取违约金并赔偿经济损失。</w:t>
      </w:r>
    </w:p>
    <w:p w14:paraId="056F7E12">
      <w:pPr>
        <w:spacing w:line="400" w:lineRule="exact"/>
        <w:ind w:firstLine="413" w:firstLineChars="196"/>
        <w:outlineLvl w:val="1"/>
        <w:rPr>
          <w:rFonts w:ascii="宋体" w:hAnsi="宋体" w:cs="宋体"/>
          <w:b/>
          <w:color w:val="auto"/>
          <w:szCs w:val="21"/>
          <w:highlight w:val="none"/>
        </w:rPr>
      </w:pPr>
      <w:bookmarkStart w:id="326" w:name="_Toc19969"/>
      <w:r>
        <w:rPr>
          <w:rFonts w:hint="eastAsia" w:ascii="宋体" w:hAnsi="宋体" w:cs="宋体"/>
          <w:b/>
          <w:color w:val="auto"/>
          <w:szCs w:val="21"/>
          <w:highlight w:val="none"/>
        </w:rPr>
        <w:t>第十二条  不可抗力事件处理</w:t>
      </w:r>
      <w:bookmarkEnd w:id="323"/>
      <w:bookmarkEnd w:id="324"/>
      <w:bookmarkEnd w:id="325"/>
      <w:bookmarkEnd w:id="326"/>
    </w:p>
    <w:p w14:paraId="1FA043E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1.在合同有效期内，乙方因不可抗力事件导致不能履行合同，则合同履行期可延长，其延长期与不可抗力影响期相同。</w:t>
      </w:r>
    </w:p>
    <w:p w14:paraId="07192F10">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04C39DB1">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0B9C5187">
      <w:pPr>
        <w:spacing w:line="400" w:lineRule="exact"/>
        <w:ind w:firstLine="413" w:firstLineChars="196"/>
        <w:outlineLvl w:val="1"/>
        <w:rPr>
          <w:rFonts w:ascii="宋体" w:hAnsi="宋体" w:cs="宋体"/>
          <w:b/>
          <w:color w:val="auto"/>
          <w:szCs w:val="21"/>
          <w:highlight w:val="none"/>
        </w:rPr>
      </w:pPr>
      <w:bookmarkStart w:id="327" w:name="_Toc9"/>
      <w:bookmarkStart w:id="328" w:name="_Toc14510"/>
      <w:bookmarkStart w:id="329" w:name="_Toc3137"/>
      <w:bookmarkStart w:id="330" w:name="_Toc495841780"/>
      <w:r>
        <w:rPr>
          <w:rFonts w:hint="eastAsia" w:ascii="宋体" w:hAnsi="宋体" w:cs="宋体"/>
          <w:b/>
          <w:color w:val="auto"/>
          <w:szCs w:val="21"/>
          <w:highlight w:val="none"/>
        </w:rPr>
        <w:t>第十三条  合同争议解决</w:t>
      </w:r>
      <w:bookmarkEnd w:id="327"/>
      <w:bookmarkEnd w:id="328"/>
      <w:bookmarkEnd w:id="329"/>
      <w:bookmarkEnd w:id="330"/>
    </w:p>
    <w:p w14:paraId="773DA1B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2E62A3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2.因履行本合同引起的或与本合同有关的争议，甲乙双方应首先通过友好协商解决，如果协商不能解决，可向项目所在地辖区人民法院提起诉讼。</w:t>
      </w:r>
    </w:p>
    <w:p w14:paraId="0D143576">
      <w:pPr>
        <w:spacing w:line="400" w:lineRule="exact"/>
        <w:ind w:left="435"/>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4E31BD9D">
      <w:pPr>
        <w:spacing w:line="400" w:lineRule="exact"/>
        <w:ind w:firstLine="413" w:firstLineChars="196"/>
        <w:outlineLvl w:val="1"/>
        <w:rPr>
          <w:rFonts w:ascii="宋体" w:hAnsi="宋体" w:cs="宋体"/>
          <w:b/>
          <w:color w:val="auto"/>
          <w:szCs w:val="21"/>
          <w:highlight w:val="none"/>
        </w:rPr>
      </w:pPr>
      <w:bookmarkStart w:id="331" w:name="_Toc10935"/>
      <w:bookmarkStart w:id="332" w:name="_Toc495841781"/>
      <w:bookmarkStart w:id="333" w:name="_Toc15284"/>
      <w:bookmarkStart w:id="334" w:name="_Toc26915"/>
      <w:r>
        <w:rPr>
          <w:rFonts w:hint="eastAsia" w:ascii="宋体" w:hAnsi="宋体" w:cs="宋体"/>
          <w:b/>
          <w:color w:val="auto"/>
          <w:szCs w:val="21"/>
          <w:highlight w:val="none"/>
        </w:rPr>
        <w:t>第十四条  合同生效及其它</w:t>
      </w:r>
      <w:bookmarkEnd w:id="331"/>
      <w:bookmarkEnd w:id="332"/>
      <w:bookmarkEnd w:id="333"/>
      <w:bookmarkEnd w:id="334"/>
    </w:p>
    <w:p w14:paraId="1567A03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1.合同经甲乙双方法定代表人、负责人、自然人或相应的授权代表签字并加盖投标人公章后生效。</w:t>
      </w:r>
    </w:p>
    <w:p w14:paraId="0FFDE54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2.合同执行中涉及采购资金和采购内容修改或补充的，需经同级财政部门审批，并签订书面补充协议报同级财政部门备案，方可作为主合同不可分割的一部分。</w:t>
      </w:r>
    </w:p>
    <w:p w14:paraId="6ABAEF62">
      <w:pPr>
        <w:spacing w:line="400" w:lineRule="exact"/>
        <w:ind w:left="435"/>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1EA83B82">
      <w:pPr>
        <w:spacing w:line="400" w:lineRule="exact"/>
        <w:ind w:firstLine="413" w:firstLineChars="196"/>
        <w:outlineLvl w:val="1"/>
        <w:rPr>
          <w:rFonts w:ascii="宋体" w:hAnsi="宋体" w:cs="宋体"/>
          <w:b/>
          <w:color w:val="auto"/>
          <w:szCs w:val="21"/>
          <w:highlight w:val="none"/>
        </w:rPr>
      </w:pPr>
      <w:bookmarkStart w:id="335" w:name="_Toc29020"/>
      <w:bookmarkStart w:id="336" w:name="_Toc19489"/>
      <w:bookmarkStart w:id="337" w:name="_Toc495841782"/>
      <w:bookmarkStart w:id="338" w:name="_Toc20115"/>
      <w:r>
        <w:rPr>
          <w:rFonts w:hint="eastAsia" w:ascii="宋体" w:hAnsi="宋体" w:cs="宋体"/>
          <w:b/>
          <w:color w:val="auto"/>
          <w:szCs w:val="21"/>
          <w:highlight w:val="none"/>
        </w:rPr>
        <w:t>第十五条  合同的变更、终止与转让</w:t>
      </w:r>
      <w:bookmarkEnd w:id="335"/>
      <w:bookmarkEnd w:id="336"/>
      <w:bookmarkEnd w:id="337"/>
      <w:bookmarkEnd w:id="338"/>
    </w:p>
    <w:p w14:paraId="3CBBDF8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2445C8F9">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2.乙方不得擅自转让(无进口资格的供应商委托进口货物除外)其应履行的合同义务。</w:t>
      </w:r>
    </w:p>
    <w:p w14:paraId="27A0E650">
      <w:pPr>
        <w:spacing w:line="400" w:lineRule="exact"/>
        <w:ind w:firstLine="413" w:firstLineChars="196"/>
        <w:outlineLvl w:val="1"/>
        <w:rPr>
          <w:rFonts w:ascii="宋体" w:hAnsi="宋体" w:cs="宋体"/>
          <w:b/>
          <w:color w:val="auto"/>
          <w:szCs w:val="21"/>
          <w:highlight w:val="none"/>
        </w:rPr>
      </w:pPr>
      <w:bookmarkStart w:id="339" w:name="_Toc28254"/>
      <w:bookmarkStart w:id="340" w:name="_Toc495841783"/>
      <w:bookmarkStart w:id="341" w:name="_Toc8763"/>
      <w:bookmarkStart w:id="342" w:name="_Toc19322"/>
      <w:r>
        <w:rPr>
          <w:rFonts w:hint="eastAsia" w:ascii="宋体" w:hAnsi="宋体" w:cs="宋体"/>
          <w:b/>
          <w:color w:val="auto"/>
          <w:szCs w:val="21"/>
          <w:highlight w:val="none"/>
        </w:rPr>
        <w:t>第十六条  签订本合同依据</w:t>
      </w:r>
      <w:bookmarkEnd w:id="339"/>
      <w:bookmarkEnd w:id="340"/>
      <w:bookmarkEnd w:id="341"/>
      <w:bookmarkEnd w:id="342"/>
    </w:p>
    <w:p w14:paraId="10EC2E49">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w:t>
      </w:r>
    </w:p>
    <w:p w14:paraId="7B01CD7E">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2.乙方提供的投标（或响应）文件；</w:t>
      </w:r>
    </w:p>
    <w:p w14:paraId="686EDCEB">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3.售后服务承诺书；</w:t>
      </w:r>
    </w:p>
    <w:p w14:paraId="79752BF6">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通知书。</w:t>
      </w:r>
    </w:p>
    <w:p w14:paraId="190FA565">
      <w:pPr>
        <w:spacing w:line="400" w:lineRule="exact"/>
        <w:ind w:firstLine="420" w:firstLineChars="200"/>
        <w:rPr>
          <w:color w:val="auto"/>
          <w:highlight w:val="none"/>
        </w:rPr>
      </w:pPr>
      <w:r>
        <w:rPr>
          <w:rFonts w:hint="eastAsia" w:ascii="宋体" w:hAnsi="宋体" w:cs="宋体"/>
          <w:color w:val="auto"/>
          <w:szCs w:val="21"/>
          <w:highlight w:val="none"/>
        </w:rPr>
        <w:t>本合同甲乙双方签字盖章后生效，一式肆份，具有同等法律效力，甲方持壹份、乙方持壹份。</w:t>
      </w:r>
      <w:r>
        <w:rPr>
          <w:rFonts w:hint="eastAsia" w:ascii="宋体" w:hAnsi="宋体" w:cs="宋体"/>
          <w:color w:val="auto"/>
          <w:highlight w:val="none"/>
        </w:rPr>
        <w:t>政府采购合同双方自签订之日起壹个工作日内，乙方</w:t>
      </w:r>
      <w:r>
        <w:rPr>
          <w:rFonts w:hint="eastAsia" w:ascii="宋体" w:hAnsi="宋体" w:cs="宋体"/>
          <w:color w:val="auto"/>
          <w:szCs w:val="21"/>
          <w:highlight w:val="none"/>
        </w:rPr>
        <w:t>将合同原件壹份交采购代理机构，采购人于合同签订之日起七个工作日内将壹份合同原件送本级财政部门备案。</w:t>
      </w:r>
    </w:p>
    <w:p w14:paraId="0FE33A71">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甲方（公章）：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乙方（公章，自然人除外）：</w:t>
      </w:r>
      <w:r>
        <w:rPr>
          <w:rFonts w:hint="eastAsia" w:ascii="宋体" w:hAnsi="宋体" w:cs="宋体"/>
          <w:color w:val="auto"/>
          <w:szCs w:val="21"/>
          <w:highlight w:val="none"/>
          <w:u w:val="single"/>
        </w:rPr>
        <w:t xml:space="preserve">                        </w:t>
      </w:r>
    </w:p>
    <w:p w14:paraId="7332F049">
      <w:pPr>
        <w:spacing w:line="400" w:lineRule="exact"/>
        <w:ind w:left="4620" w:hanging="4620" w:hangingChars="2200"/>
        <w:rPr>
          <w:rFonts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highlight w:val="none"/>
        </w:rPr>
        <w:t>法定代表人（负责人、自然人）签字（属自然人的应在签名处加盖大拇指指印）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002344F">
      <w:pPr>
        <w:tabs>
          <w:tab w:val="left" w:pos="4680"/>
        </w:tabs>
        <w:spacing w:line="400" w:lineRule="exact"/>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40B86127">
      <w:pPr>
        <w:tabs>
          <w:tab w:val="left" w:pos="5040"/>
        </w:tabs>
        <w:spacing w:line="400" w:lineRule="exact"/>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 </w:t>
      </w:r>
      <w:r>
        <w:rPr>
          <w:rFonts w:hint="eastAsia" w:ascii="宋体" w:hAnsi="宋体" w:cs="宋体"/>
          <w:color w:val="auto"/>
          <w:szCs w:val="21"/>
          <w:highlight w:val="none"/>
          <w:u w:val="single"/>
        </w:rPr>
        <w:t xml:space="preserve">                                       </w:t>
      </w:r>
    </w:p>
    <w:p w14:paraId="3467A8E9">
      <w:pPr>
        <w:tabs>
          <w:tab w:val="left" w:pos="5040"/>
        </w:tabs>
        <w:spacing w:line="400" w:lineRule="exact"/>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开户名称：</w:t>
      </w:r>
      <w:r>
        <w:rPr>
          <w:rFonts w:hint="eastAsia" w:ascii="宋体" w:hAnsi="宋体" w:cs="宋体"/>
          <w:color w:val="auto"/>
          <w:szCs w:val="21"/>
          <w:highlight w:val="none"/>
          <w:u w:val="single"/>
        </w:rPr>
        <w:t xml:space="preserve">                                       </w:t>
      </w:r>
    </w:p>
    <w:p w14:paraId="094B90E2">
      <w:pPr>
        <w:tabs>
          <w:tab w:val="left" w:pos="5040"/>
        </w:tabs>
        <w:spacing w:line="400" w:lineRule="exact"/>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45B8D0DE">
      <w:pPr>
        <w:tabs>
          <w:tab w:val="left" w:pos="5040"/>
        </w:tabs>
        <w:spacing w:line="400" w:lineRule="exact"/>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银行账号：</w:t>
      </w:r>
      <w:r>
        <w:rPr>
          <w:rFonts w:hint="eastAsia" w:ascii="宋体" w:hAnsi="宋体" w:cs="宋体"/>
          <w:color w:val="auto"/>
          <w:szCs w:val="21"/>
          <w:highlight w:val="none"/>
          <w:u w:val="single"/>
        </w:rPr>
        <w:t xml:space="preserve">                                       </w:t>
      </w:r>
    </w:p>
    <w:p w14:paraId="38ADCE7E">
      <w:pPr>
        <w:tabs>
          <w:tab w:val="left" w:pos="5040"/>
        </w:tabs>
        <w:spacing w:line="400" w:lineRule="exact"/>
        <w:rPr>
          <w:rFonts w:ascii="宋体" w:hAnsi="宋体" w:cs="宋体"/>
          <w:color w:val="auto"/>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p w14:paraId="3107D550">
      <w:pPr>
        <w:rPr>
          <w:rFonts w:hint="eastAsia"/>
          <w:color w:val="auto"/>
          <w:highlight w:val="none"/>
        </w:rPr>
      </w:pPr>
    </w:p>
    <w:p w14:paraId="3495F49B">
      <w:pPr>
        <w:rPr>
          <w:rFonts w:hint="eastAsia"/>
          <w:color w:val="auto"/>
          <w:highlight w:val="none"/>
        </w:rPr>
      </w:pPr>
    </w:p>
    <w:p w14:paraId="468E1320">
      <w:pPr>
        <w:tabs>
          <w:tab w:val="left" w:pos="4320"/>
          <w:tab w:val="left" w:pos="4500"/>
        </w:tabs>
        <w:spacing w:line="460" w:lineRule="exact"/>
        <w:ind w:firstLine="420" w:firstLineChars="200"/>
        <w:rPr>
          <w:rFonts w:ascii="宋体" w:hAnsi="宋体" w:cs="宋体"/>
          <w:color w:val="auto"/>
          <w:szCs w:val="21"/>
          <w:highlight w:val="none"/>
        </w:rPr>
      </w:pPr>
    </w:p>
    <w:p w14:paraId="1583B221">
      <w:pPr>
        <w:tabs>
          <w:tab w:val="left" w:pos="5040"/>
        </w:tabs>
        <w:spacing w:line="460" w:lineRule="exact"/>
        <w:rPr>
          <w:rFonts w:ascii="宋体" w:hAnsi="宋体" w:cs="宋体"/>
          <w:color w:val="auto"/>
          <w:szCs w:val="21"/>
          <w:highlight w:val="none"/>
        </w:rPr>
      </w:pPr>
    </w:p>
    <w:p w14:paraId="25403B4A">
      <w:pPr>
        <w:spacing w:line="340" w:lineRule="exact"/>
        <w:jc w:val="center"/>
        <w:outlineLvl w:val="0"/>
        <w:rPr>
          <w:rFonts w:ascii="宋体" w:hAnsi="宋体" w:cs="宋体"/>
          <w:b/>
          <w:bCs/>
          <w:color w:val="auto"/>
          <w:kern w:val="44"/>
          <w:sz w:val="32"/>
          <w:szCs w:val="32"/>
          <w:highlight w:val="none"/>
        </w:rPr>
      </w:pPr>
    </w:p>
    <w:p w14:paraId="007B29BC">
      <w:pPr>
        <w:spacing w:line="340" w:lineRule="exact"/>
        <w:jc w:val="center"/>
        <w:outlineLvl w:val="0"/>
        <w:rPr>
          <w:rFonts w:ascii="宋体" w:hAnsi="宋体" w:cs="宋体"/>
          <w:b/>
          <w:bCs/>
          <w:color w:val="auto"/>
          <w:kern w:val="44"/>
          <w:sz w:val="32"/>
          <w:szCs w:val="32"/>
          <w:highlight w:val="none"/>
        </w:rPr>
      </w:pPr>
    </w:p>
    <w:p w14:paraId="45623989">
      <w:pPr>
        <w:spacing w:line="340" w:lineRule="exact"/>
        <w:jc w:val="center"/>
        <w:outlineLvl w:val="0"/>
        <w:rPr>
          <w:rFonts w:ascii="宋体" w:hAnsi="宋体" w:cs="宋体"/>
          <w:b/>
          <w:bCs/>
          <w:color w:val="auto"/>
          <w:kern w:val="44"/>
          <w:sz w:val="32"/>
          <w:szCs w:val="32"/>
          <w:highlight w:val="none"/>
        </w:rPr>
      </w:pPr>
    </w:p>
    <w:p w14:paraId="57D29620">
      <w:pPr>
        <w:spacing w:line="340" w:lineRule="exact"/>
        <w:jc w:val="center"/>
        <w:outlineLvl w:val="0"/>
        <w:rPr>
          <w:rFonts w:ascii="宋体" w:hAnsi="宋体" w:cs="宋体"/>
          <w:b/>
          <w:bCs/>
          <w:color w:val="auto"/>
          <w:kern w:val="44"/>
          <w:sz w:val="32"/>
          <w:szCs w:val="32"/>
          <w:highlight w:val="none"/>
        </w:rPr>
      </w:pPr>
    </w:p>
    <w:p w14:paraId="2CB819DD">
      <w:pPr>
        <w:spacing w:line="340" w:lineRule="exact"/>
        <w:jc w:val="center"/>
        <w:outlineLvl w:val="0"/>
        <w:rPr>
          <w:rFonts w:ascii="宋体" w:hAnsi="宋体" w:cs="宋体"/>
          <w:b/>
          <w:bCs/>
          <w:color w:val="auto"/>
          <w:kern w:val="44"/>
          <w:sz w:val="32"/>
          <w:szCs w:val="32"/>
          <w:highlight w:val="none"/>
        </w:rPr>
      </w:pPr>
    </w:p>
    <w:p w14:paraId="0627AE2F">
      <w:pPr>
        <w:spacing w:line="340" w:lineRule="exact"/>
        <w:jc w:val="center"/>
        <w:outlineLvl w:val="0"/>
        <w:rPr>
          <w:rFonts w:ascii="宋体" w:hAnsi="宋体" w:cs="宋体"/>
          <w:b/>
          <w:bCs/>
          <w:color w:val="auto"/>
          <w:kern w:val="44"/>
          <w:sz w:val="32"/>
          <w:szCs w:val="32"/>
          <w:highlight w:val="none"/>
        </w:rPr>
      </w:pPr>
    </w:p>
    <w:p w14:paraId="41C9C0A6">
      <w:pPr>
        <w:spacing w:line="340" w:lineRule="exact"/>
        <w:jc w:val="center"/>
        <w:outlineLvl w:val="0"/>
        <w:rPr>
          <w:rFonts w:ascii="宋体" w:hAnsi="宋体" w:cs="宋体"/>
          <w:b/>
          <w:bCs/>
          <w:color w:val="auto"/>
          <w:kern w:val="44"/>
          <w:sz w:val="32"/>
          <w:szCs w:val="32"/>
          <w:highlight w:val="none"/>
        </w:rPr>
      </w:pPr>
    </w:p>
    <w:p w14:paraId="37CFBA36">
      <w:pPr>
        <w:spacing w:line="340" w:lineRule="exact"/>
        <w:jc w:val="center"/>
        <w:outlineLvl w:val="0"/>
        <w:rPr>
          <w:rFonts w:ascii="宋体" w:hAnsi="宋体" w:cs="宋体"/>
          <w:b/>
          <w:bCs/>
          <w:color w:val="auto"/>
          <w:kern w:val="44"/>
          <w:sz w:val="32"/>
          <w:szCs w:val="32"/>
          <w:highlight w:val="none"/>
        </w:rPr>
      </w:pPr>
    </w:p>
    <w:p w14:paraId="3CD5D562">
      <w:pPr>
        <w:spacing w:line="340" w:lineRule="exact"/>
        <w:jc w:val="center"/>
        <w:outlineLvl w:val="0"/>
        <w:rPr>
          <w:rFonts w:ascii="宋体" w:hAnsi="宋体" w:cs="宋体"/>
          <w:b/>
          <w:bCs/>
          <w:color w:val="auto"/>
          <w:kern w:val="44"/>
          <w:sz w:val="32"/>
          <w:szCs w:val="32"/>
          <w:highlight w:val="none"/>
        </w:rPr>
      </w:pPr>
    </w:p>
    <w:p w14:paraId="61ABA03D">
      <w:pPr>
        <w:spacing w:line="340" w:lineRule="exact"/>
        <w:jc w:val="center"/>
        <w:outlineLvl w:val="0"/>
        <w:rPr>
          <w:rFonts w:ascii="宋体" w:hAnsi="宋体" w:cs="宋体"/>
          <w:b/>
          <w:bCs/>
          <w:color w:val="auto"/>
          <w:kern w:val="44"/>
          <w:sz w:val="32"/>
          <w:szCs w:val="32"/>
          <w:highlight w:val="none"/>
        </w:rPr>
      </w:pPr>
    </w:p>
    <w:p w14:paraId="6D92F364">
      <w:pPr>
        <w:spacing w:line="340" w:lineRule="exact"/>
        <w:jc w:val="center"/>
        <w:outlineLvl w:val="0"/>
        <w:rPr>
          <w:rFonts w:ascii="宋体" w:hAnsi="宋体" w:cs="宋体"/>
          <w:b/>
          <w:bCs/>
          <w:color w:val="auto"/>
          <w:kern w:val="44"/>
          <w:sz w:val="32"/>
          <w:szCs w:val="32"/>
          <w:highlight w:val="none"/>
        </w:rPr>
      </w:pPr>
    </w:p>
    <w:p w14:paraId="7531420A">
      <w:pPr>
        <w:spacing w:line="340" w:lineRule="exact"/>
        <w:jc w:val="center"/>
        <w:outlineLvl w:val="0"/>
        <w:rPr>
          <w:rFonts w:ascii="宋体" w:hAnsi="宋体" w:cs="宋体"/>
          <w:b/>
          <w:bCs/>
          <w:color w:val="auto"/>
          <w:kern w:val="44"/>
          <w:sz w:val="32"/>
          <w:szCs w:val="32"/>
          <w:highlight w:val="none"/>
        </w:rPr>
      </w:pPr>
    </w:p>
    <w:p w14:paraId="6DAD2D8C">
      <w:pPr>
        <w:spacing w:line="340" w:lineRule="exact"/>
        <w:jc w:val="center"/>
        <w:outlineLvl w:val="0"/>
        <w:rPr>
          <w:rFonts w:ascii="宋体" w:hAnsi="宋体" w:cs="宋体"/>
          <w:b/>
          <w:bCs/>
          <w:color w:val="auto"/>
          <w:kern w:val="44"/>
          <w:sz w:val="32"/>
          <w:szCs w:val="32"/>
          <w:highlight w:val="none"/>
        </w:rPr>
      </w:pPr>
    </w:p>
    <w:p w14:paraId="06E2114B">
      <w:pPr>
        <w:spacing w:line="340" w:lineRule="exact"/>
        <w:jc w:val="center"/>
        <w:outlineLvl w:val="0"/>
        <w:rPr>
          <w:rFonts w:ascii="宋体" w:hAnsi="宋体" w:cs="宋体"/>
          <w:b/>
          <w:bCs/>
          <w:color w:val="auto"/>
          <w:kern w:val="44"/>
          <w:sz w:val="32"/>
          <w:szCs w:val="32"/>
          <w:highlight w:val="none"/>
        </w:rPr>
      </w:pPr>
    </w:p>
    <w:p w14:paraId="0150664A">
      <w:pPr>
        <w:spacing w:line="340" w:lineRule="exact"/>
        <w:jc w:val="center"/>
        <w:outlineLvl w:val="0"/>
        <w:rPr>
          <w:rFonts w:ascii="宋体" w:hAnsi="宋体" w:cs="宋体"/>
          <w:b/>
          <w:bCs/>
          <w:color w:val="auto"/>
          <w:kern w:val="44"/>
          <w:sz w:val="32"/>
          <w:szCs w:val="32"/>
          <w:highlight w:val="none"/>
        </w:rPr>
      </w:pPr>
    </w:p>
    <w:p w14:paraId="199E82A2">
      <w:pPr>
        <w:spacing w:line="340" w:lineRule="exact"/>
        <w:jc w:val="center"/>
        <w:outlineLvl w:val="0"/>
        <w:rPr>
          <w:rFonts w:ascii="宋体" w:hAnsi="宋体" w:cs="宋体"/>
          <w:b/>
          <w:bCs/>
          <w:color w:val="auto"/>
          <w:kern w:val="44"/>
          <w:sz w:val="32"/>
          <w:szCs w:val="32"/>
          <w:highlight w:val="none"/>
        </w:rPr>
      </w:pPr>
    </w:p>
    <w:p w14:paraId="6B47A1E6">
      <w:pPr>
        <w:spacing w:line="340" w:lineRule="exact"/>
        <w:jc w:val="center"/>
        <w:outlineLvl w:val="0"/>
        <w:rPr>
          <w:rFonts w:ascii="宋体" w:hAnsi="宋体" w:cs="宋体"/>
          <w:b/>
          <w:bCs/>
          <w:color w:val="auto"/>
          <w:kern w:val="44"/>
          <w:sz w:val="32"/>
          <w:szCs w:val="32"/>
          <w:highlight w:val="none"/>
        </w:rPr>
      </w:pPr>
    </w:p>
    <w:p w14:paraId="5A6EB258">
      <w:pPr>
        <w:spacing w:line="340" w:lineRule="exact"/>
        <w:jc w:val="center"/>
        <w:outlineLvl w:val="0"/>
        <w:rPr>
          <w:rFonts w:ascii="宋体" w:hAnsi="宋体" w:cs="宋体"/>
          <w:b/>
          <w:bCs/>
          <w:color w:val="auto"/>
          <w:kern w:val="44"/>
          <w:sz w:val="32"/>
          <w:szCs w:val="32"/>
          <w:highlight w:val="none"/>
        </w:rPr>
      </w:pPr>
    </w:p>
    <w:p w14:paraId="74BA8B9E">
      <w:pPr>
        <w:spacing w:line="340" w:lineRule="exact"/>
        <w:jc w:val="center"/>
        <w:outlineLvl w:val="0"/>
        <w:rPr>
          <w:rFonts w:ascii="宋体" w:hAnsi="宋体" w:cs="宋体"/>
          <w:b/>
          <w:bCs/>
          <w:color w:val="auto"/>
          <w:kern w:val="44"/>
          <w:sz w:val="32"/>
          <w:szCs w:val="32"/>
          <w:highlight w:val="none"/>
        </w:rPr>
      </w:pPr>
    </w:p>
    <w:p w14:paraId="6319058C">
      <w:pPr>
        <w:spacing w:line="340" w:lineRule="exact"/>
        <w:jc w:val="center"/>
        <w:outlineLvl w:val="0"/>
        <w:rPr>
          <w:rFonts w:ascii="宋体" w:hAnsi="宋体" w:cs="宋体"/>
          <w:b/>
          <w:bCs/>
          <w:color w:val="auto"/>
          <w:kern w:val="44"/>
          <w:sz w:val="32"/>
          <w:szCs w:val="32"/>
          <w:highlight w:val="none"/>
        </w:rPr>
      </w:pPr>
    </w:p>
    <w:p w14:paraId="1DAD8C87">
      <w:pPr>
        <w:spacing w:line="340" w:lineRule="exact"/>
        <w:jc w:val="center"/>
        <w:outlineLvl w:val="0"/>
        <w:rPr>
          <w:rFonts w:ascii="宋体" w:hAnsi="宋体" w:cs="宋体"/>
          <w:b/>
          <w:bCs/>
          <w:color w:val="auto"/>
          <w:kern w:val="44"/>
          <w:sz w:val="32"/>
          <w:szCs w:val="32"/>
          <w:highlight w:val="none"/>
        </w:rPr>
      </w:pPr>
    </w:p>
    <w:p w14:paraId="3F012A57">
      <w:pPr>
        <w:spacing w:line="340" w:lineRule="exact"/>
        <w:jc w:val="center"/>
        <w:outlineLvl w:val="0"/>
        <w:rPr>
          <w:rFonts w:ascii="宋体" w:hAnsi="宋体" w:cs="宋体"/>
          <w:b/>
          <w:bCs/>
          <w:color w:val="auto"/>
          <w:kern w:val="44"/>
          <w:sz w:val="32"/>
          <w:szCs w:val="32"/>
          <w:highlight w:val="none"/>
        </w:rPr>
      </w:pPr>
    </w:p>
    <w:p w14:paraId="2695A482">
      <w:pPr>
        <w:spacing w:line="340" w:lineRule="exact"/>
        <w:outlineLvl w:val="0"/>
        <w:rPr>
          <w:rFonts w:ascii="宋体" w:hAnsi="宋体" w:cs="宋体"/>
          <w:b/>
          <w:bCs/>
          <w:color w:val="auto"/>
          <w:kern w:val="44"/>
          <w:sz w:val="32"/>
          <w:szCs w:val="32"/>
          <w:highlight w:val="none"/>
        </w:rPr>
      </w:pPr>
    </w:p>
    <w:p w14:paraId="61A78616">
      <w:pPr>
        <w:spacing w:line="340" w:lineRule="exact"/>
        <w:jc w:val="center"/>
        <w:outlineLvl w:val="0"/>
        <w:rPr>
          <w:rFonts w:ascii="宋体" w:hAnsi="宋体" w:cs="宋体"/>
          <w:b/>
          <w:bCs/>
          <w:color w:val="auto"/>
          <w:kern w:val="44"/>
          <w:sz w:val="32"/>
          <w:szCs w:val="32"/>
          <w:highlight w:val="none"/>
        </w:rPr>
      </w:pPr>
    </w:p>
    <w:p w14:paraId="143270B8">
      <w:pPr>
        <w:spacing w:line="340" w:lineRule="exact"/>
        <w:jc w:val="center"/>
        <w:outlineLvl w:val="0"/>
        <w:rPr>
          <w:rFonts w:ascii="宋体" w:hAnsi="宋体" w:cs="宋体"/>
          <w:color w:val="auto"/>
          <w:sz w:val="32"/>
          <w:szCs w:val="32"/>
          <w:highlight w:val="none"/>
        </w:rPr>
      </w:pPr>
      <w:r>
        <w:rPr>
          <w:rFonts w:hint="eastAsia" w:ascii="宋体" w:hAnsi="宋体" w:cs="宋体"/>
          <w:b/>
          <w:bCs/>
          <w:color w:val="auto"/>
          <w:kern w:val="44"/>
          <w:sz w:val="32"/>
          <w:szCs w:val="32"/>
          <w:highlight w:val="none"/>
        </w:rPr>
        <w:t>第六章  投标文件（格式）</w:t>
      </w:r>
      <w:bookmarkEnd w:id="279"/>
      <w:bookmarkEnd w:id="280"/>
      <w:bookmarkEnd w:id="281"/>
      <w:bookmarkEnd w:id="282"/>
    </w:p>
    <w:p w14:paraId="7875279C">
      <w:pPr>
        <w:rPr>
          <w:b/>
          <w:bCs/>
          <w:color w:val="auto"/>
          <w:sz w:val="30"/>
          <w:szCs w:val="30"/>
          <w:highlight w:val="none"/>
        </w:rPr>
      </w:pPr>
      <w:bookmarkStart w:id="343" w:name="_Toc498627082"/>
      <w:bookmarkStart w:id="344" w:name="_Toc486695806"/>
      <w:bookmarkStart w:id="345" w:name="_Toc478137727"/>
      <w:bookmarkStart w:id="346" w:name="_Toc498698226"/>
      <w:bookmarkStart w:id="347" w:name="_Toc486867150"/>
      <w:bookmarkStart w:id="348" w:name="_Toc31410"/>
      <w:bookmarkStart w:id="349" w:name="_Toc1762"/>
      <w:r>
        <w:rPr>
          <w:rFonts w:hint="eastAsia"/>
          <w:b/>
          <w:bCs/>
          <w:color w:val="auto"/>
          <w:sz w:val="30"/>
          <w:szCs w:val="30"/>
          <w:highlight w:val="none"/>
        </w:rPr>
        <w:t>投标文件封面格式</w:t>
      </w:r>
      <w:bookmarkEnd w:id="343"/>
      <w:bookmarkEnd w:id="344"/>
      <w:bookmarkEnd w:id="345"/>
      <w:bookmarkEnd w:id="346"/>
      <w:bookmarkEnd w:id="347"/>
      <w:r>
        <w:rPr>
          <w:rFonts w:hint="eastAsia"/>
          <w:b/>
          <w:bCs/>
          <w:color w:val="auto"/>
          <w:sz w:val="30"/>
          <w:szCs w:val="30"/>
          <w:highlight w:val="none"/>
        </w:rPr>
        <w:t>：</w:t>
      </w:r>
      <w:bookmarkEnd w:id="348"/>
      <w:bookmarkEnd w:id="349"/>
    </w:p>
    <w:p w14:paraId="67992C82">
      <w:pPr>
        <w:pStyle w:val="49"/>
        <w:rPr>
          <w:rFonts w:ascii="宋体" w:hAnsi="宋体" w:cs="宋体"/>
          <w:b/>
          <w:color w:val="auto"/>
          <w:sz w:val="44"/>
          <w:szCs w:val="44"/>
          <w:highlight w:val="none"/>
        </w:rPr>
      </w:pPr>
    </w:p>
    <w:p w14:paraId="381F0755">
      <w:pPr>
        <w:pStyle w:val="49"/>
        <w:rPr>
          <w:rFonts w:ascii="宋体" w:hAnsi="宋体" w:cs="宋体"/>
          <w:b/>
          <w:color w:val="auto"/>
          <w:sz w:val="44"/>
          <w:szCs w:val="44"/>
          <w:highlight w:val="none"/>
        </w:rPr>
      </w:pPr>
    </w:p>
    <w:p w14:paraId="00ABE4BA">
      <w:pPr>
        <w:pStyle w:val="49"/>
        <w:rPr>
          <w:rFonts w:ascii="宋体" w:hAnsi="宋体" w:cs="宋体"/>
          <w:b/>
          <w:color w:val="auto"/>
          <w:sz w:val="44"/>
          <w:szCs w:val="44"/>
          <w:highlight w:val="none"/>
        </w:rPr>
      </w:pPr>
    </w:p>
    <w:p w14:paraId="5500FACB">
      <w:pPr>
        <w:adjustRightInd w:val="0"/>
        <w:snapToGrid w:val="0"/>
        <w:jc w:val="center"/>
        <w:rPr>
          <w:rFonts w:ascii="宋体" w:hAnsi="宋体" w:cs="宋体"/>
          <w:b/>
          <w:color w:val="auto"/>
          <w:sz w:val="44"/>
          <w:szCs w:val="44"/>
          <w:highlight w:val="none"/>
        </w:rPr>
      </w:pPr>
      <w:bookmarkStart w:id="350" w:name="_Toc13659_WPSOffice_Level1"/>
      <w:bookmarkStart w:id="351" w:name="_Toc3441_WPSOffice_Level1"/>
      <w:r>
        <w:rPr>
          <w:rFonts w:hint="eastAsia" w:ascii="宋体" w:hAnsi="宋体" w:cs="宋体"/>
          <w:bCs/>
          <w:color w:val="auto"/>
          <w:sz w:val="72"/>
          <w:szCs w:val="72"/>
          <w:highlight w:val="none"/>
        </w:rPr>
        <w:t>投标文件</w:t>
      </w:r>
      <w:bookmarkEnd w:id="350"/>
      <w:bookmarkEnd w:id="351"/>
    </w:p>
    <w:p w14:paraId="767E4A04">
      <w:pPr>
        <w:adjustRightInd w:val="0"/>
        <w:snapToGrid w:val="0"/>
        <w:rPr>
          <w:rFonts w:ascii="宋体" w:hAnsi="宋体" w:cs="宋体"/>
          <w:b/>
          <w:color w:val="auto"/>
          <w:sz w:val="44"/>
          <w:szCs w:val="44"/>
          <w:highlight w:val="none"/>
        </w:rPr>
      </w:pPr>
    </w:p>
    <w:p w14:paraId="4589A8BB">
      <w:pPr>
        <w:pStyle w:val="133"/>
        <w:ind w:firstLine="883"/>
        <w:rPr>
          <w:rFonts w:ascii="宋体" w:hAnsi="宋体" w:cs="宋体"/>
          <w:b/>
          <w:color w:val="auto"/>
          <w:sz w:val="44"/>
          <w:szCs w:val="44"/>
          <w:highlight w:val="none"/>
        </w:rPr>
      </w:pPr>
    </w:p>
    <w:p w14:paraId="7C039641">
      <w:pPr>
        <w:ind w:firstLine="2400" w:firstLineChars="800"/>
        <w:rPr>
          <w:rFonts w:ascii="宋体" w:hAnsi="宋体" w:cs="宋体"/>
          <w:color w:val="auto"/>
          <w:sz w:val="30"/>
          <w:szCs w:val="30"/>
          <w:highlight w:val="none"/>
        </w:rPr>
      </w:pPr>
      <w:r>
        <w:rPr>
          <w:rFonts w:hint="eastAsia" w:ascii="宋体" w:hAnsi="宋体" w:cs="宋体"/>
          <w:bCs/>
          <w:color w:val="auto"/>
          <w:sz w:val="30"/>
          <w:szCs w:val="30"/>
          <w:highlight w:val="none"/>
        </w:rPr>
        <w:t>项目名称：</w:t>
      </w:r>
    </w:p>
    <w:p w14:paraId="342CA146">
      <w:pPr>
        <w:ind w:firstLine="2400" w:firstLineChars="800"/>
        <w:rPr>
          <w:rFonts w:hint="eastAsia" w:ascii="宋体" w:hAnsi="宋体" w:cs="宋体"/>
          <w:bCs/>
          <w:color w:val="auto"/>
          <w:sz w:val="30"/>
          <w:szCs w:val="30"/>
          <w:highlight w:val="none"/>
        </w:rPr>
      </w:pPr>
      <w:r>
        <w:rPr>
          <w:rFonts w:hint="eastAsia" w:ascii="宋体" w:hAnsi="宋体" w:cs="宋体"/>
          <w:bCs/>
          <w:color w:val="auto"/>
          <w:sz w:val="30"/>
          <w:szCs w:val="30"/>
          <w:highlight w:val="none"/>
        </w:rPr>
        <w:t>项目编号：</w:t>
      </w:r>
    </w:p>
    <w:p w14:paraId="550535D4">
      <w:pPr>
        <w:ind w:firstLine="2400" w:firstLineChars="800"/>
        <w:rPr>
          <w:rFonts w:hint="default"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lang w:val="en-US" w:eastAsia="zh-CN"/>
        </w:rPr>
        <w:t>分标号：</w:t>
      </w:r>
    </w:p>
    <w:p w14:paraId="359AE9E5">
      <w:pPr>
        <w:ind w:firstLine="741" w:firstLineChars="353"/>
        <w:rPr>
          <w:rFonts w:ascii="宋体" w:hAnsi="宋体" w:cs="宋体"/>
          <w:color w:val="auto"/>
          <w:highlight w:val="none"/>
        </w:rPr>
      </w:pPr>
    </w:p>
    <w:p w14:paraId="42423BCD">
      <w:pPr>
        <w:snapToGrid w:val="0"/>
        <w:spacing w:beforeLines="50" w:after="50"/>
        <w:ind w:firstLine="1260" w:firstLineChars="450"/>
        <w:rPr>
          <w:rFonts w:ascii="宋体" w:hAnsi="宋体" w:cs="宋体"/>
          <w:bCs/>
          <w:color w:val="auto"/>
          <w:sz w:val="28"/>
          <w:szCs w:val="28"/>
          <w:highlight w:val="none"/>
        </w:rPr>
      </w:pPr>
    </w:p>
    <w:p w14:paraId="77FA1E93">
      <w:pPr>
        <w:pStyle w:val="133"/>
        <w:rPr>
          <w:color w:val="auto"/>
          <w:highlight w:val="none"/>
        </w:rPr>
      </w:pPr>
    </w:p>
    <w:p w14:paraId="05A24808">
      <w:pPr>
        <w:pStyle w:val="49"/>
        <w:rPr>
          <w:color w:val="auto"/>
          <w:highlight w:val="none"/>
        </w:rPr>
      </w:pPr>
    </w:p>
    <w:p w14:paraId="692740AB">
      <w:pPr>
        <w:snapToGrid w:val="0"/>
        <w:spacing w:beforeLines="50" w:after="50"/>
        <w:rPr>
          <w:rFonts w:ascii="宋体" w:hAnsi="宋体" w:cs="宋体"/>
          <w:bCs/>
          <w:color w:val="auto"/>
          <w:sz w:val="28"/>
          <w:szCs w:val="28"/>
          <w:highlight w:val="none"/>
        </w:rPr>
      </w:pPr>
    </w:p>
    <w:p w14:paraId="0EDC61C9">
      <w:pPr>
        <w:ind w:firstLine="964" w:firstLineChars="300"/>
        <w:jc w:val="left"/>
        <w:rPr>
          <w:rFonts w:ascii="宋体" w:hAnsi="宋体" w:cs="宋体"/>
          <w:b/>
          <w:color w:val="auto"/>
          <w:sz w:val="32"/>
          <w:szCs w:val="32"/>
          <w:highlight w:val="none"/>
        </w:rPr>
      </w:pPr>
    </w:p>
    <w:p w14:paraId="16623F5E">
      <w:pPr>
        <w:pStyle w:val="15"/>
        <w:spacing w:line="400" w:lineRule="exact"/>
        <w:ind w:left="980" w:hanging="560" w:hangingChars="2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采购代理机构：</w:t>
      </w:r>
      <w:r>
        <w:rPr>
          <w:rFonts w:hint="eastAsia" w:ascii="宋体" w:hAnsi="宋体" w:cs="宋体"/>
          <w:bCs/>
          <w:color w:val="auto"/>
          <w:sz w:val="28"/>
          <w:szCs w:val="28"/>
          <w:highlight w:val="none"/>
          <w:u w:val="single"/>
        </w:rPr>
        <w:t>广西</w:t>
      </w:r>
      <w:r>
        <w:rPr>
          <w:rFonts w:hint="eastAsia" w:ascii="宋体" w:hAnsi="宋体" w:cs="宋体"/>
          <w:bCs/>
          <w:color w:val="auto"/>
          <w:sz w:val="28"/>
          <w:szCs w:val="28"/>
          <w:highlight w:val="none"/>
          <w:u w:val="single"/>
          <w:lang w:val="en-US" w:eastAsia="zh-CN"/>
        </w:rPr>
        <w:t>嘉弘</w:t>
      </w:r>
      <w:r>
        <w:rPr>
          <w:rFonts w:hint="eastAsia" w:ascii="宋体" w:hAnsi="宋体" w:cs="宋体"/>
          <w:bCs/>
          <w:color w:val="auto"/>
          <w:sz w:val="28"/>
          <w:szCs w:val="28"/>
          <w:highlight w:val="none"/>
          <w:u w:val="single"/>
        </w:rPr>
        <w:t>项目管理有限公司</w:t>
      </w:r>
    </w:p>
    <w:p w14:paraId="66EC2602">
      <w:pPr>
        <w:pStyle w:val="15"/>
        <w:spacing w:line="400" w:lineRule="exact"/>
        <w:ind w:left="980" w:hanging="560" w:hangingChars="200"/>
        <w:rPr>
          <w:rFonts w:hint="eastAsia" w:ascii="宋体" w:hAnsi="宋体" w:cs="宋体"/>
          <w:bCs/>
          <w:color w:val="auto"/>
          <w:sz w:val="28"/>
          <w:szCs w:val="28"/>
          <w:highlight w:val="none"/>
          <w:u w:val="single"/>
        </w:rPr>
      </w:pPr>
    </w:p>
    <w:p w14:paraId="48858002">
      <w:pPr>
        <w:pStyle w:val="15"/>
        <w:spacing w:line="400" w:lineRule="exact"/>
        <w:ind w:left="980" w:hanging="560" w:hangingChars="200"/>
        <w:rPr>
          <w:rFonts w:hint="eastAsia" w:ascii="宋体" w:hAnsi="宋体" w:cs="宋体"/>
          <w:bCs/>
          <w:color w:val="auto"/>
          <w:sz w:val="28"/>
          <w:szCs w:val="28"/>
          <w:highlight w:val="none"/>
        </w:rPr>
      </w:pPr>
      <w:bookmarkStart w:id="352" w:name="_Toc20319_WPSOffice_Level2"/>
      <w:bookmarkStart w:id="353" w:name="_Toc4932_WPSOffice_Level2"/>
      <w:r>
        <w:rPr>
          <w:rFonts w:hint="eastAsia" w:ascii="宋体" w:hAnsi="宋体" w:cs="宋体"/>
          <w:bCs/>
          <w:color w:val="auto"/>
          <w:sz w:val="28"/>
          <w:szCs w:val="28"/>
          <w:highlight w:val="none"/>
        </w:rPr>
        <w:t>投标人（CA签章、自然人除外）：</w:t>
      </w:r>
      <w:bookmarkEnd w:id="352"/>
      <w:bookmarkEnd w:id="353"/>
    </w:p>
    <w:p w14:paraId="37952A86">
      <w:pPr>
        <w:pStyle w:val="15"/>
        <w:spacing w:line="400" w:lineRule="exact"/>
        <w:ind w:left="980" w:hanging="560" w:hangingChars="200"/>
        <w:rPr>
          <w:rFonts w:hint="eastAsia" w:ascii="宋体" w:hAnsi="宋体" w:cs="宋体"/>
          <w:bCs/>
          <w:color w:val="auto"/>
          <w:sz w:val="28"/>
          <w:szCs w:val="28"/>
          <w:highlight w:val="none"/>
        </w:rPr>
      </w:pPr>
    </w:p>
    <w:p w14:paraId="083FC36F">
      <w:pPr>
        <w:pStyle w:val="17"/>
        <w:spacing w:line="400" w:lineRule="exact"/>
        <w:ind w:firstLine="420"/>
        <w:rPr>
          <w:rFonts w:hint="eastAsia" w:hAnsi="宋体" w:cs="宋体"/>
          <w:color w:val="auto"/>
          <w:sz w:val="28"/>
          <w:szCs w:val="28"/>
          <w:highlight w:val="none"/>
        </w:rPr>
      </w:pPr>
      <w:bookmarkStart w:id="354" w:name="_Toc4767_WPSOffice_Level2"/>
      <w:bookmarkStart w:id="355" w:name="_Toc11679_WPSOffice_Level2"/>
      <w:r>
        <w:rPr>
          <w:rFonts w:hint="eastAsia" w:hAnsi="宋体" w:cs="宋体"/>
          <w:color w:val="auto"/>
          <w:sz w:val="28"/>
          <w:szCs w:val="28"/>
          <w:highlight w:val="none"/>
        </w:rPr>
        <w:t>法定代表人、负责人、自然人或相应的委托代理人签字（或盖章/个人CA签章）（属自然人的应在签名处加盖大拇指指印）：</w:t>
      </w:r>
      <w:bookmarkEnd w:id="354"/>
      <w:bookmarkEnd w:id="355"/>
      <w:bookmarkStart w:id="356" w:name="_Toc9622_WPSOffice_Level2"/>
      <w:bookmarkStart w:id="357" w:name="_Toc32056_WPSOffice_Level2"/>
    </w:p>
    <w:p w14:paraId="0E290528">
      <w:pPr>
        <w:pStyle w:val="7"/>
        <w:rPr>
          <w:color w:val="auto"/>
          <w:highlight w:val="none"/>
        </w:rPr>
      </w:pPr>
    </w:p>
    <w:p w14:paraId="78203A80">
      <w:pPr>
        <w:pStyle w:val="15"/>
        <w:spacing w:line="400" w:lineRule="exact"/>
        <w:ind w:left="980" w:hanging="560" w:hanging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联系电话：</w:t>
      </w:r>
      <w:bookmarkEnd w:id="356"/>
      <w:bookmarkEnd w:id="357"/>
    </w:p>
    <w:p w14:paraId="04990BFB">
      <w:pPr>
        <w:pStyle w:val="15"/>
        <w:spacing w:line="400" w:lineRule="exact"/>
        <w:ind w:left="980" w:hanging="560" w:hangingChars="200"/>
        <w:rPr>
          <w:rFonts w:hint="eastAsia" w:ascii="宋体" w:hAnsi="宋体" w:cs="宋体"/>
          <w:bCs/>
          <w:color w:val="auto"/>
          <w:sz w:val="28"/>
          <w:szCs w:val="28"/>
          <w:highlight w:val="none"/>
        </w:rPr>
      </w:pPr>
    </w:p>
    <w:p w14:paraId="5DF0E896">
      <w:pPr>
        <w:pStyle w:val="15"/>
        <w:spacing w:line="400" w:lineRule="exact"/>
        <w:ind w:left="980" w:hanging="560" w:hangingChars="200"/>
        <w:rPr>
          <w:rFonts w:ascii="宋体" w:hAnsi="宋体" w:cs="宋体"/>
          <w:b/>
          <w:color w:val="auto"/>
          <w:sz w:val="32"/>
          <w:szCs w:val="32"/>
          <w:highlight w:val="none"/>
        </w:rPr>
      </w:pPr>
      <w:bookmarkStart w:id="358" w:name="_Toc26465_WPSOffice_Level2"/>
      <w:bookmarkStart w:id="359" w:name="_Toc15933_WPSOffice_Level2"/>
      <w:r>
        <w:rPr>
          <w:rFonts w:hint="eastAsia" w:ascii="宋体" w:hAnsi="宋体" w:cs="宋体"/>
          <w:bCs/>
          <w:color w:val="auto"/>
          <w:sz w:val="28"/>
          <w:szCs w:val="28"/>
          <w:highlight w:val="none"/>
        </w:rPr>
        <w:t>日期：</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rPr>
        <w:t>日</w:t>
      </w:r>
      <w:bookmarkEnd w:id="358"/>
      <w:bookmarkEnd w:id="359"/>
    </w:p>
    <w:p w14:paraId="4FEE2ECF">
      <w:pPr>
        <w:widowControl/>
        <w:spacing w:line="400" w:lineRule="exact"/>
        <w:jc w:val="left"/>
        <w:rPr>
          <w:b/>
          <w:bCs/>
          <w:color w:val="auto"/>
          <w:sz w:val="32"/>
          <w:szCs w:val="32"/>
          <w:highlight w:val="none"/>
        </w:rPr>
      </w:pPr>
      <w:r>
        <w:rPr>
          <w:b/>
          <w:bCs/>
          <w:color w:val="auto"/>
          <w:sz w:val="32"/>
          <w:szCs w:val="32"/>
          <w:highlight w:val="none"/>
        </w:rPr>
        <w:br w:type="page"/>
      </w:r>
    </w:p>
    <w:p w14:paraId="25490C3B">
      <w:pPr>
        <w:jc w:val="center"/>
        <w:rPr>
          <w:rFonts w:ascii="宋体" w:hAnsi="宋体" w:cs="宋体"/>
          <w:b/>
          <w:color w:val="auto"/>
          <w:sz w:val="28"/>
          <w:szCs w:val="28"/>
          <w:highlight w:val="none"/>
        </w:rPr>
      </w:pPr>
      <w:r>
        <w:rPr>
          <w:rFonts w:hint="eastAsia"/>
          <w:b/>
          <w:bCs/>
          <w:color w:val="auto"/>
          <w:sz w:val="32"/>
          <w:szCs w:val="32"/>
          <w:highlight w:val="none"/>
        </w:rPr>
        <w:t>投标文件目录</w:t>
      </w:r>
    </w:p>
    <w:p w14:paraId="0A3E92D6">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一、资格性响应证明材料：</w:t>
      </w:r>
    </w:p>
    <w:p w14:paraId="47F866BB">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1.投标人相应的法定代表人、负责人、自然人身份证正反面复印件</w:t>
      </w:r>
      <w:r>
        <w:rPr>
          <w:rFonts w:hint="eastAsia" w:ascii="宋体" w:hAnsi="宋体" w:cs="宋体"/>
          <w:b/>
          <w:bCs/>
          <w:color w:val="auto"/>
          <w:szCs w:val="21"/>
          <w:highlight w:val="none"/>
        </w:rPr>
        <w:t>（必须提供）；</w:t>
      </w:r>
    </w:p>
    <w:p w14:paraId="1BEF0A99">
      <w:pPr>
        <w:tabs>
          <w:tab w:val="left" w:pos="1305"/>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投标人</w:t>
      </w:r>
      <w:r>
        <w:rPr>
          <w:rFonts w:hint="eastAsia" w:ascii="宋体" w:hAnsi="宋体" w:cs="宋体"/>
          <w:color w:val="auto"/>
          <w:szCs w:val="21"/>
          <w:highlight w:val="none"/>
        </w:rPr>
        <w:t>的授权委托书原件、委托代理人身份证正反面复印件以及由县级以上（含县级）社会养老保险经办机构出具的供应商为委托代理人交纳的响应文件递交截止时间前半年内连续三个月社保证明复印件，除供应商为以下三种情形的</w:t>
      </w:r>
      <w:r>
        <w:rPr>
          <w:rFonts w:hint="eastAsia" w:ascii="宋体" w:hAnsi="宋体" w:cs="宋体"/>
          <w:color w:val="auto"/>
          <w:kern w:val="0"/>
          <w:szCs w:val="21"/>
          <w:highlight w:val="none"/>
        </w:rPr>
        <w:t>：</w:t>
      </w:r>
    </w:p>
    <w:p w14:paraId="7E1F8583">
      <w:pPr>
        <w:spacing w:line="400" w:lineRule="exact"/>
        <w:ind w:firstLine="411" w:firstLineChars="196"/>
        <w:rPr>
          <w:rFonts w:ascii="宋体" w:hAnsi="宋体"/>
          <w:color w:val="auto"/>
          <w:szCs w:val="21"/>
          <w:highlight w:val="none"/>
        </w:rPr>
      </w:pPr>
      <w:r>
        <w:rPr>
          <w:rFonts w:hint="eastAsia" w:ascii="宋体" w:hAnsi="宋体" w:cs="宋体"/>
          <w:color w:val="auto"/>
          <w:kern w:val="0"/>
          <w:szCs w:val="21"/>
          <w:highlight w:val="none"/>
        </w:rPr>
        <w:t>①如供应商为响应文件提交截止时间前60日以内成立的公司，可以提供供应商与委托代理人签订的劳动合同复印件代替社保证明复印件；②如供应商为事业单位，可以提供事业单位机构编制管理证复印件或事业单位机构为其发放工资的工资条复印件代替社保证明复印件；③如委托代理人为免缴纳社保人员，提供免缴纳社保的证明材料复印件及供应商与委托代理人签订的劳动合同复印件代替养老保险证明复印件。【属自然人的应提供由县级以上（含县级）社会养老保险经办机构出具的自然人本人及委托代理人所交纳的响应文件递交截止时间前半年内连续三个月社保证明复印件】</w:t>
      </w:r>
      <w:r>
        <w:rPr>
          <w:rFonts w:hint="eastAsia" w:ascii="宋体" w:hAnsi="宋体" w:cs="宋体"/>
          <w:b/>
          <w:bCs/>
          <w:color w:val="auto"/>
          <w:kern w:val="0"/>
          <w:szCs w:val="21"/>
          <w:highlight w:val="none"/>
        </w:rPr>
        <w:t>（委托代理时必须提供）</w:t>
      </w:r>
      <w:r>
        <w:rPr>
          <w:rFonts w:hint="eastAsia" w:ascii="宋体" w:hAnsi="宋体"/>
          <w:color w:val="auto"/>
          <w:szCs w:val="21"/>
          <w:highlight w:val="none"/>
        </w:rPr>
        <w:t>；</w:t>
      </w:r>
    </w:p>
    <w:p w14:paraId="44CCFF08">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3.投标人的法人或者其他组织营业执照等证明文件复印件</w:t>
      </w:r>
      <w:r>
        <w:rPr>
          <w:rFonts w:hint="eastAsia" w:ascii="宋体" w:hAnsi="宋体" w:cs="宋体"/>
          <w:b/>
          <w:color w:val="auto"/>
          <w:szCs w:val="21"/>
          <w:highlight w:val="none"/>
        </w:rPr>
        <w:t>（必须提供，自然人除外）</w:t>
      </w:r>
      <w:r>
        <w:rPr>
          <w:rFonts w:hint="eastAsia" w:ascii="宋体" w:hAnsi="宋体" w:cs="宋体"/>
          <w:color w:val="auto"/>
          <w:szCs w:val="21"/>
          <w:highlight w:val="none"/>
        </w:rPr>
        <w:t>；</w:t>
      </w:r>
    </w:p>
    <w:p w14:paraId="582545BA">
      <w:pPr>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投标人参加采购活动前3年内在经营活动中没有重大违法记录及有关信用信息的书面声明</w:t>
      </w:r>
      <w:r>
        <w:rPr>
          <w:rFonts w:hint="eastAsia" w:ascii="宋体" w:hAnsi="宋体"/>
          <w:b/>
          <w:color w:val="auto"/>
          <w:szCs w:val="21"/>
          <w:highlight w:val="none"/>
        </w:rPr>
        <w:t>（格式见附件，必须提供）</w:t>
      </w:r>
      <w:r>
        <w:rPr>
          <w:rFonts w:hint="eastAsia" w:ascii="宋体" w:hAnsi="宋体"/>
          <w:color w:val="auto"/>
          <w:szCs w:val="21"/>
          <w:highlight w:val="none"/>
        </w:rPr>
        <w:t>；</w:t>
      </w:r>
    </w:p>
    <w:p w14:paraId="31D4489D">
      <w:pPr>
        <w:spacing w:line="400" w:lineRule="exact"/>
        <w:ind w:firstLine="420" w:firstLineChars="200"/>
        <w:rPr>
          <w:rFonts w:hint="eastAsia" w:ascii="宋体" w:hAnsi="宋体" w:cs="宋体"/>
          <w:b/>
          <w:bCs/>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C分标</w:t>
      </w:r>
      <w:r>
        <w:rPr>
          <w:rFonts w:hint="eastAsia" w:ascii="宋体" w:hAnsi="宋体"/>
          <w:color w:val="auto"/>
          <w:szCs w:val="21"/>
          <w:highlight w:val="none"/>
        </w:rPr>
        <w:t>投标人有效的医疗器械经营备案凭证复印件或者医疗器械经营许可证复印件，且经营范围必须包含采购的医疗器械标的[符合《医疗器械监督管理条例》第四十一条第二款规定的除外]，所投产品尿酸/血糖分析仪生产厂家具有医疗器械生产许可证</w:t>
      </w:r>
      <w:r>
        <w:rPr>
          <w:rFonts w:hint="eastAsia" w:ascii="宋体" w:hAnsi="宋体"/>
          <w:color w:val="auto"/>
          <w:szCs w:val="21"/>
          <w:highlight w:val="none"/>
          <w:lang w:val="en-US" w:eastAsia="zh-CN"/>
        </w:rPr>
        <w:t>复印件，</w:t>
      </w:r>
      <w:r>
        <w:rPr>
          <w:rFonts w:hint="eastAsia" w:ascii="宋体" w:hAnsi="宋体"/>
          <w:color w:val="auto"/>
          <w:szCs w:val="21"/>
          <w:highlight w:val="none"/>
        </w:rPr>
        <w:t>所投产品尿酸/血糖分析仪具有注册凭证复印件或备案凭证复印件。</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C分标</w:t>
      </w:r>
      <w:r>
        <w:rPr>
          <w:rFonts w:hint="eastAsia" w:ascii="宋体" w:hAnsi="宋体" w:cs="宋体"/>
          <w:b/>
          <w:bCs/>
          <w:color w:val="auto"/>
          <w:szCs w:val="21"/>
          <w:highlight w:val="none"/>
        </w:rPr>
        <w:t>必须提供</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ABD分标无需提供</w:t>
      </w:r>
      <w:r>
        <w:rPr>
          <w:rFonts w:hint="eastAsia" w:ascii="宋体" w:hAnsi="宋体" w:cs="宋体"/>
          <w:b/>
          <w:bCs/>
          <w:color w:val="auto"/>
          <w:szCs w:val="21"/>
          <w:highlight w:val="none"/>
        </w:rPr>
        <w:t>）</w:t>
      </w:r>
    </w:p>
    <w:p w14:paraId="0FED9363">
      <w:pPr>
        <w:spacing w:line="400" w:lineRule="exact"/>
        <w:ind w:firstLine="420" w:firstLineChars="200"/>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6.提供货物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必须提供）；</w:t>
      </w:r>
    </w:p>
    <w:p w14:paraId="277B45E1">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二、商务、技术性响应及其他证明材料：</w:t>
      </w:r>
    </w:p>
    <w:p w14:paraId="23C59682">
      <w:pPr>
        <w:tabs>
          <w:tab w:val="left" w:pos="1305"/>
        </w:tabs>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1.投标报价表（格式见附件）</w:t>
      </w:r>
      <w:r>
        <w:rPr>
          <w:rFonts w:hint="eastAsia" w:ascii="宋体" w:hAnsi="宋体" w:cs="宋体"/>
          <w:b/>
          <w:color w:val="auto"/>
          <w:szCs w:val="21"/>
          <w:highlight w:val="none"/>
        </w:rPr>
        <w:t>（必须提供）</w:t>
      </w:r>
    </w:p>
    <w:p w14:paraId="5C780ED4">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2.技术规格偏离表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6D33E588">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3.商务响应表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6DDCF4F2">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4.“货物采购需求”需提供的有效证明文件</w:t>
      </w:r>
      <w:r>
        <w:rPr>
          <w:rFonts w:hint="eastAsia" w:ascii="宋体" w:hAnsi="宋体" w:cs="宋体"/>
          <w:b/>
          <w:bCs/>
          <w:color w:val="auto"/>
          <w:szCs w:val="21"/>
          <w:highlight w:val="none"/>
        </w:rPr>
        <w:t>（按其要求提供）</w:t>
      </w:r>
      <w:r>
        <w:rPr>
          <w:rFonts w:hint="eastAsia" w:ascii="宋体" w:hAnsi="宋体" w:cs="宋体"/>
          <w:color w:val="auto"/>
          <w:szCs w:val="21"/>
          <w:highlight w:val="none"/>
        </w:rPr>
        <w:t>；</w:t>
      </w:r>
    </w:p>
    <w:p w14:paraId="1E9DC0AD">
      <w:pPr>
        <w:tabs>
          <w:tab w:val="left" w:pos="1305"/>
        </w:tabs>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5.投标人的售后服务承诺方案（由供应商根据本项目采购需求、特点及供应商自身的处理能力自行编写）</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57F3CD1D">
      <w:pPr>
        <w:tabs>
          <w:tab w:val="left" w:pos="1305"/>
        </w:tabs>
        <w:spacing w:line="38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6.项目慰问信设计方案（格式见附件）</w:t>
      </w:r>
      <w:r>
        <w:rPr>
          <w:rFonts w:hint="eastAsia" w:ascii="宋体" w:hAnsi="宋体" w:cs="宋体"/>
          <w:b/>
          <w:bCs/>
          <w:color w:val="auto"/>
          <w:szCs w:val="21"/>
          <w:highlight w:val="none"/>
          <w:lang w:val="en-US" w:eastAsia="zh-CN"/>
        </w:rPr>
        <w:t>（如有，请提供）；</w:t>
      </w:r>
    </w:p>
    <w:p w14:paraId="0E0123B6">
      <w:pPr>
        <w:tabs>
          <w:tab w:val="left" w:pos="1305"/>
        </w:tabs>
        <w:spacing w:line="360" w:lineRule="exact"/>
        <w:ind w:firstLine="420" w:firstLineChars="200"/>
        <w:rPr>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.项目实施方案（格式见附件）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FC8F4A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.项目实施人员一览表（格式见附件）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06ED02B9">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.节能方面的证书复印件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1CEC1E49">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.环境标志方面的证书复印件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07C4EDBC">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olor w:val="auto"/>
          <w:highlight w:val="none"/>
        </w:rPr>
        <w:t xml:space="preserve"> 投标人</w:t>
      </w:r>
      <w:r>
        <w:rPr>
          <w:rFonts w:hint="eastAsia" w:ascii="宋体" w:hAnsi="宋体"/>
          <w:color w:val="auto"/>
          <w:szCs w:val="21"/>
          <w:highlight w:val="none"/>
        </w:rPr>
        <w:t>2020年以来具有同类产品</w:t>
      </w:r>
      <w:r>
        <w:rPr>
          <w:rFonts w:hint="eastAsia" w:ascii="宋体" w:hAnsi="宋体"/>
          <w:color w:val="auto"/>
          <w:highlight w:val="none"/>
        </w:rPr>
        <w:t>的销售业绩的相关证明材料</w:t>
      </w:r>
      <w:r>
        <w:rPr>
          <w:rFonts w:hint="eastAsia" w:ascii="宋体" w:hAnsi="宋体"/>
          <w:color w:val="auto"/>
          <w:spacing w:val="-12"/>
          <w:szCs w:val="21"/>
          <w:highlight w:val="none"/>
        </w:rPr>
        <w:t>【</w:t>
      </w:r>
      <w:r>
        <w:rPr>
          <w:rFonts w:hint="eastAsia" w:ascii="宋体" w:hAnsi="宋体"/>
          <w:color w:val="auto"/>
          <w:szCs w:val="21"/>
          <w:highlight w:val="none"/>
        </w:rPr>
        <w:t>无不良记录，以中标（成交）通知书或签订的销售合同复印件为准，并能清晰反映所销售的货物名称、种类、时间等内容；</w:t>
      </w:r>
      <w:r>
        <w:rPr>
          <w:rFonts w:hint="eastAsia" w:ascii="宋体" w:hAnsi="宋体"/>
          <w:color w:val="auto"/>
          <w:highlight w:val="none"/>
        </w:rPr>
        <w:t>】</w:t>
      </w:r>
      <w:r>
        <w:rPr>
          <w:rFonts w:hint="eastAsia" w:ascii="宋体" w:hAnsi="宋体"/>
          <w:b/>
          <w:color w:val="auto"/>
          <w:highlight w:val="none"/>
        </w:rPr>
        <w:t>（具体以评分办法为准，如有，请提供）</w:t>
      </w:r>
      <w:r>
        <w:rPr>
          <w:rFonts w:hint="eastAsia" w:ascii="宋体" w:hAnsi="宋体" w:cs="宋体"/>
          <w:bCs/>
          <w:color w:val="auto"/>
          <w:highlight w:val="none"/>
        </w:rPr>
        <w:t>；</w:t>
      </w:r>
    </w:p>
    <w:p w14:paraId="1B631FDC">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.投标人为生产厂家的，投标人的生产制造设备清单及专业技术能力说明</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78B57BDE">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.投标人相关获奖证书、认证证书等复印件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3BB2448B">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.投标人可结合本项目的评标办法视自身情况自行提交相关证明材料</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24EC0DD0">
      <w:pPr>
        <w:spacing w:line="400" w:lineRule="exact"/>
        <w:ind w:firstLine="420"/>
        <w:rPr>
          <w:rFonts w:ascii="宋体" w:hAnsi="宋体" w:cs="宋体"/>
          <w:b/>
          <w:bCs/>
          <w:color w:val="auto"/>
          <w:highlight w:val="none"/>
        </w:rPr>
      </w:pPr>
      <w:r>
        <w:rPr>
          <w:rFonts w:hint="eastAsia" w:ascii="宋体" w:hAnsi="宋体" w:cs="宋体"/>
          <w:b/>
          <w:bCs/>
          <w:color w:val="auto"/>
          <w:highlight w:val="none"/>
        </w:rPr>
        <w:t>投标人提供的以上相关证明材料属于“必须提供”的文件应加盖投标人公章（CA签章）/自然人签字或个人CA签章，否则投标无效。</w:t>
      </w:r>
      <w:bookmarkStart w:id="360" w:name="_Toc27290"/>
      <w:bookmarkStart w:id="361" w:name="_Toc495841787"/>
      <w:r>
        <w:rPr>
          <w:rFonts w:ascii="宋体" w:hAnsi="宋体" w:cs="宋体"/>
          <w:b/>
          <w:bCs/>
          <w:color w:val="auto"/>
          <w:highlight w:val="none"/>
        </w:rPr>
        <w:br w:type="page"/>
      </w:r>
    </w:p>
    <w:p w14:paraId="2C36B276">
      <w:pPr>
        <w:spacing w:line="400" w:lineRule="exact"/>
        <w:ind w:firstLine="420"/>
        <w:rPr>
          <w:rFonts w:ascii="宋体" w:hAnsi="宋体" w:cs="宋体"/>
          <w:b/>
          <w:bCs/>
          <w:color w:val="auto"/>
          <w:sz w:val="32"/>
          <w:szCs w:val="32"/>
          <w:highlight w:val="none"/>
        </w:rPr>
      </w:pPr>
      <w:r>
        <w:rPr>
          <w:rFonts w:hint="eastAsia"/>
          <w:b/>
          <w:bCs/>
          <w:color w:val="auto"/>
          <w:sz w:val="32"/>
          <w:szCs w:val="32"/>
          <w:highlight w:val="none"/>
        </w:rPr>
        <w:t>一、资格性响应证明材料（格式）</w:t>
      </w:r>
      <w:bookmarkEnd w:id="360"/>
      <w:bookmarkEnd w:id="361"/>
    </w:p>
    <w:p w14:paraId="65AE53FE">
      <w:pPr>
        <w:rPr>
          <w:rFonts w:ascii="宋体" w:hAnsi="宋体" w:cs="宋体"/>
          <w:b/>
          <w:bCs/>
          <w:color w:val="auto"/>
          <w:sz w:val="32"/>
          <w:szCs w:val="32"/>
          <w:highlight w:val="none"/>
        </w:rPr>
      </w:pPr>
    </w:p>
    <w:p w14:paraId="2B2A5A00">
      <w:pPr>
        <w:rPr>
          <w:rFonts w:ascii="宋体" w:hAnsi="宋体" w:cs="宋体"/>
          <w:b/>
          <w:bCs/>
          <w:color w:val="auto"/>
          <w:sz w:val="32"/>
          <w:szCs w:val="32"/>
          <w:highlight w:val="none"/>
        </w:rPr>
      </w:pPr>
      <w:bookmarkStart w:id="362" w:name="_Toc11828"/>
      <w:bookmarkStart w:id="363" w:name="_Toc495841788"/>
      <w:r>
        <w:rPr>
          <w:rFonts w:hint="eastAsia" w:ascii="宋体" w:hAnsi="宋体" w:cs="宋体"/>
          <w:b/>
          <w:bCs/>
          <w:color w:val="auto"/>
          <w:sz w:val="32"/>
          <w:szCs w:val="32"/>
          <w:highlight w:val="none"/>
        </w:rPr>
        <w:t>1.投标人相应的法定代表人、负责人、自然人身份证正反面复印件（必须提供）</w:t>
      </w:r>
      <w:bookmarkEnd w:id="362"/>
      <w:bookmarkEnd w:id="363"/>
    </w:p>
    <w:p w14:paraId="4884D9DD">
      <w:pPr>
        <w:rPr>
          <w:rFonts w:ascii="宋体" w:hAnsi="宋体" w:cs="宋体"/>
          <w:b/>
          <w:bCs/>
          <w:color w:val="auto"/>
          <w:sz w:val="32"/>
          <w:szCs w:val="32"/>
          <w:highlight w:val="none"/>
        </w:rPr>
      </w:pPr>
    </w:p>
    <w:p w14:paraId="55EDFCB7">
      <w:pPr>
        <w:pStyle w:val="14"/>
        <w:rPr>
          <w:rFonts w:ascii="宋体" w:hAnsi="宋体" w:cs="宋体"/>
          <w:b/>
          <w:bCs/>
          <w:color w:val="auto"/>
          <w:sz w:val="32"/>
          <w:szCs w:val="32"/>
          <w:highlight w:val="none"/>
        </w:rPr>
      </w:pPr>
      <w:bookmarkStart w:id="364" w:name="_Toc11623"/>
      <w:bookmarkStart w:id="365" w:name="_Toc495841789"/>
      <w:r>
        <w:rPr>
          <w:rFonts w:hint="eastAsia" w:ascii="宋体" w:hAnsi="宋体" w:cs="宋体"/>
          <w:b/>
          <w:bCs/>
          <w:color w:val="auto"/>
          <w:sz w:val="32"/>
          <w:szCs w:val="32"/>
          <w:highlight w:val="none"/>
        </w:rPr>
        <w:t>2.</w:t>
      </w:r>
      <w:bookmarkEnd w:id="364"/>
      <w:bookmarkEnd w:id="365"/>
      <w:r>
        <w:rPr>
          <w:rFonts w:hint="eastAsia" w:ascii="宋体" w:hAnsi="宋体"/>
          <w:color w:val="auto"/>
          <w:szCs w:val="21"/>
          <w:highlight w:val="none"/>
        </w:rPr>
        <w:t xml:space="preserve"> </w:t>
      </w:r>
      <w:r>
        <w:rPr>
          <w:rFonts w:hint="eastAsia" w:ascii="宋体" w:hAnsi="宋体" w:cs="宋体"/>
          <w:b/>
          <w:bCs/>
          <w:color w:val="auto"/>
          <w:sz w:val="32"/>
          <w:szCs w:val="32"/>
          <w:highlight w:val="none"/>
        </w:rPr>
        <w:t>投标人的授权委托书原件、委托代理人身份证正反面复印件以及由县级以上（含县级）社会养老保险经办机构出具的供应商为委托代理人交纳的响应文件递交截止时间前半年内连续三个月社保证明复印件</w:t>
      </w:r>
    </w:p>
    <w:p w14:paraId="43A125F3">
      <w:pPr>
        <w:pStyle w:val="14"/>
        <w:rPr>
          <w:color w:val="auto"/>
          <w:highlight w:val="none"/>
        </w:rPr>
      </w:pPr>
      <w:r>
        <w:rPr>
          <w:rFonts w:hint="eastAsia" w:ascii="宋体" w:hAnsi="宋体" w:cs="宋体"/>
          <w:b/>
          <w:bCs/>
          <w:color w:val="auto"/>
          <w:sz w:val="32"/>
          <w:szCs w:val="32"/>
          <w:highlight w:val="none"/>
        </w:rPr>
        <w:t>（委托代理时必须提供）；</w:t>
      </w:r>
    </w:p>
    <w:p w14:paraId="2032295F">
      <w:pPr>
        <w:jc w:val="center"/>
        <w:rPr>
          <w:rFonts w:ascii="宋体" w:hAnsi="宋体" w:cs="宋体"/>
          <w:b/>
          <w:color w:val="auto"/>
          <w:sz w:val="32"/>
          <w:highlight w:val="none"/>
        </w:rPr>
      </w:pPr>
      <w:r>
        <w:rPr>
          <w:rFonts w:hint="eastAsia" w:ascii="宋体" w:hAnsi="宋体" w:cs="宋体"/>
          <w:b/>
          <w:color w:val="auto"/>
          <w:sz w:val="32"/>
          <w:highlight w:val="none"/>
        </w:rPr>
        <w:t>授权委托书（格式一）</w:t>
      </w:r>
    </w:p>
    <w:p w14:paraId="318C0D9B">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w:t>
      </w:r>
      <w:r>
        <w:rPr>
          <w:rFonts w:hint="eastAsia" w:ascii="宋体" w:hAnsi="宋体" w:cs="宋体"/>
          <w:color w:val="auto"/>
          <w:highlight w:val="none"/>
          <w:u w:val="single"/>
          <w:lang w:val="en-US" w:eastAsia="zh-CN"/>
        </w:rPr>
        <w:t>嘉弘</w:t>
      </w:r>
      <w:r>
        <w:rPr>
          <w:rFonts w:hint="eastAsia" w:ascii="宋体" w:hAnsi="宋体" w:cs="宋体"/>
          <w:color w:val="auto"/>
          <w:highlight w:val="none"/>
          <w:u w:val="single"/>
        </w:rPr>
        <w:t>项目管理有限公司</w:t>
      </w:r>
    </w:p>
    <w:p w14:paraId="1B82FF0D">
      <w:pPr>
        <w:spacing w:line="400" w:lineRule="exact"/>
        <w:ind w:firstLine="525" w:firstLineChars="250"/>
        <w:rPr>
          <w:rFonts w:ascii="宋体" w:hAnsi="宋体" w:cs="宋体"/>
          <w:color w:val="auto"/>
          <w:highlight w:val="none"/>
        </w:rPr>
      </w:pPr>
      <w:r>
        <w:rPr>
          <w:rFonts w:hint="eastAsia" w:ascii="宋体" w:hAnsi="宋体" w:cs="宋体"/>
          <w:color w:val="auto"/>
          <w:kern w:val="0"/>
          <w:highlight w:val="none"/>
        </w:rPr>
        <w:t>我（姓名）系（投标人名称）的法定代表人（负责人），现授权委托本单位在职职工（姓名），身份证号码：以我公司名义参加</w:t>
      </w:r>
      <w:r>
        <w:rPr>
          <w:rFonts w:hint="eastAsia" w:ascii="宋体" w:hAnsi="宋体" w:cs="宋体"/>
          <w:color w:val="auto"/>
          <w:highlight w:val="none"/>
          <w:u w:val="single"/>
        </w:rPr>
        <w:t xml:space="preserve">（项目名称及项目编号）    </w:t>
      </w:r>
      <w:r>
        <w:rPr>
          <w:rFonts w:hint="eastAsia" w:ascii="宋体" w:hAnsi="宋体" w:cs="宋体"/>
          <w:color w:val="auto"/>
          <w:highlight w:val="none"/>
        </w:rPr>
        <w:t>项目的投标活动，并代表我方全权办理针对上述项目的投标、开标、评标、签约等具体事务和签署相关文件。</w:t>
      </w:r>
    </w:p>
    <w:p w14:paraId="223B77A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我方对被授权人的签字事项负全部责任。</w:t>
      </w:r>
    </w:p>
    <w:p w14:paraId="5B46FC30">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授权委托代理期限：自即日起至该项目政府采购活动结束。</w:t>
      </w:r>
    </w:p>
    <w:p w14:paraId="75514461">
      <w:pPr>
        <w:spacing w:line="400" w:lineRule="exact"/>
        <w:rPr>
          <w:rFonts w:ascii="宋体" w:hAnsi="宋体" w:cs="宋体"/>
          <w:color w:val="auto"/>
          <w:highlight w:val="none"/>
          <w:u w:val="single"/>
        </w:rPr>
      </w:pPr>
    </w:p>
    <w:p w14:paraId="1FE53B90">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20F3D000">
      <w:pPr>
        <w:snapToGrid w:val="0"/>
        <w:spacing w:line="400" w:lineRule="exact"/>
        <w:ind w:firstLine="525"/>
        <w:rPr>
          <w:rFonts w:ascii="宋体" w:hAnsi="宋体" w:cs="宋体"/>
          <w:color w:val="auto"/>
          <w:szCs w:val="21"/>
          <w:highlight w:val="none"/>
        </w:rPr>
      </w:pPr>
    </w:p>
    <w:p w14:paraId="71EEE5D4">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2BF85A0B">
      <w:pPr>
        <w:snapToGrid w:val="0"/>
        <w:spacing w:line="400" w:lineRule="exact"/>
        <w:ind w:firstLine="420"/>
        <w:rPr>
          <w:rFonts w:ascii="宋体" w:hAnsi="宋体" w:cs="宋体"/>
          <w:color w:val="auto"/>
          <w:szCs w:val="21"/>
          <w:highlight w:val="none"/>
        </w:rPr>
      </w:pPr>
    </w:p>
    <w:p w14:paraId="5BDC0BCD">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投标人[公章（CA签章）]：</w:t>
      </w:r>
    </w:p>
    <w:p w14:paraId="0DEE3531">
      <w:pPr>
        <w:snapToGrid w:val="0"/>
        <w:spacing w:line="400" w:lineRule="exact"/>
        <w:ind w:firstLine="420"/>
        <w:rPr>
          <w:rFonts w:ascii="宋体" w:hAnsi="宋体" w:cs="宋体"/>
          <w:color w:val="auto"/>
          <w:szCs w:val="21"/>
          <w:highlight w:val="none"/>
        </w:rPr>
      </w:pPr>
    </w:p>
    <w:p w14:paraId="3E8FD43B">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法定代表人（负责人）签字（或个人CA签章）：     　　</w:t>
      </w:r>
    </w:p>
    <w:p w14:paraId="62F00E21">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年月日</w:t>
      </w:r>
    </w:p>
    <w:p w14:paraId="32F8A6E6">
      <w:pPr>
        <w:snapToGrid w:val="0"/>
        <w:spacing w:line="400" w:lineRule="exact"/>
        <w:ind w:firstLine="420"/>
        <w:rPr>
          <w:rFonts w:ascii="宋体" w:hAnsi="宋体" w:cs="宋体"/>
          <w:color w:val="auto"/>
          <w:szCs w:val="21"/>
          <w:highlight w:val="none"/>
        </w:rPr>
      </w:pPr>
    </w:p>
    <w:p w14:paraId="1680EDF9">
      <w:pPr>
        <w:pStyle w:val="17"/>
        <w:rPr>
          <w:rFonts w:hAnsi="宋体" w:cs="宋体"/>
          <w:b/>
          <w:color w:val="auto"/>
          <w:sz w:val="24"/>
          <w:highlight w:val="none"/>
        </w:rPr>
      </w:pPr>
      <w:r>
        <w:rPr>
          <w:rFonts w:hint="eastAsia" w:hAnsi="宋体" w:cs="宋体"/>
          <w:b/>
          <w:color w:val="auto"/>
          <w:sz w:val="24"/>
          <w:highlight w:val="none"/>
        </w:rPr>
        <w:t>附：</w:t>
      </w:r>
      <w:r>
        <w:rPr>
          <w:rFonts w:hint="eastAsia" w:hAnsi="宋体" w:cs="宋体"/>
          <w:b/>
          <w:bCs/>
          <w:color w:val="auto"/>
          <w:sz w:val="24"/>
          <w:highlight w:val="none"/>
        </w:rPr>
        <w:t>委托代理人身份证正反面复印件以及由县级以上（含县级）社会养老保险经办机构出具的供应商为委托代理人交纳的响应文件递交截止时间前半年内连续三个月社保证明复印件</w:t>
      </w:r>
      <w:r>
        <w:rPr>
          <w:rFonts w:hint="eastAsia" w:hAnsi="宋体" w:cs="宋体"/>
          <w:b/>
          <w:color w:val="auto"/>
          <w:sz w:val="24"/>
          <w:highlight w:val="none"/>
        </w:rPr>
        <w:t>。</w:t>
      </w:r>
    </w:p>
    <w:p w14:paraId="3158212F">
      <w:pPr>
        <w:pStyle w:val="17"/>
        <w:jc w:val="center"/>
        <w:rPr>
          <w:rFonts w:hAnsi="宋体" w:cs="宋体"/>
          <w:b/>
          <w:color w:val="auto"/>
          <w:sz w:val="32"/>
          <w:highlight w:val="none"/>
        </w:rPr>
      </w:pPr>
      <w:r>
        <w:rPr>
          <w:rFonts w:hAnsi="宋体" w:cs="宋体"/>
          <w:b/>
          <w:color w:val="auto"/>
          <w:sz w:val="32"/>
          <w:highlight w:val="none"/>
        </w:rPr>
        <w:br w:type="page"/>
      </w:r>
      <w:r>
        <w:rPr>
          <w:rFonts w:hint="eastAsia" w:hAnsi="宋体" w:cs="宋体"/>
          <w:b/>
          <w:color w:val="auto"/>
          <w:sz w:val="32"/>
          <w:highlight w:val="none"/>
        </w:rPr>
        <w:t>授权委托书（格式二）</w:t>
      </w:r>
    </w:p>
    <w:p w14:paraId="12B05A8A">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w:t>
      </w:r>
      <w:r>
        <w:rPr>
          <w:rFonts w:hint="eastAsia" w:ascii="宋体" w:hAnsi="宋体" w:cs="宋体"/>
          <w:color w:val="auto"/>
          <w:highlight w:val="none"/>
          <w:u w:val="single"/>
          <w:lang w:val="en-US" w:eastAsia="zh-CN"/>
        </w:rPr>
        <w:t>嘉弘</w:t>
      </w:r>
      <w:r>
        <w:rPr>
          <w:rFonts w:hint="eastAsia" w:ascii="宋体" w:hAnsi="宋体" w:cs="宋体"/>
          <w:color w:val="auto"/>
          <w:highlight w:val="none"/>
          <w:u w:val="single"/>
        </w:rPr>
        <w:t>项目管理有限公司</w:t>
      </w:r>
    </w:p>
    <w:p w14:paraId="52C7DD27">
      <w:pPr>
        <w:snapToGrid w:val="0"/>
        <w:spacing w:line="400" w:lineRule="exact"/>
        <w:rPr>
          <w:rFonts w:ascii="宋体" w:hAnsi="宋体" w:cs="宋体"/>
          <w:color w:val="auto"/>
          <w:szCs w:val="21"/>
          <w:highlight w:val="none"/>
          <w:u w:val="single"/>
        </w:rPr>
      </w:pPr>
    </w:p>
    <w:p w14:paraId="7F3C9141">
      <w:pPr>
        <w:pStyle w:val="17"/>
        <w:spacing w:line="340" w:lineRule="exact"/>
        <w:ind w:firstLine="420" w:firstLineChars="200"/>
        <w:rPr>
          <w:rFonts w:hAnsi="宋体" w:cs="宋体"/>
          <w:color w:val="auto"/>
          <w:highlight w:val="none"/>
        </w:rPr>
      </w:pPr>
      <w:r>
        <w:rPr>
          <w:rFonts w:hint="eastAsia" w:hAnsi="宋体" w:cs="宋体"/>
          <w:color w:val="auto"/>
          <w:kern w:val="0"/>
          <w:highlight w:val="none"/>
        </w:rPr>
        <w:t>我（姓名）系自然人，现授权委托（姓 名），身份证号码：以本人名义参加</w:t>
      </w:r>
      <w:r>
        <w:rPr>
          <w:rFonts w:hint="eastAsia" w:hAnsi="宋体" w:cs="宋体"/>
          <w:color w:val="auto"/>
          <w:highlight w:val="none"/>
          <w:u w:val="single"/>
        </w:rPr>
        <w:t xml:space="preserve">（项目名称及项目编号）        </w:t>
      </w:r>
      <w:r>
        <w:rPr>
          <w:rFonts w:hint="eastAsia" w:hAnsi="宋体" w:cs="宋体"/>
          <w:color w:val="auto"/>
          <w:highlight w:val="none"/>
        </w:rPr>
        <w:t>项目的投标活动，并代表本人全权办理针对上述项目的投标、开标、评标、签约等具体事务和签署相关文件。</w:t>
      </w:r>
    </w:p>
    <w:p w14:paraId="6387EA00">
      <w:pPr>
        <w:pStyle w:val="17"/>
        <w:spacing w:line="340" w:lineRule="exact"/>
        <w:ind w:firstLine="420" w:firstLineChars="200"/>
        <w:rPr>
          <w:rFonts w:hAnsi="宋体" w:cs="宋体"/>
          <w:color w:val="auto"/>
          <w:highlight w:val="none"/>
        </w:rPr>
      </w:pPr>
      <w:r>
        <w:rPr>
          <w:rFonts w:hint="eastAsia" w:hAnsi="宋体" w:cs="宋体"/>
          <w:color w:val="auto"/>
          <w:highlight w:val="none"/>
        </w:rPr>
        <w:t>本人对被授权人的签字事项负全部责任。</w:t>
      </w:r>
    </w:p>
    <w:p w14:paraId="1621C22D">
      <w:pPr>
        <w:pStyle w:val="17"/>
        <w:spacing w:line="400" w:lineRule="exact"/>
        <w:ind w:firstLine="420" w:firstLineChars="200"/>
        <w:rPr>
          <w:rFonts w:hAnsi="宋体" w:cs="宋体"/>
          <w:color w:val="auto"/>
          <w:highlight w:val="none"/>
          <w:u w:val="single"/>
        </w:rPr>
      </w:pPr>
      <w:r>
        <w:rPr>
          <w:rFonts w:hint="eastAsia" w:hAnsi="宋体" w:cs="宋体"/>
          <w:color w:val="auto"/>
          <w:highlight w:val="none"/>
        </w:rPr>
        <w:t>授权委托代理期限：自即日起至该项目政府采购活动结束。</w:t>
      </w:r>
    </w:p>
    <w:p w14:paraId="6FAF405D">
      <w:pPr>
        <w:pStyle w:val="17"/>
        <w:spacing w:line="340" w:lineRule="exact"/>
        <w:ind w:firstLine="420" w:firstLineChars="200"/>
        <w:rPr>
          <w:rFonts w:hAnsi="宋体" w:cs="宋体"/>
          <w:color w:val="auto"/>
          <w:highlight w:val="none"/>
          <w:u w:val="single"/>
        </w:rPr>
      </w:pPr>
    </w:p>
    <w:p w14:paraId="3F5280F1">
      <w:pPr>
        <w:pStyle w:val="17"/>
        <w:spacing w:line="340" w:lineRule="exact"/>
        <w:rPr>
          <w:rFonts w:hAnsi="宋体" w:cs="宋体"/>
          <w:color w:val="auto"/>
          <w:highlight w:val="none"/>
          <w:u w:val="single"/>
        </w:rPr>
      </w:pPr>
    </w:p>
    <w:p w14:paraId="3E9E76F7">
      <w:pPr>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61BFB9AA">
      <w:pPr>
        <w:snapToGrid w:val="0"/>
        <w:spacing w:line="340" w:lineRule="exact"/>
        <w:ind w:firstLine="525"/>
        <w:rPr>
          <w:rFonts w:ascii="宋体" w:hAnsi="宋体" w:cs="宋体"/>
          <w:color w:val="auto"/>
          <w:szCs w:val="21"/>
          <w:highlight w:val="none"/>
        </w:rPr>
      </w:pPr>
    </w:p>
    <w:p w14:paraId="2BB3B8C9">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43CDB34C">
      <w:pPr>
        <w:snapToGrid w:val="0"/>
        <w:spacing w:line="340" w:lineRule="exact"/>
        <w:ind w:firstLine="420"/>
        <w:rPr>
          <w:rFonts w:ascii="宋体" w:hAnsi="宋体" w:cs="宋体"/>
          <w:color w:val="auto"/>
          <w:szCs w:val="21"/>
          <w:highlight w:val="none"/>
        </w:rPr>
      </w:pPr>
    </w:p>
    <w:p w14:paraId="5BB82F8D">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自然人签字（个人CA签章）并在签名处加盖大拇指指印：</w:t>
      </w:r>
    </w:p>
    <w:p w14:paraId="68112081">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年月日</w:t>
      </w:r>
    </w:p>
    <w:p w14:paraId="47395EB0">
      <w:pPr>
        <w:snapToGrid w:val="0"/>
        <w:spacing w:line="340" w:lineRule="exact"/>
        <w:ind w:firstLine="420"/>
        <w:rPr>
          <w:rFonts w:ascii="宋体" w:hAnsi="宋体" w:cs="宋体"/>
          <w:color w:val="auto"/>
          <w:szCs w:val="21"/>
          <w:highlight w:val="none"/>
        </w:rPr>
      </w:pPr>
    </w:p>
    <w:p w14:paraId="788B372A">
      <w:pPr>
        <w:rPr>
          <w:rFonts w:ascii="宋体" w:hAnsi="宋体" w:cs="宋体"/>
          <w:b/>
          <w:bCs/>
          <w:color w:val="auto"/>
          <w:sz w:val="32"/>
          <w:szCs w:val="32"/>
          <w:highlight w:val="none"/>
        </w:rPr>
      </w:pPr>
      <w:r>
        <w:rPr>
          <w:rFonts w:hint="eastAsia" w:hAnsi="宋体"/>
          <w:b/>
          <w:color w:val="auto"/>
          <w:sz w:val="24"/>
          <w:highlight w:val="none"/>
        </w:rPr>
        <w:t>附：</w:t>
      </w:r>
      <w:r>
        <w:rPr>
          <w:rFonts w:hint="eastAsia" w:hAnsi="宋体"/>
          <w:b/>
          <w:bCs/>
          <w:color w:val="auto"/>
          <w:sz w:val="24"/>
          <w:highlight w:val="none"/>
        </w:rPr>
        <w:t>委托代理人身份证正反面复印件以及由县级以上（含县级）社会养老保险经办机构出具的供应商为委托代理人交纳的响应文件递交截止时间前半年内连续三个月社保证明复印件</w:t>
      </w:r>
      <w:r>
        <w:rPr>
          <w:rFonts w:hint="eastAsia" w:hAnsi="宋体"/>
          <w:b/>
          <w:color w:val="auto"/>
          <w:sz w:val="24"/>
          <w:highlight w:val="none"/>
        </w:rPr>
        <w:t>。</w:t>
      </w:r>
    </w:p>
    <w:p w14:paraId="76004298">
      <w:pPr>
        <w:rPr>
          <w:rFonts w:ascii="宋体" w:hAnsi="宋体" w:cs="宋体"/>
          <w:b/>
          <w:bCs/>
          <w:color w:val="auto"/>
          <w:sz w:val="32"/>
          <w:szCs w:val="32"/>
          <w:highlight w:val="none"/>
        </w:rPr>
      </w:pPr>
    </w:p>
    <w:p w14:paraId="174BF0AC">
      <w:pPr>
        <w:rPr>
          <w:rFonts w:ascii="宋体" w:hAnsi="宋体" w:cs="宋体"/>
          <w:b/>
          <w:bCs/>
          <w:color w:val="auto"/>
          <w:sz w:val="32"/>
          <w:szCs w:val="32"/>
          <w:highlight w:val="none"/>
        </w:rPr>
      </w:pPr>
      <w:bookmarkStart w:id="366" w:name="_Toc495841790"/>
      <w:bookmarkStart w:id="367" w:name="_Toc12280"/>
      <w:r>
        <w:rPr>
          <w:rFonts w:hint="eastAsia" w:ascii="宋体" w:hAnsi="宋体" w:cs="宋体"/>
          <w:b/>
          <w:bCs/>
          <w:color w:val="auto"/>
          <w:sz w:val="32"/>
          <w:szCs w:val="32"/>
          <w:highlight w:val="none"/>
        </w:rPr>
        <w:t>3.投标人的法人或者其他组织营业执照等证明文件复印件（必须提供，自然人除外）</w:t>
      </w:r>
      <w:bookmarkEnd w:id="366"/>
      <w:bookmarkEnd w:id="367"/>
    </w:p>
    <w:p w14:paraId="2ED6A05D">
      <w:pPr>
        <w:tabs>
          <w:tab w:val="left" w:pos="1305"/>
        </w:tabs>
        <w:spacing w:line="400" w:lineRule="exact"/>
        <w:rPr>
          <w:rFonts w:ascii="宋体" w:hAnsi="宋体" w:cs="宋体"/>
          <w:b/>
          <w:color w:val="auto"/>
          <w:szCs w:val="21"/>
          <w:highlight w:val="none"/>
        </w:rPr>
      </w:pPr>
      <w:r>
        <w:rPr>
          <w:rFonts w:hint="eastAsia" w:ascii="宋体" w:hAnsi="宋体" w:cs="宋体"/>
          <w:b/>
          <w:color w:val="auto"/>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46ED7B3">
      <w:pPr>
        <w:spacing w:line="400" w:lineRule="exact"/>
        <w:ind w:left="420" w:leftChars="200" w:firstLine="157" w:firstLineChars="49"/>
        <w:rPr>
          <w:rFonts w:ascii="宋体" w:hAnsi="宋体" w:cs="宋体"/>
          <w:b/>
          <w:color w:val="auto"/>
          <w:sz w:val="32"/>
          <w:szCs w:val="32"/>
          <w:highlight w:val="none"/>
        </w:rPr>
      </w:pPr>
    </w:p>
    <w:p w14:paraId="375A2CC1">
      <w:pPr>
        <w:spacing w:line="400" w:lineRule="exact"/>
        <w:ind w:left="420" w:leftChars="200" w:firstLine="157" w:firstLineChars="49"/>
        <w:rPr>
          <w:rFonts w:ascii="宋体" w:hAnsi="宋体" w:cs="宋体"/>
          <w:b/>
          <w:color w:val="auto"/>
          <w:sz w:val="32"/>
          <w:szCs w:val="32"/>
          <w:highlight w:val="none"/>
        </w:rPr>
      </w:pPr>
    </w:p>
    <w:p w14:paraId="00D0CE2F">
      <w:pPr>
        <w:pStyle w:val="49"/>
        <w:rPr>
          <w:color w:val="auto"/>
          <w:highlight w:val="none"/>
        </w:rPr>
      </w:pPr>
      <w:r>
        <w:rPr>
          <w:color w:val="auto"/>
          <w:highlight w:val="none"/>
        </w:rPr>
        <w:br w:type="page"/>
      </w:r>
    </w:p>
    <w:p w14:paraId="06E67A00">
      <w:pPr>
        <w:rPr>
          <w:rFonts w:ascii="宋体" w:hAnsi="宋体" w:cs="宋体"/>
          <w:b/>
          <w:bCs/>
          <w:color w:val="auto"/>
          <w:sz w:val="32"/>
          <w:szCs w:val="32"/>
          <w:highlight w:val="none"/>
        </w:rPr>
      </w:pPr>
      <w:bookmarkStart w:id="368" w:name="_Toc26950"/>
      <w:bookmarkStart w:id="369" w:name="_Toc495841793"/>
      <w:r>
        <w:rPr>
          <w:rFonts w:hint="eastAsia" w:ascii="宋体" w:hAnsi="宋体" w:cs="宋体"/>
          <w:b/>
          <w:bCs/>
          <w:color w:val="auto"/>
          <w:sz w:val="32"/>
          <w:szCs w:val="32"/>
          <w:highlight w:val="none"/>
        </w:rPr>
        <w:t>4.投标人参加政府采购活动前3年内在经营活动中没有重大违法记录及有关信用信息的书面声明（必须提供）</w:t>
      </w:r>
      <w:bookmarkEnd w:id="368"/>
      <w:bookmarkEnd w:id="369"/>
    </w:p>
    <w:p w14:paraId="0ACBC322">
      <w:pPr>
        <w:pStyle w:val="133"/>
        <w:ind w:firstLine="0" w:firstLineChars="0"/>
        <w:rPr>
          <w:rFonts w:ascii="宋体" w:hAnsi="宋体" w:cs="宋体"/>
          <w:b/>
          <w:bCs/>
          <w:color w:val="auto"/>
          <w:sz w:val="32"/>
          <w:szCs w:val="32"/>
          <w:highlight w:val="none"/>
        </w:rPr>
      </w:pPr>
    </w:p>
    <w:p w14:paraId="38F7FCBF">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声   明</w:t>
      </w:r>
    </w:p>
    <w:p w14:paraId="73C6D5DB">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w:t>
      </w:r>
      <w:r>
        <w:rPr>
          <w:rFonts w:hint="eastAsia" w:ascii="宋体" w:hAnsi="宋体" w:cs="宋体"/>
          <w:color w:val="auto"/>
          <w:highlight w:val="none"/>
          <w:u w:val="single"/>
          <w:lang w:val="en-US" w:eastAsia="zh-CN"/>
        </w:rPr>
        <w:t>嘉弘</w:t>
      </w:r>
      <w:r>
        <w:rPr>
          <w:rFonts w:hint="eastAsia" w:ascii="宋体" w:hAnsi="宋体" w:cs="宋体"/>
          <w:color w:val="auto"/>
          <w:highlight w:val="none"/>
          <w:u w:val="single"/>
        </w:rPr>
        <w:t>项目管理有限公司</w:t>
      </w:r>
    </w:p>
    <w:p w14:paraId="597A9A28">
      <w:pPr>
        <w:snapToGrid w:val="0"/>
        <w:spacing w:line="400" w:lineRule="exact"/>
        <w:rPr>
          <w:rFonts w:ascii="宋体" w:hAnsi="宋体" w:cs="宋体"/>
          <w:color w:val="auto"/>
          <w:szCs w:val="21"/>
          <w:highlight w:val="none"/>
          <w:u w:val="single"/>
        </w:rPr>
      </w:pPr>
    </w:p>
    <w:p w14:paraId="3C24A565">
      <w:pPr>
        <w:pStyle w:val="17"/>
        <w:spacing w:line="38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A0E9D7C">
      <w:pPr>
        <w:snapToGrid w:val="0"/>
        <w:spacing w:line="400" w:lineRule="exact"/>
        <w:ind w:firstLine="4515" w:firstLineChars="2150"/>
        <w:rPr>
          <w:rFonts w:ascii="宋体" w:hAnsi="宋体" w:cs="宋体"/>
          <w:color w:val="auto"/>
          <w:szCs w:val="21"/>
          <w:highlight w:val="none"/>
        </w:rPr>
      </w:pPr>
    </w:p>
    <w:p w14:paraId="2BC18207">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1EB9DDB2">
      <w:pPr>
        <w:snapToGrid w:val="0"/>
        <w:spacing w:line="400" w:lineRule="exact"/>
        <w:ind w:firstLine="1890" w:firstLineChars="900"/>
        <w:rPr>
          <w:rFonts w:ascii="宋体" w:hAnsi="宋体" w:cs="宋体"/>
          <w:color w:val="auto"/>
          <w:highlight w:val="none"/>
          <w:u w:val="single"/>
        </w:rPr>
      </w:pPr>
      <w:r>
        <w:rPr>
          <w:rFonts w:hint="eastAsia" w:ascii="宋体" w:hAnsi="宋体" w:cs="宋体"/>
          <w:color w:val="auto"/>
          <w:szCs w:val="21"/>
          <w:highlight w:val="none"/>
        </w:rPr>
        <w:t>法定代表人、负责人或相应的委托代理人[签字或盖章（CA签章）]：</w:t>
      </w:r>
    </w:p>
    <w:p w14:paraId="13FD2AA9">
      <w:pPr>
        <w:snapToGrid w:val="0"/>
        <w:spacing w:line="400" w:lineRule="exact"/>
        <w:ind w:firstLine="1890" w:firstLineChars="900"/>
        <w:rPr>
          <w:rFonts w:ascii="宋体" w:hAnsi="宋体" w:cs="宋体"/>
          <w:color w:val="auto"/>
          <w:highlight w:val="none"/>
          <w:u w:val="single"/>
        </w:rPr>
      </w:pPr>
      <w:r>
        <w:rPr>
          <w:rFonts w:hint="eastAsia" w:ascii="宋体" w:hAnsi="宋体" w:cs="宋体"/>
          <w:color w:val="auto"/>
          <w:highlight w:val="none"/>
        </w:rPr>
        <w:t>日          期：</w:t>
      </w:r>
    </w:p>
    <w:p w14:paraId="75DE810D">
      <w:pPr>
        <w:snapToGrid w:val="0"/>
        <w:spacing w:line="400" w:lineRule="exact"/>
        <w:rPr>
          <w:rFonts w:ascii="宋体" w:hAnsi="宋体" w:cs="宋体"/>
          <w:color w:val="auto"/>
          <w:highlight w:val="none"/>
          <w:u w:val="single"/>
        </w:rPr>
      </w:pPr>
    </w:p>
    <w:p w14:paraId="29895CAE">
      <w:pPr>
        <w:snapToGrid w:val="0"/>
        <w:spacing w:line="400" w:lineRule="exact"/>
        <w:rPr>
          <w:rFonts w:ascii="宋体" w:hAnsi="宋体" w:cs="宋体"/>
          <w:color w:val="auto"/>
          <w:highlight w:val="none"/>
          <w:u w:val="single"/>
        </w:rPr>
      </w:pPr>
    </w:p>
    <w:p w14:paraId="708222E6">
      <w:pPr>
        <w:snapToGrid w:val="0"/>
        <w:spacing w:line="400" w:lineRule="exact"/>
        <w:rPr>
          <w:rFonts w:ascii="宋体" w:hAnsi="宋体" w:cs="宋体"/>
          <w:color w:val="auto"/>
          <w:highlight w:val="none"/>
          <w:u w:val="single"/>
        </w:rPr>
      </w:pPr>
    </w:p>
    <w:p w14:paraId="09D476B2">
      <w:pPr>
        <w:numPr>
          <w:ilvl w:val="0"/>
          <w:numId w:val="7"/>
        </w:numPr>
        <w:snapToGrid w:val="0"/>
        <w:spacing w:line="400" w:lineRule="exact"/>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C分标</w:t>
      </w:r>
      <w:r>
        <w:rPr>
          <w:rFonts w:hint="eastAsia" w:ascii="宋体" w:hAnsi="宋体" w:cs="宋体"/>
          <w:b/>
          <w:bCs/>
          <w:color w:val="auto"/>
          <w:sz w:val="32"/>
          <w:szCs w:val="32"/>
          <w:highlight w:val="none"/>
        </w:rPr>
        <w:t>投标人有效的医疗器械经营备案凭证复印件或者医疗器械经营许可证复印件，且经营范围必须包含采购的医疗器械标的[符合《医疗器械监督管理条例》第四十一条第二款规定的除外]，所投产品尿酸/血糖分析仪生产厂家具有医疗器械生产许可证</w:t>
      </w:r>
      <w:r>
        <w:rPr>
          <w:rFonts w:hint="eastAsia" w:ascii="宋体" w:hAnsi="宋体" w:cs="宋体"/>
          <w:b/>
          <w:bCs/>
          <w:color w:val="auto"/>
          <w:sz w:val="32"/>
          <w:szCs w:val="32"/>
          <w:highlight w:val="none"/>
          <w:lang w:val="en-US" w:eastAsia="zh-CN"/>
        </w:rPr>
        <w:t>复印件，</w:t>
      </w:r>
      <w:r>
        <w:rPr>
          <w:rFonts w:hint="eastAsia" w:ascii="宋体" w:hAnsi="宋体" w:cs="宋体"/>
          <w:b/>
          <w:bCs/>
          <w:color w:val="auto"/>
          <w:sz w:val="32"/>
          <w:szCs w:val="32"/>
          <w:highlight w:val="none"/>
        </w:rPr>
        <w:t>所投产品尿酸/血糖分析仪具有注册凭证复印件或备案凭证复印件。（</w:t>
      </w:r>
      <w:r>
        <w:rPr>
          <w:rFonts w:hint="eastAsia" w:ascii="宋体" w:hAnsi="宋体" w:cs="宋体"/>
          <w:b/>
          <w:bCs/>
          <w:color w:val="auto"/>
          <w:sz w:val="32"/>
          <w:szCs w:val="32"/>
          <w:highlight w:val="none"/>
          <w:lang w:val="en-US" w:eastAsia="zh-CN"/>
        </w:rPr>
        <w:t>C分标</w:t>
      </w:r>
      <w:r>
        <w:rPr>
          <w:rFonts w:hint="eastAsia" w:ascii="宋体" w:hAnsi="宋体" w:cs="宋体"/>
          <w:b/>
          <w:bCs/>
          <w:color w:val="auto"/>
          <w:sz w:val="32"/>
          <w:szCs w:val="32"/>
          <w:highlight w:val="none"/>
        </w:rPr>
        <w:t>必须提供</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ABD分标无需提供</w:t>
      </w:r>
      <w:r>
        <w:rPr>
          <w:rFonts w:hint="eastAsia" w:ascii="宋体" w:hAnsi="宋体" w:cs="宋体"/>
          <w:b/>
          <w:bCs/>
          <w:color w:val="auto"/>
          <w:sz w:val="32"/>
          <w:szCs w:val="32"/>
          <w:highlight w:val="none"/>
        </w:rPr>
        <w:t>）</w:t>
      </w:r>
    </w:p>
    <w:p w14:paraId="1B820950">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35411697">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1174A20E">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37A13B34">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56505D56">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02286B5F">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6161B601">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550F51C7">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24972995">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7AE6EAB2">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07245A59">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10601096">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78F3A137">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rPr>
        <w:t>.提供货物企业属于小型、微型企业【中小微型企业划分标准按照《国家统计局关于印发&lt;统计上大中小微型企业划分办法〔2017〕&gt;的通知》（国统字〔2017〕213号）执行，具体划分标准见第四章评标办法中附表《统计上大中小微型企业划分标准》】，以提供的《中小企业声明函》（见附件）为准（</w:t>
      </w:r>
      <w:r>
        <w:rPr>
          <w:rFonts w:hint="eastAsia" w:ascii="宋体" w:hAnsi="宋体" w:cs="宋体"/>
          <w:b/>
          <w:bCs/>
          <w:color w:val="auto"/>
          <w:sz w:val="32"/>
          <w:szCs w:val="32"/>
          <w:highlight w:val="none"/>
          <w:lang w:val="en-US" w:eastAsia="zh-CN"/>
        </w:rPr>
        <w:t>必须</w:t>
      </w:r>
      <w:r>
        <w:rPr>
          <w:rFonts w:hint="eastAsia" w:ascii="宋体" w:hAnsi="宋体" w:cs="宋体"/>
          <w:b/>
          <w:bCs/>
          <w:color w:val="auto"/>
          <w:sz w:val="32"/>
          <w:szCs w:val="32"/>
          <w:highlight w:val="none"/>
        </w:rPr>
        <w:t>提供）</w:t>
      </w:r>
    </w:p>
    <w:p w14:paraId="05616988">
      <w:pPr>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p>
    <w:p w14:paraId="76E7663C">
      <w:pPr>
        <w:pStyle w:val="127"/>
        <w:spacing w:after="0" w:line="400" w:lineRule="exact"/>
        <w:rPr>
          <w:b/>
          <w:color w:val="auto"/>
          <w:sz w:val="24"/>
          <w:szCs w:val="24"/>
          <w:highlight w:val="none"/>
        </w:rPr>
      </w:pPr>
      <w:r>
        <w:rPr>
          <w:rFonts w:hint="eastAsia"/>
          <w:b/>
          <w:color w:val="auto"/>
          <w:sz w:val="24"/>
          <w:szCs w:val="24"/>
          <w:highlight w:val="none"/>
        </w:rPr>
        <w:t>中小企业声明函(格式)</w:t>
      </w:r>
    </w:p>
    <w:p w14:paraId="39A9CF37">
      <w:pPr>
        <w:pStyle w:val="127"/>
        <w:spacing w:after="0" w:line="400" w:lineRule="exact"/>
        <w:rPr>
          <w:color w:val="auto"/>
          <w:sz w:val="24"/>
          <w:szCs w:val="24"/>
          <w:highlight w:val="none"/>
        </w:rPr>
      </w:pPr>
    </w:p>
    <w:p w14:paraId="12A0F593">
      <w:pPr>
        <w:pStyle w:val="139"/>
        <w:spacing w:line="400" w:lineRule="exact"/>
        <w:ind w:firstLine="640"/>
        <w:jc w:val="both"/>
        <w:rPr>
          <w:color w:val="auto"/>
          <w:sz w:val="21"/>
          <w:szCs w:val="21"/>
          <w:highlight w:val="none"/>
        </w:rPr>
      </w:pPr>
      <w:r>
        <w:rPr>
          <w:rFonts w:hint="eastAsia"/>
          <w:color w:val="auto"/>
          <w:sz w:val="21"/>
          <w:szCs w:val="21"/>
          <w:highlight w:val="none"/>
        </w:rPr>
        <w:t>本公司郑重声明，根据《政府采购促进中小企业发展管理办法》（财库〔2020〕46号）的规定，本公司参加</w:t>
      </w:r>
      <w:r>
        <w:rPr>
          <w:rFonts w:hint="eastAsia"/>
          <w:color w:val="auto"/>
          <w:sz w:val="21"/>
          <w:szCs w:val="21"/>
          <w:highlight w:val="none"/>
          <w:u w:val="single"/>
        </w:rPr>
        <w:t>（单位名称）</w:t>
      </w:r>
      <w:r>
        <w:rPr>
          <w:rFonts w:hint="eastAsia"/>
          <w:color w:val="auto"/>
          <w:sz w:val="21"/>
          <w:szCs w:val="21"/>
          <w:highlight w:val="none"/>
        </w:rPr>
        <w:t>的</w:t>
      </w:r>
      <w:r>
        <w:rPr>
          <w:rFonts w:hint="eastAsia"/>
          <w:color w:val="auto"/>
          <w:sz w:val="21"/>
          <w:szCs w:val="21"/>
          <w:highlight w:val="none"/>
          <w:u w:val="single"/>
        </w:rPr>
        <w:t>（项目名称）</w:t>
      </w:r>
      <w:r>
        <w:rPr>
          <w:rFonts w:hint="eastAsia"/>
          <w:color w:val="auto"/>
          <w:sz w:val="21"/>
          <w:szCs w:val="21"/>
          <w:highlight w:val="none"/>
        </w:rPr>
        <w:t>釆购活动,提供的货物全部由符合政策要求的中小企业制造。相关企业的具体情况如下：</w:t>
      </w:r>
    </w:p>
    <w:p w14:paraId="2606ED10">
      <w:pPr>
        <w:pStyle w:val="139"/>
        <w:spacing w:line="400" w:lineRule="exact"/>
        <w:ind w:firstLine="640"/>
        <w:jc w:val="both"/>
        <w:rPr>
          <w:color w:val="auto"/>
          <w:sz w:val="21"/>
          <w:szCs w:val="21"/>
          <w:highlight w:val="none"/>
        </w:rPr>
      </w:pPr>
      <w:r>
        <w:rPr>
          <w:rFonts w:hint="eastAsia"/>
          <w:color w:val="auto"/>
          <w:sz w:val="21"/>
          <w:szCs w:val="21"/>
          <w:highlight w:val="none"/>
          <w:u w:val="single"/>
        </w:rPr>
        <w:t xml:space="preserve">     （标的名称）</w:t>
      </w:r>
      <w:r>
        <w:rPr>
          <w:rFonts w:hint="eastAsia"/>
          <w:color w:val="auto"/>
          <w:sz w:val="21"/>
          <w:szCs w:val="21"/>
          <w:highlight w:val="none"/>
        </w:rPr>
        <w:t>，属于</w:t>
      </w:r>
      <w:r>
        <w:rPr>
          <w:rFonts w:hint="eastAsia"/>
          <w:color w:val="auto"/>
          <w:sz w:val="21"/>
          <w:szCs w:val="21"/>
          <w:highlight w:val="none"/>
          <w:u w:val="single"/>
        </w:rPr>
        <w:t xml:space="preserve">     （釆购文件中明确的所属行业）行业</w:t>
      </w:r>
      <w:r>
        <w:rPr>
          <w:rFonts w:hint="eastAsia"/>
          <w:color w:val="auto"/>
          <w:sz w:val="21"/>
          <w:szCs w:val="21"/>
          <w:highlight w:val="none"/>
        </w:rPr>
        <w:t>；制造商为</w:t>
      </w:r>
      <w:r>
        <w:rPr>
          <w:rFonts w:hint="eastAsia"/>
          <w:color w:val="auto"/>
          <w:sz w:val="21"/>
          <w:szCs w:val="21"/>
          <w:highlight w:val="none"/>
          <w:u w:val="single"/>
        </w:rPr>
        <w:t>（企业名称）</w:t>
      </w:r>
      <w:r>
        <w:rPr>
          <w:rFonts w:hint="eastAsia"/>
          <w:color w:val="auto"/>
          <w:sz w:val="21"/>
          <w:szCs w:val="21"/>
          <w:highlight w:val="none"/>
        </w:rPr>
        <w:t>，从业人员</w:t>
      </w:r>
      <w:r>
        <w:rPr>
          <w:rFonts w:hint="eastAsia"/>
          <w:color w:val="auto"/>
          <w:sz w:val="21"/>
          <w:szCs w:val="21"/>
          <w:highlight w:val="none"/>
          <w:u w:val="single"/>
        </w:rPr>
        <w:tab/>
      </w:r>
      <w:r>
        <w:rPr>
          <w:rFonts w:hint="eastAsia"/>
          <w:color w:val="auto"/>
          <w:sz w:val="21"/>
          <w:szCs w:val="21"/>
          <w:highlight w:val="none"/>
        </w:rPr>
        <w:t>人，营业收入为万元，资产总额为万元，属于</w:t>
      </w:r>
      <w:r>
        <w:rPr>
          <w:rFonts w:hint="eastAsia"/>
          <w:color w:val="auto"/>
          <w:sz w:val="21"/>
          <w:szCs w:val="21"/>
          <w:highlight w:val="none"/>
          <w:u w:val="single"/>
        </w:rPr>
        <w:t>（中型企业、小型企业、微型企业）</w:t>
      </w:r>
      <w:r>
        <w:rPr>
          <w:rFonts w:hint="eastAsia"/>
          <w:color w:val="auto"/>
          <w:sz w:val="21"/>
          <w:szCs w:val="21"/>
          <w:highlight w:val="none"/>
        </w:rPr>
        <w:t xml:space="preserve">； </w:t>
      </w:r>
    </w:p>
    <w:p w14:paraId="1A0A55B8">
      <w:pPr>
        <w:pStyle w:val="139"/>
        <w:spacing w:line="400" w:lineRule="exact"/>
        <w:ind w:firstLine="640"/>
        <w:jc w:val="both"/>
        <w:rPr>
          <w:color w:val="auto"/>
          <w:sz w:val="21"/>
          <w:szCs w:val="21"/>
          <w:highlight w:val="none"/>
        </w:rPr>
      </w:pPr>
    </w:p>
    <w:p w14:paraId="7A62DA5A">
      <w:pPr>
        <w:pStyle w:val="139"/>
        <w:spacing w:line="400" w:lineRule="exact"/>
        <w:ind w:firstLine="640"/>
        <w:jc w:val="both"/>
        <w:rPr>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07B6AA03">
      <w:pPr>
        <w:pStyle w:val="139"/>
        <w:spacing w:after="40" w:line="400" w:lineRule="exact"/>
        <w:ind w:firstLine="640"/>
        <w:jc w:val="both"/>
        <w:rPr>
          <w:color w:val="auto"/>
          <w:sz w:val="21"/>
          <w:szCs w:val="21"/>
          <w:highlight w:val="none"/>
        </w:rPr>
      </w:pPr>
      <w:r>
        <w:rPr>
          <w:rFonts w:hint="eastAsia"/>
          <w:color w:val="auto"/>
          <w:sz w:val="21"/>
          <w:szCs w:val="21"/>
          <w:highlight w:val="none"/>
        </w:rPr>
        <w:t>本企业对上述声明内容的真实性负责。如有虚假，将依法承担相应责任。</w:t>
      </w:r>
    </w:p>
    <w:p w14:paraId="401751FD">
      <w:pPr>
        <w:pStyle w:val="139"/>
        <w:spacing w:after="40" w:line="400" w:lineRule="exact"/>
        <w:ind w:firstLine="640"/>
        <w:jc w:val="both"/>
        <w:rPr>
          <w:color w:val="auto"/>
          <w:sz w:val="21"/>
          <w:szCs w:val="21"/>
          <w:highlight w:val="none"/>
        </w:rPr>
      </w:pPr>
    </w:p>
    <w:p w14:paraId="3471143F">
      <w:pPr>
        <w:pStyle w:val="139"/>
        <w:spacing w:line="400" w:lineRule="exact"/>
        <w:ind w:firstLine="640"/>
        <w:jc w:val="both"/>
        <w:rPr>
          <w:color w:val="auto"/>
          <w:sz w:val="21"/>
          <w:szCs w:val="21"/>
          <w:highlight w:val="none"/>
        </w:rPr>
      </w:pPr>
      <w:r>
        <w:rPr>
          <w:rFonts w:hint="eastAsia"/>
          <w:color w:val="auto"/>
          <w:sz w:val="21"/>
          <w:szCs w:val="21"/>
          <w:highlight w:val="none"/>
        </w:rPr>
        <w:t xml:space="preserve">                         企业名称[盖公章（CA签章）]：</w:t>
      </w:r>
    </w:p>
    <w:p w14:paraId="4D2F5F0A">
      <w:pPr>
        <w:pStyle w:val="139"/>
        <w:spacing w:line="400" w:lineRule="exact"/>
        <w:ind w:firstLine="640"/>
        <w:jc w:val="both"/>
        <w:rPr>
          <w:color w:val="auto"/>
          <w:sz w:val="21"/>
          <w:szCs w:val="21"/>
          <w:highlight w:val="none"/>
        </w:rPr>
      </w:pPr>
      <w:r>
        <w:rPr>
          <w:rFonts w:hint="eastAsia"/>
          <w:color w:val="auto"/>
          <w:sz w:val="21"/>
          <w:szCs w:val="21"/>
          <w:highlight w:val="none"/>
        </w:rPr>
        <w:t xml:space="preserve">                         日期：</w:t>
      </w:r>
    </w:p>
    <w:p w14:paraId="30796531">
      <w:pPr>
        <w:pStyle w:val="127"/>
        <w:spacing w:after="0" w:line="400" w:lineRule="exact"/>
        <w:rPr>
          <w:color w:val="auto"/>
          <w:sz w:val="21"/>
          <w:szCs w:val="21"/>
          <w:highlight w:val="none"/>
        </w:rPr>
      </w:pPr>
    </w:p>
    <w:p w14:paraId="7D48E734">
      <w:pPr>
        <w:pStyle w:val="127"/>
        <w:adjustRightInd w:val="0"/>
        <w:snapToGrid w:val="0"/>
        <w:spacing w:after="0" w:line="400" w:lineRule="exact"/>
        <w:jc w:val="left"/>
        <w:rPr>
          <w:b/>
          <w:color w:val="auto"/>
          <w:sz w:val="21"/>
          <w:szCs w:val="21"/>
          <w:highlight w:val="none"/>
        </w:rPr>
      </w:pPr>
      <w:r>
        <w:rPr>
          <w:rFonts w:hint="eastAsia"/>
          <w:b/>
          <w:color w:val="auto"/>
          <w:sz w:val="21"/>
          <w:szCs w:val="21"/>
          <w:highlight w:val="none"/>
        </w:rPr>
        <w:t>备注：</w:t>
      </w:r>
    </w:p>
    <w:p w14:paraId="0707B561">
      <w:pPr>
        <w:pStyle w:val="127"/>
        <w:numPr>
          <w:ilvl w:val="0"/>
          <w:numId w:val="8"/>
        </w:numPr>
        <w:adjustRightInd w:val="0"/>
        <w:snapToGrid w:val="0"/>
        <w:spacing w:after="0" w:line="400" w:lineRule="exact"/>
        <w:jc w:val="left"/>
        <w:rPr>
          <w:b/>
          <w:color w:val="auto"/>
          <w:sz w:val="21"/>
          <w:szCs w:val="21"/>
          <w:highlight w:val="none"/>
        </w:rPr>
      </w:pPr>
      <w:r>
        <w:rPr>
          <w:rFonts w:hint="eastAsia"/>
          <w:b/>
          <w:color w:val="auto"/>
          <w:sz w:val="21"/>
          <w:szCs w:val="21"/>
          <w:highlight w:val="none"/>
        </w:rPr>
        <w:t>从业人员、营业收入、资产总额填报上一年度数据，无上一年度数据的新成立企业可不填报。</w:t>
      </w:r>
    </w:p>
    <w:p w14:paraId="32CAC75C">
      <w:pPr>
        <w:pStyle w:val="127"/>
        <w:adjustRightInd w:val="0"/>
        <w:snapToGrid w:val="0"/>
        <w:spacing w:after="0" w:line="400" w:lineRule="exact"/>
        <w:jc w:val="left"/>
        <w:rPr>
          <w:color w:val="auto"/>
          <w:sz w:val="24"/>
          <w:szCs w:val="24"/>
          <w:highlight w:val="none"/>
        </w:rPr>
      </w:pPr>
      <w:r>
        <w:rPr>
          <w:rFonts w:hint="eastAsia"/>
          <w:b/>
          <w:bCs/>
          <w:color w:val="auto"/>
          <w:sz w:val="21"/>
          <w:szCs w:val="21"/>
          <w:highlight w:val="none"/>
        </w:rPr>
        <w:t>2.本项目采购标的为HDPE防渗膜，采购标的在《统计上大中小微型企业划分标准》中属于“工业”。</w:t>
      </w:r>
      <w:r>
        <w:rPr>
          <w:b/>
          <w:bCs/>
          <w:color w:val="auto"/>
          <w:sz w:val="24"/>
          <w:szCs w:val="24"/>
          <w:highlight w:val="none"/>
        </w:rPr>
        <w:br w:type="page"/>
      </w:r>
    </w:p>
    <w:p w14:paraId="54AA83A1">
      <w:pPr>
        <w:rPr>
          <w:rFonts w:ascii="宋体" w:hAnsi="宋体" w:cs="宋体"/>
          <w:b/>
          <w:bCs/>
          <w:color w:val="auto"/>
          <w:sz w:val="32"/>
          <w:szCs w:val="32"/>
          <w:highlight w:val="none"/>
        </w:rPr>
      </w:pPr>
      <w:bookmarkStart w:id="370" w:name="_Toc26652"/>
      <w:r>
        <w:rPr>
          <w:rFonts w:hint="eastAsia" w:ascii="宋体" w:hAnsi="宋体" w:cs="宋体"/>
          <w:b/>
          <w:bCs/>
          <w:color w:val="auto"/>
          <w:sz w:val="32"/>
          <w:szCs w:val="32"/>
          <w:highlight w:val="none"/>
        </w:rPr>
        <w:t>二、商务、技术性响应及其他有效证明材料（格式）</w:t>
      </w:r>
      <w:bookmarkEnd w:id="370"/>
    </w:p>
    <w:p w14:paraId="024532A2">
      <w:pPr>
        <w:rPr>
          <w:rFonts w:ascii="宋体" w:hAnsi="Courier New"/>
          <w:b/>
          <w:color w:val="auto"/>
          <w:sz w:val="32"/>
          <w:szCs w:val="32"/>
          <w:highlight w:val="none"/>
        </w:rPr>
      </w:pPr>
      <w:bookmarkStart w:id="371" w:name="_Toc2409"/>
      <w:bookmarkStart w:id="372" w:name="_Toc495841795"/>
      <w:r>
        <w:rPr>
          <w:rFonts w:hint="eastAsia" w:ascii="宋体" w:hAnsi="宋体" w:cs="宋体"/>
          <w:b/>
          <w:bCs/>
          <w:color w:val="auto"/>
          <w:sz w:val="32"/>
          <w:szCs w:val="32"/>
          <w:highlight w:val="none"/>
        </w:rPr>
        <w:t>1.</w:t>
      </w:r>
      <w:r>
        <w:rPr>
          <w:rFonts w:hint="eastAsia"/>
          <w:b/>
          <w:color w:val="auto"/>
          <w:sz w:val="32"/>
          <w:highlight w:val="none"/>
        </w:rPr>
        <w:t>投标报价表</w:t>
      </w:r>
      <w:r>
        <w:rPr>
          <w:rFonts w:hint="eastAsia" w:ascii="宋体" w:hAnsi="Courier New"/>
          <w:b/>
          <w:color w:val="auto"/>
          <w:sz w:val="32"/>
          <w:szCs w:val="32"/>
          <w:highlight w:val="none"/>
        </w:rPr>
        <w:t>（必须提供）</w:t>
      </w:r>
    </w:p>
    <w:p w14:paraId="283D2E53">
      <w:pPr>
        <w:pStyle w:val="17"/>
        <w:spacing w:line="400" w:lineRule="exact"/>
        <w:ind w:left="420"/>
        <w:jc w:val="left"/>
        <w:rPr>
          <w:b/>
          <w:color w:val="auto"/>
          <w:sz w:val="24"/>
          <w:szCs w:val="24"/>
          <w:highlight w:val="none"/>
        </w:rPr>
      </w:pPr>
      <w:r>
        <w:rPr>
          <w:rFonts w:hint="eastAsia"/>
          <w:b/>
          <w:color w:val="auto"/>
          <w:sz w:val="24"/>
          <w:szCs w:val="24"/>
          <w:highlight w:val="none"/>
        </w:rPr>
        <w:t>附件：</w:t>
      </w:r>
    </w:p>
    <w:p w14:paraId="7E54D6EB">
      <w:pPr>
        <w:pStyle w:val="17"/>
        <w:spacing w:line="400" w:lineRule="exact"/>
        <w:ind w:left="420"/>
        <w:jc w:val="center"/>
        <w:rPr>
          <w:b/>
          <w:color w:val="auto"/>
          <w:sz w:val="32"/>
          <w:highlight w:val="none"/>
        </w:rPr>
      </w:pPr>
      <w:r>
        <w:rPr>
          <w:rFonts w:hint="eastAsia"/>
          <w:b/>
          <w:color w:val="auto"/>
          <w:sz w:val="32"/>
          <w:highlight w:val="none"/>
        </w:rPr>
        <w:t>投标报价表（格式）</w:t>
      </w:r>
    </w:p>
    <w:p w14:paraId="1AE62152">
      <w:pPr>
        <w:spacing w:line="400" w:lineRule="exact"/>
        <w:rPr>
          <w:rFonts w:ascii="宋体" w:hAnsi="宋体"/>
          <w:color w:val="auto"/>
          <w:highlight w:val="none"/>
        </w:rPr>
      </w:pPr>
      <w:r>
        <w:rPr>
          <w:rFonts w:hint="eastAsia" w:ascii="宋体" w:hAnsi="宋体"/>
          <w:color w:val="auto"/>
          <w:szCs w:val="21"/>
          <w:highlight w:val="none"/>
        </w:rPr>
        <w:t>致：</w:t>
      </w:r>
      <w:r>
        <w:rPr>
          <w:rFonts w:hint="eastAsia" w:ascii="宋体" w:hAnsi="宋体"/>
          <w:color w:val="auto"/>
          <w:highlight w:val="none"/>
          <w:u w:val="single"/>
        </w:rPr>
        <w:t>广西</w:t>
      </w:r>
      <w:r>
        <w:rPr>
          <w:rFonts w:hint="eastAsia" w:ascii="宋体" w:hAnsi="宋体"/>
          <w:color w:val="auto"/>
          <w:highlight w:val="none"/>
          <w:u w:val="single"/>
          <w:lang w:val="en-US" w:eastAsia="zh-CN"/>
        </w:rPr>
        <w:t>嘉弘</w:t>
      </w:r>
      <w:r>
        <w:rPr>
          <w:rFonts w:hint="eastAsia" w:ascii="宋体" w:hAnsi="宋体"/>
          <w:color w:val="auto"/>
          <w:highlight w:val="none"/>
          <w:u w:val="single"/>
        </w:rPr>
        <w:t>项目管理有限公司</w:t>
      </w:r>
    </w:p>
    <w:p w14:paraId="7924F760">
      <w:pPr>
        <w:spacing w:line="400" w:lineRule="exact"/>
        <w:rPr>
          <w:rFonts w:ascii="宋体" w:hAnsi="宋体"/>
          <w:color w:val="auto"/>
          <w:szCs w:val="21"/>
          <w:highlight w:val="none"/>
        </w:rPr>
      </w:pPr>
    </w:p>
    <w:p w14:paraId="46253253">
      <w:pPr>
        <w:pStyle w:val="17"/>
        <w:spacing w:line="400" w:lineRule="exact"/>
        <w:ind w:firstLine="424" w:firstLineChars="202"/>
        <w:jc w:val="left"/>
        <w:rPr>
          <w:b/>
          <w:color w:val="auto"/>
          <w:sz w:val="32"/>
          <w:highlight w:val="none"/>
          <w:u w:val="single"/>
        </w:rPr>
      </w:pPr>
      <w:r>
        <w:rPr>
          <w:rFonts w:hint="eastAsia" w:hAnsi="宋体"/>
          <w:color w:val="auto"/>
          <w:highlight w:val="none"/>
        </w:rPr>
        <w:t>根据贵方项目招标文件，</w:t>
      </w:r>
      <w:r>
        <w:rPr>
          <w:rFonts w:hint="eastAsia" w:hAnsi="宋体"/>
          <w:color w:val="auto"/>
          <w:highlight w:val="none"/>
          <w:lang w:val="en-US" w:eastAsia="zh-CN"/>
        </w:rPr>
        <w:t>项目名称</w:t>
      </w:r>
      <w:r>
        <w:rPr>
          <w:rFonts w:hint="eastAsia" w:hAnsi="宋体"/>
          <w:color w:val="auto"/>
          <w:highlight w:val="none"/>
          <w:u w:val="single"/>
          <w:lang w:val="en-US" w:eastAsia="zh-CN"/>
        </w:rPr>
        <w:t xml:space="preserve">               </w:t>
      </w:r>
      <w:r>
        <w:rPr>
          <w:rFonts w:hint="eastAsia" w:hAnsi="宋体"/>
          <w:color w:val="auto"/>
          <w:highlight w:val="none"/>
        </w:rPr>
        <w:t>项目编号</w:t>
      </w:r>
      <w:r>
        <w:rPr>
          <w:rFonts w:hint="eastAsia" w:hAnsi="宋体"/>
          <w:color w:val="auto"/>
          <w:highlight w:val="none"/>
          <w:u w:val="single"/>
          <w:lang w:val="en-US" w:eastAsia="zh-CN"/>
        </w:rPr>
        <w:t xml:space="preserve">          </w:t>
      </w:r>
      <w:r>
        <w:rPr>
          <w:rFonts w:hint="eastAsia" w:hAnsi="宋体"/>
          <w:color w:val="auto"/>
          <w:highlight w:val="none"/>
          <w:u w:val="none"/>
          <w:lang w:val="en-US" w:eastAsia="zh-CN"/>
        </w:rPr>
        <w:t xml:space="preserve"> 分标号</w:t>
      </w:r>
      <w:r>
        <w:rPr>
          <w:rFonts w:hint="eastAsia" w:hAnsi="宋体"/>
          <w:color w:val="auto"/>
          <w:highlight w:val="none"/>
          <w:u w:val="single"/>
          <w:lang w:val="en-US" w:eastAsia="zh-CN"/>
        </w:rPr>
        <w:t xml:space="preserve">          </w:t>
      </w:r>
      <w:r>
        <w:rPr>
          <w:rFonts w:hint="eastAsia" w:hAnsi="宋体"/>
          <w:color w:val="auto"/>
          <w:szCs w:val="21"/>
          <w:highlight w:val="none"/>
        </w:rPr>
        <w:t>，签字代表</w:t>
      </w:r>
      <w:r>
        <w:rPr>
          <w:rFonts w:hint="eastAsia" w:hAnsi="宋体"/>
          <w:color w:val="auto"/>
          <w:highlight w:val="none"/>
        </w:rPr>
        <w:t xml:space="preserve">（姓名）经正式授权并代表投标人 </w:t>
      </w:r>
      <w:r>
        <w:rPr>
          <w:rFonts w:hint="eastAsia" w:hAnsi="宋体"/>
          <w:color w:val="auto"/>
          <w:highlight w:val="none"/>
          <w:u w:val="single"/>
        </w:rPr>
        <w:t xml:space="preserve">                                   （</w:t>
      </w:r>
      <w:r>
        <w:rPr>
          <w:rFonts w:hint="eastAsia" w:hAnsi="宋体"/>
          <w:color w:val="auto"/>
          <w:highlight w:val="none"/>
        </w:rPr>
        <w:t>投标单位名称），提交投标文件，并做出如下报价：</w:t>
      </w:r>
    </w:p>
    <w:tbl>
      <w:tblPr>
        <w:tblStyle w:val="3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30"/>
        <w:gridCol w:w="1844"/>
        <w:gridCol w:w="1126"/>
        <w:gridCol w:w="2167"/>
        <w:gridCol w:w="646"/>
        <w:gridCol w:w="534"/>
        <w:gridCol w:w="610"/>
        <w:gridCol w:w="1679"/>
        <w:gridCol w:w="832"/>
      </w:tblGrid>
      <w:tr w14:paraId="72347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266" w:type="pct"/>
            <w:tcBorders>
              <w:top w:val="single" w:color="auto" w:sz="4" w:space="0"/>
              <w:left w:val="single" w:color="auto" w:sz="4" w:space="0"/>
              <w:bottom w:val="single" w:color="auto" w:sz="4" w:space="0"/>
              <w:right w:val="single" w:color="auto" w:sz="4" w:space="0"/>
            </w:tcBorders>
            <w:vAlign w:val="center"/>
          </w:tcPr>
          <w:p w14:paraId="3CF690FF">
            <w:pPr>
              <w:spacing w:line="300" w:lineRule="exact"/>
              <w:jc w:val="center"/>
              <w:rPr>
                <w:rFonts w:hAnsi="宋体"/>
                <w:color w:val="auto"/>
                <w:highlight w:val="none"/>
              </w:rPr>
            </w:pPr>
            <w:r>
              <w:rPr>
                <w:rFonts w:hint="eastAsia" w:hAnsi="宋体"/>
                <w:color w:val="auto"/>
                <w:highlight w:val="none"/>
              </w:rPr>
              <w:t>项号</w:t>
            </w:r>
          </w:p>
        </w:tc>
        <w:tc>
          <w:tcPr>
            <w:tcW w:w="925" w:type="pct"/>
            <w:tcBorders>
              <w:top w:val="single" w:color="auto" w:sz="4" w:space="0"/>
              <w:left w:val="single" w:color="auto" w:sz="4" w:space="0"/>
              <w:bottom w:val="single" w:color="auto" w:sz="4" w:space="0"/>
              <w:right w:val="single" w:color="auto" w:sz="4" w:space="0"/>
            </w:tcBorders>
            <w:vAlign w:val="center"/>
          </w:tcPr>
          <w:p w14:paraId="7A60279C">
            <w:pPr>
              <w:spacing w:line="280" w:lineRule="exact"/>
              <w:jc w:val="center"/>
              <w:rPr>
                <w:rFonts w:hAnsi="宋体"/>
                <w:color w:val="auto"/>
                <w:highlight w:val="none"/>
              </w:rPr>
            </w:pPr>
            <w:r>
              <w:rPr>
                <w:rFonts w:hint="eastAsia" w:hAnsi="宋体"/>
                <w:color w:val="auto"/>
                <w:highlight w:val="none"/>
              </w:rPr>
              <w:t>货物名称</w:t>
            </w:r>
          </w:p>
        </w:tc>
        <w:tc>
          <w:tcPr>
            <w:tcW w:w="565" w:type="pct"/>
            <w:tcBorders>
              <w:top w:val="single" w:color="auto" w:sz="4" w:space="0"/>
              <w:left w:val="single" w:color="auto" w:sz="4" w:space="0"/>
              <w:bottom w:val="single" w:color="auto" w:sz="4" w:space="0"/>
              <w:right w:val="single" w:color="auto" w:sz="4" w:space="0"/>
            </w:tcBorders>
            <w:vAlign w:val="center"/>
          </w:tcPr>
          <w:p w14:paraId="35F1B17C">
            <w:pPr>
              <w:spacing w:line="280" w:lineRule="exact"/>
              <w:jc w:val="center"/>
              <w:rPr>
                <w:rFonts w:hAnsi="宋体"/>
                <w:color w:val="auto"/>
                <w:highlight w:val="none"/>
              </w:rPr>
            </w:pPr>
            <w:r>
              <w:rPr>
                <w:rFonts w:hint="eastAsia" w:hAnsi="宋体"/>
                <w:color w:val="auto"/>
                <w:highlight w:val="none"/>
              </w:rPr>
              <w:t>生产厂家</w:t>
            </w:r>
          </w:p>
        </w:tc>
        <w:tc>
          <w:tcPr>
            <w:tcW w:w="1087" w:type="pct"/>
            <w:tcBorders>
              <w:top w:val="single" w:color="auto" w:sz="4" w:space="0"/>
              <w:left w:val="single" w:color="auto" w:sz="4" w:space="0"/>
              <w:bottom w:val="single" w:color="auto" w:sz="4" w:space="0"/>
              <w:right w:val="single" w:color="auto" w:sz="4" w:space="0"/>
            </w:tcBorders>
            <w:vAlign w:val="center"/>
          </w:tcPr>
          <w:p w14:paraId="5EE24FFD">
            <w:pPr>
              <w:spacing w:line="300" w:lineRule="exact"/>
              <w:jc w:val="center"/>
              <w:rPr>
                <w:rFonts w:hAnsi="宋体"/>
                <w:color w:val="auto"/>
                <w:highlight w:val="none"/>
              </w:rPr>
            </w:pPr>
            <w:r>
              <w:rPr>
                <w:rFonts w:hint="eastAsia" w:ascii="宋体"/>
                <w:color w:val="auto"/>
                <w:szCs w:val="21"/>
                <w:highlight w:val="none"/>
              </w:rPr>
              <w:t>品牌、规格型号</w:t>
            </w:r>
          </w:p>
        </w:tc>
        <w:tc>
          <w:tcPr>
            <w:tcW w:w="324" w:type="pct"/>
            <w:tcBorders>
              <w:top w:val="single" w:color="auto" w:sz="4" w:space="0"/>
              <w:left w:val="single" w:color="auto" w:sz="4" w:space="0"/>
              <w:bottom w:val="single" w:color="auto" w:sz="4" w:space="0"/>
              <w:right w:val="single" w:color="auto" w:sz="4" w:space="0"/>
            </w:tcBorders>
            <w:vAlign w:val="center"/>
          </w:tcPr>
          <w:p w14:paraId="6B22C64C">
            <w:pPr>
              <w:spacing w:line="300" w:lineRule="exact"/>
              <w:jc w:val="center"/>
              <w:rPr>
                <w:rFonts w:hAnsi="宋体"/>
                <w:color w:val="auto"/>
                <w:highlight w:val="none"/>
              </w:rPr>
            </w:pPr>
            <w:r>
              <w:rPr>
                <w:rFonts w:hint="eastAsia" w:hAnsi="宋体"/>
                <w:color w:val="auto"/>
                <w:highlight w:val="none"/>
              </w:rPr>
              <w:t>数量</w:t>
            </w:r>
          </w:p>
          <w:p w14:paraId="2FB54E5B">
            <w:pPr>
              <w:spacing w:line="300" w:lineRule="exact"/>
              <w:jc w:val="center"/>
              <w:rPr>
                <w:rFonts w:hAnsi="宋体"/>
                <w:color w:val="auto"/>
                <w:highlight w:val="none"/>
              </w:rPr>
            </w:pPr>
            <w:r>
              <w:rPr>
                <w:rFonts w:hint="eastAsia" w:ascii="宋体" w:hAnsi="宋体"/>
                <w:color w:val="auto"/>
                <w:szCs w:val="21"/>
                <w:highlight w:val="none"/>
              </w:rPr>
              <w:t>①</w:t>
            </w:r>
          </w:p>
        </w:tc>
        <w:tc>
          <w:tcPr>
            <w:tcW w:w="268" w:type="pct"/>
            <w:tcBorders>
              <w:top w:val="single" w:color="auto" w:sz="4" w:space="0"/>
              <w:left w:val="single" w:color="auto" w:sz="4" w:space="0"/>
              <w:bottom w:val="single" w:color="auto" w:sz="4" w:space="0"/>
              <w:right w:val="single" w:color="auto" w:sz="4" w:space="0"/>
            </w:tcBorders>
            <w:vAlign w:val="center"/>
          </w:tcPr>
          <w:p w14:paraId="5B0332A5">
            <w:pPr>
              <w:spacing w:line="300" w:lineRule="exact"/>
              <w:jc w:val="center"/>
              <w:rPr>
                <w:rFonts w:hAnsi="宋体"/>
                <w:color w:val="auto"/>
                <w:highlight w:val="none"/>
              </w:rPr>
            </w:pPr>
            <w:r>
              <w:rPr>
                <w:rFonts w:hint="eastAsia" w:hAnsi="宋体"/>
                <w:color w:val="auto"/>
                <w:highlight w:val="none"/>
              </w:rPr>
              <w:t>单位</w:t>
            </w:r>
          </w:p>
        </w:tc>
        <w:tc>
          <w:tcPr>
            <w:tcW w:w="304" w:type="pct"/>
            <w:tcBorders>
              <w:top w:val="single" w:color="auto" w:sz="4" w:space="0"/>
              <w:left w:val="single" w:color="auto" w:sz="4" w:space="0"/>
              <w:bottom w:val="single" w:color="auto" w:sz="4" w:space="0"/>
              <w:right w:val="single" w:color="auto" w:sz="4" w:space="0"/>
            </w:tcBorders>
            <w:vAlign w:val="center"/>
          </w:tcPr>
          <w:p w14:paraId="0B394E74">
            <w:pPr>
              <w:spacing w:line="300" w:lineRule="exact"/>
              <w:jc w:val="center"/>
              <w:rPr>
                <w:rFonts w:hAnsi="宋体"/>
                <w:color w:val="auto"/>
                <w:highlight w:val="none"/>
              </w:rPr>
            </w:pPr>
            <w:r>
              <w:rPr>
                <w:rFonts w:hint="eastAsia" w:hAnsi="宋体"/>
                <w:color w:val="auto"/>
                <w:highlight w:val="none"/>
              </w:rPr>
              <w:t>单价</w:t>
            </w:r>
          </w:p>
          <w:p w14:paraId="5E070F54">
            <w:pPr>
              <w:spacing w:line="300" w:lineRule="exact"/>
              <w:jc w:val="center"/>
              <w:rPr>
                <w:rFonts w:hAnsi="宋体"/>
                <w:color w:val="auto"/>
                <w:highlight w:val="none"/>
              </w:rPr>
            </w:pPr>
            <w:r>
              <w:rPr>
                <w:rFonts w:hint="eastAsia" w:ascii="宋体" w:hAnsi="宋体"/>
                <w:color w:val="auto"/>
                <w:szCs w:val="21"/>
                <w:highlight w:val="none"/>
              </w:rPr>
              <w:t>②</w:t>
            </w:r>
          </w:p>
        </w:tc>
        <w:tc>
          <w:tcPr>
            <w:tcW w:w="842" w:type="pct"/>
            <w:tcBorders>
              <w:top w:val="single" w:color="auto" w:sz="4" w:space="0"/>
              <w:left w:val="single" w:color="auto" w:sz="4" w:space="0"/>
              <w:bottom w:val="single" w:color="auto" w:sz="4" w:space="0"/>
              <w:right w:val="single" w:color="auto" w:sz="4" w:space="0"/>
            </w:tcBorders>
            <w:vAlign w:val="center"/>
          </w:tcPr>
          <w:p w14:paraId="6B4E5EE1">
            <w:pPr>
              <w:spacing w:line="300" w:lineRule="exact"/>
              <w:jc w:val="center"/>
              <w:rPr>
                <w:rFonts w:hAnsi="宋体"/>
                <w:color w:val="auto"/>
                <w:highlight w:val="none"/>
              </w:rPr>
            </w:pPr>
            <w:r>
              <w:rPr>
                <w:rFonts w:hint="eastAsia" w:hAnsi="宋体"/>
                <w:color w:val="auto"/>
                <w:highlight w:val="none"/>
              </w:rPr>
              <w:t>单项合计=数量×单价</w:t>
            </w:r>
          </w:p>
          <w:p w14:paraId="294D73CF">
            <w:pPr>
              <w:spacing w:line="300" w:lineRule="exact"/>
              <w:jc w:val="center"/>
              <w:rPr>
                <w:rFonts w:hAnsi="宋体"/>
                <w:color w:val="auto"/>
                <w:highlight w:val="none"/>
              </w:rPr>
            </w:pPr>
            <w:r>
              <w:rPr>
                <w:rFonts w:hint="eastAsia" w:ascii="宋体" w:hAnsi="宋体"/>
                <w:color w:val="auto"/>
                <w:szCs w:val="21"/>
                <w:highlight w:val="none"/>
              </w:rPr>
              <w:t>③＝①×②</w:t>
            </w:r>
          </w:p>
        </w:tc>
        <w:tc>
          <w:tcPr>
            <w:tcW w:w="415" w:type="pct"/>
            <w:tcBorders>
              <w:bottom w:val="single" w:color="auto" w:sz="4" w:space="0"/>
            </w:tcBorders>
            <w:vAlign w:val="center"/>
          </w:tcPr>
          <w:p w14:paraId="7B88EC8C">
            <w:pPr>
              <w:spacing w:line="300" w:lineRule="exact"/>
              <w:jc w:val="center"/>
              <w:rPr>
                <w:rFonts w:hAnsi="宋体"/>
                <w:color w:val="auto"/>
                <w:highlight w:val="none"/>
              </w:rPr>
            </w:pPr>
            <w:r>
              <w:rPr>
                <w:rFonts w:hint="eastAsia" w:hAnsi="宋体"/>
                <w:color w:val="auto"/>
                <w:highlight w:val="none"/>
              </w:rPr>
              <w:t>备注</w:t>
            </w:r>
          </w:p>
        </w:tc>
      </w:tr>
      <w:tr w14:paraId="439C0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266" w:type="pct"/>
            <w:tcBorders>
              <w:top w:val="single" w:color="auto" w:sz="4" w:space="0"/>
              <w:left w:val="single" w:color="auto" w:sz="4" w:space="0"/>
              <w:bottom w:val="single" w:color="auto" w:sz="4" w:space="0"/>
              <w:right w:val="single" w:color="auto" w:sz="4" w:space="0"/>
            </w:tcBorders>
            <w:vAlign w:val="center"/>
          </w:tcPr>
          <w:p w14:paraId="7D57C30E">
            <w:pPr>
              <w:spacing w:line="300" w:lineRule="exact"/>
              <w:jc w:val="center"/>
              <w:rPr>
                <w:rFonts w:hAnsi="宋体"/>
                <w:bCs/>
                <w:color w:val="auto"/>
                <w:highlight w:val="none"/>
              </w:rPr>
            </w:pPr>
            <w:r>
              <w:rPr>
                <w:rFonts w:hint="eastAsia" w:hAnsi="宋体"/>
                <w:bCs/>
                <w:color w:val="auto"/>
                <w:highlight w:val="none"/>
              </w:rPr>
              <w:t>1</w:t>
            </w:r>
          </w:p>
        </w:tc>
        <w:tc>
          <w:tcPr>
            <w:tcW w:w="925" w:type="pct"/>
            <w:tcBorders>
              <w:top w:val="single" w:color="auto" w:sz="4" w:space="0"/>
              <w:left w:val="single" w:color="auto" w:sz="4" w:space="0"/>
              <w:bottom w:val="single" w:color="auto" w:sz="4" w:space="0"/>
              <w:right w:val="single" w:color="auto" w:sz="4" w:space="0"/>
            </w:tcBorders>
            <w:vAlign w:val="center"/>
          </w:tcPr>
          <w:p w14:paraId="5AE30110">
            <w:pPr>
              <w:spacing w:line="300" w:lineRule="exact"/>
              <w:jc w:val="center"/>
              <w:rPr>
                <w:rFonts w:hAnsi="宋体"/>
                <w:b/>
                <w:bCs/>
                <w:color w:val="auto"/>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279055DB">
            <w:pPr>
              <w:spacing w:line="300" w:lineRule="exact"/>
              <w:jc w:val="center"/>
              <w:rPr>
                <w:rFonts w:hint="default" w:hAnsi="宋体" w:eastAsia="宋体"/>
                <w:color w:val="auto"/>
                <w:highlight w:val="none"/>
                <w:lang w:val="en-US" w:eastAsia="zh-CN"/>
              </w:rPr>
            </w:pPr>
            <w:r>
              <w:rPr>
                <w:rFonts w:hint="eastAsia" w:hAnsi="宋体"/>
                <w:color w:val="auto"/>
                <w:highlight w:val="none"/>
                <w:lang w:val="en-US" w:eastAsia="zh-CN"/>
              </w:rPr>
              <w:t xml:space="preserve"> </w:t>
            </w:r>
          </w:p>
        </w:tc>
        <w:tc>
          <w:tcPr>
            <w:tcW w:w="1087" w:type="pct"/>
            <w:tcBorders>
              <w:top w:val="single" w:color="auto" w:sz="4" w:space="0"/>
              <w:left w:val="single" w:color="auto" w:sz="4" w:space="0"/>
              <w:bottom w:val="single" w:color="auto" w:sz="4" w:space="0"/>
              <w:right w:val="single" w:color="auto" w:sz="4" w:space="0"/>
            </w:tcBorders>
            <w:vAlign w:val="center"/>
          </w:tcPr>
          <w:p w14:paraId="4C9A2159">
            <w:pPr>
              <w:spacing w:line="300" w:lineRule="exact"/>
              <w:jc w:val="center"/>
              <w:rPr>
                <w:rFonts w:hint="eastAsia" w:hAnsi="宋体" w:eastAsia="宋体"/>
                <w:color w:val="auto"/>
                <w:highlight w:val="none"/>
                <w:lang w:val="en-US" w:eastAsia="zh-CN"/>
              </w:rPr>
            </w:pPr>
            <w:r>
              <w:rPr>
                <w:rFonts w:hint="eastAsia" w:hAnsi="宋体"/>
                <w:color w:val="auto"/>
                <w:highlight w:val="none"/>
                <w:lang w:val="en-US" w:eastAsia="zh-CN"/>
              </w:rPr>
              <w:t xml:space="preserve"> </w:t>
            </w:r>
          </w:p>
        </w:tc>
        <w:tc>
          <w:tcPr>
            <w:tcW w:w="324" w:type="pct"/>
            <w:tcBorders>
              <w:top w:val="single" w:color="auto" w:sz="4" w:space="0"/>
              <w:left w:val="single" w:color="auto" w:sz="4" w:space="0"/>
              <w:bottom w:val="single" w:color="auto" w:sz="4" w:space="0"/>
              <w:right w:val="single" w:color="auto" w:sz="4" w:space="0"/>
            </w:tcBorders>
            <w:vAlign w:val="center"/>
          </w:tcPr>
          <w:p w14:paraId="4CECE9B2">
            <w:pPr>
              <w:spacing w:line="300" w:lineRule="exact"/>
              <w:jc w:val="center"/>
              <w:rPr>
                <w:rFonts w:hAnsi="宋体"/>
                <w:b/>
                <w:bCs/>
                <w:color w:val="auto"/>
                <w:highlight w:val="none"/>
              </w:rPr>
            </w:pPr>
          </w:p>
        </w:tc>
        <w:tc>
          <w:tcPr>
            <w:tcW w:w="268" w:type="pct"/>
            <w:tcBorders>
              <w:top w:val="single" w:color="auto" w:sz="4" w:space="0"/>
              <w:left w:val="single" w:color="auto" w:sz="4" w:space="0"/>
              <w:bottom w:val="single" w:color="auto" w:sz="4" w:space="0"/>
              <w:right w:val="single" w:color="auto" w:sz="4" w:space="0"/>
            </w:tcBorders>
            <w:vAlign w:val="center"/>
          </w:tcPr>
          <w:p w14:paraId="70392827">
            <w:pPr>
              <w:spacing w:line="300" w:lineRule="exact"/>
              <w:jc w:val="center"/>
              <w:rPr>
                <w:rFonts w:hAnsi="宋体"/>
                <w:b/>
                <w:bCs/>
                <w:color w:val="auto"/>
                <w:highlight w:val="none"/>
              </w:rPr>
            </w:pPr>
          </w:p>
        </w:tc>
        <w:tc>
          <w:tcPr>
            <w:tcW w:w="304" w:type="pct"/>
            <w:tcBorders>
              <w:top w:val="single" w:color="auto" w:sz="4" w:space="0"/>
              <w:left w:val="single" w:color="auto" w:sz="4" w:space="0"/>
              <w:bottom w:val="single" w:color="auto" w:sz="4" w:space="0"/>
              <w:right w:val="single" w:color="auto" w:sz="4" w:space="0"/>
            </w:tcBorders>
            <w:vAlign w:val="center"/>
          </w:tcPr>
          <w:p w14:paraId="64E48BE1">
            <w:pPr>
              <w:spacing w:line="300" w:lineRule="exact"/>
              <w:jc w:val="center"/>
              <w:rPr>
                <w:rFonts w:hAnsi="宋体"/>
                <w:b/>
                <w:bCs/>
                <w:color w:val="auto"/>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47B0B86B">
            <w:pPr>
              <w:spacing w:line="300" w:lineRule="exact"/>
              <w:jc w:val="center"/>
              <w:rPr>
                <w:rFonts w:hAnsi="宋体"/>
                <w:b/>
                <w:bCs/>
                <w:color w:val="auto"/>
                <w:highlight w:val="none"/>
              </w:rPr>
            </w:pPr>
          </w:p>
        </w:tc>
        <w:tc>
          <w:tcPr>
            <w:tcW w:w="415" w:type="pct"/>
            <w:tcBorders>
              <w:top w:val="single" w:color="auto" w:sz="4" w:space="0"/>
              <w:bottom w:val="single" w:color="auto" w:sz="4" w:space="0"/>
            </w:tcBorders>
            <w:vAlign w:val="center"/>
          </w:tcPr>
          <w:p w14:paraId="71B88FB9">
            <w:pPr>
              <w:spacing w:line="300" w:lineRule="exact"/>
              <w:jc w:val="center"/>
              <w:rPr>
                <w:rFonts w:hAnsi="宋体"/>
                <w:b/>
                <w:bCs/>
                <w:color w:val="auto"/>
                <w:highlight w:val="none"/>
              </w:rPr>
            </w:pPr>
          </w:p>
        </w:tc>
      </w:tr>
      <w:tr w14:paraId="74D57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266" w:type="pct"/>
            <w:tcBorders>
              <w:top w:val="single" w:color="auto" w:sz="4" w:space="0"/>
              <w:left w:val="single" w:color="auto" w:sz="4" w:space="0"/>
              <w:right w:val="single" w:color="auto" w:sz="4" w:space="0"/>
            </w:tcBorders>
            <w:vAlign w:val="center"/>
          </w:tcPr>
          <w:p w14:paraId="0185ADEE">
            <w:pPr>
              <w:spacing w:line="3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2</w:t>
            </w:r>
          </w:p>
        </w:tc>
        <w:tc>
          <w:tcPr>
            <w:tcW w:w="925" w:type="pct"/>
            <w:tcBorders>
              <w:top w:val="single" w:color="auto" w:sz="4" w:space="0"/>
              <w:left w:val="single" w:color="auto" w:sz="4" w:space="0"/>
              <w:bottom w:val="single" w:color="auto" w:sz="4" w:space="0"/>
              <w:right w:val="single" w:color="auto" w:sz="4" w:space="0"/>
            </w:tcBorders>
            <w:vAlign w:val="center"/>
          </w:tcPr>
          <w:p w14:paraId="05FFA13A">
            <w:pPr>
              <w:spacing w:line="300" w:lineRule="exact"/>
              <w:jc w:val="center"/>
              <w:rPr>
                <w:rFonts w:ascii="宋体" w:hAnsi="宋体"/>
                <w:color w:val="auto"/>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3D20F747">
            <w:pPr>
              <w:spacing w:line="300" w:lineRule="exact"/>
              <w:jc w:val="center"/>
              <w:rPr>
                <w:rFonts w:hint="default" w:hAnsi="宋体" w:eastAsia="宋体"/>
                <w:color w:val="auto"/>
                <w:highlight w:val="none"/>
                <w:lang w:val="en-US" w:eastAsia="zh-CN"/>
              </w:rPr>
            </w:pPr>
          </w:p>
        </w:tc>
        <w:tc>
          <w:tcPr>
            <w:tcW w:w="1087" w:type="pct"/>
            <w:tcBorders>
              <w:top w:val="single" w:color="auto" w:sz="4" w:space="0"/>
              <w:left w:val="single" w:color="auto" w:sz="4" w:space="0"/>
              <w:bottom w:val="single" w:color="auto" w:sz="4" w:space="0"/>
              <w:right w:val="single" w:color="auto" w:sz="4" w:space="0"/>
            </w:tcBorders>
            <w:vAlign w:val="center"/>
          </w:tcPr>
          <w:p w14:paraId="31AC7AA6">
            <w:pPr>
              <w:spacing w:line="300" w:lineRule="exact"/>
              <w:jc w:val="center"/>
              <w:rPr>
                <w:rFonts w:hAnsi="宋体"/>
                <w:color w:val="auto"/>
                <w:highlight w:val="none"/>
              </w:rPr>
            </w:pPr>
          </w:p>
        </w:tc>
        <w:tc>
          <w:tcPr>
            <w:tcW w:w="324" w:type="pct"/>
            <w:tcBorders>
              <w:top w:val="single" w:color="auto" w:sz="4" w:space="0"/>
              <w:left w:val="single" w:color="auto" w:sz="4" w:space="0"/>
              <w:bottom w:val="single" w:color="auto" w:sz="4" w:space="0"/>
              <w:right w:val="single" w:color="auto" w:sz="4" w:space="0"/>
            </w:tcBorders>
            <w:vAlign w:val="center"/>
          </w:tcPr>
          <w:p w14:paraId="3B0B974B">
            <w:pPr>
              <w:spacing w:line="300" w:lineRule="exact"/>
              <w:jc w:val="center"/>
              <w:rPr>
                <w:rFonts w:hAnsi="宋体"/>
                <w:b/>
                <w:bCs/>
                <w:color w:val="auto"/>
                <w:highlight w:val="none"/>
              </w:rPr>
            </w:pPr>
          </w:p>
        </w:tc>
        <w:tc>
          <w:tcPr>
            <w:tcW w:w="268" w:type="pct"/>
            <w:tcBorders>
              <w:top w:val="single" w:color="auto" w:sz="4" w:space="0"/>
              <w:left w:val="single" w:color="auto" w:sz="4" w:space="0"/>
              <w:bottom w:val="single" w:color="auto" w:sz="4" w:space="0"/>
              <w:right w:val="single" w:color="auto" w:sz="4" w:space="0"/>
            </w:tcBorders>
            <w:vAlign w:val="center"/>
          </w:tcPr>
          <w:p w14:paraId="62B95304">
            <w:pPr>
              <w:spacing w:line="300" w:lineRule="exact"/>
              <w:jc w:val="center"/>
              <w:rPr>
                <w:rFonts w:hAnsi="宋体"/>
                <w:b/>
                <w:bCs/>
                <w:color w:val="auto"/>
                <w:highlight w:val="none"/>
              </w:rPr>
            </w:pPr>
          </w:p>
        </w:tc>
        <w:tc>
          <w:tcPr>
            <w:tcW w:w="304" w:type="pct"/>
            <w:tcBorders>
              <w:top w:val="single" w:color="auto" w:sz="4" w:space="0"/>
              <w:left w:val="single" w:color="auto" w:sz="4" w:space="0"/>
              <w:bottom w:val="single" w:color="auto" w:sz="4" w:space="0"/>
              <w:right w:val="single" w:color="auto" w:sz="4" w:space="0"/>
            </w:tcBorders>
            <w:vAlign w:val="center"/>
          </w:tcPr>
          <w:p w14:paraId="18BCE79D">
            <w:pPr>
              <w:spacing w:line="300" w:lineRule="exact"/>
              <w:jc w:val="center"/>
              <w:rPr>
                <w:rFonts w:hAnsi="宋体"/>
                <w:b/>
                <w:bCs/>
                <w:color w:val="auto"/>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2D658FDE">
            <w:pPr>
              <w:spacing w:line="300" w:lineRule="exact"/>
              <w:jc w:val="center"/>
              <w:rPr>
                <w:rFonts w:hAnsi="宋体"/>
                <w:b/>
                <w:bCs/>
                <w:color w:val="auto"/>
                <w:highlight w:val="none"/>
              </w:rPr>
            </w:pPr>
          </w:p>
        </w:tc>
        <w:tc>
          <w:tcPr>
            <w:tcW w:w="415" w:type="pct"/>
            <w:tcBorders>
              <w:top w:val="single" w:color="auto" w:sz="4" w:space="0"/>
              <w:bottom w:val="single" w:color="auto" w:sz="4" w:space="0"/>
            </w:tcBorders>
            <w:vAlign w:val="center"/>
          </w:tcPr>
          <w:p w14:paraId="5416D390">
            <w:pPr>
              <w:spacing w:line="300" w:lineRule="exact"/>
              <w:jc w:val="center"/>
              <w:rPr>
                <w:rFonts w:hAnsi="宋体"/>
                <w:b/>
                <w:bCs/>
                <w:color w:val="auto"/>
                <w:highlight w:val="none"/>
              </w:rPr>
            </w:pPr>
          </w:p>
        </w:tc>
      </w:tr>
      <w:tr w14:paraId="56EFA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266" w:type="pct"/>
            <w:tcBorders>
              <w:top w:val="single" w:color="auto" w:sz="4" w:space="0"/>
              <w:left w:val="single" w:color="auto" w:sz="4" w:space="0"/>
              <w:right w:val="single" w:color="auto" w:sz="4" w:space="0"/>
            </w:tcBorders>
            <w:vAlign w:val="center"/>
          </w:tcPr>
          <w:p w14:paraId="7D727E57">
            <w:pPr>
              <w:spacing w:line="3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3</w:t>
            </w:r>
          </w:p>
        </w:tc>
        <w:tc>
          <w:tcPr>
            <w:tcW w:w="925" w:type="pct"/>
            <w:tcBorders>
              <w:top w:val="single" w:color="auto" w:sz="4" w:space="0"/>
              <w:left w:val="single" w:color="auto" w:sz="4" w:space="0"/>
              <w:bottom w:val="single" w:color="auto" w:sz="4" w:space="0"/>
              <w:right w:val="single" w:color="auto" w:sz="4" w:space="0"/>
            </w:tcBorders>
            <w:vAlign w:val="center"/>
          </w:tcPr>
          <w:p w14:paraId="1145481E">
            <w:pPr>
              <w:spacing w:line="300" w:lineRule="exact"/>
              <w:jc w:val="center"/>
              <w:rPr>
                <w:rFonts w:ascii="宋体" w:hAnsi="宋体"/>
                <w:color w:val="auto"/>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7BCFE77A">
            <w:pPr>
              <w:spacing w:line="300" w:lineRule="exact"/>
              <w:jc w:val="center"/>
              <w:rPr>
                <w:rFonts w:hint="eastAsia" w:hAnsi="宋体" w:eastAsia="宋体"/>
                <w:color w:val="auto"/>
                <w:highlight w:val="none"/>
                <w:lang w:val="en-US" w:eastAsia="zh-CN"/>
              </w:rPr>
            </w:pPr>
          </w:p>
        </w:tc>
        <w:tc>
          <w:tcPr>
            <w:tcW w:w="1087" w:type="pct"/>
            <w:tcBorders>
              <w:top w:val="single" w:color="auto" w:sz="4" w:space="0"/>
              <w:left w:val="single" w:color="auto" w:sz="4" w:space="0"/>
              <w:bottom w:val="single" w:color="auto" w:sz="4" w:space="0"/>
              <w:right w:val="single" w:color="auto" w:sz="4" w:space="0"/>
            </w:tcBorders>
            <w:vAlign w:val="center"/>
          </w:tcPr>
          <w:p w14:paraId="0335934C">
            <w:pPr>
              <w:spacing w:line="300" w:lineRule="exact"/>
              <w:jc w:val="center"/>
              <w:rPr>
                <w:rFonts w:hAnsi="宋体"/>
                <w:color w:val="auto"/>
                <w:highlight w:val="none"/>
              </w:rPr>
            </w:pPr>
          </w:p>
        </w:tc>
        <w:tc>
          <w:tcPr>
            <w:tcW w:w="324" w:type="pct"/>
            <w:tcBorders>
              <w:top w:val="single" w:color="auto" w:sz="4" w:space="0"/>
              <w:left w:val="single" w:color="auto" w:sz="4" w:space="0"/>
              <w:bottom w:val="single" w:color="auto" w:sz="4" w:space="0"/>
              <w:right w:val="single" w:color="auto" w:sz="4" w:space="0"/>
            </w:tcBorders>
            <w:vAlign w:val="center"/>
          </w:tcPr>
          <w:p w14:paraId="76C7866F">
            <w:pPr>
              <w:spacing w:line="300" w:lineRule="exact"/>
              <w:jc w:val="center"/>
              <w:rPr>
                <w:rFonts w:hAnsi="宋体"/>
                <w:b/>
                <w:bCs/>
                <w:color w:val="auto"/>
                <w:highlight w:val="none"/>
              </w:rPr>
            </w:pPr>
          </w:p>
        </w:tc>
        <w:tc>
          <w:tcPr>
            <w:tcW w:w="268" w:type="pct"/>
            <w:tcBorders>
              <w:top w:val="single" w:color="auto" w:sz="4" w:space="0"/>
              <w:left w:val="single" w:color="auto" w:sz="4" w:space="0"/>
              <w:bottom w:val="single" w:color="auto" w:sz="4" w:space="0"/>
              <w:right w:val="single" w:color="auto" w:sz="4" w:space="0"/>
            </w:tcBorders>
            <w:vAlign w:val="center"/>
          </w:tcPr>
          <w:p w14:paraId="2B7C443D">
            <w:pPr>
              <w:spacing w:line="300" w:lineRule="exact"/>
              <w:jc w:val="center"/>
              <w:rPr>
                <w:rFonts w:hAnsi="宋体"/>
                <w:b/>
                <w:bCs/>
                <w:color w:val="auto"/>
                <w:highlight w:val="none"/>
              </w:rPr>
            </w:pPr>
          </w:p>
        </w:tc>
        <w:tc>
          <w:tcPr>
            <w:tcW w:w="304" w:type="pct"/>
            <w:tcBorders>
              <w:top w:val="single" w:color="auto" w:sz="4" w:space="0"/>
              <w:left w:val="single" w:color="auto" w:sz="4" w:space="0"/>
              <w:bottom w:val="single" w:color="auto" w:sz="4" w:space="0"/>
              <w:right w:val="single" w:color="auto" w:sz="4" w:space="0"/>
            </w:tcBorders>
            <w:vAlign w:val="center"/>
          </w:tcPr>
          <w:p w14:paraId="76523D8B">
            <w:pPr>
              <w:spacing w:line="300" w:lineRule="exact"/>
              <w:jc w:val="center"/>
              <w:rPr>
                <w:rFonts w:hAnsi="宋体"/>
                <w:b/>
                <w:bCs/>
                <w:color w:val="auto"/>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34D921F6">
            <w:pPr>
              <w:spacing w:line="300" w:lineRule="exact"/>
              <w:jc w:val="center"/>
              <w:rPr>
                <w:rFonts w:hAnsi="宋体"/>
                <w:b/>
                <w:bCs/>
                <w:color w:val="auto"/>
                <w:highlight w:val="none"/>
              </w:rPr>
            </w:pPr>
          </w:p>
        </w:tc>
        <w:tc>
          <w:tcPr>
            <w:tcW w:w="415" w:type="pct"/>
            <w:tcBorders>
              <w:top w:val="single" w:color="auto" w:sz="4" w:space="0"/>
              <w:bottom w:val="single" w:color="auto" w:sz="4" w:space="0"/>
            </w:tcBorders>
            <w:vAlign w:val="center"/>
          </w:tcPr>
          <w:p w14:paraId="2FEDCA12">
            <w:pPr>
              <w:spacing w:line="300" w:lineRule="exact"/>
              <w:jc w:val="center"/>
              <w:rPr>
                <w:rFonts w:hAnsi="宋体"/>
                <w:b/>
                <w:bCs/>
                <w:color w:val="auto"/>
                <w:highlight w:val="none"/>
              </w:rPr>
            </w:pPr>
          </w:p>
        </w:tc>
      </w:tr>
      <w:tr w14:paraId="1A31A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266" w:type="pct"/>
            <w:tcBorders>
              <w:top w:val="single" w:color="auto" w:sz="4" w:space="0"/>
              <w:left w:val="single" w:color="auto" w:sz="4" w:space="0"/>
              <w:right w:val="single" w:color="auto" w:sz="4" w:space="0"/>
            </w:tcBorders>
            <w:vAlign w:val="center"/>
          </w:tcPr>
          <w:p w14:paraId="3E9BADD4">
            <w:pPr>
              <w:spacing w:line="300" w:lineRule="exact"/>
              <w:jc w:val="center"/>
              <w:rPr>
                <w:rFonts w:ascii="宋体" w:hAnsi="宋体"/>
                <w:color w:val="auto"/>
                <w:highlight w:val="none"/>
              </w:rPr>
            </w:pPr>
            <w:r>
              <w:rPr>
                <w:rFonts w:hint="eastAsia" w:ascii="宋体" w:hAnsi="宋体"/>
                <w:color w:val="auto"/>
                <w:highlight w:val="none"/>
              </w:rPr>
              <w:t>N</w:t>
            </w:r>
          </w:p>
        </w:tc>
        <w:tc>
          <w:tcPr>
            <w:tcW w:w="925" w:type="pct"/>
            <w:tcBorders>
              <w:top w:val="single" w:color="auto" w:sz="4" w:space="0"/>
              <w:left w:val="single" w:color="auto" w:sz="4" w:space="0"/>
              <w:bottom w:val="single" w:color="auto" w:sz="4" w:space="0"/>
              <w:right w:val="single" w:color="auto" w:sz="4" w:space="0"/>
            </w:tcBorders>
            <w:vAlign w:val="center"/>
          </w:tcPr>
          <w:p w14:paraId="73326113">
            <w:pPr>
              <w:spacing w:line="300" w:lineRule="exact"/>
              <w:jc w:val="center"/>
              <w:rPr>
                <w:rFonts w:ascii="宋体" w:hAnsi="宋体"/>
                <w:color w:val="auto"/>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390DBDFF">
            <w:pPr>
              <w:spacing w:line="300" w:lineRule="exact"/>
              <w:jc w:val="center"/>
              <w:rPr>
                <w:rFonts w:hAnsi="宋体"/>
                <w:b/>
                <w:bCs/>
                <w:color w:val="auto"/>
                <w:highlight w:val="none"/>
              </w:rPr>
            </w:pPr>
          </w:p>
        </w:tc>
        <w:tc>
          <w:tcPr>
            <w:tcW w:w="1087" w:type="pct"/>
            <w:tcBorders>
              <w:top w:val="single" w:color="auto" w:sz="4" w:space="0"/>
              <w:left w:val="single" w:color="auto" w:sz="4" w:space="0"/>
              <w:bottom w:val="single" w:color="auto" w:sz="4" w:space="0"/>
              <w:right w:val="single" w:color="auto" w:sz="4" w:space="0"/>
            </w:tcBorders>
            <w:vAlign w:val="center"/>
          </w:tcPr>
          <w:p w14:paraId="75620710">
            <w:pPr>
              <w:spacing w:line="300" w:lineRule="exact"/>
              <w:jc w:val="center"/>
              <w:rPr>
                <w:rFonts w:hAnsi="宋体"/>
                <w:b/>
                <w:bCs/>
                <w:color w:val="auto"/>
                <w:highlight w:val="none"/>
              </w:rPr>
            </w:pPr>
          </w:p>
        </w:tc>
        <w:tc>
          <w:tcPr>
            <w:tcW w:w="324" w:type="pct"/>
            <w:tcBorders>
              <w:top w:val="single" w:color="auto" w:sz="4" w:space="0"/>
              <w:left w:val="single" w:color="auto" w:sz="4" w:space="0"/>
              <w:bottom w:val="single" w:color="auto" w:sz="4" w:space="0"/>
              <w:right w:val="single" w:color="auto" w:sz="4" w:space="0"/>
            </w:tcBorders>
            <w:vAlign w:val="center"/>
          </w:tcPr>
          <w:p w14:paraId="33383D33">
            <w:pPr>
              <w:spacing w:line="300" w:lineRule="exact"/>
              <w:jc w:val="center"/>
              <w:rPr>
                <w:rFonts w:hAnsi="宋体"/>
                <w:b/>
                <w:bCs/>
                <w:color w:val="auto"/>
                <w:highlight w:val="none"/>
              </w:rPr>
            </w:pPr>
          </w:p>
        </w:tc>
        <w:tc>
          <w:tcPr>
            <w:tcW w:w="268" w:type="pct"/>
            <w:tcBorders>
              <w:top w:val="single" w:color="auto" w:sz="4" w:space="0"/>
              <w:left w:val="single" w:color="auto" w:sz="4" w:space="0"/>
              <w:bottom w:val="single" w:color="auto" w:sz="4" w:space="0"/>
              <w:right w:val="single" w:color="auto" w:sz="4" w:space="0"/>
            </w:tcBorders>
            <w:vAlign w:val="center"/>
          </w:tcPr>
          <w:p w14:paraId="6DB82CBC">
            <w:pPr>
              <w:spacing w:line="300" w:lineRule="exact"/>
              <w:jc w:val="center"/>
              <w:rPr>
                <w:rFonts w:hAnsi="宋体"/>
                <w:b/>
                <w:bCs/>
                <w:color w:val="auto"/>
                <w:highlight w:val="none"/>
              </w:rPr>
            </w:pPr>
          </w:p>
        </w:tc>
        <w:tc>
          <w:tcPr>
            <w:tcW w:w="304" w:type="pct"/>
            <w:tcBorders>
              <w:top w:val="single" w:color="auto" w:sz="4" w:space="0"/>
              <w:left w:val="single" w:color="auto" w:sz="4" w:space="0"/>
              <w:bottom w:val="single" w:color="auto" w:sz="4" w:space="0"/>
              <w:right w:val="single" w:color="auto" w:sz="4" w:space="0"/>
            </w:tcBorders>
            <w:vAlign w:val="center"/>
          </w:tcPr>
          <w:p w14:paraId="72E3E58A">
            <w:pPr>
              <w:spacing w:line="300" w:lineRule="exact"/>
              <w:jc w:val="center"/>
              <w:rPr>
                <w:rFonts w:hAnsi="宋体"/>
                <w:b/>
                <w:bCs/>
                <w:color w:val="auto"/>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35E73537">
            <w:pPr>
              <w:spacing w:line="300" w:lineRule="exact"/>
              <w:jc w:val="center"/>
              <w:rPr>
                <w:rFonts w:hAnsi="宋体"/>
                <w:b/>
                <w:bCs/>
                <w:color w:val="auto"/>
                <w:highlight w:val="none"/>
              </w:rPr>
            </w:pPr>
          </w:p>
        </w:tc>
        <w:tc>
          <w:tcPr>
            <w:tcW w:w="415" w:type="pct"/>
            <w:tcBorders>
              <w:top w:val="single" w:color="auto" w:sz="4" w:space="0"/>
              <w:bottom w:val="single" w:color="auto" w:sz="4" w:space="0"/>
            </w:tcBorders>
            <w:vAlign w:val="center"/>
          </w:tcPr>
          <w:p w14:paraId="085B064B">
            <w:pPr>
              <w:spacing w:line="300" w:lineRule="exact"/>
              <w:jc w:val="center"/>
              <w:rPr>
                <w:rFonts w:hAnsi="宋体"/>
                <w:b/>
                <w:bCs/>
                <w:color w:val="auto"/>
                <w:highlight w:val="none"/>
              </w:rPr>
            </w:pPr>
          </w:p>
        </w:tc>
      </w:tr>
      <w:tr w14:paraId="69599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3741" w:type="pct"/>
            <w:gridSpan w:val="7"/>
            <w:tcBorders>
              <w:top w:val="single" w:color="auto" w:sz="4" w:space="0"/>
              <w:left w:val="single" w:color="auto" w:sz="4" w:space="0"/>
              <w:right w:val="single" w:color="auto" w:sz="4" w:space="0"/>
            </w:tcBorders>
            <w:vAlign w:val="center"/>
          </w:tcPr>
          <w:p w14:paraId="1C9D0A10">
            <w:pPr>
              <w:spacing w:line="300" w:lineRule="exact"/>
              <w:ind w:right="315"/>
              <w:jc w:val="right"/>
              <w:rPr>
                <w:rFonts w:hAnsi="宋体"/>
                <w:bCs/>
                <w:color w:val="auto"/>
                <w:highlight w:val="none"/>
              </w:rPr>
            </w:pPr>
            <w:r>
              <w:rPr>
                <w:rFonts w:hint="eastAsia" w:hAnsi="宋体"/>
                <w:bCs/>
                <w:color w:val="auto"/>
                <w:highlight w:val="none"/>
              </w:rPr>
              <w:t>合计金额</w:t>
            </w:r>
          </w:p>
        </w:tc>
        <w:tc>
          <w:tcPr>
            <w:tcW w:w="842" w:type="pct"/>
            <w:tcBorders>
              <w:top w:val="single" w:color="auto" w:sz="4" w:space="0"/>
              <w:left w:val="single" w:color="auto" w:sz="4" w:space="0"/>
              <w:bottom w:val="single" w:color="auto" w:sz="4" w:space="0"/>
              <w:right w:val="single" w:color="auto" w:sz="4" w:space="0"/>
            </w:tcBorders>
            <w:vAlign w:val="center"/>
          </w:tcPr>
          <w:p w14:paraId="3AA2F67A">
            <w:pPr>
              <w:spacing w:line="300" w:lineRule="exact"/>
              <w:jc w:val="center"/>
              <w:rPr>
                <w:rFonts w:hAnsi="宋体"/>
                <w:b/>
                <w:bCs/>
                <w:color w:val="auto"/>
                <w:highlight w:val="none"/>
              </w:rPr>
            </w:pPr>
          </w:p>
        </w:tc>
        <w:tc>
          <w:tcPr>
            <w:tcW w:w="415" w:type="pct"/>
            <w:tcBorders>
              <w:top w:val="single" w:color="auto" w:sz="4" w:space="0"/>
              <w:bottom w:val="single" w:color="auto" w:sz="4" w:space="0"/>
            </w:tcBorders>
            <w:vAlign w:val="center"/>
          </w:tcPr>
          <w:p w14:paraId="56702EB8">
            <w:pPr>
              <w:spacing w:line="300" w:lineRule="exact"/>
              <w:jc w:val="center"/>
              <w:rPr>
                <w:rFonts w:hAnsi="宋体"/>
                <w:b/>
                <w:bCs/>
                <w:color w:val="auto"/>
                <w:highlight w:val="none"/>
              </w:rPr>
            </w:pPr>
          </w:p>
        </w:tc>
      </w:tr>
      <w:tr w14:paraId="6D1B4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5000" w:type="pct"/>
            <w:gridSpan w:val="9"/>
            <w:tcBorders>
              <w:top w:val="single" w:color="auto" w:sz="4" w:space="0"/>
              <w:left w:val="single" w:color="auto" w:sz="4" w:space="0"/>
              <w:bottom w:val="single" w:color="auto" w:sz="4" w:space="0"/>
            </w:tcBorders>
            <w:vAlign w:val="center"/>
          </w:tcPr>
          <w:p w14:paraId="2F0DE8CA">
            <w:pPr>
              <w:spacing w:line="300" w:lineRule="exact"/>
              <w:rPr>
                <w:rFonts w:hAnsi="宋体"/>
                <w:b/>
                <w:bCs/>
                <w:color w:val="auto"/>
                <w:highlight w:val="none"/>
              </w:rPr>
            </w:pPr>
            <w:r>
              <w:rPr>
                <w:rFonts w:hint="eastAsia" w:ascii="宋体" w:hAnsi="宋体"/>
                <w:color w:val="auto"/>
                <w:spacing w:val="-6"/>
                <w:highlight w:val="none"/>
              </w:rPr>
              <w:t>投标总</w:t>
            </w:r>
            <w:r>
              <w:rPr>
                <w:rFonts w:ascii="宋体" w:hAnsi="宋体"/>
                <w:color w:val="auto"/>
                <w:spacing w:val="-6"/>
                <w:highlight w:val="none"/>
              </w:rPr>
              <w:t xml:space="preserve">报价（大写）：            </w:t>
            </w:r>
            <w:r>
              <w:rPr>
                <w:rFonts w:hint="eastAsia" w:ascii="宋体" w:hAnsi="宋体"/>
                <w:color w:val="auto"/>
                <w:spacing w:val="-6"/>
                <w:highlight w:val="none"/>
              </w:rPr>
              <w:t>元</w:t>
            </w:r>
            <w:r>
              <w:rPr>
                <w:rFonts w:ascii="宋体" w:hAnsi="宋体"/>
                <w:color w:val="auto"/>
                <w:spacing w:val="-6"/>
                <w:highlight w:val="none"/>
              </w:rPr>
              <w:t>人民币（￥                      ）</w:t>
            </w:r>
          </w:p>
        </w:tc>
      </w:tr>
      <w:tr w14:paraId="2A144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5000" w:type="pct"/>
            <w:gridSpan w:val="9"/>
            <w:tcBorders>
              <w:top w:val="single" w:color="auto" w:sz="4" w:space="0"/>
              <w:left w:val="single" w:color="auto" w:sz="4" w:space="0"/>
              <w:bottom w:val="single" w:color="auto" w:sz="4" w:space="0"/>
            </w:tcBorders>
            <w:vAlign w:val="center"/>
          </w:tcPr>
          <w:p w14:paraId="6DBDB8F3">
            <w:pPr>
              <w:spacing w:line="300" w:lineRule="exact"/>
              <w:rPr>
                <w:rFonts w:ascii="宋体" w:hAnsi="宋体"/>
                <w:color w:val="auto"/>
                <w:spacing w:val="-6"/>
                <w:highlight w:val="none"/>
              </w:rPr>
            </w:pPr>
            <w:r>
              <w:rPr>
                <w:rFonts w:hint="eastAsia" w:ascii="宋体" w:hAnsi="宋体"/>
                <w:color w:val="auto"/>
                <w:spacing w:val="-6"/>
                <w:highlight w:val="none"/>
              </w:rPr>
              <w:t>交货时间:</w:t>
            </w:r>
          </w:p>
        </w:tc>
      </w:tr>
      <w:tr w14:paraId="49C9A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5000" w:type="pct"/>
            <w:gridSpan w:val="9"/>
            <w:tcBorders>
              <w:top w:val="single" w:color="auto" w:sz="4" w:space="0"/>
              <w:left w:val="single" w:color="auto" w:sz="4" w:space="0"/>
              <w:bottom w:val="single" w:color="auto" w:sz="4" w:space="0"/>
            </w:tcBorders>
            <w:vAlign w:val="center"/>
          </w:tcPr>
          <w:p w14:paraId="01AB150F">
            <w:pPr>
              <w:spacing w:line="300" w:lineRule="exact"/>
              <w:rPr>
                <w:rFonts w:ascii="宋体" w:hAnsi="宋体"/>
                <w:color w:val="auto"/>
                <w:spacing w:val="-6"/>
                <w:highlight w:val="none"/>
              </w:rPr>
            </w:pPr>
            <w:r>
              <w:rPr>
                <w:rFonts w:hint="eastAsia" w:ascii="宋体" w:hAnsi="宋体"/>
                <w:color w:val="auto"/>
                <w:spacing w:val="-6"/>
                <w:highlight w:val="none"/>
              </w:rPr>
              <w:t>免费保修期:</w:t>
            </w:r>
          </w:p>
        </w:tc>
      </w:tr>
      <w:tr w14:paraId="5F025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jc w:val="center"/>
        </w:trPr>
        <w:tc>
          <w:tcPr>
            <w:tcW w:w="5000" w:type="pct"/>
            <w:gridSpan w:val="9"/>
            <w:tcBorders>
              <w:top w:val="single" w:color="auto" w:sz="4" w:space="0"/>
              <w:left w:val="single" w:color="auto" w:sz="4" w:space="0"/>
              <w:bottom w:val="single" w:color="auto" w:sz="4" w:space="0"/>
            </w:tcBorders>
            <w:vAlign w:val="center"/>
          </w:tcPr>
          <w:p w14:paraId="4F290A91">
            <w:pPr>
              <w:spacing w:line="340" w:lineRule="exact"/>
              <w:rPr>
                <w:rFonts w:hAnsi="宋体"/>
                <w:b/>
                <w:bCs/>
                <w:color w:val="auto"/>
                <w:highlight w:val="none"/>
              </w:rPr>
            </w:pPr>
            <w:r>
              <w:rPr>
                <w:rFonts w:hint="eastAsia"/>
                <w:color w:val="auto"/>
                <w:highlight w:val="none"/>
              </w:rPr>
              <w:t>说明：</w:t>
            </w:r>
            <w:r>
              <w:rPr>
                <w:rFonts w:hint="eastAsia" w:ascii="宋体" w:hAnsi="宋体"/>
                <w:color w:val="auto"/>
                <w:szCs w:val="21"/>
                <w:highlight w:val="none"/>
              </w:rPr>
              <w:t>投标报价应包括本次招标采购范围内货物价款、备品备件、专用工具、包装、运输、装卸、保险、税金以及货物到位、安装、安装所需辅材、调试、检验、售后服务、培训、保修等全部费用；</w:t>
            </w:r>
            <w:r>
              <w:rPr>
                <w:rFonts w:hint="eastAsia" w:ascii="宋体" w:hAnsi="宋体"/>
                <w:color w:val="auto"/>
                <w:highlight w:val="none"/>
              </w:rPr>
              <w:t>投标人综合考虑在报价中。</w:t>
            </w:r>
          </w:p>
        </w:tc>
      </w:tr>
    </w:tbl>
    <w:p w14:paraId="5BAE855D">
      <w:pPr>
        <w:pStyle w:val="17"/>
        <w:spacing w:line="320" w:lineRule="exact"/>
        <w:ind w:firstLine="420"/>
        <w:rPr>
          <w:rFonts w:hAnsi="宋体"/>
          <w:color w:val="auto"/>
          <w:highlight w:val="none"/>
        </w:rPr>
      </w:pPr>
    </w:p>
    <w:p w14:paraId="1BBA0C22">
      <w:pPr>
        <w:pStyle w:val="17"/>
        <w:spacing w:line="320" w:lineRule="exact"/>
        <w:ind w:firstLine="420"/>
        <w:rPr>
          <w:rFonts w:hAnsi="宋体"/>
          <w:color w:val="auto"/>
          <w:highlight w:val="none"/>
        </w:rPr>
      </w:pPr>
      <w:r>
        <w:rPr>
          <w:rFonts w:hint="eastAsia" w:hAnsi="宋体"/>
          <w:color w:val="auto"/>
          <w:highlight w:val="none"/>
        </w:rPr>
        <w:t>与本投标有关的正式通讯地址为：</w:t>
      </w:r>
    </w:p>
    <w:p w14:paraId="6540FB80">
      <w:pPr>
        <w:pStyle w:val="17"/>
        <w:spacing w:line="320" w:lineRule="exact"/>
        <w:ind w:firstLine="420"/>
        <w:rPr>
          <w:color w:val="auto"/>
          <w:highlight w:val="none"/>
        </w:rPr>
      </w:pPr>
      <w:r>
        <w:rPr>
          <w:rFonts w:hint="eastAsia" w:hAnsi="宋体"/>
          <w:color w:val="auto"/>
          <w:highlight w:val="none"/>
        </w:rPr>
        <w:t>地址： 邮编：</w:t>
      </w:r>
      <w:r>
        <w:rPr>
          <w:rFonts w:hint="eastAsia"/>
          <w:color w:val="auto"/>
          <w:highlight w:val="none"/>
        </w:rPr>
        <w:t>邮箱：</w:t>
      </w:r>
    </w:p>
    <w:p w14:paraId="08679956">
      <w:pPr>
        <w:pStyle w:val="17"/>
        <w:spacing w:line="320" w:lineRule="exact"/>
        <w:ind w:firstLine="420"/>
        <w:rPr>
          <w:rFonts w:hAnsi="宋体"/>
          <w:color w:val="auto"/>
          <w:highlight w:val="none"/>
          <w:u w:val="single"/>
        </w:rPr>
      </w:pPr>
      <w:r>
        <w:rPr>
          <w:rFonts w:hint="eastAsia"/>
          <w:color w:val="auto"/>
          <w:highlight w:val="none"/>
        </w:rPr>
        <w:t>委托代理人联系电话：</w:t>
      </w:r>
    </w:p>
    <w:p w14:paraId="2E327EEA">
      <w:pPr>
        <w:pStyle w:val="17"/>
        <w:spacing w:line="320" w:lineRule="exact"/>
        <w:ind w:firstLine="420"/>
        <w:rPr>
          <w:rFonts w:hAnsi="宋体"/>
          <w:color w:val="auto"/>
          <w:highlight w:val="none"/>
        </w:rPr>
      </w:pPr>
      <w:r>
        <w:rPr>
          <w:rFonts w:hint="eastAsia" w:hAnsi="宋体"/>
          <w:color w:val="auto"/>
          <w:highlight w:val="none"/>
        </w:rPr>
        <w:t>开户名称：</w:t>
      </w:r>
    </w:p>
    <w:p w14:paraId="27368ABF">
      <w:pPr>
        <w:pStyle w:val="17"/>
        <w:spacing w:line="320" w:lineRule="exact"/>
        <w:ind w:firstLine="420"/>
        <w:rPr>
          <w:rFonts w:hAnsi="宋体"/>
          <w:color w:val="auto"/>
          <w:highlight w:val="none"/>
        </w:rPr>
      </w:pPr>
      <w:r>
        <w:rPr>
          <w:rFonts w:hint="eastAsia" w:hAnsi="宋体"/>
          <w:color w:val="auto"/>
          <w:highlight w:val="none"/>
        </w:rPr>
        <w:t>开户银行：</w:t>
      </w:r>
      <w:r>
        <w:rPr>
          <w:rFonts w:hint="eastAsia" w:hAnsi="宋体"/>
          <w:color w:val="auto"/>
          <w:highlight w:val="none"/>
          <w:u w:val="single"/>
        </w:rPr>
        <w:t xml:space="preserve">                               　       </w:t>
      </w:r>
    </w:p>
    <w:p w14:paraId="47170D43">
      <w:pPr>
        <w:pStyle w:val="17"/>
        <w:spacing w:line="320" w:lineRule="exact"/>
        <w:ind w:firstLine="420"/>
        <w:rPr>
          <w:rFonts w:hAnsi="宋体"/>
          <w:color w:val="auto"/>
          <w:highlight w:val="none"/>
        </w:rPr>
      </w:pPr>
      <w:r>
        <w:rPr>
          <w:rFonts w:hint="eastAsia" w:hAnsi="宋体"/>
          <w:color w:val="auto"/>
          <w:highlight w:val="none"/>
        </w:rPr>
        <w:t>账号：</w:t>
      </w:r>
      <w:r>
        <w:rPr>
          <w:rFonts w:hint="eastAsia" w:hAnsi="宋体"/>
          <w:color w:val="auto"/>
          <w:highlight w:val="none"/>
          <w:u w:val="single"/>
        </w:rPr>
        <w:t xml:space="preserve">                                   　　　   </w:t>
      </w:r>
    </w:p>
    <w:p w14:paraId="7F43589F">
      <w:pPr>
        <w:snapToGrid w:val="0"/>
        <w:spacing w:line="320" w:lineRule="exact"/>
        <w:jc w:val="left"/>
        <w:outlineLvl w:val="4"/>
        <w:rPr>
          <w:rFonts w:hint="eastAsia" w:ascii="宋体" w:hAnsi="宋体"/>
          <w:color w:val="auto"/>
          <w:szCs w:val="21"/>
          <w:highlight w:val="none"/>
        </w:rPr>
      </w:pPr>
      <w:r>
        <w:rPr>
          <w:rFonts w:hint="eastAsia" w:ascii="宋体" w:hAnsi="宋体"/>
          <w:color w:val="auto"/>
          <w:szCs w:val="21"/>
          <w:highlight w:val="none"/>
        </w:rPr>
        <w:t xml:space="preserve">   </w:t>
      </w:r>
    </w:p>
    <w:p w14:paraId="765BC17C">
      <w:pPr>
        <w:snapToGrid w:val="0"/>
        <w:spacing w:line="320" w:lineRule="exact"/>
        <w:ind w:firstLine="315" w:firstLineChars="150"/>
        <w:jc w:val="left"/>
        <w:outlineLvl w:val="4"/>
        <w:rPr>
          <w:rFonts w:ascii="宋体" w:hAnsi="宋体"/>
          <w:color w:val="auto"/>
          <w:szCs w:val="21"/>
          <w:highlight w:val="none"/>
          <w:u w:val="single"/>
        </w:rPr>
      </w:pPr>
      <w:r>
        <w:rPr>
          <w:rFonts w:hint="eastAsia" w:ascii="宋体" w:hAnsi="宋体"/>
          <w:color w:val="auto"/>
          <w:szCs w:val="21"/>
          <w:highlight w:val="none"/>
        </w:rPr>
        <w:t xml:space="preserve"> 投标人</w:t>
      </w:r>
      <w:r>
        <w:rPr>
          <w:rFonts w:hint="eastAsia" w:ascii="宋体" w:hAnsi="宋体" w:cs="宋体"/>
          <w:color w:val="auto"/>
          <w:szCs w:val="21"/>
          <w:highlight w:val="none"/>
        </w:rPr>
        <w:t xml:space="preserve"> (</w:t>
      </w:r>
      <w:r>
        <w:rPr>
          <w:rFonts w:hint="eastAsia" w:ascii="宋体" w:hAnsi="宋体"/>
          <w:color w:val="auto"/>
          <w:szCs w:val="21"/>
          <w:highlight w:val="none"/>
        </w:rPr>
        <w:t>CA签章</w:t>
      </w:r>
      <w:r>
        <w:rPr>
          <w:rFonts w:hint="eastAsia" w:ascii="宋体" w:hAnsi="宋体" w:cs="宋体"/>
          <w:color w:val="auto"/>
          <w:szCs w:val="21"/>
          <w:highlight w:val="none"/>
        </w:rPr>
        <w:t>，自然人除外)</w:t>
      </w:r>
      <w:r>
        <w:rPr>
          <w:rFonts w:hint="eastAsia" w:ascii="宋体" w:hAnsi="宋体"/>
          <w:color w:val="auto"/>
          <w:szCs w:val="21"/>
          <w:highlight w:val="none"/>
        </w:rPr>
        <w:t>：</w:t>
      </w:r>
    </w:p>
    <w:p w14:paraId="4FEF4B2E">
      <w:pPr>
        <w:pStyle w:val="17"/>
        <w:spacing w:line="320" w:lineRule="exact"/>
        <w:ind w:firstLine="420"/>
        <w:jc w:val="left"/>
        <w:rPr>
          <w:rFonts w:hAnsi="宋体"/>
          <w:color w:val="auto"/>
          <w:szCs w:val="21"/>
          <w:highlight w:val="none"/>
          <w:u w:val="single"/>
        </w:rPr>
      </w:pPr>
      <w:r>
        <w:rPr>
          <w:rFonts w:hint="eastAsia" w:hAnsi="宋体" w:cs="宋体"/>
          <w:color w:val="auto"/>
          <w:szCs w:val="24"/>
          <w:highlight w:val="none"/>
        </w:rPr>
        <w:t>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（个人CA签章）</w:t>
      </w:r>
      <w:r>
        <w:rPr>
          <w:rFonts w:hint="eastAsia" w:hAnsi="宋体"/>
          <w:color w:val="auto"/>
          <w:highlight w:val="none"/>
        </w:rPr>
        <w:t>：</w:t>
      </w:r>
    </w:p>
    <w:p w14:paraId="7AACE9A7">
      <w:pPr>
        <w:spacing w:line="320" w:lineRule="exact"/>
        <w:ind w:firstLine="420" w:firstLineChars="200"/>
        <w:jc w:val="left"/>
        <w:rPr>
          <w:rFonts w:ascii="宋体" w:hAnsi="宋体"/>
          <w:color w:val="auto"/>
          <w:szCs w:val="21"/>
          <w:highlight w:val="none"/>
          <w:u w:val="single"/>
        </w:rPr>
      </w:pPr>
      <w:r>
        <w:rPr>
          <w:rFonts w:hint="eastAsia" w:hAnsi="宋体"/>
          <w:color w:val="auto"/>
          <w:highlight w:val="none"/>
        </w:rPr>
        <w:t>日期：</w:t>
      </w:r>
    </w:p>
    <w:p w14:paraId="086BF1B1">
      <w:pPr>
        <w:pStyle w:val="17"/>
        <w:spacing w:line="320" w:lineRule="exact"/>
        <w:ind w:left="422" w:hanging="422" w:hangingChars="200"/>
        <w:rPr>
          <w:rFonts w:hAnsi="宋体"/>
          <w:b/>
          <w:bCs/>
          <w:color w:val="auto"/>
          <w:szCs w:val="21"/>
          <w:highlight w:val="none"/>
        </w:rPr>
      </w:pPr>
    </w:p>
    <w:p w14:paraId="0A261BA7">
      <w:pPr>
        <w:tabs>
          <w:tab w:val="left" w:pos="1305"/>
        </w:tabs>
        <w:spacing w:line="340" w:lineRule="exact"/>
        <w:rPr>
          <w:rFonts w:ascii="宋体" w:hAnsi="宋体" w:cs="宋体"/>
          <w:bCs/>
          <w:color w:val="auto"/>
          <w:szCs w:val="21"/>
          <w:highlight w:val="none"/>
        </w:rPr>
      </w:pPr>
      <w:r>
        <w:rPr>
          <w:rFonts w:hint="eastAsia" w:hAnsi="宋体"/>
          <w:b/>
          <w:bCs/>
          <w:color w:val="auto"/>
          <w:szCs w:val="21"/>
          <w:highlight w:val="none"/>
        </w:rPr>
        <w:t>注：</w:t>
      </w:r>
      <w:r>
        <w:rPr>
          <w:rFonts w:hint="eastAsia" w:ascii="宋体" w:hAnsi="宋体" w:cs="宋体"/>
          <w:bCs/>
          <w:color w:val="auto"/>
          <w:szCs w:val="21"/>
          <w:highlight w:val="none"/>
        </w:rPr>
        <w:t>1.各投标人</w:t>
      </w:r>
      <w:r>
        <w:rPr>
          <w:rFonts w:hint="eastAsia" w:ascii="宋体" w:hAnsi="宋体" w:cs="宋体"/>
          <w:color w:val="auto"/>
          <w:szCs w:val="21"/>
          <w:highlight w:val="none"/>
        </w:rPr>
        <w:t>必须就“采购需求”中所有内容作完整唯一报价，否则，其投标将被拒绝。投标文件只允许有一个报价。</w:t>
      </w:r>
    </w:p>
    <w:p w14:paraId="1A648E73">
      <w:pPr>
        <w:pStyle w:val="17"/>
        <w:spacing w:line="360" w:lineRule="exact"/>
        <w:ind w:firstLine="420" w:firstLineChars="200"/>
        <w:rPr>
          <w:rFonts w:hAnsi="宋体" w:cs="宋体"/>
          <w:color w:val="auto"/>
          <w:szCs w:val="21"/>
          <w:highlight w:val="none"/>
        </w:rPr>
      </w:pPr>
      <w:r>
        <w:rPr>
          <w:rFonts w:hint="eastAsia" w:hAnsi="宋体" w:cs="宋体"/>
          <w:color w:val="auto"/>
          <w:szCs w:val="21"/>
          <w:highlight w:val="none"/>
        </w:rPr>
        <w:t>2.投标人应根据所投项目如实填写投标报价表</w:t>
      </w:r>
      <w:r>
        <w:rPr>
          <w:rFonts w:hint="eastAsia" w:hAnsi="宋体" w:cs="宋体"/>
          <w:bCs/>
          <w:color w:val="auto"/>
          <w:szCs w:val="21"/>
          <w:highlight w:val="none"/>
        </w:rPr>
        <w:t>的各项内容。</w:t>
      </w:r>
    </w:p>
    <w:p w14:paraId="4A148E61">
      <w:pPr>
        <w:ind w:firstLine="420" w:firstLineChars="200"/>
        <w:rPr>
          <w:rFonts w:ascii="宋体" w:hAnsi="宋体" w:cs="宋体"/>
          <w:b/>
          <w:bCs/>
          <w:color w:val="auto"/>
          <w:sz w:val="32"/>
          <w:szCs w:val="32"/>
          <w:highlight w:val="none"/>
        </w:rPr>
      </w:pPr>
      <w:r>
        <w:rPr>
          <w:rFonts w:hint="eastAsia" w:ascii="宋体" w:hAnsi="宋体" w:cs="宋体"/>
          <w:color w:val="auto"/>
          <w:szCs w:val="21"/>
          <w:highlight w:val="none"/>
        </w:rPr>
        <w:t>3.</w:t>
      </w:r>
      <w:r>
        <w:rPr>
          <w:rFonts w:hint="eastAsia" w:ascii="宋体" w:hAnsi="宋体" w:cs="宋体"/>
          <w:color w:val="auto"/>
          <w:highlight w:val="none"/>
        </w:rPr>
        <w:t>投标报价表须由法定代表人负责人、自然人或相应的委托代理人签字或个人CA签章并加盖投标人CA签章（自然人除外）。</w:t>
      </w:r>
      <w:r>
        <w:rPr>
          <w:rFonts w:hint="eastAsia" w:ascii="宋体" w:hAnsi="宋体" w:cs="宋体"/>
          <w:b/>
          <w:color w:val="auto"/>
          <w:highlight w:val="none"/>
        </w:rPr>
        <w:t>当本表由多页构成时，需逐页加盖投标人公章（属自然人的须逐页签字或个人CA签章）</w:t>
      </w:r>
      <w:r>
        <w:rPr>
          <w:rFonts w:ascii="宋体" w:hAnsi="宋体" w:cs="宋体"/>
          <w:b/>
          <w:bCs/>
          <w:color w:val="auto"/>
          <w:sz w:val="32"/>
          <w:szCs w:val="32"/>
          <w:highlight w:val="none"/>
        </w:rPr>
        <w:br w:type="page"/>
      </w:r>
    </w:p>
    <w:p w14:paraId="460CFE89">
      <w:pPr>
        <w:rPr>
          <w:rFonts w:ascii="宋体" w:hAnsi="宋体" w:cs="宋体"/>
          <w:b/>
          <w:bCs/>
          <w:color w:val="auto"/>
          <w:sz w:val="32"/>
          <w:szCs w:val="32"/>
          <w:highlight w:val="none"/>
        </w:rPr>
        <w:sectPr>
          <w:footerReference r:id="rId3" w:type="default"/>
          <w:pgSz w:w="11906" w:h="16838"/>
          <w:pgMar w:top="1440" w:right="1077" w:bottom="1440" w:left="1077" w:header="851" w:footer="992" w:gutter="0"/>
          <w:pgNumType w:fmt="decimal" w:start="1"/>
          <w:cols w:space="720" w:num="1"/>
          <w:docGrid w:linePitch="312" w:charSpace="0"/>
        </w:sectPr>
      </w:pPr>
    </w:p>
    <w:p w14:paraId="7D767427">
      <w:pPr>
        <w:rPr>
          <w:rFonts w:ascii="宋体" w:hAnsi="宋体" w:cs="宋体"/>
          <w:b/>
          <w:bCs/>
          <w:color w:val="auto"/>
          <w:sz w:val="32"/>
          <w:szCs w:val="32"/>
          <w:highlight w:val="none"/>
        </w:rPr>
      </w:pPr>
      <w:r>
        <w:rPr>
          <w:rFonts w:hint="eastAsia" w:ascii="宋体" w:hAnsi="宋体" w:cs="宋体"/>
          <w:b/>
          <w:bCs/>
          <w:color w:val="auto"/>
          <w:sz w:val="32"/>
          <w:szCs w:val="32"/>
          <w:highlight w:val="none"/>
        </w:rPr>
        <w:t>2.技术规格偏离表（格式见附件）（必须提供）</w:t>
      </w:r>
      <w:bookmarkEnd w:id="371"/>
      <w:bookmarkEnd w:id="372"/>
    </w:p>
    <w:p w14:paraId="408468D8">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73DFA652">
      <w:pPr>
        <w:jc w:val="center"/>
        <w:rPr>
          <w:rFonts w:ascii="宋体" w:hAnsi="宋体" w:cs="宋体"/>
          <w:b/>
          <w:bCs/>
          <w:color w:val="auto"/>
          <w:sz w:val="32"/>
          <w:highlight w:val="none"/>
        </w:rPr>
      </w:pPr>
      <w:r>
        <w:rPr>
          <w:rFonts w:hint="eastAsia" w:ascii="宋体" w:hAnsi="宋体" w:cs="宋体"/>
          <w:b/>
          <w:color w:val="auto"/>
          <w:sz w:val="32"/>
          <w:szCs w:val="32"/>
          <w:highlight w:val="none"/>
        </w:rPr>
        <w:t>技术规格偏离表</w:t>
      </w:r>
      <w:r>
        <w:rPr>
          <w:rFonts w:hint="eastAsia" w:ascii="宋体" w:hAnsi="宋体" w:cs="宋体"/>
          <w:b/>
          <w:bCs/>
          <w:color w:val="auto"/>
          <w:sz w:val="32"/>
          <w:highlight w:val="none"/>
        </w:rPr>
        <w:t>（格式）</w:t>
      </w:r>
    </w:p>
    <w:p w14:paraId="0E8C92BA">
      <w:pPr>
        <w:pStyle w:val="49"/>
        <w:rPr>
          <w:color w:val="auto"/>
          <w:highlight w:val="none"/>
        </w:rPr>
      </w:pP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1B4DCA95">
        <w:tblPrEx>
          <w:tblCellMar>
            <w:top w:w="0" w:type="dxa"/>
            <w:left w:w="108" w:type="dxa"/>
            <w:bottom w:w="0" w:type="dxa"/>
            <w:right w:w="108" w:type="dxa"/>
          </w:tblCellMar>
        </w:tblPrEx>
        <w:trPr>
          <w:trHeight w:val="643" w:hRule="atLeast"/>
        </w:trPr>
        <w:tc>
          <w:tcPr>
            <w:tcW w:w="709" w:type="dxa"/>
            <w:shd w:val="clear" w:color="auto" w:fill="8DB3E2"/>
            <w:vAlign w:val="center"/>
          </w:tcPr>
          <w:p w14:paraId="205FDBA0">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2126" w:type="dxa"/>
            <w:shd w:val="clear" w:color="auto" w:fill="8DB3E2"/>
            <w:vAlign w:val="center"/>
          </w:tcPr>
          <w:p w14:paraId="3D44EA05">
            <w:pPr>
              <w:spacing w:line="400" w:lineRule="exact"/>
              <w:jc w:val="center"/>
              <w:rPr>
                <w:rFonts w:ascii="宋体" w:hAnsi="宋体" w:cs="宋体"/>
                <w:b/>
                <w:color w:val="auto"/>
                <w:highlight w:val="none"/>
              </w:rPr>
            </w:pPr>
            <w:r>
              <w:rPr>
                <w:rFonts w:hint="eastAsia" w:ascii="宋体" w:hAnsi="宋体" w:cs="宋体"/>
                <w:b/>
                <w:color w:val="auto"/>
                <w:highlight w:val="none"/>
              </w:rPr>
              <w:t>货物名称</w:t>
            </w:r>
          </w:p>
        </w:tc>
        <w:tc>
          <w:tcPr>
            <w:tcW w:w="2313" w:type="dxa"/>
            <w:shd w:val="clear" w:color="auto" w:fill="8DB3E2"/>
            <w:vAlign w:val="center"/>
          </w:tcPr>
          <w:p w14:paraId="167FD59A">
            <w:pPr>
              <w:spacing w:line="400" w:lineRule="exact"/>
              <w:jc w:val="center"/>
              <w:rPr>
                <w:rFonts w:ascii="宋体" w:hAnsi="宋体" w:cs="宋体"/>
                <w:b/>
                <w:color w:val="auto"/>
                <w:highlight w:val="none"/>
              </w:rPr>
            </w:pPr>
            <w:r>
              <w:rPr>
                <w:rFonts w:hint="eastAsia" w:ascii="宋体" w:hAnsi="宋体" w:cs="宋体"/>
                <w:b/>
                <w:color w:val="auto"/>
                <w:szCs w:val="21"/>
                <w:highlight w:val="none"/>
              </w:rPr>
              <w:t>项目要求及技术需求</w:t>
            </w:r>
          </w:p>
        </w:tc>
        <w:tc>
          <w:tcPr>
            <w:tcW w:w="2520" w:type="dxa"/>
            <w:shd w:val="clear" w:color="auto" w:fill="8DB3E2"/>
            <w:vAlign w:val="center"/>
          </w:tcPr>
          <w:p w14:paraId="6F753D98">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投标文件的响应情况</w:t>
            </w:r>
          </w:p>
        </w:tc>
        <w:tc>
          <w:tcPr>
            <w:tcW w:w="2113" w:type="dxa"/>
            <w:shd w:val="clear" w:color="auto" w:fill="8DB3E2"/>
            <w:vAlign w:val="center"/>
          </w:tcPr>
          <w:p w14:paraId="3E9F99F8">
            <w:pPr>
              <w:spacing w:line="400" w:lineRule="exact"/>
              <w:jc w:val="center"/>
              <w:rPr>
                <w:rFonts w:ascii="宋体" w:hAnsi="宋体" w:cs="宋体"/>
                <w:b/>
                <w:color w:val="auto"/>
                <w:highlight w:val="none"/>
              </w:rPr>
            </w:pPr>
            <w:bookmarkStart w:id="373" w:name="_Toc254970560"/>
            <w:bookmarkStart w:id="374" w:name="_Toc254970701"/>
            <w:r>
              <w:rPr>
                <w:rFonts w:hint="eastAsia" w:ascii="宋体" w:hAnsi="宋体" w:cs="宋体"/>
                <w:b/>
                <w:color w:val="auto"/>
                <w:highlight w:val="none"/>
              </w:rPr>
              <w:t>偏离情况</w:t>
            </w:r>
            <w:bookmarkEnd w:id="373"/>
            <w:bookmarkEnd w:id="374"/>
            <w:r>
              <w:rPr>
                <w:rFonts w:hint="eastAsia" w:ascii="宋体" w:hAnsi="宋体" w:cs="宋体"/>
                <w:b/>
                <w:color w:val="auto"/>
                <w:highlight w:val="none"/>
              </w:rPr>
              <w:t>说明</w:t>
            </w:r>
          </w:p>
        </w:tc>
      </w:tr>
      <w:tr w14:paraId="042E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DDDEBB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6" w:type="dxa"/>
            <w:vAlign w:val="center"/>
          </w:tcPr>
          <w:p w14:paraId="323BDF52">
            <w:pPr>
              <w:spacing w:line="400" w:lineRule="exact"/>
              <w:rPr>
                <w:rFonts w:ascii="宋体" w:hAnsi="宋体" w:cs="宋体"/>
                <w:color w:val="auto"/>
                <w:kern w:val="0"/>
                <w:szCs w:val="21"/>
                <w:highlight w:val="none"/>
              </w:rPr>
            </w:pPr>
          </w:p>
        </w:tc>
        <w:tc>
          <w:tcPr>
            <w:tcW w:w="2313" w:type="dxa"/>
            <w:vAlign w:val="center"/>
          </w:tcPr>
          <w:p w14:paraId="13EEFEE3">
            <w:pPr>
              <w:spacing w:line="400" w:lineRule="exact"/>
              <w:jc w:val="left"/>
              <w:rPr>
                <w:rFonts w:ascii="宋体" w:hAnsi="宋体" w:cs="宋体"/>
                <w:color w:val="auto"/>
                <w:highlight w:val="none"/>
              </w:rPr>
            </w:pPr>
          </w:p>
        </w:tc>
        <w:tc>
          <w:tcPr>
            <w:tcW w:w="2520" w:type="dxa"/>
          </w:tcPr>
          <w:p w14:paraId="73D2920F">
            <w:pPr>
              <w:spacing w:line="400" w:lineRule="exact"/>
              <w:jc w:val="left"/>
              <w:rPr>
                <w:rFonts w:ascii="宋体" w:hAnsi="宋体" w:cs="宋体"/>
                <w:color w:val="auto"/>
                <w:highlight w:val="none"/>
              </w:rPr>
            </w:pPr>
          </w:p>
        </w:tc>
        <w:tc>
          <w:tcPr>
            <w:tcW w:w="2113" w:type="dxa"/>
            <w:vAlign w:val="center"/>
          </w:tcPr>
          <w:p w14:paraId="319D0E4B">
            <w:pPr>
              <w:spacing w:line="400" w:lineRule="exact"/>
              <w:jc w:val="left"/>
              <w:rPr>
                <w:rFonts w:ascii="宋体" w:hAnsi="宋体" w:cs="宋体"/>
                <w:color w:val="auto"/>
                <w:highlight w:val="none"/>
              </w:rPr>
            </w:pPr>
          </w:p>
        </w:tc>
      </w:tr>
      <w:tr w14:paraId="545B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99EE6B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6" w:type="dxa"/>
            <w:vAlign w:val="center"/>
          </w:tcPr>
          <w:p w14:paraId="52726EC6">
            <w:pPr>
              <w:spacing w:line="400" w:lineRule="exact"/>
              <w:rPr>
                <w:rFonts w:ascii="宋体" w:hAnsi="宋体" w:cs="宋体"/>
                <w:color w:val="auto"/>
                <w:kern w:val="0"/>
                <w:szCs w:val="21"/>
                <w:highlight w:val="none"/>
              </w:rPr>
            </w:pPr>
          </w:p>
        </w:tc>
        <w:tc>
          <w:tcPr>
            <w:tcW w:w="2313" w:type="dxa"/>
            <w:vAlign w:val="center"/>
          </w:tcPr>
          <w:p w14:paraId="4B2CD8F3">
            <w:pPr>
              <w:spacing w:line="400" w:lineRule="exact"/>
              <w:jc w:val="left"/>
              <w:rPr>
                <w:rFonts w:ascii="宋体" w:hAnsi="宋体" w:cs="宋体"/>
                <w:color w:val="auto"/>
                <w:highlight w:val="none"/>
              </w:rPr>
            </w:pPr>
          </w:p>
        </w:tc>
        <w:tc>
          <w:tcPr>
            <w:tcW w:w="2520" w:type="dxa"/>
          </w:tcPr>
          <w:p w14:paraId="03E19534">
            <w:pPr>
              <w:spacing w:line="400" w:lineRule="exact"/>
              <w:jc w:val="left"/>
              <w:rPr>
                <w:rFonts w:ascii="宋体" w:hAnsi="宋体" w:cs="宋体"/>
                <w:color w:val="auto"/>
                <w:highlight w:val="none"/>
              </w:rPr>
            </w:pPr>
          </w:p>
        </w:tc>
        <w:tc>
          <w:tcPr>
            <w:tcW w:w="2113" w:type="dxa"/>
            <w:vAlign w:val="center"/>
          </w:tcPr>
          <w:p w14:paraId="372215ED">
            <w:pPr>
              <w:spacing w:line="400" w:lineRule="exact"/>
              <w:jc w:val="left"/>
              <w:rPr>
                <w:rFonts w:ascii="宋体" w:hAnsi="宋体" w:cs="宋体"/>
                <w:color w:val="auto"/>
                <w:highlight w:val="none"/>
              </w:rPr>
            </w:pPr>
          </w:p>
        </w:tc>
      </w:tr>
      <w:tr w14:paraId="692C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EA7054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6" w:type="dxa"/>
            <w:vAlign w:val="center"/>
          </w:tcPr>
          <w:p w14:paraId="1BE717DF">
            <w:pPr>
              <w:spacing w:line="400" w:lineRule="exact"/>
              <w:rPr>
                <w:rFonts w:ascii="宋体" w:hAnsi="宋体" w:cs="宋体"/>
                <w:color w:val="auto"/>
                <w:kern w:val="0"/>
                <w:szCs w:val="21"/>
                <w:highlight w:val="none"/>
              </w:rPr>
            </w:pPr>
          </w:p>
        </w:tc>
        <w:tc>
          <w:tcPr>
            <w:tcW w:w="2313" w:type="dxa"/>
          </w:tcPr>
          <w:p w14:paraId="55BB5B41">
            <w:pPr>
              <w:spacing w:line="400" w:lineRule="exact"/>
              <w:jc w:val="left"/>
              <w:rPr>
                <w:rFonts w:ascii="宋体" w:hAnsi="宋体" w:cs="宋体"/>
                <w:color w:val="auto"/>
                <w:highlight w:val="none"/>
              </w:rPr>
            </w:pPr>
          </w:p>
        </w:tc>
        <w:tc>
          <w:tcPr>
            <w:tcW w:w="2520" w:type="dxa"/>
          </w:tcPr>
          <w:p w14:paraId="2394FC76">
            <w:pPr>
              <w:spacing w:line="400" w:lineRule="exact"/>
              <w:jc w:val="left"/>
              <w:rPr>
                <w:rFonts w:ascii="宋体" w:hAnsi="宋体" w:cs="宋体"/>
                <w:color w:val="auto"/>
                <w:highlight w:val="none"/>
              </w:rPr>
            </w:pPr>
          </w:p>
        </w:tc>
        <w:tc>
          <w:tcPr>
            <w:tcW w:w="2113" w:type="dxa"/>
          </w:tcPr>
          <w:p w14:paraId="0BD5CB61">
            <w:pPr>
              <w:spacing w:line="400" w:lineRule="exact"/>
              <w:jc w:val="left"/>
              <w:rPr>
                <w:rFonts w:ascii="宋体" w:hAnsi="宋体" w:cs="宋体"/>
                <w:color w:val="auto"/>
                <w:highlight w:val="none"/>
              </w:rPr>
            </w:pPr>
          </w:p>
        </w:tc>
      </w:tr>
      <w:tr w14:paraId="4236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A54E1C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6" w:type="dxa"/>
            <w:vAlign w:val="center"/>
          </w:tcPr>
          <w:p w14:paraId="23E66FD6">
            <w:pPr>
              <w:spacing w:line="400" w:lineRule="exact"/>
              <w:rPr>
                <w:rFonts w:ascii="宋体" w:hAnsi="宋体" w:cs="宋体"/>
                <w:color w:val="auto"/>
                <w:kern w:val="0"/>
                <w:szCs w:val="21"/>
                <w:highlight w:val="none"/>
              </w:rPr>
            </w:pPr>
          </w:p>
        </w:tc>
        <w:tc>
          <w:tcPr>
            <w:tcW w:w="2313" w:type="dxa"/>
          </w:tcPr>
          <w:p w14:paraId="7DFAF538">
            <w:pPr>
              <w:spacing w:line="400" w:lineRule="exact"/>
              <w:jc w:val="left"/>
              <w:rPr>
                <w:rFonts w:ascii="宋体" w:hAnsi="宋体" w:cs="宋体"/>
                <w:color w:val="auto"/>
                <w:highlight w:val="none"/>
              </w:rPr>
            </w:pPr>
          </w:p>
        </w:tc>
        <w:tc>
          <w:tcPr>
            <w:tcW w:w="2520" w:type="dxa"/>
          </w:tcPr>
          <w:p w14:paraId="0194FECC">
            <w:pPr>
              <w:spacing w:line="400" w:lineRule="exact"/>
              <w:jc w:val="left"/>
              <w:rPr>
                <w:rFonts w:ascii="宋体" w:hAnsi="宋体" w:cs="宋体"/>
                <w:color w:val="auto"/>
                <w:highlight w:val="none"/>
              </w:rPr>
            </w:pPr>
          </w:p>
        </w:tc>
        <w:tc>
          <w:tcPr>
            <w:tcW w:w="2113" w:type="dxa"/>
          </w:tcPr>
          <w:p w14:paraId="13D5CF05">
            <w:pPr>
              <w:spacing w:line="400" w:lineRule="exact"/>
              <w:jc w:val="left"/>
              <w:rPr>
                <w:rFonts w:ascii="宋体" w:hAnsi="宋体" w:cs="宋体"/>
                <w:color w:val="auto"/>
                <w:highlight w:val="none"/>
              </w:rPr>
            </w:pPr>
          </w:p>
        </w:tc>
      </w:tr>
      <w:tr w14:paraId="11A4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A94838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26" w:type="dxa"/>
            <w:vAlign w:val="center"/>
          </w:tcPr>
          <w:p w14:paraId="4C433AE3">
            <w:pPr>
              <w:spacing w:line="400" w:lineRule="exact"/>
              <w:rPr>
                <w:rFonts w:ascii="宋体" w:hAnsi="宋体" w:cs="宋体"/>
                <w:color w:val="auto"/>
                <w:kern w:val="0"/>
                <w:szCs w:val="21"/>
                <w:highlight w:val="none"/>
              </w:rPr>
            </w:pPr>
          </w:p>
        </w:tc>
        <w:tc>
          <w:tcPr>
            <w:tcW w:w="2313" w:type="dxa"/>
          </w:tcPr>
          <w:p w14:paraId="2F0F68C2">
            <w:pPr>
              <w:spacing w:line="400" w:lineRule="exact"/>
              <w:jc w:val="left"/>
              <w:rPr>
                <w:rFonts w:ascii="宋体" w:hAnsi="宋体" w:cs="宋体"/>
                <w:color w:val="auto"/>
                <w:highlight w:val="none"/>
              </w:rPr>
            </w:pPr>
          </w:p>
        </w:tc>
        <w:tc>
          <w:tcPr>
            <w:tcW w:w="2520" w:type="dxa"/>
          </w:tcPr>
          <w:p w14:paraId="3B891895">
            <w:pPr>
              <w:spacing w:line="400" w:lineRule="exact"/>
              <w:jc w:val="left"/>
              <w:rPr>
                <w:rFonts w:ascii="宋体" w:hAnsi="宋体" w:cs="宋体"/>
                <w:color w:val="auto"/>
                <w:highlight w:val="none"/>
              </w:rPr>
            </w:pPr>
          </w:p>
        </w:tc>
        <w:tc>
          <w:tcPr>
            <w:tcW w:w="2113" w:type="dxa"/>
          </w:tcPr>
          <w:p w14:paraId="29CA30F5">
            <w:pPr>
              <w:spacing w:line="400" w:lineRule="exact"/>
              <w:jc w:val="left"/>
              <w:rPr>
                <w:rFonts w:ascii="宋体" w:hAnsi="宋体" w:cs="宋体"/>
                <w:color w:val="auto"/>
                <w:highlight w:val="none"/>
              </w:rPr>
            </w:pPr>
          </w:p>
        </w:tc>
      </w:tr>
      <w:tr w14:paraId="289F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BC5899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N</w:t>
            </w:r>
          </w:p>
        </w:tc>
        <w:tc>
          <w:tcPr>
            <w:tcW w:w="2126" w:type="dxa"/>
            <w:vAlign w:val="center"/>
          </w:tcPr>
          <w:p w14:paraId="3F71C431">
            <w:pPr>
              <w:spacing w:line="400" w:lineRule="exact"/>
              <w:rPr>
                <w:rFonts w:ascii="宋体" w:hAnsi="宋体" w:cs="宋体"/>
                <w:b/>
                <w:bCs/>
                <w:color w:val="auto"/>
                <w:kern w:val="0"/>
                <w:szCs w:val="21"/>
                <w:highlight w:val="none"/>
              </w:rPr>
            </w:pPr>
          </w:p>
        </w:tc>
        <w:tc>
          <w:tcPr>
            <w:tcW w:w="2313" w:type="dxa"/>
          </w:tcPr>
          <w:p w14:paraId="2200CB76">
            <w:pPr>
              <w:spacing w:line="400" w:lineRule="exact"/>
              <w:jc w:val="left"/>
              <w:rPr>
                <w:rFonts w:ascii="宋体" w:hAnsi="宋体" w:cs="宋体"/>
                <w:color w:val="auto"/>
                <w:highlight w:val="none"/>
              </w:rPr>
            </w:pPr>
          </w:p>
        </w:tc>
        <w:tc>
          <w:tcPr>
            <w:tcW w:w="2520" w:type="dxa"/>
          </w:tcPr>
          <w:p w14:paraId="34A3F0D9">
            <w:pPr>
              <w:spacing w:line="400" w:lineRule="exact"/>
              <w:jc w:val="left"/>
              <w:rPr>
                <w:rFonts w:ascii="宋体" w:hAnsi="宋体" w:cs="宋体"/>
                <w:color w:val="auto"/>
                <w:highlight w:val="none"/>
              </w:rPr>
            </w:pPr>
          </w:p>
        </w:tc>
        <w:tc>
          <w:tcPr>
            <w:tcW w:w="2113" w:type="dxa"/>
          </w:tcPr>
          <w:p w14:paraId="54C2F514">
            <w:pPr>
              <w:spacing w:line="400" w:lineRule="exact"/>
              <w:jc w:val="left"/>
              <w:rPr>
                <w:rFonts w:ascii="宋体" w:hAnsi="宋体" w:cs="宋体"/>
                <w:color w:val="auto"/>
                <w:highlight w:val="none"/>
              </w:rPr>
            </w:pPr>
          </w:p>
        </w:tc>
      </w:tr>
    </w:tbl>
    <w:p w14:paraId="0A77C39F">
      <w:pPr>
        <w:snapToGrid w:val="0"/>
        <w:spacing w:line="400" w:lineRule="exact"/>
        <w:rPr>
          <w:rFonts w:ascii="宋体" w:hAnsi="宋体" w:cs="宋体"/>
          <w:color w:val="auto"/>
          <w:szCs w:val="20"/>
          <w:highlight w:val="none"/>
          <w:u w:val="single"/>
        </w:rPr>
      </w:pPr>
      <w:r>
        <w:rPr>
          <w:rFonts w:hint="eastAsia" w:ascii="宋体" w:hAnsi="宋体" w:cs="宋体"/>
          <w:color w:val="auto"/>
          <w:highlight w:val="none"/>
        </w:rPr>
        <w:t>注：投标人应对照招标文件中项目要求及技术需求的内容逐条响应，并在“偏离情况说明”栏注明“正偏离”、“负偏离”或“无偏离”。</w:t>
      </w:r>
    </w:p>
    <w:p w14:paraId="0EB31B34">
      <w:pPr>
        <w:snapToGrid w:val="0"/>
        <w:spacing w:line="400" w:lineRule="exact"/>
        <w:ind w:firstLine="3780" w:firstLineChars="1800"/>
        <w:rPr>
          <w:rFonts w:ascii="宋体" w:hAnsi="宋体" w:cs="宋体"/>
          <w:color w:val="auto"/>
          <w:szCs w:val="20"/>
          <w:highlight w:val="none"/>
          <w:u w:val="single"/>
        </w:rPr>
      </w:pPr>
    </w:p>
    <w:p w14:paraId="28F4566B">
      <w:pPr>
        <w:snapToGrid w:val="0"/>
        <w:spacing w:line="320" w:lineRule="exact"/>
        <w:jc w:val="left"/>
        <w:outlineLvl w:val="4"/>
        <w:rPr>
          <w:rFonts w:ascii="宋体" w:hAnsi="宋体"/>
          <w:color w:val="auto"/>
          <w:szCs w:val="21"/>
          <w:highlight w:val="none"/>
          <w:u w:val="single"/>
        </w:rPr>
      </w:pPr>
      <w:r>
        <w:rPr>
          <w:rFonts w:hint="eastAsia" w:ascii="宋体" w:hAnsi="宋体"/>
          <w:color w:val="auto"/>
          <w:szCs w:val="21"/>
          <w:highlight w:val="none"/>
        </w:rPr>
        <w:t xml:space="preserve">    投标人</w:t>
      </w:r>
      <w:r>
        <w:rPr>
          <w:rFonts w:hint="eastAsia" w:ascii="宋体" w:hAnsi="宋体" w:cs="宋体"/>
          <w:color w:val="auto"/>
          <w:szCs w:val="21"/>
          <w:highlight w:val="none"/>
        </w:rPr>
        <w:t xml:space="preserve"> (</w:t>
      </w:r>
      <w:r>
        <w:rPr>
          <w:rFonts w:hint="eastAsia" w:ascii="宋体" w:hAnsi="宋体"/>
          <w:color w:val="auto"/>
          <w:szCs w:val="21"/>
          <w:highlight w:val="none"/>
        </w:rPr>
        <w:t>CA签章</w:t>
      </w:r>
      <w:r>
        <w:rPr>
          <w:rFonts w:hint="eastAsia" w:ascii="宋体" w:hAnsi="宋体" w:cs="宋体"/>
          <w:color w:val="auto"/>
          <w:szCs w:val="21"/>
          <w:highlight w:val="none"/>
        </w:rPr>
        <w:t>，自然人除外)</w:t>
      </w:r>
      <w:r>
        <w:rPr>
          <w:rFonts w:hint="eastAsia" w:ascii="宋体" w:hAnsi="宋体"/>
          <w:color w:val="auto"/>
          <w:szCs w:val="21"/>
          <w:highlight w:val="none"/>
        </w:rPr>
        <w:t>：</w:t>
      </w:r>
    </w:p>
    <w:p w14:paraId="39FE4409">
      <w:pPr>
        <w:pStyle w:val="17"/>
        <w:spacing w:line="320" w:lineRule="exact"/>
        <w:ind w:firstLine="420"/>
        <w:jc w:val="left"/>
        <w:rPr>
          <w:rFonts w:hAnsi="宋体" w:cs="宋体"/>
          <w:color w:val="auto"/>
          <w:szCs w:val="24"/>
          <w:highlight w:val="none"/>
        </w:rPr>
      </w:pPr>
    </w:p>
    <w:p w14:paraId="5DC57222">
      <w:pPr>
        <w:pStyle w:val="17"/>
        <w:spacing w:line="320" w:lineRule="exact"/>
        <w:ind w:firstLine="420"/>
        <w:jc w:val="left"/>
        <w:rPr>
          <w:rFonts w:hAnsi="宋体"/>
          <w:color w:val="auto"/>
          <w:szCs w:val="21"/>
          <w:highlight w:val="none"/>
          <w:u w:val="single"/>
        </w:rPr>
      </w:pPr>
      <w:r>
        <w:rPr>
          <w:rFonts w:hint="eastAsia" w:hAnsi="宋体" w:cs="宋体"/>
          <w:color w:val="auto"/>
          <w:szCs w:val="24"/>
          <w:highlight w:val="none"/>
        </w:rPr>
        <w:t>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（个人CA签章）</w:t>
      </w:r>
      <w:r>
        <w:rPr>
          <w:rFonts w:hint="eastAsia" w:hAnsi="宋体"/>
          <w:color w:val="auto"/>
          <w:highlight w:val="none"/>
        </w:rPr>
        <w:t>：</w:t>
      </w:r>
    </w:p>
    <w:p w14:paraId="62E3F2B0">
      <w:pPr>
        <w:spacing w:line="320" w:lineRule="exact"/>
        <w:jc w:val="left"/>
        <w:rPr>
          <w:rFonts w:hAnsi="宋体"/>
          <w:color w:val="auto"/>
          <w:highlight w:val="none"/>
        </w:rPr>
      </w:pPr>
    </w:p>
    <w:p w14:paraId="3EDD9FB3">
      <w:pPr>
        <w:spacing w:line="320" w:lineRule="exact"/>
        <w:ind w:firstLine="420" w:firstLineChars="200"/>
        <w:jc w:val="left"/>
        <w:rPr>
          <w:rFonts w:ascii="宋体" w:hAnsi="宋体"/>
          <w:color w:val="auto"/>
          <w:szCs w:val="21"/>
          <w:highlight w:val="none"/>
          <w:u w:val="single"/>
        </w:rPr>
      </w:pPr>
      <w:r>
        <w:rPr>
          <w:rFonts w:hint="eastAsia" w:hAnsi="宋体"/>
          <w:color w:val="auto"/>
          <w:highlight w:val="none"/>
        </w:rPr>
        <w:t>日期：</w:t>
      </w:r>
    </w:p>
    <w:p w14:paraId="49028541">
      <w:pPr>
        <w:spacing w:line="360" w:lineRule="exact"/>
        <w:rPr>
          <w:rFonts w:ascii="宋体" w:hAnsi="宋体" w:cs="宋体"/>
          <w:color w:val="auto"/>
          <w:highlight w:val="none"/>
        </w:rPr>
      </w:pPr>
    </w:p>
    <w:p w14:paraId="26944750">
      <w:pPr>
        <w:spacing w:line="400" w:lineRule="exact"/>
        <w:ind w:left="982" w:leftChars="200" w:hanging="562" w:hangingChars="200"/>
        <w:rPr>
          <w:rFonts w:ascii="宋体" w:hAnsi="宋体" w:cs="宋体"/>
          <w:b/>
          <w:color w:val="auto"/>
          <w:sz w:val="24"/>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1.“技术规格偏离表”各项内容必须如实填写。</w:t>
      </w:r>
    </w:p>
    <w:p w14:paraId="3E12A24A">
      <w:pPr>
        <w:spacing w:line="400" w:lineRule="exact"/>
        <w:ind w:left="840" w:leftChars="400" w:firstLine="181" w:firstLineChars="75"/>
        <w:rPr>
          <w:rFonts w:ascii="宋体" w:hAnsi="宋体" w:cs="宋体"/>
          <w:b/>
          <w:color w:val="auto"/>
          <w:sz w:val="24"/>
          <w:highlight w:val="none"/>
        </w:rPr>
      </w:pPr>
      <w:r>
        <w:rPr>
          <w:rFonts w:hint="eastAsia" w:ascii="宋体" w:hAnsi="宋体" w:cs="宋体"/>
          <w:b/>
          <w:color w:val="auto"/>
          <w:sz w:val="24"/>
          <w:highlight w:val="none"/>
        </w:rPr>
        <w:t>2.当本表由多页构成时，需逐页加盖投标人公章（CA签章）（属自然人的须逐页签字或个人CA签章）。</w:t>
      </w:r>
    </w:p>
    <w:p w14:paraId="01926D41">
      <w:pPr>
        <w:pStyle w:val="17"/>
        <w:jc w:val="center"/>
        <w:rPr>
          <w:rFonts w:hAnsi="宋体" w:cs="宋体"/>
          <w:b/>
          <w:color w:val="auto"/>
          <w:sz w:val="32"/>
          <w:highlight w:val="none"/>
        </w:rPr>
      </w:pPr>
    </w:p>
    <w:p w14:paraId="43CBE855">
      <w:pPr>
        <w:pStyle w:val="7"/>
        <w:rPr>
          <w:rFonts w:hAnsi="宋体" w:cs="宋体"/>
          <w:b/>
          <w:color w:val="auto"/>
          <w:sz w:val="32"/>
          <w:highlight w:val="none"/>
        </w:rPr>
      </w:pPr>
    </w:p>
    <w:p w14:paraId="6E129060">
      <w:pPr>
        <w:rPr>
          <w:rFonts w:hAnsi="宋体" w:cs="宋体"/>
          <w:b/>
          <w:color w:val="auto"/>
          <w:sz w:val="32"/>
          <w:highlight w:val="none"/>
        </w:rPr>
      </w:pPr>
    </w:p>
    <w:p w14:paraId="4D5EC75A">
      <w:pPr>
        <w:pStyle w:val="49"/>
        <w:rPr>
          <w:color w:val="auto"/>
          <w:highlight w:val="none"/>
        </w:rPr>
      </w:pPr>
    </w:p>
    <w:p w14:paraId="52F2095E">
      <w:pPr>
        <w:pStyle w:val="17"/>
        <w:jc w:val="center"/>
        <w:rPr>
          <w:rFonts w:hAnsi="宋体" w:cs="宋体"/>
          <w:b/>
          <w:color w:val="auto"/>
          <w:sz w:val="32"/>
          <w:highlight w:val="none"/>
        </w:rPr>
      </w:pPr>
    </w:p>
    <w:p w14:paraId="6FDF6325">
      <w:pPr>
        <w:pStyle w:val="17"/>
        <w:jc w:val="center"/>
        <w:rPr>
          <w:rFonts w:hAnsi="宋体" w:cs="宋体"/>
          <w:b/>
          <w:color w:val="auto"/>
          <w:sz w:val="32"/>
          <w:highlight w:val="none"/>
        </w:rPr>
      </w:pPr>
    </w:p>
    <w:p w14:paraId="018CF6BC">
      <w:pPr>
        <w:pStyle w:val="7"/>
        <w:rPr>
          <w:rFonts w:hAnsi="宋体" w:cs="宋体"/>
          <w:b/>
          <w:color w:val="auto"/>
          <w:sz w:val="32"/>
          <w:highlight w:val="none"/>
        </w:rPr>
      </w:pPr>
    </w:p>
    <w:p w14:paraId="5D3863DA">
      <w:pPr>
        <w:pStyle w:val="14"/>
        <w:rPr>
          <w:color w:val="auto"/>
          <w:highlight w:val="none"/>
        </w:rPr>
      </w:pPr>
    </w:p>
    <w:p w14:paraId="28FDF4E6">
      <w:pPr>
        <w:widowControl/>
        <w:jc w:val="left"/>
        <w:rPr>
          <w:rFonts w:ascii="宋体" w:hAnsi="宋体" w:cs="宋体"/>
          <w:b/>
          <w:bCs/>
          <w:color w:val="auto"/>
          <w:sz w:val="32"/>
          <w:szCs w:val="32"/>
          <w:highlight w:val="none"/>
        </w:rPr>
      </w:pPr>
      <w:bookmarkStart w:id="375" w:name="_Toc15632"/>
      <w:r>
        <w:rPr>
          <w:rFonts w:ascii="宋体" w:hAnsi="宋体" w:cs="宋体"/>
          <w:b/>
          <w:bCs/>
          <w:color w:val="auto"/>
          <w:sz w:val="32"/>
          <w:szCs w:val="32"/>
          <w:highlight w:val="none"/>
        </w:rPr>
        <w:br w:type="page"/>
      </w:r>
    </w:p>
    <w:p w14:paraId="0FB700C1">
      <w:pPr>
        <w:rPr>
          <w:rFonts w:ascii="宋体" w:hAnsi="宋体" w:cs="宋体"/>
          <w:b/>
          <w:bCs/>
          <w:color w:val="auto"/>
          <w:sz w:val="32"/>
          <w:szCs w:val="32"/>
          <w:highlight w:val="none"/>
        </w:rPr>
      </w:pPr>
      <w:r>
        <w:rPr>
          <w:rFonts w:hint="eastAsia" w:ascii="宋体" w:hAnsi="宋体" w:cs="宋体"/>
          <w:b/>
          <w:bCs/>
          <w:color w:val="auto"/>
          <w:sz w:val="32"/>
          <w:szCs w:val="32"/>
          <w:highlight w:val="none"/>
        </w:rPr>
        <w:t>3.商务响应表（格式见附件）（必须提供）</w:t>
      </w:r>
      <w:bookmarkEnd w:id="375"/>
    </w:p>
    <w:p w14:paraId="799B122D">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B08A141">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商务响应表（格式）</w:t>
      </w:r>
    </w:p>
    <w:p w14:paraId="5D8CD18E">
      <w:pPr>
        <w:pStyle w:val="49"/>
        <w:rPr>
          <w:color w:val="auto"/>
          <w:highlight w:val="none"/>
        </w:rPr>
      </w:pPr>
    </w:p>
    <w:tbl>
      <w:tblPr>
        <w:tblStyle w:val="3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3373"/>
        <w:gridCol w:w="2835"/>
        <w:gridCol w:w="2410"/>
      </w:tblGrid>
      <w:tr w14:paraId="2A112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14:paraId="50E8727A">
            <w:pPr>
              <w:snapToGri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项号</w:t>
            </w:r>
          </w:p>
        </w:tc>
        <w:tc>
          <w:tcPr>
            <w:tcW w:w="3373" w:type="dxa"/>
            <w:tcBorders>
              <w:top w:val="single" w:color="auto" w:sz="4" w:space="0"/>
              <w:left w:val="single" w:color="auto" w:sz="4" w:space="0"/>
              <w:bottom w:val="single" w:color="auto" w:sz="4" w:space="0"/>
              <w:right w:val="single" w:color="auto" w:sz="4" w:space="0"/>
            </w:tcBorders>
            <w:shd w:val="clear" w:color="auto" w:fill="8DB3E2"/>
            <w:vAlign w:val="center"/>
          </w:tcPr>
          <w:p w14:paraId="4DEB78E9">
            <w:pPr>
              <w:pStyle w:val="17"/>
              <w:spacing w:line="360" w:lineRule="exact"/>
              <w:jc w:val="center"/>
              <w:rPr>
                <w:rFonts w:hAnsi="宋体" w:cs="宋体"/>
                <w:b/>
                <w:bCs/>
                <w:color w:val="auto"/>
                <w:highlight w:val="none"/>
              </w:rPr>
            </w:pPr>
            <w:r>
              <w:rPr>
                <w:rFonts w:hint="eastAsia" w:hAnsi="宋体" w:cs="宋体"/>
                <w:b/>
                <w:bCs/>
                <w:color w:val="auto"/>
                <w:szCs w:val="24"/>
                <w:highlight w:val="none"/>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14:paraId="78C4FE30">
            <w:pPr>
              <w:pStyle w:val="17"/>
              <w:spacing w:line="360" w:lineRule="exact"/>
              <w:jc w:val="center"/>
              <w:rPr>
                <w:rFonts w:hAnsi="宋体" w:cs="宋体"/>
                <w:b/>
                <w:bCs/>
                <w:color w:val="auto"/>
                <w:highlight w:val="none"/>
              </w:rPr>
            </w:pPr>
            <w:r>
              <w:rPr>
                <w:rFonts w:hint="eastAsia" w:hAnsi="宋体" w:cs="宋体"/>
                <w:b/>
                <w:bCs/>
                <w:color w:val="auto"/>
                <w:szCs w:val="24"/>
                <w:highlight w:val="none"/>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14:paraId="48140561">
            <w:pPr>
              <w:pStyle w:val="17"/>
              <w:spacing w:line="360" w:lineRule="exact"/>
              <w:jc w:val="center"/>
              <w:rPr>
                <w:rFonts w:hAnsi="宋体" w:cs="宋体"/>
                <w:b/>
                <w:bCs/>
                <w:color w:val="auto"/>
                <w:highlight w:val="none"/>
              </w:rPr>
            </w:pPr>
            <w:r>
              <w:rPr>
                <w:rFonts w:hint="eastAsia" w:hAnsi="宋体" w:cs="宋体"/>
                <w:b/>
                <w:bCs/>
                <w:color w:val="auto"/>
                <w:szCs w:val="24"/>
                <w:highlight w:val="none"/>
              </w:rPr>
              <w:t>偏离情况说明</w:t>
            </w:r>
          </w:p>
        </w:tc>
      </w:tr>
      <w:tr w14:paraId="4AC1F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14:paraId="6A450C40">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5781C4B8">
            <w:pPr>
              <w:snapToGrid w:val="0"/>
              <w:spacing w:beforeLines="50"/>
              <w:jc w:val="center"/>
              <w:rPr>
                <w:rFonts w:ascii="宋体" w:hAnsi="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DF6CB27">
            <w:pPr>
              <w:snapToGrid w:val="0"/>
              <w:spacing w:beforeLines="50"/>
              <w:jc w:val="center"/>
              <w:rPr>
                <w:rFonts w:ascii="宋体" w:hAnsi="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4613AC65">
            <w:pPr>
              <w:snapToGrid w:val="0"/>
              <w:spacing w:beforeLines="50"/>
              <w:jc w:val="center"/>
              <w:rPr>
                <w:rFonts w:ascii="宋体" w:hAnsi="宋体" w:cs="宋体"/>
                <w:color w:val="auto"/>
                <w:szCs w:val="21"/>
                <w:highlight w:val="none"/>
              </w:rPr>
            </w:pPr>
          </w:p>
        </w:tc>
      </w:tr>
      <w:tr w14:paraId="12F82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14:paraId="7ECBEF6D">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081AB1BA">
            <w:pPr>
              <w:snapToGrid w:val="0"/>
              <w:spacing w:beforeLines="50"/>
              <w:jc w:val="center"/>
              <w:rPr>
                <w:rFonts w:ascii="宋体" w:hAnsi="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182363DC">
            <w:pPr>
              <w:snapToGrid w:val="0"/>
              <w:spacing w:beforeLines="50"/>
              <w:jc w:val="center"/>
              <w:rPr>
                <w:rFonts w:ascii="宋体" w:hAnsi="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25518962">
            <w:pPr>
              <w:snapToGrid w:val="0"/>
              <w:spacing w:beforeLines="50"/>
              <w:jc w:val="center"/>
              <w:rPr>
                <w:rFonts w:ascii="宋体" w:hAnsi="宋体" w:cs="宋体"/>
                <w:color w:val="auto"/>
                <w:szCs w:val="21"/>
                <w:highlight w:val="none"/>
              </w:rPr>
            </w:pPr>
          </w:p>
        </w:tc>
      </w:tr>
      <w:tr w14:paraId="367CA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14:paraId="46255E4B">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06D405D1">
            <w:pPr>
              <w:snapToGrid w:val="0"/>
              <w:spacing w:beforeLines="50"/>
              <w:jc w:val="center"/>
              <w:rPr>
                <w:rFonts w:ascii="宋体" w:hAnsi="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1D236E90">
            <w:pPr>
              <w:snapToGrid w:val="0"/>
              <w:spacing w:beforeLines="50"/>
              <w:ind w:left="43"/>
              <w:jc w:val="center"/>
              <w:rPr>
                <w:rFonts w:ascii="宋体" w:hAnsi="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435B5C46">
            <w:pPr>
              <w:snapToGrid w:val="0"/>
              <w:spacing w:beforeLines="50"/>
              <w:ind w:left="43"/>
              <w:jc w:val="center"/>
              <w:rPr>
                <w:rFonts w:ascii="宋体" w:hAnsi="宋体" w:cs="宋体"/>
                <w:color w:val="auto"/>
                <w:szCs w:val="21"/>
                <w:highlight w:val="none"/>
              </w:rPr>
            </w:pPr>
          </w:p>
        </w:tc>
      </w:tr>
      <w:tr w14:paraId="2B170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14:paraId="36AC3C91">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5BC0CC0B">
            <w:pPr>
              <w:snapToGrid w:val="0"/>
              <w:spacing w:beforeLines="50"/>
              <w:jc w:val="center"/>
              <w:rPr>
                <w:rFonts w:ascii="宋体" w:hAnsi="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31392471">
            <w:pPr>
              <w:snapToGrid w:val="0"/>
              <w:spacing w:beforeLines="50"/>
              <w:jc w:val="center"/>
              <w:rPr>
                <w:rFonts w:ascii="宋体" w:hAnsi="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22FFF78A">
            <w:pPr>
              <w:snapToGrid w:val="0"/>
              <w:spacing w:beforeLines="50"/>
              <w:jc w:val="center"/>
              <w:rPr>
                <w:rFonts w:ascii="宋体" w:hAnsi="宋体" w:cs="宋体"/>
                <w:color w:val="auto"/>
                <w:szCs w:val="21"/>
                <w:highlight w:val="none"/>
              </w:rPr>
            </w:pPr>
          </w:p>
        </w:tc>
      </w:tr>
      <w:tr w14:paraId="1CC70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14:paraId="1C09B914">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41D640A8">
            <w:pPr>
              <w:snapToGrid w:val="0"/>
              <w:spacing w:beforeLines="50"/>
              <w:jc w:val="center"/>
              <w:rPr>
                <w:rFonts w:ascii="宋体" w:hAnsi="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0246B058">
            <w:pPr>
              <w:snapToGrid w:val="0"/>
              <w:spacing w:beforeLines="50"/>
              <w:jc w:val="center"/>
              <w:rPr>
                <w:rFonts w:ascii="宋体" w:hAnsi="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284D4731">
            <w:pPr>
              <w:snapToGrid w:val="0"/>
              <w:spacing w:beforeLines="50"/>
              <w:jc w:val="center"/>
              <w:rPr>
                <w:rFonts w:ascii="宋体" w:hAnsi="宋体" w:cs="宋体"/>
                <w:color w:val="auto"/>
                <w:szCs w:val="21"/>
                <w:highlight w:val="none"/>
              </w:rPr>
            </w:pPr>
          </w:p>
        </w:tc>
      </w:tr>
      <w:tr w14:paraId="4F341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14:paraId="0802FCA5">
            <w:pPr>
              <w:snapToGrid w:val="0"/>
              <w:spacing w:before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3373" w:type="dxa"/>
            <w:tcBorders>
              <w:top w:val="single" w:color="auto" w:sz="4" w:space="0"/>
              <w:left w:val="single" w:color="auto" w:sz="4" w:space="0"/>
              <w:bottom w:val="single" w:color="auto" w:sz="4" w:space="0"/>
              <w:right w:val="single" w:color="auto" w:sz="4" w:space="0"/>
            </w:tcBorders>
            <w:vAlign w:val="center"/>
          </w:tcPr>
          <w:p w14:paraId="3850F5F7">
            <w:pPr>
              <w:snapToGrid w:val="0"/>
              <w:spacing w:beforeLines="50"/>
              <w:jc w:val="center"/>
              <w:rPr>
                <w:rFonts w:ascii="宋体" w:hAnsi="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4A2EF1B8">
            <w:pPr>
              <w:snapToGrid w:val="0"/>
              <w:spacing w:beforeLines="50"/>
              <w:jc w:val="center"/>
              <w:rPr>
                <w:rFonts w:ascii="宋体" w:hAnsi="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437BA059">
            <w:pPr>
              <w:snapToGrid w:val="0"/>
              <w:spacing w:beforeLines="50"/>
              <w:jc w:val="center"/>
              <w:rPr>
                <w:rFonts w:ascii="宋体" w:hAnsi="宋体" w:cs="宋体"/>
                <w:color w:val="auto"/>
                <w:szCs w:val="21"/>
                <w:highlight w:val="none"/>
              </w:rPr>
            </w:pPr>
          </w:p>
        </w:tc>
      </w:tr>
    </w:tbl>
    <w:p w14:paraId="43D73C67">
      <w:pPr>
        <w:snapToGrid w:val="0"/>
        <w:spacing w:before="50" w:after="50"/>
        <w:rPr>
          <w:rFonts w:ascii="宋体" w:hAnsi="宋体" w:cs="宋体"/>
          <w:color w:val="auto"/>
          <w:highlight w:val="none"/>
        </w:rPr>
      </w:pPr>
      <w:r>
        <w:rPr>
          <w:rFonts w:hint="eastAsia" w:ascii="宋体" w:hAnsi="宋体" w:cs="宋体"/>
          <w:color w:val="auto"/>
          <w:highlight w:val="none"/>
        </w:rPr>
        <w:t>注：投标人应对照招标文件中商务要求的内容逐条响应，并在“偏离情况说明”栏注明“正偏离”、“负偏离”或“无偏离”。</w:t>
      </w:r>
    </w:p>
    <w:p w14:paraId="1AF2E5DE">
      <w:pPr>
        <w:snapToGrid w:val="0"/>
        <w:spacing w:before="50" w:after="50"/>
        <w:rPr>
          <w:rFonts w:ascii="宋体" w:hAnsi="宋体" w:cs="宋体"/>
          <w:color w:val="auto"/>
          <w:spacing w:val="20"/>
          <w:sz w:val="24"/>
          <w:highlight w:val="none"/>
        </w:rPr>
      </w:pPr>
    </w:p>
    <w:p w14:paraId="78B9229D">
      <w:pPr>
        <w:snapToGrid w:val="0"/>
        <w:spacing w:line="320" w:lineRule="exact"/>
        <w:ind w:firstLine="420" w:firstLineChars="200"/>
        <w:jc w:val="left"/>
        <w:outlineLvl w:val="4"/>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s="宋体"/>
          <w:color w:val="auto"/>
          <w:szCs w:val="21"/>
          <w:highlight w:val="none"/>
        </w:rPr>
        <w:t xml:space="preserve"> (</w:t>
      </w:r>
      <w:r>
        <w:rPr>
          <w:rFonts w:hint="eastAsia" w:ascii="宋体" w:hAnsi="宋体"/>
          <w:color w:val="auto"/>
          <w:szCs w:val="21"/>
          <w:highlight w:val="none"/>
        </w:rPr>
        <w:t>CA签章</w:t>
      </w:r>
      <w:r>
        <w:rPr>
          <w:rFonts w:hint="eastAsia" w:ascii="宋体" w:hAnsi="宋体" w:cs="宋体"/>
          <w:color w:val="auto"/>
          <w:szCs w:val="21"/>
          <w:highlight w:val="none"/>
        </w:rPr>
        <w:t>，自然人除外)</w:t>
      </w:r>
      <w:r>
        <w:rPr>
          <w:rFonts w:hint="eastAsia" w:ascii="宋体" w:hAnsi="宋体"/>
          <w:color w:val="auto"/>
          <w:szCs w:val="21"/>
          <w:highlight w:val="none"/>
        </w:rPr>
        <w:t>：</w:t>
      </w:r>
    </w:p>
    <w:p w14:paraId="70B59B3C">
      <w:pPr>
        <w:pStyle w:val="17"/>
        <w:spacing w:line="320" w:lineRule="exact"/>
        <w:ind w:firstLine="420"/>
        <w:jc w:val="left"/>
        <w:rPr>
          <w:rFonts w:hAnsi="宋体" w:cs="宋体"/>
          <w:color w:val="auto"/>
          <w:szCs w:val="24"/>
          <w:highlight w:val="none"/>
        </w:rPr>
      </w:pPr>
    </w:p>
    <w:p w14:paraId="49B8D2F7">
      <w:pPr>
        <w:pStyle w:val="17"/>
        <w:spacing w:line="320" w:lineRule="exact"/>
        <w:ind w:firstLine="420"/>
        <w:jc w:val="left"/>
        <w:rPr>
          <w:rFonts w:hAnsi="宋体"/>
          <w:color w:val="auto"/>
          <w:szCs w:val="21"/>
          <w:highlight w:val="none"/>
          <w:u w:val="single"/>
        </w:rPr>
      </w:pPr>
      <w:r>
        <w:rPr>
          <w:rFonts w:hint="eastAsia" w:hAnsi="宋体" w:cs="宋体"/>
          <w:color w:val="auto"/>
          <w:szCs w:val="24"/>
          <w:highlight w:val="none"/>
        </w:rPr>
        <w:t>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（个人CA签章）</w:t>
      </w:r>
      <w:r>
        <w:rPr>
          <w:rFonts w:hint="eastAsia" w:hAnsi="宋体"/>
          <w:color w:val="auto"/>
          <w:highlight w:val="none"/>
        </w:rPr>
        <w:t>：</w:t>
      </w:r>
    </w:p>
    <w:p w14:paraId="60B9F4D3">
      <w:pPr>
        <w:spacing w:line="320" w:lineRule="exact"/>
        <w:jc w:val="left"/>
        <w:rPr>
          <w:rFonts w:hAnsi="宋体"/>
          <w:color w:val="auto"/>
          <w:highlight w:val="none"/>
        </w:rPr>
      </w:pPr>
    </w:p>
    <w:p w14:paraId="31000C7D">
      <w:pPr>
        <w:spacing w:line="320" w:lineRule="exact"/>
        <w:ind w:firstLine="420" w:firstLineChars="200"/>
        <w:jc w:val="left"/>
        <w:rPr>
          <w:rFonts w:ascii="宋体" w:hAnsi="宋体"/>
          <w:color w:val="auto"/>
          <w:szCs w:val="21"/>
          <w:highlight w:val="none"/>
          <w:u w:val="single"/>
        </w:rPr>
      </w:pPr>
      <w:r>
        <w:rPr>
          <w:rFonts w:hint="eastAsia" w:hAnsi="宋体"/>
          <w:color w:val="auto"/>
          <w:highlight w:val="none"/>
        </w:rPr>
        <w:t>日期：</w:t>
      </w:r>
    </w:p>
    <w:p w14:paraId="20F53A16">
      <w:pPr>
        <w:ind w:firstLine="1890" w:firstLineChars="900"/>
        <w:rPr>
          <w:rFonts w:ascii="宋体" w:hAnsi="宋体" w:cs="宋体"/>
          <w:color w:val="auto"/>
          <w:highlight w:val="none"/>
          <w:u w:val="single"/>
        </w:rPr>
      </w:pPr>
    </w:p>
    <w:p w14:paraId="3C088577">
      <w:pPr>
        <w:ind w:firstLine="1890" w:firstLineChars="900"/>
        <w:rPr>
          <w:rFonts w:ascii="宋体" w:hAnsi="宋体" w:cs="宋体"/>
          <w:color w:val="auto"/>
          <w:highlight w:val="none"/>
          <w:u w:val="single"/>
        </w:rPr>
      </w:pPr>
    </w:p>
    <w:p w14:paraId="253E2D7F">
      <w:pPr>
        <w:spacing w:line="400" w:lineRule="exact"/>
        <w:ind w:left="982" w:leftChars="200" w:hanging="562" w:hangingChars="200"/>
        <w:rPr>
          <w:rFonts w:ascii="宋体" w:hAnsi="宋体" w:cs="宋体"/>
          <w:b/>
          <w:bCs/>
          <w:color w:val="auto"/>
          <w:sz w:val="28"/>
          <w:szCs w:val="28"/>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1.“商务响应表”各项内容必须如实填写。</w:t>
      </w:r>
    </w:p>
    <w:p w14:paraId="3BB49F93">
      <w:pPr>
        <w:spacing w:line="400" w:lineRule="exact"/>
        <w:ind w:firstLine="964" w:firstLineChars="400"/>
        <w:rPr>
          <w:rFonts w:ascii="宋体" w:hAnsi="宋体" w:cs="宋体"/>
          <w:b/>
          <w:bCs/>
          <w:color w:val="auto"/>
          <w:sz w:val="28"/>
          <w:szCs w:val="28"/>
          <w:highlight w:val="none"/>
        </w:rPr>
      </w:pPr>
      <w:r>
        <w:rPr>
          <w:rFonts w:hint="eastAsia" w:ascii="宋体" w:hAnsi="宋体" w:cs="宋体"/>
          <w:b/>
          <w:color w:val="auto"/>
          <w:sz w:val="24"/>
          <w:highlight w:val="none"/>
        </w:rPr>
        <w:t>2.当本表由多页构成时，需逐页加盖投标人公章（CA签章）（属自然人的须逐页签字或个人CA签章）。</w:t>
      </w:r>
    </w:p>
    <w:p w14:paraId="273730EE">
      <w:pPr>
        <w:pStyle w:val="14"/>
        <w:rPr>
          <w:color w:val="auto"/>
          <w:highlight w:val="none"/>
        </w:rPr>
      </w:pPr>
    </w:p>
    <w:p w14:paraId="132C4A8B">
      <w:pPr>
        <w:pStyle w:val="14"/>
        <w:rPr>
          <w:color w:val="auto"/>
          <w:highlight w:val="none"/>
        </w:rPr>
      </w:pPr>
    </w:p>
    <w:p w14:paraId="7B71097A">
      <w:pPr>
        <w:pStyle w:val="14"/>
        <w:rPr>
          <w:color w:val="auto"/>
          <w:highlight w:val="none"/>
        </w:rPr>
      </w:pPr>
    </w:p>
    <w:p w14:paraId="0270E91E">
      <w:pPr>
        <w:pStyle w:val="14"/>
        <w:rPr>
          <w:color w:val="auto"/>
          <w:highlight w:val="none"/>
        </w:rPr>
      </w:pPr>
    </w:p>
    <w:p w14:paraId="11D11424">
      <w:pPr>
        <w:rPr>
          <w:rFonts w:ascii="宋体" w:hAnsi="宋体" w:cs="宋体"/>
          <w:b/>
          <w:bCs/>
          <w:color w:val="auto"/>
          <w:sz w:val="32"/>
          <w:szCs w:val="32"/>
          <w:highlight w:val="none"/>
        </w:rPr>
      </w:pPr>
      <w:bookmarkStart w:id="376" w:name="_Toc495841796"/>
      <w:bookmarkStart w:id="377" w:name="_Toc18341"/>
      <w:r>
        <w:rPr>
          <w:rFonts w:hint="eastAsia" w:ascii="宋体" w:hAnsi="宋体" w:cs="宋体"/>
          <w:b/>
          <w:bCs/>
          <w:color w:val="auto"/>
          <w:sz w:val="32"/>
          <w:szCs w:val="32"/>
          <w:highlight w:val="none"/>
        </w:rPr>
        <w:t>4.“货物采购需求”需提供的有效证明文件（如有，按其要求提供）：</w:t>
      </w:r>
      <w:bookmarkEnd w:id="376"/>
      <w:bookmarkEnd w:id="377"/>
    </w:p>
    <w:p w14:paraId="069B2925">
      <w:pPr>
        <w:rPr>
          <w:rFonts w:ascii="宋体" w:hAnsi="宋体" w:cs="宋体"/>
          <w:b/>
          <w:bCs/>
          <w:color w:val="auto"/>
          <w:sz w:val="32"/>
          <w:szCs w:val="32"/>
          <w:highlight w:val="none"/>
        </w:rPr>
      </w:pPr>
    </w:p>
    <w:p w14:paraId="3AFA167B">
      <w:pPr>
        <w:rPr>
          <w:rFonts w:ascii="宋体" w:hAnsi="宋体" w:cs="宋体"/>
          <w:b/>
          <w:bCs/>
          <w:color w:val="auto"/>
          <w:sz w:val="32"/>
          <w:szCs w:val="32"/>
          <w:highlight w:val="none"/>
        </w:rPr>
      </w:pPr>
    </w:p>
    <w:p w14:paraId="3D6DA093">
      <w:pPr>
        <w:rPr>
          <w:rFonts w:ascii="宋体" w:hAnsi="宋体" w:cs="宋体"/>
          <w:b/>
          <w:bCs/>
          <w:color w:val="auto"/>
          <w:sz w:val="32"/>
          <w:szCs w:val="32"/>
          <w:highlight w:val="none"/>
        </w:rPr>
      </w:pPr>
    </w:p>
    <w:p w14:paraId="5A7C9195">
      <w:pPr>
        <w:rPr>
          <w:rFonts w:ascii="宋体" w:hAnsi="宋体" w:cs="宋体"/>
          <w:b/>
          <w:bCs/>
          <w:color w:val="auto"/>
          <w:sz w:val="32"/>
          <w:szCs w:val="32"/>
          <w:highlight w:val="none"/>
        </w:rPr>
      </w:pPr>
    </w:p>
    <w:p w14:paraId="6F9A05F1">
      <w:pPr>
        <w:rPr>
          <w:rFonts w:ascii="宋体" w:hAnsi="宋体" w:cs="宋体"/>
          <w:b/>
          <w:bCs/>
          <w:color w:val="auto"/>
          <w:sz w:val="32"/>
          <w:szCs w:val="32"/>
          <w:highlight w:val="none"/>
        </w:rPr>
      </w:pPr>
      <w:bookmarkStart w:id="378" w:name="_Toc12988"/>
      <w:bookmarkStart w:id="379" w:name="_Toc495841797"/>
    </w:p>
    <w:p w14:paraId="74A759C7">
      <w:pPr>
        <w:rPr>
          <w:rFonts w:ascii="宋体" w:hAnsi="宋体" w:cs="宋体"/>
          <w:b/>
          <w:bCs/>
          <w:color w:val="auto"/>
          <w:sz w:val="32"/>
          <w:szCs w:val="32"/>
          <w:highlight w:val="none"/>
        </w:rPr>
      </w:pPr>
    </w:p>
    <w:p w14:paraId="70B78882">
      <w:pPr>
        <w:rPr>
          <w:rFonts w:ascii="宋体" w:hAnsi="宋体" w:cs="宋体"/>
          <w:b/>
          <w:bCs/>
          <w:color w:val="auto"/>
          <w:sz w:val="32"/>
          <w:szCs w:val="32"/>
          <w:highlight w:val="none"/>
        </w:rPr>
      </w:pPr>
    </w:p>
    <w:p w14:paraId="345CDAAF">
      <w:pPr>
        <w:rPr>
          <w:rFonts w:ascii="宋体" w:hAnsi="宋体" w:cs="宋体"/>
          <w:b/>
          <w:bCs/>
          <w:color w:val="auto"/>
          <w:sz w:val="32"/>
          <w:szCs w:val="32"/>
          <w:highlight w:val="none"/>
        </w:rPr>
      </w:pPr>
      <w:r>
        <w:rPr>
          <w:rFonts w:hint="eastAsia" w:ascii="宋体" w:hAnsi="宋体" w:cs="宋体"/>
          <w:b/>
          <w:bCs/>
          <w:color w:val="auto"/>
          <w:sz w:val="32"/>
          <w:szCs w:val="32"/>
          <w:highlight w:val="none"/>
        </w:rPr>
        <w:t>5.投标人的售后服务承诺方案（由供应商根据本项目采购需求、特点及供应商自身的处理能力自行编写）（必须提供）</w:t>
      </w:r>
      <w:bookmarkEnd w:id="378"/>
      <w:bookmarkEnd w:id="379"/>
    </w:p>
    <w:p w14:paraId="29BFD74F">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5EE9860">
      <w:pPr>
        <w:ind w:firstLine="472" w:firstLineChars="147"/>
        <w:jc w:val="center"/>
        <w:rPr>
          <w:rFonts w:ascii="宋体" w:hAnsi="宋体" w:cs="宋体"/>
          <w:b/>
          <w:bCs/>
          <w:color w:val="auto"/>
          <w:sz w:val="32"/>
          <w:szCs w:val="32"/>
          <w:highlight w:val="none"/>
        </w:rPr>
      </w:pPr>
    </w:p>
    <w:p w14:paraId="7AE59420">
      <w:pPr>
        <w:pStyle w:val="14"/>
        <w:rPr>
          <w:rFonts w:ascii="宋体" w:hAnsi="宋体" w:cs="宋体"/>
          <w:b/>
          <w:bCs/>
          <w:color w:val="auto"/>
          <w:sz w:val="32"/>
          <w:szCs w:val="32"/>
          <w:highlight w:val="none"/>
        </w:rPr>
      </w:pPr>
    </w:p>
    <w:p w14:paraId="6758D166">
      <w:pPr>
        <w:ind w:firstLine="472" w:firstLineChars="147"/>
        <w:jc w:val="center"/>
        <w:rPr>
          <w:rFonts w:ascii="宋体" w:hAnsi="宋体" w:cs="宋体"/>
          <w:b/>
          <w:bCs/>
          <w:color w:val="auto"/>
          <w:sz w:val="32"/>
          <w:highlight w:val="none"/>
        </w:rPr>
      </w:pPr>
      <w:r>
        <w:rPr>
          <w:rFonts w:hint="eastAsia" w:ascii="宋体" w:hAnsi="宋体" w:cs="宋体"/>
          <w:b/>
          <w:bCs/>
          <w:color w:val="auto"/>
          <w:sz w:val="32"/>
          <w:szCs w:val="32"/>
          <w:highlight w:val="none"/>
        </w:rPr>
        <w:t>售后服务承诺方案</w:t>
      </w:r>
      <w:r>
        <w:rPr>
          <w:rFonts w:hint="eastAsia" w:ascii="宋体" w:hAnsi="宋体" w:cs="宋体"/>
          <w:b/>
          <w:bCs/>
          <w:color w:val="auto"/>
          <w:sz w:val="32"/>
          <w:highlight w:val="none"/>
        </w:rPr>
        <w:t>（格式）</w:t>
      </w:r>
    </w:p>
    <w:p w14:paraId="4D2912A6">
      <w:pPr>
        <w:spacing w:line="400" w:lineRule="exact"/>
        <w:rPr>
          <w:rFonts w:ascii="宋体" w:hAnsi="宋体" w:cs="宋体"/>
          <w:color w:val="auto"/>
          <w:sz w:val="32"/>
          <w:szCs w:val="32"/>
          <w:highlight w:val="none"/>
        </w:rPr>
      </w:pPr>
    </w:p>
    <w:p w14:paraId="1C421493">
      <w:pPr>
        <w:spacing w:line="400" w:lineRule="exact"/>
        <w:rPr>
          <w:rFonts w:ascii="宋体" w:hAnsi="宋体" w:cs="宋体"/>
          <w:color w:val="auto"/>
          <w:sz w:val="32"/>
          <w:szCs w:val="32"/>
          <w:highlight w:val="none"/>
        </w:rPr>
      </w:pPr>
    </w:p>
    <w:p w14:paraId="23C6B0E6">
      <w:pPr>
        <w:spacing w:line="400" w:lineRule="exact"/>
        <w:rPr>
          <w:rFonts w:ascii="宋体" w:hAnsi="宋体" w:cs="宋体"/>
          <w:color w:val="auto"/>
          <w:sz w:val="32"/>
          <w:szCs w:val="32"/>
          <w:highlight w:val="none"/>
        </w:rPr>
      </w:pPr>
    </w:p>
    <w:p w14:paraId="4C82D2D1">
      <w:pPr>
        <w:spacing w:line="400" w:lineRule="exact"/>
        <w:rPr>
          <w:rFonts w:ascii="宋体" w:hAnsi="宋体" w:cs="宋体"/>
          <w:color w:val="auto"/>
          <w:sz w:val="32"/>
          <w:szCs w:val="32"/>
          <w:highlight w:val="none"/>
        </w:rPr>
      </w:pPr>
    </w:p>
    <w:p w14:paraId="7DD323AB">
      <w:pPr>
        <w:spacing w:line="400" w:lineRule="exact"/>
        <w:rPr>
          <w:rFonts w:ascii="宋体" w:hAnsi="宋体" w:cs="宋体"/>
          <w:color w:val="auto"/>
          <w:sz w:val="32"/>
          <w:szCs w:val="32"/>
          <w:highlight w:val="none"/>
        </w:rPr>
      </w:pPr>
    </w:p>
    <w:p w14:paraId="1EA27BB1">
      <w:pPr>
        <w:snapToGrid w:val="0"/>
        <w:spacing w:line="320" w:lineRule="exact"/>
        <w:ind w:firstLine="420" w:firstLineChars="200"/>
        <w:jc w:val="left"/>
        <w:outlineLvl w:val="4"/>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s="宋体"/>
          <w:color w:val="auto"/>
          <w:szCs w:val="21"/>
          <w:highlight w:val="none"/>
        </w:rPr>
        <w:t xml:space="preserve"> (</w:t>
      </w:r>
      <w:r>
        <w:rPr>
          <w:rFonts w:hint="eastAsia" w:ascii="宋体" w:hAnsi="宋体"/>
          <w:color w:val="auto"/>
          <w:szCs w:val="21"/>
          <w:highlight w:val="none"/>
        </w:rPr>
        <w:t>CA签章</w:t>
      </w:r>
      <w:r>
        <w:rPr>
          <w:rFonts w:hint="eastAsia" w:ascii="宋体" w:hAnsi="宋体" w:cs="宋体"/>
          <w:color w:val="auto"/>
          <w:szCs w:val="21"/>
          <w:highlight w:val="none"/>
        </w:rPr>
        <w:t>，自然人除外)</w:t>
      </w:r>
      <w:r>
        <w:rPr>
          <w:rFonts w:hint="eastAsia" w:ascii="宋体" w:hAnsi="宋体"/>
          <w:color w:val="auto"/>
          <w:szCs w:val="21"/>
          <w:highlight w:val="none"/>
        </w:rPr>
        <w:t>：</w:t>
      </w:r>
    </w:p>
    <w:p w14:paraId="0DEDB322">
      <w:pPr>
        <w:pStyle w:val="17"/>
        <w:spacing w:line="320" w:lineRule="exact"/>
        <w:ind w:firstLine="420"/>
        <w:jc w:val="left"/>
        <w:rPr>
          <w:rFonts w:hAnsi="宋体" w:cs="宋体"/>
          <w:color w:val="auto"/>
          <w:szCs w:val="24"/>
          <w:highlight w:val="none"/>
        </w:rPr>
      </w:pPr>
    </w:p>
    <w:p w14:paraId="074E0A8C">
      <w:pPr>
        <w:pStyle w:val="17"/>
        <w:spacing w:line="320" w:lineRule="exact"/>
        <w:ind w:firstLine="420"/>
        <w:jc w:val="left"/>
        <w:rPr>
          <w:rFonts w:hAnsi="宋体"/>
          <w:color w:val="auto"/>
          <w:szCs w:val="21"/>
          <w:highlight w:val="none"/>
          <w:u w:val="single"/>
        </w:rPr>
      </w:pPr>
      <w:r>
        <w:rPr>
          <w:rFonts w:hint="eastAsia" w:hAnsi="宋体" w:cs="宋体"/>
          <w:color w:val="auto"/>
          <w:szCs w:val="24"/>
          <w:highlight w:val="none"/>
        </w:rPr>
        <w:t>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（个人CA签章）</w:t>
      </w:r>
      <w:r>
        <w:rPr>
          <w:rFonts w:hint="eastAsia" w:hAnsi="宋体"/>
          <w:color w:val="auto"/>
          <w:highlight w:val="none"/>
        </w:rPr>
        <w:t>：</w:t>
      </w:r>
    </w:p>
    <w:p w14:paraId="6F079993">
      <w:pPr>
        <w:spacing w:line="320" w:lineRule="exact"/>
        <w:jc w:val="left"/>
        <w:rPr>
          <w:rFonts w:hAnsi="宋体"/>
          <w:color w:val="auto"/>
          <w:highlight w:val="none"/>
        </w:rPr>
      </w:pPr>
    </w:p>
    <w:p w14:paraId="3330E535">
      <w:pPr>
        <w:spacing w:line="320" w:lineRule="exact"/>
        <w:ind w:firstLine="420" w:firstLineChars="200"/>
        <w:jc w:val="left"/>
        <w:rPr>
          <w:rFonts w:ascii="宋体" w:hAnsi="宋体"/>
          <w:color w:val="auto"/>
          <w:szCs w:val="21"/>
          <w:highlight w:val="none"/>
          <w:u w:val="single"/>
        </w:rPr>
      </w:pPr>
      <w:r>
        <w:rPr>
          <w:rFonts w:hint="eastAsia" w:hAnsi="宋体"/>
          <w:color w:val="auto"/>
          <w:highlight w:val="none"/>
        </w:rPr>
        <w:t>日期：</w:t>
      </w:r>
    </w:p>
    <w:p w14:paraId="26A3CADE">
      <w:pPr>
        <w:pStyle w:val="14"/>
        <w:rPr>
          <w:color w:val="auto"/>
          <w:highlight w:val="none"/>
        </w:rPr>
      </w:pPr>
    </w:p>
    <w:p w14:paraId="5C0A84F1">
      <w:pPr>
        <w:rPr>
          <w:rFonts w:ascii="宋体" w:hAnsi="宋体" w:cs="宋体"/>
          <w:b/>
          <w:bCs/>
          <w:color w:val="auto"/>
          <w:sz w:val="32"/>
          <w:szCs w:val="32"/>
          <w:highlight w:val="none"/>
        </w:rPr>
      </w:pPr>
    </w:p>
    <w:p w14:paraId="45BC6BFE">
      <w:pPr>
        <w:rPr>
          <w:rFonts w:ascii="宋体" w:hAnsi="宋体" w:cs="宋体"/>
          <w:b/>
          <w:bCs/>
          <w:color w:val="auto"/>
          <w:sz w:val="32"/>
          <w:szCs w:val="32"/>
          <w:highlight w:val="none"/>
        </w:rPr>
      </w:pPr>
    </w:p>
    <w:p w14:paraId="4B21343D">
      <w:pPr>
        <w:rPr>
          <w:rFonts w:ascii="宋体" w:hAnsi="宋体" w:cs="宋体"/>
          <w:b/>
          <w:bCs/>
          <w:color w:val="auto"/>
          <w:sz w:val="32"/>
          <w:szCs w:val="32"/>
          <w:highlight w:val="none"/>
        </w:rPr>
      </w:pPr>
    </w:p>
    <w:p w14:paraId="5CDD1F34">
      <w:pPr>
        <w:rPr>
          <w:rFonts w:ascii="宋体" w:hAnsi="宋体" w:cs="宋体"/>
          <w:b/>
          <w:bCs/>
          <w:color w:val="auto"/>
          <w:sz w:val="32"/>
          <w:szCs w:val="32"/>
          <w:highlight w:val="none"/>
        </w:rPr>
      </w:pPr>
    </w:p>
    <w:p w14:paraId="6C4A30B2">
      <w:pPr>
        <w:rPr>
          <w:rFonts w:ascii="宋体" w:hAnsi="宋体" w:cs="宋体"/>
          <w:b/>
          <w:bCs/>
          <w:color w:val="auto"/>
          <w:sz w:val="32"/>
          <w:szCs w:val="32"/>
          <w:highlight w:val="none"/>
        </w:rPr>
      </w:pPr>
    </w:p>
    <w:p w14:paraId="5B5F5B08">
      <w:pPr>
        <w:rPr>
          <w:rFonts w:ascii="宋体" w:hAnsi="宋体" w:cs="宋体"/>
          <w:b/>
          <w:bCs/>
          <w:color w:val="auto"/>
          <w:sz w:val="32"/>
          <w:szCs w:val="32"/>
          <w:highlight w:val="none"/>
        </w:rPr>
      </w:pPr>
    </w:p>
    <w:p w14:paraId="765DA125">
      <w:pPr>
        <w:rPr>
          <w:rFonts w:ascii="宋体" w:hAnsi="宋体" w:cs="宋体"/>
          <w:b/>
          <w:bCs/>
          <w:color w:val="auto"/>
          <w:sz w:val="32"/>
          <w:szCs w:val="32"/>
          <w:highlight w:val="none"/>
        </w:rPr>
      </w:pPr>
    </w:p>
    <w:p w14:paraId="09B548E5">
      <w:pPr>
        <w:rPr>
          <w:rFonts w:ascii="宋体" w:hAnsi="宋体" w:cs="宋体"/>
          <w:b/>
          <w:bCs/>
          <w:color w:val="auto"/>
          <w:sz w:val="32"/>
          <w:szCs w:val="32"/>
          <w:highlight w:val="none"/>
        </w:rPr>
      </w:pPr>
    </w:p>
    <w:p w14:paraId="43F931EE">
      <w:pPr>
        <w:rPr>
          <w:rFonts w:ascii="宋体" w:hAnsi="宋体" w:cs="宋体"/>
          <w:b/>
          <w:bCs/>
          <w:color w:val="auto"/>
          <w:sz w:val="32"/>
          <w:szCs w:val="32"/>
          <w:highlight w:val="none"/>
        </w:rPr>
      </w:pPr>
    </w:p>
    <w:p w14:paraId="07861CD7">
      <w:pPr>
        <w:rPr>
          <w:rFonts w:ascii="宋体" w:hAnsi="宋体" w:cs="宋体"/>
          <w:b/>
          <w:bCs/>
          <w:color w:val="auto"/>
          <w:sz w:val="32"/>
          <w:szCs w:val="32"/>
          <w:highlight w:val="none"/>
        </w:rPr>
      </w:pPr>
    </w:p>
    <w:p w14:paraId="54A44F04">
      <w:pPr>
        <w:rPr>
          <w:rFonts w:ascii="宋体" w:hAnsi="宋体" w:cs="宋体"/>
          <w:b/>
          <w:bCs/>
          <w:color w:val="auto"/>
          <w:sz w:val="32"/>
          <w:szCs w:val="32"/>
          <w:highlight w:val="none"/>
        </w:rPr>
      </w:pPr>
    </w:p>
    <w:p w14:paraId="61CCD2B0">
      <w:pPr>
        <w:rPr>
          <w:rFonts w:ascii="宋体" w:hAnsi="宋体" w:cs="宋体"/>
          <w:b/>
          <w:bCs/>
          <w:color w:val="auto"/>
          <w:sz w:val="32"/>
          <w:szCs w:val="32"/>
          <w:highlight w:val="none"/>
        </w:rPr>
      </w:pPr>
    </w:p>
    <w:p w14:paraId="71AF32D0">
      <w:pPr>
        <w:rPr>
          <w:rFonts w:ascii="宋体" w:hAnsi="宋体" w:cs="宋体"/>
          <w:b/>
          <w:bCs/>
          <w:color w:val="auto"/>
          <w:sz w:val="32"/>
          <w:szCs w:val="32"/>
          <w:highlight w:val="none"/>
        </w:rPr>
      </w:pPr>
    </w:p>
    <w:p w14:paraId="534FF4B7">
      <w:pPr>
        <w:rPr>
          <w:rFonts w:ascii="宋体" w:hAnsi="宋体" w:cs="宋体"/>
          <w:b/>
          <w:bCs/>
          <w:color w:val="auto"/>
          <w:sz w:val="32"/>
          <w:szCs w:val="32"/>
          <w:highlight w:val="none"/>
        </w:rPr>
      </w:pPr>
    </w:p>
    <w:p w14:paraId="0F220352">
      <w:pPr>
        <w:rPr>
          <w:rFonts w:ascii="宋体" w:hAnsi="宋体" w:cs="宋体"/>
          <w:b/>
          <w:bCs/>
          <w:color w:val="auto"/>
          <w:sz w:val="32"/>
          <w:szCs w:val="32"/>
          <w:highlight w:val="none"/>
        </w:rPr>
      </w:pPr>
    </w:p>
    <w:p w14:paraId="6266AE23">
      <w:pPr>
        <w:rPr>
          <w:rFonts w:ascii="宋体" w:hAnsi="宋体" w:cs="宋体"/>
          <w:b/>
          <w:bCs/>
          <w:color w:val="auto"/>
          <w:sz w:val="32"/>
          <w:szCs w:val="32"/>
          <w:highlight w:val="none"/>
        </w:rPr>
      </w:pPr>
    </w:p>
    <w:p w14:paraId="171157F3">
      <w:pPr>
        <w:rPr>
          <w:rFonts w:ascii="宋体" w:hAnsi="宋体" w:cs="宋体"/>
          <w:b/>
          <w:bCs/>
          <w:color w:val="auto"/>
          <w:sz w:val="32"/>
          <w:szCs w:val="32"/>
          <w:highlight w:val="none"/>
        </w:rPr>
      </w:pPr>
    </w:p>
    <w:p w14:paraId="278ACDE2">
      <w:pPr>
        <w:rPr>
          <w:rFonts w:ascii="宋体" w:hAnsi="宋体" w:cs="宋体"/>
          <w:b/>
          <w:bCs/>
          <w:color w:val="auto"/>
          <w:sz w:val="32"/>
          <w:szCs w:val="32"/>
          <w:highlight w:val="none"/>
        </w:rPr>
      </w:pPr>
      <w:r>
        <w:rPr>
          <w:rFonts w:hint="eastAsia" w:ascii="宋体" w:hAnsi="宋体" w:cs="宋体"/>
          <w:b/>
          <w:bCs/>
          <w:color w:val="auto"/>
          <w:sz w:val="32"/>
          <w:szCs w:val="32"/>
          <w:highlight w:val="none"/>
        </w:rPr>
        <w:t>6.项目</w:t>
      </w:r>
      <w:r>
        <w:rPr>
          <w:rFonts w:hint="eastAsia" w:ascii="宋体" w:hAnsi="宋体" w:cs="宋体"/>
          <w:b/>
          <w:bCs/>
          <w:color w:val="auto"/>
          <w:sz w:val="32"/>
          <w:szCs w:val="32"/>
          <w:highlight w:val="none"/>
          <w:lang w:val="en-US" w:eastAsia="zh-CN"/>
        </w:rPr>
        <w:t>慰问信设计</w:t>
      </w:r>
      <w:r>
        <w:rPr>
          <w:rFonts w:hint="eastAsia" w:ascii="宋体" w:hAnsi="宋体" w:cs="宋体"/>
          <w:b/>
          <w:bCs/>
          <w:color w:val="auto"/>
          <w:sz w:val="32"/>
          <w:szCs w:val="32"/>
          <w:highlight w:val="none"/>
        </w:rPr>
        <w:t>方案（格式见附件）（如有，请提供）；</w:t>
      </w:r>
    </w:p>
    <w:p w14:paraId="7D6CA498">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27782573">
      <w:pPr>
        <w:pStyle w:val="14"/>
        <w:rPr>
          <w:rFonts w:ascii="宋体" w:hAnsi="宋体" w:cs="宋体"/>
          <w:b/>
          <w:bCs/>
          <w:color w:val="auto"/>
          <w:sz w:val="32"/>
          <w:szCs w:val="32"/>
          <w:highlight w:val="none"/>
        </w:rPr>
      </w:pPr>
    </w:p>
    <w:p w14:paraId="18672FD8">
      <w:pPr>
        <w:pStyle w:val="14"/>
        <w:rPr>
          <w:color w:val="auto"/>
          <w:highlight w:val="none"/>
        </w:rPr>
      </w:pPr>
    </w:p>
    <w:p w14:paraId="4F7F7F7C">
      <w:pPr>
        <w:rPr>
          <w:color w:val="auto"/>
          <w:highlight w:val="none"/>
        </w:rPr>
      </w:pPr>
    </w:p>
    <w:p w14:paraId="15380E5D">
      <w:pPr>
        <w:pStyle w:val="17"/>
        <w:spacing w:line="340" w:lineRule="exact"/>
        <w:jc w:val="center"/>
        <w:rPr>
          <w:b/>
          <w:color w:val="auto"/>
          <w:sz w:val="32"/>
          <w:szCs w:val="32"/>
          <w:highlight w:val="none"/>
        </w:rPr>
      </w:pPr>
      <w:r>
        <w:rPr>
          <w:rFonts w:hint="eastAsia"/>
          <w:b/>
          <w:color w:val="auto"/>
          <w:sz w:val="32"/>
          <w:szCs w:val="32"/>
          <w:highlight w:val="none"/>
        </w:rPr>
        <w:t>项目慰问信设计方案 （格式）</w:t>
      </w:r>
    </w:p>
    <w:p w14:paraId="6652FFB1">
      <w:pPr>
        <w:rPr>
          <w:rFonts w:hAnsi="Courier New"/>
          <w:b/>
          <w:color w:val="auto"/>
          <w:sz w:val="32"/>
          <w:szCs w:val="32"/>
          <w:highlight w:val="none"/>
        </w:rPr>
      </w:pPr>
    </w:p>
    <w:p w14:paraId="3707403E">
      <w:pPr>
        <w:pStyle w:val="14"/>
        <w:rPr>
          <w:color w:val="auto"/>
          <w:highlight w:val="none"/>
        </w:rPr>
      </w:pPr>
    </w:p>
    <w:p w14:paraId="1A044DA2">
      <w:pPr>
        <w:widowControl/>
        <w:ind w:firstLine="3092" w:firstLineChars="11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（根据采购需</w:t>
      </w:r>
      <w:r>
        <w:rPr>
          <w:rFonts w:hint="eastAsia" w:ascii="宋体" w:hAnsi="宋体" w:cs="宋体"/>
          <w:b/>
          <w:color w:val="auto"/>
          <w:kern w:val="0"/>
          <w:sz w:val="28"/>
          <w:szCs w:val="28"/>
          <w:highlight w:val="none"/>
          <w:lang w:val="en-US" w:eastAsia="zh-CN"/>
        </w:rPr>
        <w:t>及评审办法</w:t>
      </w:r>
      <w:r>
        <w:rPr>
          <w:rFonts w:hint="eastAsia" w:ascii="宋体" w:hAnsi="宋体" w:cs="宋体"/>
          <w:b/>
          <w:color w:val="auto"/>
          <w:kern w:val="0"/>
          <w:sz w:val="28"/>
          <w:szCs w:val="28"/>
          <w:highlight w:val="none"/>
        </w:rPr>
        <w:t xml:space="preserve">求自行编制） </w:t>
      </w:r>
    </w:p>
    <w:p w14:paraId="7F536F19">
      <w:pPr>
        <w:widowControl/>
        <w:jc w:val="left"/>
        <w:rPr>
          <w:rFonts w:ascii="宋体" w:hAnsi="宋体" w:cs="宋体"/>
          <w:b/>
          <w:color w:val="auto"/>
          <w:kern w:val="0"/>
          <w:sz w:val="28"/>
          <w:szCs w:val="28"/>
          <w:highlight w:val="none"/>
        </w:rPr>
      </w:pPr>
    </w:p>
    <w:p w14:paraId="52D4C1BA">
      <w:pPr>
        <w:widowControl/>
        <w:ind w:firstLine="3092" w:firstLineChars="1100"/>
        <w:jc w:val="left"/>
        <w:rPr>
          <w:rFonts w:ascii="宋体" w:hAnsi="宋体" w:cs="宋体"/>
          <w:b/>
          <w:color w:val="auto"/>
          <w:kern w:val="0"/>
          <w:sz w:val="28"/>
          <w:szCs w:val="28"/>
          <w:highlight w:val="none"/>
        </w:rPr>
      </w:pPr>
    </w:p>
    <w:p w14:paraId="0F04680C">
      <w:pPr>
        <w:snapToGrid w:val="0"/>
        <w:spacing w:line="320" w:lineRule="exact"/>
        <w:ind w:firstLine="420" w:firstLineChars="200"/>
        <w:jc w:val="left"/>
        <w:outlineLvl w:val="4"/>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s="宋体"/>
          <w:color w:val="auto"/>
          <w:szCs w:val="21"/>
          <w:highlight w:val="none"/>
        </w:rPr>
        <w:t xml:space="preserve"> (</w:t>
      </w:r>
      <w:r>
        <w:rPr>
          <w:rFonts w:hint="eastAsia" w:ascii="宋体" w:hAnsi="宋体"/>
          <w:color w:val="auto"/>
          <w:szCs w:val="21"/>
          <w:highlight w:val="none"/>
        </w:rPr>
        <w:t>CA签章</w:t>
      </w:r>
      <w:r>
        <w:rPr>
          <w:rFonts w:hint="eastAsia" w:ascii="宋体" w:hAnsi="宋体" w:cs="宋体"/>
          <w:color w:val="auto"/>
          <w:szCs w:val="21"/>
          <w:highlight w:val="none"/>
        </w:rPr>
        <w:t>，自然人除外)</w:t>
      </w:r>
      <w:r>
        <w:rPr>
          <w:rFonts w:hint="eastAsia" w:ascii="宋体" w:hAnsi="宋体"/>
          <w:color w:val="auto"/>
          <w:szCs w:val="21"/>
          <w:highlight w:val="none"/>
        </w:rPr>
        <w:t>：</w:t>
      </w:r>
    </w:p>
    <w:p w14:paraId="6ED5FFB2">
      <w:pPr>
        <w:pStyle w:val="17"/>
        <w:spacing w:line="320" w:lineRule="exact"/>
        <w:ind w:firstLine="420"/>
        <w:jc w:val="left"/>
        <w:rPr>
          <w:rFonts w:hAnsi="宋体" w:cs="宋体"/>
          <w:color w:val="auto"/>
          <w:szCs w:val="24"/>
          <w:highlight w:val="none"/>
        </w:rPr>
      </w:pPr>
    </w:p>
    <w:p w14:paraId="378945E9">
      <w:pPr>
        <w:pStyle w:val="17"/>
        <w:spacing w:line="320" w:lineRule="exact"/>
        <w:ind w:firstLine="420"/>
        <w:jc w:val="left"/>
        <w:rPr>
          <w:rFonts w:hAnsi="宋体"/>
          <w:color w:val="auto"/>
          <w:szCs w:val="21"/>
          <w:highlight w:val="none"/>
          <w:u w:val="single"/>
        </w:rPr>
      </w:pPr>
      <w:r>
        <w:rPr>
          <w:rFonts w:hint="eastAsia" w:hAnsi="宋体" w:cs="宋体"/>
          <w:color w:val="auto"/>
          <w:szCs w:val="24"/>
          <w:highlight w:val="none"/>
        </w:rPr>
        <w:t>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（个人CA签章）</w:t>
      </w:r>
      <w:r>
        <w:rPr>
          <w:rFonts w:hint="eastAsia" w:hAnsi="宋体"/>
          <w:color w:val="auto"/>
          <w:highlight w:val="none"/>
        </w:rPr>
        <w:t>：</w:t>
      </w:r>
    </w:p>
    <w:p w14:paraId="436B69EB">
      <w:pPr>
        <w:spacing w:line="320" w:lineRule="exact"/>
        <w:jc w:val="left"/>
        <w:rPr>
          <w:rFonts w:hAnsi="宋体"/>
          <w:color w:val="auto"/>
          <w:highlight w:val="none"/>
        </w:rPr>
      </w:pPr>
    </w:p>
    <w:p w14:paraId="5D82127D">
      <w:pPr>
        <w:spacing w:line="320" w:lineRule="exact"/>
        <w:ind w:firstLine="420" w:firstLineChars="200"/>
        <w:jc w:val="left"/>
        <w:rPr>
          <w:rFonts w:hint="eastAsia" w:hAnsi="宋体"/>
          <w:color w:val="auto"/>
          <w:highlight w:val="none"/>
        </w:rPr>
      </w:pPr>
      <w:r>
        <w:rPr>
          <w:rFonts w:hint="eastAsia" w:hAnsi="宋体"/>
          <w:color w:val="auto"/>
          <w:highlight w:val="none"/>
        </w:rPr>
        <w:t>日期：</w:t>
      </w:r>
    </w:p>
    <w:p w14:paraId="171CC883">
      <w:pPr>
        <w:spacing w:line="320" w:lineRule="exact"/>
        <w:ind w:firstLine="420" w:firstLineChars="200"/>
        <w:jc w:val="left"/>
        <w:rPr>
          <w:rFonts w:hint="eastAsia" w:hAnsi="宋体"/>
          <w:color w:val="auto"/>
          <w:highlight w:val="none"/>
        </w:rPr>
      </w:pPr>
    </w:p>
    <w:p w14:paraId="08E5DA73">
      <w:pPr>
        <w:spacing w:line="320" w:lineRule="exact"/>
        <w:ind w:firstLine="420" w:firstLineChars="200"/>
        <w:jc w:val="left"/>
        <w:rPr>
          <w:rFonts w:hint="eastAsia" w:hAnsi="宋体"/>
          <w:color w:val="auto"/>
          <w:highlight w:val="none"/>
        </w:rPr>
      </w:pPr>
    </w:p>
    <w:p w14:paraId="7E7DEAB4">
      <w:pPr>
        <w:spacing w:line="320" w:lineRule="exact"/>
        <w:ind w:firstLine="420" w:firstLineChars="200"/>
        <w:jc w:val="left"/>
        <w:rPr>
          <w:rFonts w:hint="eastAsia" w:hAnsi="宋体"/>
          <w:color w:val="auto"/>
          <w:highlight w:val="none"/>
        </w:rPr>
      </w:pPr>
    </w:p>
    <w:p w14:paraId="74825CCB">
      <w:pPr>
        <w:spacing w:line="320" w:lineRule="exact"/>
        <w:ind w:firstLine="420" w:firstLineChars="200"/>
        <w:jc w:val="left"/>
        <w:rPr>
          <w:rFonts w:hint="eastAsia" w:hAnsi="宋体"/>
          <w:color w:val="auto"/>
          <w:highlight w:val="none"/>
        </w:rPr>
      </w:pPr>
    </w:p>
    <w:p w14:paraId="5F14954C">
      <w:pPr>
        <w:spacing w:line="320" w:lineRule="exact"/>
        <w:ind w:firstLine="420" w:firstLineChars="200"/>
        <w:jc w:val="left"/>
        <w:rPr>
          <w:rFonts w:hint="eastAsia" w:hAnsi="宋体"/>
          <w:color w:val="auto"/>
          <w:highlight w:val="none"/>
        </w:rPr>
      </w:pPr>
    </w:p>
    <w:p w14:paraId="4A589DC9">
      <w:pPr>
        <w:spacing w:line="320" w:lineRule="exact"/>
        <w:ind w:firstLine="420" w:firstLineChars="200"/>
        <w:jc w:val="left"/>
        <w:rPr>
          <w:rFonts w:hint="eastAsia" w:hAnsi="宋体"/>
          <w:color w:val="auto"/>
          <w:highlight w:val="none"/>
        </w:rPr>
      </w:pPr>
    </w:p>
    <w:p w14:paraId="343D9F2F">
      <w:pPr>
        <w:spacing w:line="320" w:lineRule="exact"/>
        <w:ind w:firstLine="420" w:firstLineChars="200"/>
        <w:jc w:val="left"/>
        <w:rPr>
          <w:rFonts w:hint="eastAsia" w:hAnsi="宋体"/>
          <w:color w:val="auto"/>
          <w:highlight w:val="none"/>
        </w:rPr>
      </w:pPr>
    </w:p>
    <w:p w14:paraId="10EE7D1D">
      <w:pPr>
        <w:spacing w:line="320" w:lineRule="exact"/>
        <w:ind w:firstLine="420" w:firstLineChars="200"/>
        <w:jc w:val="left"/>
        <w:rPr>
          <w:rFonts w:hint="eastAsia" w:hAnsi="宋体"/>
          <w:color w:val="auto"/>
          <w:highlight w:val="none"/>
        </w:rPr>
      </w:pPr>
    </w:p>
    <w:p w14:paraId="5619E116">
      <w:pPr>
        <w:spacing w:line="320" w:lineRule="exact"/>
        <w:ind w:firstLine="420" w:firstLineChars="200"/>
        <w:jc w:val="left"/>
        <w:rPr>
          <w:rFonts w:hint="eastAsia" w:hAnsi="宋体"/>
          <w:color w:val="auto"/>
          <w:highlight w:val="none"/>
        </w:rPr>
      </w:pPr>
    </w:p>
    <w:p w14:paraId="616A2D73">
      <w:pPr>
        <w:spacing w:line="320" w:lineRule="exact"/>
        <w:ind w:firstLine="420" w:firstLineChars="200"/>
        <w:jc w:val="left"/>
        <w:rPr>
          <w:rFonts w:hint="eastAsia" w:hAnsi="宋体"/>
          <w:color w:val="auto"/>
          <w:highlight w:val="none"/>
        </w:rPr>
      </w:pPr>
    </w:p>
    <w:p w14:paraId="758B967C">
      <w:pPr>
        <w:spacing w:line="320" w:lineRule="exact"/>
        <w:ind w:firstLine="420" w:firstLineChars="200"/>
        <w:jc w:val="left"/>
        <w:rPr>
          <w:rFonts w:hint="eastAsia" w:hAnsi="宋体"/>
          <w:color w:val="auto"/>
          <w:highlight w:val="none"/>
        </w:rPr>
      </w:pPr>
    </w:p>
    <w:p w14:paraId="06F12137">
      <w:pPr>
        <w:spacing w:line="320" w:lineRule="exact"/>
        <w:ind w:firstLine="420" w:firstLineChars="200"/>
        <w:jc w:val="left"/>
        <w:rPr>
          <w:rFonts w:hint="eastAsia" w:hAnsi="宋体"/>
          <w:color w:val="auto"/>
          <w:highlight w:val="none"/>
        </w:rPr>
      </w:pPr>
    </w:p>
    <w:p w14:paraId="044C5AD7">
      <w:pPr>
        <w:spacing w:line="320" w:lineRule="exact"/>
        <w:ind w:firstLine="420" w:firstLineChars="200"/>
        <w:jc w:val="left"/>
        <w:rPr>
          <w:rFonts w:hint="eastAsia" w:hAnsi="宋体"/>
          <w:color w:val="auto"/>
          <w:highlight w:val="none"/>
        </w:rPr>
      </w:pPr>
    </w:p>
    <w:p w14:paraId="75FAE1AE">
      <w:pPr>
        <w:spacing w:line="320" w:lineRule="exact"/>
        <w:ind w:firstLine="420" w:firstLineChars="200"/>
        <w:jc w:val="left"/>
        <w:rPr>
          <w:rFonts w:hint="eastAsia" w:hAnsi="宋体"/>
          <w:color w:val="auto"/>
          <w:highlight w:val="none"/>
        </w:rPr>
      </w:pPr>
    </w:p>
    <w:p w14:paraId="0AB51580">
      <w:pPr>
        <w:spacing w:line="320" w:lineRule="exact"/>
        <w:ind w:firstLine="420" w:firstLineChars="200"/>
        <w:jc w:val="left"/>
        <w:rPr>
          <w:rFonts w:hint="eastAsia" w:hAnsi="宋体"/>
          <w:color w:val="auto"/>
          <w:highlight w:val="none"/>
        </w:rPr>
      </w:pPr>
    </w:p>
    <w:p w14:paraId="55951D98">
      <w:pPr>
        <w:spacing w:line="320" w:lineRule="exact"/>
        <w:ind w:firstLine="420" w:firstLineChars="200"/>
        <w:jc w:val="left"/>
        <w:rPr>
          <w:rFonts w:hint="eastAsia" w:hAnsi="宋体"/>
          <w:color w:val="auto"/>
          <w:highlight w:val="none"/>
        </w:rPr>
      </w:pPr>
    </w:p>
    <w:p w14:paraId="2E6ACC99">
      <w:pPr>
        <w:spacing w:line="320" w:lineRule="exact"/>
        <w:ind w:firstLine="420" w:firstLineChars="200"/>
        <w:jc w:val="left"/>
        <w:rPr>
          <w:rFonts w:hint="eastAsia" w:hAnsi="宋体"/>
          <w:color w:val="auto"/>
          <w:highlight w:val="none"/>
        </w:rPr>
      </w:pPr>
    </w:p>
    <w:p w14:paraId="27BD71C0">
      <w:pPr>
        <w:spacing w:line="320" w:lineRule="exact"/>
        <w:ind w:firstLine="420" w:firstLineChars="200"/>
        <w:jc w:val="left"/>
        <w:rPr>
          <w:rFonts w:hint="eastAsia" w:hAnsi="宋体"/>
          <w:color w:val="auto"/>
          <w:highlight w:val="none"/>
        </w:rPr>
      </w:pPr>
    </w:p>
    <w:p w14:paraId="33ED0CB9">
      <w:pPr>
        <w:spacing w:line="320" w:lineRule="exact"/>
        <w:ind w:firstLine="420" w:firstLineChars="200"/>
        <w:jc w:val="left"/>
        <w:rPr>
          <w:rFonts w:hint="eastAsia" w:hAnsi="宋体"/>
          <w:color w:val="auto"/>
          <w:highlight w:val="none"/>
        </w:rPr>
      </w:pPr>
    </w:p>
    <w:p w14:paraId="458D91B0">
      <w:pPr>
        <w:spacing w:line="320" w:lineRule="exact"/>
        <w:ind w:firstLine="420" w:firstLineChars="200"/>
        <w:jc w:val="left"/>
        <w:rPr>
          <w:rFonts w:hint="eastAsia" w:hAnsi="宋体"/>
          <w:color w:val="auto"/>
          <w:highlight w:val="none"/>
        </w:rPr>
      </w:pPr>
    </w:p>
    <w:p w14:paraId="41564E87">
      <w:pPr>
        <w:spacing w:line="320" w:lineRule="exact"/>
        <w:ind w:firstLine="420" w:firstLineChars="200"/>
        <w:jc w:val="left"/>
        <w:rPr>
          <w:rFonts w:hint="eastAsia" w:hAnsi="宋体"/>
          <w:color w:val="auto"/>
          <w:highlight w:val="none"/>
        </w:rPr>
      </w:pPr>
    </w:p>
    <w:p w14:paraId="1C2C4F9E">
      <w:pPr>
        <w:spacing w:line="320" w:lineRule="exact"/>
        <w:ind w:firstLine="420" w:firstLineChars="200"/>
        <w:jc w:val="left"/>
        <w:rPr>
          <w:rFonts w:hint="eastAsia" w:hAnsi="宋体"/>
          <w:color w:val="auto"/>
          <w:highlight w:val="none"/>
        </w:rPr>
      </w:pPr>
    </w:p>
    <w:p w14:paraId="70733651">
      <w:pPr>
        <w:spacing w:line="320" w:lineRule="exact"/>
        <w:ind w:firstLine="420" w:firstLineChars="200"/>
        <w:jc w:val="left"/>
        <w:rPr>
          <w:rFonts w:hint="eastAsia" w:hAnsi="宋体"/>
          <w:color w:val="auto"/>
          <w:highlight w:val="none"/>
        </w:rPr>
      </w:pPr>
    </w:p>
    <w:p w14:paraId="4ECC2770">
      <w:pPr>
        <w:spacing w:line="320" w:lineRule="exact"/>
        <w:ind w:firstLine="420" w:firstLineChars="200"/>
        <w:jc w:val="left"/>
        <w:rPr>
          <w:rFonts w:hint="eastAsia" w:hAnsi="宋体"/>
          <w:color w:val="auto"/>
          <w:highlight w:val="none"/>
        </w:rPr>
      </w:pPr>
    </w:p>
    <w:p w14:paraId="63C3FE94">
      <w:pPr>
        <w:spacing w:line="320" w:lineRule="exact"/>
        <w:ind w:firstLine="420" w:firstLineChars="200"/>
        <w:jc w:val="left"/>
        <w:rPr>
          <w:rFonts w:hint="eastAsia" w:hAnsi="宋体"/>
          <w:color w:val="auto"/>
          <w:highlight w:val="none"/>
        </w:rPr>
      </w:pPr>
    </w:p>
    <w:p w14:paraId="073EA939">
      <w:pPr>
        <w:spacing w:line="320" w:lineRule="exact"/>
        <w:ind w:firstLine="420" w:firstLineChars="200"/>
        <w:jc w:val="left"/>
        <w:rPr>
          <w:rFonts w:hint="eastAsia" w:hAnsi="宋体"/>
          <w:color w:val="auto"/>
          <w:highlight w:val="none"/>
        </w:rPr>
      </w:pPr>
    </w:p>
    <w:p w14:paraId="11F913A8">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t>.项目实施方案（格式见附件）（如有，请提供）；</w:t>
      </w:r>
    </w:p>
    <w:p w14:paraId="7F494590">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31F88BA">
      <w:pPr>
        <w:pStyle w:val="14"/>
        <w:rPr>
          <w:rFonts w:ascii="宋体" w:hAnsi="宋体" w:cs="宋体"/>
          <w:b/>
          <w:bCs/>
          <w:color w:val="auto"/>
          <w:sz w:val="32"/>
          <w:szCs w:val="32"/>
          <w:highlight w:val="none"/>
        </w:rPr>
      </w:pPr>
    </w:p>
    <w:p w14:paraId="40C5A3B2">
      <w:pPr>
        <w:pStyle w:val="14"/>
        <w:rPr>
          <w:color w:val="auto"/>
          <w:highlight w:val="none"/>
        </w:rPr>
      </w:pPr>
    </w:p>
    <w:p w14:paraId="259CD8F7">
      <w:pPr>
        <w:rPr>
          <w:color w:val="auto"/>
          <w:highlight w:val="none"/>
        </w:rPr>
      </w:pPr>
    </w:p>
    <w:p w14:paraId="367E017F">
      <w:pPr>
        <w:pStyle w:val="17"/>
        <w:spacing w:line="340" w:lineRule="exact"/>
        <w:jc w:val="center"/>
        <w:rPr>
          <w:b/>
          <w:color w:val="auto"/>
          <w:sz w:val="32"/>
          <w:szCs w:val="32"/>
          <w:highlight w:val="none"/>
        </w:rPr>
      </w:pPr>
      <w:r>
        <w:rPr>
          <w:rFonts w:hint="eastAsia"/>
          <w:b/>
          <w:color w:val="auto"/>
          <w:sz w:val="32"/>
          <w:szCs w:val="32"/>
          <w:highlight w:val="none"/>
        </w:rPr>
        <w:t>项目实施方案 （格式）</w:t>
      </w:r>
    </w:p>
    <w:p w14:paraId="3EFA54C8">
      <w:pPr>
        <w:rPr>
          <w:rFonts w:hAnsi="Courier New"/>
          <w:b/>
          <w:color w:val="auto"/>
          <w:sz w:val="32"/>
          <w:szCs w:val="32"/>
          <w:highlight w:val="none"/>
        </w:rPr>
      </w:pPr>
    </w:p>
    <w:p w14:paraId="360CBFA5">
      <w:pPr>
        <w:pStyle w:val="14"/>
        <w:rPr>
          <w:color w:val="auto"/>
          <w:highlight w:val="none"/>
        </w:rPr>
      </w:pPr>
    </w:p>
    <w:p w14:paraId="198D775C">
      <w:pPr>
        <w:widowControl/>
        <w:ind w:firstLine="2530" w:firstLineChars="9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（根据采购需</w:t>
      </w:r>
      <w:r>
        <w:rPr>
          <w:rFonts w:hint="eastAsia" w:ascii="宋体" w:hAnsi="宋体" w:cs="宋体"/>
          <w:b/>
          <w:color w:val="auto"/>
          <w:kern w:val="0"/>
          <w:sz w:val="28"/>
          <w:szCs w:val="28"/>
          <w:highlight w:val="none"/>
          <w:lang w:val="en-US" w:eastAsia="zh-CN"/>
        </w:rPr>
        <w:t>及评审办法</w:t>
      </w:r>
      <w:r>
        <w:rPr>
          <w:rFonts w:hint="eastAsia" w:ascii="宋体" w:hAnsi="宋体" w:cs="宋体"/>
          <w:b/>
          <w:color w:val="auto"/>
          <w:kern w:val="0"/>
          <w:sz w:val="28"/>
          <w:szCs w:val="28"/>
          <w:highlight w:val="none"/>
        </w:rPr>
        <w:t xml:space="preserve">求自行编制） </w:t>
      </w:r>
    </w:p>
    <w:p w14:paraId="5FD19437">
      <w:pPr>
        <w:widowControl/>
        <w:jc w:val="left"/>
        <w:rPr>
          <w:rFonts w:ascii="宋体" w:hAnsi="宋体" w:cs="宋体"/>
          <w:b/>
          <w:color w:val="auto"/>
          <w:kern w:val="0"/>
          <w:sz w:val="28"/>
          <w:szCs w:val="28"/>
          <w:highlight w:val="none"/>
        </w:rPr>
      </w:pPr>
    </w:p>
    <w:p w14:paraId="23AEDC92">
      <w:pPr>
        <w:widowControl/>
        <w:ind w:firstLine="3092" w:firstLineChars="1100"/>
        <w:jc w:val="left"/>
        <w:rPr>
          <w:rFonts w:ascii="宋体" w:hAnsi="宋体" w:cs="宋体"/>
          <w:b/>
          <w:color w:val="auto"/>
          <w:kern w:val="0"/>
          <w:sz w:val="28"/>
          <w:szCs w:val="28"/>
          <w:highlight w:val="none"/>
        </w:rPr>
      </w:pPr>
    </w:p>
    <w:p w14:paraId="4E394F28">
      <w:pPr>
        <w:snapToGrid w:val="0"/>
        <w:spacing w:line="320" w:lineRule="exact"/>
        <w:ind w:firstLine="420" w:firstLineChars="200"/>
        <w:jc w:val="left"/>
        <w:outlineLvl w:val="4"/>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s="宋体"/>
          <w:color w:val="auto"/>
          <w:szCs w:val="21"/>
          <w:highlight w:val="none"/>
        </w:rPr>
        <w:t xml:space="preserve"> (</w:t>
      </w:r>
      <w:r>
        <w:rPr>
          <w:rFonts w:hint="eastAsia" w:ascii="宋体" w:hAnsi="宋体"/>
          <w:color w:val="auto"/>
          <w:szCs w:val="21"/>
          <w:highlight w:val="none"/>
        </w:rPr>
        <w:t>CA签章</w:t>
      </w:r>
      <w:r>
        <w:rPr>
          <w:rFonts w:hint="eastAsia" w:ascii="宋体" w:hAnsi="宋体" w:cs="宋体"/>
          <w:color w:val="auto"/>
          <w:szCs w:val="21"/>
          <w:highlight w:val="none"/>
        </w:rPr>
        <w:t>，自然人除外)</w:t>
      </w:r>
      <w:r>
        <w:rPr>
          <w:rFonts w:hint="eastAsia" w:ascii="宋体" w:hAnsi="宋体"/>
          <w:color w:val="auto"/>
          <w:szCs w:val="21"/>
          <w:highlight w:val="none"/>
        </w:rPr>
        <w:t>：</w:t>
      </w:r>
    </w:p>
    <w:p w14:paraId="1854C62E">
      <w:pPr>
        <w:pStyle w:val="17"/>
        <w:spacing w:line="320" w:lineRule="exact"/>
        <w:ind w:firstLine="420"/>
        <w:jc w:val="left"/>
        <w:rPr>
          <w:rFonts w:hAnsi="宋体" w:cs="宋体"/>
          <w:color w:val="auto"/>
          <w:szCs w:val="24"/>
          <w:highlight w:val="none"/>
        </w:rPr>
      </w:pPr>
    </w:p>
    <w:p w14:paraId="085F4F30">
      <w:pPr>
        <w:pStyle w:val="17"/>
        <w:spacing w:line="320" w:lineRule="exact"/>
        <w:ind w:firstLine="420"/>
        <w:jc w:val="left"/>
        <w:rPr>
          <w:rFonts w:hAnsi="宋体"/>
          <w:color w:val="auto"/>
          <w:szCs w:val="21"/>
          <w:highlight w:val="none"/>
          <w:u w:val="single"/>
        </w:rPr>
      </w:pPr>
      <w:r>
        <w:rPr>
          <w:rFonts w:hint="eastAsia" w:hAnsi="宋体" w:cs="宋体"/>
          <w:color w:val="auto"/>
          <w:szCs w:val="24"/>
          <w:highlight w:val="none"/>
        </w:rPr>
        <w:t>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（个人CA签章）</w:t>
      </w:r>
      <w:r>
        <w:rPr>
          <w:rFonts w:hint="eastAsia" w:hAnsi="宋体"/>
          <w:color w:val="auto"/>
          <w:highlight w:val="none"/>
        </w:rPr>
        <w:t>：</w:t>
      </w:r>
    </w:p>
    <w:p w14:paraId="2894B422">
      <w:pPr>
        <w:spacing w:line="320" w:lineRule="exact"/>
        <w:jc w:val="left"/>
        <w:rPr>
          <w:rFonts w:hAnsi="宋体"/>
          <w:color w:val="auto"/>
          <w:highlight w:val="none"/>
        </w:rPr>
      </w:pPr>
    </w:p>
    <w:p w14:paraId="723D9247">
      <w:pPr>
        <w:spacing w:line="320" w:lineRule="exact"/>
        <w:ind w:firstLine="420" w:firstLineChars="200"/>
        <w:jc w:val="left"/>
        <w:rPr>
          <w:rFonts w:ascii="宋体" w:hAnsi="宋体"/>
          <w:color w:val="auto"/>
          <w:szCs w:val="21"/>
          <w:highlight w:val="none"/>
          <w:u w:val="single"/>
        </w:rPr>
      </w:pPr>
      <w:r>
        <w:rPr>
          <w:rFonts w:hint="eastAsia" w:hAnsi="宋体"/>
          <w:color w:val="auto"/>
          <w:highlight w:val="none"/>
        </w:rPr>
        <w:t>日期：</w:t>
      </w:r>
    </w:p>
    <w:p w14:paraId="2A09660B">
      <w:pPr>
        <w:spacing w:line="320" w:lineRule="exact"/>
        <w:ind w:firstLine="420" w:firstLineChars="200"/>
        <w:jc w:val="left"/>
        <w:rPr>
          <w:rFonts w:hint="eastAsia" w:hAnsi="宋体"/>
          <w:color w:val="auto"/>
          <w:highlight w:val="none"/>
        </w:rPr>
      </w:pPr>
    </w:p>
    <w:p w14:paraId="76F97080">
      <w:pPr>
        <w:spacing w:line="320" w:lineRule="exact"/>
        <w:ind w:firstLine="420" w:firstLineChars="200"/>
        <w:jc w:val="left"/>
        <w:rPr>
          <w:rFonts w:hint="eastAsia" w:hAnsi="宋体"/>
          <w:color w:val="auto"/>
          <w:highlight w:val="none"/>
        </w:rPr>
      </w:pPr>
    </w:p>
    <w:p w14:paraId="6AD1EF52">
      <w:pPr>
        <w:spacing w:line="320" w:lineRule="exact"/>
        <w:ind w:firstLine="420" w:firstLineChars="200"/>
        <w:jc w:val="left"/>
        <w:rPr>
          <w:rFonts w:hint="eastAsia" w:hAnsi="宋体"/>
          <w:color w:val="auto"/>
          <w:highlight w:val="none"/>
        </w:rPr>
      </w:pPr>
    </w:p>
    <w:p w14:paraId="18CFEB46">
      <w:pPr>
        <w:spacing w:line="320" w:lineRule="exact"/>
        <w:ind w:firstLine="420" w:firstLineChars="200"/>
        <w:jc w:val="left"/>
        <w:rPr>
          <w:rFonts w:hint="eastAsia" w:hAnsi="宋体"/>
          <w:color w:val="auto"/>
          <w:highlight w:val="none"/>
        </w:rPr>
      </w:pPr>
    </w:p>
    <w:p w14:paraId="5FB62702">
      <w:pPr>
        <w:spacing w:line="320" w:lineRule="exact"/>
        <w:ind w:firstLine="420" w:firstLineChars="200"/>
        <w:jc w:val="left"/>
        <w:rPr>
          <w:rFonts w:hint="eastAsia" w:hAnsi="宋体"/>
          <w:color w:val="auto"/>
          <w:highlight w:val="none"/>
        </w:rPr>
      </w:pPr>
    </w:p>
    <w:p w14:paraId="4CAE98F4">
      <w:pPr>
        <w:spacing w:line="320" w:lineRule="exact"/>
        <w:ind w:firstLine="420" w:firstLineChars="200"/>
        <w:jc w:val="left"/>
        <w:rPr>
          <w:rFonts w:hint="eastAsia" w:hAnsi="宋体"/>
          <w:color w:val="auto"/>
          <w:highlight w:val="none"/>
        </w:rPr>
      </w:pPr>
    </w:p>
    <w:p w14:paraId="6F14EDB6">
      <w:pPr>
        <w:spacing w:line="320" w:lineRule="exact"/>
        <w:ind w:firstLine="420" w:firstLineChars="200"/>
        <w:jc w:val="left"/>
        <w:rPr>
          <w:rFonts w:hint="eastAsia" w:hAnsi="宋体"/>
          <w:color w:val="auto"/>
          <w:highlight w:val="none"/>
        </w:rPr>
      </w:pPr>
    </w:p>
    <w:p w14:paraId="27EF9885">
      <w:pPr>
        <w:spacing w:line="320" w:lineRule="exact"/>
        <w:ind w:firstLine="420" w:firstLineChars="200"/>
        <w:jc w:val="left"/>
        <w:rPr>
          <w:rFonts w:hint="eastAsia" w:hAnsi="宋体"/>
          <w:color w:val="auto"/>
          <w:highlight w:val="none"/>
        </w:rPr>
      </w:pPr>
    </w:p>
    <w:p w14:paraId="3D7B071A">
      <w:pPr>
        <w:spacing w:line="320" w:lineRule="exact"/>
        <w:ind w:firstLine="420" w:firstLineChars="200"/>
        <w:jc w:val="left"/>
        <w:rPr>
          <w:rFonts w:hint="eastAsia" w:hAnsi="宋体"/>
          <w:color w:val="auto"/>
          <w:highlight w:val="none"/>
        </w:rPr>
      </w:pPr>
    </w:p>
    <w:p w14:paraId="2062C9EC">
      <w:pPr>
        <w:spacing w:line="320" w:lineRule="exact"/>
        <w:ind w:firstLine="420" w:firstLineChars="200"/>
        <w:jc w:val="left"/>
        <w:rPr>
          <w:rFonts w:hint="eastAsia" w:hAnsi="宋体"/>
          <w:color w:val="auto"/>
          <w:highlight w:val="none"/>
        </w:rPr>
      </w:pPr>
    </w:p>
    <w:p w14:paraId="5C0C1AE5">
      <w:pPr>
        <w:spacing w:line="320" w:lineRule="exact"/>
        <w:ind w:firstLine="420" w:firstLineChars="200"/>
        <w:jc w:val="left"/>
        <w:rPr>
          <w:rFonts w:hint="eastAsia" w:hAnsi="宋体"/>
          <w:color w:val="auto"/>
          <w:highlight w:val="none"/>
        </w:rPr>
      </w:pPr>
    </w:p>
    <w:p w14:paraId="52601BE6">
      <w:pPr>
        <w:spacing w:line="320" w:lineRule="exact"/>
        <w:ind w:firstLine="420" w:firstLineChars="200"/>
        <w:jc w:val="left"/>
        <w:rPr>
          <w:rFonts w:hint="eastAsia" w:hAnsi="宋体"/>
          <w:color w:val="auto"/>
          <w:highlight w:val="none"/>
        </w:rPr>
      </w:pPr>
    </w:p>
    <w:p w14:paraId="0175A8F9">
      <w:pPr>
        <w:spacing w:line="320" w:lineRule="exact"/>
        <w:ind w:firstLine="420" w:firstLineChars="200"/>
        <w:jc w:val="left"/>
        <w:rPr>
          <w:rFonts w:hint="eastAsia" w:hAnsi="宋体"/>
          <w:color w:val="auto"/>
          <w:highlight w:val="none"/>
        </w:rPr>
      </w:pPr>
    </w:p>
    <w:p w14:paraId="615B38E2">
      <w:pPr>
        <w:spacing w:line="320" w:lineRule="exact"/>
        <w:ind w:firstLine="420" w:firstLineChars="200"/>
        <w:jc w:val="left"/>
        <w:rPr>
          <w:rFonts w:hint="eastAsia" w:hAnsi="宋体"/>
          <w:color w:val="auto"/>
          <w:highlight w:val="none"/>
        </w:rPr>
      </w:pPr>
    </w:p>
    <w:p w14:paraId="013721ED">
      <w:pPr>
        <w:spacing w:line="320" w:lineRule="exact"/>
        <w:ind w:firstLine="420" w:firstLineChars="200"/>
        <w:jc w:val="left"/>
        <w:rPr>
          <w:rFonts w:hint="eastAsia" w:hAnsi="宋体"/>
          <w:color w:val="auto"/>
          <w:highlight w:val="none"/>
        </w:rPr>
      </w:pPr>
    </w:p>
    <w:p w14:paraId="0487F30E">
      <w:pPr>
        <w:spacing w:line="320" w:lineRule="exact"/>
        <w:ind w:firstLine="420" w:firstLineChars="200"/>
        <w:jc w:val="left"/>
        <w:rPr>
          <w:rFonts w:hint="eastAsia" w:hAnsi="宋体"/>
          <w:color w:val="auto"/>
          <w:highlight w:val="none"/>
        </w:rPr>
      </w:pPr>
    </w:p>
    <w:p w14:paraId="551C4B49">
      <w:pPr>
        <w:spacing w:line="320" w:lineRule="exact"/>
        <w:ind w:firstLine="420" w:firstLineChars="200"/>
        <w:jc w:val="left"/>
        <w:rPr>
          <w:rFonts w:hint="eastAsia" w:hAnsi="宋体"/>
          <w:color w:val="auto"/>
          <w:highlight w:val="none"/>
        </w:rPr>
      </w:pPr>
    </w:p>
    <w:p w14:paraId="52CDCFC8">
      <w:pPr>
        <w:spacing w:line="320" w:lineRule="exact"/>
        <w:ind w:firstLine="420" w:firstLineChars="200"/>
        <w:jc w:val="left"/>
        <w:rPr>
          <w:rFonts w:hint="eastAsia" w:hAnsi="宋体"/>
          <w:color w:val="auto"/>
          <w:highlight w:val="none"/>
        </w:rPr>
      </w:pPr>
    </w:p>
    <w:p w14:paraId="613FF0C9">
      <w:pPr>
        <w:spacing w:line="320" w:lineRule="exact"/>
        <w:ind w:firstLine="420" w:firstLineChars="200"/>
        <w:jc w:val="left"/>
        <w:rPr>
          <w:rFonts w:hint="eastAsia" w:hAnsi="宋体"/>
          <w:color w:val="auto"/>
          <w:highlight w:val="none"/>
        </w:rPr>
      </w:pPr>
    </w:p>
    <w:p w14:paraId="3E0D3142">
      <w:pPr>
        <w:spacing w:line="320" w:lineRule="exact"/>
        <w:ind w:firstLine="420" w:firstLineChars="200"/>
        <w:jc w:val="left"/>
        <w:rPr>
          <w:rFonts w:hint="eastAsia" w:hAnsi="宋体"/>
          <w:color w:val="auto"/>
          <w:highlight w:val="none"/>
        </w:rPr>
      </w:pPr>
    </w:p>
    <w:p w14:paraId="7ABBFF11">
      <w:pPr>
        <w:spacing w:line="320" w:lineRule="exact"/>
        <w:ind w:firstLine="420" w:firstLineChars="200"/>
        <w:jc w:val="left"/>
        <w:rPr>
          <w:rFonts w:hint="eastAsia" w:hAnsi="宋体"/>
          <w:color w:val="auto"/>
          <w:highlight w:val="none"/>
        </w:rPr>
      </w:pPr>
    </w:p>
    <w:p w14:paraId="1A25BD28">
      <w:pPr>
        <w:spacing w:line="320" w:lineRule="exact"/>
        <w:ind w:firstLine="420" w:firstLineChars="200"/>
        <w:jc w:val="left"/>
        <w:rPr>
          <w:rFonts w:hint="eastAsia" w:hAnsi="宋体"/>
          <w:color w:val="auto"/>
          <w:highlight w:val="none"/>
        </w:rPr>
      </w:pPr>
    </w:p>
    <w:p w14:paraId="32DD10CB">
      <w:pPr>
        <w:spacing w:line="320" w:lineRule="exact"/>
        <w:ind w:firstLine="420" w:firstLineChars="200"/>
        <w:jc w:val="left"/>
        <w:rPr>
          <w:rFonts w:hint="eastAsia" w:hAnsi="宋体"/>
          <w:color w:val="auto"/>
          <w:highlight w:val="none"/>
        </w:rPr>
      </w:pPr>
    </w:p>
    <w:p w14:paraId="719D1425">
      <w:pPr>
        <w:spacing w:line="320" w:lineRule="exact"/>
        <w:ind w:firstLine="420" w:firstLineChars="200"/>
        <w:jc w:val="left"/>
        <w:rPr>
          <w:rFonts w:hint="eastAsia" w:hAnsi="宋体"/>
          <w:color w:val="auto"/>
          <w:highlight w:val="none"/>
        </w:rPr>
      </w:pPr>
    </w:p>
    <w:p w14:paraId="17EEF7DD">
      <w:pPr>
        <w:spacing w:line="320" w:lineRule="exact"/>
        <w:ind w:firstLine="420" w:firstLineChars="200"/>
        <w:jc w:val="left"/>
        <w:rPr>
          <w:rFonts w:hint="eastAsia" w:hAnsi="宋体"/>
          <w:color w:val="auto"/>
          <w:highlight w:val="none"/>
        </w:rPr>
      </w:pPr>
    </w:p>
    <w:p w14:paraId="46F11150">
      <w:pPr>
        <w:spacing w:line="320" w:lineRule="exact"/>
        <w:ind w:firstLine="420" w:firstLineChars="200"/>
        <w:jc w:val="left"/>
        <w:rPr>
          <w:rFonts w:hint="eastAsia" w:hAnsi="宋体"/>
          <w:color w:val="auto"/>
          <w:highlight w:val="none"/>
        </w:rPr>
      </w:pPr>
    </w:p>
    <w:p w14:paraId="42D78899">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8</w:t>
      </w:r>
      <w:r>
        <w:rPr>
          <w:rFonts w:hint="eastAsia" w:ascii="宋体" w:hAnsi="宋体" w:cs="宋体"/>
          <w:b/>
          <w:bCs/>
          <w:color w:val="auto"/>
          <w:sz w:val="32"/>
          <w:szCs w:val="32"/>
          <w:highlight w:val="none"/>
        </w:rPr>
        <w:t>.项目实施人员一览表（格式见附件）【如有，请提供】</w:t>
      </w:r>
    </w:p>
    <w:p w14:paraId="0320A18F">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63C0386">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项目实施人员一览表（格式）</w:t>
      </w:r>
    </w:p>
    <w:p w14:paraId="45B9108E">
      <w:pPr>
        <w:rPr>
          <w:rFonts w:ascii="宋体" w:hAnsi="宋体" w:cs="宋体"/>
          <w:b/>
          <w:bCs/>
          <w:color w:val="auto"/>
          <w:sz w:val="32"/>
          <w:szCs w:val="32"/>
          <w:highlight w:val="none"/>
        </w:rPr>
      </w:pP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72BC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14:paraId="6C7447FE">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姓 名</w:t>
            </w:r>
          </w:p>
        </w:tc>
        <w:tc>
          <w:tcPr>
            <w:tcW w:w="993" w:type="dxa"/>
            <w:shd w:val="clear" w:color="auto" w:fill="8DB3E2"/>
            <w:vAlign w:val="center"/>
          </w:tcPr>
          <w:p w14:paraId="6E3F2AE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职务</w:t>
            </w:r>
          </w:p>
        </w:tc>
        <w:tc>
          <w:tcPr>
            <w:tcW w:w="1888" w:type="dxa"/>
            <w:shd w:val="clear" w:color="auto" w:fill="8DB3E2"/>
            <w:vAlign w:val="center"/>
          </w:tcPr>
          <w:p w14:paraId="3FFA8609">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专业技术资格</w:t>
            </w:r>
          </w:p>
        </w:tc>
        <w:tc>
          <w:tcPr>
            <w:tcW w:w="1559" w:type="dxa"/>
            <w:shd w:val="clear" w:color="auto" w:fill="8DB3E2"/>
            <w:vAlign w:val="center"/>
          </w:tcPr>
          <w:p w14:paraId="56A731BA">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证书编号</w:t>
            </w:r>
          </w:p>
        </w:tc>
        <w:tc>
          <w:tcPr>
            <w:tcW w:w="2163" w:type="dxa"/>
            <w:shd w:val="clear" w:color="auto" w:fill="8DB3E2"/>
            <w:vAlign w:val="center"/>
          </w:tcPr>
          <w:p w14:paraId="18EADA12">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参加工作时间</w:t>
            </w:r>
          </w:p>
        </w:tc>
        <w:tc>
          <w:tcPr>
            <w:tcW w:w="1477" w:type="dxa"/>
            <w:shd w:val="clear" w:color="auto" w:fill="8DB3E2"/>
            <w:vAlign w:val="center"/>
          </w:tcPr>
          <w:p w14:paraId="10BD75D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3767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0B13C9F2">
            <w:pPr>
              <w:spacing w:line="400" w:lineRule="exact"/>
              <w:rPr>
                <w:rFonts w:ascii="宋体" w:hAnsi="宋体" w:cs="宋体"/>
                <w:color w:val="auto"/>
                <w:szCs w:val="21"/>
                <w:highlight w:val="none"/>
              </w:rPr>
            </w:pPr>
          </w:p>
        </w:tc>
        <w:tc>
          <w:tcPr>
            <w:tcW w:w="993" w:type="dxa"/>
          </w:tcPr>
          <w:p w14:paraId="0AE43881">
            <w:pPr>
              <w:spacing w:line="400" w:lineRule="exact"/>
              <w:rPr>
                <w:rFonts w:ascii="宋体" w:hAnsi="宋体" w:cs="宋体"/>
                <w:color w:val="auto"/>
                <w:szCs w:val="21"/>
                <w:highlight w:val="none"/>
              </w:rPr>
            </w:pPr>
          </w:p>
        </w:tc>
        <w:tc>
          <w:tcPr>
            <w:tcW w:w="1888" w:type="dxa"/>
          </w:tcPr>
          <w:p w14:paraId="2FC97894">
            <w:pPr>
              <w:spacing w:line="400" w:lineRule="exact"/>
              <w:rPr>
                <w:rFonts w:ascii="宋体" w:hAnsi="宋体" w:cs="宋体"/>
                <w:color w:val="auto"/>
                <w:szCs w:val="21"/>
                <w:highlight w:val="none"/>
              </w:rPr>
            </w:pPr>
          </w:p>
        </w:tc>
        <w:tc>
          <w:tcPr>
            <w:tcW w:w="1559" w:type="dxa"/>
          </w:tcPr>
          <w:p w14:paraId="69283B86">
            <w:pPr>
              <w:spacing w:line="400" w:lineRule="exact"/>
              <w:rPr>
                <w:rFonts w:ascii="宋体" w:hAnsi="宋体" w:cs="宋体"/>
                <w:color w:val="auto"/>
                <w:szCs w:val="21"/>
                <w:highlight w:val="none"/>
              </w:rPr>
            </w:pPr>
          </w:p>
        </w:tc>
        <w:tc>
          <w:tcPr>
            <w:tcW w:w="2163" w:type="dxa"/>
          </w:tcPr>
          <w:p w14:paraId="45587B6D">
            <w:pPr>
              <w:spacing w:line="400" w:lineRule="exact"/>
              <w:rPr>
                <w:rFonts w:ascii="宋体" w:hAnsi="宋体" w:cs="宋体"/>
                <w:color w:val="auto"/>
                <w:szCs w:val="21"/>
                <w:highlight w:val="none"/>
              </w:rPr>
            </w:pPr>
          </w:p>
        </w:tc>
        <w:tc>
          <w:tcPr>
            <w:tcW w:w="1477" w:type="dxa"/>
          </w:tcPr>
          <w:p w14:paraId="4C8B6AEB">
            <w:pPr>
              <w:spacing w:line="400" w:lineRule="exact"/>
              <w:rPr>
                <w:rFonts w:ascii="宋体" w:hAnsi="宋体" w:cs="宋体"/>
                <w:color w:val="auto"/>
                <w:szCs w:val="21"/>
                <w:highlight w:val="none"/>
              </w:rPr>
            </w:pPr>
          </w:p>
        </w:tc>
      </w:tr>
      <w:tr w14:paraId="1103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77CC4051">
            <w:pPr>
              <w:spacing w:line="400" w:lineRule="exact"/>
              <w:rPr>
                <w:rFonts w:ascii="宋体" w:hAnsi="宋体" w:cs="宋体"/>
                <w:color w:val="auto"/>
                <w:szCs w:val="21"/>
                <w:highlight w:val="none"/>
              </w:rPr>
            </w:pPr>
          </w:p>
        </w:tc>
        <w:tc>
          <w:tcPr>
            <w:tcW w:w="993" w:type="dxa"/>
          </w:tcPr>
          <w:p w14:paraId="1328910D">
            <w:pPr>
              <w:spacing w:line="400" w:lineRule="exact"/>
              <w:rPr>
                <w:rFonts w:ascii="宋体" w:hAnsi="宋体" w:cs="宋体"/>
                <w:color w:val="auto"/>
                <w:szCs w:val="21"/>
                <w:highlight w:val="none"/>
              </w:rPr>
            </w:pPr>
          </w:p>
        </w:tc>
        <w:tc>
          <w:tcPr>
            <w:tcW w:w="1888" w:type="dxa"/>
          </w:tcPr>
          <w:p w14:paraId="5BD1B5BF">
            <w:pPr>
              <w:spacing w:line="400" w:lineRule="exact"/>
              <w:rPr>
                <w:rFonts w:ascii="宋体" w:hAnsi="宋体" w:cs="宋体"/>
                <w:color w:val="auto"/>
                <w:szCs w:val="21"/>
                <w:highlight w:val="none"/>
              </w:rPr>
            </w:pPr>
          </w:p>
        </w:tc>
        <w:tc>
          <w:tcPr>
            <w:tcW w:w="1559" w:type="dxa"/>
          </w:tcPr>
          <w:p w14:paraId="3CF0C27E">
            <w:pPr>
              <w:spacing w:line="400" w:lineRule="exact"/>
              <w:rPr>
                <w:rFonts w:ascii="宋体" w:hAnsi="宋体" w:cs="宋体"/>
                <w:color w:val="auto"/>
                <w:szCs w:val="21"/>
                <w:highlight w:val="none"/>
              </w:rPr>
            </w:pPr>
          </w:p>
        </w:tc>
        <w:tc>
          <w:tcPr>
            <w:tcW w:w="2163" w:type="dxa"/>
          </w:tcPr>
          <w:p w14:paraId="0BC5220E">
            <w:pPr>
              <w:spacing w:line="400" w:lineRule="exact"/>
              <w:rPr>
                <w:rFonts w:ascii="宋体" w:hAnsi="宋体" w:cs="宋体"/>
                <w:color w:val="auto"/>
                <w:szCs w:val="21"/>
                <w:highlight w:val="none"/>
              </w:rPr>
            </w:pPr>
          </w:p>
        </w:tc>
        <w:tc>
          <w:tcPr>
            <w:tcW w:w="1477" w:type="dxa"/>
          </w:tcPr>
          <w:p w14:paraId="0431CC82">
            <w:pPr>
              <w:spacing w:line="400" w:lineRule="exact"/>
              <w:rPr>
                <w:rFonts w:ascii="宋体" w:hAnsi="宋体" w:cs="宋体"/>
                <w:color w:val="auto"/>
                <w:szCs w:val="21"/>
                <w:highlight w:val="none"/>
              </w:rPr>
            </w:pPr>
          </w:p>
        </w:tc>
      </w:tr>
      <w:tr w14:paraId="3EE7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68319C18">
            <w:pPr>
              <w:spacing w:line="400" w:lineRule="exact"/>
              <w:rPr>
                <w:rFonts w:ascii="宋体" w:hAnsi="宋体" w:cs="宋体"/>
                <w:color w:val="auto"/>
                <w:szCs w:val="21"/>
                <w:highlight w:val="none"/>
              </w:rPr>
            </w:pPr>
          </w:p>
        </w:tc>
        <w:tc>
          <w:tcPr>
            <w:tcW w:w="993" w:type="dxa"/>
          </w:tcPr>
          <w:p w14:paraId="3A651C92">
            <w:pPr>
              <w:spacing w:line="400" w:lineRule="exact"/>
              <w:rPr>
                <w:rFonts w:ascii="宋体" w:hAnsi="宋体" w:cs="宋体"/>
                <w:color w:val="auto"/>
                <w:szCs w:val="21"/>
                <w:highlight w:val="none"/>
              </w:rPr>
            </w:pPr>
          </w:p>
        </w:tc>
        <w:tc>
          <w:tcPr>
            <w:tcW w:w="1888" w:type="dxa"/>
          </w:tcPr>
          <w:p w14:paraId="32159E30">
            <w:pPr>
              <w:spacing w:line="400" w:lineRule="exact"/>
              <w:rPr>
                <w:rFonts w:ascii="宋体" w:hAnsi="宋体" w:cs="宋体"/>
                <w:color w:val="auto"/>
                <w:szCs w:val="21"/>
                <w:highlight w:val="none"/>
              </w:rPr>
            </w:pPr>
          </w:p>
        </w:tc>
        <w:tc>
          <w:tcPr>
            <w:tcW w:w="1559" w:type="dxa"/>
          </w:tcPr>
          <w:p w14:paraId="0E06F1C9">
            <w:pPr>
              <w:spacing w:line="400" w:lineRule="exact"/>
              <w:rPr>
                <w:rFonts w:ascii="宋体" w:hAnsi="宋体" w:cs="宋体"/>
                <w:color w:val="auto"/>
                <w:szCs w:val="21"/>
                <w:highlight w:val="none"/>
              </w:rPr>
            </w:pPr>
          </w:p>
        </w:tc>
        <w:tc>
          <w:tcPr>
            <w:tcW w:w="2163" w:type="dxa"/>
          </w:tcPr>
          <w:p w14:paraId="0DD1CA7E">
            <w:pPr>
              <w:spacing w:line="400" w:lineRule="exact"/>
              <w:rPr>
                <w:rFonts w:ascii="宋体" w:hAnsi="宋体" w:cs="宋体"/>
                <w:color w:val="auto"/>
                <w:szCs w:val="21"/>
                <w:highlight w:val="none"/>
              </w:rPr>
            </w:pPr>
          </w:p>
        </w:tc>
        <w:tc>
          <w:tcPr>
            <w:tcW w:w="1477" w:type="dxa"/>
          </w:tcPr>
          <w:p w14:paraId="08E8C26A">
            <w:pPr>
              <w:spacing w:line="400" w:lineRule="exact"/>
              <w:rPr>
                <w:rFonts w:ascii="宋体" w:hAnsi="宋体" w:cs="宋体"/>
                <w:color w:val="auto"/>
                <w:szCs w:val="21"/>
                <w:highlight w:val="none"/>
              </w:rPr>
            </w:pPr>
          </w:p>
        </w:tc>
      </w:tr>
      <w:tr w14:paraId="1492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673F174E">
            <w:pPr>
              <w:spacing w:line="400" w:lineRule="exact"/>
              <w:rPr>
                <w:rFonts w:ascii="宋体" w:hAnsi="宋体" w:cs="宋体"/>
                <w:color w:val="auto"/>
                <w:szCs w:val="21"/>
                <w:highlight w:val="none"/>
              </w:rPr>
            </w:pPr>
          </w:p>
        </w:tc>
        <w:tc>
          <w:tcPr>
            <w:tcW w:w="993" w:type="dxa"/>
          </w:tcPr>
          <w:p w14:paraId="6F7C53AA">
            <w:pPr>
              <w:spacing w:line="400" w:lineRule="exact"/>
              <w:rPr>
                <w:rFonts w:ascii="宋体" w:hAnsi="宋体" w:cs="宋体"/>
                <w:color w:val="auto"/>
                <w:szCs w:val="21"/>
                <w:highlight w:val="none"/>
              </w:rPr>
            </w:pPr>
          </w:p>
        </w:tc>
        <w:tc>
          <w:tcPr>
            <w:tcW w:w="1888" w:type="dxa"/>
          </w:tcPr>
          <w:p w14:paraId="74E021C0">
            <w:pPr>
              <w:spacing w:line="400" w:lineRule="exact"/>
              <w:rPr>
                <w:rFonts w:ascii="宋体" w:hAnsi="宋体" w:cs="宋体"/>
                <w:color w:val="auto"/>
                <w:szCs w:val="21"/>
                <w:highlight w:val="none"/>
              </w:rPr>
            </w:pPr>
          </w:p>
        </w:tc>
        <w:tc>
          <w:tcPr>
            <w:tcW w:w="1559" w:type="dxa"/>
          </w:tcPr>
          <w:p w14:paraId="23433282">
            <w:pPr>
              <w:spacing w:line="400" w:lineRule="exact"/>
              <w:rPr>
                <w:rFonts w:ascii="宋体" w:hAnsi="宋体" w:cs="宋体"/>
                <w:color w:val="auto"/>
                <w:szCs w:val="21"/>
                <w:highlight w:val="none"/>
              </w:rPr>
            </w:pPr>
          </w:p>
        </w:tc>
        <w:tc>
          <w:tcPr>
            <w:tcW w:w="2163" w:type="dxa"/>
          </w:tcPr>
          <w:p w14:paraId="5BBA8696">
            <w:pPr>
              <w:spacing w:line="400" w:lineRule="exact"/>
              <w:rPr>
                <w:rFonts w:ascii="宋体" w:hAnsi="宋体" w:cs="宋体"/>
                <w:color w:val="auto"/>
                <w:szCs w:val="21"/>
                <w:highlight w:val="none"/>
              </w:rPr>
            </w:pPr>
          </w:p>
        </w:tc>
        <w:tc>
          <w:tcPr>
            <w:tcW w:w="1477" w:type="dxa"/>
          </w:tcPr>
          <w:p w14:paraId="09889E47">
            <w:pPr>
              <w:spacing w:line="400" w:lineRule="exact"/>
              <w:rPr>
                <w:rFonts w:ascii="宋体" w:hAnsi="宋体" w:cs="宋体"/>
                <w:color w:val="auto"/>
                <w:szCs w:val="21"/>
                <w:highlight w:val="none"/>
              </w:rPr>
            </w:pPr>
          </w:p>
        </w:tc>
      </w:tr>
      <w:tr w14:paraId="06B5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6A8F5DB7">
            <w:pPr>
              <w:spacing w:line="400" w:lineRule="exact"/>
              <w:rPr>
                <w:rFonts w:ascii="宋体" w:hAnsi="宋体" w:cs="宋体"/>
                <w:color w:val="auto"/>
                <w:szCs w:val="21"/>
                <w:highlight w:val="none"/>
              </w:rPr>
            </w:pPr>
          </w:p>
        </w:tc>
        <w:tc>
          <w:tcPr>
            <w:tcW w:w="993" w:type="dxa"/>
          </w:tcPr>
          <w:p w14:paraId="55B9BC38">
            <w:pPr>
              <w:spacing w:line="400" w:lineRule="exact"/>
              <w:rPr>
                <w:rFonts w:ascii="宋体" w:hAnsi="宋体" w:cs="宋体"/>
                <w:color w:val="auto"/>
                <w:szCs w:val="21"/>
                <w:highlight w:val="none"/>
              </w:rPr>
            </w:pPr>
          </w:p>
        </w:tc>
        <w:tc>
          <w:tcPr>
            <w:tcW w:w="1888" w:type="dxa"/>
          </w:tcPr>
          <w:p w14:paraId="476C6CCE">
            <w:pPr>
              <w:spacing w:line="400" w:lineRule="exact"/>
              <w:rPr>
                <w:rFonts w:ascii="宋体" w:hAnsi="宋体" w:cs="宋体"/>
                <w:color w:val="auto"/>
                <w:szCs w:val="21"/>
                <w:highlight w:val="none"/>
              </w:rPr>
            </w:pPr>
          </w:p>
        </w:tc>
        <w:tc>
          <w:tcPr>
            <w:tcW w:w="1559" w:type="dxa"/>
          </w:tcPr>
          <w:p w14:paraId="56B4B6CE">
            <w:pPr>
              <w:spacing w:line="400" w:lineRule="exact"/>
              <w:rPr>
                <w:rFonts w:ascii="宋体" w:hAnsi="宋体" w:cs="宋体"/>
                <w:color w:val="auto"/>
                <w:szCs w:val="21"/>
                <w:highlight w:val="none"/>
              </w:rPr>
            </w:pPr>
          </w:p>
        </w:tc>
        <w:tc>
          <w:tcPr>
            <w:tcW w:w="2163" w:type="dxa"/>
          </w:tcPr>
          <w:p w14:paraId="2EDE21B2">
            <w:pPr>
              <w:spacing w:line="400" w:lineRule="exact"/>
              <w:rPr>
                <w:rFonts w:ascii="宋体" w:hAnsi="宋体" w:cs="宋体"/>
                <w:color w:val="auto"/>
                <w:szCs w:val="21"/>
                <w:highlight w:val="none"/>
              </w:rPr>
            </w:pPr>
          </w:p>
        </w:tc>
        <w:tc>
          <w:tcPr>
            <w:tcW w:w="1477" w:type="dxa"/>
          </w:tcPr>
          <w:p w14:paraId="53E52DEF">
            <w:pPr>
              <w:spacing w:line="400" w:lineRule="exact"/>
              <w:rPr>
                <w:rFonts w:ascii="宋体" w:hAnsi="宋体" w:cs="宋体"/>
                <w:color w:val="auto"/>
                <w:szCs w:val="21"/>
                <w:highlight w:val="none"/>
              </w:rPr>
            </w:pPr>
          </w:p>
        </w:tc>
      </w:tr>
      <w:tr w14:paraId="5299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55B2BD78">
            <w:pPr>
              <w:spacing w:line="400" w:lineRule="exact"/>
              <w:rPr>
                <w:rFonts w:ascii="宋体" w:hAnsi="宋体" w:cs="宋体"/>
                <w:color w:val="auto"/>
                <w:szCs w:val="21"/>
                <w:highlight w:val="none"/>
              </w:rPr>
            </w:pPr>
          </w:p>
        </w:tc>
        <w:tc>
          <w:tcPr>
            <w:tcW w:w="993" w:type="dxa"/>
          </w:tcPr>
          <w:p w14:paraId="79AE698B">
            <w:pPr>
              <w:spacing w:line="400" w:lineRule="exact"/>
              <w:rPr>
                <w:rFonts w:ascii="宋体" w:hAnsi="宋体" w:cs="宋体"/>
                <w:color w:val="auto"/>
                <w:szCs w:val="21"/>
                <w:highlight w:val="none"/>
              </w:rPr>
            </w:pPr>
          </w:p>
        </w:tc>
        <w:tc>
          <w:tcPr>
            <w:tcW w:w="1888" w:type="dxa"/>
          </w:tcPr>
          <w:p w14:paraId="60A08170">
            <w:pPr>
              <w:spacing w:line="400" w:lineRule="exact"/>
              <w:rPr>
                <w:rFonts w:ascii="宋体" w:hAnsi="宋体" w:cs="宋体"/>
                <w:color w:val="auto"/>
                <w:szCs w:val="21"/>
                <w:highlight w:val="none"/>
              </w:rPr>
            </w:pPr>
          </w:p>
        </w:tc>
        <w:tc>
          <w:tcPr>
            <w:tcW w:w="1559" w:type="dxa"/>
          </w:tcPr>
          <w:p w14:paraId="6C1F5D33">
            <w:pPr>
              <w:spacing w:line="400" w:lineRule="exact"/>
              <w:rPr>
                <w:rFonts w:ascii="宋体" w:hAnsi="宋体" w:cs="宋体"/>
                <w:color w:val="auto"/>
                <w:szCs w:val="21"/>
                <w:highlight w:val="none"/>
              </w:rPr>
            </w:pPr>
          </w:p>
        </w:tc>
        <w:tc>
          <w:tcPr>
            <w:tcW w:w="2163" w:type="dxa"/>
          </w:tcPr>
          <w:p w14:paraId="780FA7B6">
            <w:pPr>
              <w:spacing w:line="400" w:lineRule="exact"/>
              <w:rPr>
                <w:rFonts w:ascii="宋体" w:hAnsi="宋体" w:cs="宋体"/>
                <w:color w:val="auto"/>
                <w:szCs w:val="21"/>
                <w:highlight w:val="none"/>
              </w:rPr>
            </w:pPr>
          </w:p>
        </w:tc>
        <w:tc>
          <w:tcPr>
            <w:tcW w:w="1477" w:type="dxa"/>
          </w:tcPr>
          <w:p w14:paraId="0703EA5C">
            <w:pPr>
              <w:spacing w:line="400" w:lineRule="exact"/>
              <w:rPr>
                <w:rFonts w:ascii="宋体" w:hAnsi="宋体" w:cs="宋体"/>
                <w:color w:val="auto"/>
                <w:szCs w:val="21"/>
                <w:highlight w:val="none"/>
              </w:rPr>
            </w:pPr>
          </w:p>
        </w:tc>
      </w:tr>
    </w:tbl>
    <w:p w14:paraId="55884125">
      <w:pPr>
        <w:spacing w:line="400" w:lineRule="exact"/>
        <w:rPr>
          <w:rFonts w:ascii="宋体" w:hAnsi="宋体" w:cs="宋体"/>
          <w:color w:val="auto"/>
          <w:szCs w:val="21"/>
          <w:highlight w:val="none"/>
        </w:rPr>
      </w:pPr>
    </w:p>
    <w:p w14:paraId="496F71E8">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注：在填写时，如本表格不适合投标单位的实际情况，可根据本表格式自行制表填写。</w:t>
      </w:r>
    </w:p>
    <w:p w14:paraId="7E06C566">
      <w:pPr>
        <w:spacing w:line="400" w:lineRule="exact"/>
        <w:ind w:firstLine="3255" w:firstLineChars="1550"/>
        <w:rPr>
          <w:rFonts w:ascii="宋体" w:hAnsi="宋体" w:cs="宋体"/>
          <w:color w:val="auto"/>
          <w:highlight w:val="none"/>
        </w:rPr>
      </w:pPr>
    </w:p>
    <w:p w14:paraId="00BDC02F">
      <w:pPr>
        <w:snapToGrid w:val="0"/>
        <w:spacing w:line="320" w:lineRule="exact"/>
        <w:ind w:firstLine="420" w:firstLineChars="200"/>
        <w:jc w:val="left"/>
        <w:outlineLvl w:val="4"/>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s="宋体"/>
          <w:color w:val="auto"/>
          <w:szCs w:val="21"/>
          <w:highlight w:val="none"/>
        </w:rPr>
        <w:t xml:space="preserve"> (</w:t>
      </w:r>
      <w:r>
        <w:rPr>
          <w:rFonts w:hint="eastAsia" w:ascii="宋体" w:hAnsi="宋体"/>
          <w:color w:val="auto"/>
          <w:szCs w:val="21"/>
          <w:highlight w:val="none"/>
        </w:rPr>
        <w:t>CA签章</w:t>
      </w:r>
      <w:r>
        <w:rPr>
          <w:rFonts w:hint="eastAsia" w:ascii="宋体" w:hAnsi="宋体" w:cs="宋体"/>
          <w:color w:val="auto"/>
          <w:szCs w:val="21"/>
          <w:highlight w:val="none"/>
        </w:rPr>
        <w:t>，自然人除外)</w:t>
      </w:r>
      <w:r>
        <w:rPr>
          <w:rFonts w:hint="eastAsia" w:ascii="宋体" w:hAnsi="宋体"/>
          <w:color w:val="auto"/>
          <w:szCs w:val="21"/>
          <w:highlight w:val="none"/>
        </w:rPr>
        <w:t>：</w:t>
      </w:r>
    </w:p>
    <w:p w14:paraId="52B8F605">
      <w:pPr>
        <w:pStyle w:val="17"/>
        <w:spacing w:line="320" w:lineRule="exact"/>
        <w:ind w:firstLine="420"/>
        <w:jc w:val="left"/>
        <w:rPr>
          <w:rFonts w:hAnsi="宋体" w:cs="宋体"/>
          <w:color w:val="auto"/>
          <w:szCs w:val="24"/>
          <w:highlight w:val="none"/>
        </w:rPr>
      </w:pPr>
    </w:p>
    <w:p w14:paraId="3C910194">
      <w:pPr>
        <w:pStyle w:val="17"/>
        <w:spacing w:line="320" w:lineRule="exact"/>
        <w:ind w:firstLine="420"/>
        <w:jc w:val="left"/>
        <w:rPr>
          <w:rFonts w:hAnsi="宋体"/>
          <w:color w:val="auto"/>
          <w:szCs w:val="21"/>
          <w:highlight w:val="none"/>
          <w:u w:val="single"/>
        </w:rPr>
      </w:pPr>
      <w:r>
        <w:rPr>
          <w:rFonts w:hint="eastAsia" w:hAnsi="宋体" w:cs="宋体"/>
          <w:color w:val="auto"/>
          <w:szCs w:val="24"/>
          <w:highlight w:val="none"/>
        </w:rPr>
        <w:t>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（个人CA签章）</w:t>
      </w:r>
      <w:r>
        <w:rPr>
          <w:rFonts w:hint="eastAsia" w:hAnsi="宋体"/>
          <w:color w:val="auto"/>
          <w:highlight w:val="none"/>
        </w:rPr>
        <w:t>：</w:t>
      </w:r>
    </w:p>
    <w:p w14:paraId="35C6B055">
      <w:pPr>
        <w:spacing w:line="320" w:lineRule="exact"/>
        <w:jc w:val="left"/>
        <w:rPr>
          <w:rFonts w:hAnsi="宋体"/>
          <w:color w:val="auto"/>
          <w:highlight w:val="none"/>
        </w:rPr>
      </w:pPr>
    </w:p>
    <w:p w14:paraId="0EE09709">
      <w:pPr>
        <w:spacing w:line="320" w:lineRule="exact"/>
        <w:ind w:firstLine="420" w:firstLineChars="200"/>
        <w:jc w:val="left"/>
        <w:rPr>
          <w:rFonts w:ascii="宋体" w:hAnsi="宋体"/>
          <w:color w:val="auto"/>
          <w:szCs w:val="21"/>
          <w:highlight w:val="none"/>
          <w:u w:val="single"/>
        </w:rPr>
      </w:pPr>
      <w:r>
        <w:rPr>
          <w:rFonts w:hint="eastAsia" w:hAnsi="宋体"/>
          <w:color w:val="auto"/>
          <w:highlight w:val="none"/>
        </w:rPr>
        <w:t>日期：</w:t>
      </w:r>
    </w:p>
    <w:p w14:paraId="18E3E293">
      <w:pPr>
        <w:spacing w:line="340" w:lineRule="exact"/>
        <w:ind w:firstLine="4200" w:firstLineChars="2000"/>
        <w:rPr>
          <w:color w:val="auto"/>
          <w:highlight w:val="none"/>
        </w:rPr>
      </w:pPr>
      <w:bookmarkStart w:id="380" w:name="_Toc10856"/>
      <w:bookmarkStart w:id="381" w:name="_Toc495841799"/>
    </w:p>
    <w:p w14:paraId="0918F2CA">
      <w:pPr>
        <w:spacing w:line="340" w:lineRule="exact"/>
        <w:ind w:firstLine="4200" w:firstLineChars="2000"/>
        <w:rPr>
          <w:color w:val="auto"/>
          <w:highlight w:val="none"/>
        </w:rPr>
      </w:pPr>
    </w:p>
    <w:p w14:paraId="262B5E26">
      <w:pPr>
        <w:spacing w:line="340" w:lineRule="exact"/>
        <w:ind w:firstLine="4200" w:firstLineChars="2000"/>
        <w:rPr>
          <w:color w:val="auto"/>
          <w:highlight w:val="none"/>
        </w:rPr>
      </w:pPr>
    </w:p>
    <w:p w14:paraId="013091CC">
      <w:pPr>
        <w:spacing w:line="340" w:lineRule="exact"/>
        <w:ind w:firstLine="4200" w:firstLineChars="2000"/>
        <w:rPr>
          <w:color w:val="auto"/>
          <w:highlight w:val="none"/>
        </w:rPr>
      </w:pPr>
    </w:p>
    <w:p w14:paraId="5512B91F">
      <w:pPr>
        <w:spacing w:line="340" w:lineRule="exact"/>
        <w:ind w:firstLine="4200" w:firstLineChars="2000"/>
        <w:rPr>
          <w:color w:val="auto"/>
          <w:highlight w:val="none"/>
        </w:rPr>
      </w:pPr>
    </w:p>
    <w:p w14:paraId="5C99B05C">
      <w:pPr>
        <w:spacing w:line="340" w:lineRule="exact"/>
        <w:ind w:firstLine="4200" w:firstLineChars="2000"/>
        <w:rPr>
          <w:color w:val="auto"/>
          <w:highlight w:val="none"/>
        </w:rPr>
      </w:pPr>
    </w:p>
    <w:p w14:paraId="0C17288F">
      <w:pPr>
        <w:spacing w:line="340" w:lineRule="exact"/>
        <w:ind w:firstLine="4200" w:firstLineChars="2000"/>
        <w:rPr>
          <w:color w:val="auto"/>
          <w:highlight w:val="none"/>
        </w:rPr>
      </w:pPr>
    </w:p>
    <w:p w14:paraId="13AB68F1">
      <w:pPr>
        <w:spacing w:line="340" w:lineRule="exact"/>
        <w:ind w:firstLine="4200" w:firstLineChars="2000"/>
        <w:rPr>
          <w:color w:val="auto"/>
          <w:highlight w:val="none"/>
        </w:rPr>
      </w:pPr>
    </w:p>
    <w:p w14:paraId="211F3463">
      <w:pPr>
        <w:spacing w:line="340" w:lineRule="exact"/>
        <w:ind w:firstLine="4200" w:firstLineChars="2000"/>
        <w:rPr>
          <w:color w:val="auto"/>
          <w:highlight w:val="none"/>
        </w:rPr>
      </w:pPr>
    </w:p>
    <w:p w14:paraId="5D41F589">
      <w:pPr>
        <w:spacing w:line="340" w:lineRule="exact"/>
        <w:ind w:firstLine="4200" w:firstLineChars="2000"/>
        <w:rPr>
          <w:color w:val="auto"/>
          <w:highlight w:val="none"/>
        </w:rPr>
      </w:pPr>
    </w:p>
    <w:p w14:paraId="03D3D0D3">
      <w:pPr>
        <w:spacing w:line="340" w:lineRule="exact"/>
        <w:ind w:firstLine="4200" w:firstLineChars="2000"/>
        <w:rPr>
          <w:color w:val="auto"/>
          <w:highlight w:val="none"/>
        </w:rPr>
      </w:pPr>
    </w:p>
    <w:p w14:paraId="5194F59B">
      <w:pPr>
        <w:spacing w:line="340" w:lineRule="exact"/>
        <w:ind w:firstLine="4200" w:firstLineChars="2000"/>
        <w:rPr>
          <w:color w:val="auto"/>
          <w:highlight w:val="none"/>
        </w:rPr>
      </w:pPr>
    </w:p>
    <w:p w14:paraId="4E5EC15F">
      <w:pPr>
        <w:spacing w:line="340" w:lineRule="exact"/>
        <w:ind w:firstLine="4200" w:firstLineChars="2000"/>
        <w:rPr>
          <w:color w:val="auto"/>
          <w:highlight w:val="none"/>
        </w:rPr>
      </w:pPr>
    </w:p>
    <w:p w14:paraId="14032DF4">
      <w:pPr>
        <w:spacing w:line="340" w:lineRule="exact"/>
        <w:ind w:firstLine="4200" w:firstLineChars="2000"/>
        <w:rPr>
          <w:color w:val="auto"/>
          <w:highlight w:val="none"/>
        </w:rPr>
      </w:pPr>
    </w:p>
    <w:p w14:paraId="09CBF315">
      <w:pPr>
        <w:spacing w:line="340" w:lineRule="exact"/>
        <w:ind w:firstLine="4200" w:firstLineChars="2000"/>
        <w:rPr>
          <w:color w:val="auto"/>
          <w:highlight w:val="none"/>
        </w:rPr>
      </w:pPr>
    </w:p>
    <w:p w14:paraId="63BB227B">
      <w:pPr>
        <w:spacing w:line="340" w:lineRule="exact"/>
        <w:ind w:firstLine="4200" w:firstLineChars="2000"/>
        <w:rPr>
          <w:color w:val="auto"/>
          <w:highlight w:val="none"/>
        </w:rPr>
      </w:pPr>
    </w:p>
    <w:p w14:paraId="002FA338">
      <w:pPr>
        <w:spacing w:line="340" w:lineRule="exact"/>
        <w:ind w:firstLine="4200" w:firstLineChars="2000"/>
        <w:rPr>
          <w:color w:val="auto"/>
          <w:highlight w:val="none"/>
        </w:rPr>
      </w:pPr>
    </w:p>
    <w:p w14:paraId="1717D48C">
      <w:pPr>
        <w:spacing w:line="340" w:lineRule="exact"/>
        <w:ind w:firstLine="4200" w:firstLineChars="2000"/>
        <w:rPr>
          <w:color w:val="auto"/>
          <w:highlight w:val="none"/>
        </w:rPr>
      </w:pPr>
    </w:p>
    <w:p w14:paraId="1E6D43EC">
      <w:pPr>
        <w:spacing w:line="340" w:lineRule="exact"/>
        <w:ind w:firstLine="4200" w:firstLineChars="2000"/>
        <w:rPr>
          <w:color w:val="auto"/>
          <w:highlight w:val="none"/>
        </w:rPr>
      </w:pPr>
    </w:p>
    <w:p w14:paraId="754AC7A7">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9</w:t>
      </w:r>
      <w:r>
        <w:rPr>
          <w:rFonts w:hint="eastAsia" w:ascii="宋体" w:hAnsi="宋体" w:cs="宋体"/>
          <w:b/>
          <w:bCs/>
          <w:color w:val="auto"/>
          <w:sz w:val="32"/>
          <w:szCs w:val="32"/>
          <w:highlight w:val="none"/>
        </w:rPr>
        <w:t>.节能方面的证书复印件（如有，请提供）</w:t>
      </w:r>
      <w:bookmarkEnd w:id="380"/>
      <w:bookmarkEnd w:id="381"/>
    </w:p>
    <w:p w14:paraId="7EF3107E">
      <w:pPr>
        <w:rPr>
          <w:rFonts w:ascii="宋体" w:hAnsi="宋体" w:cs="宋体"/>
          <w:b/>
          <w:bCs/>
          <w:color w:val="auto"/>
          <w:sz w:val="32"/>
          <w:szCs w:val="32"/>
          <w:highlight w:val="none"/>
        </w:rPr>
      </w:pPr>
    </w:p>
    <w:p w14:paraId="71455AFE">
      <w:pPr>
        <w:rPr>
          <w:rFonts w:ascii="宋体" w:hAnsi="宋体" w:cs="宋体"/>
          <w:b/>
          <w:bCs/>
          <w:color w:val="auto"/>
          <w:sz w:val="32"/>
          <w:szCs w:val="32"/>
          <w:highlight w:val="none"/>
        </w:rPr>
      </w:pPr>
    </w:p>
    <w:p w14:paraId="4397CD78">
      <w:pPr>
        <w:rPr>
          <w:rFonts w:ascii="宋体" w:hAnsi="宋体" w:cs="宋体"/>
          <w:b/>
          <w:bCs/>
          <w:color w:val="auto"/>
          <w:sz w:val="32"/>
          <w:szCs w:val="32"/>
          <w:highlight w:val="none"/>
        </w:rPr>
      </w:pPr>
    </w:p>
    <w:p w14:paraId="37105650">
      <w:pPr>
        <w:rPr>
          <w:rFonts w:ascii="宋体" w:hAnsi="宋体" w:cs="宋体"/>
          <w:b/>
          <w:bCs/>
          <w:color w:val="auto"/>
          <w:sz w:val="32"/>
          <w:szCs w:val="32"/>
          <w:highlight w:val="none"/>
        </w:rPr>
      </w:pPr>
      <w:bookmarkStart w:id="382" w:name="_Toc21473"/>
      <w:bookmarkStart w:id="383" w:name="_Toc495841800"/>
      <w:r>
        <w:rPr>
          <w:rFonts w:hint="eastAsia" w:ascii="宋体" w:hAnsi="宋体" w:cs="宋体"/>
          <w:b/>
          <w:bCs/>
          <w:color w:val="auto"/>
          <w:sz w:val="32"/>
          <w:szCs w:val="32"/>
          <w:highlight w:val="none"/>
          <w:lang w:val="en-US" w:eastAsia="zh-CN"/>
        </w:rPr>
        <w:t>10</w:t>
      </w:r>
      <w:r>
        <w:rPr>
          <w:rFonts w:hint="eastAsia" w:ascii="宋体" w:hAnsi="宋体" w:cs="宋体"/>
          <w:b/>
          <w:bCs/>
          <w:color w:val="auto"/>
          <w:sz w:val="32"/>
          <w:szCs w:val="32"/>
          <w:highlight w:val="none"/>
        </w:rPr>
        <w:t>.环境标志方面的证书复印件（如有，请提供）</w:t>
      </w:r>
      <w:bookmarkEnd w:id="382"/>
      <w:bookmarkEnd w:id="383"/>
    </w:p>
    <w:p w14:paraId="1C5CB52A">
      <w:pPr>
        <w:rPr>
          <w:rFonts w:ascii="宋体" w:hAnsi="宋体" w:cs="宋体"/>
          <w:b/>
          <w:bCs/>
          <w:color w:val="auto"/>
          <w:sz w:val="32"/>
          <w:szCs w:val="32"/>
          <w:highlight w:val="none"/>
        </w:rPr>
      </w:pPr>
    </w:p>
    <w:p w14:paraId="099A47BB">
      <w:pPr>
        <w:rPr>
          <w:rFonts w:ascii="宋体" w:hAnsi="宋体" w:cs="宋体"/>
          <w:b/>
          <w:bCs/>
          <w:color w:val="auto"/>
          <w:sz w:val="32"/>
          <w:szCs w:val="32"/>
          <w:highlight w:val="none"/>
        </w:rPr>
      </w:pPr>
    </w:p>
    <w:p w14:paraId="0C4D30AA">
      <w:pPr>
        <w:rPr>
          <w:rFonts w:ascii="宋体" w:hAnsi="宋体" w:cs="宋体"/>
          <w:b/>
          <w:bCs/>
          <w:color w:val="auto"/>
          <w:sz w:val="32"/>
          <w:szCs w:val="32"/>
          <w:highlight w:val="none"/>
        </w:rPr>
      </w:pPr>
    </w:p>
    <w:p w14:paraId="1DC9C6D4">
      <w:pPr>
        <w:rPr>
          <w:rFonts w:ascii="宋体" w:hAnsi="宋体" w:cs="宋体"/>
          <w:b/>
          <w:bCs/>
          <w:color w:val="auto"/>
          <w:sz w:val="32"/>
          <w:szCs w:val="32"/>
          <w:highlight w:val="none"/>
        </w:rPr>
      </w:pPr>
      <w:bookmarkStart w:id="384" w:name="_Toc495841802"/>
      <w:bookmarkStart w:id="385" w:name="_Toc6517"/>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1</w:t>
      </w:r>
      <w:r>
        <w:rPr>
          <w:rFonts w:hint="eastAsia" w:ascii="宋体" w:hAnsi="宋体" w:cs="宋体"/>
          <w:b/>
          <w:bCs/>
          <w:color w:val="auto"/>
          <w:sz w:val="32"/>
          <w:szCs w:val="32"/>
          <w:highlight w:val="none"/>
        </w:rPr>
        <w:t>.</w:t>
      </w:r>
      <w:bookmarkEnd w:id="384"/>
      <w:bookmarkEnd w:id="385"/>
      <w:r>
        <w:rPr>
          <w:rFonts w:hint="eastAsia" w:ascii="宋体" w:hAnsi="宋体" w:cs="宋体"/>
          <w:b/>
          <w:bCs/>
          <w:color w:val="auto"/>
          <w:sz w:val="32"/>
          <w:szCs w:val="32"/>
          <w:highlight w:val="none"/>
        </w:rPr>
        <w:t>投标人2020年以来具有同类产品的销售业绩的相关证明材料【无不良记录，以中标（成交）通知书或签订的销售合同复印件为准，并能清晰反映所销售的货物名称、种类、时间等内容】（具体以评分办法为准，如有，请提供）</w:t>
      </w:r>
    </w:p>
    <w:p w14:paraId="348887D5">
      <w:pPr>
        <w:rPr>
          <w:rFonts w:ascii="宋体" w:hAnsi="宋体" w:cs="宋体"/>
          <w:b/>
          <w:bCs/>
          <w:color w:val="auto"/>
          <w:sz w:val="32"/>
          <w:szCs w:val="32"/>
          <w:highlight w:val="none"/>
        </w:rPr>
      </w:pPr>
    </w:p>
    <w:p w14:paraId="1E4A9978">
      <w:pPr>
        <w:rPr>
          <w:rFonts w:ascii="宋体" w:hAnsi="宋体" w:cs="宋体"/>
          <w:b/>
          <w:bCs/>
          <w:color w:val="auto"/>
          <w:sz w:val="32"/>
          <w:szCs w:val="32"/>
          <w:highlight w:val="none"/>
        </w:rPr>
      </w:pPr>
      <w:bookmarkStart w:id="386" w:name="_Toc495841803"/>
      <w:bookmarkStart w:id="387" w:name="_Toc30520"/>
    </w:p>
    <w:p w14:paraId="5FA5AA22">
      <w:pPr>
        <w:rPr>
          <w:rFonts w:ascii="宋体" w:hAnsi="宋体" w:cs="宋体"/>
          <w:b/>
          <w:bCs/>
          <w:color w:val="auto"/>
          <w:sz w:val="32"/>
          <w:szCs w:val="32"/>
          <w:highlight w:val="none"/>
        </w:rPr>
      </w:pPr>
    </w:p>
    <w:p w14:paraId="75B3C09F">
      <w:pPr>
        <w:rPr>
          <w:rFonts w:ascii="宋体" w:hAnsi="宋体" w:cs="宋体"/>
          <w:b/>
          <w:bCs/>
          <w:color w:val="auto"/>
          <w:sz w:val="32"/>
          <w:szCs w:val="32"/>
          <w:highlight w:val="none"/>
        </w:rPr>
      </w:pPr>
    </w:p>
    <w:p w14:paraId="180894D0">
      <w:pPr>
        <w:rPr>
          <w:rFonts w:ascii="宋体" w:hAnsi="宋体" w:cs="宋体"/>
          <w:b/>
          <w:bCs/>
          <w:color w:val="auto"/>
          <w:sz w:val="32"/>
          <w:szCs w:val="32"/>
          <w:highlight w:val="none"/>
        </w:rPr>
      </w:pPr>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2</w:t>
      </w:r>
      <w:r>
        <w:rPr>
          <w:rFonts w:hint="eastAsia" w:ascii="宋体" w:hAnsi="宋体" w:cs="宋体"/>
          <w:b/>
          <w:bCs/>
          <w:color w:val="auto"/>
          <w:sz w:val="32"/>
          <w:szCs w:val="32"/>
          <w:highlight w:val="none"/>
        </w:rPr>
        <w:t>.投标人为生产厂家的，投标人的生产制造设备清单及专业技术能力说明（如有，请提供）</w:t>
      </w:r>
      <w:bookmarkEnd w:id="386"/>
      <w:bookmarkEnd w:id="387"/>
    </w:p>
    <w:p w14:paraId="559104E9">
      <w:pPr>
        <w:rPr>
          <w:rFonts w:ascii="宋体" w:hAnsi="宋体" w:cs="宋体"/>
          <w:b/>
          <w:bCs/>
          <w:color w:val="auto"/>
          <w:sz w:val="32"/>
          <w:szCs w:val="32"/>
          <w:highlight w:val="none"/>
        </w:rPr>
      </w:pPr>
    </w:p>
    <w:p w14:paraId="7AAE7883">
      <w:pPr>
        <w:spacing w:line="460" w:lineRule="exact"/>
        <w:ind w:firstLine="9638" w:firstLineChars="3000"/>
        <w:rPr>
          <w:rFonts w:ascii="宋体" w:hAnsi="宋体" w:cs="宋体"/>
          <w:b/>
          <w:bCs/>
          <w:color w:val="auto"/>
          <w:sz w:val="32"/>
          <w:szCs w:val="32"/>
          <w:highlight w:val="none"/>
        </w:rPr>
      </w:pPr>
      <w:bookmarkStart w:id="388" w:name="_Toc495841804"/>
      <w:bookmarkStart w:id="389" w:name="_Toc5317"/>
    </w:p>
    <w:p w14:paraId="32BD1B78">
      <w:pPr>
        <w:spacing w:line="4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3</w:t>
      </w:r>
      <w:r>
        <w:rPr>
          <w:rFonts w:hint="eastAsia" w:ascii="宋体" w:hAnsi="宋体" w:cs="宋体"/>
          <w:b/>
          <w:bCs/>
          <w:color w:val="auto"/>
          <w:sz w:val="32"/>
          <w:szCs w:val="32"/>
          <w:highlight w:val="none"/>
        </w:rPr>
        <w:t>.投标人或所投产品生产厂家相关获奖证书、认证证书等复印件（如有，请提供）</w:t>
      </w:r>
      <w:bookmarkEnd w:id="388"/>
      <w:bookmarkEnd w:id="389"/>
    </w:p>
    <w:p w14:paraId="68449DA4">
      <w:pPr>
        <w:pStyle w:val="9"/>
        <w:ind w:firstLine="0"/>
        <w:rPr>
          <w:color w:val="auto"/>
          <w:highlight w:val="none"/>
        </w:rPr>
      </w:pPr>
    </w:p>
    <w:p w14:paraId="6067FE04">
      <w:pPr>
        <w:rPr>
          <w:rFonts w:ascii="宋体" w:hAnsi="宋体" w:cs="宋体"/>
          <w:b/>
          <w:bCs/>
          <w:color w:val="auto"/>
          <w:sz w:val="32"/>
          <w:szCs w:val="32"/>
          <w:highlight w:val="none"/>
        </w:rPr>
      </w:pPr>
    </w:p>
    <w:p w14:paraId="0639575D">
      <w:pPr>
        <w:rPr>
          <w:rFonts w:ascii="宋体" w:hAnsi="宋体" w:cs="宋体"/>
          <w:b/>
          <w:bCs/>
          <w:color w:val="auto"/>
          <w:sz w:val="32"/>
          <w:szCs w:val="32"/>
          <w:highlight w:val="none"/>
        </w:rPr>
      </w:pPr>
    </w:p>
    <w:p w14:paraId="49D0B984">
      <w:pPr>
        <w:rPr>
          <w:rFonts w:ascii="宋体" w:hAnsi="宋体" w:cs="宋体"/>
          <w:b/>
          <w:bCs/>
          <w:color w:val="auto"/>
          <w:sz w:val="32"/>
          <w:szCs w:val="32"/>
          <w:highlight w:val="none"/>
        </w:rPr>
      </w:pPr>
      <w:bookmarkStart w:id="390" w:name="_Toc495841807"/>
      <w:bookmarkStart w:id="391" w:name="_Toc14735"/>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4</w:t>
      </w:r>
      <w:r>
        <w:rPr>
          <w:rFonts w:hint="eastAsia" w:ascii="宋体" w:hAnsi="宋体" w:cs="宋体"/>
          <w:b/>
          <w:bCs/>
          <w:color w:val="auto"/>
          <w:sz w:val="32"/>
          <w:szCs w:val="32"/>
          <w:highlight w:val="none"/>
        </w:rPr>
        <w:t>.投标人可结合本项目的评标办法视自身情况自行提交相关证明材料（如有，请提供）</w:t>
      </w:r>
      <w:bookmarkEnd w:id="390"/>
      <w:bookmarkEnd w:id="391"/>
      <w:r>
        <w:rPr>
          <w:rFonts w:hint="eastAsia" w:ascii="宋体" w:hAnsi="宋体" w:cs="宋体"/>
          <w:b/>
          <w:bCs/>
          <w:color w:val="auto"/>
          <w:sz w:val="32"/>
          <w:szCs w:val="32"/>
          <w:highlight w:val="none"/>
        </w:rPr>
        <w:t>。</w:t>
      </w:r>
    </w:p>
    <w:p w14:paraId="08A854C8">
      <w:pPr>
        <w:pStyle w:val="49"/>
        <w:rPr>
          <w:color w:val="auto"/>
          <w:highlight w:val="none"/>
        </w:rPr>
      </w:pPr>
    </w:p>
    <w:p w14:paraId="02C9277E">
      <w:pPr>
        <w:widowControl/>
        <w:jc w:val="left"/>
        <w:rPr>
          <w:color w:val="auto"/>
          <w:highlight w:val="none"/>
        </w:rPr>
      </w:pPr>
      <w:r>
        <w:rPr>
          <w:color w:val="auto"/>
          <w:highlight w:val="none"/>
        </w:rPr>
        <w:br w:type="page"/>
      </w:r>
    </w:p>
    <w:p w14:paraId="526100B6">
      <w:pPr>
        <w:pStyle w:val="17"/>
        <w:snapToGrid w:val="0"/>
        <w:rPr>
          <w:rFonts w:hAnsi="宋体"/>
          <w:b/>
          <w:color w:val="auto"/>
          <w:sz w:val="24"/>
          <w:szCs w:val="24"/>
          <w:highlight w:val="none"/>
        </w:rPr>
      </w:pPr>
      <w:r>
        <w:rPr>
          <w:rFonts w:hint="eastAsia" w:hAnsi="宋体"/>
          <w:b/>
          <w:color w:val="auto"/>
          <w:sz w:val="24"/>
          <w:szCs w:val="24"/>
          <w:highlight w:val="none"/>
        </w:rPr>
        <w:t>附表1：</w:t>
      </w:r>
    </w:p>
    <w:p w14:paraId="530A80B4">
      <w:pPr>
        <w:spacing w:line="460" w:lineRule="exact"/>
        <w:jc w:val="center"/>
        <w:rPr>
          <w:rFonts w:ascii="宋体" w:hAnsi="宋体"/>
          <w:color w:val="auto"/>
          <w:sz w:val="44"/>
          <w:highlight w:val="none"/>
        </w:rPr>
      </w:pPr>
      <w:r>
        <w:rPr>
          <w:rFonts w:hint="eastAsia" w:ascii="宋体" w:hAnsi="宋体"/>
          <w:color w:val="auto"/>
          <w:sz w:val="44"/>
          <w:highlight w:val="none"/>
        </w:rPr>
        <w:t>质疑函（格式）</w:t>
      </w:r>
    </w:p>
    <w:p w14:paraId="5F258C1B">
      <w:pPr>
        <w:pStyle w:val="17"/>
        <w:snapToGrid w:val="0"/>
        <w:spacing w:line="320" w:lineRule="exact"/>
        <w:ind w:firstLine="422" w:firstLineChars="200"/>
        <w:rPr>
          <w:rFonts w:hAnsi="宋体"/>
          <w:b/>
          <w:bCs/>
          <w:color w:val="auto"/>
          <w:highlight w:val="none"/>
        </w:rPr>
      </w:pPr>
      <w:r>
        <w:rPr>
          <w:rFonts w:hint="eastAsia" w:hAnsi="宋体"/>
          <w:b/>
          <w:bCs/>
          <w:color w:val="auto"/>
          <w:highlight w:val="none"/>
        </w:rPr>
        <w:t>一、质疑供应商基本信息：</w:t>
      </w:r>
    </w:p>
    <w:p w14:paraId="1E6521AB">
      <w:pPr>
        <w:pStyle w:val="17"/>
        <w:snapToGrid w:val="0"/>
        <w:spacing w:line="320" w:lineRule="exact"/>
        <w:ind w:firstLine="420" w:firstLineChars="200"/>
        <w:rPr>
          <w:rFonts w:hAnsi="宋体"/>
          <w:bCs/>
          <w:color w:val="auto"/>
          <w:highlight w:val="none"/>
          <w:u w:val="single"/>
        </w:rPr>
      </w:pPr>
      <w:r>
        <w:rPr>
          <w:rFonts w:hint="eastAsia" w:hAnsi="宋体"/>
          <w:bCs/>
          <w:color w:val="auto"/>
          <w:highlight w:val="none"/>
        </w:rPr>
        <w:t>质疑供应商：</w:t>
      </w:r>
      <w:r>
        <w:rPr>
          <w:rFonts w:hAnsi="宋体"/>
          <w:bCs/>
          <w:color w:val="auto"/>
          <w:highlight w:val="none"/>
          <w:u w:val="single"/>
        </w:rPr>
        <w:t>    </w:t>
      </w:r>
    </w:p>
    <w:p w14:paraId="44CCF917">
      <w:pPr>
        <w:pStyle w:val="17"/>
        <w:snapToGrid w:val="0"/>
        <w:spacing w:line="32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7869B027">
      <w:pPr>
        <w:pStyle w:val="17"/>
        <w:snapToGrid w:val="0"/>
        <w:spacing w:line="320" w:lineRule="exact"/>
        <w:ind w:firstLine="420" w:firstLineChars="200"/>
        <w:rPr>
          <w:rFonts w:hAnsi="宋体"/>
          <w:bCs/>
          <w:color w:val="auto"/>
          <w:highlight w:val="none"/>
          <w:u w:val="single"/>
        </w:rPr>
      </w:pPr>
      <w:r>
        <w:rPr>
          <w:rFonts w:hAnsi="宋体"/>
          <w:bCs/>
          <w:color w:val="auto"/>
          <w:highlight w:val="none"/>
        </w:rPr>
        <w:t>联系人</w:t>
      </w:r>
      <w:r>
        <w:rPr>
          <w:rFonts w:hint="eastAsia" w:hAnsi="宋体"/>
          <w:bCs/>
          <w:color w:val="auto"/>
          <w:highlight w:val="none"/>
        </w:rPr>
        <w:t>：</w:t>
      </w:r>
      <w:r>
        <w:rPr>
          <w:rFonts w:hAnsi="宋体"/>
          <w:bCs/>
          <w:color w:val="auto"/>
          <w:highlight w:val="none"/>
        </w:rPr>
        <w:t>联系电话</w:t>
      </w:r>
      <w:r>
        <w:rPr>
          <w:rFonts w:hint="eastAsia" w:hAnsi="宋体"/>
          <w:bCs/>
          <w:color w:val="auto"/>
          <w:highlight w:val="none"/>
        </w:rPr>
        <w:t>：</w:t>
      </w:r>
      <w:r>
        <w:rPr>
          <w:rFonts w:hAnsi="宋体"/>
          <w:bCs/>
          <w:color w:val="auto"/>
          <w:highlight w:val="none"/>
          <w:u w:val="single"/>
        </w:rPr>
        <w:t>  </w:t>
      </w:r>
    </w:p>
    <w:p w14:paraId="2B20311E">
      <w:pPr>
        <w:pStyle w:val="17"/>
        <w:snapToGrid w:val="0"/>
        <w:spacing w:line="320" w:lineRule="exact"/>
        <w:ind w:firstLine="420" w:firstLineChars="200"/>
        <w:rPr>
          <w:rFonts w:hAnsi="宋体"/>
          <w:bCs/>
          <w:color w:val="auto"/>
          <w:highlight w:val="none"/>
          <w:u w:val="single"/>
        </w:rPr>
      </w:pPr>
      <w:r>
        <w:rPr>
          <w:rFonts w:hint="eastAsia" w:hAnsi="宋体"/>
          <w:bCs/>
          <w:color w:val="auto"/>
          <w:highlight w:val="none"/>
        </w:rPr>
        <w:t>授权代表：</w:t>
      </w:r>
      <w:r>
        <w:rPr>
          <w:rFonts w:hAnsi="宋体"/>
          <w:bCs/>
          <w:color w:val="auto"/>
          <w:highlight w:val="none"/>
          <w:u w:val="single"/>
        </w:rPr>
        <w:t>      </w:t>
      </w:r>
      <w:r>
        <w:rPr>
          <w:rFonts w:hAnsi="宋体"/>
          <w:bCs/>
          <w:color w:val="auto"/>
          <w:highlight w:val="none"/>
        </w:rPr>
        <w:t>       联系</w:t>
      </w:r>
      <w:r>
        <w:rPr>
          <w:rFonts w:hint="eastAsia" w:hAnsi="宋体"/>
          <w:bCs/>
          <w:color w:val="auto"/>
          <w:highlight w:val="none"/>
        </w:rPr>
        <w:t>电话：</w:t>
      </w:r>
      <w:r>
        <w:rPr>
          <w:rFonts w:hAnsi="宋体"/>
          <w:bCs/>
          <w:color w:val="auto"/>
          <w:highlight w:val="none"/>
          <w:u w:val="single"/>
        </w:rPr>
        <w:t>  </w:t>
      </w:r>
    </w:p>
    <w:p w14:paraId="2280C50F">
      <w:pPr>
        <w:pStyle w:val="17"/>
        <w:snapToGrid w:val="0"/>
        <w:spacing w:line="32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3A77E2F8">
      <w:pPr>
        <w:pStyle w:val="17"/>
        <w:snapToGrid w:val="0"/>
        <w:spacing w:line="320" w:lineRule="exact"/>
        <w:ind w:firstLine="422" w:firstLineChars="200"/>
        <w:rPr>
          <w:rFonts w:hAnsi="宋体"/>
          <w:b/>
          <w:bCs/>
          <w:color w:val="auto"/>
          <w:highlight w:val="none"/>
        </w:rPr>
      </w:pPr>
      <w:r>
        <w:rPr>
          <w:rFonts w:hint="eastAsia" w:hAnsi="宋体"/>
          <w:b/>
          <w:bCs/>
          <w:color w:val="auto"/>
          <w:highlight w:val="none"/>
        </w:rPr>
        <w:t xml:space="preserve">二、质疑项目基本情况： </w:t>
      </w:r>
    </w:p>
    <w:p w14:paraId="1E60412F">
      <w:pPr>
        <w:pStyle w:val="17"/>
        <w:spacing w:line="320" w:lineRule="exact"/>
        <w:ind w:left="25" w:leftChars="12" w:firstLine="413" w:firstLineChars="197"/>
        <w:rPr>
          <w:rFonts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项目的名称：</w:t>
      </w:r>
      <w:r>
        <w:rPr>
          <w:rFonts w:hAnsi="宋体"/>
          <w:bCs/>
          <w:color w:val="auto"/>
          <w:highlight w:val="none"/>
          <w:u w:val="single"/>
        </w:rPr>
        <w:t>               </w:t>
      </w:r>
    </w:p>
    <w:p w14:paraId="39DAABAD">
      <w:pPr>
        <w:pStyle w:val="17"/>
        <w:spacing w:line="320" w:lineRule="exact"/>
        <w:ind w:left="25" w:leftChars="12" w:firstLine="413" w:firstLineChars="197"/>
        <w:rPr>
          <w:rFonts w:hAnsi="宋体"/>
          <w:bCs/>
          <w:color w:val="auto"/>
          <w:highlight w:val="none"/>
          <w:u w:val="single"/>
        </w:rPr>
      </w:pPr>
      <w:r>
        <w:rPr>
          <w:rFonts w:hint="eastAsia" w:hAnsi="宋体"/>
          <w:bCs/>
          <w:color w:val="auto"/>
          <w:highlight w:val="none"/>
        </w:rPr>
        <w:t>质疑</w:t>
      </w:r>
      <w:r>
        <w:rPr>
          <w:rFonts w:hint="eastAsia" w:hAnsi="宋体"/>
          <w:color w:val="auto"/>
          <w:szCs w:val="21"/>
          <w:highlight w:val="none"/>
        </w:rPr>
        <w:t>项目的编号：</w:t>
      </w:r>
      <w:r>
        <w:rPr>
          <w:rFonts w:hAnsi="宋体"/>
          <w:bCs/>
          <w:color w:val="auto"/>
          <w:highlight w:val="none"/>
          <w:u w:val="single"/>
        </w:rPr>
        <w:t>  </w:t>
      </w:r>
    </w:p>
    <w:p w14:paraId="0BFF934C">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采购人名称：</w:t>
      </w:r>
      <w:r>
        <w:rPr>
          <w:rFonts w:hAnsi="宋体"/>
          <w:bCs/>
          <w:color w:val="auto"/>
          <w:highlight w:val="none"/>
          <w:u w:val="single"/>
        </w:rPr>
        <w:t>    </w:t>
      </w:r>
    </w:p>
    <w:p w14:paraId="309DE237">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质疑事项：</w:t>
      </w:r>
    </w:p>
    <w:p w14:paraId="5B9B3FDF">
      <w:pPr>
        <w:pStyle w:val="17"/>
        <w:spacing w:line="320" w:lineRule="exact"/>
        <w:ind w:left="25" w:leftChars="12" w:firstLine="441" w:firstLineChars="147"/>
        <w:rPr>
          <w:rFonts w:hAnsi="宋体"/>
          <w:bCs/>
          <w:color w:val="auto"/>
          <w:highlight w:val="none"/>
          <w:u w:val="single"/>
        </w:rPr>
      </w:pPr>
      <w:r>
        <w:rPr>
          <w:rFonts w:hint="eastAsia" w:hAnsi="宋体"/>
          <w:color w:val="auto"/>
          <w:sz w:val="30"/>
          <w:szCs w:val="30"/>
          <w:highlight w:val="none"/>
        </w:rPr>
        <w:t>□</w:t>
      </w:r>
      <w:r>
        <w:rPr>
          <w:rFonts w:hint="eastAsia" w:hAnsi="宋体"/>
          <w:color w:val="auto"/>
          <w:szCs w:val="21"/>
          <w:highlight w:val="none"/>
        </w:rPr>
        <w:t>谈判文件   采购文件获取日期：</w:t>
      </w:r>
      <w:r>
        <w:rPr>
          <w:rFonts w:hAnsi="宋体"/>
          <w:bCs/>
          <w:color w:val="auto"/>
          <w:highlight w:val="none"/>
          <w:u w:val="single"/>
        </w:rPr>
        <w:t>    </w:t>
      </w:r>
    </w:p>
    <w:p w14:paraId="2B4731A8">
      <w:pPr>
        <w:pStyle w:val="17"/>
        <w:spacing w:line="320" w:lineRule="exact"/>
        <w:ind w:left="25" w:leftChars="12" w:firstLine="441" w:firstLineChars="147"/>
        <w:rPr>
          <w:rFonts w:hAnsi="宋体"/>
          <w:color w:val="auto"/>
          <w:szCs w:val="21"/>
          <w:highlight w:val="none"/>
        </w:rPr>
      </w:pPr>
      <w:r>
        <w:rPr>
          <w:rFonts w:hint="eastAsia" w:hAnsi="宋体"/>
          <w:color w:val="auto"/>
          <w:sz w:val="30"/>
          <w:szCs w:val="30"/>
          <w:highlight w:val="none"/>
        </w:rPr>
        <w:t>□</w:t>
      </w:r>
      <w:r>
        <w:rPr>
          <w:rFonts w:hint="eastAsia" w:hAnsi="宋体"/>
          <w:color w:val="auto"/>
          <w:szCs w:val="21"/>
          <w:highlight w:val="none"/>
        </w:rPr>
        <w:t xml:space="preserve">采购过程   </w:t>
      </w:r>
    </w:p>
    <w:p w14:paraId="4D744A85">
      <w:pPr>
        <w:pStyle w:val="17"/>
        <w:spacing w:line="320" w:lineRule="exact"/>
        <w:ind w:left="25" w:leftChars="12" w:firstLine="441" w:firstLineChars="147"/>
        <w:rPr>
          <w:rFonts w:hAnsi="宋体"/>
          <w:bCs/>
          <w:color w:val="auto"/>
          <w:highlight w:val="none"/>
          <w:u w:val="single"/>
        </w:rPr>
      </w:pPr>
      <w:r>
        <w:rPr>
          <w:rFonts w:hint="eastAsia" w:hAnsi="宋体"/>
          <w:color w:val="auto"/>
          <w:sz w:val="30"/>
          <w:szCs w:val="30"/>
          <w:highlight w:val="none"/>
        </w:rPr>
        <w:t>□</w:t>
      </w:r>
      <w:r>
        <w:rPr>
          <w:rFonts w:hint="eastAsia" w:hAnsi="宋体"/>
          <w:color w:val="auto"/>
          <w:szCs w:val="21"/>
          <w:highlight w:val="none"/>
        </w:rPr>
        <w:t xml:space="preserve">成交结果   </w:t>
      </w:r>
    </w:p>
    <w:p w14:paraId="3CE3E98C">
      <w:pPr>
        <w:pStyle w:val="17"/>
        <w:spacing w:line="320" w:lineRule="exact"/>
        <w:ind w:left="25" w:leftChars="12" w:firstLine="413" w:firstLineChars="196"/>
        <w:rPr>
          <w:rFonts w:hAnsi="宋体"/>
          <w:b/>
          <w:color w:val="auto"/>
          <w:szCs w:val="21"/>
          <w:highlight w:val="none"/>
        </w:rPr>
      </w:pPr>
      <w:r>
        <w:rPr>
          <w:rFonts w:hint="eastAsia" w:hAnsi="宋体"/>
          <w:b/>
          <w:color w:val="auto"/>
          <w:szCs w:val="21"/>
          <w:highlight w:val="none"/>
        </w:rPr>
        <w:t>三、质疑事项具体内容</w:t>
      </w:r>
    </w:p>
    <w:p w14:paraId="179C583A">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质疑事项1：</w:t>
      </w:r>
      <w:r>
        <w:rPr>
          <w:rFonts w:hAnsi="宋体"/>
          <w:bCs/>
          <w:color w:val="auto"/>
          <w:highlight w:val="none"/>
          <w:u w:val="single"/>
        </w:rPr>
        <w:t>                </w:t>
      </w:r>
      <w:r>
        <w:rPr>
          <w:rFonts w:hint="eastAsia" w:hAnsi="宋体"/>
          <w:bCs/>
          <w:color w:val="auto"/>
          <w:highlight w:val="none"/>
          <w:u w:val="single"/>
        </w:rPr>
        <w:t xml:space="preserve">               </w:t>
      </w:r>
      <w:r>
        <w:rPr>
          <w:rFonts w:hAnsi="宋体"/>
          <w:bCs/>
          <w:color w:val="auto"/>
          <w:highlight w:val="none"/>
          <w:u w:val="single"/>
        </w:rPr>
        <w:t>   </w:t>
      </w:r>
    </w:p>
    <w:p w14:paraId="057456D3">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事实依据：</w:t>
      </w:r>
      <w:r>
        <w:rPr>
          <w:rFonts w:hAnsi="宋体"/>
          <w:bCs/>
          <w:color w:val="auto"/>
          <w:highlight w:val="none"/>
          <w:u w:val="single"/>
        </w:rPr>
        <w:t>                      </w:t>
      </w:r>
    </w:p>
    <w:p w14:paraId="3959C99E">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法律依据：</w:t>
      </w:r>
      <w:r>
        <w:rPr>
          <w:rFonts w:hAnsi="宋体"/>
          <w:bCs/>
          <w:color w:val="auto"/>
          <w:highlight w:val="none"/>
          <w:u w:val="single"/>
        </w:rPr>
        <w:t>          </w:t>
      </w:r>
    </w:p>
    <w:p w14:paraId="56E1CF44">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质疑事项2：</w:t>
      </w:r>
      <w:r>
        <w:rPr>
          <w:rFonts w:hAnsi="宋体"/>
          <w:bCs/>
          <w:color w:val="auto"/>
          <w:highlight w:val="none"/>
          <w:u w:val="single"/>
        </w:rPr>
        <w:t>          </w:t>
      </w:r>
    </w:p>
    <w:p w14:paraId="660D03CD">
      <w:pPr>
        <w:pStyle w:val="17"/>
        <w:spacing w:line="320" w:lineRule="exact"/>
        <w:ind w:left="25" w:leftChars="12" w:firstLine="413" w:firstLineChars="197"/>
        <w:rPr>
          <w:rFonts w:hAnsi="宋体"/>
          <w:color w:val="auto"/>
          <w:szCs w:val="21"/>
          <w:highlight w:val="none"/>
        </w:rPr>
      </w:pPr>
      <w:r>
        <w:rPr>
          <w:rFonts w:hAnsi="宋体"/>
          <w:color w:val="auto"/>
          <w:szCs w:val="21"/>
          <w:highlight w:val="none"/>
        </w:rPr>
        <w:t>……</w:t>
      </w:r>
    </w:p>
    <w:p w14:paraId="1B3883B5">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四、与质疑事项相关的质疑请求：</w:t>
      </w:r>
    </w:p>
    <w:p w14:paraId="5309CC18">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请求：</w:t>
      </w:r>
      <w:r>
        <w:rPr>
          <w:rFonts w:hAnsi="宋体"/>
          <w:bCs/>
          <w:color w:val="auto"/>
          <w:highlight w:val="none"/>
          <w:u w:val="single"/>
        </w:rPr>
        <w:t>              </w:t>
      </w:r>
      <w:r>
        <w:rPr>
          <w:rFonts w:hint="eastAsia" w:hAnsi="宋体"/>
          <w:bCs/>
          <w:color w:val="auto"/>
          <w:highlight w:val="none"/>
          <w:u w:val="single"/>
        </w:rPr>
        <w:t xml:space="preserve">                 </w:t>
      </w:r>
      <w:r>
        <w:rPr>
          <w:rFonts w:hAnsi="宋体"/>
          <w:bCs/>
          <w:color w:val="auto"/>
          <w:highlight w:val="none"/>
          <w:u w:val="single"/>
        </w:rPr>
        <w:t>   </w:t>
      </w:r>
    </w:p>
    <w:p w14:paraId="12362C8B">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签字（签章）：</w:t>
      </w:r>
      <w:r>
        <w:rPr>
          <w:rFonts w:hAnsi="宋体"/>
          <w:color w:val="auto"/>
          <w:szCs w:val="21"/>
          <w:highlight w:val="none"/>
          <w:u w:val="single"/>
        </w:rPr>
        <w:t>             </w:t>
      </w:r>
    </w:p>
    <w:p w14:paraId="07C07193">
      <w:pPr>
        <w:pStyle w:val="17"/>
        <w:spacing w:line="320" w:lineRule="exact"/>
        <w:ind w:left="25" w:leftChars="12" w:firstLine="413" w:firstLineChars="197"/>
        <w:rPr>
          <w:rFonts w:hAnsi="宋体"/>
          <w:color w:val="auto"/>
          <w:szCs w:val="21"/>
          <w:highlight w:val="none"/>
          <w:u w:val="single"/>
        </w:rPr>
      </w:pPr>
      <w:r>
        <w:rPr>
          <w:rFonts w:hint="eastAsia" w:hAnsi="宋体"/>
          <w:color w:val="auto"/>
          <w:szCs w:val="21"/>
          <w:highlight w:val="none"/>
        </w:rPr>
        <w:t>公章：</w:t>
      </w:r>
      <w:r>
        <w:rPr>
          <w:rFonts w:hAnsi="宋体"/>
          <w:color w:val="auto"/>
          <w:szCs w:val="21"/>
          <w:highlight w:val="none"/>
          <w:u w:val="single"/>
        </w:rPr>
        <w:t>                 </w:t>
      </w:r>
    </w:p>
    <w:p w14:paraId="4DE82F03">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w:t>
      </w:r>
    </w:p>
    <w:p w14:paraId="567E9AF4">
      <w:pPr>
        <w:pStyle w:val="17"/>
        <w:snapToGrid w:val="0"/>
        <w:spacing w:line="320" w:lineRule="exact"/>
        <w:rPr>
          <w:rFonts w:hAnsi="宋体"/>
          <w:b/>
          <w:color w:val="auto"/>
          <w:szCs w:val="21"/>
          <w:highlight w:val="none"/>
        </w:rPr>
      </w:pPr>
    </w:p>
    <w:p w14:paraId="71583825">
      <w:pPr>
        <w:pStyle w:val="17"/>
        <w:snapToGrid w:val="0"/>
        <w:spacing w:line="320" w:lineRule="exact"/>
        <w:rPr>
          <w:rFonts w:hAnsi="宋体"/>
          <w:b/>
          <w:color w:val="auto"/>
          <w:szCs w:val="21"/>
          <w:highlight w:val="none"/>
        </w:rPr>
      </w:pPr>
      <w:r>
        <w:rPr>
          <w:rFonts w:hint="eastAsia" w:hAnsi="宋体"/>
          <w:b/>
          <w:color w:val="auto"/>
          <w:szCs w:val="21"/>
          <w:highlight w:val="none"/>
        </w:rPr>
        <w:t>说明：</w:t>
      </w:r>
    </w:p>
    <w:p w14:paraId="5E6727A4">
      <w:pPr>
        <w:pStyle w:val="17"/>
        <w:spacing w:line="320" w:lineRule="exact"/>
        <w:ind w:left="25" w:leftChars="12" w:firstLine="310" w:firstLineChars="147"/>
        <w:rPr>
          <w:rFonts w:hAnsi="宋体"/>
          <w:b/>
          <w:bCs/>
          <w:color w:val="auto"/>
          <w:highlight w:val="none"/>
        </w:rPr>
      </w:pPr>
      <w:r>
        <w:rPr>
          <w:rFonts w:hint="eastAsia" w:hAnsi="宋体"/>
          <w:b/>
          <w:color w:val="auto"/>
          <w:szCs w:val="21"/>
          <w:highlight w:val="none"/>
        </w:rPr>
        <w:t>1.供应商提出质疑时，应提交质疑函和必要的证明材料</w:t>
      </w:r>
      <w:r>
        <w:rPr>
          <w:rFonts w:hint="eastAsia" w:hAnsi="宋体"/>
          <w:b/>
          <w:bCs/>
          <w:color w:val="auto"/>
          <w:highlight w:val="none"/>
        </w:rPr>
        <w:t>。</w:t>
      </w:r>
    </w:p>
    <w:p w14:paraId="3F161B8A">
      <w:pPr>
        <w:pStyle w:val="17"/>
        <w:spacing w:line="320" w:lineRule="exact"/>
        <w:ind w:left="25" w:leftChars="12" w:firstLine="310" w:firstLineChars="147"/>
        <w:rPr>
          <w:rFonts w:hAnsi="宋体"/>
          <w:b/>
          <w:color w:val="auto"/>
          <w:szCs w:val="21"/>
          <w:highlight w:val="none"/>
        </w:rPr>
      </w:pPr>
      <w:r>
        <w:rPr>
          <w:rFonts w:hint="eastAsia"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3717D9">
      <w:pPr>
        <w:pStyle w:val="17"/>
        <w:spacing w:line="320" w:lineRule="exact"/>
        <w:ind w:left="25" w:leftChars="12" w:firstLine="310" w:firstLineChars="147"/>
        <w:rPr>
          <w:rFonts w:hAnsi="宋体"/>
          <w:b/>
          <w:color w:val="auto"/>
          <w:szCs w:val="21"/>
          <w:highlight w:val="none"/>
        </w:rPr>
      </w:pPr>
      <w:r>
        <w:rPr>
          <w:rFonts w:hint="eastAsia" w:hAnsi="宋体"/>
          <w:b/>
          <w:color w:val="auto"/>
          <w:szCs w:val="21"/>
          <w:highlight w:val="none"/>
        </w:rPr>
        <w:t>3.质疑函的质疑事项应具体、明确，并有必要的事实依据和法律依据。</w:t>
      </w:r>
    </w:p>
    <w:p w14:paraId="3170C406">
      <w:pPr>
        <w:pStyle w:val="17"/>
        <w:spacing w:line="320" w:lineRule="exact"/>
        <w:ind w:left="25" w:leftChars="12" w:firstLine="310" w:firstLineChars="147"/>
        <w:rPr>
          <w:rFonts w:hAnsi="宋体"/>
          <w:b/>
          <w:color w:val="auto"/>
          <w:szCs w:val="21"/>
          <w:highlight w:val="none"/>
        </w:rPr>
      </w:pPr>
      <w:r>
        <w:rPr>
          <w:rFonts w:hint="eastAsia" w:hAnsi="宋体"/>
          <w:b/>
          <w:color w:val="auto"/>
          <w:szCs w:val="21"/>
          <w:highlight w:val="none"/>
        </w:rPr>
        <w:t>4.质疑函的质疑请求应与质疑事项相关。</w:t>
      </w:r>
    </w:p>
    <w:p w14:paraId="7D3E2EB9">
      <w:pPr>
        <w:pStyle w:val="17"/>
        <w:spacing w:line="320" w:lineRule="exact"/>
        <w:ind w:left="25" w:leftChars="12" w:firstLine="310" w:firstLineChars="147"/>
        <w:rPr>
          <w:rFonts w:hAnsi="宋体"/>
          <w:b/>
          <w:bCs/>
          <w:color w:val="auto"/>
          <w:highlight w:val="none"/>
        </w:rPr>
      </w:pPr>
      <w:r>
        <w:rPr>
          <w:rFonts w:hAnsi="宋体"/>
          <w:b/>
          <w:bCs/>
          <w:color w:val="auto"/>
          <w:highlight w:val="none"/>
        </w:rPr>
        <w:t>5.</w:t>
      </w:r>
      <w:r>
        <w:rPr>
          <w:rFonts w:hint="eastAsia" w:hAnsi="宋体"/>
          <w:b/>
          <w:bCs/>
          <w:color w:val="auto"/>
          <w:highlight w:val="none"/>
        </w:rPr>
        <w:t>质疑供应商为法人或者其他组织的，质疑函应由法定代表人、主要负责人，或者其授权代表签字或者盖章，并加盖公章。</w:t>
      </w:r>
    </w:p>
    <w:p w14:paraId="75C522FA">
      <w:pPr>
        <w:pStyle w:val="17"/>
        <w:snapToGrid w:val="0"/>
        <w:rPr>
          <w:rFonts w:hAnsi="宋体"/>
          <w:b/>
          <w:color w:val="auto"/>
          <w:sz w:val="24"/>
          <w:szCs w:val="24"/>
          <w:highlight w:val="none"/>
        </w:rPr>
      </w:pPr>
      <w:r>
        <w:rPr>
          <w:rFonts w:hAnsi="宋体"/>
          <w:b/>
          <w:color w:val="auto"/>
          <w:sz w:val="24"/>
          <w:szCs w:val="24"/>
          <w:highlight w:val="none"/>
        </w:rPr>
        <w:br w:type="page"/>
      </w:r>
      <w:r>
        <w:rPr>
          <w:rFonts w:hint="eastAsia" w:hAnsi="宋体"/>
          <w:b/>
          <w:color w:val="auto"/>
          <w:sz w:val="24"/>
          <w:szCs w:val="24"/>
          <w:highlight w:val="none"/>
        </w:rPr>
        <w:t>附表2：</w:t>
      </w:r>
    </w:p>
    <w:p w14:paraId="38402F49">
      <w:pPr>
        <w:spacing w:line="460" w:lineRule="exact"/>
        <w:jc w:val="center"/>
        <w:rPr>
          <w:rFonts w:ascii="宋体" w:hAnsi="宋体"/>
          <w:color w:val="auto"/>
          <w:sz w:val="44"/>
          <w:highlight w:val="none"/>
        </w:rPr>
      </w:pPr>
    </w:p>
    <w:p w14:paraId="3C150072">
      <w:pPr>
        <w:spacing w:line="460" w:lineRule="exact"/>
        <w:jc w:val="center"/>
        <w:rPr>
          <w:rFonts w:ascii="宋体" w:hAnsi="宋体"/>
          <w:color w:val="auto"/>
          <w:sz w:val="44"/>
          <w:highlight w:val="none"/>
        </w:rPr>
      </w:pPr>
      <w:r>
        <w:rPr>
          <w:rFonts w:hint="eastAsia" w:ascii="宋体" w:hAnsi="宋体"/>
          <w:color w:val="auto"/>
          <w:sz w:val="44"/>
          <w:highlight w:val="none"/>
        </w:rPr>
        <w:t>投诉书（格式）</w:t>
      </w:r>
    </w:p>
    <w:p w14:paraId="0E6C63EE">
      <w:pPr>
        <w:pStyle w:val="17"/>
        <w:snapToGrid w:val="0"/>
        <w:spacing w:line="400" w:lineRule="exact"/>
        <w:ind w:firstLine="422" w:firstLineChars="200"/>
        <w:rPr>
          <w:rFonts w:hAnsi="宋体"/>
          <w:b/>
          <w:bCs/>
          <w:color w:val="auto"/>
          <w:highlight w:val="none"/>
        </w:rPr>
      </w:pPr>
      <w:r>
        <w:rPr>
          <w:rFonts w:hint="eastAsia" w:hAnsi="宋体"/>
          <w:b/>
          <w:bCs/>
          <w:color w:val="auto"/>
          <w:highlight w:val="none"/>
        </w:rPr>
        <w:t>一、投诉相关主体基本情况：</w:t>
      </w:r>
    </w:p>
    <w:p w14:paraId="1DE00832">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投标人：</w:t>
      </w:r>
      <w:r>
        <w:rPr>
          <w:rFonts w:hAnsi="宋体"/>
          <w:bCs/>
          <w:color w:val="auto"/>
          <w:highlight w:val="none"/>
          <w:u w:val="single"/>
        </w:rPr>
        <w:t>             </w:t>
      </w:r>
    </w:p>
    <w:p w14:paraId="5F7D1BDB">
      <w:pPr>
        <w:pStyle w:val="17"/>
        <w:snapToGrid w:val="0"/>
        <w:spacing w:line="400" w:lineRule="exact"/>
        <w:ind w:firstLine="420" w:firstLineChars="200"/>
        <w:rPr>
          <w:rFonts w:hAnsi="宋体"/>
          <w:bCs/>
          <w:color w:val="auto"/>
          <w:highlight w:val="non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723F88A5">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法定代表人/主要负责人：</w:t>
      </w:r>
      <w:r>
        <w:rPr>
          <w:rFonts w:hAnsi="宋体"/>
          <w:bCs/>
          <w:color w:val="auto"/>
          <w:highlight w:val="none"/>
          <w:u w:val="single"/>
        </w:rPr>
        <w:t>     </w:t>
      </w:r>
    </w:p>
    <w:p w14:paraId="6BFF283E">
      <w:pPr>
        <w:pStyle w:val="17"/>
        <w:snapToGrid w:val="0"/>
        <w:spacing w:line="400" w:lineRule="exact"/>
        <w:ind w:firstLine="420" w:firstLineChars="200"/>
        <w:rPr>
          <w:rFonts w:hAnsi="宋体"/>
          <w:bCs/>
          <w:color w:val="auto"/>
          <w:highlight w:val="none"/>
          <w:u w:val="single"/>
        </w:rPr>
      </w:pPr>
      <w:r>
        <w:rPr>
          <w:rFonts w:hAnsi="宋体"/>
          <w:bCs/>
          <w:color w:val="auto"/>
          <w:highlight w:val="none"/>
        </w:rPr>
        <w:t>联系电话</w:t>
      </w:r>
      <w:r>
        <w:rPr>
          <w:rFonts w:hint="eastAsia" w:hAnsi="宋体"/>
          <w:bCs/>
          <w:color w:val="auto"/>
          <w:highlight w:val="none"/>
        </w:rPr>
        <w:t>：</w:t>
      </w:r>
      <w:r>
        <w:rPr>
          <w:rFonts w:hAnsi="宋体"/>
          <w:bCs/>
          <w:color w:val="auto"/>
          <w:highlight w:val="none"/>
          <w:u w:val="single"/>
        </w:rPr>
        <w:t>              </w:t>
      </w:r>
    </w:p>
    <w:p w14:paraId="7FF215C1">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授权代表：</w:t>
      </w:r>
      <w:r>
        <w:rPr>
          <w:rFonts w:hAnsi="宋体"/>
          <w:bCs/>
          <w:color w:val="auto"/>
          <w:highlight w:val="none"/>
        </w:rPr>
        <w:t>联系</w:t>
      </w:r>
      <w:r>
        <w:rPr>
          <w:rFonts w:hint="eastAsia" w:hAnsi="宋体"/>
          <w:bCs/>
          <w:color w:val="auto"/>
          <w:highlight w:val="none"/>
        </w:rPr>
        <w:t>电话：</w:t>
      </w:r>
      <w:r>
        <w:rPr>
          <w:rFonts w:hAnsi="宋体"/>
          <w:bCs/>
          <w:color w:val="auto"/>
          <w:highlight w:val="none"/>
          <w:u w:val="single"/>
        </w:rPr>
        <w:t>              </w:t>
      </w:r>
    </w:p>
    <w:p w14:paraId="046C5D19">
      <w:pPr>
        <w:pStyle w:val="17"/>
        <w:snapToGrid w:val="0"/>
        <w:spacing w:line="40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5EA00C16">
      <w:pPr>
        <w:pStyle w:val="17"/>
        <w:snapToGrid w:val="0"/>
        <w:spacing w:line="400" w:lineRule="exact"/>
        <w:ind w:firstLine="420" w:firstLineChars="200"/>
        <w:rPr>
          <w:rFonts w:hAnsi="宋体"/>
          <w:bCs/>
          <w:color w:val="auto"/>
          <w:highlight w:val="none"/>
        </w:rPr>
      </w:pPr>
      <w:r>
        <w:rPr>
          <w:rFonts w:hint="eastAsia" w:hAnsi="宋体"/>
          <w:bCs/>
          <w:color w:val="auto"/>
          <w:highlight w:val="none"/>
        </w:rPr>
        <w:t>被投诉人1：</w:t>
      </w:r>
      <w:r>
        <w:rPr>
          <w:rFonts w:hAnsi="宋体"/>
          <w:bCs/>
          <w:color w:val="auto"/>
          <w:highlight w:val="none"/>
          <w:u w:val="single"/>
        </w:rPr>
        <w:t>                  </w:t>
      </w:r>
    </w:p>
    <w:p w14:paraId="36ED4ADE">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地址：</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6AE64F29">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联系人：</w:t>
      </w:r>
      <w:r>
        <w:rPr>
          <w:rFonts w:hAnsi="宋体"/>
          <w:bCs/>
          <w:color w:val="auto"/>
          <w:highlight w:val="none"/>
        </w:rPr>
        <w:t>联系</w:t>
      </w:r>
      <w:r>
        <w:rPr>
          <w:rFonts w:hint="eastAsia" w:hAnsi="宋体"/>
          <w:bCs/>
          <w:color w:val="auto"/>
          <w:highlight w:val="none"/>
        </w:rPr>
        <w:t>电话：</w:t>
      </w:r>
      <w:r>
        <w:rPr>
          <w:rFonts w:hAnsi="宋体"/>
          <w:bCs/>
          <w:color w:val="auto"/>
          <w:highlight w:val="none"/>
          <w:u w:val="single"/>
        </w:rPr>
        <w:t>              </w:t>
      </w:r>
    </w:p>
    <w:p w14:paraId="2CC041EB">
      <w:pPr>
        <w:pStyle w:val="17"/>
        <w:snapToGrid w:val="0"/>
        <w:spacing w:line="400" w:lineRule="exact"/>
        <w:ind w:firstLine="420" w:firstLineChars="200"/>
        <w:rPr>
          <w:rFonts w:hAnsi="宋体"/>
          <w:bCs/>
          <w:color w:val="auto"/>
          <w:highlight w:val="none"/>
        </w:rPr>
      </w:pPr>
      <w:r>
        <w:rPr>
          <w:rFonts w:hint="eastAsia" w:hAnsi="宋体"/>
          <w:bCs/>
          <w:color w:val="auto"/>
          <w:highlight w:val="none"/>
        </w:rPr>
        <w:t>被投诉人2：</w:t>
      </w:r>
    </w:p>
    <w:p w14:paraId="3A021202">
      <w:pPr>
        <w:pStyle w:val="17"/>
        <w:snapToGrid w:val="0"/>
        <w:spacing w:line="400" w:lineRule="exact"/>
        <w:ind w:firstLine="420" w:firstLineChars="200"/>
        <w:rPr>
          <w:rFonts w:hAnsi="宋体"/>
          <w:bCs/>
          <w:color w:val="auto"/>
          <w:highlight w:val="none"/>
        </w:rPr>
      </w:pPr>
      <w:r>
        <w:rPr>
          <w:rFonts w:hAnsi="宋体"/>
          <w:bCs/>
          <w:color w:val="auto"/>
          <w:highlight w:val="none"/>
        </w:rPr>
        <w:t>……</w:t>
      </w:r>
    </w:p>
    <w:p w14:paraId="51F2F951">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相关供应商：</w:t>
      </w:r>
    </w:p>
    <w:p w14:paraId="5B17CE6C">
      <w:pPr>
        <w:pStyle w:val="17"/>
        <w:snapToGrid w:val="0"/>
        <w:spacing w:line="40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4BF84B8F">
      <w:pPr>
        <w:pStyle w:val="17"/>
        <w:snapToGrid w:val="0"/>
        <w:spacing w:line="400" w:lineRule="exact"/>
        <w:ind w:firstLine="420" w:firstLineChars="200"/>
        <w:rPr>
          <w:rFonts w:hAnsi="宋体"/>
          <w:bCs/>
          <w:color w:val="auto"/>
          <w:highlight w:val="none"/>
        </w:rPr>
      </w:pPr>
      <w:r>
        <w:rPr>
          <w:rFonts w:hint="eastAsia" w:hAnsi="宋体"/>
          <w:bCs/>
          <w:color w:val="auto"/>
          <w:highlight w:val="none"/>
        </w:rPr>
        <w:t>联系人：</w:t>
      </w:r>
      <w:r>
        <w:rPr>
          <w:rFonts w:hAnsi="宋体"/>
          <w:bCs/>
          <w:color w:val="auto"/>
          <w:highlight w:val="none"/>
        </w:rPr>
        <w:t>联系</w:t>
      </w:r>
      <w:r>
        <w:rPr>
          <w:rFonts w:hint="eastAsia" w:hAnsi="宋体"/>
          <w:bCs/>
          <w:color w:val="auto"/>
          <w:highlight w:val="none"/>
        </w:rPr>
        <w:t>电话：</w:t>
      </w:r>
      <w:r>
        <w:rPr>
          <w:rFonts w:hAnsi="宋体"/>
          <w:bCs/>
          <w:color w:val="auto"/>
          <w:highlight w:val="none"/>
          <w:u w:val="single"/>
        </w:rPr>
        <w:t>              </w:t>
      </w:r>
    </w:p>
    <w:p w14:paraId="6090FB53">
      <w:pPr>
        <w:pStyle w:val="17"/>
        <w:snapToGrid w:val="0"/>
        <w:spacing w:line="400" w:lineRule="exact"/>
        <w:ind w:firstLine="422" w:firstLineChars="200"/>
        <w:rPr>
          <w:rFonts w:hAnsi="宋体"/>
          <w:b/>
          <w:bCs/>
          <w:color w:val="auto"/>
          <w:highlight w:val="none"/>
        </w:rPr>
      </w:pPr>
      <w:r>
        <w:rPr>
          <w:rFonts w:hint="eastAsia" w:hAnsi="宋体"/>
          <w:b/>
          <w:bCs/>
          <w:color w:val="auto"/>
          <w:highlight w:val="none"/>
        </w:rPr>
        <w:t>二、投诉项目基本情况：</w:t>
      </w:r>
    </w:p>
    <w:p w14:paraId="4FB01478">
      <w:pPr>
        <w:pStyle w:val="17"/>
        <w:spacing w:line="400" w:lineRule="exact"/>
        <w:ind w:left="25" w:leftChars="12" w:firstLine="413" w:firstLineChars="197"/>
        <w:rPr>
          <w:rFonts w:hAnsi="宋体"/>
          <w:bCs/>
          <w:color w:val="auto"/>
          <w:highlight w:val="none"/>
          <w:u w:val="single"/>
        </w:rPr>
      </w:pPr>
      <w:r>
        <w:rPr>
          <w:rFonts w:hint="eastAsia" w:hAnsi="宋体"/>
          <w:bCs/>
          <w:color w:val="auto"/>
          <w:highlight w:val="none"/>
        </w:rPr>
        <w:t>采购</w:t>
      </w:r>
      <w:r>
        <w:rPr>
          <w:rFonts w:hint="eastAsia" w:hAnsi="宋体"/>
          <w:color w:val="auto"/>
          <w:szCs w:val="21"/>
          <w:highlight w:val="none"/>
        </w:rPr>
        <w:t>项目的名称：</w:t>
      </w:r>
      <w:r>
        <w:rPr>
          <w:rFonts w:hAnsi="宋体"/>
          <w:bCs/>
          <w:color w:val="auto"/>
          <w:highlight w:val="none"/>
          <w:u w:val="single"/>
        </w:rPr>
        <w:t>        </w:t>
      </w:r>
    </w:p>
    <w:p w14:paraId="25F548CD">
      <w:pPr>
        <w:pStyle w:val="17"/>
        <w:spacing w:line="400" w:lineRule="exact"/>
        <w:ind w:left="25" w:leftChars="12" w:firstLine="413" w:firstLineChars="197"/>
        <w:rPr>
          <w:rFonts w:hAnsi="宋体"/>
          <w:bCs/>
          <w:color w:val="auto"/>
          <w:highlight w:val="none"/>
          <w:u w:val="single"/>
        </w:rPr>
      </w:pPr>
      <w:r>
        <w:rPr>
          <w:rFonts w:hint="eastAsia" w:hAnsi="宋体"/>
          <w:bCs/>
          <w:color w:val="auto"/>
          <w:highlight w:val="none"/>
        </w:rPr>
        <w:t>采购</w:t>
      </w:r>
      <w:r>
        <w:rPr>
          <w:rFonts w:hint="eastAsia" w:hAnsi="宋体"/>
          <w:color w:val="auto"/>
          <w:szCs w:val="21"/>
          <w:highlight w:val="none"/>
        </w:rPr>
        <w:t>项目的编号：</w:t>
      </w:r>
      <w:r>
        <w:rPr>
          <w:rFonts w:hAnsi="宋体"/>
          <w:bCs/>
          <w:color w:val="auto"/>
          <w:highlight w:val="none"/>
          <w:u w:val="single"/>
        </w:rPr>
        <w:t>         </w:t>
      </w:r>
    </w:p>
    <w:p w14:paraId="0C79C602">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采购人名称：</w:t>
      </w:r>
      <w:r>
        <w:rPr>
          <w:rFonts w:hAnsi="宋体"/>
          <w:bCs/>
          <w:color w:val="auto"/>
          <w:highlight w:val="none"/>
          <w:u w:val="single"/>
        </w:rPr>
        <w:t>           </w:t>
      </w:r>
    </w:p>
    <w:p w14:paraId="313EAB11">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代理机构名称：</w:t>
      </w:r>
      <w:r>
        <w:rPr>
          <w:rFonts w:hAnsi="宋体"/>
          <w:bCs/>
          <w:color w:val="auto"/>
          <w:highlight w:val="none"/>
          <w:u w:val="single"/>
        </w:rPr>
        <w:t>          </w:t>
      </w:r>
    </w:p>
    <w:p w14:paraId="10641E6D">
      <w:pPr>
        <w:pStyle w:val="17"/>
        <w:spacing w:line="400" w:lineRule="exact"/>
        <w:ind w:left="25" w:leftChars="12" w:firstLine="413" w:firstLineChars="197"/>
        <w:rPr>
          <w:rFonts w:hAnsi="宋体"/>
          <w:bCs/>
          <w:color w:val="auto"/>
          <w:highlight w:val="none"/>
          <w:u w:val="single"/>
        </w:rPr>
      </w:pPr>
      <w:r>
        <w:rPr>
          <w:rFonts w:hint="eastAsia" w:hAnsi="宋体"/>
          <w:bCs/>
          <w:color w:val="auto"/>
          <w:highlight w:val="none"/>
        </w:rPr>
        <w:t>采购文件公告：</w:t>
      </w:r>
      <w:r>
        <w:rPr>
          <w:rFonts w:hint="eastAsia" w:hAnsi="宋体"/>
          <w:bCs/>
          <w:color w:val="auto"/>
          <w:highlight w:val="none"/>
          <w:u w:val="single"/>
        </w:rPr>
        <w:t>是/否</w:t>
      </w:r>
      <w:r>
        <w:rPr>
          <w:rFonts w:hint="eastAsia" w:hAnsi="宋体"/>
          <w:bCs/>
          <w:color w:val="auto"/>
          <w:highlight w:val="none"/>
        </w:rPr>
        <w:t>公告期限：</w:t>
      </w:r>
      <w:r>
        <w:rPr>
          <w:rFonts w:hAnsi="宋体"/>
          <w:bCs/>
          <w:color w:val="auto"/>
          <w:highlight w:val="none"/>
          <w:u w:val="single"/>
        </w:rPr>
        <w:t>              </w:t>
      </w:r>
    </w:p>
    <w:p w14:paraId="1632EBE8">
      <w:pPr>
        <w:pStyle w:val="17"/>
        <w:spacing w:line="400" w:lineRule="exact"/>
        <w:ind w:left="25" w:leftChars="12" w:firstLine="413" w:firstLineChars="197"/>
        <w:rPr>
          <w:rFonts w:hAnsi="宋体"/>
          <w:b/>
          <w:color w:val="auto"/>
          <w:szCs w:val="21"/>
          <w:highlight w:val="none"/>
        </w:rPr>
      </w:pPr>
      <w:r>
        <w:rPr>
          <w:rFonts w:hint="eastAsia" w:hAnsi="宋体"/>
          <w:bCs/>
          <w:color w:val="auto"/>
          <w:highlight w:val="none"/>
        </w:rPr>
        <w:t>采购结果公告：</w:t>
      </w:r>
      <w:r>
        <w:rPr>
          <w:rFonts w:hint="eastAsia" w:hAnsi="宋体"/>
          <w:bCs/>
          <w:color w:val="auto"/>
          <w:highlight w:val="none"/>
          <w:u w:val="single"/>
        </w:rPr>
        <w:t>是/否</w:t>
      </w:r>
      <w:r>
        <w:rPr>
          <w:rFonts w:hint="eastAsia" w:hAnsi="宋体"/>
          <w:bCs/>
          <w:color w:val="auto"/>
          <w:highlight w:val="none"/>
        </w:rPr>
        <w:t>公告期限：</w:t>
      </w:r>
      <w:r>
        <w:rPr>
          <w:rFonts w:hAnsi="宋体"/>
          <w:bCs/>
          <w:color w:val="auto"/>
          <w:highlight w:val="none"/>
          <w:u w:val="single"/>
        </w:rPr>
        <w:t>              </w:t>
      </w:r>
    </w:p>
    <w:p w14:paraId="423F0043">
      <w:pPr>
        <w:pStyle w:val="17"/>
        <w:spacing w:line="400" w:lineRule="exact"/>
        <w:ind w:left="25" w:leftChars="12" w:firstLine="413" w:firstLineChars="196"/>
        <w:rPr>
          <w:rFonts w:hAnsi="宋体"/>
          <w:b/>
          <w:color w:val="auto"/>
          <w:szCs w:val="21"/>
          <w:highlight w:val="none"/>
        </w:rPr>
      </w:pPr>
      <w:r>
        <w:rPr>
          <w:rFonts w:hint="eastAsia" w:hAnsi="宋体"/>
          <w:b/>
          <w:color w:val="auto"/>
          <w:szCs w:val="21"/>
          <w:highlight w:val="none"/>
        </w:rPr>
        <w:t>三、质疑基本情况</w:t>
      </w:r>
    </w:p>
    <w:p w14:paraId="58C5C176">
      <w:pPr>
        <w:pStyle w:val="17"/>
        <w:spacing w:line="400" w:lineRule="exact"/>
        <w:ind w:left="25" w:leftChars="12" w:firstLine="833" w:firstLineChars="397"/>
        <w:rPr>
          <w:rFonts w:hAnsi="宋体"/>
          <w:color w:val="auto"/>
          <w:szCs w:val="21"/>
          <w:highlight w:val="none"/>
        </w:rPr>
      </w:pPr>
      <w:r>
        <w:rPr>
          <w:rFonts w:hint="eastAsia" w:hAnsi="宋体"/>
          <w:color w:val="auto"/>
          <w:szCs w:val="21"/>
          <w:highlight w:val="none"/>
        </w:rPr>
        <w:t>投诉人于年月日，向提出质疑，质疑事项为：</w:t>
      </w:r>
    </w:p>
    <w:p w14:paraId="7810F472">
      <w:pPr>
        <w:pStyle w:val="17"/>
        <w:spacing w:line="400" w:lineRule="exact"/>
        <w:ind w:left="25" w:leftChars="12" w:firstLine="399" w:firstLineChars="190"/>
        <w:rPr>
          <w:rFonts w:hAnsi="宋体"/>
          <w:bCs/>
          <w:color w:val="auto"/>
          <w:highlight w:val="none"/>
          <w:u w:val="single"/>
        </w:rPr>
      </w:pPr>
      <w:r>
        <w:rPr>
          <w:rFonts w:hAnsi="宋体"/>
          <w:bCs/>
          <w:color w:val="auto"/>
          <w:highlight w:val="none"/>
          <w:u w:val="single"/>
        </w:rPr>
        <w:t>                                        </w:t>
      </w:r>
    </w:p>
    <w:p w14:paraId="28B6C3C7">
      <w:pPr>
        <w:pStyle w:val="17"/>
        <w:spacing w:line="400" w:lineRule="exact"/>
        <w:ind w:left="25" w:leftChars="12" w:firstLine="399" w:firstLineChars="190"/>
        <w:rPr>
          <w:rFonts w:hAnsi="宋体"/>
          <w:bCs/>
          <w:color w:val="auto"/>
          <w:highlight w:val="none"/>
          <w:u w:val="single"/>
        </w:rPr>
      </w:pPr>
      <w:r>
        <w:rPr>
          <w:rFonts w:hAnsi="宋体"/>
          <w:bCs/>
          <w:color w:val="auto"/>
          <w:highlight w:val="none"/>
          <w:u w:val="single"/>
        </w:rPr>
        <w:t>                                        </w:t>
      </w:r>
    </w:p>
    <w:p w14:paraId="48AE08DF">
      <w:pPr>
        <w:pStyle w:val="17"/>
        <w:spacing w:line="400" w:lineRule="exact"/>
        <w:rPr>
          <w:rFonts w:hAnsi="宋体"/>
          <w:color w:val="auto"/>
          <w:szCs w:val="21"/>
          <w:highlight w:val="none"/>
        </w:rPr>
      </w:pPr>
      <w:r>
        <w:rPr>
          <w:rFonts w:hint="eastAsia" w:hAnsi="宋体"/>
          <w:bCs/>
          <w:color w:val="auto"/>
          <w:highlight w:val="none"/>
          <w:u w:val="single"/>
        </w:rPr>
        <w:t>采购人/代理机构</w:t>
      </w:r>
      <w:r>
        <w:rPr>
          <w:rFonts w:hint="eastAsia" w:hAnsi="宋体"/>
          <w:bCs/>
          <w:color w:val="auto"/>
          <w:highlight w:val="none"/>
        </w:rPr>
        <w:t>于</w:t>
      </w:r>
      <w:r>
        <w:rPr>
          <w:rFonts w:hint="eastAsia" w:hAnsi="宋体"/>
          <w:color w:val="auto"/>
          <w:szCs w:val="21"/>
          <w:highlight w:val="none"/>
        </w:rPr>
        <w:t>年月日，</w:t>
      </w:r>
      <w:r>
        <w:rPr>
          <w:rFonts w:hint="eastAsia" w:hAnsi="宋体"/>
          <w:bCs/>
          <w:color w:val="auto"/>
          <w:highlight w:val="none"/>
        </w:rPr>
        <w:t xml:space="preserve">就质疑事项作出了答复/没有在法定期限内作出答复。                                                                                             </w:t>
      </w:r>
    </w:p>
    <w:p w14:paraId="22EBD8E7">
      <w:pPr>
        <w:pStyle w:val="17"/>
        <w:spacing w:line="400" w:lineRule="exact"/>
        <w:ind w:left="25" w:leftChars="12" w:firstLine="413" w:firstLineChars="196"/>
        <w:rPr>
          <w:rFonts w:hAnsi="宋体"/>
          <w:b/>
          <w:color w:val="auto"/>
          <w:szCs w:val="21"/>
          <w:highlight w:val="none"/>
        </w:rPr>
      </w:pPr>
      <w:r>
        <w:rPr>
          <w:rFonts w:hint="eastAsia" w:hAnsi="宋体"/>
          <w:b/>
          <w:color w:val="auto"/>
          <w:szCs w:val="21"/>
          <w:highlight w:val="none"/>
        </w:rPr>
        <w:t>四、投诉事项具体内容</w:t>
      </w:r>
    </w:p>
    <w:p w14:paraId="6A88FE7C">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投诉事项1：</w:t>
      </w:r>
      <w:r>
        <w:rPr>
          <w:rFonts w:hAnsi="宋体"/>
          <w:bCs/>
          <w:color w:val="auto"/>
          <w:highlight w:val="none"/>
          <w:u w:val="single"/>
        </w:rPr>
        <w:t>              </w:t>
      </w:r>
    </w:p>
    <w:p w14:paraId="1EC6DF9D">
      <w:pPr>
        <w:pStyle w:val="17"/>
        <w:spacing w:line="400" w:lineRule="exact"/>
        <w:ind w:firstLine="420" w:firstLineChars="200"/>
        <w:rPr>
          <w:rFonts w:hAnsi="宋体"/>
          <w:bCs/>
          <w:color w:val="auto"/>
          <w:highlight w:val="none"/>
          <w:u w:val="single"/>
        </w:rPr>
      </w:pPr>
      <w:r>
        <w:rPr>
          <w:rFonts w:hint="eastAsia" w:hAnsi="宋体"/>
          <w:bCs/>
          <w:color w:val="auto"/>
          <w:highlight w:val="none"/>
        </w:rPr>
        <w:t>事实依据：</w:t>
      </w:r>
      <w:r>
        <w:rPr>
          <w:rFonts w:hAnsi="宋体"/>
          <w:bCs/>
          <w:color w:val="auto"/>
          <w:highlight w:val="none"/>
          <w:u w:val="single"/>
        </w:rPr>
        <w:t>              </w:t>
      </w:r>
    </w:p>
    <w:p w14:paraId="675590C5">
      <w:pPr>
        <w:pStyle w:val="17"/>
        <w:spacing w:line="400" w:lineRule="exact"/>
        <w:ind w:firstLine="420" w:firstLineChars="200"/>
        <w:rPr>
          <w:rFonts w:hAnsi="宋体"/>
          <w:color w:val="auto"/>
          <w:szCs w:val="21"/>
          <w:highlight w:val="none"/>
        </w:rPr>
      </w:pPr>
      <w:r>
        <w:rPr>
          <w:rFonts w:hAnsi="宋体"/>
          <w:bCs/>
          <w:color w:val="auto"/>
          <w:highlight w:val="none"/>
          <w:u w:val="single"/>
        </w:rPr>
        <w:t>              </w:t>
      </w:r>
    </w:p>
    <w:p w14:paraId="2ECE3F1E">
      <w:pPr>
        <w:pStyle w:val="17"/>
        <w:spacing w:line="400" w:lineRule="exact"/>
        <w:ind w:firstLine="420" w:firstLineChars="200"/>
        <w:rPr>
          <w:rFonts w:hAnsi="宋体"/>
          <w:bCs/>
          <w:color w:val="auto"/>
          <w:highlight w:val="none"/>
          <w:u w:val="single"/>
        </w:rPr>
      </w:pPr>
      <w:r>
        <w:rPr>
          <w:rFonts w:hint="eastAsia" w:hAnsi="宋体"/>
          <w:bCs/>
          <w:color w:val="auto"/>
          <w:highlight w:val="none"/>
        </w:rPr>
        <w:t>法律依据：</w:t>
      </w:r>
      <w:r>
        <w:rPr>
          <w:rFonts w:hAnsi="宋体"/>
          <w:bCs/>
          <w:color w:val="auto"/>
          <w:highlight w:val="none"/>
          <w:u w:val="single"/>
        </w:rPr>
        <w:t>              </w:t>
      </w:r>
    </w:p>
    <w:p w14:paraId="1E1F4476">
      <w:pPr>
        <w:pStyle w:val="17"/>
        <w:spacing w:line="400" w:lineRule="exact"/>
        <w:ind w:firstLine="420" w:firstLineChars="200"/>
        <w:rPr>
          <w:rFonts w:hAnsi="宋体"/>
          <w:bCs/>
          <w:color w:val="auto"/>
          <w:highlight w:val="none"/>
          <w:u w:val="single"/>
        </w:rPr>
      </w:pPr>
      <w:r>
        <w:rPr>
          <w:rFonts w:hAnsi="宋体"/>
          <w:bCs/>
          <w:color w:val="auto"/>
          <w:highlight w:val="none"/>
          <w:u w:val="single"/>
        </w:rPr>
        <w:t>              </w:t>
      </w:r>
    </w:p>
    <w:p w14:paraId="5716C8CB">
      <w:pPr>
        <w:pStyle w:val="17"/>
        <w:spacing w:line="400" w:lineRule="exact"/>
        <w:ind w:firstLine="420" w:firstLineChars="200"/>
        <w:rPr>
          <w:rFonts w:hAnsi="宋体"/>
          <w:bCs/>
          <w:color w:val="auto"/>
          <w:highlight w:val="none"/>
        </w:rPr>
      </w:pPr>
      <w:r>
        <w:rPr>
          <w:rFonts w:hint="eastAsia" w:hAnsi="宋体"/>
          <w:color w:val="auto"/>
          <w:szCs w:val="21"/>
          <w:highlight w:val="none"/>
        </w:rPr>
        <w:t>投诉事项2：</w:t>
      </w:r>
      <w:r>
        <w:rPr>
          <w:rFonts w:hAnsi="宋体"/>
          <w:bCs/>
          <w:color w:val="auto"/>
          <w:highlight w:val="none"/>
          <w:u w:val="single"/>
        </w:rPr>
        <w:t>              </w:t>
      </w:r>
    </w:p>
    <w:p w14:paraId="3AA03524">
      <w:pPr>
        <w:pStyle w:val="17"/>
        <w:spacing w:line="400" w:lineRule="exact"/>
        <w:ind w:left="25" w:leftChars="12" w:firstLine="413" w:firstLineChars="197"/>
        <w:rPr>
          <w:rFonts w:hAnsi="宋体"/>
          <w:bCs/>
          <w:color w:val="auto"/>
          <w:highlight w:val="none"/>
        </w:rPr>
      </w:pPr>
      <w:r>
        <w:rPr>
          <w:rFonts w:hAnsi="宋体"/>
          <w:bCs/>
          <w:color w:val="auto"/>
          <w:highlight w:val="none"/>
        </w:rPr>
        <w:t>……</w:t>
      </w:r>
    </w:p>
    <w:p w14:paraId="46CBADA6">
      <w:pPr>
        <w:pStyle w:val="17"/>
        <w:spacing w:line="400" w:lineRule="exact"/>
        <w:ind w:left="25" w:leftChars="12" w:firstLine="413" w:firstLineChars="196"/>
        <w:rPr>
          <w:rFonts w:hAnsi="宋体"/>
          <w:b/>
          <w:color w:val="auto"/>
          <w:szCs w:val="21"/>
          <w:highlight w:val="none"/>
        </w:rPr>
      </w:pPr>
      <w:r>
        <w:rPr>
          <w:rFonts w:hint="eastAsia" w:hAnsi="宋体"/>
          <w:b/>
          <w:color w:val="auto"/>
          <w:szCs w:val="21"/>
          <w:highlight w:val="none"/>
        </w:rPr>
        <w:t>五、与投诉事项相关的投诉请求：</w:t>
      </w:r>
    </w:p>
    <w:p w14:paraId="45D871F3">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请求：</w:t>
      </w:r>
      <w:r>
        <w:rPr>
          <w:rFonts w:hAnsi="宋体"/>
          <w:bCs/>
          <w:color w:val="auto"/>
          <w:highlight w:val="none"/>
          <w:u w:val="single"/>
        </w:rPr>
        <w:t>               </w:t>
      </w:r>
    </w:p>
    <w:p w14:paraId="1D6E05AE">
      <w:pPr>
        <w:pStyle w:val="17"/>
        <w:spacing w:line="400" w:lineRule="exact"/>
        <w:ind w:left="25" w:leftChars="12" w:firstLine="308" w:firstLineChars="147"/>
        <w:rPr>
          <w:rFonts w:hAnsi="宋体"/>
          <w:color w:val="auto"/>
          <w:szCs w:val="21"/>
          <w:highlight w:val="none"/>
        </w:rPr>
      </w:pPr>
      <w:r>
        <w:rPr>
          <w:rFonts w:hAnsi="宋体"/>
          <w:bCs/>
          <w:color w:val="auto"/>
          <w:highlight w:val="none"/>
          <w:u w:val="single"/>
        </w:rPr>
        <w:t>             </w:t>
      </w:r>
    </w:p>
    <w:p w14:paraId="19508964">
      <w:pPr>
        <w:pStyle w:val="17"/>
        <w:spacing w:line="400" w:lineRule="exact"/>
        <w:ind w:left="25" w:leftChars="12" w:firstLine="413" w:firstLineChars="197"/>
        <w:rPr>
          <w:rFonts w:hAnsi="宋体"/>
          <w:color w:val="auto"/>
          <w:szCs w:val="21"/>
          <w:highlight w:val="none"/>
        </w:rPr>
      </w:pPr>
      <w:r>
        <w:rPr>
          <w:rFonts w:hint="eastAsia" w:hAnsi="宋体"/>
          <w:color w:val="auto"/>
          <w:szCs w:val="21"/>
          <w:highlight w:val="none"/>
        </w:rPr>
        <w:t>签字（签章）：</w:t>
      </w:r>
      <w:r>
        <w:rPr>
          <w:rFonts w:hAnsi="宋体"/>
          <w:color w:val="auto"/>
          <w:szCs w:val="21"/>
          <w:highlight w:val="none"/>
          <w:u w:val="single"/>
        </w:rPr>
        <w:t>             </w:t>
      </w:r>
    </w:p>
    <w:p w14:paraId="0CBF727D">
      <w:pPr>
        <w:pStyle w:val="17"/>
        <w:spacing w:line="400" w:lineRule="exact"/>
        <w:ind w:left="25" w:leftChars="12" w:firstLine="413" w:firstLineChars="197"/>
        <w:rPr>
          <w:rFonts w:hAnsi="宋体"/>
          <w:color w:val="auto"/>
          <w:szCs w:val="21"/>
          <w:highlight w:val="none"/>
          <w:u w:val="single"/>
        </w:rPr>
      </w:pPr>
      <w:r>
        <w:rPr>
          <w:rFonts w:hint="eastAsia" w:hAnsi="宋体"/>
          <w:color w:val="auto"/>
          <w:szCs w:val="21"/>
          <w:highlight w:val="none"/>
        </w:rPr>
        <w:t>公章：</w:t>
      </w:r>
      <w:r>
        <w:rPr>
          <w:rFonts w:hAnsi="宋体"/>
          <w:color w:val="auto"/>
          <w:szCs w:val="21"/>
          <w:highlight w:val="none"/>
          <w:u w:val="single"/>
        </w:rPr>
        <w:t>                 </w:t>
      </w:r>
    </w:p>
    <w:p w14:paraId="4B94A43D">
      <w:pPr>
        <w:pStyle w:val="17"/>
        <w:spacing w:line="400" w:lineRule="exact"/>
        <w:ind w:left="25" w:leftChars="12" w:firstLine="413" w:firstLineChars="197"/>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w:t>
      </w:r>
    </w:p>
    <w:p w14:paraId="2EEA60C2">
      <w:pPr>
        <w:pStyle w:val="17"/>
        <w:spacing w:line="360" w:lineRule="exact"/>
        <w:ind w:left="25" w:leftChars="12" w:firstLine="413" w:firstLineChars="197"/>
        <w:rPr>
          <w:rFonts w:hAnsi="宋体"/>
          <w:color w:val="auto"/>
          <w:szCs w:val="21"/>
          <w:highlight w:val="none"/>
        </w:rPr>
      </w:pPr>
    </w:p>
    <w:p w14:paraId="5369FA53">
      <w:pPr>
        <w:pStyle w:val="17"/>
        <w:snapToGrid w:val="0"/>
        <w:spacing w:line="340" w:lineRule="exact"/>
        <w:rPr>
          <w:rFonts w:hAnsi="宋体"/>
          <w:b/>
          <w:color w:val="auto"/>
          <w:szCs w:val="21"/>
          <w:highlight w:val="none"/>
        </w:rPr>
      </w:pPr>
    </w:p>
    <w:p w14:paraId="0447AB1F">
      <w:pPr>
        <w:pStyle w:val="17"/>
        <w:snapToGrid w:val="0"/>
        <w:spacing w:line="340" w:lineRule="exact"/>
        <w:rPr>
          <w:rFonts w:hAnsi="宋体"/>
          <w:b/>
          <w:color w:val="auto"/>
          <w:szCs w:val="21"/>
          <w:highlight w:val="none"/>
        </w:rPr>
      </w:pPr>
      <w:r>
        <w:rPr>
          <w:rFonts w:hint="eastAsia" w:hAnsi="宋体"/>
          <w:b/>
          <w:color w:val="auto"/>
          <w:szCs w:val="21"/>
          <w:highlight w:val="none"/>
        </w:rPr>
        <w:t>说明：</w:t>
      </w:r>
    </w:p>
    <w:p w14:paraId="6BE57F76">
      <w:pPr>
        <w:pStyle w:val="17"/>
        <w:spacing w:line="340" w:lineRule="exact"/>
        <w:ind w:left="25" w:leftChars="12" w:firstLine="310" w:firstLineChars="147"/>
        <w:rPr>
          <w:rFonts w:hAnsi="宋体"/>
          <w:b/>
          <w:bCs/>
          <w:color w:val="auto"/>
          <w:highlight w:val="none"/>
        </w:rPr>
      </w:pPr>
      <w:r>
        <w:rPr>
          <w:rFonts w:hint="eastAsia" w:hAnsi="宋体"/>
          <w:b/>
          <w:color w:val="auto"/>
          <w:szCs w:val="21"/>
          <w:highlight w:val="none"/>
        </w:rPr>
        <w:t>1.投诉人提起投诉时，应当提交投诉书和必要的证明材料，并按照被投诉人和与投诉事项有关的供应商数量提供投诉书副本</w:t>
      </w:r>
      <w:r>
        <w:rPr>
          <w:rFonts w:hint="eastAsia" w:hAnsi="宋体"/>
          <w:b/>
          <w:bCs/>
          <w:color w:val="auto"/>
          <w:highlight w:val="none"/>
        </w:rPr>
        <w:t>。</w:t>
      </w:r>
    </w:p>
    <w:p w14:paraId="0BACBB96">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611E9E2">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3.投诉书应简要列明质疑事项，质疑函、质疑答复等作为附件材料提供。</w:t>
      </w:r>
    </w:p>
    <w:p w14:paraId="357533CC">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4.投诉书的投诉事项应具体、明确，并有必要的事实依据和法律依据。</w:t>
      </w:r>
    </w:p>
    <w:p w14:paraId="1A831123">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5.投诉书的投诉请求应与投诉事项相关。</w:t>
      </w:r>
    </w:p>
    <w:p w14:paraId="2CF59E78">
      <w:pPr>
        <w:rPr>
          <w:rFonts w:ascii="宋体" w:hAnsi="宋体"/>
          <w:b/>
          <w:bCs/>
          <w:color w:val="auto"/>
          <w:highlight w:val="none"/>
        </w:rPr>
      </w:pPr>
      <w:r>
        <w:rPr>
          <w:rFonts w:ascii="宋体" w:hAnsi="宋体"/>
          <w:b/>
          <w:color w:val="auto"/>
          <w:szCs w:val="21"/>
          <w:highlight w:val="none"/>
        </w:rPr>
        <w:t>6.</w:t>
      </w:r>
      <w:r>
        <w:rPr>
          <w:rFonts w:hint="eastAsia" w:ascii="宋体" w:hAnsi="宋体"/>
          <w:b/>
          <w:bCs/>
          <w:color w:val="auto"/>
          <w:highlight w:val="none"/>
        </w:rPr>
        <w:t>投诉人为法人或者其他组织的，投诉书应由法定代表人、主要负责人，或者其授权代表签字或者盖章，并加盖公章。</w:t>
      </w:r>
    </w:p>
    <w:p w14:paraId="721F1E6A">
      <w:pPr>
        <w:widowControl/>
        <w:jc w:val="left"/>
        <w:rPr>
          <w:color w:val="auto"/>
          <w:highlight w:val="none"/>
        </w:rPr>
      </w:pPr>
    </w:p>
    <w:sectPr>
      <w:pgSz w:w="11906" w:h="16838"/>
      <w:pgMar w:top="1440" w:right="1077" w:bottom="1440" w:left="107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 Sun">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70E8">
    <w:pPr>
      <w:pStyle w:val="21"/>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A7B4341">
                <w:pPr>
                  <w:pStyle w:val="21"/>
                </w:pPr>
                <w:r>
                  <w:fldChar w:fldCharType="begin"/>
                </w:r>
                <w:r>
                  <w:instrText xml:space="preserve"> PAGE  \* MERGEFORMAT </w:instrText>
                </w:r>
                <w:r>
                  <w:fldChar w:fldCharType="separate"/>
                </w:r>
                <w:r>
                  <w:t>- 1 -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B0A9C"/>
    <w:multiLevelType w:val="singleLevel"/>
    <w:tmpl w:val="A06B0A9C"/>
    <w:lvl w:ilvl="0" w:tentative="0">
      <w:start w:val="1"/>
      <w:numFmt w:val="decimal"/>
      <w:suff w:val="nothing"/>
      <w:lvlText w:val="%1、"/>
      <w:lvlJc w:val="left"/>
    </w:lvl>
  </w:abstractNum>
  <w:abstractNum w:abstractNumId="1">
    <w:nsid w:val="AC0B2570"/>
    <w:multiLevelType w:val="singleLevel"/>
    <w:tmpl w:val="AC0B2570"/>
    <w:lvl w:ilvl="0" w:tentative="0">
      <w:start w:val="4"/>
      <w:numFmt w:val="chineseCounting"/>
      <w:suff w:val="space"/>
      <w:lvlText w:val="第%1章"/>
      <w:lvlJc w:val="left"/>
      <w:rPr>
        <w:rFonts w:hint="eastAsia"/>
      </w:rPr>
    </w:lvl>
  </w:abstractNum>
  <w:abstractNum w:abstractNumId="2">
    <w:nsid w:val="AE8EBBE8"/>
    <w:multiLevelType w:val="singleLevel"/>
    <w:tmpl w:val="AE8EBBE8"/>
    <w:lvl w:ilvl="0" w:tentative="0">
      <w:start w:val="15"/>
      <w:numFmt w:val="decimal"/>
      <w:suff w:val="space"/>
      <w:lvlText w:val="%1."/>
      <w:lvlJc w:val="left"/>
    </w:lvl>
  </w:abstractNum>
  <w:abstractNum w:abstractNumId="3">
    <w:nsid w:val="DBD83A4F"/>
    <w:multiLevelType w:val="singleLevel"/>
    <w:tmpl w:val="DBD83A4F"/>
    <w:lvl w:ilvl="0" w:tentative="0">
      <w:start w:val="1"/>
      <w:numFmt w:val="chineseCounting"/>
      <w:suff w:val="space"/>
      <w:lvlText w:val="第%1条"/>
      <w:lvlJc w:val="left"/>
      <w:rPr>
        <w:rFonts w:hint="eastAsia"/>
      </w:rPr>
    </w:lvl>
  </w:abstractNum>
  <w:abstractNum w:abstractNumId="4">
    <w:nsid w:val="15F80110"/>
    <w:multiLevelType w:val="singleLevel"/>
    <w:tmpl w:val="15F80110"/>
    <w:lvl w:ilvl="0" w:tentative="0">
      <w:start w:val="1"/>
      <w:numFmt w:val="decimal"/>
      <w:suff w:val="nothing"/>
      <w:lvlText w:val="（%1）"/>
      <w:lvlJc w:val="left"/>
    </w:lvl>
  </w:abstractNum>
  <w:abstractNum w:abstractNumId="5">
    <w:nsid w:val="262694A4"/>
    <w:multiLevelType w:val="singleLevel"/>
    <w:tmpl w:val="262694A4"/>
    <w:lvl w:ilvl="0" w:tentative="0">
      <w:start w:val="1"/>
      <w:numFmt w:val="chineseCounting"/>
      <w:suff w:val="space"/>
      <w:lvlText w:val="第%1章"/>
      <w:lvlJc w:val="left"/>
      <w:rPr>
        <w:rFonts w:hint="eastAsia"/>
      </w:rPr>
    </w:lvl>
  </w:abstractNum>
  <w:abstractNum w:abstractNumId="6">
    <w:nsid w:val="6B9EFF80"/>
    <w:multiLevelType w:val="singleLevel"/>
    <w:tmpl w:val="6B9EFF80"/>
    <w:lvl w:ilvl="0" w:tentative="0">
      <w:start w:val="5"/>
      <w:numFmt w:val="decimal"/>
      <w:suff w:val="nothing"/>
      <w:lvlText w:val="%1、"/>
      <w:lvlJc w:val="left"/>
    </w:lvl>
  </w:abstractNum>
  <w:abstractNum w:abstractNumId="7">
    <w:nsid w:val="76BE22E8"/>
    <w:multiLevelType w:val="singleLevel"/>
    <w:tmpl w:val="76BE22E8"/>
    <w:lvl w:ilvl="0" w:tentative="0">
      <w:start w:val="5"/>
      <w:numFmt w:val="decimal"/>
      <w:suff w:val="space"/>
      <w:lvlText w:val="%1."/>
      <w:lvlJc w:val="left"/>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gxNzUwMzM1MWIzYzYzMGQ3ZjZjZDViMzY5NjNiZTQifQ=="/>
  </w:docVars>
  <w:rsids>
    <w:rsidRoot w:val="00F92138"/>
    <w:rsid w:val="0000012A"/>
    <w:rsid w:val="000004C3"/>
    <w:rsid w:val="000007B3"/>
    <w:rsid w:val="00000DC5"/>
    <w:rsid w:val="000012F4"/>
    <w:rsid w:val="000013C5"/>
    <w:rsid w:val="0000245C"/>
    <w:rsid w:val="00002511"/>
    <w:rsid w:val="00002604"/>
    <w:rsid w:val="00002682"/>
    <w:rsid w:val="00002771"/>
    <w:rsid w:val="00002789"/>
    <w:rsid w:val="00003EA2"/>
    <w:rsid w:val="00004D43"/>
    <w:rsid w:val="00004D70"/>
    <w:rsid w:val="000064D3"/>
    <w:rsid w:val="000066AE"/>
    <w:rsid w:val="0000694B"/>
    <w:rsid w:val="00007562"/>
    <w:rsid w:val="0000788F"/>
    <w:rsid w:val="00007A12"/>
    <w:rsid w:val="00007F96"/>
    <w:rsid w:val="00010484"/>
    <w:rsid w:val="00010630"/>
    <w:rsid w:val="0001073E"/>
    <w:rsid w:val="00010A38"/>
    <w:rsid w:val="00010C20"/>
    <w:rsid w:val="00010EAD"/>
    <w:rsid w:val="00011006"/>
    <w:rsid w:val="00011968"/>
    <w:rsid w:val="00011B3B"/>
    <w:rsid w:val="0001275D"/>
    <w:rsid w:val="00012CDC"/>
    <w:rsid w:val="0001389F"/>
    <w:rsid w:val="000139C8"/>
    <w:rsid w:val="000139E0"/>
    <w:rsid w:val="00013C53"/>
    <w:rsid w:val="000147E9"/>
    <w:rsid w:val="00014897"/>
    <w:rsid w:val="000154C2"/>
    <w:rsid w:val="00015616"/>
    <w:rsid w:val="00016164"/>
    <w:rsid w:val="000161E6"/>
    <w:rsid w:val="000168D8"/>
    <w:rsid w:val="00016CCE"/>
    <w:rsid w:val="00016DFC"/>
    <w:rsid w:val="00016E25"/>
    <w:rsid w:val="00016F9A"/>
    <w:rsid w:val="000171D6"/>
    <w:rsid w:val="000176F2"/>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B2"/>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5DB"/>
    <w:rsid w:val="00042F69"/>
    <w:rsid w:val="000433E9"/>
    <w:rsid w:val="00043717"/>
    <w:rsid w:val="00043BC9"/>
    <w:rsid w:val="00043E53"/>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A93"/>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15DB"/>
    <w:rsid w:val="00072AF3"/>
    <w:rsid w:val="000731E0"/>
    <w:rsid w:val="0007321D"/>
    <w:rsid w:val="00073EB9"/>
    <w:rsid w:val="00074060"/>
    <w:rsid w:val="000740EE"/>
    <w:rsid w:val="00074441"/>
    <w:rsid w:val="000746A6"/>
    <w:rsid w:val="000746D3"/>
    <w:rsid w:val="00074890"/>
    <w:rsid w:val="00074AAC"/>
    <w:rsid w:val="00074D89"/>
    <w:rsid w:val="000750FD"/>
    <w:rsid w:val="00075405"/>
    <w:rsid w:val="000759B4"/>
    <w:rsid w:val="00075AC6"/>
    <w:rsid w:val="000763B8"/>
    <w:rsid w:val="00080266"/>
    <w:rsid w:val="00080A97"/>
    <w:rsid w:val="00080C72"/>
    <w:rsid w:val="00080DDA"/>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C26"/>
    <w:rsid w:val="00085EE0"/>
    <w:rsid w:val="00086806"/>
    <w:rsid w:val="00086B00"/>
    <w:rsid w:val="000870A4"/>
    <w:rsid w:val="00087492"/>
    <w:rsid w:val="00087C2E"/>
    <w:rsid w:val="00087C30"/>
    <w:rsid w:val="00087D46"/>
    <w:rsid w:val="000900BE"/>
    <w:rsid w:val="0009120F"/>
    <w:rsid w:val="0009192D"/>
    <w:rsid w:val="00091A92"/>
    <w:rsid w:val="00091ADC"/>
    <w:rsid w:val="00091F7B"/>
    <w:rsid w:val="000921D6"/>
    <w:rsid w:val="00092416"/>
    <w:rsid w:val="00093502"/>
    <w:rsid w:val="0009423E"/>
    <w:rsid w:val="0009439C"/>
    <w:rsid w:val="0009450E"/>
    <w:rsid w:val="0009583E"/>
    <w:rsid w:val="00095D3B"/>
    <w:rsid w:val="0009609B"/>
    <w:rsid w:val="00096254"/>
    <w:rsid w:val="0009629E"/>
    <w:rsid w:val="0009657E"/>
    <w:rsid w:val="0009672C"/>
    <w:rsid w:val="00096B3D"/>
    <w:rsid w:val="0009733E"/>
    <w:rsid w:val="00097869"/>
    <w:rsid w:val="00097B00"/>
    <w:rsid w:val="00097C47"/>
    <w:rsid w:val="000A1985"/>
    <w:rsid w:val="000A1B2D"/>
    <w:rsid w:val="000A1C5C"/>
    <w:rsid w:val="000A22E4"/>
    <w:rsid w:val="000A2348"/>
    <w:rsid w:val="000A482E"/>
    <w:rsid w:val="000A4CC3"/>
    <w:rsid w:val="000A507F"/>
    <w:rsid w:val="000A5F1C"/>
    <w:rsid w:val="000A6BCA"/>
    <w:rsid w:val="000A6E55"/>
    <w:rsid w:val="000A7020"/>
    <w:rsid w:val="000A715A"/>
    <w:rsid w:val="000A7BC1"/>
    <w:rsid w:val="000B005F"/>
    <w:rsid w:val="000B0082"/>
    <w:rsid w:val="000B0948"/>
    <w:rsid w:val="000B116B"/>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5D"/>
    <w:rsid w:val="000C3EBF"/>
    <w:rsid w:val="000C3EF9"/>
    <w:rsid w:val="000C4226"/>
    <w:rsid w:val="000C46A7"/>
    <w:rsid w:val="000C4B4A"/>
    <w:rsid w:val="000C577C"/>
    <w:rsid w:val="000C5EBC"/>
    <w:rsid w:val="000C6007"/>
    <w:rsid w:val="000C62B4"/>
    <w:rsid w:val="000C63C1"/>
    <w:rsid w:val="000C6487"/>
    <w:rsid w:val="000C66D5"/>
    <w:rsid w:val="000C671D"/>
    <w:rsid w:val="000C6905"/>
    <w:rsid w:val="000C726B"/>
    <w:rsid w:val="000C79D7"/>
    <w:rsid w:val="000C7DC0"/>
    <w:rsid w:val="000C7E03"/>
    <w:rsid w:val="000D04B5"/>
    <w:rsid w:val="000D07D7"/>
    <w:rsid w:val="000D0A2A"/>
    <w:rsid w:val="000D197F"/>
    <w:rsid w:val="000D1EC5"/>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11B"/>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A8A"/>
    <w:rsid w:val="000E6BBF"/>
    <w:rsid w:val="000E7078"/>
    <w:rsid w:val="000E75B1"/>
    <w:rsid w:val="000E7B06"/>
    <w:rsid w:val="000F07E0"/>
    <w:rsid w:val="000F0927"/>
    <w:rsid w:val="000F09EA"/>
    <w:rsid w:val="000F0AEC"/>
    <w:rsid w:val="000F0DF2"/>
    <w:rsid w:val="000F1BF2"/>
    <w:rsid w:val="000F1C7B"/>
    <w:rsid w:val="000F2448"/>
    <w:rsid w:val="000F25B0"/>
    <w:rsid w:val="000F2B3A"/>
    <w:rsid w:val="000F3291"/>
    <w:rsid w:val="000F33D3"/>
    <w:rsid w:val="000F3A6F"/>
    <w:rsid w:val="000F3E81"/>
    <w:rsid w:val="000F433E"/>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AEB"/>
    <w:rsid w:val="00103B1E"/>
    <w:rsid w:val="00103D34"/>
    <w:rsid w:val="001043E8"/>
    <w:rsid w:val="001051FB"/>
    <w:rsid w:val="00105E7C"/>
    <w:rsid w:val="00106635"/>
    <w:rsid w:val="00106849"/>
    <w:rsid w:val="0010772D"/>
    <w:rsid w:val="00107AAB"/>
    <w:rsid w:val="00107DBE"/>
    <w:rsid w:val="001100AC"/>
    <w:rsid w:val="00110BD9"/>
    <w:rsid w:val="0011171E"/>
    <w:rsid w:val="001118FC"/>
    <w:rsid w:val="00111A1E"/>
    <w:rsid w:val="00111A2D"/>
    <w:rsid w:val="00111B72"/>
    <w:rsid w:val="00111CA9"/>
    <w:rsid w:val="00112548"/>
    <w:rsid w:val="00112720"/>
    <w:rsid w:val="00112F5B"/>
    <w:rsid w:val="00113A0E"/>
    <w:rsid w:val="00113A99"/>
    <w:rsid w:val="00113AF4"/>
    <w:rsid w:val="00114B86"/>
    <w:rsid w:val="00115442"/>
    <w:rsid w:val="00115F5F"/>
    <w:rsid w:val="00115FBC"/>
    <w:rsid w:val="0011635D"/>
    <w:rsid w:val="00116814"/>
    <w:rsid w:val="00116CBB"/>
    <w:rsid w:val="0011747F"/>
    <w:rsid w:val="001174AE"/>
    <w:rsid w:val="00117D20"/>
    <w:rsid w:val="00117D34"/>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1B4"/>
    <w:rsid w:val="001363FF"/>
    <w:rsid w:val="00136517"/>
    <w:rsid w:val="001365A0"/>
    <w:rsid w:val="00137953"/>
    <w:rsid w:val="00140213"/>
    <w:rsid w:val="0014047C"/>
    <w:rsid w:val="0014115B"/>
    <w:rsid w:val="00141AE7"/>
    <w:rsid w:val="00141BE9"/>
    <w:rsid w:val="00141E3C"/>
    <w:rsid w:val="00142784"/>
    <w:rsid w:val="00142C09"/>
    <w:rsid w:val="00142CC9"/>
    <w:rsid w:val="00142FA9"/>
    <w:rsid w:val="00143102"/>
    <w:rsid w:val="0014329A"/>
    <w:rsid w:val="001433F1"/>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2FB4"/>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0F50"/>
    <w:rsid w:val="001610F5"/>
    <w:rsid w:val="00161375"/>
    <w:rsid w:val="001613B7"/>
    <w:rsid w:val="00161A0D"/>
    <w:rsid w:val="00162D4C"/>
    <w:rsid w:val="001631FE"/>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88"/>
    <w:rsid w:val="00166CED"/>
    <w:rsid w:val="00167F1C"/>
    <w:rsid w:val="00170706"/>
    <w:rsid w:val="00170B25"/>
    <w:rsid w:val="00170BD1"/>
    <w:rsid w:val="001718C5"/>
    <w:rsid w:val="00171A3B"/>
    <w:rsid w:val="00171CE9"/>
    <w:rsid w:val="00171F84"/>
    <w:rsid w:val="0017246C"/>
    <w:rsid w:val="00173282"/>
    <w:rsid w:val="001734B9"/>
    <w:rsid w:val="00173886"/>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449C"/>
    <w:rsid w:val="00185480"/>
    <w:rsid w:val="001857E0"/>
    <w:rsid w:val="0018632C"/>
    <w:rsid w:val="001863AB"/>
    <w:rsid w:val="00186697"/>
    <w:rsid w:val="001866AB"/>
    <w:rsid w:val="001867C4"/>
    <w:rsid w:val="00186855"/>
    <w:rsid w:val="00186A0B"/>
    <w:rsid w:val="00186B2C"/>
    <w:rsid w:val="00186DB1"/>
    <w:rsid w:val="001870BC"/>
    <w:rsid w:val="001872B9"/>
    <w:rsid w:val="00187300"/>
    <w:rsid w:val="0018738A"/>
    <w:rsid w:val="00187BD2"/>
    <w:rsid w:val="00187C27"/>
    <w:rsid w:val="00187CB1"/>
    <w:rsid w:val="00187CDD"/>
    <w:rsid w:val="00190215"/>
    <w:rsid w:val="001902E5"/>
    <w:rsid w:val="001904B0"/>
    <w:rsid w:val="00190ED8"/>
    <w:rsid w:val="001914DA"/>
    <w:rsid w:val="00191864"/>
    <w:rsid w:val="001919E8"/>
    <w:rsid w:val="00191DC4"/>
    <w:rsid w:val="00192AFC"/>
    <w:rsid w:val="0019308B"/>
    <w:rsid w:val="001934E3"/>
    <w:rsid w:val="001938D1"/>
    <w:rsid w:val="00194200"/>
    <w:rsid w:val="001942EB"/>
    <w:rsid w:val="00194589"/>
    <w:rsid w:val="00194761"/>
    <w:rsid w:val="001948C3"/>
    <w:rsid w:val="00194924"/>
    <w:rsid w:val="0019500A"/>
    <w:rsid w:val="0019547E"/>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2F7"/>
    <w:rsid w:val="001A43DB"/>
    <w:rsid w:val="001A4BAE"/>
    <w:rsid w:val="001A5377"/>
    <w:rsid w:val="001A5641"/>
    <w:rsid w:val="001A58E7"/>
    <w:rsid w:val="001A5C92"/>
    <w:rsid w:val="001A5EEF"/>
    <w:rsid w:val="001A612C"/>
    <w:rsid w:val="001A624C"/>
    <w:rsid w:val="001A62A0"/>
    <w:rsid w:val="001A62BA"/>
    <w:rsid w:val="001A68C1"/>
    <w:rsid w:val="001A6B02"/>
    <w:rsid w:val="001A6F5F"/>
    <w:rsid w:val="001A714B"/>
    <w:rsid w:val="001A71C3"/>
    <w:rsid w:val="001A74B6"/>
    <w:rsid w:val="001A798E"/>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60D9"/>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4D43"/>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6CAE"/>
    <w:rsid w:val="001E75C5"/>
    <w:rsid w:val="001E784D"/>
    <w:rsid w:val="001F02D9"/>
    <w:rsid w:val="001F0617"/>
    <w:rsid w:val="001F0875"/>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3B76"/>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3F6"/>
    <w:rsid w:val="00211891"/>
    <w:rsid w:val="00211CED"/>
    <w:rsid w:val="00212153"/>
    <w:rsid w:val="00212499"/>
    <w:rsid w:val="002125D6"/>
    <w:rsid w:val="00212626"/>
    <w:rsid w:val="0021325E"/>
    <w:rsid w:val="002133B5"/>
    <w:rsid w:val="002135A1"/>
    <w:rsid w:val="00214CC2"/>
    <w:rsid w:val="00214FEB"/>
    <w:rsid w:val="00216381"/>
    <w:rsid w:val="00216D6C"/>
    <w:rsid w:val="00216F19"/>
    <w:rsid w:val="0021787D"/>
    <w:rsid w:val="00217EDD"/>
    <w:rsid w:val="002201F5"/>
    <w:rsid w:val="00220601"/>
    <w:rsid w:val="0022092C"/>
    <w:rsid w:val="00220A7A"/>
    <w:rsid w:val="00220BB9"/>
    <w:rsid w:val="002210A3"/>
    <w:rsid w:val="00221704"/>
    <w:rsid w:val="00221C61"/>
    <w:rsid w:val="0022348B"/>
    <w:rsid w:val="002239A4"/>
    <w:rsid w:val="00223DBA"/>
    <w:rsid w:val="00223F41"/>
    <w:rsid w:val="002248DF"/>
    <w:rsid w:val="00224A40"/>
    <w:rsid w:val="00224E71"/>
    <w:rsid w:val="002253D1"/>
    <w:rsid w:val="00225858"/>
    <w:rsid w:val="00225AE7"/>
    <w:rsid w:val="00225E43"/>
    <w:rsid w:val="00225E92"/>
    <w:rsid w:val="00226073"/>
    <w:rsid w:val="0022635C"/>
    <w:rsid w:val="00226B69"/>
    <w:rsid w:val="00226F25"/>
    <w:rsid w:val="002277F1"/>
    <w:rsid w:val="0023032D"/>
    <w:rsid w:val="00230D05"/>
    <w:rsid w:val="00230DF5"/>
    <w:rsid w:val="00230EDB"/>
    <w:rsid w:val="002312B3"/>
    <w:rsid w:val="00231C91"/>
    <w:rsid w:val="00231EB6"/>
    <w:rsid w:val="002323B1"/>
    <w:rsid w:val="00233414"/>
    <w:rsid w:val="002336EB"/>
    <w:rsid w:val="002339C1"/>
    <w:rsid w:val="00233BD9"/>
    <w:rsid w:val="00233D3B"/>
    <w:rsid w:val="0023410C"/>
    <w:rsid w:val="002346BF"/>
    <w:rsid w:val="00234B7A"/>
    <w:rsid w:val="00234C7A"/>
    <w:rsid w:val="00234DC8"/>
    <w:rsid w:val="00235085"/>
    <w:rsid w:val="0023591C"/>
    <w:rsid w:val="00235AD7"/>
    <w:rsid w:val="00235C84"/>
    <w:rsid w:val="002367BC"/>
    <w:rsid w:val="00236898"/>
    <w:rsid w:val="00236F5D"/>
    <w:rsid w:val="002371F2"/>
    <w:rsid w:val="002373BA"/>
    <w:rsid w:val="00237617"/>
    <w:rsid w:val="00237D7B"/>
    <w:rsid w:val="00237DD4"/>
    <w:rsid w:val="002402FB"/>
    <w:rsid w:val="002403AB"/>
    <w:rsid w:val="0024086C"/>
    <w:rsid w:val="00240B43"/>
    <w:rsid w:val="00240CCC"/>
    <w:rsid w:val="002414E2"/>
    <w:rsid w:val="00241A5C"/>
    <w:rsid w:val="00241C15"/>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54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67DEA"/>
    <w:rsid w:val="00270115"/>
    <w:rsid w:val="002704A0"/>
    <w:rsid w:val="0027076D"/>
    <w:rsid w:val="002709A1"/>
    <w:rsid w:val="00270AFF"/>
    <w:rsid w:val="00270EEB"/>
    <w:rsid w:val="00270F26"/>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2F5"/>
    <w:rsid w:val="002804B6"/>
    <w:rsid w:val="0028059E"/>
    <w:rsid w:val="002808EF"/>
    <w:rsid w:val="00280B47"/>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976B9"/>
    <w:rsid w:val="002976DF"/>
    <w:rsid w:val="002A1849"/>
    <w:rsid w:val="002A1EF2"/>
    <w:rsid w:val="002A22AA"/>
    <w:rsid w:val="002A2715"/>
    <w:rsid w:val="002A3296"/>
    <w:rsid w:val="002A39A3"/>
    <w:rsid w:val="002A3A57"/>
    <w:rsid w:val="002A3B7C"/>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83"/>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2D1"/>
    <w:rsid w:val="002C5383"/>
    <w:rsid w:val="002C555C"/>
    <w:rsid w:val="002C612B"/>
    <w:rsid w:val="002C6B47"/>
    <w:rsid w:val="002C6D53"/>
    <w:rsid w:val="002C6E0E"/>
    <w:rsid w:val="002C6E3A"/>
    <w:rsid w:val="002C6F79"/>
    <w:rsid w:val="002C73F6"/>
    <w:rsid w:val="002C7C68"/>
    <w:rsid w:val="002D0323"/>
    <w:rsid w:val="002D063F"/>
    <w:rsid w:val="002D0CC4"/>
    <w:rsid w:val="002D128D"/>
    <w:rsid w:val="002D12C2"/>
    <w:rsid w:val="002D15A4"/>
    <w:rsid w:val="002D1988"/>
    <w:rsid w:val="002D19C1"/>
    <w:rsid w:val="002D232A"/>
    <w:rsid w:val="002D27C9"/>
    <w:rsid w:val="002D2C47"/>
    <w:rsid w:val="002D2CAE"/>
    <w:rsid w:val="002D2E7E"/>
    <w:rsid w:val="002D35BD"/>
    <w:rsid w:val="002D36C7"/>
    <w:rsid w:val="002D370A"/>
    <w:rsid w:val="002D3821"/>
    <w:rsid w:val="002D3DCC"/>
    <w:rsid w:val="002D3F19"/>
    <w:rsid w:val="002D42A0"/>
    <w:rsid w:val="002D52F6"/>
    <w:rsid w:val="002D55DE"/>
    <w:rsid w:val="002D5F03"/>
    <w:rsid w:val="002D5F67"/>
    <w:rsid w:val="002D624B"/>
    <w:rsid w:val="002D695F"/>
    <w:rsid w:val="002D6981"/>
    <w:rsid w:val="002D6CAE"/>
    <w:rsid w:val="002D713F"/>
    <w:rsid w:val="002D73C9"/>
    <w:rsid w:val="002D77FE"/>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652A"/>
    <w:rsid w:val="002E77B5"/>
    <w:rsid w:val="002E7F0A"/>
    <w:rsid w:val="002F066C"/>
    <w:rsid w:val="002F096F"/>
    <w:rsid w:val="002F0B8A"/>
    <w:rsid w:val="002F0E87"/>
    <w:rsid w:val="002F111C"/>
    <w:rsid w:val="002F1331"/>
    <w:rsid w:val="002F13E6"/>
    <w:rsid w:val="002F148C"/>
    <w:rsid w:val="002F1590"/>
    <w:rsid w:val="002F1BB3"/>
    <w:rsid w:val="002F1E2E"/>
    <w:rsid w:val="002F1FB4"/>
    <w:rsid w:val="002F2042"/>
    <w:rsid w:val="002F2357"/>
    <w:rsid w:val="002F25EC"/>
    <w:rsid w:val="002F2C27"/>
    <w:rsid w:val="002F375C"/>
    <w:rsid w:val="002F3C9C"/>
    <w:rsid w:val="002F3E7D"/>
    <w:rsid w:val="002F43A6"/>
    <w:rsid w:val="002F4F60"/>
    <w:rsid w:val="002F51D4"/>
    <w:rsid w:val="002F5420"/>
    <w:rsid w:val="002F5A67"/>
    <w:rsid w:val="002F5FBD"/>
    <w:rsid w:val="002F6488"/>
    <w:rsid w:val="002F6D0E"/>
    <w:rsid w:val="002F73A0"/>
    <w:rsid w:val="002F77A3"/>
    <w:rsid w:val="003000B4"/>
    <w:rsid w:val="0030097B"/>
    <w:rsid w:val="00300A97"/>
    <w:rsid w:val="00300F4A"/>
    <w:rsid w:val="00301C9A"/>
    <w:rsid w:val="00301F57"/>
    <w:rsid w:val="003026B8"/>
    <w:rsid w:val="003026EB"/>
    <w:rsid w:val="00302969"/>
    <w:rsid w:val="003039DF"/>
    <w:rsid w:val="0030413D"/>
    <w:rsid w:val="00304417"/>
    <w:rsid w:val="003049C0"/>
    <w:rsid w:val="00304BB2"/>
    <w:rsid w:val="00304DAD"/>
    <w:rsid w:val="00304DF1"/>
    <w:rsid w:val="0030566A"/>
    <w:rsid w:val="003056F9"/>
    <w:rsid w:val="00305979"/>
    <w:rsid w:val="00305B81"/>
    <w:rsid w:val="00305DE0"/>
    <w:rsid w:val="00305FAC"/>
    <w:rsid w:val="0030608A"/>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073"/>
    <w:rsid w:val="00313FF8"/>
    <w:rsid w:val="003146F7"/>
    <w:rsid w:val="0031474F"/>
    <w:rsid w:val="00314B45"/>
    <w:rsid w:val="00315142"/>
    <w:rsid w:val="0031581E"/>
    <w:rsid w:val="0031603C"/>
    <w:rsid w:val="003160F3"/>
    <w:rsid w:val="0031651E"/>
    <w:rsid w:val="00316F1B"/>
    <w:rsid w:val="00317016"/>
    <w:rsid w:val="00317092"/>
    <w:rsid w:val="003177C2"/>
    <w:rsid w:val="00317C22"/>
    <w:rsid w:val="00320A25"/>
    <w:rsid w:val="00321001"/>
    <w:rsid w:val="00321248"/>
    <w:rsid w:val="00321556"/>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CE2"/>
    <w:rsid w:val="00326FA8"/>
    <w:rsid w:val="003301C6"/>
    <w:rsid w:val="00330263"/>
    <w:rsid w:val="00330618"/>
    <w:rsid w:val="00330821"/>
    <w:rsid w:val="00331A3D"/>
    <w:rsid w:val="0033238F"/>
    <w:rsid w:val="00333A93"/>
    <w:rsid w:val="00334507"/>
    <w:rsid w:val="0033530A"/>
    <w:rsid w:val="00335404"/>
    <w:rsid w:val="00335C87"/>
    <w:rsid w:val="003360CD"/>
    <w:rsid w:val="0033692A"/>
    <w:rsid w:val="00336D41"/>
    <w:rsid w:val="0033701B"/>
    <w:rsid w:val="003372EE"/>
    <w:rsid w:val="0033794F"/>
    <w:rsid w:val="00337F00"/>
    <w:rsid w:val="003405CA"/>
    <w:rsid w:val="003408D2"/>
    <w:rsid w:val="00340A08"/>
    <w:rsid w:val="00340B21"/>
    <w:rsid w:val="00340DAB"/>
    <w:rsid w:val="00341BF9"/>
    <w:rsid w:val="003421BD"/>
    <w:rsid w:val="00342429"/>
    <w:rsid w:val="003424DC"/>
    <w:rsid w:val="00342823"/>
    <w:rsid w:val="00342F51"/>
    <w:rsid w:val="00343144"/>
    <w:rsid w:val="00343C25"/>
    <w:rsid w:val="00343D34"/>
    <w:rsid w:val="00344781"/>
    <w:rsid w:val="00344D1A"/>
    <w:rsid w:val="00344DD0"/>
    <w:rsid w:val="00344F5E"/>
    <w:rsid w:val="00344FAF"/>
    <w:rsid w:val="003452DA"/>
    <w:rsid w:val="003458ED"/>
    <w:rsid w:val="00345F66"/>
    <w:rsid w:val="0034617F"/>
    <w:rsid w:val="0034674E"/>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C15"/>
    <w:rsid w:val="00353F78"/>
    <w:rsid w:val="003557B7"/>
    <w:rsid w:val="0035744C"/>
    <w:rsid w:val="003606BF"/>
    <w:rsid w:val="00360EC2"/>
    <w:rsid w:val="00361164"/>
    <w:rsid w:val="003619AD"/>
    <w:rsid w:val="00362045"/>
    <w:rsid w:val="003621AD"/>
    <w:rsid w:val="00362353"/>
    <w:rsid w:val="0036262E"/>
    <w:rsid w:val="00362958"/>
    <w:rsid w:val="00362EF5"/>
    <w:rsid w:val="0036300A"/>
    <w:rsid w:val="003631D0"/>
    <w:rsid w:val="003633B0"/>
    <w:rsid w:val="003635EE"/>
    <w:rsid w:val="00363A57"/>
    <w:rsid w:val="00363E53"/>
    <w:rsid w:val="00363F68"/>
    <w:rsid w:val="003649E9"/>
    <w:rsid w:val="00364F4C"/>
    <w:rsid w:val="00365079"/>
    <w:rsid w:val="00365530"/>
    <w:rsid w:val="00365A03"/>
    <w:rsid w:val="00366A02"/>
    <w:rsid w:val="00366B46"/>
    <w:rsid w:val="0036768B"/>
    <w:rsid w:val="00367B1F"/>
    <w:rsid w:val="003705F2"/>
    <w:rsid w:val="0037078C"/>
    <w:rsid w:val="00370E22"/>
    <w:rsid w:val="0037132A"/>
    <w:rsid w:val="00371991"/>
    <w:rsid w:val="00371BB4"/>
    <w:rsid w:val="00372AE6"/>
    <w:rsid w:val="00372D3A"/>
    <w:rsid w:val="00373063"/>
    <w:rsid w:val="00373080"/>
    <w:rsid w:val="003736CA"/>
    <w:rsid w:val="00373911"/>
    <w:rsid w:val="00373A66"/>
    <w:rsid w:val="00373ABC"/>
    <w:rsid w:val="00373E25"/>
    <w:rsid w:val="00373FCA"/>
    <w:rsid w:val="0037418D"/>
    <w:rsid w:val="003746AC"/>
    <w:rsid w:val="003747C9"/>
    <w:rsid w:val="00375499"/>
    <w:rsid w:val="00375873"/>
    <w:rsid w:val="0037610F"/>
    <w:rsid w:val="00376A71"/>
    <w:rsid w:val="00376FE3"/>
    <w:rsid w:val="003770CE"/>
    <w:rsid w:val="00380D09"/>
    <w:rsid w:val="00380F4E"/>
    <w:rsid w:val="00380F81"/>
    <w:rsid w:val="0038170D"/>
    <w:rsid w:val="00381898"/>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503"/>
    <w:rsid w:val="003936FE"/>
    <w:rsid w:val="0039391E"/>
    <w:rsid w:val="00393A8D"/>
    <w:rsid w:val="00393D55"/>
    <w:rsid w:val="00393EA4"/>
    <w:rsid w:val="00394061"/>
    <w:rsid w:val="003940DF"/>
    <w:rsid w:val="0039450B"/>
    <w:rsid w:val="0039469E"/>
    <w:rsid w:val="00394CA6"/>
    <w:rsid w:val="00394F18"/>
    <w:rsid w:val="003956A2"/>
    <w:rsid w:val="003956FA"/>
    <w:rsid w:val="00395754"/>
    <w:rsid w:val="00395C8D"/>
    <w:rsid w:val="00396890"/>
    <w:rsid w:val="00396E22"/>
    <w:rsid w:val="00397264"/>
    <w:rsid w:val="0039736F"/>
    <w:rsid w:val="00397EEB"/>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BD2"/>
    <w:rsid w:val="003B4F2D"/>
    <w:rsid w:val="003B5007"/>
    <w:rsid w:val="003B558E"/>
    <w:rsid w:val="003B5799"/>
    <w:rsid w:val="003B6B85"/>
    <w:rsid w:val="003B7721"/>
    <w:rsid w:val="003B773D"/>
    <w:rsid w:val="003B77DA"/>
    <w:rsid w:val="003B78E1"/>
    <w:rsid w:val="003C09A2"/>
    <w:rsid w:val="003C0D5B"/>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BA"/>
    <w:rsid w:val="003C57F6"/>
    <w:rsid w:val="003C5C5B"/>
    <w:rsid w:val="003C6664"/>
    <w:rsid w:val="003C66C2"/>
    <w:rsid w:val="003C681E"/>
    <w:rsid w:val="003C7323"/>
    <w:rsid w:val="003C76A1"/>
    <w:rsid w:val="003C7BBC"/>
    <w:rsid w:val="003C7E0E"/>
    <w:rsid w:val="003D06F5"/>
    <w:rsid w:val="003D0EDD"/>
    <w:rsid w:val="003D173E"/>
    <w:rsid w:val="003D1882"/>
    <w:rsid w:val="003D1AA1"/>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80"/>
    <w:rsid w:val="003D47CC"/>
    <w:rsid w:val="003D5083"/>
    <w:rsid w:val="003D5264"/>
    <w:rsid w:val="003D6201"/>
    <w:rsid w:val="003D6DFF"/>
    <w:rsid w:val="003D7979"/>
    <w:rsid w:val="003D7BB8"/>
    <w:rsid w:val="003D7E78"/>
    <w:rsid w:val="003E03FF"/>
    <w:rsid w:val="003E07BA"/>
    <w:rsid w:val="003E0B58"/>
    <w:rsid w:val="003E15FC"/>
    <w:rsid w:val="003E1B37"/>
    <w:rsid w:val="003E1E28"/>
    <w:rsid w:val="003E1EDB"/>
    <w:rsid w:val="003E2189"/>
    <w:rsid w:val="003E2231"/>
    <w:rsid w:val="003E2D16"/>
    <w:rsid w:val="003E3495"/>
    <w:rsid w:val="003E37ED"/>
    <w:rsid w:val="003E37F4"/>
    <w:rsid w:val="003E386F"/>
    <w:rsid w:val="003E4245"/>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86"/>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07B9D"/>
    <w:rsid w:val="004103DB"/>
    <w:rsid w:val="00410EEC"/>
    <w:rsid w:val="00410F1F"/>
    <w:rsid w:val="00410F7D"/>
    <w:rsid w:val="00411104"/>
    <w:rsid w:val="00411200"/>
    <w:rsid w:val="004112AA"/>
    <w:rsid w:val="0041155F"/>
    <w:rsid w:val="0041191B"/>
    <w:rsid w:val="00411B47"/>
    <w:rsid w:val="00411B8A"/>
    <w:rsid w:val="00411C4A"/>
    <w:rsid w:val="0041220C"/>
    <w:rsid w:val="004124FE"/>
    <w:rsid w:val="00412D71"/>
    <w:rsid w:val="004132E4"/>
    <w:rsid w:val="0041354D"/>
    <w:rsid w:val="00414152"/>
    <w:rsid w:val="004143A8"/>
    <w:rsid w:val="00414883"/>
    <w:rsid w:val="00414990"/>
    <w:rsid w:val="00414E56"/>
    <w:rsid w:val="004155C6"/>
    <w:rsid w:val="00415F53"/>
    <w:rsid w:val="004163FA"/>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E12"/>
    <w:rsid w:val="00434F6A"/>
    <w:rsid w:val="00435054"/>
    <w:rsid w:val="004354D5"/>
    <w:rsid w:val="00435ADA"/>
    <w:rsid w:val="00435E05"/>
    <w:rsid w:val="00435E77"/>
    <w:rsid w:val="00436E4B"/>
    <w:rsid w:val="004374CD"/>
    <w:rsid w:val="004376E7"/>
    <w:rsid w:val="00437E34"/>
    <w:rsid w:val="00441527"/>
    <w:rsid w:val="004417ED"/>
    <w:rsid w:val="00442FC0"/>
    <w:rsid w:val="0044391B"/>
    <w:rsid w:val="00443C2C"/>
    <w:rsid w:val="00443C41"/>
    <w:rsid w:val="00443F66"/>
    <w:rsid w:val="0044435C"/>
    <w:rsid w:val="00444399"/>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867"/>
    <w:rsid w:val="00454ECF"/>
    <w:rsid w:val="00454F85"/>
    <w:rsid w:val="004554B1"/>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0B4"/>
    <w:rsid w:val="0046410B"/>
    <w:rsid w:val="004642B2"/>
    <w:rsid w:val="00464D5E"/>
    <w:rsid w:val="00465395"/>
    <w:rsid w:val="004657C4"/>
    <w:rsid w:val="00466435"/>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AA"/>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62A"/>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60"/>
    <w:rsid w:val="004A0BFD"/>
    <w:rsid w:val="004A146A"/>
    <w:rsid w:val="004A14E9"/>
    <w:rsid w:val="004A2B6E"/>
    <w:rsid w:val="004A312D"/>
    <w:rsid w:val="004A3329"/>
    <w:rsid w:val="004A3E75"/>
    <w:rsid w:val="004A4188"/>
    <w:rsid w:val="004A43D1"/>
    <w:rsid w:val="004A4D99"/>
    <w:rsid w:val="004A4E60"/>
    <w:rsid w:val="004A4EC7"/>
    <w:rsid w:val="004A51D4"/>
    <w:rsid w:val="004A5483"/>
    <w:rsid w:val="004A5A35"/>
    <w:rsid w:val="004A5C74"/>
    <w:rsid w:val="004A6327"/>
    <w:rsid w:val="004A681E"/>
    <w:rsid w:val="004A6ECC"/>
    <w:rsid w:val="004A7053"/>
    <w:rsid w:val="004A73E3"/>
    <w:rsid w:val="004A75C6"/>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1D3A"/>
    <w:rsid w:val="004C204A"/>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499"/>
    <w:rsid w:val="004D67F9"/>
    <w:rsid w:val="004D699D"/>
    <w:rsid w:val="004D69B4"/>
    <w:rsid w:val="004D7989"/>
    <w:rsid w:val="004D7B8D"/>
    <w:rsid w:val="004D7C30"/>
    <w:rsid w:val="004D7CD2"/>
    <w:rsid w:val="004E00A3"/>
    <w:rsid w:val="004E04BE"/>
    <w:rsid w:val="004E0623"/>
    <w:rsid w:val="004E0896"/>
    <w:rsid w:val="004E08DC"/>
    <w:rsid w:val="004E0E84"/>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5E60"/>
    <w:rsid w:val="004E6542"/>
    <w:rsid w:val="004E66DE"/>
    <w:rsid w:val="004E678D"/>
    <w:rsid w:val="004E7556"/>
    <w:rsid w:val="004E7913"/>
    <w:rsid w:val="004E7F54"/>
    <w:rsid w:val="004F01B1"/>
    <w:rsid w:val="004F075B"/>
    <w:rsid w:val="004F0C0D"/>
    <w:rsid w:val="004F1BD4"/>
    <w:rsid w:val="004F1FA2"/>
    <w:rsid w:val="004F2886"/>
    <w:rsid w:val="004F2BB0"/>
    <w:rsid w:val="004F31EC"/>
    <w:rsid w:val="004F3AFA"/>
    <w:rsid w:val="004F3EA0"/>
    <w:rsid w:val="004F3EEE"/>
    <w:rsid w:val="004F419B"/>
    <w:rsid w:val="004F41F9"/>
    <w:rsid w:val="004F4518"/>
    <w:rsid w:val="004F4D91"/>
    <w:rsid w:val="004F4EA1"/>
    <w:rsid w:val="004F5297"/>
    <w:rsid w:val="004F5CA2"/>
    <w:rsid w:val="004F6397"/>
    <w:rsid w:val="004F69B7"/>
    <w:rsid w:val="004F6B45"/>
    <w:rsid w:val="004F6E93"/>
    <w:rsid w:val="004F760C"/>
    <w:rsid w:val="004F79BB"/>
    <w:rsid w:val="004F7D9D"/>
    <w:rsid w:val="00500568"/>
    <w:rsid w:val="0050087D"/>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0D4"/>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56"/>
    <w:rsid w:val="00521861"/>
    <w:rsid w:val="00521AC1"/>
    <w:rsid w:val="0052273E"/>
    <w:rsid w:val="00522E47"/>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31A5"/>
    <w:rsid w:val="005339B1"/>
    <w:rsid w:val="00533D16"/>
    <w:rsid w:val="00533D1B"/>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9A"/>
    <w:rsid w:val="005467ED"/>
    <w:rsid w:val="00546813"/>
    <w:rsid w:val="005468BC"/>
    <w:rsid w:val="0054690F"/>
    <w:rsid w:val="00547B3C"/>
    <w:rsid w:val="00550E1C"/>
    <w:rsid w:val="00551CC8"/>
    <w:rsid w:val="00552075"/>
    <w:rsid w:val="00552F88"/>
    <w:rsid w:val="00553377"/>
    <w:rsid w:val="00553943"/>
    <w:rsid w:val="00553A9A"/>
    <w:rsid w:val="0055406E"/>
    <w:rsid w:val="00554341"/>
    <w:rsid w:val="00554617"/>
    <w:rsid w:val="00554692"/>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51C"/>
    <w:rsid w:val="0056478C"/>
    <w:rsid w:val="00564E7A"/>
    <w:rsid w:val="00565215"/>
    <w:rsid w:val="00565970"/>
    <w:rsid w:val="00565D2A"/>
    <w:rsid w:val="00566020"/>
    <w:rsid w:val="00566713"/>
    <w:rsid w:val="00566791"/>
    <w:rsid w:val="00566852"/>
    <w:rsid w:val="00566DE1"/>
    <w:rsid w:val="0056766B"/>
    <w:rsid w:val="00567C8C"/>
    <w:rsid w:val="00570365"/>
    <w:rsid w:val="0057112A"/>
    <w:rsid w:val="005712CD"/>
    <w:rsid w:val="0057159A"/>
    <w:rsid w:val="00571ED7"/>
    <w:rsid w:val="005725D7"/>
    <w:rsid w:val="0057268E"/>
    <w:rsid w:val="005728A9"/>
    <w:rsid w:val="005733B0"/>
    <w:rsid w:val="005735F4"/>
    <w:rsid w:val="0057372A"/>
    <w:rsid w:val="00573C8E"/>
    <w:rsid w:val="00573EE5"/>
    <w:rsid w:val="00574139"/>
    <w:rsid w:val="005743DE"/>
    <w:rsid w:val="00574524"/>
    <w:rsid w:val="0057474E"/>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BF3"/>
    <w:rsid w:val="00580E49"/>
    <w:rsid w:val="0058108C"/>
    <w:rsid w:val="005813A0"/>
    <w:rsid w:val="00581798"/>
    <w:rsid w:val="00581A18"/>
    <w:rsid w:val="0058236B"/>
    <w:rsid w:val="00582E32"/>
    <w:rsid w:val="005837C9"/>
    <w:rsid w:val="005837D7"/>
    <w:rsid w:val="00583EF6"/>
    <w:rsid w:val="0058404F"/>
    <w:rsid w:val="005844F5"/>
    <w:rsid w:val="00584D94"/>
    <w:rsid w:val="00584F6E"/>
    <w:rsid w:val="00585EFC"/>
    <w:rsid w:val="005861F5"/>
    <w:rsid w:val="00586448"/>
    <w:rsid w:val="00586936"/>
    <w:rsid w:val="00587590"/>
    <w:rsid w:val="0058760A"/>
    <w:rsid w:val="00587971"/>
    <w:rsid w:val="00587DB7"/>
    <w:rsid w:val="00587F8E"/>
    <w:rsid w:val="00590C13"/>
    <w:rsid w:val="00591771"/>
    <w:rsid w:val="005918CE"/>
    <w:rsid w:val="0059190C"/>
    <w:rsid w:val="00591C40"/>
    <w:rsid w:val="00591C8D"/>
    <w:rsid w:val="0059259D"/>
    <w:rsid w:val="0059296C"/>
    <w:rsid w:val="00593725"/>
    <w:rsid w:val="00593A00"/>
    <w:rsid w:val="005940EB"/>
    <w:rsid w:val="00595308"/>
    <w:rsid w:val="005954A7"/>
    <w:rsid w:val="00595902"/>
    <w:rsid w:val="005959AF"/>
    <w:rsid w:val="00595B9C"/>
    <w:rsid w:val="00595CDD"/>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647"/>
    <w:rsid w:val="005A392A"/>
    <w:rsid w:val="005A3A50"/>
    <w:rsid w:val="005A3C44"/>
    <w:rsid w:val="005A3C83"/>
    <w:rsid w:val="005A3E4B"/>
    <w:rsid w:val="005A3FF5"/>
    <w:rsid w:val="005A45AB"/>
    <w:rsid w:val="005A4BEE"/>
    <w:rsid w:val="005A4DC0"/>
    <w:rsid w:val="005A5D6E"/>
    <w:rsid w:val="005A5F6F"/>
    <w:rsid w:val="005A6226"/>
    <w:rsid w:val="005A6407"/>
    <w:rsid w:val="005A641F"/>
    <w:rsid w:val="005A6DA4"/>
    <w:rsid w:val="005A7843"/>
    <w:rsid w:val="005A794E"/>
    <w:rsid w:val="005B04AD"/>
    <w:rsid w:val="005B0652"/>
    <w:rsid w:val="005B0A14"/>
    <w:rsid w:val="005B0FEE"/>
    <w:rsid w:val="005B1134"/>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5DA"/>
    <w:rsid w:val="005B5808"/>
    <w:rsid w:val="005B5B6C"/>
    <w:rsid w:val="005B5E35"/>
    <w:rsid w:val="005B668C"/>
    <w:rsid w:val="005B68BA"/>
    <w:rsid w:val="005B6E9D"/>
    <w:rsid w:val="005B70C6"/>
    <w:rsid w:val="005B7314"/>
    <w:rsid w:val="005B7AE8"/>
    <w:rsid w:val="005C01B7"/>
    <w:rsid w:val="005C0D88"/>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51"/>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AD2"/>
    <w:rsid w:val="005D5E97"/>
    <w:rsid w:val="005D6D72"/>
    <w:rsid w:val="005D6EC0"/>
    <w:rsid w:val="005E00BF"/>
    <w:rsid w:val="005E04E8"/>
    <w:rsid w:val="005E0538"/>
    <w:rsid w:val="005E075E"/>
    <w:rsid w:val="005E079D"/>
    <w:rsid w:val="005E0C7C"/>
    <w:rsid w:val="005E0E84"/>
    <w:rsid w:val="005E13A7"/>
    <w:rsid w:val="005E17D9"/>
    <w:rsid w:val="005E1B3B"/>
    <w:rsid w:val="005E1BD3"/>
    <w:rsid w:val="005E250F"/>
    <w:rsid w:val="005E3604"/>
    <w:rsid w:val="005E3AF0"/>
    <w:rsid w:val="005E3EDA"/>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62C"/>
    <w:rsid w:val="00600D04"/>
    <w:rsid w:val="00601A52"/>
    <w:rsid w:val="006023B9"/>
    <w:rsid w:val="006023E9"/>
    <w:rsid w:val="00602441"/>
    <w:rsid w:val="00602864"/>
    <w:rsid w:val="00603BE1"/>
    <w:rsid w:val="00603CD7"/>
    <w:rsid w:val="00603CEE"/>
    <w:rsid w:val="0060412A"/>
    <w:rsid w:val="006044D5"/>
    <w:rsid w:val="00604532"/>
    <w:rsid w:val="00604756"/>
    <w:rsid w:val="00604A94"/>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0AD"/>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859"/>
    <w:rsid w:val="00631864"/>
    <w:rsid w:val="00631BC3"/>
    <w:rsid w:val="00632639"/>
    <w:rsid w:val="00632D60"/>
    <w:rsid w:val="00632F8E"/>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B62"/>
    <w:rsid w:val="00642F2D"/>
    <w:rsid w:val="0064311E"/>
    <w:rsid w:val="00643D31"/>
    <w:rsid w:val="00643DFF"/>
    <w:rsid w:val="00643E73"/>
    <w:rsid w:val="00644758"/>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0D49"/>
    <w:rsid w:val="00651095"/>
    <w:rsid w:val="006511B5"/>
    <w:rsid w:val="006513F2"/>
    <w:rsid w:val="006523D5"/>
    <w:rsid w:val="00652470"/>
    <w:rsid w:val="00652B04"/>
    <w:rsid w:val="00652E0D"/>
    <w:rsid w:val="006530B0"/>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42F"/>
    <w:rsid w:val="00661CD8"/>
    <w:rsid w:val="00663203"/>
    <w:rsid w:val="00663220"/>
    <w:rsid w:val="0066327F"/>
    <w:rsid w:val="0066350A"/>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20"/>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6B47"/>
    <w:rsid w:val="006778DF"/>
    <w:rsid w:val="00677BD3"/>
    <w:rsid w:val="006800B7"/>
    <w:rsid w:val="00680435"/>
    <w:rsid w:val="006804B0"/>
    <w:rsid w:val="006807EF"/>
    <w:rsid w:val="00680B69"/>
    <w:rsid w:val="00680B9D"/>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977"/>
    <w:rsid w:val="00696B9B"/>
    <w:rsid w:val="00696BA5"/>
    <w:rsid w:val="00696C44"/>
    <w:rsid w:val="00696F55"/>
    <w:rsid w:val="00697721"/>
    <w:rsid w:val="00697754"/>
    <w:rsid w:val="00697832"/>
    <w:rsid w:val="006A09DF"/>
    <w:rsid w:val="006A0B64"/>
    <w:rsid w:val="006A10BB"/>
    <w:rsid w:val="006A11CB"/>
    <w:rsid w:val="006A1C6C"/>
    <w:rsid w:val="006A1DF3"/>
    <w:rsid w:val="006A1EC1"/>
    <w:rsid w:val="006A20A8"/>
    <w:rsid w:val="006A22A5"/>
    <w:rsid w:val="006A242B"/>
    <w:rsid w:val="006A260F"/>
    <w:rsid w:val="006A30F5"/>
    <w:rsid w:val="006A3C70"/>
    <w:rsid w:val="006A3FF8"/>
    <w:rsid w:val="006A50D7"/>
    <w:rsid w:val="006A538A"/>
    <w:rsid w:val="006A5597"/>
    <w:rsid w:val="006A5B14"/>
    <w:rsid w:val="006A5D49"/>
    <w:rsid w:val="006A6C81"/>
    <w:rsid w:val="006A736C"/>
    <w:rsid w:val="006A7AEC"/>
    <w:rsid w:val="006A7BB0"/>
    <w:rsid w:val="006B1255"/>
    <w:rsid w:val="006B1687"/>
    <w:rsid w:val="006B3007"/>
    <w:rsid w:val="006B346D"/>
    <w:rsid w:val="006B37D0"/>
    <w:rsid w:val="006B3B7F"/>
    <w:rsid w:val="006B4328"/>
    <w:rsid w:val="006B4612"/>
    <w:rsid w:val="006B46AE"/>
    <w:rsid w:val="006B483E"/>
    <w:rsid w:val="006B4898"/>
    <w:rsid w:val="006B4E0D"/>
    <w:rsid w:val="006B4E91"/>
    <w:rsid w:val="006B5041"/>
    <w:rsid w:val="006B52A0"/>
    <w:rsid w:val="006B5720"/>
    <w:rsid w:val="006B5C3C"/>
    <w:rsid w:val="006B6027"/>
    <w:rsid w:val="006B6119"/>
    <w:rsid w:val="006B656A"/>
    <w:rsid w:val="006B7203"/>
    <w:rsid w:val="006B72A4"/>
    <w:rsid w:val="006B73AB"/>
    <w:rsid w:val="006B773E"/>
    <w:rsid w:val="006B7F1F"/>
    <w:rsid w:val="006C069D"/>
    <w:rsid w:val="006C06BB"/>
    <w:rsid w:val="006C098D"/>
    <w:rsid w:val="006C09B1"/>
    <w:rsid w:val="006C0BB6"/>
    <w:rsid w:val="006C0D1B"/>
    <w:rsid w:val="006C1A3C"/>
    <w:rsid w:val="006C1A99"/>
    <w:rsid w:val="006C245A"/>
    <w:rsid w:val="006C2CA0"/>
    <w:rsid w:val="006C2D85"/>
    <w:rsid w:val="006C30F8"/>
    <w:rsid w:val="006C33AA"/>
    <w:rsid w:val="006C3563"/>
    <w:rsid w:val="006C3813"/>
    <w:rsid w:val="006C3862"/>
    <w:rsid w:val="006C3B01"/>
    <w:rsid w:val="006C3D0F"/>
    <w:rsid w:val="006C3F83"/>
    <w:rsid w:val="006C4893"/>
    <w:rsid w:val="006C4D46"/>
    <w:rsid w:val="006C5312"/>
    <w:rsid w:val="006C5B90"/>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44E5"/>
    <w:rsid w:val="006D52CB"/>
    <w:rsid w:val="006D53C6"/>
    <w:rsid w:val="006D614C"/>
    <w:rsid w:val="006D67EE"/>
    <w:rsid w:val="006D714F"/>
    <w:rsid w:val="006D71A1"/>
    <w:rsid w:val="006D7B45"/>
    <w:rsid w:val="006D7F2D"/>
    <w:rsid w:val="006D7F93"/>
    <w:rsid w:val="006E0298"/>
    <w:rsid w:val="006E08CE"/>
    <w:rsid w:val="006E15CD"/>
    <w:rsid w:val="006E1754"/>
    <w:rsid w:val="006E1767"/>
    <w:rsid w:val="006E17E5"/>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8EE"/>
    <w:rsid w:val="006E4977"/>
    <w:rsid w:val="006E4C6A"/>
    <w:rsid w:val="006E4CA6"/>
    <w:rsid w:val="006E4EDC"/>
    <w:rsid w:val="006E50AB"/>
    <w:rsid w:val="006E5AC1"/>
    <w:rsid w:val="006E5EAB"/>
    <w:rsid w:val="006E6380"/>
    <w:rsid w:val="006E66EE"/>
    <w:rsid w:val="006E6C62"/>
    <w:rsid w:val="006E72E4"/>
    <w:rsid w:val="006E738A"/>
    <w:rsid w:val="006E7578"/>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253"/>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35C"/>
    <w:rsid w:val="00705B67"/>
    <w:rsid w:val="00705DE6"/>
    <w:rsid w:val="00706119"/>
    <w:rsid w:val="00706623"/>
    <w:rsid w:val="00706C7B"/>
    <w:rsid w:val="007072DE"/>
    <w:rsid w:val="00707ADB"/>
    <w:rsid w:val="00707EB4"/>
    <w:rsid w:val="00710566"/>
    <w:rsid w:val="00710933"/>
    <w:rsid w:val="00710E5A"/>
    <w:rsid w:val="00710F4D"/>
    <w:rsid w:val="007112A1"/>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16E"/>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7D"/>
    <w:rsid w:val="007241BB"/>
    <w:rsid w:val="0072426E"/>
    <w:rsid w:val="00724A2F"/>
    <w:rsid w:val="00725001"/>
    <w:rsid w:val="00725B83"/>
    <w:rsid w:val="00725E63"/>
    <w:rsid w:val="007267B8"/>
    <w:rsid w:val="00726B61"/>
    <w:rsid w:val="00726C1B"/>
    <w:rsid w:val="007270C9"/>
    <w:rsid w:val="007276E6"/>
    <w:rsid w:val="00727EA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4EBD"/>
    <w:rsid w:val="007352D8"/>
    <w:rsid w:val="00735CBF"/>
    <w:rsid w:val="00736281"/>
    <w:rsid w:val="0073679E"/>
    <w:rsid w:val="007367B2"/>
    <w:rsid w:val="007368C6"/>
    <w:rsid w:val="007368FB"/>
    <w:rsid w:val="00736BD8"/>
    <w:rsid w:val="00736CC4"/>
    <w:rsid w:val="0073765D"/>
    <w:rsid w:val="007379C2"/>
    <w:rsid w:val="007379C4"/>
    <w:rsid w:val="00737BA1"/>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47F0C"/>
    <w:rsid w:val="00750C86"/>
    <w:rsid w:val="00750F87"/>
    <w:rsid w:val="007510CA"/>
    <w:rsid w:val="00751111"/>
    <w:rsid w:val="007511CE"/>
    <w:rsid w:val="00751E3B"/>
    <w:rsid w:val="007521A1"/>
    <w:rsid w:val="00752361"/>
    <w:rsid w:val="007525CC"/>
    <w:rsid w:val="00752702"/>
    <w:rsid w:val="0075283F"/>
    <w:rsid w:val="0075291C"/>
    <w:rsid w:val="007529CA"/>
    <w:rsid w:val="0075301F"/>
    <w:rsid w:val="0075362B"/>
    <w:rsid w:val="00753D75"/>
    <w:rsid w:val="00754354"/>
    <w:rsid w:val="00754F9B"/>
    <w:rsid w:val="007551C6"/>
    <w:rsid w:val="00755CA9"/>
    <w:rsid w:val="00756225"/>
    <w:rsid w:val="00756549"/>
    <w:rsid w:val="00756560"/>
    <w:rsid w:val="0075680A"/>
    <w:rsid w:val="00756B64"/>
    <w:rsid w:val="00756CC6"/>
    <w:rsid w:val="00756F61"/>
    <w:rsid w:val="00756FDD"/>
    <w:rsid w:val="0075700F"/>
    <w:rsid w:val="007571FA"/>
    <w:rsid w:val="0075794B"/>
    <w:rsid w:val="00757CED"/>
    <w:rsid w:val="00757D41"/>
    <w:rsid w:val="007601A1"/>
    <w:rsid w:val="0076060F"/>
    <w:rsid w:val="00760761"/>
    <w:rsid w:val="007609D0"/>
    <w:rsid w:val="00760F0D"/>
    <w:rsid w:val="00761651"/>
    <w:rsid w:val="0076186C"/>
    <w:rsid w:val="00761CF1"/>
    <w:rsid w:val="00762511"/>
    <w:rsid w:val="00762842"/>
    <w:rsid w:val="00762A25"/>
    <w:rsid w:val="00762C7F"/>
    <w:rsid w:val="00762F9F"/>
    <w:rsid w:val="0076325C"/>
    <w:rsid w:val="00763AF3"/>
    <w:rsid w:val="00763D08"/>
    <w:rsid w:val="00763DCB"/>
    <w:rsid w:val="0076469B"/>
    <w:rsid w:val="00764ADF"/>
    <w:rsid w:val="00764F42"/>
    <w:rsid w:val="00765074"/>
    <w:rsid w:val="00765A63"/>
    <w:rsid w:val="00765CCC"/>
    <w:rsid w:val="00765E44"/>
    <w:rsid w:val="00766011"/>
    <w:rsid w:val="00766737"/>
    <w:rsid w:val="0076691D"/>
    <w:rsid w:val="00766DA3"/>
    <w:rsid w:val="00767507"/>
    <w:rsid w:val="00767BF9"/>
    <w:rsid w:val="007705F1"/>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228"/>
    <w:rsid w:val="00775546"/>
    <w:rsid w:val="00775620"/>
    <w:rsid w:val="00775F70"/>
    <w:rsid w:val="00776048"/>
    <w:rsid w:val="007761C3"/>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3CB"/>
    <w:rsid w:val="00791CBB"/>
    <w:rsid w:val="00792046"/>
    <w:rsid w:val="00792302"/>
    <w:rsid w:val="007927D6"/>
    <w:rsid w:val="00792AEC"/>
    <w:rsid w:val="00792B27"/>
    <w:rsid w:val="00792FFC"/>
    <w:rsid w:val="007933F3"/>
    <w:rsid w:val="0079343F"/>
    <w:rsid w:val="00793445"/>
    <w:rsid w:val="00793E86"/>
    <w:rsid w:val="00794031"/>
    <w:rsid w:val="007941C7"/>
    <w:rsid w:val="00795048"/>
    <w:rsid w:val="0079515A"/>
    <w:rsid w:val="007953DE"/>
    <w:rsid w:val="007957A3"/>
    <w:rsid w:val="0079588F"/>
    <w:rsid w:val="00795AD0"/>
    <w:rsid w:val="00795D31"/>
    <w:rsid w:val="00795DC9"/>
    <w:rsid w:val="00795EA6"/>
    <w:rsid w:val="00796239"/>
    <w:rsid w:val="007963AE"/>
    <w:rsid w:val="00797013"/>
    <w:rsid w:val="00797150"/>
    <w:rsid w:val="0079718C"/>
    <w:rsid w:val="00797A00"/>
    <w:rsid w:val="007A08B6"/>
    <w:rsid w:val="007A0EAE"/>
    <w:rsid w:val="007A17C0"/>
    <w:rsid w:val="007A1AA8"/>
    <w:rsid w:val="007A25CB"/>
    <w:rsid w:val="007A28EA"/>
    <w:rsid w:val="007A2D0F"/>
    <w:rsid w:val="007A31A4"/>
    <w:rsid w:val="007A3529"/>
    <w:rsid w:val="007A3B9F"/>
    <w:rsid w:val="007A3E11"/>
    <w:rsid w:val="007A40C2"/>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0EBD"/>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8F6"/>
    <w:rsid w:val="007C3C43"/>
    <w:rsid w:val="007C3F58"/>
    <w:rsid w:val="007C440F"/>
    <w:rsid w:val="007C4577"/>
    <w:rsid w:val="007C4A58"/>
    <w:rsid w:val="007C4C50"/>
    <w:rsid w:val="007C541C"/>
    <w:rsid w:val="007C55E0"/>
    <w:rsid w:val="007C5635"/>
    <w:rsid w:val="007C5697"/>
    <w:rsid w:val="007C608B"/>
    <w:rsid w:val="007C60FF"/>
    <w:rsid w:val="007C6335"/>
    <w:rsid w:val="007C671A"/>
    <w:rsid w:val="007C6D8E"/>
    <w:rsid w:val="007C6E8A"/>
    <w:rsid w:val="007C6F8E"/>
    <w:rsid w:val="007C72CB"/>
    <w:rsid w:val="007C7787"/>
    <w:rsid w:val="007C785C"/>
    <w:rsid w:val="007C79A6"/>
    <w:rsid w:val="007C7B1E"/>
    <w:rsid w:val="007C7F63"/>
    <w:rsid w:val="007C7FF9"/>
    <w:rsid w:val="007D0295"/>
    <w:rsid w:val="007D053C"/>
    <w:rsid w:val="007D0EBF"/>
    <w:rsid w:val="007D0F0E"/>
    <w:rsid w:val="007D129C"/>
    <w:rsid w:val="007D1728"/>
    <w:rsid w:val="007D228F"/>
    <w:rsid w:val="007D243A"/>
    <w:rsid w:val="007D34EB"/>
    <w:rsid w:val="007D380E"/>
    <w:rsid w:val="007D3AC7"/>
    <w:rsid w:val="007D4FF3"/>
    <w:rsid w:val="007D50AD"/>
    <w:rsid w:val="007D51FF"/>
    <w:rsid w:val="007D5254"/>
    <w:rsid w:val="007D54C4"/>
    <w:rsid w:val="007D5772"/>
    <w:rsid w:val="007D6579"/>
    <w:rsid w:val="007D682F"/>
    <w:rsid w:val="007D688E"/>
    <w:rsid w:val="007D68E9"/>
    <w:rsid w:val="007D6CB3"/>
    <w:rsid w:val="007D6E20"/>
    <w:rsid w:val="007D7557"/>
    <w:rsid w:val="007D77FD"/>
    <w:rsid w:val="007D79ED"/>
    <w:rsid w:val="007D7FB6"/>
    <w:rsid w:val="007E0C40"/>
    <w:rsid w:val="007E17F4"/>
    <w:rsid w:val="007E1F10"/>
    <w:rsid w:val="007E24C5"/>
    <w:rsid w:val="007E2859"/>
    <w:rsid w:val="007E2AFC"/>
    <w:rsid w:val="007E3E65"/>
    <w:rsid w:val="007E3FDE"/>
    <w:rsid w:val="007E46E8"/>
    <w:rsid w:val="007E482E"/>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039"/>
    <w:rsid w:val="007F5CE9"/>
    <w:rsid w:val="007F67E1"/>
    <w:rsid w:val="007F6A45"/>
    <w:rsid w:val="007F6A50"/>
    <w:rsid w:val="007F6F21"/>
    <w:rsid w:val="007F7655"/>
    <w:rsid w:val="007F7ED5"/>
    <w:rsid w:val="0080033E"/>
    <w:rsid w:val="0080072A"/>
    <w:rsid w:val="008009D0"/>
    <w:rsid w:val="00800AA6"/>
    <w:rsid w:val="00800B3A"/>
    <w:rsid w:val="00800B85"/>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9DE"/>
    <w:rsid w:val="00804B01"/>
    <w:rsid w:val="0080507A"/>
    <w:rsid w:val="00805E7E"/>
    <w:rsid w:val="0080624F"/>
    <w:rsid w:val="00806805"/>
    <w:rsid w:val="00806953"/>
    <w:rsid w:val="00806B08"/>
    <w:rsid w:val="00806B2A"/>
    <w:rsid w:val="00806B77"/>
    <w:rsid w:val="00806F70"/>
    <w:rsid w:val="0080742F"/>
    <w:rsid w:val="0080769F"/>
    <w:rsid w:val="00810012"/>
    <w:rsid w:val="00810962"/>
    <w:rsid w:val="00810E2C"/>
    <w:rsid w:val="008115A1"/>
    <w:rsid w:val="00811B37"/>
    <w:rsid w:val="00811C59"/>
    <w:rsid w:val="008137A7"/>
    <w:rsid w:val="00813AEC"/>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72F"/>
    <w:rsid w:val="00822A24"/>
    <w:rsid w:val="008233CE"/>
    <w:rsid w:val="00823635"/>
    <w:rsid w:val="008237A2"/>
    <w:rsid w:val="00824497"/>
    <w:rsid w:val="00825A65"/>
    <w:rsid w:val="00825CAA"/>
    <w:rsid w:val="0082644D"/>
    <w:rsid w:val="00827148"/>
    <w:rsid w:val="0082728A"/>
    <w:rsid w:val="0082745B"/>
    <w:rsid w:val="00827A5F"/>
    <w:rsid w:val="00830495"/>
    <w:rsid w:val="008305F9"/>
    <w:rsid w:val="00830FAC"/>
    <w:rsid w:val="008314FE"/>
    <w:rsid w:val="00831695"/>
    <w:rsid w:val="0083201D"/>
    <w:rsid w:val="00832403"/>
    <w:rsid w:val="00832546"/>
    <w:rsid w:val="00832F24"/>
    <w:rsid w:val="00833083"/>
    <w:rsid w:val="00833CFD"/>
    <w:rsid w:val="00833DB2"/>
    <w:rsid w:val="008343B2"/>
    <w:rsid w:val="00835D8B"/>
    <w:rsid w:val="00836130"/>
    <w:rsid w:val="00836316"/>
    <w:rsid w:val="00836474"/>
    <w:rsid w:val="0083700E"/>
    <w:rsid w:val="0083711E"/>
    <w:rsid w:val="008371B9"/>
    <w:rsid w:val="00837442"/>
    <w:rsid w:val="008374EB"/>
    <w:rsid w:val="00837549"/>
    <w:rsid w:val="00837E15"/>
    <w:rsid w:val="008400F6"/>
    <w:rsid w:val="00840315"/>
    <w:rsid w:val="00840ED6"/>
    <w:rsid w:val="0084143F"/>
    <w:rsid w:val="008416B9"/>
    <w:rsid w:val="00841DD8"/>
    <w:rsid w:val="00842317"/>
    <w:rsid w:val="00842FBE"/>
    <w:rsid w:val="00844B7E"/>
    <w:rsid w:val="00844F61"/>
    <w:rsid w:val="00845035"/>
    <w:rsid w:val="00845221"/>
    <w:rsid w:val="008455D8"/>
    <w:rsid w:val="0084597C"/>
    <w:rsid w:val="008462BD"/>
    <w:rsid w:val="0084636B"/>
    <w:rsid w:val="0084663B"/>
    <w:rsid w:val="00846B66"/>
    <w:rsid w:val="00846C07"/>
    <w:rsid w:val="00846C7F"/>
    <w:rsid w:val="008470ED"/>
    <w:rsid w:val="00847D1D"/>
    <w:rsid w:val="008500CB"/>
    <w:rsid w:val="00850154"/>
    <w:rsid w:val="00850155"/>
    <w:rsid w:val="00850A55"/>
    <w:rsid w:val="00851053"/>
    <w:rsid w:val="00851A9A"/>
    <w:rsid w:val="00852604"/>
    <w:rsid w:val="00852DC6"/>
    <w:rsid w:val="00852F0B"/>
    <w:rsid w:val="00853210"/>
    <w:rsid w:val="00854212"/>
    <w:rsid w:val="0085431A"/>
    <w:rsid w:val="00854CFA"/>
    <w:rsid w:val="00854DE5"/>
    <w:rsid w:val="00854EBF"/>
    <w:rsid w:val="00855433"/>
    <w:rsid w:val="008558A5"/>
    <w:rsid w:val="008572B6"/>
    <w:rsid w:val="008573D9"/>
    <w:rsid w:val="00860414"/>
    <w:rsid w:val="00860490"/>
    <w:rsid w:val="008606E5"/>
    <w:rsid w:val="008608DA"/>
    <w:rsid w:val="00861575"/>
    <w:rsid w:val="0086234A"/>
    <w:rsid w:val="008623ED"/>
    <w:rsid w:val="00862F26"/>
    <w:rsid w:val="008632DB"/>
    <w:rsid w:val="008634FC"/>
    <w:rsid w:val="008635AF"/>
    <w:rsid w:val="008638F1"/>
    <w:rsid w:val="008643DE"/>
    <w:rsid w:val="00864A69"/>
    <w:rsid w:val="00864FF9"/>
    <w:rsid w:val="0086502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971"/>
    <w:rsid w:val="00877AF4"/>
    <w:rsid w:val="00877D2D"/>
    <w:rsid w:val="008800CC"/>
    <w:rsid w:val="008802D9"/>
    <w:rsid w:val="00880B87"/>
    <w:rsid w:val="008816BA"/>
    <w:rsid w:val="00881D51"/>
    <w:rsid w:val="00882301"/>
    <w:rsid w:val="008827C0"/>
    <w:rsid w:val="00883328"/>
    <w:rsid w:val="008837D6"/>
    <w:rsid w:val="00883AD3"/>
    <w:rsid w:val="00883C32"/>
    <w:rsid w:val="00883E35"/>
    <w:rsid w:val="00884A55"/>
    <w:rsid w:val="00884E03"/>
    <w:rsid w:val="00884E7C"/>
    <w:rsid w:val="0088559D"/>
    <w:rsid w:val="0088562B"/>
    <w:rsid w:val="008856DB"/>
    <w:rsid w:val="008857EF"/>
    <w:rsid w:val="00885818"/>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649"/>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685"/>
    <w:rsid w:val="008A3710"/>
    <w:rsid w:val="008A3C73"/>
    <w:rsid w:val="008A4368"/>
    <w:rsid w:val="008A4668"/>
    <w:rsid w:val="008A4759"/>
    <w:rsid w:val="008A5BE5"/>
    <w:rsid w:val="008A5DCB"/>
    <w:rsid w:val="008A6085"/>
    <w:rsid w:val="008A60BE"/>
    <w:rsid w:val="008A6542"/>
    <w:rsid w:val="008A66C1"/>
    <w:rsid w:val="008A6DE6"/>
    <w:rsid w:val="008A756A"/>
    <w:rsid w:val="008A7A23"/>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C1D"/>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97C"/>
    <w:rsid w:val="008D4BE1"/>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B5"/>
    <w:rsid w:val="008E26F5"/>
    <w:rsid w:val="008E28E3"/>
    <w:rsid w:val="008E3055"/>
    <w:rsid w:val="008E3210"/>
    <w:rsid w:val="008E32E5"/>
    <w:rsid w:val="008E392A"/>
    <w:rsid w:val="008E3F13"/>
    <w:rsid w:val="008E4176"/>
    <w:rsid w:val="008E4489"/>
    <w:rsid w:val="008E454D"/>
    <w:rsid w:val="008E4FE5"/>
    <w:rsid w:val="008E5728"/>
    <w:rsid w:val="008E6291"/>
    <w:rsid w:val="008E75E0"/>
    <w:rsid w:val="008E797E"/>
    <w:rsid w:val="008F0BBF"/>
    <w:rsid w:val="008F0C29"/>
    <w:rsid w:val="008F0EC9"/>
    <w:rsid w:val="008F12C2"/>
    <w:rsid w:val="008F14F2"/>
    <w:rsid w:val="008F1870"/>
    <w:rsid w:val="008F1BB4"/>
    <w:rsid w:val="008F2409"/>
    <w:rsid w:val="008F2426"/>
    <w:rsid w:val="008F2754"/>
    <w:rsid w:val="008F30A8"/>
    <w:rsid w:val="008F38BC"/>
    <w:rsid w:val="008F3988"/>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2814"/>
    <w:rsid w:val="00903036"/>
    <w:rsid w:val="009030CD"/>
    <w:rsid w:val="00903798"/>
    <w:rsid w:val="00903CF7"/>
    <w:rsid w:val="00903DFE"/>
    <w:rsid w:val="009040F1"/>
    <w:rsid w:val="00904C10"/>
    <w:rsid w:val="00904EE1"/>
    <w:rsid w:val="00905012"/>
    <w:rsid w:val="009052E3"/>
    <w:rsid w:val="009067DE"/>
    <w:rsid w:val="009068F7"/>
    <w:rsid w:val="009075C4"/>
    <w:rsid w:val="009079DE"/>
    <w:rsid w:val="00907BA0"/>
    <w:rsid w:val="00907D0B"/>
    <w:rsid w:val="009104A4"/>
    <w:rsid w:val="00910B09"/>
    <w:rsid w:val="00911DB0"/>
    <w:rsid w:val="00912AC1"/>
    <w:rsid w:val="0091300F"/>
    <w:rsid w:val="009130C6"/>
    <w:rsid w:val="00913455"/>
    <w:rsid w:val="0091355F"/>
    <w:rsid w:val="009142DA"/>
    <w:rsid w:val="00914F85"/>
    <w:rsid w:val="009150AC"/>
    <w:rsid w:val="009158CE"/>
    <w:rsid w:val="00915B45"/>
    <w:rsid w:val="009160D0"/>
    <w:rsid w:val="00916130"/>
    <w:rsid w:val="00916911"/>
    <w:rsid w:val="00916B19"/>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6958"/>
    <w:rsid w:val="00926D9F"/>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98C"/>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2C49"/>
    <w:rsid w:val="009432DD"/>
    <w:rsid w:val="009434F1"/>
    <w:rsid w:val="009439A2"/>
    <w:rsid w:val="009445BB"/>
    <w:rsid w:val="0094471C"/>
    <w:rsid w:val="00944900"/>
    <w:rsid w:val="009449ED"/>
    <w:rsid w:val="00945418"/>
    <w:rsid w:val="009456D4"/>
    <w:rsid w:val="009461DC"/>
    <w:rsid w:val="0094686C"/>
    <w:rsid w:val="009473FE"/>
    <w:rsid w:val="00947B90"/>
    <w:rsid w:val="00947EBC"/>
    <w:rsid w:val="00950063"/>
    <w:rsid w:val="00950379"/>
    <w:rsid w:val="00950551"/>
    <w:rsid w:val="00950A77"/>
    <w:rsid w:val="00951B39"/>
    <w:rsid w:val="0095292F"/>
    <w:rsid w:val="0095374C"/>
    <w:rsid w:val="0095387D"/>
    <w:rsid w:val="00953B1D"/>
    <w:rsid w:val="009544BE"/>
    <w:rsid w:val="0095469E"/>
    <w:rsid w:val="009548CA"/>
    <w:rsid w:val="0095515C"/>
    <w:rsid w:val="009551A9"/>
    <w:rsid w:val="00955C70"/>
    <w:rsid w:val="00955E7B"/>
    <w:rsid w:val="009566C7"/>
    <w:rsid w:val="00956D6E"/>
    <w:rsid w:val="00957999"/>
    <w:rsid w:val="00957AAC"/>
    <w:rsid w:val="00957E9B"/>
    <w:rsid w:val="00957FF7"/>
    <w:rsid w:val="00960165"/>
    <w:rsid w:val="009603AE"/>
    <w:rsid w:val="00961E59"/>
    <w:rsid w:val="00961FCA"/>
    <w:rsid w:val="009624E0"/>
    <w:rsid w:val="0096274F"/>
    <w:rsid w:val="009627E1"/>
    <w:rsid w:val="0096283B"/>
    <w:rsid w:val="00962F22"/>
    <w:rsid w:val="0096308D"/>
    <w:rsid w:val="00963E98"/>
    <w:rsid w:val="009644DE"/>
    <w:rsid w:val="009645C6"/>
    <w:rsid w:val="009645D8"/>
    <w:rsid w:val="00964802"/>
    <w:rsid w:val="00964BFE"/>
    <w:rsid w:val="00965C63"/>
    <w:rsid w:val="00965CED"/>
    <w:rsid w:val="0096610A"/>
    <w:rsid w:val="0096644E"/>
    <w:rsid w:val="00966645"/>
    <w:rsid w:val="009666E1"/>
    <w:rsid w:val="009668EB"/>
    <w:rsid w:val="00966F47"/>
    <w:rsid w:val="0096705E"/>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723"/>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81A"/>
    <w:rsid w:val="00983903"/>
    <w:rsid w:val="00983956"/>
    <w:rsid w:val="00983E2E"/>
    <w:rsid w:val="00984062"/>
    <w:rsid w:val="009843C9"/>
    <w:rsid w:val="0098505F"/>
    <w:rsid w:val="00985485"/>
    <w:rsid w:val="00985511"/>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8BE"/>
    <w:rsid w:val="009A0920"/>
    <w:rsid w:val="009A0BA4"/>
    <w:rsid w:val="009A1054"/>
    <w:rsid w:val="009A17EA"/>
    <w:rsid w:val="009A1821"/>
    <w:rsid w:val="009A25F5"/>
    <w:rsid w:val="009A2ADB"/>
    <w:rsid w:val="009A2F2B"/>
    <w:rsid w:val="009A3706"/>
    <w:rsid w:val="009A38A2"/>
    <w:rsid w:val="009A3D7C"/>
    <w:rsid w:val="009A3F33"/>
    <w:rsid w:val="009A3FE1"/>
    <w:rsid w:val="009A4923"/>
    <w:rsid w:val="009A4DDF"/>
    <w:rsid w:val="009A4EC6"/>
    <w:rsid w:val="009A54AB"/>
    <w:rsid w:val="009A5917"/>
    <w:rsid w:val="009A60AD"/>
    <w:rsid w:val="009A65CE"/>
    <w:rsid w:val="009A682B"/>
    <w:rsid w:val="009A6958"/>
    <w:rsid w:val="009A6EDA"/>
    <w:rsid w:val="009A6F73"/>
    <w:rsid w:val="009A72B7"/>
    <w:rsid w:val="009A75DD"/>
    <w:rsid w:val="009A76F8"/>
    <w:rsid w:val="009A7FA3"/>
    <w:rsid w:val="009B0433"/>
    <w:rsid w:val="009B0665"/>
    <w:rsid w:val="009B0A5A"/>
    <w:rsid w:val="009B0B96"/>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B7BE9"/>
    <w:rsid w:val="009C024E"/>
    <w:rsid w:val="009C1004"/>
    <w:rsid w:val="009C23D5"/>
    <w:rsid w:val="009C279E"/>
    <w:rsid w:val="009C3F0D"/>
    <w:rsid w:val="009C4015"/>
    <w:rsid w:val="009C4048"/>
    <w:rsid w:val="009C43FF"/>
    <w:rsid w:val="009C4AD0"/>
    <w:rsid w:val="009C5017"/>
    <w:rsid w:val="009C51B3"/>
    <w:rsid w:val="009C566D"/>
    <w:rsid w:val="009C5929"/>
    <w:rsid w:val="009C59E6"/>
    <w:rsid w:val="009C5D62"/>
    <w:rsid w:val="009C652D"/>
    <w:rsid w:val="009C67AC"/>
    <w:rsid w:val="009C6947"/>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9BE"/>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15CC"/>
    <w:rsid w:val="009F1B6D"/>
    <w:rsid w:val="009F1DBB"/>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7B0"/>
    <w:rsid w:val="00A01BBC"/>
    <w:rsid w:val="00A01C31"/>
    <w:rsid w:val="00A01F61"/>
    <w:rsid w:val="00A021F7"/>
    <w:rsid w:val="00A0243C"/>
    <w:rsid w:val="00A0248E"/>
    <w:rsid w:val="00A0269F"/>
    <w:rsid w:val="00A0277A"/>
    <w:rsid w:val="00A02837"/>
    <w:rsid w:val="00A049DB"/>
    <w:rsid w:val="00A04A02"/>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5FE5"/>
    <w:rsid w:val="00A16A5F"/>
    <w:rsid w:val="00A16C3E"/>
    <w:rsid w:val="00A17558"/>
    <w:rsid w:val="00A2000D"/>
    <w:rsid w:val="00A20926"/>
    <w:rsid w:val="00A21C0B"/>
    <w:rsid w:val="00A21CDB"/>
    <w:rsid w:val="00A21D9F"/>
    <w:rsid w:val="00A223A5"/>
    <w:rsid w:val="00A230C4"/>
    <w:rsid w:val="00A231CC"/>
    <w:rsid w:val="00A23698"/>
    <w:rsid w:val="00A238ED"/>
    <w:rsid w:val="00A23E5B"/>
    <w:rsid w:val="00A244EE"/>
    <w:rsid w:val="00A24799"/>
    <w:rsid w:val="00A252B8"/>
    <w:rsid w:val="00A25C70"/>
    <w:rsid w:val="00A26556"/>
    <w:rsid w:val="00A273BD"/>
    <w:rsid w:val="00A275FA"/>
    <w:rsid w:val="00A30415"/>
    <w:rsid w:val="00A30D7D"/>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527"/>
    <w:rsid w:val="00A34B8F"/>
    <w:rsid w:val="00A35133"/>
    <w:rsid w:val="00A3528E"/>
    <w:rsid w:val="00A353B0"/>
    <w:rsid w:val="00A354DA"/>
    <w:rsid w:val="00A35738"/>
    <w:rsid w:val="00A3575C"/>
    <w:rsid w:val="00A35824"/>
    <w:rsid w:val="00A366AA"/>
    <w:rsid w:val="00A37078"/>
    <w:rsid w:val="00A37375"/>
    <w:rsid w:val="00A37B2B"/>
    <w:rsid w:val="00A37EC2"/>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0E1"/>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67E1F"/>
    <w:rsid w:val="00A7043A"/>
    <w:rsid w:val="00A70CAB"/>
    <w:rsid w:val="00A710F5"/>
    <w:rsid w:val="00A71199"/>
    <w:rsid w:val="00A714B2"/>
    <w:rsid w:val="00A718AC"/>
    <w:rsid w:val="00A71C01"/>
    <w:rsid w:val="00A71ECC"/>
    <w:rsid w:val="00A72324"/>
    <w:rsid w:val="00A7254A"/>
    <w:rsid w:val="00A726ED"/>
    <w:rsid w:val="00A738B1"/>
    <w:rsid w:val="00A7435B"/>
    <w:rsid w:val="00A749FD"/>
    <w:rsid w:val="00A74B13"/>
    <w:rsid w:val="00A74B5C"/>
    <w:rsid w:val="00A74EB0"/>
    <w:rsid w:val="00A755AD"/>
    <w:rsid w:val="00A76292"/>
    <w:rsid w:val="00A7666B"/>
    <w:rsid w:val="00A766F2"/>
    <w:rsid w:val="00A76BAD"/>
    <w:rsid w:val="00A770BB"/>
    <w:rsid w:val="00A778D7"/>
    <w:rsid w:val="00A801C4"/>
    <w:rsid w:val="00A80710"/>
    <w:rsid w:val="00A8071F"/>
    <w:rsid w:val="00A809C0"/>
    <w:rsid w:val="00A80F86"/>
    <w:rsid w:val="00A812E7"/>
    <w:rsid w:val="00A82378"/>
    <w:rsid w:val="00A825EE"/>
    <w:rsid w:val="00A829FF"/>
    <w:rsid w:val="00A83C4D"/>
    <w:rsid w:val="00A83F31"/>
    <w:rsid w:val="00A8422D"/>
    <w:rsid w:val="00A84644"/>
    <w:rsid w:val="00A846BB"/>
    <w:rsid w:val="00A84B77"/>
    <w:rsid w:val="00A84EC9"/>
    <w:rsid w:val="00A854BF"/>
    <w:rsid w:val="00A85935"/>
    <w:rsid w:val="00A859CD"/>
    <w:rsid w:val="00A85BB2"/>
    <w:rsid w:val="00A85D67"/>
    <w:rsid w:val="00A866BC"/>
    <w:rsid w:val="00A8739B"/>
    <w:rsid w:val="00A87B27"/>
    <w:rsid w:val="00A87C73"/>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D93"/>
    <w:rsid w:val="00A94E7A"/>
    <w:rsid w:val="00A94EBE"/>
    <w:rsid w:val="00A957AA"/>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717"/>
    <w:rsid w:val="00AB19C8"/>
    <w:rsid w:val="00AB1B6F"/>
    <w:rsid w:val="00AB22E6"/>
    <w:rsid w:val="00AB23D7"/>
    <w:rsid w:val="00AB2843"/>
    <w:rsid w:val="00AB351B"/>
    <w:rsid w:val="00AB37B5"/>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384C"/>
    <w:rsid w:val="00AD4ACB"/>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27A"/>
    <w:rsid w:val="00AF0EAA"/>
    <w:rsid w:val="00AF1113"/>
    <w:rsid w:val="00AF1303"/>
    <w:rsid w:val="00AF1733"/>
    <w:rsid w:val="00AF190F"/>
    <w:rsid w:val="00AF26FA"/>
    <w:rsid w:val="00AF2927"/>
    <w:rsid w:val="00AF2C5B"/>
    <w:rsid w:val="00AF316C"/>
    <w:rsid w:val="00AF3BE2"/>
    <w:rsid w:val="00AF41DA"/>
    <w:rsid w:val="00AF47BC"/>
    <w:rsid w:val="00AF4D8D"/>
    <w:rsid w:val="00AF51DE"/>
    <w:rsid w:val="00AF52A9"/>
    <w:rsid w:val="00AF5599"/>
    <w:rsid w:val="00AF59AE"/>
    <w:rsid w:val="00AF5C3B"/>
    <w:rsid w:val="00AF625A"/>
    <w:rsid w:val="00AF6BE0"/>
    <w:rsid w:val="00B00AD6"/>
    <w:rsid w:val="00B00E5F"/>
    <w:rsid w:val="00B0186C"/>
    <w:rsid w:val="00B019F6"/>
    <w:rsid w:val="00B01C4B"/>
    <w:rsid w:val="00B01CE3"/>
    <w:rsid w:val="00B020A8"/>
    <w:rsid w:val="00B02525"/>
    <w:rsid w:val="00B02F24"/>
    <w:rsid w:val="00B02FD2"/>
    <w:rsid w:val="00B0303C"/>
    <w:rsid w:val="00B030E2"/>
    <w:rsid w:val="00B032A5"/>
    <w:rsid w:val="00B03341"/>
    <w:rsid w:val="00B03C17"/>
    <w:rsid w:val="00B03F8F"/>
    <w:rsid w:val="00B03FAC"/>
    <w:rsid w:val="00B046D0"/>
    <w:rsid w:val="00B047DC"/>
    <w:rsid w:val="00B04ABA"/>
    <w:rsid w:val="00B04B6B"/>
    <w:rsid w:val="00B04BAF"/>
    <w:rsid w:val="00B04F1E"/>
    <w:rsid w:val="00B0506C"/>
    <w:rsid w:val="00B056FD"/>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70"/>
    <w:rsid w:val="00B1399D"/>
    <w:rsid w:val="00B13CA3"/>
    <w:rsid w:val="00B13DCC"/>
    <w:rsid w:val="00B14402"/>
    <w:rsid w:val="00B14FFB"/>
    <w:rsid w:val="00B15C30"/>
    <w:rsid w:val="00B16A34"/>
    <w:rsid w:val="00B16AAD"/>
    <w:rsid w:val="00B1736C"/>
    <w:rsid w:val="00B17407"/>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5E96"/>
    <w:rsid w:val="00B265CF"/>
    <w:rsid w:val="00B272C7"/>
    <w:rsid w:val="00B27711"/>
    <w:rsid w:val="00B30327"/>
    <w:rsid w:val="00B304BA"/>
    <w:rsid w:val="00B31932"/>
    <w:rsid w:val="00B31DAC"/>
    <w:rsid w:val="00B325BE"/>
    <w:rsid w:val="00B32E33"/>
    <w:rsid w:val="00B33018"/>
    <w:rsid w:val="00B33D2E"/>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461"/>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2F8A"/>
    <w:rsid w:val="00B530FD"/>
    <w:rsid w:val="00B5330C"/>
    <w:rsid w:val="00B53423"/>
    <w:rsid w:val="00B535F3"/>
    <w:rsid w:val="00B53927"/>
    <w:rsid w:val="00B539C5"/>
    <w:rsid w:val="00B55096"/>
    <w:rsid w:val="00B55108"/>
    <w:rsid w:val="00B55C77"/>
    <w:rsid w:val="00B560A8"/>
    <w:rsid w:val="00B5643A"/>
    <w:rsid w:val="00B56515"/>
    <w:rsid w:val="00B5714C"/>
    <w:rsid w:val="00B5759C"/>
    <w:rsid w:val="00B60309"/>
    <w:rsid w:val="00B606AA"/>
    <w:rsid w:val="00B611A8"/>
    <w:rsid w:val="00B616B9"/>
    <w:rsid w:val="00B618F6"/>
    <w:rsid w:val="00B61DC7"/>
    <w:rsid w:val="00B62106"/>
    <w:rsid w:val="00B62177"/>
    <w:rsid w:val="00B624E6"/>
    <w:rsid w:val="00B6323C"/>
    <w:rsid w:val="00B636A2"/>
    <w:rsid w:val="00B639DE"/>
    <w:rsid w:val="00B63DB3"/>
    <w:rsid w:val="00B641ED"/>
    <w:rsid w:val="00B6497C"/>
    <w:rsid w:val="00B64BD1"/>
    <w:rsid w:val="00B65517"/>
    <w:rsid w:val="00B65D15"/>
    <w:rsid w:val="00B65E18"/>
    <w:rsid w:val="00B6641D"/>
    <w:rsid w:val="00B6685A"/>
    <w:rsid w:val="00B66B54"/>
    <w:rsid w:val="00B66F0C"/>
    <w:rsid w:val="00B678B1"/>
    <w:rsid w:val="00B67A2E"/>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4EE"/>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3534"/>
    <w:rsid w:val="00B840DC"/>
    <w:rsid w:val="00B84419"/>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7E6"/>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29B"/>
    <w:rsid w:val="00BA4422"/>
    <w:rsid w:val="00BA4C9F"/>
    <w:rsid w:val="00BA4F82"/>
    <w:rsid w:val="00BA505D"/>
    <w:rsid w:val="00BA52FA"/>
    <w:rsid w:val="00BA5573"/>
    <w:rsid w:val="00BA5C2D"/>
    <w:rsid w:val="00BA60AA"/>
    <w:rsid w:val="00BA61ED"/>
    <w:rsid w:val="00BA6556"/>
    <w:rsid w:val="00BA6EAC"/>
    <w:rsid w:val="00BA7380"/>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950"/>
    <w:rsid w:val="00BC1FB9"/>
    <w:rsid w:val="00BC210E"/>
    <w:rsid w:val="00BC23D1"/>
    <w:rsid w:val="00BC3107"/>
    <w:rsid w:val="00BC3948"/>
    <w:rsid w:val="00BC45AD"/>
    <w:rsid w:val="00BC4744"/>
    <w:rsid w:val="00BC4B50"/>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853"/>
    <w:rsid w:val="00BE0E42"/>
    <w:rsid w:val="00BE1275"/>
    <w:rsid w:val="00BE1513"/>
    <w:rsid w:val="00BE226A"/>
    <w:rsid w:val="00BE2BA6"/>
    <w:rsid w:val="00BE2FF6"/>
    <w:rsid w:val="00BE32BD"/>
    <w:rsid w:val="00BE3671"/>
    <w:rsid w:val="00BE56F4"/>
    <w:rsid w:val="00BE57A8"/>
    <w:rsid w:val="00BE5899"/>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4E86"/>
    <w:rsid w:val="00BF63BF"/>
    <w:rsid w:val="00BF6705"/>
    <w:rsid w:val="00BF7186"/>
    <w:rsid w:val="00BF72E6"/>
    <w:rsid w:val="00BF74F9"/>
    <w:rsid w:val="00BF765A"/>
    <w:rsid w:val="00C005D3"/>
    <w:rsid w:val="00C0091C"/>
    <w:rsid w:val="00C00BEC"/>
    <w:rsid w:val="00C00FF7"/>
    <w:rsid w:val="00C01241"/>
    <w:rsid w:val="00C0127C"/>
    <w:rsid w:val="00C01B4F"/>
    <w:rsid w:val="00C01D71"/>
    <w:rsid w:val="00C01F12"/>
    <w:rsid w:val="00C01F75"/>
    <w:rsid w:val="00C02BE6"/>
    <w:rsid w:val="00C02FC6"/>
    <w:rsid w:val="00C03733"/>
    <w:rsid w:val="00C03753"/>
    <w:rsid w:val="00C03869"/>
    <w:rsid w:val="00C044E2"/>
    <w:rsid w:val="00C04A1F"/>
    <w:rsid w:val="00C05032"/>
    <w:rsid w:val="00C0549D"/>
    <w:rsid w:val="00C05855"/>
    <w:rsid w:val="00C06197"/>
    <w:rsid w:val="00C06738"/>
    <w:rsid w:val="00C07F97"/>
    <w:rsid w:val="00C10178"/>
    <w:rsid w:val="00C101FB"/>
    <w:rsid w:val="00C1036A"/>
    <w:rsid w:val="00C103A4"/>
    <w:rsid w:val="00C10518"/>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17CB"/>
    <w:rsid w:val="00C223B7"/>
    <w:rsid w:val="00C23542"/>
    <w:rsid w:val="00C236FA"/>
    <w:rsid w:val="00C23A48"/>
    <w:rsid w:val="00C23A66"/>
    <w:rsid w:val="00C23B11"/>
    <w:rsid w:val="00C23B2F"/>
    <w:rsid w:val="00C23CAC"/>
    <w:rsid w:val="00C23FE5"/>
    <w:rsid w:val="00C2448C"/>
    <w:rsid w:val="00C248E1"/>
    <w:rsid w:val="00C24904"/>
    <w:rsid w:val="00C252FE"/>
    <w:rsid w:val="00C25C70"/>
    <w:rsid w:val="00C25DC2"/>
    <w:rsid w:val="00C25FB5"/>
    <w:rsid w:val="00C26206"/>
    <w:rsid w:val="00C2754F"/>
    <w:rsid w:val="00C27556"/>
    <w:rsid w:val="00C278C8"/>
    <w:rsid w:val="00C27D76"/>
    <w:rsid w:val="00C301C1"/>
    <w:rsid w:val="00C308B8"/>
    <w:rsid w:val="00C30D91"/>
    <w:rsid w:val="00C30FA2"/>
    <w:rsid w:val="00C318A9"/>
    <w:rsid w:val="00C31C89"/>
    <w:rsid w:val="00C323D5"/>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C3"/>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0E1B"/>
    <w:rsid w:val="00C4220B"/>
    <w:rsid w:val="00C427A9"/>
    <w:rsid w:val="00C42B40"/>
    <w:rsid w:val="00C432AE"/>
    <w:rsid w:val="00C43614"/>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84B"/>
    <w:rsid w:val="00C51BD2"/>
    <w:rsid w:val="00C52026"/>
    <w:rsid w:val="00C528CD"/>
    <w:rsid w:val="00C52C49"/>
    <w:rsid w:val="00C52F66"/>
    <w:rsid w:val="00C53657"/>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BED"/>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248B"/>
    <w:rsid w:val="00C73057"/>
    <w:rsid w:val="00C732ED"/>
    <w:rsid w:val="00C73370"/>
    <w:rsid w:val="00C7357C"/>
    <w:rsid w:val="00C73A49"/>
    <w:rsid w:val="00C7464F"/>
    <w:rsid w:val="00C748E3"/>
    <w:rsid w:val="00C74BA5"/>
    <w:rsid w:val="00C74BED"/>
    <w:rsid w:val="00C74C61"/>
    <w:rsid w:val="00C75313"/>
    <w:rsid w:val="00C7554E"/>
    <w:rsid w:val="00C75683"/>
    <w:rsid w:val="00C75B36"/>
    <w:rsid w:val="00C7651D"/>
    <w:rsid w:val="00C767F8"/>
    <w:rsid w:val="00C76CA8"/>
    <w:rsid w:val="00C76E8D"/>
    <w:rsid w:val="00C771B0"/>
    <w:rsid w:val="00C772AE"/>
    <w:rsid w:val="00C77F3F"/>
    <w:rsid w:val="00C800B3"/>
    <w:rsid w:val="00C80165"/>
    <w:rsid w:val="00C80C46"/>
    <w:rsid w:val="00C81378"/>
    <w:rsid w:val="00C813AC"/>
    <w:rsid w:val="00C81709"/>
    <w:rsid w:val="00C81730"/>
    <w:rsid w:val="00C81A8D"/>
    <w:rsid w:val="00C81E38"/>
    <w:rsid w:val="00C823E3"/>
    <w:rsid w:val="00C825B3"/>
    <w:rsid w:val="00C82A06"/>
    <w:rsid w:val="00C82DF4"/>
    <w:rsid w:val="00C8329C"/>
    <w:rsid w:val="00C84359"/>
    <w:rsid w:val="00C8453A"/>
    <w:rsid w:val="00C84716"/>
    <w:rsid w:val="00C8526E"/>
    <w:rsid w:val="00C85355"/>
    <w:rsid w:val="00C8558C"/>
    <w:rsid w:val="00C8592A"/>
    <w:rsid w:val="00C8603F"/>
    <w:rsid w:val="00C86281"/>
    <w:rsid w:val="00C866B2"/>
    <w:rsid w:val="00C869FA"/>
    <w:rsid w:val="00C87528"/>
    <w:rsid w:val="00C90416"/>
    <w:rsid w:val="00C90CEA"/>
    <w:rsid w:val="00C9123D"/>
    <w:rsid w:val="00C9134C"/>
    <w:rsid w:val="00C9184E"/>
    <w:rsid w:val="00C91926"/>
    <w:rsid w:val="00C91A26"/>
    <w:rsid w:val="00C91F5D"/>
    <w:rsid w:val="00C92125"/>
    <w:rsid w:val="00C9310F"/>
    <w:rsid w:val="00C93141"/>
    <w:rsid w:val="00C931BE"/>
    <w:rsid w:val="00C93875"/>
    <w:rsid w:val="00C93A41"/>
    <w:rsid w:val="00C93B44"/>
    <w:rsid w:val="00C93C1A"/>
    <w:rsid w:val="00C93D32"/>
    <w:rsid w:val="00C95136"/>
    <w:rsid w:val="00C95271"/>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8D2"/>
    <w:rsid w:val="00CA2E66"/>
    <w:rsid w:val="00CA363E"/>
    <w:rsid w:val="00CA3BAE"/>
    <w:rsid w:val="00CA49E1"/>
    <w:rsid w:val="00CA4CF1"/>
    <w:rsid w:val="00CA4CF2"/>
    <w:rsid w:val="00CA5043"/>
    <w:rsid w:val="00CA59BB"/>
    <w:rsid w:val="00CA5CCD"/>
    <w:rsid w:val="00CA6CEC"/>
    <w:rsid w:val="00CA6FE6"/>
    <w:rsid w:val="00CA745D"/>
    <w:rsid w:val="00CB054B"/>
    <w:rsid w:val="00CB0AEB"/>
    <w:rsid w:val="00CB0C30"/>
    <w:rsid w:val="00CB0D8F"/>
    <w:rsid w:val="00CB1571"/>
    <w:rsid w:val="00CB1A9F"/>
    <w:rsid w:val="00CB1DE9"/>
    <w:rsid w:val="00CB2564"/>
    <w:rsid w:val="00CB26DA"/>
    <w:rsid w:val="00CB36D5"/>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0506"/>
    <w:rsid w:val="00CC12CD"/>
    <w:rsid w:val="00CC13A6"/>
    <w:rsid w:val="00CC1C10"/>
    <w:rsid w:val="00CC1D26"/>
    <w:rsid w:val="00CC22AD"/>
    <w:rsid w:val="00CC2598"/>
    <w:rsid w:val="00CC2CF3"/>
    <w:rsid w:val="00CC2D3A"/>
    <w:rsid w:val="00CC3001"/>
    <w:rsid w:val="00CC3032"/>
    <w:rsid w:val="00CC308F"/>
    <w:rsid w:val="00CC40AD"/>
    <w:rsid w:val="00CC47DD"/>
    <w:rsid w:val="00CC4A10"/>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462"/>
    <w:rsid w:val="00CD35C5"/>
    <w:rsid w:val="00CD3850"/>
    <w:rsid w:val="00CD387A"/>
    <w:rsid w:val="00CD3C96"/>
    <w:rsid w:val="00CD4F18"/>
    <w:rsid w:val="00CD5056"/>
    <w:rsid w:val="00CD5136"/>
    <w:rsid w:val="00CD5CA5"/>
    <w:rsid w:val="00CD5D68"/>
    <w:rsid w:val="00CD5F97"/>
    <w:rsid w:val="00CD6579"/>
    <w:rsid w:val="00CD6666"/>
    <w:rsid w:val="00CD6B62"/>
    <w:rsid w:val="00CD6BBB"/>
    <w:rsid w:val="00CD73B5"/>
    <w:rsid w:val="00CD77A6"/>
    <w:rsid w:val="00CD7D7A"/>
    <w:rsid w:val="00CE0291"/>
    <w:rsid w:val="00CE0BE2"/>
    <w:rsid w:val="00CE151A"/>
    <w:rsid w:val="00CE1533"/>
    <w:rsid w:val="00CE1ECF"/>
    <w:rsid w:val="00CE1F19"/>
    <w:rsid w:val="00CE23A4"/>
    <w:rsid w:val="00CE3421"/>
    <w:rsid w:val="00CE349B"/>
    <w:rsid w:val="00CE3659"/>
    <w:rsid w:val="00CE3B93"/>
    <w:rsid w:val="00CE452F"/>
    <w:rsid w:val="00CE4BB8"/>
    <w:rsid w:val="00CE4D9A"/>
    <w:rsid w:val="00CE4F1A"/>
    <w:rsid w:val="00CE5171"/>
    <w:rsid w:val="00CE543D"/>
    <w:rsid w:val="00CE54FD"/>
    <w:rsid w:val="00CE6269"/>
    <w:rsid w:val="00CE640A"/>
    <w:rsid w:val="00CE6F34"/>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55B"/>
    <w:rsid w:val="00D02686"/>
    <w:rsid w:val="00D027D9"/>
    <w:rsid w:val="00D02EA1"/>
    <w:rsid w:val="00D03332"/>
    <w:rsid w:val="00D034FE"/>
    <w:rsid w:val="00D0498A"/>
    <w:rsid w:val="00D05257"/>
    <w:rsid w:val="00D053F9"/>
    <w:rsid w:val="00D0561D"/>
    <w:rsid w:val="00D05AC6"/>
    <w:rsid w:val="00D06351"/>
    <w:rsid w:val="00D06C0D"/>
    <w:rsid w:val="00D06CD3"/>
    <w:rsid w:val="00D0755B"/>
    <w:rsid w:val="00D07573"/>
    <w:rsid w:val="00D10113"/>
    <w:rsid w:val="00D101E9"/>
    <w:rsid w:val="00D1054C"/>
    <w:rsid w:val="00D1171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BA0"/>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BB1"/>
    <w:rsid w:val="00D32F92"/>
    <w:rsid w:val="00D33490"/>
    <w:rsid w:val="00D33916"/>
    <w:rsid w:val="00D33DFA"/>
    <w:rsid w:val="00D33EC3"/>
    <w:rsid w:val="00D33ED3"/>
    <w:rsid w:val="00D34675"/>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575"/>
    <w:rsid w:val="00D527F0"/>
    <w:rsid w:val="00D52CC7"/>
    <w:rsid w:val="00D52D40"/>
    <w:rsid w:val="00D53571"/>
    <w:rsid w:val="00D5385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7DA"/>
    <w:rsid w:val="00D62D8D"/>
    <w:rsid w:val="00D631A3"/>
    <w:rsid w:val="00D63323"/>
    <w:rsid w:val="00D63848"/>
    <w:rsid w:val="00D63D21"/>
    <w:rsid w:val="00D64451"/>
    <w:rsid w:val="00D644A3"/>
    <w:rsid w:val="00D6461B"/>
    <w:rsid w:val="00D65C1A"/>
    <w:rsid w:val="00D65C61"/>
    <w:rsid w:val="00D65EF7"/>
    <w:rsid w:val="00D66088"/>
    <w:rsid w:val="00D674EC"/>
    <w:rsid w:val="00D676F4"/>
    <w:rsid w:val="00D679CC"/>
    <w:rsid w:val="00D703C1"/>
    <w:rsid w:val="00D70FAD"/>
    <w:rsid w:val="00D716E2"/>
    <w:rsid w:val="00D71AAB"/>
    <w:rsid w:val="00D71CA9"/>
    <w:rsid w:val="00D7266D"/>
    <w:rsid w:val="00D72FA1"/>
    <w:rsid w:val="00D7335C"/>
    <w:rsid w:val="00D73C43"/>
    <w:rsid w:val="00D740D8"/>
    <w:rsid w:val="00D742DB"/>
    <w:rsid w:val="00D748B7"/>
    <w:rsid w:val="00D760CA"/>
    <w:rsid w:val="00D77325"/>
    <w:rsid w:val="00D809FF"/>
    <w:rsid w:val="00D81C85"/>
    <w:rsid w:val="00D81E37"/>
    <w:rsid w:val="00D821A2"/>
    <w:rsid w:val="00D8261B"/>
    <w:rsid w:val="00D8272B"/>
    <w:rsid w:val="00D83B96"/>
    <w:rsid w:val="00D844D4"/>
    <w:rsid w:val="00D84799"/>
    <w:rsid w:val="00D848A7"/>
    <w:rsid w:val="00D85511"/>
    <w:rsid w:val="00D859CF"/>
    <w:rsid w:val="00D86726"/>
    <w:rsid w:val="00D8702A"/>
    <w:rsid w:val="00D874F7"/>
    <w:rsid w:val="00D875B3"/>
    <w:rsid w:val="00D901A3"/>
    <w:rsid w:val="00D915A4"/>
    <w:rsid w:val="00D92701"/>
    <w:rsid w:val="00D92BD4"/>
    <w:rsid w:val="00D92FE1"/>
    <w:rsid w:val="00D9316E"/>
    <w:rsid w:val="00D932BC"/>
    <w:rsid w:val="00D93BF5"/>
    <w:rsid w:val="00D9450C"/>
    <w:rsid w:val="00D94C7A"/>
    <w:rsid w:val="00D952F9"/>
    <w:rsid w:val="00D95424"/>
    <w:rsid w:val="00D9556A"/>
    <w:rsid w:val="00D95A34"/>
    <w:rsid w:val="00D95B56"/>
    <w:rsid w:val="00D95D96"/>
    <w:rsid w:val="00D96951"/>
    <w:rsid w:val="00D96A2F"/>
    <w:rsid w:val="00D974DC"/>
    <w:rsid w:val="00D97FB7"/>
    <w:rsid w:val="00DA0113"/>
    <w:rsid w:val="00DA063D"/>
    <w:rsid w:val="00DA0E9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39"/>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977"/>
    <w:rsid w:val="00DD4FBE"/>
    <w:rsid w:val="00DD536C"/>
    <w:rsid w:val="00DD555F"/>
    <w:rsid w:val="00DD5A67"/>
    <w:rsid w:val="00DD5BE3"/>
    <w:rsid w:val="00DD5E5E"/>
    <w:rsid w:val="00DD5ED0"/>
    <w:rsid w:val="00DD6254"/>
    <w:rsid w:val="00DD6782"/>
    <w:rsid w:val="00DD6F9F"/>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AE6"/>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341"/>
    <w:rsid w:val="00E103B5"/>
    <w:rsid w:val="00E10508"/>
    <w:rsid w:val="00E10B32"/>
    <w:rsid w:val="00E11103"/>
    <w:rsid w:val="00E112E4"/>
    <w:rsid w:val="00E116DF"/>
    <w:rsid w:val="00E11F47"/>
    <w:rsid w:val="00E12B81"/>
    <w:rsid w:val="00E13163"/>
    <w:rsid w:val="00E13BE2"/>
    <w:rsid w:val="00E13F7B"/>
    <w:rsid w:val="00E143D4"/>
    <w:rsid w:val="00E14581"/>
    <w:rsid w:val="00E1463E"/>
    <w:rsid w:val="00E14991"/>
    <w:rsid w:val="00E14E8D"/>
    <w:rsid w:val="00E14F73"/>
    <w:rsid w:val="00E1577A"/>
    <w:rsid w:val="00E15F21"/>
    <w:rsid w:val="00E168B3"/>
    <w:rsid w:val="00E16CEE"/>
    <w:rsid w:val="00E16F8D"/>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8B3"/>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2C5C"/>
    <w:rsid w:val="00E33795"/>
    <w:rsid w:val="00E345C9"/>
    <w:rsid w:val="00E3495F"/>
    <w:rsid w:val="00E351EB"/>
    <w:rsid w:val="00E35F62"/>
    <w:rsid w:val="00E35FC5"/>
    <w:rsid w:val="00E36269"/>
    <w:rsid w:val="00E3642D"/>
    <w:rsid w:val="00E364BE"/>
    <w:rsid w:val="00E36E5D"/>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7BD"/>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67A8E"/>
    <w:rsid w:val="00E70499"/>
    <w:rsid w:val="00E704C4"/>
    <w:rsid w:val="00E70719"/>
    <w:rsid w:val="00E70914"/>
    <w:rsid w:val="00E713F5"/>
    <w:rsid w:val="00E71512"/>
    <w:rsid w:val="00E71546"/>
    <w:rsid w:val="00E719C1"/>
    <w:rsid w:val="00E71A82"/>
    <w:rsid w:val="00E72E67"/>
    <w:rsid w:val="00E7314C"/>
    <w:rsid w:val="00E73377"/>
    <w:rsid w:val="00E73448"/>
    <w:rsid w:val="00E7358D"/>
    <w:rsid w:val="00E73A82"/>
    <w:rsid w:val="00E7443F"/>
    <w:rsid w:val="00E74541"/>
    <w:rsid w:val="00E749B6"/>
    <w:rsid w:val="00E74A01"/>
    <w:rsid w:val="00E74C8F"/>
    <w:rsid w:val="00E7518D"/>
    <w:rsid w:val="00E753E2"/>
    <w:rsid w:val="00E75895"/>
    <w:rsid w:val="00E76A62"/>
    <w:rsid w:val="00E7710B"/>
    <w:rsid w:val="00E7739B"/>
    <w:rsid w:val="00E776BF"/>
    <w:rsid w:val="00E80201"/>
    <w:rsid w:val="00E80EA6"/>
    <w:rsid w:val="00E8105B"/>
    <w:rsid w:val="00E81206"/>
    <w:rsid w:val="00E813EA"/>
    <w:rsid w:val="00E81649"/>
    <w:rsid w:val="00E816F3"/>
    <w:rsid w:val="00E8180A"/>
    <w:rsid w:val="00E81AA8"/>
    <w:rsid w:val="00E81CC0"/>
    <w:rsid w:val="00E82B13"/>
    <w:rsid w:val="00E82D53"/>
    <w:rsid w:val="00E837A4"/>
    <w:rsid w:val="00E8402D"/>
    <w:rsid w:val="00E84BDF"/>
    <w:rsid w:val="00E84ED5"/>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6B54"/>
    <w:rsid w:val="00E96C2A"/>
    <w:rsid w:val="00E97339"/>
    <w:rsid w:val="00EA01F5"/>
    <w:rsid w:val="00EA0324"/>
    <w:rsid w:val="00EA0BCB"/>
    <w:rsid w:val="00EA1089"/>
    <w:rsid w:val="00EA1152"/>
    <w:rsid w:val="00EA1173"/>
    <w:rsid w:val="00EA1829"/>
    <w:rsid w:val="00EA1A5B"/>
    <w:rsid w:val="00EA1C32"/>
    <w:rsid w:val="00EA1D34"/>
    <w:rsid w:val="00EA2E3A"/>
    <w:rsid w:val="00EA2E77"/>
    <w:rsid w:val="00EA3852"/>
    <w:rsid w:val="00EA38FF"/>
    <w:rsid w:val="00EA3916"/>
    <w:rsid w:val="00EA3966"/>
    <w:rsid w:val="00EA3B34"/>
    <w:rsid w:val="00EA3C14"/>
    <w:rsid w:val="00EA44CA"/>
    <w:rsid w:val="00EA5B4A"/>
    <w:rsid w:val="00EA6074"/>
    <w:rsid w:val="00EA696C"/>
    <w:rsid w:val="00EA6AFD"/>
    <w:rsid w:val="00EA72C0"/>
    <w:rsid w:val="00EA790F"/>
    <w:rsid w:val="00EA7A36"/>
    <w:rsid w:val="00EA7C47"/>
    <w:rsid w:val="00EB0035"/>
    <w:rsid w:val="00EB0D83"/>
    <w:rsid w:val="00EB12C0"/>
    <w:rsid w:val="00EB141A"/>
    <w:rsid w:val="00EB15BE"/>
    <w:rsid w:val="00EB1CCE"/>
    <w:rsid w:val="00EB1E2E"/>
    <w:rsid w:val="00EB289E"/>
    <w:rsid w:val="00EB2A50"/>
    <w:rsid w:val="00EB323E"/>
    <w:rsid w:val="00EB35F9"/>
    <w:rsid w:val="00EB3693"/>
    <w:rsid w:val="00EB3A37"/>
    <w:rsid w:val="00EB3CFE"/>
    <w:rsid w:val="00EB4182"/>
    <w:rsid w:val="00EB4C35"/>
    <w:rsid w:val="00EB50B3"/>
    <w:rsid w:val="00EB52BB"/>
    <w:rsid w:val="00EB5A35"/>
    <w:rsid w:val="00EB5FAD"/>
    <w:rsid w:val="00EB5FFF"/>
    <w:rsid w:val="00EB619F"/>
    <w:rsid w:val="00EB6340"/>
    <w:rsid w:val="00EB64C1"/>
    <w:rsid w:val="00EB65AB"/>
    <w:rsid w:val="00EB6708"/>
    <w:rsid w:val="00EB739B"/>
    <w:rsid w:val="00EB750D"/>
    <w:rsid w:val="00EB7C5C"/>
    <w:rsid w:val="00EC04F2"/>
    <w:rsid w:val="00EC057E"/>
    <w:rsid w:val="00EC0BDE"/>
    <w:rsid w:val="00EC0F40"/>
    <w:rsid w:val="00EC1845"/>
    <w:rsid w:val="00EC190A"/>
    <w:rsid w:val="00EC218C"/>
    <w:rsid w:val="00EC2415"/>
    <w:rsid w:val="00EC2D36"/>
    <w:rsid w:val="00EC3173"/>
    <w:rsid w:val="00EC3A04"/>
    <w:rsid w:val="00EC3A56"/>
    <w:rsid w:val="00EC3A98"/>
    <w:rsid w:val="00EC3DAB"/>
    <w:rsid w:val="00EC3DCE"/>
    <w:rsid w:val="00EC3EB2"/>
    <w:rsid w:val="00EC3FA4"/>
    <w:rsid w:val="00EC4870"/>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B52"/>
    <w:rsid w:val="00ED1C26"/>
    <w:rsid w:val="00ED1C96"/>
    <w:rsid w:val="00ED1E9C"/>
    <w:rsid w:val="00ED22F3"/>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732F"/>
    <w:rsid w:val="00EE7691"/>
    <w:rsid w:val="00EE772E"/>
    <w:rsid w:val="00EF0267"/>
    <w:rsid w:val="00EF03EB"/>
    <w:rsid w:val="00EF08DB"/>
    <w:rsid w:val="00EF0F65"/>
    <w:rsid w:val="00EF10FF"/>
    <w:rsid w:val="00EF11D3"/>
    <w:rsid w:val="00EF145A"/>
    <w:rsid w:val="00EF260B"/>
    <w:rsid w:val="00EF29BE"/>
    <w:rsid w:val="00EF340A"/>
    <w:rsid w:val="00EF3558"/>
    <w:rsid w:val="00EF35EE"/>
    <w:rsid w:val="00EF3ACF"/>
    <w:rsid w:val="00EF40D1"/>
    <w:rsid w:val="00EF491D"/>
    <w:rsid w:val="00EF4C12"/>
    <w:rsid w:val="00EF4C24"/>
    <w:rsid w:val="00EF52BD"/>
    <w:rsid w:val="00EF5A53"/>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7B3"/>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41"/>
    <w:rsid w:val="00F12DC1"/>
    <w:rsid w:val="00F13112"/>
    <w:rsid w:val="00F13145"/>
    <w:rsid w:val="00F13300"/>
    <w:rsid w:val="00F1332E"/>
    <w:rsid w:val="00F13523"/>
    <w:rsid w:val="00F135C7"/>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1FD7"/>
    <w:rsid w:val="00F22577"/>
    <w:rsid w:val="00F2293D"/>
    <w:rsid w:val="00F22D00"/>
    <w:rsid w:val="00F23316"/>
    <w:rsid w:val="00F23700"/>
    <w:rsid w:val="00F23AB2"/>
    <w:rsid w:val="00F24121"/>
    <w:rsid w:val="00F24BC8"/>
    <w:rsid w:val="00F2526E"/>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B0"/>
    <w:rsid w:val="00F324FD"/>
    <w:rsid w:val="00F33218"/>
    <w:rsid w:val="00F33F2F"/>
    <w:rsid w:val="00F3507D"/>
    <w:rsid w:val="00F35498"/>
    <w:rsid w:val="00F35E9E"/>
    <w:rsid w:val="00F35FD8"/>
    <w:rsid w:val="00F36145"/>
    <w:rsid w:val="00F3624D"/>
    <w:rsid w:val="00F36265"/>
    <w:rsid w:val="00F366AD"/>
    <w:rsid w:val="00F36914"/>
    <w:rsid w:val="00F36BBA"/>
    <w:rsid w:val="00F37902"/>
    <w:rsid w:val="00F37905"/>
    <w:rsid w:val="00F37947"/>
    <w:rsid w:val="00F37997"/>
    <w:rsid w:val="00F40989"/>
    <w:rsid w:val="00F40C39"/>
    <w:rsid w:val="00F4129D"/>
    <w:rsid w:val="00F414C5"/>
    <w:rsid w:val="00F41531"/>
    <w:rsid w:val="00F41F40"/>
    <w:rsid w:val="00F420E5"/>
    <w:rsid w:val="00F42730"/>
    <w:rsid w:val="00F42A4E"/>
    <w:rsid w:val="00F43445"/>
    <w:rsid w:val="00F43DA5"/>
    <w:rsid w:val="00F43E5E"/>
    <w:rsid w:val="00F448D2"/>
    <w:rsid w:val="00F44BB6"/>
    <w:rsid w:val="00F45073"/>
    <w:rsid w:val="00F45DD1"/>
    <w:rsid w:val="00F46513"/>
    <w:rsid w:val="00F46662"/>
    <w:rsid w:val="00F46963"/>
    <w:rsid w:val="00F47044"/>
    <w:rsid w:val="00F4720D"/>
    <w:rsid w:val="00F47216"/>
    <w:rsid w:val="00F47376"/>
    <w:rsid w:val="00F474E9"/>
    <w:rsid w:val="00F479DD"/>
    <w:rsid w:val="00F47CE3"/>
    <w:rsid w:val="00F5024E"/>
    <w:rsid w:val="00F50E6F"/>
    <w:rsid w:val="00F519DC"/>
    <w:rsid w:val="00F51BB7"/>
    <w:rsid w:val="00F52232"/>
    <w:rsid w:val="00F527B4"/>
    <w:rsid w:val="00F52990"/>
    <w:rsid w:val="00F52A7D"/>
    <w:rsid w:val="00F52C56"/>
    <w:rsid w:val="00F53E5C"/>
    <w:rsid w:val="00F548D3"/>
    <w:rsid w:val="00F54A53"/>
    <w:rsid w:val="00F5518C"/>
    <w:rsid w:val="00F5521F"/>
    <w:rsid w:val="00F552FA"/>
    <w:rsid w:val="00F55F24"/>
    <w:rsid w:val="00F56196"/>
    <w:rsid w:val="00F56606"/>
    <w:rsid w:val="00F568F1"/>
    <w:rsid w:val="00F572A9"/>
    <w:rsid w:val="00F57615"/>
    <w:rsid w:val="00F57650"/>
    <w:rsid w:val="00F5791F"/>
    <w:rsid w:val="00F57B90"/>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6D0D"/>
    <w:rsid w:val="00F67006"/>
    <w:rsid w:val="00F670C0"/>
    <w:rsid w:val="00F70252"/>
    <w:rsid w:val="00F709BA"/>
    <w:rsid w:val="00F70D8C"/>
    <w:rsid w:val="00F70DF1"/>
    <w:rsid w:val="00F71183"/>
    <w:rsid w:val="00F71B86"/>
    <w:rsid w:val="00F725F3"/>
    <w:rsid w:val="00F72F2A"/>
    <w:rsid w:val="00F73829"/>
    <w:rsid w:val="00F73A12"/>
    <w:rsid w:val="00F73F99"/>
    <w:rsid w:val="00F73FC6"/>
    <w:rsid w:val="00F745D1"/>
    <w:rsid w:val="00F74DE1"/>
    <w:rsid w:val="00F74DEB"/>
    <w:rsid w:val="00F75082"/>
    <w:rsid w:val="00F75405"/>
    <w:rsid w:val="00F7548A"/>
    <w:rsid w:val="00F75B48"/>
    <w:rsid w:val="00F75E70"/>
    <w:rsid w:val="00F76012"/>
    <w:rsid w:val="00F76A13"/>
    <w:rsid w:val="00F76AD3"/>
    <w:rsid w:val="00F76D7C"/>
    <w:rsid w:val="00F7716E"/>
    <w:rsid w:val="00F7766C"/>
    <w:rsid w:val="00F77900"/>
    <w:rsid w:val="00F7795E"/>
    <w:rsid w:val="00F804A0"/>
    <w:rsid w:val="00F80532"/>
    <w:rsid w:val="00F806DA"/>
    <w:rsid w:val="00F80BCA"/>
    <w:rsid w:val="00F80ED3"/>
    <w:rsid w:val="00F80FB8"/>
    <w:rsid w:val="00F818FE"/>
    <w:rsid w:val="00F819D1"/>
    <w:rsid w:val="00F82508"/>
    <w:rsid w:val="00F82A6B"/>
    <w:rsid w:val="00F835D4"/>
    <w:rsid w:val="00F83943"/>
    <w:rsid w:val="00F83EB2"/>
    <w:rsid w:val="00F84D0B"/>
    <w:rsid w:val="00F84DAD"/>
    <w:rsid w:val="00F84DFF"/>
    <w:rsid w:val="00F84FED"/>
    <w:rsid w:val="00F85A30"/>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18"/>
    <w:rsid w:val="00FA3742"/>
    <w:rsid w:val="00FA3746"/>
    <w:rsid w:val="00FA37B7"/>
    <w:rsid w:val="00FA3C37"/>
    <w:rsid w:val="00FA3C6C"/>
    <w:rsid w:val="00FA43DB"/>
    <w:rsid w:val="00FA485F"/>
    <w:rsid w:val="00FA4999"/>
    <w:rsid w:val="00FA49A7"/>
    <w:rsid w:val="00FA4AA0"/>
    <w:rsid w:val="00FA54DE"/>
    <w:rsid w:val="00FA587B"/>
    <w:rsid w:val="00FA6579"/>
    <w:rsid w:val="00FA6892"/>
    <w:rsid w:val="00FA7AB6"/>
    <w:rsid w:val="00FA7B69"/>
    <w:rsid w:val="00FA7C9B"/>
    <w:rsid w:val="00FA7DF2"/>
    <w:rsid w:val="00FB0199"/>
    <w:rsid w:val="00FB0417"/>
    <w:rsid w:val="00FB0708"/>
    <w:rsid w:val="00FB0731"/>
    <w:rsid w:val="00FB0B07"/>
    <w:rsid w:val="00FB1624"/>
    <w:rsid w:val="00FB169D"/>
    <w:rsid w:val="00FB1B9F"/>
    <w:rsid w:val="00FB1E2C"/>
    <w:rsid w:val="00FB2064"/>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43FC"/>
    <w:rsid w:val="00FC5489"/>
    <w:rsid w:val="00FC66DA"/>
    <w:rsid w:val="00FC70D5"/>
    <w:rsid w:val="00FD0237"/>
    <w:rsid w:val="00FD0577"/>
    <w:rsid w:val="00FD0DDD"/>
    <w:rsid w:val="00FD0FE8"/>
    <w:rsid w:val="00FD11E7"/>
    <w:rsid w:val="00FD130C"/>
    <w:rsid w:val="00FD14EA"/>
    <w:rsid w:val="00FD169E"/>
    <w:rsid w:val="00FD1828"/>
    <w:rsid w:val="00FD1B05"/>
    <w:rsid w:val="00FD1BC3"/>
    <w:rsid w:val="00FD234E"/>
    <w:rsid w:val="00FD2D65"/>
    <w:rsid w:val="00FD3038"/>
    <w:rsid w:val="00FD3587"/>
    <w:rsid w:val="00FD3DF2"/>
    <w:rsid w:val="00FD3F46"/>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2D9"/>
    <w:rsid w:val="00FE439C"/>
    <w:rsid w:val="00FE465D"/>
    <w:rsid w:val="00FE48DE"/>
    <w:rsid w:val="00FE533E"/>
    <w:rsid w:val="00FE5516"/>
    <w:rsid w:val="00FE5C3D"/>
    <w:rsid w:val="00FE625F"/>
    <w:rsid w:val="00FE6566"/>
    <w:rsid w:val="00FE7163"/>
    <w:rsid w:val="00FE72BE"/>
    <w:rsid w:val="00FE7A44"/>
    <w:rsid w:val="00FE7DB4"/>
    <w:rsid w:val="00FF004B"/>
    <w:rsid w:val="00FF052D"/>
    <w:rsid w:val="00FF0957"/>
    <w:rsid w:val="00FF0A4D"/>
    <w:rsid w:val="00FF0B8D"/>
    <w:rsid w:val="00FF186B"/>
    <w:rsid w:val="00FF1B56"/>
    <w:rsid w:val="00FF2133"/>
    <w:rsid w:val="00FF25A4"/>
    <w:rsid w:val="00FF2625"/>
    <w:rsid w:val="00FF26FF"/>
    <w:rsid w:val="00FF28D0"/>
    <w:rsid w:val="00FF2960"/>
    <w:rsid w:val="00FF2DE3"/>
    <w:rsid w:val="00FF358A"/>
    <w:rsid w:val="00FF39E3"/>
    <w:rsid w:val="00FF40F5"/>
    <w:rsid w:val="00FF4151"/>
    <w:rsid w:val="00FF43D8"/>
    <w:rsid w:val="00FF47CC"/>
    <w:rsid w:val="00FF4EEB"/>
    <w:rsid w:val="00FF546B"/>
    <w:rsid w:val="00FF54A0"/>
    <w:rsid w:val="00FF5B6A"/>
    <w:rsid w:val="00FF5F39"/>
    <w:rsid w:val="00FF5FEF"/>
    <w:rsid w:val="00FF6162"/>
    <w:rsid w:val="00FF6AD6"/>
    <w:rsid w:val="00FF6ADB"/>
    <w:rsid w:val="00FF6D13"/>
    <w:rsid w:val="00FF6F4B"/>
    <w:rsid w:val="00FF7F16"/>
    <w:rsid w:val="011F6A70"/>
    <w:rsid w:val="0125681A"/>
    <w:rsid w:val="01351DB7"/>
    <w:rsid w:val="013F3D86"/>
    <w:rsid w:val="0150059B"/>
    <w:rsid w:val="017658EE"/>
    <w:rsid w:val="018241E3"/>
    <w:rsid w:val="0187172A"/>
    <w:rsid w:val="018A1439"/>
    <w:rsid w:val="0196032D"/>
    <w:rsid w:val="0199328E"/>
    <w:rsid w:val="01AC6FF2"/>
    <w:rsid w:val="01B41481"/>
    <w:rsid w:val="01B84694"/>
    <w:rsid w:val="01B8481B"/>
    <w:rsid w:val="01CD5676"/>
    <w:rsid w:val="01CF7782"/>
    <w:rsid w:val="01E53944"/>
    <w:rsid w:val="01EA312A"/>
    <w:rsid w:val="01EC5C3E"/>
    <w:rsid w:val="01F068F2"/>
    <w:rsid w:val="02015B47"/>
    <w:rsid w:val="02061494"/>
    <w:rsid w:val="02235224"/>
    <w:rsid w:val="02282146"/>
    <w:rsid w:val="023341B1"/>
    <w:rsid w:val="02345E8B"/>
    <w:rsid w:val="02354F69"/>
    <w:rsid w:val="02500809"/>
    <w:rsid w:val="02621EB2"/>
    <w:rsid w:val="026B4332"/>
    <w:rsid w:val="02850BB3"/>
    <w:rsid w:val="02934CEF"/>
    <w:rsid w:val="02985EFC"/>
    <w:rsid w:val="029B0F27"/>
    <w:rsid w:val="02A75F90"/>
    <w:rsid w:val="02AA616C"/>
    <w:rsid w:val="02B53CBE"/>
    <w:rsid w:val="02C519A4"/>
    <w:rsid w:val="02C70C22"/>
    <w:rsid w:val="02C766DC"/>
    <w:rsid w:val="02CD15A9"/>
    <w:rsid w:val="02CE7A4B"/>
    <w:rsid w:val="02D012D4"/>
    <w:rsid w:val="02E42A9C"/>
    <w:rsid w:val="02E863D8"/>
    <w:rsid w:val="02FC2C26"/>
    <w:rsid w:val="030B0178"/>
    <w:rsid w:val="030C2E3A"/>
    <w:rsid w:val="033B2F48"/>
    <w:rsid w:val="034B7E0E"/>
    <w:rsid w:val="03576E5E"/>
    <w:rsid w:val="035F7C75"/>
    <w:rsid w:val="03746140"/>
    <w:rsid w:val="03762D18"/>
    <w:rsid w:val="03783D1C"/>
    <w:rsid w:val="037E0EBC"/>
    <w:rsid w:val="038F1B8A"/>
    <w:rsid w:val="039544B3"/>
    <w:rsid w:val="03A12977"/>
    <w:rsid w:val="03B46C2F"/>
    <w:rsid w:val="03C0711D"/>
    <w:rsid w:val="03E80866"/>
    <w:rsid w:val="03EE33BF"/>
    <w:rsid w:val="03FE4686"/>
    <w:rsid w:val="04094A5F"/>
    <w:rsid w:val="040A45ED"/>
    <w:rsid w:val="041F0240"/>
    <w:rsid w:val="045D3940"/>
    <w:rsid w:val="04687059"/>
    <w:rsid w:val="047636B0"/>
    <w:rsid w:val="047776B3"/>
    <w:rsid w:val="04797C66"/>
    <w:rsid w:val="04823210"/>
    <w:rsid w:val="04887278"/>
    <w:rsid w:val="049709EF"/>
    <w:rsid w:val="04A32E9D"/>
    <w:rsid w:val="04A85A33"/>
    <w:rsid w:val="04B505E1"/>
    <w:rsid w:val="04CA4B7D"/>
    <w:rsid w:val="04DC5E9A"/>
    <w:rsid w:val="04EE3788"/>
    <w:rsid w:val="04EF33C9"/>
    <w:rsid w:val="04EF6E3D"/>
    <w:rsid w:val="04FD6405"/>
    <w:rsid w:val="050429A0"/>
    <w:rsid w:val="05136907"/>
    <w:rsid w:val="051657B3"/>
    <w:rsid w:val="05365FA5"/>
    <w:rsid w:val="05377777"/>
    <w:rsid w:val="054118EE"/>
    <w:rsid w:val="05473182"/>
    <w:rsid w:val="05551897"/>
    <w:rsid w:val="0559116C"/>
    <w:rsid w:val="05594C10"/>
    <w:rsid w:val="05621F7F"/>
    <w:rsid w:val="05642459"/>
    <w:rsid w:val="057B32AF"/>
    <w:rsid w:val="057D3D11"/>
    <w:rsid w:val="0597302A"/>
    <w:rsid w:val="05A12F11"/>
    <w:rsid w:val="05A57D26"/>
    <w:rsid w:val="05A95E4F"/>
    <w:rsid w:val="05C134FC"/>
    <w:rsid w:val="05DB041C"/>
    <w:rsid w:val="06142543"/>
    <w:rsid w:val="061A594B"/>
    <w:rsid w:val="061B18C4"/>
    <w:rsid w:val="063601AC"/>
    <w:rsid w:val="06606421"/>
    <w:rsid w:val="0665282F"/>
    <w:rsid w:val="066B5016"/>
    <w:rsid w:val="066C6F4E"/>
    <w:rsid w:val="06721A40"/>
    <w:rsid w:val="06731C43"/>
    <w:rsid w:val="067B7E89"/>
    <w:rsid w:val="068E2F00"/>
    <w:rsid w:val="0693146B"/>
    <w:rsid w:val="06997830"/>
    <w:rsid w:val="069D4928"/>
    <w:rsid w:val="069F07B9"/>
    <w:rsid w:val="06A25401"/>
    <w:rsid w:val="06B12033"/>
    <w:rsid w:val="06BB0EAA"/>
    <w:rsid w:val="06BC0961"/>
    <w:rsid w:val="06BF04CB"/>
    <w:rsid w:val="06C93296"/>
    <w:rsid w:val="06D90323"/>
    <w:rsid w:val="06D949E3"/>
    <w:rsid w:val="06DD1AFD"/>
    <w:rsid w:val="06E445F8"/>
    <w:rsid w:val="06E87E13"/>
    <w:rsid w:val="06ED18D7"/>
    <w:rsid w:val="07010474"/>
    <w:rsid w:val="07075C9C"/>
    <w:rsid w:val="073C1361"/>
    <w:rsid w:val="07590CF0"/>
    <w:rsid w:val="07797230"/>
    <w:rsid w:val="07812C00"/>
    <w:rsid w:val="0781507A"/>
    <w:rsid w:val="07832BD0"/>
    <w:rsid w:val="078B100F"/>
    <w:rsid w:val="07953D06"/>
    <w:rsid w:val="079A3F2C"/>
    <w:rsid w:val="07A7766F"/>
    <w:rsid w:val="07A92473"/>
    <w:rsid w:val="07B465CB"/>
    <w:rsid w:val="07D40FD5"/>
    <w:rsid w:val="07D4316E"/>
    <w:rsid w:val="07E14ADB"/>
    <w:rsid w:val="07F10AB7"/>
    <w:rsid w:val="07F15947"/>
    <w:rsid w:val="07F93805"/>
    <w:rsid w:val="07FA2903"/>
    <w:rsid w:val="08040837"/>
    <w:rsid w:val="081169D5"/>
    <w:rsid w:val="081415B7"/>
    <w:rsid w:val="081D1DBB"/>
    <w:rsid w:val="08252894"/>
    <w:rsid w:val="082A162C"/>
    <w:rsid w:val="082C5831"/>
    <w:rsid w:val="08323C36"/>
    <w:rsid w:val="08364DDB"/>
    <w:rsid w:val="083F75BF"/>
    <w:rsid w:val="084F3B52"/>
    <w:rsid w:val="085E409F"/>
    <w:rsid w:val="08625F36"/>
    <w:rsid w:val="0868273B"/>
    <w:rsid w:val="0876656F"/>
    <w:rsid w:val="08782B49"/>
    <w:rsid w:val="087832DE"/>
    <w:rsid w:val="08834CD2"/>
    <w:rsid w:val="0893420B"/>
    <w:rsid w:val="089D5FCA"/>
    <w:rsid w:val="08A47847"/>
    <w:rsid w:val="08AD03FF"/>
    <w:rsid w:val="08BB0B7D"/>
    <w:rsid w:val="08C554A9"/>
    <w:rsid w:val="08D2725E"/>
    <w:rsid w:val="08D56BA9"/>
    <w:rsid w:val="08DE6430"/>
    <w:rsid w:val="08EE28CE"/>
    <w:rsid w:val="08FA460C"/>
    <w:rsid w:val="08FD1DB0"/>
    <w:rsid w:val="09135118"/>
    <w:rsid w:val="09135DEC"/>
    <w:rsid w:val="09245DBA"/>
    <w:rsid w:val="09311E5E"/>
    <w:rsid w:val="09364BFB"/>
    <w:rsid w:val="093B3D65"/>
    <w:rsid w:val="095A4D71"/>
    <w:rsid w:val="095A61F2"/>
    <w:rsid w:val="096B3FC3"/>
    <w:rsid w:val="098709BF"/>
    <w:rsid w:val="09924976"/>
    <w:rsid w:val="09965E1F"/>
    <w:rsid w:val="099B6A31"/>
    <w:rsid w:val="09A5375D"/>
    <w:rsid w:val="09C36367"/>
    <w:rsid w:val="09DC3A8A"/>
    <w:rsid w:val="09E426AA"/>
    <w:rsid w:val="09E86999"/>
    <w:rsid w:val="09EE6F33"/>
    <w:rsid w:val="09EE6F5D"/>
    <w:rsid w:val="09EF4D90"/>
    <w:rsid w:val="0A0D4FB5"/>
    <w:rsid w:val="0A150CA6"/>
    <w:rsid w:val="0A163992"/>
    <w:rsid w:val="0A1F5988"/>
    <w:rsid w:val="0A2B7FB7"/>
    <w:rsid w:val="0A2D1483"/>
    <w:rsid w:val="0A2F167A"/>
    <w:rsid w:val="0A313A0C"/>
    <w:rsid w:val="0A3251DC"/>
    <w:rsid w:val="0A4859BC"/>
    <w:rsid w:val="0A654C02"/>
    <w:rsid w:val="0A667B75"/>
    <w:rsid w:val="0A7107EE"/>
    <w:rsid w:val="0A736854"/>
    <w:rsid w:val="0A8650D8"/>
    <w:rsid w:val="0A96040B"/>
    <w:rsid w:val="0A980FB2"/>
    <w:rsid w:val="0ABF201D"/>
    <w:rsid w:val="0AE2367F"/>
    <w:rsid w:val="0AFA1FA1"/>
    <w:rsid w:val="0B073641"/>
    <w:rsid w:val="0B1622E9"/>
    <w:rsid w:val="0B1E2A0E"/>
    <w:rsid w:val="0B225152"/>
    <w:rsid w:val="0B303037"/>
    <w:rsid w:val="0B36269B"/>
    <w:rsid w:val="0B3E0F30"/>
    <w:rsid w:val="0B4460B3"/>
    <w:rsid w:val="0B553B0A"/>
    <w:rsid w:val="0B6743F7"/>
    <w:rsid w:val="0B764DD0"/>
    <w:rsid w:val="0B7D6096"/>
    <w:rsid w:val="0B801653"/>
    <w:rsid w:val="0BAE10F3"/>
    <w:rsid w:val="0BBB1DAE"/>
    <w:rsid w:val="0BC63B0D"/>
    <w:rsid w:val="0BCC4159"/>
    <w:rsid w:val="0BCF7BF4"/>
    <w:rsid w:val="0BD0264B"/>
    <w:rsid w:val="0BD50850"/>
    <w:rsid w:val="0BE55276"/>
    <w:rsid w:val="0BEF5CA5"/>
    <w:rsid w:val="0C0C591E"/>
    <w:rsid w:val="0C0F576D"/>
    <w:rsid w:val="0C144437"/>
    <w:rsid w:val="0C3B1689"/>
    <w:rsid w:val="0C50067B"/>
    <w:rsid w:val="0C507879"/>
    <w:rsid w:val="0C5478BF"/>
    <w:rsid w:val="0C56615C"/>
    <w:rsid w:val="0C6245B1"/>
    <w:rsid w:val="0C6915F2"/>
    <w:rsid w:val="0C6E0DF7"/>
    <w:rsid w:val="0C856E52"/>
    <w:rsid w:val="0C8672C2"/>
    <w:rsid w:val="0C8835F1"/>
    <w:rsid w:val="0C976AAC"/>
    <w:rsid w:val="0CB41A9D"/>
    <w:rsid w:val="0CC40501"/>
    <w:rsid w:val="0CED74B3"/>
    <w:rsid w:val="0CEE0F81"/>
    <w:rsid w:val="0CFC12EA"/>
    <w:rsid w:val="0D0D7A7B"/>
    <w:rsid w:val="0D2E173F"/>
    <w:rsid w:val="0D3B7E88"/>
    <w:rsid w:val="0D3F4624"/>
    <w:rsid w:val="0D442E57"/>
    <w:rsid w:val="0D6304F1"/>
    <w:rsid w:val="0D842B3F"/>
    <w:rsid w:val="0D8A6929"/>
    <w:rsid w:val="0DB62113"/>
    <w:rsid w:val="0DC64E1F"/>
    <w:rsid w:val="0DC84055"/>
    <w:rsid w:val="0DC935B6"/>
    <w:rsid w:val="0DD80086"/>
    <w:rsid w:val="0DD922BC"/>
    <w:rsid w:val="0DDC36F8"/>
    <w:rsid w:val="0DE60B36"/>
    <w:rsid w:val="0DEE5B60"/>
    <w:rsid w:val="0E0169CE"/>
    <w:rsid w:val="0E172E1A"/>
    <w:rsid w:val="0E1B33D4"/>
    <w:rsid w:val="0E271D31"/>
    <w:rsid w:val="0E29293A"/>
    <w:rsid w:val="0E2D4088"/>
    <w:rsid w:val="0E3B5080"/>
    <w:rsid w:val="0E416F09"/>
    <w:rsid w:val="0E582D17"/>
    <w:rsid w:val="0E5A2693"/>
    <w:rsid w:val="0E5E33BD"/>
    <w:rsid w:val="0E6072A7"/>
    <w:rsid w:val="0E633640"/>
    <w:rsid w:val="0E6C24F0"/>
    <w:rsid w:val="0E774B4E"/>
    <w:rsid w:val="0E90717B"/>
    <w:rsid w:val="0E913F3F"/>
    <w:rsid w:val="0E9204DA"/>
    <w:rsid w:val="0E941D8D"/>
    <w:rsid w:val="0E97378D"/>
    <w:rsid w:val="0E9A01FB"/>
    <w:rsid w:val="0E9C77E0"/>
    <w:rsid w:val="0EA5406C"/>
    <w:rsid w:val="0EA639FA"/>
    <w:rsid w:val="0EA83ED5"/>
    <w:rsid w:val="0EAB56CC"/>
    <w:rsid w:val="0EC67D03"/>
    <w:rsid w:val="0ED15D87"/>
    <w:rsid w:val="0ED5743F"/>
    <w:rsid w:val="0EDD26E0"/>
    <w:rsid w:val="0EEF3F2E"/>
    <w:rsid w:val="0EF53F21"/>
    <w:rsid w:val="0F000A81"/>
    <w:rsid w:val="0F016FDB"/>
    <w:rsid w:val="0F086673"/>
    <w:rsid w:val="0F135F9C"/>
    <w:rsid w:val="0F154C5A"/>
    <w:rsid w:val="0F260122"/>
    <w:rsid w:val="0F423C8F"/>
    <w:rsid w:val="0F486211"/>
    <w:rsid w:val="0F503628"/>
    <w:rsid w:val="0F5A0205"/>
    <w:rsid w:val="0F5E7D64"/>
    <w:rsid w:val="0F6059F1"/>
    <w:rsid w:val="0FAE4421"/>
    <w:rsid w:val="0FBB55A1"/>
    <w:rsid w:val="0FBE02AE"/>
    <w:rsid w:val="0FD526A9"/>
    <w:rsid w:val="0FD97FF0"/>
    <w:rsid w:val="0FE30B63"/>
    <w:rsid w:val="0FEF2558"/>
    <w:rsid w:val="0FFB6D68"/>
    <w:rsid w:val="0FFD41FD"/>
    <w:rsid w:val="102A2746"/>
    <w:rsid w:val="10405DD6"/>
    <w:rsid w:val="104C5928"/>
    <w:rsid w:val="1052271B"/>
    <w:rsid w:val="10532DA0"/>
    <w:rsid w:val="105A2214"/>
    <w:rsid w:val="106916D0"/>
    <w:rsid w:val="106D2C14"/>
    <w:rsid w:val="1088161D"/>
    <w:rsid w:val="1089753B"/>
    <w:rsid w:val="1092036D"/>
    <w:rsid w:val="10A613B8"/>
    <w:rsid w:val="10B45948"/>
    <w:rsid w:val="10ED16BE"/>
    <w:rsid w:val="10F94749"/>
    <w:rsid w:val="11050F3A"/>
    <w:rsid w:val="110B7C86"/>
    <w:rsid w:val="111B7796"/>
    <w:rsid w:val="111D46B4"/>
    <w:rsid w:val="11266968"/>
    <w:rsid w:val="112A5FF0"/>
    <w:rsid w:val="113A2D97"/>
    <w:rsid w:val="113A7E7D"/>
    <w:rsid w:val="113F7B1C"/>
    <w:rsid w:val="114C38FF"/>
    <w:rsid w:val="117C494C"/>
    <w:rsid w:val="117F03A9"/>
    <w:rsid w:val="119B0FE2"/>
    <w:rsid w:val="119B6FB0"/>
    <w:rsid w:val="11A608E8"/>
    <w:rsid w:val="11A766E0"/>
    <w:rsid w:val="11AA4CE6"/>
    <w:rsid w:val="11B1249F"/>
    <w:rsid w:val="11BB3F75"/>
    <w:rsid w:val="11C27133"/>
    <w:rsid w:val="11C97AFC"/>
    <w:rsid w:val="11D67D54"/>
    <w:rsid w:val="11D76AC9"/>
    <w:rsid w:val="11D76B45"/>
    <w:rsid w:val="11E91A7A"/>
    <w:rsid w:val="120F4341"/>
    <w:rsid w:val="120F6A9E"/>
    <w:rsid w:val="121E178F"/>
    <w:rsid w:val="123E51A5"/>
    <w:rsid w:val="123E53DE"/>
    <w:rsid w:val="124A4CE1"/>
    <w:rsid w:val="124B09DE"/>
    <w:rsid w:val="12515293"/>
    <w:rsid w:val="125315ED"/>
    <w:rsid w:val="12565C90"/>
    <w:rsid w:val="125F485D"/>
    <w:rsid w:val="127F4FF0"/>
    <w:rsid w:val="128A5526"/>
    <w:rsid w:val="128B4FFF"/>
    <w:rsid w:val="129070A2"/>
    <w:rsid w:val="12A61E8B"/>
    <w:rsid w:val="12A714C9"/>
    <w:rsid w:val="12C01FED"/>
    <w:rsid w:val="12C51E41"/>
    <w:rsid w:val="12C77593"/>
    <w:rsid w:val="12DB2936"/>
    <w:rsid w:val="12ED55F4"/>
    <w:rsid w:val="12EF6632"/>
    <w:rsid w:val="12F4621D"/>
    <w:rsid w:val="1301042B"/>
    <w:rsid w:val="131360CC"/>
    <w:rsid w:val="132023CD"/>
    <w:rsid w:val="13343E10"/>
    <w:rsid w:val="133E18E4"/>
    <w:rsid w:val="1342238B"/>
    <w:rsid w:val="13485252"/>
    <w:rsid w:val="13497000"/>
    <w:rsid w:val="13535B48"/>
    <w:rsid w:val="13677964"/>
    <w:rsid w:val="136D7CFE"/>
    <w:rsid w:val="13767ADB"/>
    <w:rsid w:val="13891A0B"/>
    <w:rsid w:val="13927E1B"/>
    <w:rsid w:val="1393350B"/>
    <w:rsid w:val="139A46AA"/>
    <w:rsid w:val="139D287A"/>
    <w:rsid w:val="13B859C9"/>
    <w:rsid w:val="13D65416"/>
    <w:rsid w:val="13D8396B"/>
    <w:rsid w:val="13DE69E7"/>
    <w:rsid w:val="13E52FB8"/>
    <w:rsid w:val="14010F13"/>
    <w:rsid w:val="142514EB"/>
    <w:rsid w:val="1426603E"/>
    <w:rsid w:val="14404836"/>
    <w:rsid w:val="145950FC"/>
    <w:rsid w:val="147D3462"/>
    <w:rsid w:val="147D7658"/>
    <w:rsid w:val="147E798C"/>
    <w:rsid w:val="14950FCB"/>
    <w:rsid w:val="14A502E2"/>
    <w:rsid w:val="14B6588E"/>
    <w:rsid w:val="14BD12D2"/>
    <w:rsid w:val="14CE758B"/>
    <w:rsid w:val="14CF50F8"/>
    <w:rsid w:val="14D86E56"/>
    <w:rsid w:val="14E0464C"/>
    <w:rsid w:val="14E079D5"/>
    <w:rsid w:val="14F32C2F"/>
    <w:rsid w:val="14FA3215"/>
    <w:rsid w:val="15191204"/>
    <w:rsid w:val="151E19F2"/>
    <w:rsid w:val="152C1024"/>
    <w:rsid w:val="15321BAC"/>
    <w:rsid w:val="153F6159"/>
    <w:rsid w:val="15402152"/>
    <w:rsid w:val="154B25EC"/>
    <w:rsid w:val="15573978"/>
    <w:rsid w:val="155C56E0"/>
    <w:rsid w:val="1562240A"/>
    <w:rsid w:val="158F3DE0"/>
    <w:rsid w:val="1594158F"/>
    <w:rsid w:val="15A44760"/>
    <w:rsid w:val="15A93EFE"/>
    <w:rsid w:val="15B6602E"/>
    <w:rsid w:val="15BA472A"/>
    <w:rsid w:val="15CE6085"/>
    <w:rsid w:val="160142CD"/>
    <w:rsid w:val="162A58DA"/>
    <w:rsid w:val="16300BEB"/>
    <w:rsid w:val="16305D8D"/>
    <w:rsid w:val="1634210F"/>
    <w:rsid w:val="16342542"/>
    <w:rsid w:val="163C2B13"/>
    <w:rsid w:val="16555B6A"/>
    <w:rsid w:val="165F1FC3"/>
    <w:rsid w:val="1660277C"/>
    <w:rsid w:val="166139C2"/>
    <w:rsid w:val="167878C2"/>
    <w:rsid w:val="168123F1"/>
    <w:rsid w:val="16845253"/>
    <w:rsid w:val="16855282"/>
    <w:rsid w:val="168B26F9"/>
    <w:rsid w:val="168C0184"/>
    <w:rsid w:val="16905BEC"/>
    <w:rsid w:val="169A5A8F"/>
    <w:rsid w:val="16A333A7"/>
    <w:rsid w:val="16A50B6A"/>
    <w:rsid w:val="16A57A69"/>
    <w:rsid w:val="16AA28FA"/>
    <w:rsid w:val="16B34D7B"/>
    <w:rsid w:val="16BD198A"/>
    <w:rsid w:val="16D77CBF"/>
    <w:rsid w:val="16DB0BFD"/>
    <w:rsid w:val="16FD5FCF"/>
    <w:rsid w:val="17033859"/>
    <w:rsid w:val="171E3822"/>
    <w:rsid w:val="173349C8"/>
    <w:rsid w:val="173D2EE9"/>
    <w:rsid w:val="174C4AA0"/>
    <w:rsid w:val="175F3247"/>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B7046"/>
    <w:rsid w:val="17BF757C"/>
    <w:rsid w:val="17C3509D"/>
    <w:rsid w:val="17D32F84"/>
    <w:rsid w:val="17D925B6"/>
    <w:rsid w:val="17DE3219"/>
    <w:rsid w:val="17E00F6E"/>
    <w:rsid w:val="17E769AB"/>
    <w:rsid w:val="17EF37F9"/>
    <w:rsid w:val="17F673B7"/>
    <w:rsid w:val="18047825"/>
    <w:rsid w:val="181A7AA6"/>
    <w:rsid w:val="182271D1"/>
    <w:rsid w:val="18293512"/>
    <w:rsid w:val="182C548F"/>
    <w:rsid w:val="18327661"/>
    <w:rsid w:val="184B01F2"/>
    <w:rsid w:val="1850387F"/>
    <w:rsid w:val="1856132B"/>
    <w:rsid w:val="18582673"/>
    <w:rsid w:val="185830D7"/>
    <w:rsid w:val="185C2EDF"/>
    <w:rsid w:val="18650AF2"/>
    <w:rsid w:val="18675385"/>
    <w:rsid w:val="186902BF"/>
    <w:rsid w:val="18701884"/>
    <w:rsid w:val="18704BAD"/>
    <w:rsid w:val="18760FDE"/>
    <w:rsid w:val="18902D39"/>
    <w:rsid w:val="18AC19CF"/>
    <w:rsid w:val="18AC3BEE"/>
    <w:rsid w:val="18EC0606"/>
    <w:rsid w:val="18FA1113"/>
    <w:rsid w:val="18FD4F90"/>
    <w:rsid w:val="19044582"/>
    <w:rsid w:val="19087026"/>
    <w:rsid w:val="190A5ABE"/>
    <w:rsid w:val="190C2389"/>
    <w:rsid w:val="192D6B20"/>
    <w:rsid w:val="19304EC5"/>
    <w:rsid w:val="19387784"/>
    <w:rsid w:val="193F069B"/>
    <w:rsid w:val="19455F1C"/>
    <w:rsid w:val="19610DEF"/>
    <w:rsid w:val="1961286F"/>
    <w:rsid w:val="19665D28"/>
    <w:rsid w:val="19850AF9"/>
    <w:rsid w:val="1989144C"/>
    <w:rsid w:val="19902190"/>
    <w:rsid w:val="19A8303F"/>
    <w:rsid w:val="19AF5DD1"/>
    <w:rsid w:val="19BC46A1"/>
    <w:rsid w:val="19C42EF9"/>
    <w:rsid w:val="19C94053"/>
    <w:rsid w:val="19D0149C"/>
    <w:rsid w:val="19D6173B"/>
    <w:rsid w:val="19F0523F"/>
    <w:rsid w:val="19FE6B05"/>
    <w:rsid w:val="1A02498D"/>
    <w:rsid w:val="1A0E3F2E"/>
    <w:rsid w:val="1A126CE5"/>
    <w:rsid w:val="1A145B19"/>
    <w:rsid w:val="1A165FE9"/>
    <w:rsid w:val="1A1B1255"/>
    <w:rsid w:val="1A2364FA"/>
    <w:rsid w:val="1A2D79BA"/>
    <w:rsid w:val="1A3A554B"/>
    <w:rsid w:val="1A3D35E2"/>
    <w:rsid w:val="1A4221B0"/>
    <w:rsid w:val="1A4325D3"/>
    <w:rsid w:val="1A4C24FB"/>
    <w:rsid w:val="1A4E6954"/>
    <w:rsid w:val="1A5D3CBD"/>
    <w:rsid w:val="1A5F0B69"/>
    <w:rsid w:val="1A6316CE"/>
    <w:rsid w:val="1A6A1A25"/>
    <w:rsid w:val="1A6E5FB1"/>
    <w:rsid w:val="1A7B717D"/>
    <w:rsid w:val="1A7C1BE7"/>
    <w:rsid w:val="1A7C5A17"/>
    <w:rsid w:val="1A810791"/>
    <w:rsid w:val="1A920847"/>
    <w:rsid w:val="1AA85A85"/>
    <w:rsid w:val="1AA92FF4"/>
    <w:rsid w:val="1AB0573F"/>
    <w:rsid w:val="1AC53748"/>
    <w:rsid w:val="1AC64307"/>
    <w:rsid w:val="1AD37B8D"/>
    <w:rsid w:val="1AD47B96"/>
    <w:rsid w:val="1AD94DDF"/>
    <w:rsid w:val="1ADF6D58"/>
    <w:rsid w:val="1AEB21F0"/>
    <w:rsid w:val="1AFC2A03"/>
    <w:rsid w:val="1B1258BD"/>
    <w:rsid w:val="1B164B5E"/>
    <w:rsid w:val="1B180311"/>
    <w:rsid w:val="1B183088"/>
    <w:rsid w:val="1B292BC7"/>
    <w:rsid w:val="1B313650"/>
    <w:rsid w:val="1B3B754B"/>
    <w:rsid w:val="1B563F9E"/>
    <w:rsid w:val="1B6B39BC"/>
    <w:rsid w:val="1B6C7155"/>
    <w:rsid w:val="1B72173B"/>
    <w:rsid w:val="1B744224"/>
    <w:rsid w:val="1B7A5099"/>
    <w:rsid w:val="1B7A6C0C"/>
    <w:rsid w:val="1B7E7D96"/>
    <w:rsid w:val="1B7F55A6"/>
    <w:rsid w:val="1B89508D"/>
    <w:rsid w:val="1BAE18A7"/>
    <w:rsid w:val="1BB14302"/>
    <w:rsid w:val="1BBA2DE0"/>
    <w:rsid w:val="1BC65E87"/>
    <w:rsid w:val="1BCE0F9D"/>
    <w:rsid w:val="1BE136C9"/>
    <w:rsid w:val="1BE83AC4"/>
    <w:rsid w:val="1BEE66EE"/>
    <w:rsid w:val="1BF12978"/>
    <w:rsid w:val="1C182E62"/>
    <w:rsid w:val="1C294FF9"/>
    <w:rsid w:val="1C296169"/>
    <w:rsid w:val="1C3138A1"/>
    <w:rsid w:val="1C340F0E"/>
    <w:rsid w:val="1C4A1A70"/>
    <w:rsid w:val="1C50373A"/>
    <w:rsid w:val="1C581A17"/>
    <w:rsid w:val="1C5A78FA"/>
    <w:rsid w:val="1C6E712E"/>
    <w:rsid w:val="1C7B1C92"/>
    <w:rsid w:val="1C961AB5"/>
    <w:rsid w:val="1CAF60DA"/>
    <w:rsid w:val="1CBA4001"/>
    <w:rsid w:val="1CE03C2B"/>
    <w:rsid w:val="1D11447C"/>
    <w:rsid w:val="1D1F4F82"/>
    <w:rsid w:val="1D25294D"/>
    <w:rsid w:val="1D3C35D7"/>
    <w:rsid w:val="1D3C7E89"/>
    <w:rsid w:val="1D581489"/>
    <w:rsid w:val="1D582060"/>
    <w:rsid w:val="1D61678A"/>
    <w:rsid w:val="1D6864B5"/>
    <w:rsid w:val="1D8130A9"/>
    <w:rsid w:val="1D830B79"/>
    <w:rsid w:val="1D914288"/>
    <w:rsid w:val="1D9E300B"/>
    <w:rsid w:val="1DA75838"/>
    <w:rsid w:val="1DB65465"/>
    <w:rsid w:val="1DBC3A09"/>
    <w:rsid w:val="1DCC3964"/>
    <w:rsid w:val="1DDD1FE1"/>
    <w:rsid w:val="1DE71DF5"/>
    <w:rsid w:val="1DEC0EC6"/>
    <w:rsid w:val="1E3B0826"/>
    <w:rsid w:val="1E3E2693"/>
    <w:rsid w:val="1E3E2776"/>
    <w:rsid w:val="1E40548E"/>
    <w:rsid w:val="1E4A19AF"/>
    <w:rsid w:val="1E5A579C"/>
    <w:rsid w:val="1E7223AB"/>
    <w:rsid w:val="1E7A3AEF"/>
    <w:rsid w:val="1E7F376F"/>
    <w:rsid w:val="1E874C28"/>
    <w:rsid w:val="1E8F3078"/>
    <w:rsid w:val="1EAB0F03"/>
    <w:rsid w:val="1EB14A2F"/>
    <w:rsid w:val="1EB3177A"/>
    <w:rsid w:val="1EB56858"/>
    <w:rsid w:val="1EC705C4"/>
    <w:rsid w:val="1EC83B25"/>
    <w:rsid w:val="1ECD4C36"/>
    <w:rsid w:val="1ED97BDC"/>
    <w:rsid w:val="1EE5351D"/>
    <w:rsid w:val="1EE80EEA"/>
    <w:rsid w:val="1EED33D1"/>
    <w:rsid w:val="1EF8692C"/>
    <w:rsid w:val="1EFB70AD"/>
    <w:rsid w:val="1F02433E"/>
    <w:rsid w:val="1F2545A0"/>
    <w:rsid w:val="1F5B41C5"/>
    <w:rsid w:val="1F5B522B"/>
    <w:rsid w:val="1F602B95"/>
    <w:rsid w:val="1F6034DA"/>
    <w:rsid w:val="1F610464"/>
    <w:rsid w:val="1F6608F6"/>
    <w:rsid w:val="1F6B516B"/>
    <w:rsid w:val="1F737DA7"/>
    <w:rsid w:val="1F914072"/>
    <w:rsid w:val="1F974D47"/>
    <w:rsid w:val="1F9F7601"/>
    <w:rsid w:val="1FAA0518"/>
    <w:rsid w:val="1FAD7813"/>
    <w:rsid w:val="1FC97374"/>
    <w:rsid w:val="1FDF676A"/>
    <w:rsid w:val="1FF110DC"/>
    <w:rsid w:val="1FFE6231"/>
    <w:rsid w:val="1FFF1113"/>
    <w:rsid w:val="200107D5"/>
    <w:rsid w:val="20052B5D"/>
    <w:rsid w:val="200F3C1D"/>
    <w:rsid w:val="201620B4"/>
    <w:rsid w:val="202B68AE"/>
    <w:rsid w:val="202F793E"/>
    <w:rsid w:val="203D3166"/>
    <w:rsid w:val="20404305"/>
    <w:rsid w:val="20481907"/>
    <w:rsid w:val="206036D4"/>
    <w:rsid w:val="2064115A"/>
    <w:rsid w:val="206870D0"/>
    <w:rsid w:val="206E103C"/>
    <w:rsid w:val="207634AF"/>
    <w:rsid w:val="20824104"/>
    <w:rsid w:val="208B6F33"/>
    <w:rsid w:val="20904241"/>
    <w:rsid w:val="20923102"/>
    <w:rsid w:val="209A12F6"/>
    <w:rsid w:val="20A5542D"/>
    <w:rsid w:val="20AA40A0"/>
    <w:rsid w:val="20AF6A38"/>
    <w:rsid w:val="20BD1C65"/>
    <w:rsid w:val="20CC5370"/>
    <w:rsid w:val="20CE7CBB"/>
    <w:rsid w:val="20D61ED3"/>
    <w:rsid w:val="20D85477"/>
    <w:rsid w:val="20EE157B"/>
    <w:rsid w:val="210D463D"/>
    <w:rsid w:val="2122497B"/>
    <w:rsid w:val="212A5E65"/>
    <w:rsid w:val="21382F57"/>
    <w:rsid w:val="21483DCB"/>
    <w:rsid w:val="214F31D6"/>
    <w:rsid w:val="21520506"/>
    <w:rsid w:val="215971DB"/>
    <w:rsid w:val="216840B7"/>
    <w:rsid w:val="21707ABA"/>
    <w:rsid w:val="217C7FFF"/>
    <w:rsid w:val="217D6F5B"/>
    <w:rsid w:val="217F7DE1"/>
    <w:rsid w:val="218C712D"/>
    <w:rsid w:val="219433BE"/>
    <w:rsid w:val="219B42AE"/>
    <w:rsid w:val="219F4DC2"/>
    <w:rsid w:val="21A6323A"/>
    <w:rsid w:val="21B8627A"/>
    <w:rsid w:val="21C76342"/>
    <w:rsid w:val="21DC1077"/>
    <w:rsid w:val="21E500BF"/>
    <w:rsid w:val="21F46DD7"/>
    <w:rsid w:val="21FE34D3"/>
    <w:rsid w:val="22102FC3"/>
    <w:rsid w:val="22106435"/>
    <w:rsid w:val="2211058E"/>
    <w:rsid w:val="2212793C"/>
    <w:rsid w:val="222446A3"/>
    <w:rsid w:val="22263305"/>
    <w:rsid w:val="22267251"/>
    <w:rsid w:val="224A3888"/>
    <w:rsid w:val="2258018F"/>
    <w:rsid w:val="2269387C"/>
    <w:rsid w:val="226C7BAC"/>
    <w:rsid w:val="22834CF1"/>
    <w:rsid w:val="228F4F8F"/>
    <w:rsid w:val="229A773C"/>
    <w:rsid w:val="229C6E40"/>
    <w:rsid w:val="229D0F3D"/>
    <w:rsid w:val="229F0037"/>
    <w:rsid w:val="22A77209"/>
    <w:rsid w:val="22B26378"/>
    <w:rsid w:val="22B649DD"/>
    <w:rsid w:val="22B83BBC"/>
    <w:rsid w:val="22C2087A"/>
    <w:rsid w:val="22DB1E07"/>
    <w:rsid w:val="22DF69C6"/>
    <w:rsid w:val="22F874E8"/>
    <w:rsid w:val="22FC4DA6"/>
    <w:rsid w:val="230612A7"/>
    <w:rsid w:val="230F4FB3"/>
    <w:rsid w:val="232668D5"/>
    <w:rsid w:val="232A266D"/>
    <w:rsid w:val="232C327F"/>
    <w:rsid w:val="23360FB7"/>
    <w:rsid w:val="23384757"/>
    <w:rsid w:val="23462716"/>
    <w:rsid w:val="234E1D95"/>
    <w:rsid w:val="234E7067"/>
    <w:rsid w:val="23550AD0"/>
    <w:rsid w:val="23577E5C"/>
    <w:rsid w:val="235A168E"/>
    <w:rsid w:val="235B0632"/>
    <w:rsid w:val="235F6585"/>
    <w:rsid w:val="2394513F"/>
    <w:rsid w:val="23B271DC"/>
    <w:rsid w:val="23B742F4"/>
    <w:rsid w:val="23B9450B"/>
    <w:rsid w:val="23BC0507"/>
    <w:rsid w:val="23CB21DA"/>
    <w:rsid w:val="23DB5B4C"/>
    <w:rsid w:val="23DD1F6C"/>
    <w:rsid w:val="240437AA"/>
    <w:rsid w:val="240C2B3A"/>
    <w:rsid w:val="240D2A9C"/>
    <w:rsid w:val="24210E4E"/>
    <w:rsid w:val="242C18C4"/>
    <w:rsid w:val="242C213A"/>
    <w:rsid w:val="24482E6D"/>
    <w:rsid w:val="245F17EC"/>
    <w:rsid w:val="24624B37"/>
    <w:rsid w:val="24625EA0"/>
    <w:rsid w:val="246E68E8"/>
    <w:rsid w:val="24895713"/>
    <w:rsid w:val="249971F4"/>
    <w:rsid w:val="24A0399F"/>
    <w:rsid w:val="24B564E0"/>
    <w:rsid w:val="24B876B2"/>
    <w:rsid w:val="24CD287B"/>
    <w:rsid w:val="24E821FC"/>
    <w:rsid w:val="24F554E6"/>
    <w:rsid w:val="25090523"/>
    <w:rsid w:val="250A7D5C"/>
    <w:rsid w:val="251746F0"/>
    <w:rsid w:val="253F2264"/>
    <w:rsid w:val="2541397E"/>
    <w:rsid w:val="254B40B2"/>
    <w:rsid w:val="254D335F"/>
    <w:rsid w:val="255346CB"/>
    <w:rsid w:val="25712EAE"/>
    <w:rsid w:val="257F509E"/>
    <w:rsid w:val="25847B33"/>
    <w:rsid w:val="259A122B"/>
    <w:rsid w:val="25A179C3"/>
    <w:rsid w:val="25A23B72"/>
    <w:rsid w:val="25B33FA7"/>
    <w:rsid w:val="25BD3CA6"/>
    <w:rsid w:val="25BF3326"/>
    <w:rsid w:val="25BF627F"/>
    <w:rsid w:val="25C766C8"/>
    <w:rsid w:val="25D37304"/>
    <w:rsid w:val="25DC5E42"/>
    <w:rsid w:val="25EE750F"/>
    <w:rsid w:val="26084AA7"/>
    <w:rsid w:val="260A6611"/>
    <w:rsid w:val="260D5FFF"/>
    <w:rsid w:val="260F58DC"/>
    <w:rsid w:val="2617264B"/>
    <w:rsid w:val="262420A3"/>
    <w:rsid w:val="26407842"/>
    <w:rsid w:val="264D2600"/>
    <w:rsid w:val="267B0D13"/>
    <w:rsid w:val="268169ED"/>
    <w:rsid w:val="26916F1C"/>
    <w:rsid w:val="26A1465B"/>
    <w:rsid w:val="26A717FF"/>
    <w:rsid w:val="26A772A7"/>
    <w:rsid w:val="26AE7FF0"/>
    <w:rsid w:val="26B171B9"/>
    <w:rsid w:val="26B86B93"/>
    <w:rsid w:val="26BA2A88"/>
    <w:rsid w:val="27036A48"/>
    <w:rsid w:val="270812F9"/>
    <w:rsid w:val="270A712E"/>
    <w:rsid w:val="27120152"/>
    <w:rsid w:val="27410905"/>
    <w:rsid w:val="275F7EF3"/>
    <w:rsid w:val="2764097C"/>
    <w:rsid w:val="2776090A"/>
    <w:rsid w:val="27767961"/>
    <w:rsid w:val="278542B4"/>
    <w:rsid w:val="279069C1"/>
    <w:rsid w:val="27A66474"/>
    <w:rsid w:val="27CC091C"/>
    <w:rsid w:val="27E67A43"/>
    <w:rsid w:val="27FA15F4"/>
    <w:rsid w:val="27FC19AB"/>
    <w:rsid w:val="28180E41"/>
    <w:rsid w:val="28187989"/>
    <w:rsid w:val="282B5E5B"/>
    <w:rsid w:val="28441B85"/>
    <w:rsid w:val="28445BA3"/>
    <w:rsid w:val="28572FF4"/>
    <w:rsid w:val="2861534B"/>
    <w:rsid w:val="286921AF"/>
    <w:rsid w:val="28776D26"/>
    <w:rsid w:val="289042BD"/>
    <w:rsid w:val="28940373"/>
    <w:rsid w:val="28A06628"/>
    <w:rsid w:val="28AA045C"/>
    <w:rsid w:val="28BD5251"/>
    <w:rsid w:val="28C265E6"/>
    <w:rsid w:val="28D01274"/>
    <w:rsid w:val="28D92391"/>
    <w:rsid w:val="28E901C4"/>
    <w:rsid w:val="28F60BE9"/>
    <w:rsid w:val="29040AEF"/>
    <w:rsid w:val="291717A7"/>
    <w:rsid w:val="2917705B"/>
    <w:rsid w:val="291974D7"/>
    <w:rsid w:val="29357C71"/>
    <w:rsid w:val="2938367F"/>
    <w:rsid w:val="293E43CA"/>
    <w:rsid w:val="29460A6F"/>
    <w:rsid w:val="29753B56"/>
    <w:rsid w:val="2979190F"/>
    <w:rsid w:val="2980065D"/>
    <w:rsid w:val="2982372F"/>
    <w:rsid w:val="299A3E32"/>
    <w:rsid w:val="29A2287A"/>
    <w:rsid w:val="29A95FD6"/>
    <w:rsid w:val="29AA5DFE"/>
    <w:rsid w:val="29B26CBD"/>
    <w:rsid w:val="29B915F2"/>
    <w:rsid w:val="29BF65D9"/>
    <w:rsid w:val="29C60BDD"/>
    <w:rsid w:val="29E14085"/>
    <w:rsid w:val="29FD49E7"/>
    <w:rsid w:val="29FD5C67"/>
    <w:rsid w:val="2A0C376C"/>
    <w:rsid w:val="2A1A6F3D"/>
    <w:rsid w:val="2A205C5E"/>
    <w:rsid w:val="2A331DF3"/>
    <w:rsid w:val="2A3335E3"/>
    <w:rsid w:val="2A334528"/>
    <w:rsid w:val="2A3415B0"/>
    <w:rsid w:val="2A366446"/>
    <w:rsid w:val="2A492C82"/>
    <w:rsid w:val="2A4D00D1"/>
    <w:rsid w:val="2A5C4D90"/>
    <w:rsid w:val="2A6D366D"/>
    <w:rsid w:val="2A715FD6"/>
    <w:rsid w:val="2A7C0B09"/>
    <w:rsid w:val="2A836E98"/>
    <w:rsid w:val="2A8B3817"/>
    <w:rsid w:val="2A8F385D"/>
    <w:rsid w:val="2A9034B4"/>
    <w:rsid w:val="2AA605A4"/>
    <w:rsid w:val="2AA60DD9"/>
    <w:rsid w:val="2AB33F87"/>
    <w:rsid w:val="2ACD0B36"/>
    <w:rsid w:val="2AD111FD"/>
    <w:rsid w:val="2ADB2D56"/>
    <w:rsid w:val="2B034328"/>
    <w:rsid w:val="2B052E66"/>
    <w:rsid w:val="2B057B58"/>
    <w:rsid w:val="2B0C6254"/>
    <w:rsid w:val="2B2E3CA3"/>
    <w:rsid w:val="2B507EB6"/>
    <w:rsid w:val="2B5D556F"/>
    <w:rsid w:val="2B5F6EA6"/>
    <w:rsid w:val="2B692A79"/>
    <w:rsid w:val="2B7208B0"/>
    <w:rsid w:val="2B723083"/>
    <w:rsid w:val="2B761F1B"/>
    <w:rsid w:val="2B7E382A"/>
    <w:rsid w:val="2BC02C71"/>
    <w:rsid w:val="2BD6261E"/>
    <w:rsid w:val="2BE0479E"/>
    <w:rsid w:val="2BF60E02"/>
    <w:rsid w:val="2C0C40B6"/>
    <w:rsid w:val="2C0D60C4"/>
    <w:rsid w:val="2C221352"/>
    <w:rsid w:val="2C230F12"/>
    <w:rsid w:val="2C340552"/>
    <w:rsid w:val="2C3A3A18"/>
    <w:rsid w:val="2C3D6F12"/>
    <w:rsid w:val="2C406671"/>
    <w:rsid w:val="2C437678"/>
    <w:rsid w:val="2C5F7ED0"/>
    <w:rsid w:val="2C701C82"/>
    <w:rsid w:val="2C770FA3"/>
    <w:rsid w:val="2C7929C9"/>
    <w:rsid w:val="2C7A2CDC"/>
    <w:rsid w:val="2C804DA5"/>
    <w:rsid w:val="2C8C4DA7"/>
    <w:rsid w:val="2C940967"/>
    <w:rsid w:val="2CA3250F"/>
    <w:rsid w:val="2CA83BFD"/>
    <w:rsid w:val="2CB172AB"/>
    <w:rsid w:val="2CB5245E"/>
    <w:rsid w:val="2CCC61DC"/>
    <w:rsid w:val="2CD0577D"/>
    <w:rsid w:val="2CD835FA"/>
    <w:rsid w:val="2CE30F22"/>
    <w:rsid w:val="2CE460FF"/>
    <w:rsid w:val="2CF34C3B"/>
    <w:rsid w:val="2CFD1EAE"/>
    <w:rsid w:val="2CFF2CF1"/>
    <w:rsid w:val="2D0020FD"/>
    <w:rsid w:val="2D004449"/>
    <w:rsid w:val="2D040A3A"/>
    <w:rsid w:val="2D1B6979"/>
    <w:rsid w:val="2D3065F6"/>
    <w:rsid w:val="2D3E159C"/>
    <w:rsid w:val="2D454F76"/>
    <w:rsid w:val="2D5E5ACD"/>
    <w:rsid w:val="2D664DBA"/>
    <w:rsid w:val="2D664E53"/>
    <w:rsid w:val="2D764C10"/>
    <w:rsid w:val="2D7A291E"/>
    <w:rsid w:val="2D7A5B83"/>
    <w:rsid w:val="2D7A691B"/>
    <w:rsid w:val="2D7E6051"/>
    <w:rsid w:val="2D8662AB"/>
    <w:rsid w:val="2D9D3CD6"/>
    <w:rsid w:val="2DAB070C"/>
    <w:rsid w:val="2DB81BCA"/>
    <w:rsid w:val="2DBA421D"/>
    <w:rsid w:val="2DCA68D8"/>
    <w:rsid w:val="2DCB4211"/>
    <w:rsid w:val="2DD123D5"/>
    <w:rsid w:val="2DFF65A7"/>
    <w:rsid w:val="2E007074"/>
    <w:rsid w:val="2E14172E"/>
    <w:rsid w:val="2E156C84"/>
    <w:rsid w:val="2E1F458A"/>
    <w:rsid w:val="2E344DAF"/>
    <w:rsid w:val="2E3933DD"/>
    <w:rsid w:val="2E542892"/>
    <w:rsid w:val="2E7C5CD1"/>
    <w:rsid w:val="2E827222"/>
    <w:rsid w:val="2E881839"/>
    <w:rsid w:val="2E936895"/>
    <w:rsid w:val="2E9C1619"/>
    <w:rsid w:val="2EA90574"/>
    <w:rsid w:val="2EA96D06"/>
    <w:rsid w:val="2EB948EE"/>
    <w:rsid w:val="2EC767B9"/>
    <w:rsid w:val="2ECE30AA"/>
    <w:rsid w:val="2EDE7E92"/>
    <w:rsid w:val="2EDF2CF0"/>
    <w:rsid w:val="2EE32667"/>
    <w:rsid w:val="2EE70C2A"/>
    <w:rsid w:val="2EFE0BDB"/>
    <w:rsid w:val="2EFE24FC"/>
    <w:rsid w:val="2F0B230D"/>
    <w:rsid w:val="2F1831B2"/>
    <w:rsid w:val="2F1D1825"/>
    <w:rsid w:val="2F1F6148"/>
    <w:rsid w:val="2F2909DC"/>
    <w:rsid w:val="2F397ECA"/>
    <w:rsid w:val="2F4C7A7D"/>
    <w:rsid w:val="2F596C0F"/>
    <w:rsid w:val="2F622F67"/>
    <w:rsid w:val="2F624BBD"/>
    <w:rsid w:val="2F77336C"/>
    <w:rsid w:val="2F831B61"/>
    <w:rsid w:val="2F8C627E"/>
    <w:rsid w:val="2F9E6F42"/>
    <w:rsid w:val="2FA86799"/>
    <w:rsid w:val="2FBB3BF3"/>
    <w:rsid w:val="2FC25AE3"/>
    <w:rsid w:val="2FDB3DFA"/>
    <w:rsid w:val="2FDD1EC2"/>
    <w:rsid w:val="2FDF0645"/>
    <w:rsid w:val="2FDF697F"/>
    <w:rsid w:val="2FE17991"/>
    <w:rsid w:val="2FE779E3"/>
    <w:rsid w:val="2FED5A57"/>
    <w:rsid w:val="300A7C9C"/>
    <w:rsid w:val="300B61F3"/>
    <w:rsid w:val="301256DD"/>
    <w:rsid w:val="30166435"/>
    <w:rsid w:val="30192227"/>
    <w:rsid w:val="301F4F73"/>
    <w:rsid w:val="3028126B"/>
    <w:rsid w:val="302F1D36"/>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D40B6"/>
    <w:rsid w:val="30B02ECD"/>
    <w:rsid w:val="30C97C89"/>
    <w:rsid w:val="30D0747B"/>
    <w:rsid w:val="31000E5F"/>
    <w:rsid w:val="310E2D17"/>
    <w:rsid w:val="311901A8"/>
    <w:rsid w:val="312C3581"/>
    <w:rsid w:val="3164256F"/>
    <w:rsid w:val="316C1AF9"/>
    <w:rsid w:val="316E5904"/>
    <w:rsid w:val="31744959"/>
    <w:rsid w:val="31820ECF"/>
    <w:rsid w:val="31890D85"/>
    <w:rsid w:val="31941E22"/>
    <w:rsid w:val="31BE6C8E"/>
    <w:rsid w:val="31CD4724"/>
    <w:rsid w:val="31D04565"/>
    <w:rsid w:val="31D60522"/>
    <w:rsid w:val="31DC5E9C"/>
    <w:rsid w:val="31E06BCA"/>
    <w:rsid w:val="31E37F93"/>
    <w:rsid w:val="31F816AF"/>
    <w:rsid w:val="32083CCE"/>
    <w:rsid w:val="32157EE6"/>
    <w:rsid w:val="322354C0"/>
    <w:rsid w:val="322B2CE8"/>
    <w:rsid w:val="322B406C"/>
    <w:rsid w:val="323139FD"/>
    <w:rsid w:val="323B5551"/>
    <w:rsid w:val="32403CD5"/>
    <w:rsid w:val="32484430"/>
    <w:rsid w:val="325A50D2"/>
    <w:rsid w:val="326B0434"/>
    <w:rsid w:val="327E1E9E"/>
    <w:rsid w:val="328B180D"/>
    <w:rsid w:val="32A14C53"/>
    <w:rsid w:val="32BA27AC"/>
    <w:rsid w:val="32D3172E"/>
    <w:rsid w:val="32F24B3E"/>
    <w:rsid w:val="32F4036A"/>
    <w:rsid w:val="33273C28"/>
    <w:rsid w:val="332C1869"/>
    <w:rsid w:val="33357C0F"/>
    <w:rsid w:val="334B2CD9"/>
    <w:rsid w:val="33503CCC"/>
    <w:rsid w:val="335C6117"/>
    <w:rsid w:val="336026F6"/>
    <w:rsid w:val="33667930"/>
    <w:rsid w:val="336C29C5"/>
    <w:rsid w:val="33721AC2"/>
    <w:rsid w:val="33760000"/>
    <w:rsid w:val="337D67F0"/>
    <w:rsid w:val="338E2C59"/>
    <w:rsid w:val="339031A2"/>
    <w:rsid w:val="339F1ED0"/>
    <w:rsid w:val="33B212E1"/>
    <w:rsid w:val="33B5385B"/>
    <w:rsid w:val="33B817BD"/>
    <w:rsid w:val="33C95FB0"/>
    <w:rsid w:val="33D141AC"/>
    <w:rsid w:val="33DB585B"/>
    <w:rsid w:val="33DD6C96"/>
    <w:rsid w:val="33E71C0E"/>
    <w:rsid w:val="33EC63F3"/>
    <w:rsid w:val="33FB3502"/>
    <w:rsid w:val="33FC0C35"/>
    <w:rsid w:val="34115587"/>
    <w:rsid w:val="341C751F"/>
    <w:rsid w:val="342122F5"/>
    <w:rsid w:val="342343BE"/>
    <w:rsid w:val="3427000D"/>
    <w:rsid w:val="345536BE"/>
    <w:rsid w:val="3462223A"/>
    <w:rsid w:val="346D289C"/>
    <w:rsid w:val="34746954"/>
    <w:rsid w:val="348262E8"/>
    <w:rsid w:val="34852DFB"/>
    <w:rsid w:val="34870FF3"/>
    <w:rsid w:val="34AA308A"/>
    <w:rsid w:val="34AE3021"/>
    <w:rsid w:val="34B5369D"/>
    <w:rsid w:val="34C23927"/>
    <w:rsid w:val="34D47C17"/>
    <w:rsid w:val="34D74524"/>
    <w:rsid w:val="34EF21BA"/>
    <w:rsid w:val="34FB21EC"/>
    <w:rsid w:val="351509F4"/>
    <w:rsid w:val="35255498"/>
    <w:rsid w:val="352B6064"/>
    <w:rsid w:val="353266FE"/>
    <w:rsid w:val="353678DB"/>
    <w:rsid w:val="355072A3"/>
    <w:rsid w:val="355154B2"/>
    <w:rsid w:val="355B39D5"/>
    <w:rsid w:val="356A1FBE"/>
    <w:rsid w:val="356A72E6"/>
    <w:rsid w:val="358C2E02"/>
    <w:rsid w:val="35903BC2"/>
    <w:rsid w:val="359274C2"/>
    <w:rsid w:val="359E49E9"/>
    <w:rsid w:val="35AC7D9F"/>
    <w:rsid w:val="35C41F10"/>
    <w:rsid w:val="35C743CC"/>
    <w:rsid w:val="35CC2E55"/>
    <w:rsid w:val="35D25FBE"/>
    <w:rsid w:val="35E20F81"/>
    <w:rsid w:val="35F257DC"/>
    <w:rsid w:val="35F52853"/>
    <w:rsid w:val="36036E4C"/>
    <w:rsid w:val="360646D4"/>
    <w:rsid w:val="360F2A66"/>
    <w:rsid w:val="36177C38"/>
    <w:rsid w:val="363A4100"/>
    <w:rsid w:val="36410A3A"/>
    <w:rsid w:val="364D2060"/>
    <w:rsid w:val="364E7F63"/>
    <w:rsid w:val="36611E9F"/>
    <w:rsid w:val="366A4252"/>
    <w:rsid w:val="367754DE"/>
    <w:rsid w:val="36784AF0"/>
    <w:rsid w:val="36900D69"/>
    <w:rsid w:val="369236D1"/>
    <w:rsid w:val="36A121B3"/>
    <w:rsid w:val="36AF25C1"/>
    <w:rsid w:val="36C64BF6"/>
    <w:rsid w:val="36D72FA9"/>
    <w:rsid w:val="36DD1115"/>
    <w:rsid w:val="36FA4156"/>
    <w:rsid w:val="37013427"/>
    <w:rsid w:val="370653E7"/>
    <w:rsid w:val="370E3984"/>
    <w:rsid w:val="373B505A"/>
    <w:rsid w:val="374F2F07"/>
    <w:rsid w:val="3750792F"/>
    <w:rsid w:val="375236E8"/>
    <w:rsid w:val="375463DB"/>
    <w:rsid w:val="375F7232"/>
    <w:rsid w:val="37625982"/>
    <w:rsid w:val="37671578"/>
    <w:rsid w:val="3768699A"/>
    <w:rsid w:val="378B504F"/>
    <w:rsid w:val="378B76CC"/>
    <w:rsid w:val="379B76DA"/>
    <w:rsid w:val="37BE4787"/>
    <w:rsid w:val="37C83999"/>
    <w:rsid w:val="37D33F79"/>
    <w:rsid w:val="37D72D05"/>
    <w:rsid w:val="37DF41BC"/>
    <w:rsid w:val="37E21686"/>
    <w:rsid w:val="37F42AB8"/>
    <w:rsid w:val="37F7720E"/>
    <w:rsid w:val="37FB6790"/>
    <w:rsid w:val="37FD4445"/>
    <w:rsid w:val="380517DC"/>
    <w:rsid w:val="381A4EA7"/>
    <w:rsid w:val="38252598"/>
    <w:rsid w:val="382F654A"/>
    <w:rsid w:val="38350332"/>
    <w:rsid w:val="383970A7"/>
    <w:rsid w:val="383A1C1E"/>
    <w:rsid w:val="38495504"/>
    <w:rsid w:val="384E3BBB"/>
    <w:rsid w:val="38650C1B"/>
    <w:rsid w:val="38982766"/>
    <w:rsid w:val="38991B97"/>
    <w:rsid w:val="38A07B54"/>
    <w:rsid w:val="38AC37B6"/>
    <w:rsid w:val="38B5657F"/>
    <w:rsid w:val="38CC4BED"/>
    <w:rsid w:val="38DC2F57"/>
    <w:rsid w:val="38F95415"/>
    <w:rsid w:val="390412D8"/>
    <w:rsid w:val="390C505F"/>
    <w:rsid w:val="392017C0"/>
    <w:rsid w:val="39252B76"/>
    <w:rsid w:val="392C4D9D"/>
    <w:rsid w:val="392E6F43"/>
    <w:rsid w:val="394D69CA"/>
    <w:rsid w:val="394F3CCB"/>
    <w:rsid w:val="3952140A"/>
    <w:rsid w:val="3962620A"/>
    <w:rsid w:val="39716FB5"/>
    <w:rsid w:val="397A1C59"/>
    <w:rsid w:val="397F6E8D"/>
    <w:rsid w:val="399B7825"/>
    <w:rsid w:val="39A209C1"/>
    <w:rsid w:val="39AD6790"/>
    <w:rsid w:val="39C84866"/>
    <w:rsid w:val="39C86214"/>
    <w:rsid w:val="39D252AE"/>
    <w:rsid w:val="39D26619"/>
    <w:rsid w:val="39E25290"/>
    <w:rsid w:val="39E276D4"/>
    <w:rsid w:val="39E93BC2"/>
    <w:rsid w:val="39F8422A"/>
    <w:rsid w:val="39F91CCB"/>
    <w:rsid w:val="3A04454A"/>
    <w:rsid w:val="3A0E457E"/>
    <w:rsid w:val="3A3D6D40"/>
    <w:rsid w:val="3A4112DA"/>
    <w:rsid w:val="3A4335B5"/>
    <w:rsid w:val="3A462802"/>
    <w:rsid w:val="3A485C20"/>
    <w:rsid w:val="3A4A4CC7"/>
    <w:rsid w:val="3A50211E"/>
    <w:rsid w:val="3A60703D"/>
    <w:rsid w:val="3A6C2289"/>
    <w:rsid w:val="3A6F6FB5"/>
    <w:rsid w:val="3A955CCA"/>
    <w:rsid w:val="3A9B2460"/>
    <w:rsid w:val="3AA62464"/>
    <w:rsid w:val="3AB61DD5"/>
    <w:rsid w:val="3AC60DC7"/>
    <w:rsid w:val="3AC97FAA"/>
    <w:rsid w:val="3ACB4EA8"/>
    <w:rsid w:val="3ACF35EC"/>
    <w:rsid w:val="3AE80E8E"/>
    <w:rsid w:val="3AEA2742"/>
    <w:rsid w:val="3AF909B9"/>
    <w:rsid w:val="3AFD6137"/>
    <w:rsid w:val="3AFF52EB"/>
    <w:rsid w:val="3B0376FA"/>
    <w:rsid w:val="3B0D52B2"/>
    <w:rsid w:val="3B143A56"/>
    <w:rsid w:val="3B367657"/>
    <w:rsid w:val="3B410BE2"/>
    <w:rsid w:val="3B411A26"/>
    <w:rsid w:val="3B5732FB"/>
    <w:rsid w:val="3B8904A2"/>
    <w:rsid w:val="3B9A7293"/>
    <w:rsid w:val="3BD24ADD"/>
    <w:rsid w:val="3BDF38AF"/>
    <w:rsid w:val="3C050532"/>
    <w:rsid w:val="3C095D17"/>
    <w:rsid w:val="3C285D82"/>
    <w:rsid w:val="3C32053F"/>
    <w:rsid w:val="3C3E406C"/>
    <w:rsid w:val="3C404221"/>
    <w:rsid w:val="3C51067F"/>
    <w:rsid w:val="3C536B06"/>
    <w:rsid w:val="3C58436E"/>
    <w:rsid w:val="3C672048"/>
    <w:rsid w:val="3CA9364C"/>
    <w:rsid w:val="3CB74FF6"/>
    <w:rsid w:val="3CD72898"/>
    <w:rsid w:val="3CD741BF"/>
    <w:rsid w:val="3CE865B0"/>
    <w:rsid w:val="3CED427C"/>
    <w:rsid w:val="3CF038D6"/>
    <w:rsid w:val="3CF424B3"/>
    <w:rsid w:val="3D083788"/>
    <w:rsid w:val="3D0D7049"/>
    <w:rsid w:val="3D144F76"/>
    <w:rsid w:val="3D2008A3"/>
    <w:rsid w:val="3D2E2411"/>
    <w:rsid w:val="3D337B31"/>
    <w:rsid w:val="3D5005EB"/>
    <w:rsid w:val="3D6C7D3F"/>
    <w:rsid w:val="3D9307B4"/>
    <w:rsid w:val="3D9F4956"/>
    <w:rsid w:val="3DAA5311"/>
    <w:rsid w:val="3DBD041E"/>
    <w:rsid w:val="3DC765B7"/>
    <w:rsid w:val="3DCB73BA"/>
    <w:rsid w:val="3DD35B24"/>
    <w:rsid w:val="3DEC3A44"/>
    <w:rsid w:val="3E1A50E1"/>
    <w:rsid w:val="3E1C7725"/>
    <w:rsid w:val="3E25747C"/>
    <w:rsid w:val="3E26098F"/>
    <w:rsid w:val="3E3B04B0"/>
    <w:rsid w:val="3E3E7F7D"/>
    <w:rsid w:val="3E4D031B"/>
    <w:rsid w:val="3E4F3306"/>
    <w:rsid w:val="3E6B319E"/>
    <w:rsid w:val="3E796FBB"/>
    <w:rsid w:val="3E7D20AD"/>
    <w:rsid w:val="3E98343F"/>
    <w:rsid w:val="3E9E014C"/>
    <w:rsid w:val="3EA12164"/>
    <w:rsid w:val="3EA22193"/>
    <w:rsid w:val="3EA77B3A"/>
    <w:rsid w:val="3EB44782"/>
    <w:rsid w:val="3EBD0BC4"/>
    <w:rsid w:val="3EBF0B79"/>
    <w:rsid w:val="3EC35584"/>
    <w:rsid w:val="3EC97CCB"/>
    <w:rsid w:val="3ED2230C"/>
    <w:rsid w:val="3EE27E07"/>
    <w:rsid w:val="3F0A6D15"/>
    <w:rsid w:val="3F1C0B53"/>
    <w:rsid w:val="3F1E2BD3"/>
    <w:rsid w:val="3F337FF6"/>
    <w:rsid w:val="3F394A24"/>
    <w:rsid w:val="3F401D03"/>
    <w:rsid w:val="3F4802CD"/>
    <w:rsid w:val="3F734553"/>
    <w:rsid w:val="3F822788"/>
    <w:rsid w:val="3F954106"/>
    <w:rsid w:val="3F9723FF"/>
    <w:rsid w:val="3FA24D04"/>
    <w:rsid w:val="3FA45CFF"/>
    <w:rsid w:val="3FB74B6A"/>
    <w:rsid w:val="3FC53F70"/>
    <w:rsid w:val="3FDA4009"/>
    <w:rsid w:val="3FE574EF"/>
    <w:rsid w:val="401C76D3"/>
    <w:rsid w:val="401E4371"/>
    <w:rsid w:val="402179A3"/>
    <w:rsid w:val="40330CA4"/>
    <w:rsid w:val="4051781D"/>
    <w:rsid w:val="40734F8E"/>
    <w:rsid w:val="40890A0A"/>
    <w:rsid w:val="408B2769"/>
    <w:rsid w:val="40963AA1"/>
    <w:rsid w:val="40AE1FF7"/>
    <w:rsid w:val="40B733A7"/>
    <w:rsid w:val="40BA68B9"/>
    <w:rsid w:val="40C16266"/>
    <w:rsid w:val="40C235CF"/>
    <w:rsid w:val="40CF00C1"/>
    <w:rsid w:val="40E40DFF"/>
    <w:rsid w:val="40FD678B"/>
    <w:rsid w:val="410B5436"/>
    <w:rsid w:val="41176148"/>
    <w:rsid w:val="411E7E74"/>
    <w:rsid w:val="412344BF"/>
    <w:rsid w:val="412C5510"/>
    <w:rsid w:val="41356D45"/>
    <w:rsid w:val="414F7E63"/>
    <w:rsid w:val="415818BD"/>
    <w:rsid w:val="4173037E"/>
    <w:rsid w:val="41763898"/>
    <w:rsid w:val="4178619D"/>
    <w:rsid w:val="41997BF4"/>
    <w:rsid w:val="41A25E23"/>
    <w:rsid w:val="41BA20AB"/>
    <w:rsid w:val="41D33240"/>
    <w:rsid w:val="41DB32FB"/>
    <w:rsid w:val="41DB562E"/>
    <w:rsid w:val="41E00282"/>
    <w:rsid w:val="41E24A84"/>
    <w:rsid w:val="41EF5897"/>
    <w:rsid w:val="41F141C8"/>
    <w:rsid w:val="41F769F8"/>
    <w:rsid w:val="41FA44D3"/>
    <w:rsid w:val="41FF317F"/>
    <w:rsid w:val="41FF49C1"/>
    <w:rsid w:val="42092855"/>
    <w:rsid w:val="420F3AD9"/>
    <w:rsid w:val="4255690C"/>
    <w:rsid w:val="42642D31"/>
    <w:rsid w:val="426A1BC5"/>
    <w:rsid w:val="426E763A"/>
    <w:rsid w:val="427F1399"/>
    <w:rsid w:val="42970839"/>
    <w:rsid w:val="429C47B7"/>
    <w:rsid w:val="42AB449F"/>
    <w:rsid w:val="42AE439D"/>
    <w:rsid w:val="42B55856"/>
    <w:rsid w:val="42BB0C2D"/>
    <w:rsid w:val="42BF2999"/>
    <w:rsid w:val="42C21EAE"/>
    <w:rsid w:val="42C60F27"/>
    <w:rsid w:val="42D33507"/>
    <w:rsid w:val="42DA2B3E"/>
    <w:rsid w:val="42F45061"/>
    <w:rsid w:val="430075B6"/>
    <w:rsid w:val="430A2E6D"/>
    <w:rsid w:val="43275C4F"/>
    <w:rsid w:val="43300406"/>
    <w:rsid w:val="43370D46"/>
    <w:rsid w:val="433711B8"/>
    <w:rsid w:val="43451141"/>
    <w:rsid w:val="434F746B"/>
    <w:rsid w:val="43515022"/>
    <w:rsid w:val="4358292F"/>
    <w:rsid w:val="437273A2"/>
    <w:rsid w:val="4373390F"/>
    <w:rsid w:val="43737750"/>
    <w:rsid w:val="43754326"/>
    <w:rsid w:val="437B2F7D"/>
    <w:rsid w:val="438D1048"/>
    <w:rsid w:val="439A257A"/>
    <w:rsid w:val="439B5FC3"/>
    <w:rsid w:val="43A32635"/>
    <w:rsid w:val="43C309A2"/>
    <w:rsid w:val="43C62AA3"/>
    <w:rsid w:val="43D77093"/>
    <w:rsid w:val="43D911A0"/>
    <w:rsid w:val="43D97147"/>
    <w:rsid w:val="43DE3D30"/>
    <w:rsid w:val="43E166FE"/>
    <w:rsid w:val="43E5401A"/>
    <w:rsid w:val="43E73CDC"/>
    <w:rsid w:val="43FA758D"/>
    <w:rsid w:val="43FC5E92"/>
    <w:rsid w:val="44017F76"/>
    <w:rsid w:val="440F49AF"/>
    <w:rsid w:val="441000C1"/>
    <w:rsid w:val="441926A9"/>
    <w:rsid w:val="4424251F"/>
    <w:rsid w:val="442828F8"/>
    <w:rsid w:val="442F79B9"/>
    <w:rsid w:val="443058AA"/>
    <w:rsid w:val="444136BD"/>
    <w:rsid w:val="44674566"/>
    <w:rsid w:val="446C1472"/>
    <w:rsid w:val="446C449B"/>
    <w:rsid w:val="446E0DE7"/>
    <w:rsid w:val="44855B8D"/>
    <w:rsid w:val="44A01FB0"/>
    <w:rsid w:val="44A57709"/>
    <w:rsid w:val="44B63749"/>
    <w:rsid w:val="44B7174C"/>
    <w:rsid w:val="44C03003"/>
    <w:rsid w:val="44DA7B6C"/>
    <w:rsid w:val="44E173B8"/>
    <w:rsid w:val="44E33D42"/>
    <w:rsid w:val="44E94B58"/>
    <w:rsid w:val="44FD08B9"/>
    <w:rsid w:val="44FD4C59"/>
    <w:rsid w:val="45010901"/>
    <w:rsid w:val="4523483B"/>
    <w:rsid w:val="45503B6C"/>
    <w:rsid w:val="45615A31"/>
    <w:rsid w:val="45631F71"/>
    <w:rsid w:val="45645083"/>
    <w:rsid w:val="45645939"/>
    <w:rsid w:val="45744428"/>
    <w:rsid w:val="457914A8"/>
    <w:rsid w:val="457A431F"/>
    <w:rsid w:val="45873F2E"/>
    <w:rsid w:val="45903A89"/>
    <w:rsid w:val="459A2B4B"/>
    <w:rsid w:val="45AE56E5"/>
    <w:rsid w:val="45B03BFE"/>
    <w:rsid w:val="45B60586"/>
    <w:rsid w:val="45CC0749"/>
    <w:rsid w:val="45CE0436"/>
    <w:rsid w:val="45D547C7"/>
    <w:rsid w:val="45E74894"/>
    <w:rsid w:val="45F11718"/>
    <w:rsid w:val="45FF600B"/>
    <w:rsid w:val="461E34FB"/>
    <w:rsid w:val="462112DE"/>
    <w:rsid w:val="463B677F"/>
    <w:rsid w:val="46584AC3"/>
    <w:rsid w:val="46586BBB"/>
    <w:rsid w:val="465B2564"/>
    <w:rsid w:val="465B2C13"/>
    <w:rsid w:val="466361E0"/>
    <w:rsid w:val="46745329"/>
    <w:rsid w:val="46756101"/>
    <w:rsid w:val="467B665C"/>
    <w:rsid w:val="467F1B7C"/>
    <w:rsid w:val="46837434"/>
    <w:rsid w:val="46874FB5"/>
    <w:rsid w:val="46A67E87"/>
    <w:rsid w:val="46B52D8F"/>
    <w:rsid w:val="46C451FF"/>
    <w:rsid w:val="46D13F56"/>
    <w:rsid w:val="46D73768"/>
    <w:rsid w:val="46DB748E"/>
    <w:rsid w:val="46E00800"/>
    <w:rsid w:val="46E42907"/>
    <w:rsid w:val="46EF4536"/>
    <w:rsid w:val="46F904F8"/>
    <w:rsid w:val="47036384"/>
    <w:rsid w:val="47195940"/>
    <w:rsid w:val="47283218"/>
    <w:rsid w:val="4735189F"/>
    <w:rsid w:val="474273EB"/>
    <w:rsid w:val="47462CC4"/>
    <w:rsid w:val="47497311"/>
    <w:rsid w:val="47534AE8"/>
    <w:rsid w:val="47612048"/>
    <w:rsid w:val="476153EE"/>
    <w:rsid w:val="47881DD7"/>
    <w:rsid w:val="47972FC8"/>
    <w:rsid w:val="47AD369A"/>
    <w:rsid w:val="47B71D4B"/>
    <w:rsid w:val="47BB0D42"/>
    <w:rsid w:val="47BD3358"/>
    <w:rsid w:val="47D7281A"/>
    <w:rsid w:val="47D9039A"/>
    <w:rsid w:val="47DD7218"/>
    <w:rsid w:val="47E5751E"/>
    <w:rsid w:val="47F56FB5"/>
    <w:rsid w:val="48082B32"/>
    <w:rsid w:val="4815529C"/>
    <w:rsid w:val="4832333D"/>
    <w:rsid w:val="48387293"/>
    <w:rsid w:val="483C1399"/>
    <w:rsid w:val="483C692C"/>
    <w:rsid w:val="484A137A"/>
    <w:rsid w:val="484E004A"/>
    <w:rsid w:val="4856426D"/>
    <w:rsid w:val="485A7935"/>
    <w:rsid w:val="48680B85"/>
    <w:rsid w:val="486D3B4B"/>
    <w:rsid w:val="487F0AE0"/>
    <w:rsid w:val="48925F17"/>
    <w:rsid w:val="48974472"/>
    <w:rsid w:val="4898557D"/>
    <w:rsid w:val="489D0D0E"/>
    <w:rsid w:val="48A16470"/>
    <w:rsid w:val="48A27D40"/>
    <w:rsid w:val="48AA37A2"/>
    <w:rsid w:val="48B044FA"/>
    <w:rsid w:val="48BB5D35"/>
    <w:rsid w:val="48C470AA"/>
    <w:rsid w:val="48CB26CB"/>
    <w:rsid w:val="48D97C39"/>
    <w:rsid w:val="48DB204A"/>
    <w:rsid w:val="48DC5F5F"/>
    <w:rsid w:val="48F505DB"/>
    <w:rsid w:val="492B0536"/>
    <w:rsid w:val="492F19EC"/>
    <w:rsid w:val="4946107B"/>
    <w:rsid w:val="49590FFD"/>
    <w:rsid w:val="49694ABD"/>
    <w:rsid w:val="497D17F6"/>
    <w:rsid w:val="497D527C"/>
    <w:rsid w:val="49800655"/>
    <w:rsid w:val="498B5309"/>
    <w:rsid w:val="49921706"/>
    <w:rsid w:val="49951847"/>
    <w:rsid w:val="49966DC8"/>
    <w:rsid w:val="49994F38"/>
    <w:rsid w:val="49AC3B0D"/>
    <w:rsid w:val="49AD35FC"/>
    <w:rsid w:val="49B5767C"/>
    <w:rsid w:val="49BB5692"/>
    <w:rsid w:val="49BF5FA2"/>
    <w:rsid w:val="49C248DD"/>
    <w:rsid w:val="49D41534"/>
    <w:rsid w:val="49D42828"/>
    <w:rsid w:val="49E1749A"/>
    <w:rsid w:val="49F90D4B"/>
    <w:rsid w:val="4A0E4837"/>
    <w:rsid w:val="4A190B67"/>
    <w:rsid w:val="4A1D15AB"/>
    <w:rsid w:val="4A554FA8"/>
    <w:rsid w:val="4A616062"/>
    <w:rsid w:val="4A623B85"/>
    <w:rsid w:val="4A6A64C2"/>
    <w:rsid w:val="4A6F336A"/>
    <w:rsid w:val="4A700CF9"/>
    <w:rsid w:val="4A712133"/>
    <w:rsid w:val="4A782BCF"/>
    <w:rsid w:val="4A7850FA"/>
    <w:rsid w:val="4A85354F"/>
    <w:rsid w:val="4A995804"/>
    <w:rsid w:val="4AA81784"/>
    <w:rsid w:val="4AA87225"/>
    <w:rsid w:val="4AB463CE"/>
    <w:rsid w:val="4AB96C56"/>
    <w:rsid w:val="4ABB00CA"/>
    <w:rsid w:val="4ABC3474"/>
    <w:rsid w:val="4ABC72DF"/>
    <w:rsid w:val="4AD31CEC"/>
    <w:rsid w:val="4AD745A3"/>
    <w:rsid w:val="4ADA101D"/>
    <w:rsid w:val="4AE87FC6"/>
    <w:rsid w:val="4AF26FD5"/>
    <w:rsid w:val="4AF75E99"/>
    <w:rsid w:val="4AF81F9F"/>
    <w:rsid w:val="4B036BAB"/>
    <w:rsid w:val="4B045962"/>
    <w:rsid w:val="4B0D625E"/>
    <w:rsid w:val="4B203B01"/>
    <w:rsid w:val="4B263DDD"/>
    <w:rsid w:val="4B297D57"/>
    <w:rsid w:val="4B2B17CB"/>
    <w:rsid w:val="4B3A0462"/>
    <w:rsid w:val="4B5A1582"/>
    <w:rsid w:val="4B5A5E4A"/>
    <w:rsid w:val="4B641B1E"/>
    <w:rsid w:val="4B844162"/>
    <w:rsid w:val="4B854101"/>
    <w:rsid w:val="4B8D1E94"/>
    <w:rsid w:val="4B9B60E7"/>
    <w:rsid w:val="4BB25E6F"/>
    <w:rsid w:val="4BB62985"/>
    <w:rsid w:val="4BB72DF0"/>
    <w:rsid w:val="4BBF3B05"/>
    <w:rsid w:val="4BC46E98"/>
    <w:rsid w:val="4BD95B32"/>
    <w:rsid w:val="4C1045AA"/>
    <w:rsid w:val="4C1665C6"/>
    <w:rsid w:val="4C2A0254"/>
    <w:rsid w:val="4C2A62E8"/>
    <w:rsid w:val="4C387FEA"/>
    <w:rsid w:val="4C41408F"/>
    <w:rsid w:val="4C617EA0"/>
    <w:rsid w:val="4C6C058F"/>
    <w:rsid w:val="4C742C79"/>
    <w:rsid w:val="4C81376E"/>
    <w:rsid w:val="4C822C8D"/>
    <w:rsid w:val="4C8D63BF"/>
    <w:rsid w:val="4CA24D1D"/>
    <w:rsid w:val="4CB93537"/>
    <w:rsid w:val="4CCE340B"/>
    <w:rsid w:val="4CD170E8"/>
    <w:rsid w:val="4CDB2ED1"/>
    <w:rsid w:val="4CE40296"/>
    <w:rsid w:val="4CE83472"/>
    <w:rsid w:val="4CED0A5E"/>
    <w:rsid w:val="4CFD2DA9"/>
    <w:rsid w:val="4D010936"/>
    <w:rsid w:val="4D0D702D"/>
    <w:rsid w:val="4D146429"/>
    <w:rsid w:val="4D2B37A9"/>
    <w:rsid w:val="4D3B22CD"/>
    <w:rsid w:val="4D3F2287"/>
    <w:rsid w:val="4D496228"/>
    <w:rsid w:val="4D521DFA"/>
    <w:rsid w:val="4D617E6D"/>
    <w:rsid w:val="4D661B93"/>
    <w:rsid w:val="4D78531A"/>
    <w:rsid w:val="4D7F6329"/>
    <w:rsid w:val="4D897CEC"/>
    <w:rsid w:val="4D8D592F"/>
    <w:rsid w:val="4D8D71BC"/>
    <w:rsid w:val="4DA8587B"/>
    <w:rsid w:val="4DAF7F7D"/>
    <w:rsid w:val="4DB972EA"/>
    <w:rsid w:val="4DDF7306"/>
    <w:rsid w:val="4DE87C74"/>
    <w:rsid w:val="4DEB6BA2"/>
    <w:rsid w:val="4DF1750B"/>
    <w:rsid w:val="4DF2189D"/>
    <w:rsid w:val="4DF56B12"/>
    <w:rsid w:val="4DFE6DA4"/>
    <w:rsid w:val="4E0447E4"/>
    <w:rsid w:val="4E054EF1"/>
    <w:rsid w:val="4E0B28BA"/>
    <w:rsid w:val="4E0D21CB"/>
    <w:rsid w:val="4E273DF2"/>
    <w:rsid w:val="4E275E1F"/>
    <w:rsid w:val="4E2D718E"/>
    <w:rsid w:val="4E324791"/>
    <w:rsid w:val="4E3A332D"/>
    <w:rsid w:val="4E3B0B12"/>
    <w:rsid w:val="4E457CFC"/>
    <w:rsid w:val="4E494054"/>
    <w:rsid w:val="4E5035B9"/>
    <w:rsid w:val="4E5D6EB6"/>
    <w:rsid w:val="4E764269"/>
    <w:rsid w:val="4E796130"/>
    <w:rsid w:val="4E8619E7"/>
    <w:rsid w:val="4E894E7D"/>
    <w:rsid w:val="4ED07F80"/>
    <w:rsid w:val="4ED22AD6"/>
    <w:rsid w:val="4ED25FDC"/>
    <w:rsid w:val="4EDB7BE2"/>
    <w:rsid w:val="4EE143E2"/>
    <w:rsid w:val="4EE30C74"/>
    <w:rsid w:val="4EEC5DC2"/>
    <w:rsid w:val="4EF917AA"/>
    <w:rsid w:val="4EF96C36"/>
    <w:rsid w:val="4EFA1A63"/>
    <w:rsid w:val="4F053BD8"/>
    <w:rsid w:val="4F1064A1"/>
    <w:rsid w:val="4F2E4B36"/>
    <w:rsid w:val="4F524FE5"/>
    <w:rsid w:val="4F5A6B06"/>
    <w:rsid w:val="4F5C69D0"/>
    <w:rsid w:val="4F6C544F"/>
    <w:rsid w:val="4F730BAE"/>
    <w:rsid w:val="4F774221"/>
    <w:rsid w:val="4F7A017A"/>
    <w:rsid w:val="4F8417E0"/>
    <w:rsid w:val="4F921F77"/>
    <w:rsid w:val="4FA249BB"/>
    <w:rsid w:val="4FA56D18"/>
    <w:rsid w:val="4FBF4191"/>
    <w:rsid w:val="4FCB09D8"/>
    <w:rsid w:val="4FCB2AB8"/>
    <w:rsid w:val="4FDD33DB"/>
    <w:rsid w:val="4FE54559"/>
    <w:rsid w:val="4FF41CD9"/>
    <w:rsid w:val="4FFE322B"/>
    <w:rsid w:val="4FFF545A"/>
    <w:rsid w:val="500510D1"/>
    <w:rsid w:val="500B69CE"/>
    <w:rsid w:val="500E0FC3"/>
    <w:rsid w:val="503F7E98"/>
    <w:rsid w:val="504F15D1"/>
    <w:rsid w:val="507B7075"/>
    <w:rsid w:val="507F6E5B"/>
    <w:rsid w:val="50801A86"/>
    <w:rsid w:val="50843B54"/>
    <w:rsid w:val="5084607C"/>
    <w:rsid w:val="5087019C"/>
    <w:rsid w:val="509324F6"/>
    <w:rsid w:val="50AA4569"/>
    <w:rsid w:val="50AC191A"/>
    <w:rsid w:val="50AD363E"/>
    <w:rsid w:val="50C1453A"/>
    <w:rsid w:val="50C432C4"/>
    <w:rsid w:val="50CC7055"/>
    <w:rsid w:val="50D06BF1"/>
    <w:rsid w:val="50D35C50"/>
    <w:rsid w:val="50E0284F"/>
    <w:rsid w:val="50E047FE"/>
    <w:rsid w:val="50E06B31"/>
    <w:rsid w:val="50E4060D"/>
    <w:rsid w:val="50E536AE"/>
    <w:rsid w:val="50EA3832"/>
    <w:rsid w:val="50ED7405"/>
    <w:rsid w:val="50F0306A"/>
    <w:rsid w:val="50F52B7F"/>
    <w:rsid w:val="50FC79A0"/>
    <w:rsid w:val="51011B51"/>
    <w:rsid w:val="510630D2"/>
    <w:rsid w:val="5108514E"/>
    <w:rsid w:val="512750E6"/>
    <w:rsid w:val="514D180D"/>
    <w:rsid w:val="51567810"/>
    <w:rsid w:val="5171036C"/>
    <w:rsid w:val="51945B03"/>
    <w:rsid w:val="51950E91"/>
    <w:rsid w:val="51CB2777"/>
    <w:rsid w:val="51CB522C"/>
    <w:rsid w:val="51DC5C72"/>
    <w:rsid w:val="51E55C99"/>
    <w:rsid w:val="52084C12"/>
    <w:rsid w:val="52131673"/>
    <w:rsid w:val="521A5044"/>
    <w:rsid w:val="522354C4"/>
    <w:rsid w:val="52285BEE"/>
    <w:rsid w:val="52365551"/>
    <w:rsid w:val="52460CA3"/>
    <w:rsid w:val="52680BFF"/>
    <w:rsid w:val="5271423C"/>
    <w:rsid w:val="52762A2B"/>
    <w:rsid w:val="528270C2"/>
    <w:rsid w:val="529A6C72"/>
    <w:rsid w:val="52AB3F4D"/>
    <w:rsid w:val="52B33BDC"/>
    <w:rsid w:val="52B434C6"/>
    <w:rsid w:val="52C87D18"/>
    <w:rsid w:val="52CD4DEE"/>
    <w:rsid w:val="52D007C3"/>
    <w:rsid w:val="52D34D35"/>
    <w:rsid w:val="52E9496A"/>
    <w:rsid w:val="52FB230E"/>
    <w:rsid w:val="52FC6F5F"/>
    <w:rsid w:val="52FE7E6C"/>
    <w:rsid w:val="531418AE"/>
    <w:rsid w:val="53250243"/>
    <w:rsid w:val="5333696C"/>
    <w:rsid w:val="53385012"/>
    <w:rsid w:val="536C28D1"/>
    <w:rsid w:val="536D174D"/>
    <w:rsid w:val="536E2857"/>
    <w:rsid w:val="537E2CA8"/>
    <w:rsid w:val="5381408B"/>
    <w:rsid w:val="538357A7"/>
    <w:rsid w:val="53907BCB"/>
    <w:rsid w:val="539C47DB"/>
    <w:rsid w:val="53AD224A"/>
    <w:rsid w:val="53B603DC"/>
    <w:rsid w:val="53B67B60"/>
    <w:rsid w:val="53B8749A"/>
    <w:rsid w:val="53BE1C17"/>
    <w:rsid w:val="53CF3238"/>
    <w:rsid w:val="53D73191"/>
    <w:rsid w:val="53DF48D5"/>
    <w:rsid w:val="53ED6E6F"/>
    <w:rsid w:val="540253B3"/>
    <w:rsid w:val="54193EB2"/>
    <w:rsid w:val="541E1948"/>
    <w:rsid w:val="54275A2A"/>
    <w:rsid w:val="54365916"/>
    <w:rsid w:val="544C2D66"/>
    <w:rsid w:val="54600756"/>
    <w:rsid w:val="546432CE"/>
    <w:rsid w:val="546557E5"/>
    <w:rsid w:val="54701901"/>
    <w:rsid w:val="547565C0"/>
    <w:rsid w:val="54780A20"/>
    <w:rsid w:val="54C3175A"/>
    <w:rsid w:val="54DE0561"/>
    <w:rsid w:val="55044D0F"/>
    <w:rsid w:val="550B15A7"/>
    <w:rsid w:val="55144508"/>
    <w:rsid w:val="551848D1"/>
    <w:rsid w:val="551C42A6"/>
    <w:rsid w:val="55344AB0"/>
    <w:rsid w:val="5536730A"/>
    <w:rsid w:val="55377AD1"/>
    <w:rsid w:val="553E113E"/>
    <w:rsid w:val="5540237D"/>
    <w:rsid w:val="555518AD"/>
    <w:rsid w:val="55667A85"/>
    <w:rsid w:val="55716CD3"/>
    <w:rsid w:val="55761DEC"/>
    <w:rsid w:val="55776979"/>
    <w:rsid w:val="55790BCE"/>
    <w:rsid w:val="55913F7C"/>
    <w:rsid w:val="559D7A1C"/>
    <w:rsid w:val="55AB6ACF"/>
    <w:rsid w:val="55C01BA4"/>
    <w:rsid w:val="55C36371"/>
    <w:rsid w:val="55C41BF7"/>
    <w:rsid w:val="56127BAF"/>
    <w:rsid w:val="56176400"/>
    <w:rsid w:val="56193A1B"/>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8850AA"/>
    <w:rsid w:val="569E221B"/>
    <w:rsid w:val="56B27F3E"/>
    <w:rsid w:val="56B605A5"/>
    <w:rsid w:val="56CC3113"/>
    <w:rsid w:val="56CF0992"/>
    <w:rsid w:val="56D3618E"/>
    <w:rsid w:val="56E84067"/>
    <w:rsid w:val="570B1D0C"/>
    <w:rsid w:val="570E2542"/>
    <w:rsid w:val="57105F22"/>
    <w:rsid w:val="571628AF"/>
    <w:rsid w:val="57190023"/>
    <w:rsid w:val="572478E2"/>
    <w:rsid w:val="57286DAB"/>
    <w:rsid w:val="572A0645"/>
    <w:rsid w:val="573F2FA4"/>
    <w:rsid w:val="574861C5"/>
    <w:rsid w:val="574F31E1"/>
    <w:rsid w:val="5763331E"/>
    <w:rsid w:val="576A0E17"/>
    <w:rsid w:val="576D542E"/>
    <w:rsid w:val="577E64AD"/>
    <w:rsid w:val="579B29DB"/>
    <w:rsid w:val="57A81360"/>
    <w:rsid w:val="57B5615E"/>
    <w:rsid w:val="57C61FCE"/>
    <w:rsid w:val="57CD6EFE"/>
    <w:rsid w:val="57D207B6"/>
    <w:rsid w:val="57EB1098"/>
    <w:rsid w:val="57ED7304"/>
    <w:rsid w:val="57F80D77"/>
    <w:rsid w:val="57FC04B2"/>
    <w:rsid w:val="580E5DA3"/>
    <w:rsid w:val="58167A35"/>
    <w:rsid w:val="581C39F0"/>
    <w:rsid w:val="58245DB2"/>
    <w:rsid w:val="58260813"/>
    <w:rsid w:val="583160C4"/>
    <w:rsid w:val="5837577C"/>
    <w:rsid w:val="584717C2"/>
    <w:rsid w:val="5883673E"/>
    <w:rsid w:val="58866DB9"/>
    <w:rsid w:val="588C3FB5"/>
    <w:rsid w:val="588D1F1F"/>
    <w:rsid w:val="589C20F4"/>
    <w:rsid w:val="58A0117C"/>
    <w:rsid w:val="58A02642"/>
    <w:rsid w:val="58AB5F44"/>
    <w:rsid w:val="58AC4087"/>
    <w:rsid w:val="58AD7C1E"/>
    <w:rsid w:val="58AE77FC"/>
    <w:rsid w:val="58B145E3"/>
    <w:rsid w:val="58B53257"/>
    <w:rsid w:val="58C23DE8"/>
    <w:rsid w:val="58C62CAE"/>
    <w:rsid w:val="58CD5DCD"/>
    <w:rsid w:val="58E76EAA"/>
    <w:rsid w:val="58E876F8"/>
    <w:rsid w:val="58EF2929"/>
    <w:rsid w:val="58F4772C"/>
    <w:rsid w:val="58F55475"/>
    <w:rsid w:val="5909230E"/>
    <w:rsid w:val="590A238B"/>
    <w:rsid w:val="5917121F"/>
    <w:rsid w:val="591D1ECE"/>
    <w:rsid w:val="59303B88"/>
    <w:rsid w:val="594D4198"/>
    <w:rsid w:val="596E1E52"/>
    <w:rsid w:val="5974413B"/>
    <w:rsid w:val="597B41FB"/>
    <w:rsid w:val="59811429"/>
    <w:rsid w:val="59814F7A"/>
    <w:rsid w:val="59963629"/>
    <w:rsid w:val="59A954D6"/>
    <w:rsid w:val="59BF504A"/>
    <w:rsid w:val="59D01A6D"/>
    <w:rsid w:val="59D0629F"/>
    <w:rsid w:val="59E60AE1"/>
    <w:rsid w:val="59E65B63"/>
    <w:rsid w:val="59FC225C"/>
    <w:rsid w:val="59FC7713"/>
    <w:rsid w:val="59FE4ABB"/>
    <w:rsid w:val="5A007265"/>
    <w:rsid w:val="5A0E23DB"/>
    <w:rsid w:val="5A231AC2"/>
    <w:rsid w:val="5A310067"/>
    <w:rsid w:val="5A3B4856"/>
    <w:rsid w:val="5A534768"/>
    <w:rsid w:val="5A5930CA"/>
    <w:rsid w:val="5A5C0A1F"/>
    <w:rsid w:val="5A6617B0"/>
    <w:rsid w:val="5A8955AF"/>
    <w:rsid w:val="5AA251E6"/>
    <w:rsid w:val="5AAD3CEF"/>
    <w:rsid w:val="5AB16450"/>
    <w:rsid w:val="5ACB4EEC"/>
    <w:rsid w:val="5ACD2AC8"/>
    <w:rsid w:val="5AD32754"/>
    <w:rsid w:val="5ADE17A9"/>
    <w:rsid w:val="5AEA58A1"/>
    <w:rsid w:val="5AF06D6E"/>
    <w:rsid w:val="5AF552C4"/>
    <w:rsid w:val="5B0567F2"/>
    <w:rsid w:val="5B07173B"/>
    <w:rsid w:val="5B110B78"/>
    <w:rsid w:val="5B1374B1"/>
    <w:rsid w:val="5B1661ED"/>
    <w:rsid w:val="5B200B71"/>
    <w:rsid w:val="5B2F2DE4"/>
    <w:rsid w:val="5B47501F"/>
    <w:rsid w:val="5B506F99"/>
    <w:rsid w:val="5B586B25"/>
    <w:rsid w:val="5B7230ED"/>
    <w:rsid w:val="5B771706"/>
    <w:rsid w:val="5B807034"/>
    <w:rsid w:val="5B8153FB"/>
    <w:rsid w:val="5BA73EE2"/>
    <w:rsid w:val="5BA9593B"/>
    <w:rsid w:val="5BB7666F"/>
    <w:rsid w:val="5BBB0088"/>
    <w:rsid w:val="5BC333BC"/>
    <w:rsid w:val="5BC60DEC"/>
    <w:rsid w:val="5BC616E3"/>
    <w:rsid w:val="5BD73A7F"/>
    <w:rsid w:val="5BED6F4A"/>
    <w:rsid w:val="5C045C36"/>
    <w:rsid w:val="5C074CC3"/>
    <w:rsid w:val="5C362E9D"/>
    <w:rsid w:val="5C457203"/>
    <w:rsid w:val="5C49705F"/>
    <w:rsid w:val="5C4A1567"/>
    <w:rsid w:val="5C505487"/>
    <w:rsid w:val="5C533B03"/>
    <w:rsid w:val="5C5C2DB9"/>
    <w:rsid w:val="5C640C8A"/>
    <w:rsid w:val="5C78087D"/>
    <w:rsid w:val="5C7A1980"/>
    <w:rsid w:val="5C8A59C8"/>
    <w:rsid w:val="5CAF25EF"/>
    <w:rsid w:val="5CB35BC5"/>
    <w:rsid w:val="5CC14995"/>
    <w:rsid w:val="5CC43A65"/>
    <w:rsid w:val="5CCA507C"/>
    <w:rsid w:val="5CD3738E"/>
    <w:rsid w:val="5CDF4A83"/>
    <w:rsid w:val="5CE13344"/>
    <w:rsid w:val="5D2C3E5A"/>
    <w:rsid w:val="5D5A4CE6"/>
    <w:rsid w:val="5DC47B64"/>
    <w:rsid w:val="5DDE50FB"/>
    <w:rsid w:val="5DE128B7"/>
    <w:rsid w:val="5DE73600"/>
    <w:rsid w:val="5DEA527B"/>
    <w:rsid w:val="5DF54A43"/>
    <w:rsid w:val="5E052968"/>
    <w:rsid w:val="5E0D5F92"/>
    <w:rsid w:val="5E217268"/>
    <w:rsid w:val="5E3D5F7C"/>
    <w:rsid w:val="5E5A1110"/>
    <w:rsid w:val="5E616F2D"/>
    <w:rsid w:val="5E6E7A01"/>
    <w:rsid w:val="5E710639"/>
    <w:rsid w:val="5EA03A56"/>
    <w:rsid w:val="5EA17018"/>
    <w:rsid w:val="5EAB2037"/>
    <w:rsid w:val="5EB71C9C"/>
    <w:rsid w:val="5EBD5A8C"/>
    <w:rsid w:val="5ED82EFF"/>
    <w:rsid w:val="5EDF277D"/>
    <w:rsid w:val="5EE04748"/>
    <w:rsid w:val="5F026C79"/>
    <w:rsid w:val="5F086F8E"/>
    <w:rsid w:val="5F10472F"/>
    <w:rsid w:val="5F132FD3"/>
    <w:rsid w:val="5F1753EF"/>
    <w:rsid w:val="5F2C5CBB"/>
    <w:rsid w:val="5F2E2C7D"/>
    <w:rsid w:val="5F3A7040"/>
    <w:rsid w:val="5F486C7F"/>
    <w:rsid w:val="5F490292"/>
    <w:rsid w:val="5F563661"/>
    <w:rsid w:val="5F7A5459"/>
    <w:rsid w:val="5F855458"/>
    <w:rsid w:val="5F8930B2"/>
    <w:rsid w:val="5F9F5B1D"/>
    <w:rsid w:val="5FA9475C"/>
    <w:rsid w:val="5FB764CF"/>
    <w:rsid w:val="5FBC3CFE"/>
    <w:rsid w:val="5FC55060"/>
    <w:rsid w:val="5FC81B85"/>
    <w:rsid w:val="5FCD6D01"/>
    <w:rsid w:val="5FE72417"/>
    <w:rsid w:val="5FE737C0"/>
    <w:rsid w:val="600F2B39"/>
    <w:rsid w:val="601F751B"/>
    <w:rsid w:val="60273FDE"/>
    <w:rsid w:val="60376CFC"/>
    <w:rsid w:val="60472C3A"/>
    <w:rsid w:val="607140D0"/>
    <w:rsid w:val="607D34DA"/>
    <w:rsid w:val="60852CCE"/>
    <w:rsid w:val="60866FC5"/>
    <w:rsid w:val="60880163"/>
    <w:rsid w:val="6088786F"/>
    <w:rsid w:val="608973B8"/>
    <w:rsid w:val="60A3490B"/>
    <w:rsid w:val="60A65036"/>
    <w:rsid w:val="60D3357A"/>
    <w:rsid w:val="60DE464C"/>
    <w:rsid w:val="60E03EFA"/>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1EB219C"/>
    <w:rsid w:val="61F21F33"/>
    <w:rsid w:val="6237573F"/>
    <w:rsid w:val="62405210"/>
    <w:rsid w:val="624D1200"/>
    <w:rsid w:val="624F517C"/>
    <w:rsid w:val="62532BE3"/>
    <w:rsid w:val="625B6E07"/>
    <w:rsid w:val="62843B1F"/>
    <w:rsid w:val="629532C2"/>
    <w:rsid w:val="62A849E9"/>
    <w:rsid w:val="62C96C1C"/>
    <w:rsid w:val="62E26E6C"/>
    <w:rsid w:val="62E316D0"/>
    <w:rsid w:val="63000919"/>
    <w:rsid w:val="631708CE"/>
    <w:rsid w:val="631E09AF"/>
    <w:rsid w:val="63210676"/>
    <w:rsid w:val="632424C1"/>
    <w:rsid w:val="632457CD"/>
    <w:rsid w:val="634C3F40"/>
    <w:rsid w:val="634F395F"/>
    <w:rsid w:val="635C1D50"/>
    <w:rsid w:val="63613007"/>
    <w:rsid w:val="6362619B"/>
    <w:rsid w:val="63703AED"/>
    <w:rsid w:val="63862258"/>
    <w:rsid w:val="639075E2"/>
    <w:rsid w:val="63957971"/>
    <w:rsid w:val="63A669C9"/>
    <w:rsid w:val="63CB179D"/>
    <w:rsid w:val="63D157DD"/>
    <w:rsid w:val="63E93CBF"/>
    <w:rsid w:val="63F320A2"/>
    <w:rsid w:val="63F61AD4"/>
    <w:rsid w:val="63FF6C76"/>
    <w:rsid w:val="64004618"/>
    <w:rsid w:val="64026086"/>
    <w:rsid w:val="64073EDA"/>
    <w:rsid w:val="640D111D"/>
    <w:rsid w:val="64156BCB"/>
    <w:rsid w:val="641854A2"/>
    <w:rsid w:val="64284D06"/>
    <w:rsid w:val="64402B34"/>
    <w:rsid w:val="64532BB0"/>
    <w:rsid w:val="646A467D"/>
    <w:rsid w:val="646D2223"/>
    <w:rsid w:val="647D193B"/>
    <w:rsid w:val="647F5CA1"/>
    <w:rsid w:val="6486038C"/>
    <w:rsid w:val="649F0473"/>
    <w:rsid w:val="64A65BB3"/>
    <w:rsid w:val="64C62351"/>
    <w:rsid w:val="64D64573"/>
    <w:rsid w:val="64D869FA"/>
    <w:rsid w:val="64D947CF"/>
    <w:rsid w:val="65020B1F"/>
    <w:rsid w:val="650414B6"/>
    <w:rsid w:val="65130F31"/>
    <w:rsid w:val="651E2EA8"/>
    <w:rsid w:val="65214347"/>
    <w:rsid w:val="65260478"/>
    <w:rsid w:val="653F637B"/>
    <w:rsid w:val="65792C9B"/>
    <w:rsid w:val="658A0863"/>
    <w:rsid w:val="658E643A"/>
    <w:rsid w:val="6590782D"/>
    <w:rsid w:val="659E2325"/>
    <w:rsid w:val="65A03D06"/>
    <w:rsid w:val="65A229CA"/>
    <w:rsid w:val="65B323F3"/>
    <w:rsid w:val="65B40A60"/>
    <w:rsid w:val="65CF78AC"/>
    <w:rsid w:val="65E01DC6"/>
    <w:rsid w:val="65E31996"/>
    <w:rsid w:val="65E6308E"/>
    <w:rsid w:val="65EE2CF5"/>
    <w:rsid w:val="660D6812"/>
    <w:rsid w:val="660F2269"/>
    <w:rsid w:val="66196C36"/>
    <w:rsid w:val="663F32AC"/>
    <w:rsid w:val="66633582"/>
    <w:rsid w:val="66651BDC"/>
    <w:rsid w:val="666D0DF2"/>
    <w:rsid w:val="66744D9F"/>
    <w:rsid w:val="667D0668"/>
    <w:rsid w:val="66817815"/>
    <w:rsid w:val="66832E6F"/>
    <w:rsid w:val="669A088D"/>
    <w:rsid w:val="669C5E53"/>
    <w:rsid w:val="669E4A4E"/>
    <w:rsid w:val="66B05B18"/>
    <w:rsid w:val="66C43DC9"/>
    <w:rsid w:val="66D400FB"/>
    <w:rsid w:val="66D570E2"/>
    <w:rsid w:val="66E02C5B"/>
    <w:rsid w:val="66F425CE"/>
    <w:rsid w:val="66FA7FAF"/>
    <w:rsid w:val="670A28A8"/>
    <w:rsid w:val="670A76B6"/>
    <w:rsid w:val="671110C2"/>
    <w:rsid w:val="671A3B7C"/>
    <w:rsid w:val="671A5EC6"/>
    <w:rsid w:val="672B7CC7"/>
    <w:rsid w:val="67414388"/>
    <w:rsid w:val="675024EE"/>
    <w:rsid w:val="6758406F"/>
    <w:rsid w:val="67591A5A"/>
    <w:rsid w:val="676A667F"/>
    <w:rsid w:val="67977CD1"/>
    <w:rsid w:val="67B93427"/>
    <w:rsid w:val="67BC2E40"/>
    <w:rsid w:val="67D806ED"/>
    <w:rsid w:val="67DA1E3B"/>
    <w:rsid w:val="67DD1918"/>
    <w:rsid w:val="67E91C4C"/>
    <w:rsid w:val="67E944A6"/>
    <w:rsid w:val="67F6367D"/>
    <w:rsid w:val="68311E62"/>
    <w:rsid w:val="687703E8"/>
    <w:rsid w:val="68811A62"/>
    <w:rsid w:val="688C27B2"/>
    <w:rsid w:val="68934D5C"/>
    <w:rsid w:val="689748C0"/>
    <w:rsid w:val="68975E67"/>
    <w:rsid w:val="689B3943"/>
    <w:rsid w:val="68A4441D"/>
    <w:rsid w:val="68A92BBB"/>
    <w:rsid w:val="68AA3189"/>
    <w:rsid w:val="68B06589"/>
    <w:rsid w:val="68B87AA8"/>
    <w:rsid w:val="68C4047A"/>
    <w:rsid w:val="68CE79E9"/>
    <w:rsid w:val="68CF5FBA"/>
    <w:rsid w:val="68E032BE"/>
    <w:rsid w:val="68E84832"/>
    <w:rsid w:val="68EF4322"/>
    <w:rsid w:val="68F6064D"/>
    <w:rsid w:val="68FA155B"/>
    <w:rsid w:val="690B782E"/>
    <w:rsid w:val="69381330"/>
    <w:rsid w:val="693B5849"/>
    <w:rsid w:val="69476849"/>
    <w:rsid w:val="694A6159"/>
    <w:rsid w:val="694C06A9"/>
    <w:rsid w:val="69611532"/>
    <w:rsid w:val="697D5A91"/>
    <w:rsid w:val="6999071C"/>
    <w:rsid w:val="69AE1E1C"/>
    <w:rsid w:val="69BF39B8"/>
    <w:rsid w:val="69C33F35"/>
    <w:rsid w:val="69C52D46"/>
    <w:rsid w:val="69C93673"/>
    <w:rsid w:val="69CD7DC8"/>
    <w:rsid w:val="69EF3AA6"/>
    <w:rsid w:val="69FD3BAD"/>
    <w:rsid w:val="6A007B99"/>
    <w:rsid w:val="6A152E7C"/>
    <w:rsid w:val="6A252E23"/>
    <w:rsid w:val="6A283947"/>
    <w:rsid w:val="6A2B7A6E"/>
    <w:rsid w:val="6A4609B2"/>
    <w:rsid w:val="6A516637"/>
    <w:rsid w:val="6A534F45"/>
    <w:rsid w:val="6A6125E1"/>
    <w:rsid w:val="6A645A26"/>
    <w:rsid w:val="6A655D02"/>
    <w:rsid w:val="6A6F2A4D"/>
    <w:rsid w:val="6A910026"/>
    <w:rsid w:val="6A9A4C08"/>
    <w:rsid w:val="6A9F07BD"/>
    <w:rsid w:val="6AA1438C"/>
    <w:rsid w:val="6AA33636"/>
    <w:rsid w:val="6AA9148D"/>
    <w:rsid w:val="6ADA058D"/>
    <w:rsid w:val="6ADB53D5"/>
    <w:rsid w:val="6AF55F2D"/>
    <w:rsid w:val="6AF620F3"/>
    <w:rsid w:val="6B210699"/>
    <w:rsid w:val="6B305200"/>
    <w:rsid w:val="6B5B3E77"/>
    <w:rsid w:val="6B63682C"/>
    <w:rsid w:val="6B7278F9"/>
    <w:rsid w:val="6B76781E"/>
    <w:rsid w:val="6B806B86"/>
    <w:rsid w:val="6B912284"/>
    <w:rsid w:val="6B9504F2"/>
    <w:rsid w:val="6BA023E9"/>
    <w:rsid w:val="6BA45F22"/>
    <w:rsid w:val="6BAF11DE"/>
    <w:rsid w:val="6BB248AE"/>
    <w:rsid w:val="6BC03BE4"/>
    <w:rsid w:val="6C0333AB"/>
    <w:rsid w:val="6C0F32DC"/>
    <w:rsid w:val="6C122F2C"/>
    <w:rsid w:val="6C1848DF"/>
    <w:rsid w:val="6C1D2F9F"/>
    <w:rsid w:val="6C206F72"/>
    <w:rsid w:val="6C2C6A38"/>
    <w:rsid w:val="6C3810A1"/>
    <w:rsid w:val="6C3A5834"/>
    <w:rsid w:val="6C4E22D9"/>
    <w:rsid w:val="6C530186"/>
    <w:rsid w:val="6C545E29"/>
    <w:rsid w:val="6C570C04"/>
    <w:rsid w:val="6C5A228B"/>
    <w:rsid w:val="6C5D23B9"/>
    <w:rsid w:val="6C7A54AF"/>
    <w:rsid w:val="6C8576CF"/>
    <w:rsid w:val="6C906DBE"/>
    <w:rsid w:val="6C940191"/>
    <w:rsid w:val="6C945EC1"/>
    <w:rsid w:val="6C9B5343"/>
    <w:rsid w:val="6C9C771D"/>
    <w:rsid w:val="6CA80F7D"/>
    <w:rsid w:val="6CAE4DC9"/>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885DEA"/>
    <w:rsid w:val="6DA7006F"/>
    <w:rsid w:val="6DAC4AC0"/>
    <w:rsid w:val="6DBE2D94"/>
    <w:rsid w:val="6DCC42B3"/>
    <w:rsid w:val="6DEB30B5"/>
    <w:rsid w:val="6DF96AE0"/>
    <w:rsid w:val="6DFB2674"/>
    <w:rsid w:val="6E094A2E"/>
    <w:rsid w:val="6E0E6F67"/>
    <w:rsid w:val="6E103324"/>
    <w:rsid w:val="6E1B1D04"/>
    <w:rsid w:val="6E4F65C4"/>
    <w:rsid w:val="6E753AFC"/>
    <w:rsid w:val="6E780D25"/>
    <w:rsid w:val="6E8D5AE2"/>
    <w:rsid w:val="6E8D6F92"/>
    <w:rsid w:val="6EB4252C"/>
    <w:rsid w:val="6EB85FF9"/>
    <w:rsid w:val="6EC7506B"/>
    <w:rsid w:val="6ECC79E0"/>
    <w:rsid w:val="6ECD3F4B"/>
    <w:rsid w:val="6EE11FA9"/>
    <w:rsid w:val="6EFC3D84"/>
    <w:rsid w:val="6EFC62C8"/>
    <w:rsid w:val="6F2171A4"/>
    <w:rsid w:val="6F5372B3"/>
    <w:rsid w:val="6F541627"/>
    <w:rsid w:val="6F547652"/>
    <w:rsid w:val="6F610BEC"/>
    <w:rsid w:val="6F6A6988"/>
    <w:rsid w:val="6F79580D"/>
    <w:rsid w:val="6F7D12F4"/>
    <w:rsid w:val="6F9375EA"/>
    <w:rsid w:val="6F9F5811"/>
    <w:rsid w:val="6FAE0351"/>
    <w:rsid w:val="6FB369C1"/>
    <w:rsid w:val="6FC54716"/>
    <w:rsid w:val="6FC55C8A"/>
    <w:rsid w:val="6FC707AD"/>
    <w:rsid w:val="6FCA41E1"/>
    <w:rsid w:val="6FCF6A53"/>
    <w:rsid w:val="6FD33F3E"/>
    <w:rsid w:val="6FD44871"/>
    <w:rsid w:val="6FD96315"/>
    <w:rsid w:val="6FDE0649"/>
    <w:rsid w:val="6FE517B6"/>
    <w:rsid w:val="6FE775AA"/>
    <w:rsid w:val="6FEA0BD4"/>
    <w:rsid w:val="6FFA1C6B"/>
    <w:rsid w:val="6FFA5B14"/>
    <w:rsid w:val="70201662"/>
    <w:rsid w:val="7024187D"/>
    <w:rsid w:val="70257AF8"/>
    <w:rsid w:val="7043389A"/>
    <w:rsid w:val="70503F25"/>
    <w:rsid w:val="70513947"/>
    <w:rsid w:val="70526725"/>
    <w:rsid w:val="705A4DB3"/>
    <w:rsid w:val="705E7338"/>
    <w:rsid w:val="707E3635"/>
    <w:rsid w:val="70870E3F"/>
    <w:rsid w:val="709B29A8"/>
    <w:rsid w:val="70B54D0D"/>
    <w:rsid w:val="70C81BA2"/>
    <w:rsid w:val="70CE1D3A"/>
    <w:rsid w:val="70D728AB"/>
    <w:rsid w:val="70E04AB7"/>
    <w:rsid w:val="70E752F8"/>
    <w:rsid w:val="70EE5669"/>
    <w:rsid w:val="70F00542"/>
    <w:rsid w:val="71054859"/>
    <w:rsid w:val="71084A5A"/>
    <w:rsid w:val="710B3E50"/>
    <w:rsid w:val="71234CD4"/>
    <w:rsid w:val="712D5E72"/>
    <w:rsid w:val="7135050C"/>
    <w:rsid w:val="71383FA3"/>
    <w:rsid w:val="71434BED"/>
    <w:rsid w:val="714D544E"/>
    <w:rsid w:val="71560B60"/>
    <w:rsid w:val="71641E43"/>
    <w:rsid w:val="716E5C58"/>
    <w:rsid w:val="71923A1E"/>
    <w:rsid w:val="71954DDE"/>
    <w:rsid w:val="71A70273"/>
    <w:rsid w:val="71C30463"/>
    <w:rsid w:val="71C84B93"/>
    <w:rsid w:val="71CE363D"/>
    <w:rsid w:val="71E43ADE"/>
    <w:rsid w:val="71F42EB8"/>
    <w:rsid w:val="72143096"/>
    <w:rsid w:val="72214459"/>
    <w:rsid w:val="7225217C"/>
    <w:rsid w:val="722F0E5C"/>
    <w:rsid w:val="72394D2A"/>
    <w:rsid w:val="723B780F"/>
    <w:rsid w:val="724405BD"/>
    <w:rsid w:val="72474748"/>
    <w:rsid w:val="724A3704"/>
    <w:rsid w:val="72606560"/>
    <w:rsid w:val="72746531"/>
    <w:rsid w:val="7279326C"/>
    <w:rsid w:val="727B0E73"/>
    <w:rsid w:val="729D67D7"/>
    <w:rsid w:val="72B7269E"/>
    <w:rsid w:val="72B83871"/>
    <w:rsid w:val="72BF3070"/>
    <w:rsid w:val="72C82FDE"/>
    <w:rsid w:val="72CE136A"/>
    <w:rsid w:val="72DD1671"/>
    <w:rsid w:val="72E56B49"/>
    <w:rsid w:val="72EB6154"/>
    <w:rsid w:val="72F558F2"/>
    <w:rsid w:val="7312119F"/>
    <w:rsid w:val="731877F4"/>
    <w:rsid w:val="73266077"/>
    <w:rsid w:val="732B21AE"/>
    <w:rsid w:val="73310AF2"/>
    <w:rsid w:val="733A2A9A"/>
    <w:rsid w:val="73524BC5"/>
    <w:rsid w:val="735C766E"/>
    <w:rsid w:val="7365769A"/>
    <w:rsid w:val="73673828"/>
    <w:rsid w:val="73744DDF"/>
    <w:rsid w:val="73846D0E"/>
    <w:rsid w:val="739E4751"/>
    <w:rsid w:val="73B115E6"/>
    <w:rsid w:val="73B41ED9"/>
    <w:rsid w:val="73B45B4B"/>
    <w:rsid w:val="73C62D23"/>
    <w:rsid w:val="73D420DC"/>
    <w:rsid w:val="73DB329B"/>
    <w:rsid w:val="73DF1BA8"/>
    <w:rsid w:val="74003491"/>
    <w:rsid w:val="740560C0"/>
    <w:rsid w:val="74101B27"/>
    <w:rsid w:val="74151F10"/>
    <w:rsid w:val="741833DC"/>
    <w:rsid w:val="742841E7"/>
    <w:rsid w:val="742E52CB"/>
    <w:rsid w:val="743F3C36"/>
    <w:rsid w:val="745E364C"/>
    <w:rsid w:val="746E4153"/>
    <w:rsid w:val="74802216"/>
    <w:rsid w:val="7480721E"/>
    <w:rsid w:val="74A1543A"/>
    <w:rsid w:val="74BB39F0"/>
    <w:rsid w:val="74BD5F94"/>
    <w:rsid w:val="74C73C76"/>
    <w:rsid w:val="74CE33F7"/>
    <w:rsid w:val="74D74DC6"/>
    <w:rsid w:val="74E00F35"/>
    <w:rsid w:val="74E31889"/>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3017"/>
    <w:rsid w:val="758C661B"/>
    <w:rsid w:val="75A36394"/>
    <w:rsid w:val="75A54A07"/>
    <w:rsid w:val="75B2513F"/>
    <w:rsid w:val="75C8628B"/>
    <w:rsid w:val="75D4791B"/>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45944"/>
    <w:rsid w:val="76750E1C"/>
    <w:rsid w:val="768874D4"/>
    <w:rsid w:val="7692155B"/>
    <w:rsid w:val="7698649F"/>
    <w:rsid w:val="76A1191A"/>
    <w:rsid w:val="76B471E7"/>
    <w:rsid w:val="76BB0C66"/>
    <w:rsid w:val="76BC1B77"/>
    <w:rsid w:val="76BE141B"/>
    <w:rsid w:val="76CA7A43"/>
    <w:rsid w:val="76DD6660"/>
    <w:rsid w:val="76E617D5"/>
    <w:rsid w:val="77004BC5"/>
    <w:rsid w:val="77055A5F"/>
    <w:rsid w:val="77061CB0"/>
    <w:rsid w:val="77062316"/>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A60FD"/>
    <w:rsid w:val="77A53815"/>
    <w:rsid w:val="77B5380B"/>
    <w:rsid w:val="77B73DB6"/>
    <w:rsid w:val="77BD62BD"/>
    <w:rsid w:val="77C955DF"/>
    <w:rsid w:val="77F5079C"/>
    <w:rsid w:val="780F0E00"/>
    <w:rsid w:val="782013CC"/>
    <w:rsid w:val="782379C5"/>
    <w:rsid w:val="782E0CD5"/>
    <w:rsid w:val="78315774"/>
    <w:rsid w:val="783B3B20"/>
    <w:rsid w:val="783E73D2"/>
    <w:rsid w:val="78484950"/>
    <w:rsid w:val="784A450B"/>
    <w:rsid w:val="784A595B"/>
    <w:rsid w:val="78571C44"/>
    <w:rsid w:val="787D0BB5"/>
    <w:rsid w:val="787D7C16"/>
    <w:rsid w:val="788077FA"/>
    <w:rsid w:val="788B712E"/>
    <w:rsid w:val="788C162B"/>
    <w:rsid w:val="78A556E9"/>
    <w:rsid w:val="78C347BB"/>
    <w:rsid w:val="78C47752"/>
    <w:rsid w:val="78D005D7"/>
    <w:rsid w:val="78EE351E"/>
    <w:rsid w:val="78F07AFC"/>
    <w:rsid w:val="7904602B"/>
    <w:rsid w:val="791647D5"/>
    <w:rsid w:val="791C2D46"/>
    <w:rsid w:val="79243247"/>
    <w:rsid w:val="793769E2"/>
    <w:rsid w:val="79601FFF"/>
    <w:rsid w:val="79671272"/>
    <w:rsid w:val="79697C10"/>
    <w:rsid w:val="797377DF"/>
    <w:rsid w:val="797B4607"/>
    <w:rsid w:val="79890C5D"/>
    <w:rsid w:val="798F5E60"/>
    <w:rsid w:val="79923CB3"/>
    <w:rsid w:val="79994FDB"/>
    <w:rsid w:val="799B49B2"/>
    <w:rsid w:val="79A023C6"/>
    <w:rsid w:val="79A75DED"/>
    <w:rsid w:val="79AF6CF7"/>
    <w:rsid w:val="79B83C71"/>
    <w:rsid w:val="79C71E03"/>
    <w:rsid w:val="79CA2953"/>
    <w:rsid w:val="79D05EA5"/>
    <w:rsid w:val="79D0613E"/>
    <w:rsid w:val="79D53D35"/>
    <w:rsid w:val="79DB3E6D"/>
    <w:rsid w:val="79DB7DBB"/>
    <w:rsid w:val="79E90504"/>
    <w:rsid w:val="7A0D78EC"/>
    <w:rsid w:val="7A171326"/>
    <w:rsid w:val="7A304A14"/>
    <w:rsid w:val="7A36742C"/>
    <w:rsid w:val="7A376FAD"/>
    <w:rsid w:val="7A573061"/>
    <w:rsid w:val="7A686C49"/>
    <w:rsid w:val="7A6903C9"/>
    <w:rsid w:val="7A764A1F"/>
    <w:rsid w:val="7A7E2E80"/>
    <w:rsid w:val="7A8B7131"/>
    <w:rsid w:val="7A900056"/>
    <w:rsid w:val="7A9F0501"/>
    <w:rsid w:val="7AA95841"/>
    <w:rsid w:val="7AAD7780"/>
    <w:rsid w:val="7AC41352"/>
    <w:rsid w:val="7AC70AE9"/>
    <w:rsid w:val="7ACE6C6A"/>
    <w:rsid w:val="7AD92855"/>
    <w:rsid w:val="7AE74A0C"/>
    <w:rsid w:val="7AE9630D"/>
    <w:rsid w:val="7AEA69B5"/>
    <w:rsid w:val="7AEC352E"/>
    <w:rsid w:val="7B204C6C"/>
    <w:rsid w:val="7B2F13E3"/>
    <w:rsid w:val="7B323B12"/>
    <w:rsid w:val="7B3D406D"/>
    <w:rsid w:val="7B542F1C"/>
    <w:rsid w:val="7B595071"/>
    <w:rsid w:val="7B5B2270"/>
    <w:rsid w:val="7B5F2971"/>
    <w:rsid w:val="7B64725E"/>
    <w:rsid w:val="7B6B0056"/>
    <w:rsid w:val="7B844529"/>
    <w:rsid w:val="7B8F5F44"/>
    <w:rsid w:val="7B96610F"/>
    <w:rsid w:val="7B9A5BCF"/>
    <w:rsid w:val="7BAA1965"/>
    <w:rsid w:val="7BC0698C"/>
    <w:rsid w:val="7BEB25BE"/>
    <w:rsid w:val="7BF34248"/>
    <w:rsid w:val="7BFA3A3D"/>
    <w:rsid w:val="7C14022C"/>
    <w:rsid w:val="7C163543"/>
    <w:rsid w:val="7C16489D"/>
    <w:rsid w:val="7C222BB8"/>
    <w:rsid w:val="7C2358FF"/>
    <w:rsid w:val="7C2C7719"/>
    <w:rsid w:val="7C2E17DB"/>
    <w:rsid w:val="7C4A3E4B"/>
    <w:rsid w:val="7C4F6131"/>
    <w:rsid w:val="7C636752"/>
    <w:rsid w:val="7C657B35"/>
    <w:rsid w:val="7C89017F"/>
    <w:rsid w:val="7C9D08C9"/>
    <w:rsid w:val="7CA455DE"/>
    <w:rsid w:val="7CAF47B7"/>
    <w:rsid w:val="7CB86D53"/>
    <w:rsid w:val="7CBA32E5"/>
    <w:rsid w:val="7CBB25B5"/>
    <w:rsid w:val="7CC70CCE"/>
    <w:rsid w:val="7CCA0ED7"/>
    <w:rsid w:val="7CCE69FE"/>
    <w:rsid w:val="7CD072E2"/>
    <w:rsid w:val="7CE1380D"/>
    <w:rsid w:val="7CE60EAF"/>
    <w:rsid w:val="7CED5A0D"/>
    <w:rsid w:val="7D0E77C0"/>
    <w:rsid w:val="7D123CCA"/>
    <w:rsid w:val="7D2427B4"/>
    <w:rsid w:val="7D356E56"/>
    <w:rsid w:val="7D4F0510"/>
    <w:rsid w:val="7D667774"/>
    <w:rsid w:val="7D742FBA"/>
    <w:rsid w:val="7D803E8C"/>
    <w:rsid w:val="7DA85098"/>
    <w:rsid w:val="7DB50378"/>
    <w:rsid w:val="7DB514C6"/>
    <w:rsid w:val="7DB70A93"/>
    <w:rsid w:val="7DDB5C86"/>
    <w:rsid w:val="7DE20D2D"/>
    <w:rsid w:val="7DE340C8"/>
    <w:rsid w:val="7DE77096"/>
    <w:rsid w:val="7DEE545D"/>
    <w:rsid w:val="7DEE75C5"/>
    <w:rsid w:val="7DFA631C"/>
    <w:rsid w:val="7E083B41"/>
    <w:rsid w:val="7E20335F"/>
    <w:rsid w:val="7E321B56"/>
    <w:rsid w:val="7E380FED"/>
    <w:rsid w:val="7E3C0AE6"/>
    <w:rsid w:val="7E3E7829"/>
    <w:rsid w:val="7E4F79AF"/>
    <w:rsid w:val="7E675045"/>
    <w:rsid w:val="7E684851"/>
    <w:rsid w:val="7E7B41D7"/>
    <w:rsid w:val="7E8C2EDF"/>
    <w:rsid w:val="7EB11157"/>
    <w:rsid w:val="7EB53FFA"/>
    <w:rsid w:val="7EBE6507"/>
    <w:rsid w:val="7ECB2E11"/>
    <w:rsid w:val="7ECD1A2A"/>
    <w:rsid w:val="7ED916E7"/>
    <w:rsid w:val="7ED97EFB"/>
    <w:rsid w:val="7EDF2745"/>
    <w:rsid w:val="7EE15BB1"/>
    <w:rsid w:val="7EE443D5"/>
    <w:rsid w:val="7EE45739"/>
    <w:rsid w:val="7EF33C03"/>
    <w:rsid w:val="7EF65A47"/>
    <w:rsid w:val="7EF9195B"/>
    <w:rsid w:val="7F0B0626"/>
    <w:rsid w:val="7F137B09"/>
    <w:rsid w:val="7F142CC8"/>
    <w:rsid w:val="7F146FB9"/>
    <w:rsid w:val="7F201338"/>
    <w:rsid w:val="7F2809A6"/>
    <w:rsid w:val="7F2E3E36"/>
    <w:rsid w:val="7F345520"/>
    <w:rsid w:val="7F4F75A0"/>
    <w:rsid w:val="7F586BD5"/>
    <w:rsid w:val="7F7B0F72"/>
    <w:rsid w:val="7F9E000F"/>
    <w:rsid w:val="7FAE7F5E"/>
    <w:rsid w:val="7FB70AB2"/>
    <w:rsid w:val="7FB7525C"/>
    <w:rsid w:val="7FC7186A"/>
    <w:rsid w:val="7FD94DD9"/>
    <w:rsid w:val="7FDA6CF1"/>
    <w:rsid w:val="7FF4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4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link w:val="52"/>
    <w:qFormat/>
    <w:uiPriority w:val="0"/>
    <w:pPr>
      <w:keepNext/>
      <w:keepLines/>
      <w:spacing w:before="240" w:after="64" w:line="320" w:lineRule="auto"/>
      <w:outlineLvl w:val="5"/>
    </w:pPr>
    <w:rPr>
      <w:rFonts w:ascii="Arial" w:hAnsi="Arial" w:eastAsia="黑体"/>
      <w:b/>
      <w:bCs/>
      <w:sz w:val="24"/>
    </w:rPr>
  </w:style>
  <w:style w:type="character" w:default="1" w:styleId="34">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53"/>
    <w:qFormat/>
    <w:uiPriority w:val="0"/>
    <w:pPr>
      <w:ind w:firstLine="420"/>
    </w:pPr>
    <w:rPr>
      <w:szCs w:val="20"/>
    </w:rPr>
  </w:style>
  <w:style w:type="paragraph" w:styleId="10">
    <w:name w:val="caption"/>
    <w:basedOn w:val="1"/>
    <w:next w:val="1"/>
    <w:qFormat/>
    <w:uiPriority w:val="0"/>
    <w:rPr>
      <w:rFonts w:ascii="Cambria" w:hAnsi="Cambria" w:eastAsia="黑体"/>
      <w:sz w:val="20"/>
      <w:szCs w:val="20"/>
    </w:rPr>
  </w:style>
  <w:style w:type="paragraph" w:styleId="11">
    <w:name w:val="Document Map"/>
    <w:basedOn w:val="1"/>
    <w:link w:val="54"/>
    <w:qFormat/>
    <w:uiPriority w:val="0"/>
    <w:rPr>
      <w:rFonts w:ascii="宋体" w:hAnsi="Tahoma"/>
      <w:sz w:val="18"/>
      <w:szCs w:val="18"/>
    </w:rPr>
  </w:style>
  <w:style w:type="paragraph" w:styleId="12">
    <w:name w:val="annotation text"/>
    <w:basedOn w:val="1"/>
    <w:link w:val="55"/>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w:basedOn w:val="1"/>
    <w:next w:val="1"/>
    <w:link w:val="148"/>
    <w:qFormat/>
    <w:uiPriority w:val="0"/>
    <w:pPr>
      <w:spacing w:line="380" w:lineRule="exact"/>
    </w:pPr>
    <w:rPr>
      <w:sz w:val="24"/>
    </w:rPr>
  </w:style>
  <w:style w:type="paragraph" w:styleId="15">
    <w:name w:val="Body Text Indent"/>
    <w:basedOn w:val="1"/>
    <w:link w:val="56"/>
    <w:qFormat/>
    <w:uiPriority w:val="0"/>
    <w:pPr>
      <w:spacing w:after="120"/>
      <w:ind w:left="420" w:leftChars="200"/>
    </w:pPr>
    <w:rPr>
      <w:rFonts w:ascii="Tahoma" w:hAnsi="Tahoma"/>
    </w:rPr>
  </w:style>
  <w:style w:type="paragraph" w:styleId="16">
    <w:name w:val="toc 3"/>
    <w:basedOn w:val="1"/>
    <w:next w:val="1"/>
    <w:qFormat/>
    <w:uiPriority w:val="39"/>
    <w:pPr>
      <w:ind w:left="840" w:leftChars="400"/>
    </w:pPr>
  </w:style>
  <w:style w:type="paragraph" w:styleId="17">
    <w:name w:val="Plain Text"/>
    <w:basedOn w:val="1"/>
    <w:next w:val="7"/>
    <w:link w:val="57"/>
    <w:qFormat/>
    <w:uiPriority w:val="99"/>
    <w:rPr>
      <w:rFonts w:ascii="宋体" w:hAnsi="Courier New"/>
      <w:szCs w:val="20"/>
    </w:rPr>
  </w:style>
  <w:style w:type="paragraph" w:styleId="18">
    <w:name w:val="Date"/>
    <w:basedOn w:val="1"/>
    <w:next w:val="1"/>
    <w:qFormat/>
    <w:uiPriority w:val="0"/>
    <w:pPr>
      <w:ind w:left="100" w:leftChars="2500"/>
    </w:pPr>
  </w:style>
  <w:style w:type="paragraph" w:styleId="19">
    <w:name w:val="Body Text Indent 2"/>
    <w:basedOn w:val="1"/>
    <w:qFormat/>
    <w:uiPriority w:val="0"/>
    <w:pPr>
      <w:ind w:firstLine="630"/>
    </w:pPr>
    <w:rPr>
      <w:sz w:val="32"/>
      <w:szCs w:val="20"/>
    </w:rPr>
  </w:style>
  <w:style w:type="paragraph" w:styleId="20">
    <w:name w:val="Balloon Text"/>
    <w:basedOn w:val="1"/>
    <w:semiHidden/>
    <w:qFormat/>
    <w:uiPriority w:val="0"/>
    <w:rPr>
      <w:sz w:val="18"/>
      <w:szCs w:val="18"/>
    </w:rPr>
  </w:style>
  <w:style w:type="paragraph" w:styleId="21">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22">
    <w:name w:val="header"/>
    <w:basedOn w:val="1"/>
    <w:link w:val="59"/>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3">
    <w:name w:val="toc 1"/>
    <w:basedOn w:val="1"/>
    <w:next w:val="1"/>
    <w:qFormat/>
    <w:uiPriority w:val="39"/>
  </w:style>
  <w:style w:type="paragraph" w:styleId="24">
    <w:name w:val="toc 2"/>
    <w:basedOn w:val="1"/>
    <w:next w:val="1"/>
    <w:qFormat/>
    <w:uiPriority w:val="39"/>
    <w:pPr>
      <w:ind w:left="420" w:leftChars="200"/>
    </w:pPr>
  </w:style>
  <w:style w:type="paragraph" w:styleId="25">
    <w:name w:val="toc 9"/>
    <w:basedOn w:val="1"/>
    <w:next w:val="1"/>
    <w:qFormat/>
    <w:uiPriority w:val="39"/>
    <w:pPr>
      <w:ind w:left="1680"/>
      <w:jc w:val="left"/>
    </w:pPr>
    <w:rPr>
      <w:sz w:val="18"/>
      <w:szCs w:val="18"/>
    </w:rPr>
  </w:style>
  <w:style w:type="paragraph" w:styleId="26">
    <w:name w:val="List 4"/>
    <w:basedOn w:val="1"/>
    <w:unhideWhenUsed/>
    <w:qFormat/>
    <w:uiPriority w:val="99"/>
    <w:pPr>
      <w:ind w:left="100" w:leftChars="600" w:hanging="200" w:hangingChars="200"/>
      <w:contextualSpacing/>
    </w:p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10"/>
    <w:pPr>
      <w:spacing w:before="240" w:after="60"/>
      <w:jc w:val="center"/>
      <w:outlineLvl w:val="0"/>
    </w:pPr>
    <w:rPr>
      <w:rFonts w:ascii="等线 Light" w:hAnsi="等线 Light"/>
      <w:b/>
      <w:bCs/>
      <w:sz w:val="32"/>
      <w:szCs w:val="32"/>
    </w:rPr>
  </w:style>
  <w:style w:type="paragraph" w:styleId="29">
    <w:name w:val="annotation subject"/>
    <w:basedOn w:val="12"/>
    <w:next w:val="12"/>
    <w:semiHidden/>
    <w:qFormat/>
    <w:uiPriority w:val="0"/>
    <w:rPr>
      <w:b/>
      <w:bCs/>
    </w:rPr>
  </w:style>
  <w:style w:type="paragraph" w:styleId="30">
    <w:name w:val="Body Text First Indent"/>
    <w:basedOn w:val="14"/>
    <w:qFormat/>
    <w:uiPriority w:val="0"/>
    <w:pPr>
      <w:autoSpaceDE/>
      <w:autoSpaceDN/>
      <w:spacing w:after="120"/>
      <w:ind w:left="0" w:firstLine="420" w:firstLineChars="100"/>
      <w:jc w:val="both"/>
    </w:pPr>
    <w:rPr>
      <w:rFonts w:ascii="Times New Roman" w:hAnsi="Times New Roman" w:cs="Times New Roman"/>
      <w:kern w:val="2"/>
      <w:szCs w:val="24"/>
      <w:lang w:val="en-US" w:bidi="ar-SA"/>
    </w:rPr>
  </w:style>
  <w:style w:type="paragraph" w:styleId="31">
    <w:name w:val="Body Text First Indent 2"/>
    <w:basedOn w:val="15"/>
    <w:link w:val="146"/>
    <w:qFormat/>
    <w:uiPriority w:val="0"/>
    <w:pPr>
      <w:ind w:firstLine="420" w:firstLineChars="200"/>
    </w:pPr>
    <w:rPr>
      <w:rFonts w:ascii="Times New Roman" w:hAnsi="Times New Roma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rFonts w:ascii="Tahoma" w:hAnsi="Tahoma"/>
      <w:b/>
      <w:bCs/>
      <w:sz w:val="24"/>
      <w:szCs w:val="20"/>
    </w:rPr>
  </w:style>
  <w:style w:type="character" w:styleId="36">
    <w:name w:val="page number"/>
    <w:qFormat/>
    <w:uiPriority w:val="0"/>
  </w:style>
  <w:style w:type="character" w:styleId="37">
    <w:name w:val="FollowedHyperlink"/>
    <w:unhideWhenUsed/>
    <w:qFormat/>
    <w:uiPriority w:val="99"/>
    <w:rPr>
      <w:color w:val="954F72"/>
      <w:u w:val="single"/>
    </w:rPr>
  </w:style>
  <w:style w:type="character" w:styleId="38">
    <w:name w:val="Emphasis"/>
    <w:qFormat/>
    <w:uiPriority w:val="0"/>
  </w:style>
  <w:style w:type="character" w:styleId="39">
    <w:name w:val="HTML Definition"/>
    <w:qFormat/>
    <w:uiPriority w:val="0"/>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style>
  <w:style w:type="character" w:styleId="42">
    <w:name w:val="HTML Variable"/>
    <w:qFormat/>
    <w:uiPriority w:val="0"/>
    <w:rPr>
      <w:rFonts w:ascii="Tahoma" w:hAnsi="Tahoma"/>
      <w:sz w:val="24"/>
      <w:szCs w:val="20"/>
    </w:rPr>
  </w:style>
  <w:style w:type="character" w:styleId="43">
    <w:name w:val="Hyperlink"/>
    <w:qFormat/>
    <w:uiPriority w:val="99"/>
    <w:rPr>
      <w:rFonts w:ascii="Tahoma" w:hAnsi="Tahoma"/>
      <w:color w:val="0000FF"/>
      <w:sz w:val="24"/>
      <w:szCs w:val="20"/>
      <w:u w:val="single"/>
    </w:rPr>
  </w:style>
  <w:style w:type="character" w:styleId="44">
    <w:name w:val="HTML Code"/>
    <w:qFormat/>
    <w:uiPriority w:val="0"/>
    <w:rPr>
      <w:rFonts w:ascii="monospace" w:hAnsi="monospace" w:eastAsia="monospace" w:cs="monospace"/>
      <w:sz w:val="20"/>
    </w:rPr>
  </w:style>
  <w:style w:type="character" w:styleId="45">
    <w:name w:val="annotation reference"/>
    <w:semiHidden/>
    <w:qFormat/>
    <w:uiPriority w:val="0"/>
    <w:rPr>
      <w:rFonts w:ascii="Tahoma" w:hAnsi="Tahoma"/>
      <w:sz w:val="21"/>
      <w:szCs w:val="21"/>
    </w:rPr>
  </w:style>
  <w:style w:type="character" w:styleId="46">
    <w:name w:val="HTML Cite"/>
    <w:qFormat/>
    <w:uiPriority w:val="0"/>
  </w:style>
  <w:style w:type="character" w:styleId="47">
    <w:name w:val="HTML Keyboard"/>
    <w:qFormat/>
    <w:uiPriority w:val="0"/>
    <w:rPr>
      <w:rFonts w:hint="default"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paragraph" w:customStyle="1" w:styleId="4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0">
    <w:name w:val="标题 1 Char"/>
    <w:link w:val="2"/>
    <w:qFormat/>
    <w:uiPriority w:val="0"/>
    <w:rPr>
      <w:rFonts w:ascii="Tahoma" w:hAnsi="Tahoma"/>
      <w:b/>
      <w:bCs/>
      <w:kern w:val="44"/>
      <w:sz w:val="44"/>
      <w:szCs w:val="44"/>
    </w:rPr>
  </w:style>
  <w:style w:type="character" w:customStyle="1" w:styleId="51">
    <w:name w:val="标题 2 Char"/>
    <w:link w:val="3"/>
    <w:semiHidden/>
    <w:qFormat/>
    <w:uiPriority w:val="0"/>
    <w:rPr>
      <w:rFonts w:ascii="Cambria" w:hAnsi="Cambria" w:eastAsia="宋体" w:cs="Times New Roman"/>
      <w:b/>
      <w:bCs/>
      <w:kern w:val="2"/>
      <w:sz w:val="32"/>
      <w:szCs w:val="32"/>
    </w:rPr>
  </w:style>
  <w:style w:type="character" w:customStyle="1" w:styleId="52">
    <w:name w:val="标题 6 Char"/>
    <w:link w:val="6"/>
    <w:qFormat/>
    <w:uiPriority w:val="0"/>
    <w:rPr>
      <w:rFonts w:ascii="Arial" w:hAnsi="Arial" w:eastAsia="黑体"/>
      <w:b/>
      <w:bCs/>
      <w:kern w:val="2"/>
      <w:sz w:val="24"/>
      <w:szCs w:val="24"/>
      <w:lang w:val="en-US" w:eastAsia="zh-CN" w:bidi="ar-SA"/>
    </w:rPr>
  </w:style>
  <w:style w:type="character" w:customStyle="1" w:styleId="53">
    <w:name w:val="正文缩进 Char"/>
    <w:link w:val="9"/>
    <w:qFormat/>
    <w:locked/>
    <w:uiPriority w:val="0"/>
    <w:rPr>
      <w:rFonts w:eastAsia="宋体"/>
      <w:kern w:val="2"/>
      <w:sz w:val="21"/>
      <w:lang w:val="en-US" w:eastAsia="zh-CN" w:bidi="ar-SA"/>
    </w:rPr>
  </w:style>
  <w:style w:type="character" w:customStyle="1" w:styleId="54">
    <w:name w:val="文档结构图 Char"/>
    <w:link w:val="11"/>
    <w:qFormat/>
    <w:uiPriority w:val="0"/>
    <w:rPr>
      <w:rFonts w:ascii="宋体" w:hAnsi="Tahoma"/>
      <w:kern w:val="2"/>
      <w:sz w:val="18"/>
      <w:szCs w:val="18"/>
    </w:rPr>
  </w:style>
  <w:style w:type="character" w:customStyle="1" w:styleId="55">
    <w:name w:val="批注文字 Char1"/>
    <w:link w:val="12"/>
    <w:qFormat/>
    <w:uiPriority w:val="0"/>
    <w:rPr>
      <w:rFonts w:eastAsia="宋体"/>
      <w:kern w:val="2"/>
      <w:sz w:val="21"/>
      <w:szCs w:val="24"/>
      <w:lang w:val="en-US" w:eastAsia="zh-CN" w:bidi="ar-SA"/>
    </w:rPr>
  </w:style>
  <w:style w:type="character" w:customStyle="1" w:styleId="56">
    <w:name w:val="正文文本缩进 Char1"/>
    <w:link w:val="15"/>
    <w:qFormat/>
    <w:uiPriority w:val="0"/>
    <w:rPr>
      <w:rFonts w:ascii="Tahoma" w:hAnsi="Tahoma"/>
      <w:kern w:val="2"/>
      <w:sz w:val="21"/>
      <w:szCs w:val="24"/>
    </w:rPr>
  </w:style>
  <w:style w:type="character" w:customStyle="1" w:styleId="57">
    <w:name w:val="纯文本 Char2"/>
    <w:link w:val="17"/>
    <w:qFormat/>
    <w:uiPriority w:val="0"/>
    <w:rPr>
      <w:rFonts w:ascii="宋体" w:hAnsi="Courier New" w:eastAsia="宋体"/>
      <w:kern w:val="2"/>
      <w:sz w:val="21"/>
      <w:szCs w:val="20"/>
      <w:lang w:val="en-US" w:eastAsia="zh-CN" w:bidi="ar-SA"/>
    </w:rPr>
  </w:style>
  <w:style w:type="character" w:customStyle="1" w:styleId="58">
    <w:name w:val="页脚 Char"/>
    <w:link w:val="21"/>
    <w:qFormat/>
    <w:uiPriority w:val="99"/>
    <w:rPr>
      <w:rFonts w:ascii="Tahoma" w:hAnsi="Tahoma"/>
      <w:kern w:val="2"/>
      <w:sz w:val="18"/>
      <w:szCs w:val="18"/>
    </w:rPr>
  </w:style>
  <w:style w:type="character" w:customStyle="1" w:styleId="59">
    <w:name w:val="页眉 Char"/>
    <w:link w:val="22"/>
    <w:qFormat/>
    <w:uiPriority w:val="99"/>
    <w:rPr>
      <w:rFonts w:ascii="Tahoma" w:hAnsi="Tahoma"/>
      <w:kern w:val="2"/>
      <w:sz w:val="18"/>
      <w:szCs w:val="18"/>
    </w:rPr>
  </w:style>
  <w:style w:type="character" w:customStyle="1" w:styleId="60">
    <w:name w:val="apple-converted-space"/>
    <w:qFormat/>
    <w:uiPriority w:val="0"/>
  </w:style>
  <w:style w:type="character" w:customStyle="1" w:styleId="61">
    <w:name w:val="批注文字 字符"/>
    <w:qFormat/>
    <w:uiPriority w:val="0"/>
    <w:rPr>
      <w:rFonts w:eastAsia="宋体"/>
      <w:kern w:val="2"/>
      <w:sz w:val="21"/>
      <w:szCs w:val="24"/>
      <w:lang w:val="en-US" w:eastAsia="zh-CN" w:bidi="ar-SA"/>
    </w:rPr>
  </w:style>
  <w:style w:type="character" w:customStyle="1" w:styleId="62">
    <w:name w:val="正文缩进 Char1"/>
    <w:qFormat/>
    <w:locked/>
    <w:uiPriority w:val="0"/>
    <w:rPr>
      <w:rFonts w:eastAsia="宋体"/>
      <w:kern w:val="2"/>
      <w:sz w:val="21"/>
      <w:lang w:val="en-US" w:eastAsia="zh-CN" w:bidi="ar-SA"/>
    </w:rPr>
  </w:style>
  <w:style w:type="character" w:customStyle="1" w:styleId="63">
    <w:name w:val="gjfg"/>
    <w:qFormat/>
    <w:uiPriority w:val="0"/>
  </w:style>
  <w:style w:type="character" w:customStyle="1" w:styleId="64">
    <w:name w:val="纯文本 字符3"/>
    <w:qFormat/>
    <w:uiPriority w:val="0"/>
    <w:rPr>
      <w:rFonts w:ascii="宋体" w:hAnsi="Courier New" w:eastAsia="宋体"/>
      <w:kern w:val="2"/>
      <w:sz w:val="21"/>
      <w:szCs w:val="20"/>
      <w:lang w:val="en-US" w:eastAsia="zh-CN" w:bidi="ar-SA"/>
    </w:rPr>
  </w:style>
  <w:style w:type="character" w:customStyle="1" w:styleId="65">
    <w:name w:val="纯文本 Char"/>
    <w:qFormat/>
    <w:uiPriority w:val="99"/>
    <w:rPr>
      <w:rFonts w:ascii="宋体" w:hAnsi="Courier New" w:eastAsia="宋体"/>
    </w:rPr>
  </w:style>
  <w:style w:type="character" w:customStyle="1" w:styleId="66">
    <w:name w:val="main12"/>
    <w:qFormat/>
    <w:uiPriority w:val="0"/>
    <w:rPr>
      <w:rFonts w:ascii="Arial" w:hAnsi="Arial" w:cs="Arial"/>
      <w:color w:val="000000"/>
      <w:sz w:val="18"/>
      <w:szCs w:val="18"/>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正文文本缩进 Char"/>
    <w:qFormat/>
    <w:uiPriority w:val="0"/>
    <w:rPr>
      <w:rFonts w:ascii="Times New Roman" w:hAnsi="Times New Roman" w:eastAsia="宋体" w:cs="Times New Roman"/>
      <w:kern w:val="2"/>
      <w:sz w:val="21"/>
      <w:szCs w:val="24"/>
    </w:rPr>
  </w:style>
  <w:style w:type="character" w:customStyle="1" w:styleId="69">
    <w:name w:val="纯文本 Char4"/>
    <w:qFormat/>
    <w:uiPriority w:val="0"/>
    <w:rPr>
      <w:rFonts w:ascii="宋体" w:hAnsi="Courier New" w:eastAsia="宋体" w:cs="Courier New"/>
      <w:kern w:val="2"/>
      <w:sz w:val="21"/>
      <w:szCs w:val="21"/>
      <w:lang w:val="en-US" w:eastAsia="zh-CN" w:bidi="ar-SA"/>
    </w:rPr>
  </w:style>
  <w:style w:type="character" w:customStyle="1" w:styleId="70">
    <w:name w:val="fontstyle01"/>
    <w:qFormat/>
    <w:uiPriority w:val="0"/>
    <w:rPr>
      <w:rFonts w:hint="eastAsia" w:ascii="宋体" w:hAnsi="宋体" w:eastAsia="宋体"/>
      <w:color w:val="000000"/>
      <w:sz w:val="22"/>
      <w:szCs w:val="22"/>
    </w:rPr>
  </w:style>
  <w:style w:type="character" w:customStyle="1" w:styleId="71">
    <w:name w:val="未处理的提及1"/>
    <w:unhideWhenUsed/>
    <w:qFormat/>
    <w:uiPriority w:val="99"/>
    <w:rPr>
      <w:rFonts w:ascii="Tahoma" w:hAnsi="Tahoma"/>
      <w:color w:val="808080"/>
      <w:sz w:val="24"/>
      <w:szCs w:val="20"/>
      <w:shd w:val="clear" w:color="auto" w:fill="E6E6E6"/>
    </w:rPr>
  </w:style>
  <w:style w:type="character" w:customStyle="1" w:styleId="72">
    <w:name w:val="纯文本 字符2"/>
    <w:qFormat/>
    <w:uiPriority w:val="0"/>
    <w:rPr>
      <w:rFonts w:ascii="宋体" w:hAnsi="Courier New" w:eastAsia="宋体"/>
      <w:kern w:val="2"/>
      <w:sz w:val="21"/>
      <w:lang w:val="en-US" w:eastAsia="zh-CN" w:bidi="ar-SA"/>
    </w:rPr>
  </w:style>
  <w:style w:type="character" w:customStyle="1" w:styleId="73">
    <w:name w:val="纯文本 字符1"/>
    <w:qFormat/>
    <w:uiPriority w:val="0"/>
    <w:rPr>
      <w:rFonts w:ascii="Ђˎ̥" w:hAnsi="Verdana" w:eastAsia="Ђˎ̥" w:cs="Verdana"/>
      <w:szCs w:val="21"/>
    </w:rPr>
  </w:style>
  <w:style w:type="character" w:customStyle="1" w:styleId="74">
    <w:name w:val="页脚 字符"/>
    <w:qFormat/>
    <w:uiPriority w:val="99"/>
  </w:style>
  <w:style w:type="character" w:customStyle="1" w:styleId="75">
    <w:name w:val="标题 Char"/>
    <w:qFormat/>
    <w:uiPriority w:val="10"/>
    <w:rPr>
      <w:rFonts w:ascii="Calibri Light" w:hAnsi="Calibri Light" w:cs="Times New Roman"/>
      <w:b/>
      <w:bCs/>
      <w:kern w:val="2"/>
      <w:sz w:val="32"/>
      <w:szCs w:val="32"/>
    </w:rPr>
  </w:style>
  <w:style w:type="character" w:customStyle="1" w:styleId="76">
    <w:name w:val="批注文字 Char"/>
    <w:qFormat/>
    <w:uiPriority w:val="0"/>
    <w:rPr>
      <w:rFonts w:eastAsia="宋体"/>
      <w:kern w:val="2"/>
      <w:sz w:val="21"/>
      <w:szCs w:val="24"/>
      <w:lang w:val="en-US" w:eastAsia="zh-CN" w:bidi="ar-SA"/>
    </w:rPr>
  </w:style>
  <w:style w:type="character" w:customStyle="1" w:styleId="77">
    <w:name w:val="Char Char10"/>
    <w:qFormat/>
    <w:locked/>
    <w:uiPriority w:val="0"/>
    <w:rPr>
      <w:rFonts w:ascii="宋体" w:hAnsi="宋体" w:eastAsia="宋体"/>
      <w:kern w:val="2"/>
      <w:sz w:val="21"/>
      <w:szCs w:val="24"/>
      <w:lang w:val="en-US" w:eastAsia="zh-CN" w:bidi="ar-SA"/>
    </w:rPr>
  </w:style>
  <w:style w:type="character" w:customStyle="1" w:styleId="78">
    <w:name w:val="批注文字 字符1"/>
    <w:qFormat/>
    <w:uiPriority w:val="0"/>
    <w:rPr>
      <w:rFonts w:eastAsia="宋体"/>
      <w:kern w:val="2"/>
      <w:sz w:val="21"/>
      <w:szCs w:val="24"/>
      <w:lang w:val="en-US" w:eastAsia="zh-CN" w:bidi="ar-SA"/>
    </w:rPr>
  </w:style>
  <w:style w:type="character" w:customStyle="1" w:styleId="79">
    <w:name w:val="font21"/>
    <w:basedOn w:val="34"/>
    <w:qFormat/>
    <w:uiPriority w:val="0"/>
    <w:rPr>
      <w:rFonts w:hint="eastAsia" w:ascii="宋体" w:hAnsi="宋体" w:eastAsia="宋体" w:cs="宋体"/>
      <w:color w:val="000000"/>
      <w:sz w:val="22"/>
      <w:szCs w:val="22"/>
      <w:u w:val="none"/>
    </w:rPr>
  </w:style>
  <w:style w:type="character" w:customStyle="1" w:styleId="80">
    <w:name w:val="redfilefwwh"/>
    <w:qFormat/>
    <w:uiPriority w:val="0"/>
    <w:rPr>
      <w:color w:val="BA2636"/>
      <w:sz w:val="18"/>
      <w:szCs w:val="18"/>
    </w:rPr>
  </w:style>
  <w:style w:type="character" w:customStyle="1" w:styleId="81">
    <w:name w:val="列出段落 Char"/>
    <w:qFormat/>
    <w:locked/>
    <w:uiPriority w:val="34"/>
    <w:rPr>
      <w:rFonts w:ascii="Times New Roman" w:hAnsi="Times New Roman" w:eastAsia="宋体" w:cs="Times New Roman"/>
      <w:kern w:val="0"/>
      <w:sz w:val="24"/>
      <w:szCs w:val="20"/>
    </w:rPr>
  </w:style>
  <w:style w:type="character" w:customStyle="1" w:styleId="82">
    <w:name w:val="Char Char1"/>
    <w:qFormat/>
    <w:uiPriority w:val="0"/>
    <w:rPr>
      <w:rFonts w:eastAsia="宋体"/>
      <w:kern w:val="2"/>
      <w:sz w:val="21"/>
      <w:szCs w:val="24"/>
      <w:lang w:val="en-US" w:eastAsia="zh-CN" w:bidi="ar-SA"/>
    </w:rPr>
  </w:style>
  <w:style w:type="character" w:customStyle="1" w:styleId="83">
    <w:name w:val="无"/>
    <w:qFormat/>
    <w:uiPriority w:val="0"/>
  </w:style>
  <w:style w:type="character" w:customStyle="1" w:styleId="84">
    <w:name w:val="qxdate"/>
    <w:qFormat/>
    <w:uiPriority w:val="0"/>
    <w:rPr>
      <w:color w:val="333333"/>
      <w:sz w:val="18"/>
      <w:szCs w:val="18"/>
    </w:rPr>
  </w:style>
  <w:style w:type="character" w:customStyle="1" w:styleId="85">
    <w:name w:val="纯文本 字符4"/>
    <w:qFormat/>
    <w:uiPriority w:val="0"/>
    <w:rPr>
      <w:rFonts w:ascii="宋体" w:hAnsi="Courier New" w:eastAsia="宋体"/>
      <w:kern w:val="2"/>
      <w:sz w:val="21"/>
      <w:szCs w:val="20"/>
      <w:lang w:val="en-US" w:eastAsia="zh-CN" w:bidi="ar-SA"/>
    </w:rPr>
  </w:style>
  <w:style w:type="character" w:customStyle="1" w:styleId="86">
    <w:name w:val="纯文本 字符"/>
    <w:qFormat/>
    <w:uiPriority w:val="0"/>
    <w:rPr>
      <w:rFonts w:ascii="宋体" w:hAnsi="Courier New" w:eastAsia="宋体" w:cs="Courier New"/>
      <w:szCs w:val="21"/>
    </w:rPr>
  </w:style>
  <w:style w:type="character" w:customStyle="1" w:styleId="87">
    <w:name w:val="cfdate"/>
    <w:qFormat/>
    <w:uiPriority w:val="0"/>
    <w:rPr>
      <w:color w:val="333333"/>
      <w:sz w:val="18"/>
      <w:szCs w:val="18"/>
    </w:rPr>
  </w:style>
  <w:style w:type="character" w:customStyle="1" w:styleId="88">
    <w:name w:val="displayarti"/>
    <w:qFormat/>
    <w:uiPriority w:val="0"/>
    <w:rPr>
      <w:color w:val="FFFFFF"/>
      <w:shd w:val="clear" w:color="auto" w:fill="A00000"/>
    </w:rPr>
  </w:style>
  <w:style w:type="character" w:customStyle="1" w:styleId="89">
    <w:name w:val="普通文字 Char Char5"/>
    <w:qFormat/>
    <w:uiPriority w:val="0"/>
    <w:rPr>
      <w:rFonts w:ascii="宋体" w:hAnsi="Courier New" w:eastAsia="宋体"/>
      <w:szCs w:val="21"/>
      <w:lang w:bidi="ar-SA"/>
    </w:rPr>
  </w:style>
  <w:style w:type="character" w:customStyle="1" w:styleId="90">
    <w:name w:val="font11"/>
    <w:qFormat/>
    <w:uiPriority w:val="0"/>
    <w:rPr>
      <w:rFonts w:hint="default" w:ascii="Times New Roman" w:hAnsi="Times New Roman" w:cs="Times New Roman"/>
      <w:color w:val="000000"/>
      <w:sz w:val="20"/>
      <w:szCs w:val="20"/>
      <w:u w:val="none"/>
    </w:rPr>
  </w:style>
  <w:style w:type="character" w:customStyle="1" w:styleId="91">
    <w:name w:val="纯文本 Char1"/>
    <w:qFormat/>
    <w:uiPriority w:val="0"/>
    <w:rPr>
      <w:rFonts w:ascii="宋体" w:hAnsi="Courier New" w:eastAsia="宋体"/>
      <w:kern w:val="2"/>
      <w:sz w:val="21"/>
      <w:szCs w:val="20"/>
      <w:lang w:val="en-US" w:eastAsia="zh-CN" w:bidi="ar-SA"/>
    </w:rPr>
  </w:style>
  <w:style w:type="character" w:customStyle="1" w:styleId="92">
    <w:name w:val="font61"/>
    <w:qFormat/>
    <w:uiPriority w:val="0"/>
    <w:rPr>
      <w:rFonts w:hint="eastAsia" w:ascii="宋体" w:hAnsi="宋体" w:eastAsia="宋体" w:cs="宋体"/>
      <w:color w:val="000000"/>
      <w:sz w:val="21"/>
      <w:szCs w:val="21"/>
      <w:u w:val="none"/>
    </w:rPr>
  </w:style>
  <w:style w:type="character" w:customStyle="1" w:styleId="93">
    <w:name w:val="列出段落 Char1"/>
    <w:link w:val="94"/>
    <w:qFormat/>
    <w:locked/>
    <w:uiPriority w:val="0"/>
    <w:rPr>
      <w:kern w:val="2"/>
      <w:sz w:val="21"/>
      <w:szCs w:val="24"/>
    </w:rPr>
  </w:style>
  <w:style w:type="paragraph" w:styleId="94">
    <w:name w:val="List Paragraph"/>
    <w:basedOn w:val="1"/>
    <w:link w:val="93"/>
    <w:qFormat/>
    <w:uiPriority w:val="0"/>
    <w:pPr>
      <w:ind w:firstLine="420" w:firstLineChars="200"/>
    </w:pPr>
  </w:style>
  <w:style w:type="character" w:customStyle="1" w:styleId="95">
    <w:name w:val="redfilenumber"/>
    <w:qFormat/>
    <w:uiPriority w:val="0"/>
    <w:rPr>
      <w:color w:val="BA2636"/>
      <w:sz w:val="18"/>
      <w:szCs w:val="18"/>
    </w:rPr>
  </w:style>
  <w:style w:type="paragraph" w:customStyle="1" w:styleId="96">
    <w:name w:val="样式1"/>
    <w:basedOn w:val="1"/>
    <w:qFormat/>
    <w:uiPriority w:val="0"/>
    <w:pPr>
      <w:widowControl/>
      <w:jc w:val="left"/>
    </w:pPr>
    <w:rPr>
      <w:rFonts w:ascii="宋体" w:hAnsi="宋体"/>
      <w:kern w:val="0"/>
      <w:szCs w:val="21"/>
    </w:rPr>
  </w:style>
  <w:style w:type="paragraph" w:customStyle="1" w:styleId="9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8">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0">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0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02">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0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10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7">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11">
    <w:name w:val="1"/>
    <w:basedOn w:val="1"/>
    <w:next w:val="17"/>
    <w:qFormat/>
    <w:uiPriority w:val="0"/>
    <w:rPr>
      <w:rFonts w:ascii="宋体" w:hAnsi="Courier New"/>
      <w:szCs w:val="20"/>
    </w:rPr>
  </w:style>
  <w:style w:type="paragraph" w:customStyle="1" w:styleId="112">
    <w:name w:val="Char Char8"/>
    <w:basedOn w:val="1"/>
    <w:qFormat/>
    <w:uiPriority w:val="0"/>
    <w:rPr>
      <w:rFonts w:ascii="Tahoma" w:hAnsi="Tahoma" w:eastAsia="Times New Roman"/>
      <w:kern w:val="0"/>
      <w:sz w:val="24"/>
      <w:szCs w:val="20"/>
    </w:rPr>
  </w:style>
  <w:style w:type="paragraph" w:customStyle="1" w:styleId="11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15">
    <w:name w:val="p17"/>
    <w:basedOn w:val="1"/>
    <w:qFormat/>
    <w:uiPriority w:val="0"/>
    <w:pPr>
      <w:widowControl/>
    </w:pPr>
    <w:rPr>
      <w:rFonts w:ascii="宋体" w:hAnsi="宋体" w:cs="宋体"/>
      <w:kern w:val="0"/>
      <w:szCs w:val="21"/>
    </w:rPr>
  </w:style>
  <w:style w:type="paragraph" w:customStyle="1" w:styleId="11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8">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9">
    <w:name w:val="Char Char2 Char Char"/>
    <w:basedOn w:val="1"/>
    <w:qFormat/>
    <w:uiPriority w:val="0"/>
    <w:rPr>
      <w:rFonts w:ascii="Tahoma" w:hAnsi="Tahoma"/>
      <w:sz w:val="24"/>
      <w:szCs w:val="20"/>
    </w:rPr>
  </w:style>
  <w:style w:type="paragraph" w:customStyle="1" w:styleId="120">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2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2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27">
    <w:name w:val="Body text|3"/>
    <w:basedOn w:val="1"/>
    <w:qFormat/>
    <w:uiPriority w:val="0"/>
    <w:pPr>
      <w:spacing w:after="460"/>
      <w:jc w:val="center"/>
    </w:pPr>
    <w:rPr>
      <w:rFonts w:ascii="宋体" w:hAnsi="宋体" w:cs="宋体"/>
      <w:kern w:val="0"/>
      <w:sz w:val="34"/>
      <w:szCs w:val="34"/>
    </w:rPr>
  </w:style>
  <w:style w:type="paragraph" w:customStyle="1" w:styleId="128">
    <w:name w:val="CM14"/>
    <w:basedOn w:val="49"/>
    <w:next w:val="49"/>
    <w:qFormat/>
    <w:uiPriority w:val="0"/>
    <w:pPr>
      <w:spacing w:line="468" w:lineRule="atLeast"/>
    </w:pPr>
    <w:rPr>
      <w:rFonts w:ascii="Sim Sun" w:eastAsia="Sim Sun" w:cs="Times New Roman"/>
      <w:color w:val="auto"/>
    </w:rPr>
  </w:style>
  <w:style w:type="paragraph" w:customStyle="1" w:styleId="129">
    <w:name w:val="普通(网站)1"/>
    <w:basedOn w:val="1"/>
    <w:qFormat/>
    <w:uiPriority w:val="0"/>
    <w:pPr>
      <w:jc w:val="left"/>
    </w:pPr>
    <w:rPr>
      <w:kern w:val="0"/>
      <w:sz w:val="24"/>
    </w:rPr>
  </w:style>
  <w:style w:type="paragraph" w:customStyle="1" w:styleId="130">
    <w:name w:val="CM15"/>
    <w:basedOn w:val="49"/>
    <w:next w:val="49"/>
    <w:qFormat/>
    <w:uiPriority w:val="0"/>
    <w:pPr>
      <w:spacing w:line="468" w:lineRule="atLeast"/>
    </w:pPr>
    <w:rPr>
      <w:rFonts w:ascii="Sim Sun" w:eastAsia="Sim Sun" w:cs="Times New Roman"/>
      <w:color w:val="auto"/>
    </w:rPr>
  </w:style>
  <w:style w:type="paragraph" w:customStyle="1" w:styleId="131">
    <w:name w:val="列出段落1"/>
    <w:basedOn w:val="1"/>
    <w:qFormat/>
    <w:uiPriority w:val="0"/>
    <w:pPr>
      <w:ind w:firstLine="420" w:firstLineChars="200"/>
    </w:pPr>
    <w:rPr>
      <w:rFonts w:ascii="仿宋_GB2312" w:eastAsia="仿宋_GB2312"/>
      <w:sz w:val="32"/>
    </w:rPr>
  </w:style>
  <w:style w:type="paragraph" w:customStyle="1" w:styleId="132">
    <w:name w:val="Table Paragraph"/>
    <w:basedOn w:val="1"/>
    <w:qFormat/>
    <w:uiPriority w:val="1"/>
  </w:style>
  <w:style w:type="paragraph" w:customStyle="1" w:styleId="133">
    <w:name w:val="首行缩进"/>
    <w:basedOn w:val="1"/>
    <w:qFormat/>
    <w:uiPriority w:val="0"/>
    <w:pPr>
      <w:ind w:firstLine="480" w:firstLineChars="200"/>
    </w:pPr>
  </w:style>
  <w:style w:type="paragraph" w:customStyle="1" w:styleId="13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35">
    <w:name w:val="p0"/>
    <w:basedOn w:val="1"/>
    <w:qFormat/>
    <w:uiPriority w:val="0"/>
    <w:pPr>
      <w:widowControl/>
    </w:pPr>
    <w:rPr>
      <w:kern w:val="0"/>
      <w:szCs w:val="20"/>
    </w:rPr>
  </w:style>
  <w:style w:type="paragraph" w:customStyle="1" w:styleId="13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Body text|1"/>
    <w:basedOn w:val="1"/>
    <w:qFormat/>
    <w:uiPriority w:val="0"/>
    <w:pPr>
      <w:spacing w:line="350" w:lineRule="auto"/>
      <w:ind w:firstLine="400"/>
      <w:jc w:val="left"/>
    </w:pPr>
    <w:rPr>
      <w:rFonts w:ascii="宋体" w:hAnsi="宋体" w:cs="宋体"/>
      <w:kern w:val="0"/>
      <w:sz w:val="30"/>
      <w:szCs w:val="30"/>
    </w:rPr>
  </w:style>
  <w:style w:type="paragraph" w:customStyle="1" w:styleId="14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4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3">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4">
    <w:name w:val="_Style 36"/>
    <w:basedOn w:val="1"/>
    <w:qFormat/>
    <w:uiPriority w:val="0"/>
    <w:rPr>
      <w:rFonts w:ascii="Tahoma" w:hAnsi="Tahoma"/>
      <w:sz w:val="24"/>
      <w:szCs w:val="20"/>
    </w:rPr>
  </w:style>
  <w:style w:type="paragraph" w:customStyle="1" w:styleId="145">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character" w:customStyle="1" w:styleId="146">
    <w:name w:val="正文首行缩进 2 Char"/>
    <w:basedOn w:val="56"/>
    <w:link w:val="31"/>
    <w:qFormat/>
    <w:uiPriority w:val="0"/>
  </w:style>
  <w:style w:type="character" w:customStyle="1" w:styleId="147">
    <w:name w:val="标题 3 Char"/>
    <w:link w:val="4"/>
    <w:qFormat/>
    <w:uiPriority w:val="0"/>
    <w:rPr>
      <w:b/>
      <w:bCs/>
      <w:kern w:val="2"/>
      <w:sz w:val="32"/>
      <w:szCs w:val="32"/>
    </w:rPr>
  </w:style>
  <w:style w:type="character" w:customStyle="1" w:styleId="148">
    <w:name w:val="正文文本 Char"/>
    <w:basedOn w:val="34"/>
    <w:link w:val="14"/>
    <w:qFormat/>
    <w:uiPriority w:val="0"/>
    <w:rPr>
      <w:kern w:val="2"/>
      <w:sz w:val="24"/>
      <w:szCs w:val="24"/>
    </w:rPr>
  </w:style>
  <w:style w:type="character" w:customStyle="1" w:styleId="149">
    <w:name w:val="NormalCharacter"/>
    <w:qFormat/>
    <w:uiPriority w:val="0"/>
    <w:rPr>
      <w:rFonts w:ascii="Times New Roman" w:hAnsi="Times New Roman" w:eastAsia="宋体"/>
      <w:lang w:val="en-US"/>
    </w:rPr>
  </w:style>
  <w:style w:type="paragraph" w:customStyle="1" w:styleId="150">
    <w:name w:val="Table Text"/>
    <w:basedOn w:val="1"/>
    <w:semiHidden/>
    <w:qFormat/>
    <w:uiPriority w:val="0"/>
    <w:rPr>
      <w:rFonts w:ascii="宋体" w:hAnsi="宋体" w:eastAsia="宋体" w:cs="宋体"/>
      <w:sz w:val="24"/>
      <w:szCs w:val="24"/>
      <w:lang w:val="en-US" w:eastAsia="en-US" w:bidi="ar-SA"/>
    </w:rPr>
  </w:style>
  <w:style w:type="paragraph" w:customStyle="1" w:styleId="151">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2052"/>
    <customShpInfo spid="_x0000_s2051"/>
    <customShpInfo spid="_x0000_s2053"/>
    <customShpInfo spid="_x0000_s2056"/>
    <customShpInfo spid="_x0000_s205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76</Pages>
  <Words>36239</Words>
  <Characters>39326</Characters>
  <Lines>344</Lines>
  <Paragraphs>96</Paragraphs>
  <TotalTime>32</TotalTime>
  <ScaleCrop>false</ScaleCrop>
  <LinksUpToDate>false</LinksUpToDate>
  <CharactersWithSpaces>39981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2023-05-15T01:07:00Z</dcterms:created>
  <dc:creator>微软用户</dc:creator>
  <cp:lastModifiedBy>一只坏喵喵.</cp:lastModifiedBy>
  <cp:lastPrinted>2024-12-24T08:36:00Z</cp:lastPrinted>
  <dcterms:modified xsi:type="dcterms:W3CDTF">2024-12-26T07:57:13Z</dcterms:modified>
  <dc:title>医疗设备采购</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75CA1CDE0A324FCFA0ED8D5C3AE4AE94_13</vt:lpwstr>
  </property>
</Properties>
</file>