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7DC80">
      <w:pPr>
        <w:pStyle w:val="11"/>
        <w:spacing w:line="600" w:lineRule="auto"/>
        <w:jc w:val="center"/>
        <w:rPr>
          <w:rFonts w:hint="eastAsia" w:asciiTheme="minorEastAsia" w:hAnsiTheme="minorEastAsia" w:eastAsiaTheme="minorEastAsia" w:cstheme="minorEastAsia"/>
          <w:b/>
          <w:bCs/>
          <w:color w:val="auto"/>
          <w:sz w:val="52"/>
          <w:szCs w:val="52"/>
          <w:highlight w:val="none"/>
          <w:lang w:eastAsia="zh-CN"/>
        </w:rPr>
      </w:pPr>
    </w:p>
    <w:p w14:paraId="2E80C9DB">
      <w:pPr>
        <w:jc w:val="center"/>
        <w:rPr>
          <w:rFonts w:hint="eastAsia" w:asciiTheme="minorEastAsia" w:hAnsiTheme="minorEastAsia" w:eastAsiaTheme="minorEastAsia" w:cstheme="minorEastAsia"/>
          <w:b/>
          <w:bCs/>
          <w:color w:val="auto"/>
          <w:sz w:val="52"/>
          <w:szCs w:val="52"/>
          <w:highlight w:val="none"/>
          <w:lang w:val="en-US" w:eastAsia="zh-CN"/>
        </w:rPr>
      </w:pPr>
      <w:r>
        <w:rPr>
          <w:rFonts w:hint="eastAsia" w:asciiTheme="minorEastAsia" w:hAnsiTheme="minorEastAsia" w:eastAsiaTheme="minorEastAsia" w:cstheme="minorEastAsia"/>
          <w:b/>
          <w:bCs/>
          <w:color w:val="auto"/>
          <w:sz w:val="52"/>
          <w:szCs w:val="52"/>
          <w:highlight w:val="none"/>
          <w:lang w:val="en-US" w:eastAsia="zh-CN"/>
        </w:rPr>
        <w:t>昭平县五将镇产业灌溉渠基础设施</w:t>
      </w:r>
    </w:p>
    <w:p w14:paraId="7D9648E3">
      <w:pPr>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bCs/>
          <w:color w:val="auto"/>
          <w:sz w:val="52"/>
          <w:szCs w:val="52"/>
          <w:highlight w:val="none"/>
          <w:lang w:val="en-US" w:eastAsia="zh-CN"/>
        </w:rPr>
        <w:t>建设项目</w:t>
      </w:r>
    </w:p>
    <w:p w14:paraId="14DC9D72">
      <w:pPr>
        <w:pStyle w:val="35"/>
        <w:rPr>
          <w:rFonts w:hint="eastAsia" w:asciiTheme="minorEastAsia" w:hAnsiTheme="minorEastAsia" w:eastAsiaTheme="minorEastAsia" w:cstheme="minorEastAsia"/>
          <w:color w:val="auto"/>
          <w:highlight w:val="none"/>
        </w:rPr>
      </w:pPr>
    </w:p>
    <w:p w14:paraId="117C29F0">
      <w:pPr>
        <w:pStyle w:val="36"/>
        <w:rPr>
          <w:rFonts w:hint="eastAsia" w:asciiTheme="minorEastAsia" w:hAnsiTheme="minorEastAsia" w:eastAsiaTheme="minorEastAsia" w:cstheme="minorEastAsia"/>
          <w:color w:val="auto"/>
          <w:highlight w:val="none"/>
        </w:rPr>
      </w:pPr>
    </w:p>
    <w:p w14:paraId="2478C0EE">
      <w:pPr>
        <w:rPr>
          <w:rFonts w:hint="eastAsia" w:asciiTheme="minorEastAsia" w:hAnsiTheme="minorEastAsia" w:eastAsiaTheme="minorEastAsia" w:cstheme="minorEastAsia"/>
          <w:color w:val="auto"/>
          <w:highlight w:val="none"/>
        </w:rPr>
      </w:pPr>
    </w:p>
    <w:p w14:paraId="4D6C4DF2">
      <w:pPr>
        <w:pStyle w:val="6"/>
        <w:rPr>
          <w:rFonts w:hint="eastAsia" w:asciiTheme="minorEastAsia" w:hAnsiTheme="minorEastAsia" w:eastAsiaTheme="minorEastAsia" w:cstheme="minorEastAsia"/>
          <w:color w:val="auto"/>
          <w:highlight w:val="none"/>
        </w:rPr>
      </w:pPr>
    </w:p>
    <w:p w14:paraId="20961C4D">
      <w:pPr>
        <w:rPr>
          <w:rFonts w:hint="eastAsia" w:asciiTheme="minorEastAsia" w:hAnsiTheme="minorEastAsia" w:eastAsiaTheme="minorEastAsia" w:cstheme="minorEastAsia"/>
          <w:color w:val="auto"/>
          <w:highlight w:val="none"/>
        </w:rPr>
      </w:pPr>
    </w:p>
    <w:p w14:paraId="5F1D9422">
      <w:pPr>
        <w:pStyle w:val="6"/>
        <w:rPr>
          <w:rFonts w:hint="eastAsia" w:asciiTheme="minorEastAsia" w:hAnsiTheme="minorEastAsia" w:eastAsiaTheme="minorEastAsia" w:cstheme="minorEastAsia"/>
          <w:color w:val="auto"/>
        </w:rPr>
      </w:pPr>
    </w:p>
    <w:p w14:paraId="6D2BED07">
      <w:pPr>
        <w:pStyle w:val="35"/>
        <w:rPr>
          <w:rFonts w:hint="eastAsia" w:asciiTheme="minorEastAsia" w:hAnsiTheme="minorEastAsia" w:eastAsiaTheme="minorEastAsia" w:cstheme="minorEastAsia"/>
          <w:color w:val="auto"/>
          <w:highlight w:val="none"/>
        </w:rPr>
      </w:pPr>
    </w:p>
    <w:p w14:paraId="63B268BB">
      <w:pPr>
        <w:pStyle w:val="11"/>
        <w:spacing w:line="600" w:lineRule="auto"/>
        <w:jc w:val="center"/>
        <w:rPr>
          <w:rFonts w:hint="eastAsia" w:asciiTheme="minorEastAsia" w:hAnsiTheme="minorEastAsia" w:eastAsiaTheme="minorEastAsia" w:cstheme="minorEastAsia"/>
          <w:b/>
          <w:bCs/>
          <w:color w:val="auto"/>
          <w:sz w:val="84"/>
          <w:szCs w:val="84"/>
          <w:highlight w:val="none"/>
          <w:lang w:eastAsia="zh-CN"/>
        </w:rPr>
      </w:pPr>
      <w:r>
        <w:rPr>
          <w:rFonts w:hint="eastAsia" w:asciiTheme="minorEastAsia" w:hAnsiTheme="minorEastAsia" w:eastAsiaTheme="minorEastAsia" w:cstheme="minorEastAsia"/>
          <w:b/>
          <w:bCs/>
          <w:color w:val="auto"/>
          <w:sz w:val="84"/>
          <w:szCs w:val="84"/>
          <w:highlight w:val="none"/>
          <w:lang w:eastAsia="zh-CN"/>
        </w:rPr>
        <w:t>竞争性磋商文件</w:t>
      </w:r>
    </w:p>
    <w:p w14:paraId="62D2749F">
      <w:pPr>
        <w:pStyle w:val="11"/>
        <w:spacing w:line="600" w:lineRule="auto"/>
        <w:jc w:val="center"/>
        <w:rPr>
          <w:rFonts w:hint="eastAsia" w:asciiTheme="minorEastAsia" w:hAnsiTheme="minorEastAsia" w:eastAsiaTheme="minorEastAsia" w:cstheme="minorEastAsia"/>
          <w:b/>
          <w:bCs/>
          <w:color w:val="auto"/>
          <w:sz w:val="40"/>
          <w:szCs w:val="40"/>
          <w:highlight w:val="none"/>
        </w:rPr>
      </w:pPr>
    </w:p>
    <w:p w14:paraId="02099DFE">
      <w:pPr>
        <w:rPr>
          <w:rFonts w:hint="eastAsia" w:asciiTheme="minorEastAsia" w:hAnsiTheme="minorEastAsia" w:eastAsiaTheme="minorEastAsia" w:cstheme="minorEastAsia"/>
          <w:color w:val="auto"/>
          <w:highlight w:val="none"/>
        </w:rPr>
      </w:pPr>
    </w:p>
    <w:p w14:paraId="4B0E2825">
      <w:pPr>
        <w:spacing w:line="360" w:lineRule="auto"/>
        <w:jc w:val="center"/>
        <w:rPr>
          <w:rFonts w:hint="eastAsia" w:asciiTheme="minorEastAsia" w:hAnsiTheme="minorEastAsia" w:eastAsiaTheme="minorEastAsia" w:cstheme="minorEastAsia"/>
          <w:b/>
          <w:bCs/>
          <w:color w:val="FF0000"/>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eastAsia="zh-CN"/>
        </w:rPr>
        <w:t>项目编号：HZZC2025-C2-210019-GLHY</w:t>
      </w:r>
    </w:p>
    <w:p w14:paraId="32551DDC">
      <w:pPr>
        <w:pStyle w:val="11"/>
        <w:spacing w:line="600" w:lineRule="auto"/>
        <w:rPr>
          <w:rFonts w:hint="eastAsia" w:asciiTheme="minorEastAsia" w:hAnsiTheme="minorEastAsia" w:eastAsiaTheme="minorEastAsia" w:cstheme="minorEastAsia"/>
          <w:b/>
          <w:bCs/>
          <w:color w:val="auto"/>
          <w:sz w:val="18"/>
          <w:szCs w:val="18"/>
          <w:highlight w:val="none"/>
        </w:rPr>
      </w:pPr>
    </w:p>
    <w:p w14:paraId="07F92F39">
      <w:pPr>
        <w:pStyle w:val="11"/>
        <w:spacing w:line="600" w:lineRule="auto"/>
        <w:rPr>
          <w:rFonts w:hint="eastAsia" w:asciiTheme="minorEastAsia" w:hAnsiTheme="minorEastAsia" w:eastAsiaTheme="minorEastAsia" w:cstheme="minorEastAsia"/>
          <w:b/>
          <w:bCs/>
          <w:color w:val="auto"/>
          <w:sz w:val="18"/>
          <w:szCs w:val="18"/>
          <w:highlight w:val="none"/>
        </w:rPr>
      </w:pPr>
    </w:p>
    <w:p w14:paraId="7E025B7E">
      <w:pPr>
        <w:rPr>
          <w:rFonts w:hint="eastAsia" w:asciiTheme="minorEastAsia" w:hAnsiTheme="minorEastAsia" w:eastAsiaTheme="minorEastAsia" w:cstheme="minorEastAsia"/>
          <w:b/>
          <w:bCs/>
          <w:color w:val="auto"/>
          <w:sz w:val="18"/>
          <w:szCs w:val="18"/>
          <w:highlight w:val="none"/>
        </w:rPr>
      </w:pPr>
    </w:p>
    <w:p w14:paraId="08F4BB4B">
      <w:pPr>
        <w:pStyle w:val="35"/>
        <w:rPr>
          <w:rFonts w:hint="eastAsia" w:asciiTheme="minorEastAsia" w:hAnsiTheme="minorEastAsia" w:eastAsiaTheme="minorEastAsia" w:cstheme="minorEastAsia"/>
          <w:color w:val="auto"/>
          <w:highlight w:val="none"/>
        </w:rPr>
      </w:pPr>
    </w:p>
    <w:p w14:paraId="5F973CD8">
      <w:pPr>
        <w:spacing w:line="360" w:lineRule="auto"/>
        <w:ind w:firstLine="1920" w:firstLineChars="600"/>
        <w:jc w:val="both"/>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kern w:val="0"/>
          <w:sz w:val="32"/>
          <w:szCs w:val="32"/>
          <w:highlight w:val="none"/>
        </w:rPr>
        <w:t>采购人</w:t>
      </w:r>
      <w:r>
        <w:rPr>
          <w:rFonts w:hint="eastAsia" w:asciiTheme="minorEastAsia" w:hAnsiTheme="minorEastAsia" w:eastAsiaTheme="minorEastAsia" w:cstheme="minorEastAsia"/>
          <w:b/>
          <w:bCs/>
          <w:color w:val="auto"/>
          <w:sz w:val="32"/>
          <w:szCs w:val="32"/>
          <w:highlight w:val="none"/>
        </w:rPr>
        <w:t>：</w:t>
      </w:r>
      <w:r>
        <w:rPr>
          <w:rFonts w:hint="eastAsia" w:asciiTheme="minorEastAsia" w:hAnsiTheme="minorEastAsia" w:eastAsiaTheme="minorEastAsia" w:cstheme="minorEastAsia"/>
          <w:b/>
          <w:bCs/>
          <w:color w:val="auto"/>
          <w:sz w:val="32"/>
          <w:szCs w:val="32"/>
          <w:highlight w:val="none"/>
          <w:lang w:eastAsia="zh-CN"/>
        </w:rPr>
        <w:t>昭平县五将镇人民政府</w:t>
      </w:r>
    </w:p>
    <w:p w14:paraId="5837A4E1">
      <w:pPr>
        <w:spacing w:line="360" w:lineRule="auto"/>
        <w:jc w:val="center"/>
        <w:rPr>
          <w:rFonts w:hint="eastAsia" w:asciiTheme="minorEastAsia" w:hAnsiTheme="minorEastAsia" w:eastAsiaTheme="minorEastAsia" w:cstheme="minorEastAsia"/>
          <w:b/>
          <w:bCs/>
          <w:color w:val="auto"/>
          <w:sz w:val="32"/>
          <w:szCs w:val="32"/>
          <w:highlight w:val="none"/>
          <w:lang w:eastAsia="zh-CN"/>
        </w:rPr>
      </w:pPr>
      <w:r>
        <w:rPr>
          <w:rFonts w:hint="eastAsia" w:asciiTheme="minorEastAsia" w:hAnsiTheme="minorEastAsia" w:eastAsiaTheme="minorEastAsia" w:cstheme="minorEastAsia"/>
          <w:b/>
          <w:bCs/>
          <w:color w:val="auto"/>
          <w:kern w:val="0"/>
          <w:sz w:val="32"/>
          <w:szCs w:val="32"/>
          <w:highlight w:val="none"/>
          <w:lang w:val="en-US" w:eastAsia="zh-CN"/>
        </w:rPr>
        <w:t xml:space="preserve">  </w:t>
      </w:r>
      <w:r>
        <w:rPr>
          <w:rFonts w:hint="eastAsia" w:asciiTheme="minorEastAsia" w:hAnsiTheme="minorEastAsia" w:eastAsiaTheme="minorEastAsia" w:cstheme="minorEastAsia"/>
          <w:b/>
          <w:bCs/>
          <w:color w:val="auto"/>
          <w:kern w:val="0"/>
          <w:sz w:val="32"/>
          <w:szCs w:val="32"/>
          <w:highlight w:val="none"/>
        </w:rPr>
        <w:t>采购</w:t>
      </w:r>
      <w:r>
        <w:rPr>
          <w:rFonts w:hint="eastAsia" w:asciiTheme="minorEastAsia" w:hAnsiTheme="minorEastAsia" w:eastAsiaTheme="minorEastAsia" w:cstheme="minorEastAsia"/>
          <w:b/>
          <w:bCs/>
          <w:color w:val="auto"/>
          <w:sz w:val="32"/>
          <w:szCs w:val="32"/>
          <w:highlight w:val="none"/>
        </w:rPr>
        <w:t>代理机构：</w:t>
      </w:r>
      <w:r>
        <w:rPr>
          <w:rFonts w:hint="eastAsia" w:asciiTheme="minorEastAsia" w:hAnsiTheme="minorEastAsia" w:eastAsiaTheme="minorEastAsia" w:cstheme="minorEastAsia"/>
          <w:b/>
          <w:bCs/>
          <w:color w:val="auto"/>
          <w:sz w:val="32"/>
          <w:szCs w:val="32"/>
          <w:highlight w:val="none"/>
          <w:lang w:eastAsia="zh-CN"/>
        </w:rPr>
        <w:t>广西桂林华禹水利水电工程咨询有限公司</w:t>
      </w:r>
    </w:p>
    <w:p w14:paraId="391461D2">
      <w:pPr>
        <w:pStyle w:val="11"/>
        <w:spacing w:line="360" w:lineRule="auto"/>
        <w:ind w:firstLine="2560" w:firstLineChars="800"/>
        <w:jc w:val="both"/>
        <w:rPr>
          <w:rFonts w:hint="eastAsia" w:asciiTheme="minorEastAsia" w:hAnsiTheme="minorEastAsia" w:eastAsiaTheme="minorEastAsia" w:cstheme="minorEastAsia"/>
          <w:b/>
          <w:bCs/>
          <w:color w:val="auto"/>
          <w:sz w:val="32"/>
          <w:szCs w:val="32"/>
          <w:highlight w:val="none"/>
          <w:lang w:val="en-US"/>
        </w:rPr>
      </w:pPr>
      <w:r>
        <w:rPr>
          <w:rFonts w:hint="eastAsia" w:asciiTheme="minorEastAsia" w:hAnsiTheme="minorEastAsia" w:eastAsiaTheme="minorEastAsia" w:cstheme="minorEastAsia"/>
          <w:b/>
          <w:bCs/>
          <w:color w:val="auto"/>
          <w:sz w:val="32"/>
          <w:szCs w:val="32"/>
          <w:highlight w:val="none"/>
        </w:rPr>
        <w:t>日</w:t>
      </w:r>
      <w:r>
        <w:rPr>
          <w:rFonts w:hint="eastAsia" w:asciiTheme="minorEastAsia" w:hAnsiTheme="minorEastAsia" w:eastAsiaTheme="minorEastAsia" w:cstheme="minorEastAsia"/>
          <w:b/>
          <w:bCs/>
          <w:color w:val="auto"/>
          <w:sz w:val="32"/>
          <w:szCs w:val="32"/>
          <w:highlight w:val="none"/>
          <w:lang w:val="en-US" w:eastAsia="zh-CN"/>
        </w:rPr>
        <w:t xml:space="preserve">   </w:t>
      </w:r>
      <w:r>
        <w:rPr>
          <w:rFonts w:hint="eastAsia" w:asciiTheme="minorEastAsia" w:hAnsiTheme="minorEastAsia" w:eastAsiaTheme="minorEastAsia" w:cstheme="minorEastAsia"/>
          <w:b/>
          <w:bCs/>
          <w:color w:val="auto"/>
          <w:sz w:val="32"/>
          <w:szCs w:val="32"/>
          <w:highlight w:val="none"/>
        </w:rPr>
        <w:t>期：</w:t>
      </w:r>
      <w:r>
        <w:rPr>
          <w:rFonts w:hint="eastAsia" w:asciiTheme="minorEastAsia" w:hAnsiTheme="minorEastAsia" w:eastAsiaTheme="minorEastAsia" w:cstheme="minorEastAsia"/>
          <w:b/>
          <w:bCs/>
          <w:color w:val="auto"/>
          <w:sz w:val="32"/>
          <w:szCs w:val="32"/>
          <w:highlight w:val="none"/>
          <w:lang w:eastAsia="zh-CN"/>
        </w:rPr>
        <w:t>202</w:t>
      </w:r>
      <w:r>
        <w:rPr>
          <w:rFonts w:hint="eastAsia" w:asciiTheme="minorEastAsia" w:hAnsiTheme="minorEastAsia" w:eastAsiaTheme="minorEastAsia" w:cstheme="minorEastAsia"/>
          <w:b/>
          <w:bCs/>
          <w:color w:val="auto"/>
          <w:sz w:val="32"/>
          <w:szCs w:val="32"/>
          <w:highlight w:val="none"/>
          <w:lang w:val="en-US" w:eastAsia="zh-CN"/>
        </w:rPr>
        <w:t>5</w:t>
      </w:r>
      <w:r>
        <w:rPr>
          <w:rFonts w:hint="eastAsia" w:asciiTheme="minorEastAsia" w:hAnsiTheme="minorEastAsia" w:eastAsiaTheme="minorEastAsia" w:cstheme="minorEastAsia"/>
          <w:b/>
          <w:bCs/>
          <w:color w:val="auto"/>
          <w:sz w:val="32"/>
          <w:szCs w:val="32"/>
          <w:highlight w:val="none"/>
          <w:lang w:eastAsia="zh-CN"/>
        </w:rPr>
        <w:t>年</w:t>
      </w:r>
      <w:r>
        <w:rPr>
          <w:rFonts w:hint="eastAsia" w:asciiTheme="minorEastAsia" w:hAnsiTheme="minorEastAsia" w:eastAsiaTheme="minorEastAsia" w:cstheme="minorEastAsia"/>
          <w:b/>
          <w:bCs/>
          <w:color w:val="auto"/>
          <w:sz w:val="32"/>
          <w:szCs w:val="32"/>
          <w:highlight w:val="none"/>
          <w:lang w:val="en-US" w:eastAsia="zh-CN"/>
        </w:rPr>
        <w:t>04</w:t>
      </w:r>
      <w:r>
        <w:rPr>
          <w:rFonts w:hint="eastAsia" w:asciiTheme="minorEastAsia" w:hAnsiTheme="minorEastAsia" w:eastAsiaTheme="minorEastAsia" w:cstheme="minorEastAsia"/>
          <w:b/>
          <w:bCs/>
          <w:color w:val="auto"/>
          <w:sz w:val="32"/>
          <w:szCs w:val="32"/>
          <w:highlight w:val="none"/>
          <w:lang w:eastAsia="zh-CN"/>
        </w:rPr>
        <w:t>月</w:t>
      </w:r>
    </w:p>
    <w:p w14:paraId="069BF7DE">
      <w:pPr>
        <w:pStyle w:val="11"/>
        <w:spacing w:line="600" w:lineRule="auto"/>
        <w:jc w:val="center"/>
        <w:rPr>
          <w:rFonts w:hint="eastAsia" w:asciiTheme="minorEastAsia" w:hAnsiTheme="minorEastAsia" w:eastAsiaTheme="minorEastAsia" w:cstheme="minorEastAsia"/>
          <w:b/>
          <w:color w:val="auto"/>
          <w:sz w:val="44"/>
          <w:szCs w:val="44"/>
          <w:highlight w:val="none"/>
        </w:rPr>
        <w:sectPr>
          <w:headerReference r:id="rId5" w:type="first"/>
          <w:headerReference r:id="rId3" w:type="default"/>
          <w:footerReference r:id="rId6" w:type="default"/>
          <w:headerReference r:id="rId4" w:type="even"/>
          <w:footerReference r:id="rId7" w:type="even"/>
          <w:pgSz w:w="11907" w:h="16840"/>
          <w:pgMar w:top="1247" w:right="1000" w:bottom="1247" w:left="1247" w:header="851" w:footer="892" w:gutter="0"/>
          <w:pgNumType w:fmt="decimal"/>
          <w:cols w:space="720" w:num="1"/>
          <w:titlePg/>
          <w:docGrid w:type="linesAndChars" w:linePitch="312" w:charSpace="0"/>
        </w:sectPr>
      </w:pPr>
    </w:p>
    <w:p w14:paraId="0B30FB3A">
      <w:pPr>
        <w:pStyle w:val="11"/>
        <w:spacing w:line="600" w:lineRule="auto"/>
        <w:jc w:val="center"/>
        <w:rPr>
          <w:rFonts w:hint="eastAsia" w:asciiTheme="minorEastAsia" w:hAnsiTheme="minorEastAsia" w:eastAsiaTheme="minorEastAsia" w:cstheme="minorEastAsia"/>
          <w:b/>
          <w:color w:val="auto"/>
          <w:sz w:val="32"/>
          <w:szCs w:val="32"/>
          <w:highlight w:val="none"/>
        </w:rPr>
      </w:pPr>
    </w:p>
    <w:p w14:paraId="3BA27871">
      <w:pPr>
        <w:pStyle w:val="11"/>
        <w:spacing w:line="600" w:lineRule="auto"/>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目 录</w:t>
      </w:r>
    </w:p>
    <w:p w14:paraId="299C008A">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 w:val="24"/>
          <w:szCs w:val="24"/>
          <w:highlight w:val="none"/>
        </w:rPr>
        <w:fldChar w:fldCharType="begin"/>
      </w:r>
      <w:r>
        <w:rPr>
          <w:rFonts w:hint="eastAsia" w:asciiTheme="minorEastAsia" w:hAnsiTheme="minorEastAsia" w:eastAsiaTheme="minorEastAsia" w:cstheme="minorEastAsia"/>
          <w:bCs/>
          <w:color w:val="auto"/>
          <w:sz w:val="24"/>
          <w:szCs w:val="24"/>
          <w:highlight w:val="none"/>
        </w:rPr>
        <w:instrText xml:space="preserve"> TOC \o "1-3" \h \z \u </w:instrText>
      </w:r>
      <w:r>
        <w:rPr>
          <w:rFonts w:hint="eastAsia" w:asciiTheme="minorEastAsia" w:hAnsiTheme="minorEastAsia" w:eastAsiaTheme="minorEastAsia" w:cstheme="minorEastAsia"/>
          <w:bCs/>
          <w:color w:val="auto"/>
          <w:sz w:val="24"/>
          <w:szCs w:val="24"/>
          <w:highlight w:val="none"/>
        </w:rPr>
        <w:fldChar w:fldCharType="separate"/>
      </w: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_Toc14238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32"/>
          <w:highlight w:val="none"/>
        </w:rPr>
        <w:t>第一章 竞争性磋商公告</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_Toc14238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1F170A79">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_Toc11438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28"/>
          <w:highlight w:val="none"/>
        </w:rPr>
        <w:t>第二章</w:t>
      </w:r>
      <w:r>
        <w:rPr>
          <w:rFonts w:hint="eastAsia" w:asciiTheme="minorEastAsia" w:hAnsiTheme="minorEastAsia" w:eastAsiaTheme="minorEastAsia" w:cstheme="minorEastAsia"/>
          <w:color w:val="auto"/>
          <w:szCs w:val="28"/>
          <w:highlight w:val="none"/>
          <w:lang w:val="en-US" w:eastAsia="zh-CN"/>
        </w:rPr>
        <w:t xml:space="preserve">  </w:t>
      </w:r>
      <w:r>
        <w:rPr>
          <w:rFonts w:hint="eastAsia" w:asciiTheme="minorEastAsia" w:hAnsiTheme="minorEastAsia" w:eastAsiaTheme="minorEastAsia" w:cstheme="minorEastAsia"/>
          <w:color w:val="auto"/>
          <w:szCs w:val="28"/>
          <w:highlight w:val="none"/>
          <w:lang w:eastAsia="zh-CN"/>
        </w:rPr>
        <w:t>磋商供应商</w:t>
      </w:r>
      <w:r>
        <w:rPr>
          <w:rFonts w:hint="eastAsia" w:asciiTheme="minorEastAsia" w:hAnsiTheme="minorEastAsia" w:eastAsiaTheme="minorEastAsia" w:cstheme="minorEastAsia"/>
          <w:color w:val="auto"/>
          <w:szCs w:val="28"/>
          <w:highlight w:val="none"/>
        </w:rPr>
        <w:t>须知及前附表</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_Toc11438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5</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348D4927">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_Toc14983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第三章  合同条款及格式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_Toc14983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22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3BBADC0B">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_Toc462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lang w:val="en-US" w:eastAsia="zh-CN"/>
        </w:rPr>
        <w:t>第四章 工程量清单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_Toc462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89</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4C8A2467">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_Toc21503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lang w:val="en-US" w:eastAsia="zh-CN"/>
        </w:rPr>
        <w:t xml:space="preserve">第五章 </w:t>
      </w:r>
      <w:r>
        <w:rPr>
          <w:rFonts w:hint="eastAsia" w:asciiTheme="minorEastAsia" w:hAnsiTheme="minorEastAsia" w:eastAsiaTheme="minorEastAsia" w:cstheme="minorEastAsia"/>
          <w:color w:val="auto"/>
          <w:highlight w:val="none"/>
        </w:rPr>
        <w:t xml:space="preserve"> 图纸</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_Toc21503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90</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07D8C58D">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_Toc24668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第六章  技术标准和要求</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_Toc24668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91</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75A460BA">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_Toc13925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highlight w:val="none"/>
        </w:rPr>
        <w:t xml:space="preserve">第七章  </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（格式）</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_Toc13925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92</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79479AAA">
      <w:pPr>
        <w:pStyle w:val="15"/>
        <w:tabs>
          <w:tab w:val="right" w:leader="dot" w:pos="8889"/>
          <w:tab w:val="clear" w:pos="0"/>
          <w:tab w:val="clear" w:pos="9435"/>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Cs/>
          <w:color w:val="auto"/>
          <w:szCs w:val="24"/>
          <w:highlight w:val="none"/>
        </w:rPr>
        <w:fldChar w:fldCharType="begin"/>
      </w:r>
      <w:r>
        <w:rPr>
          <w:rFonts w:hint="eastAsia" w:asciiTheme="minorEastAsia" w:hAnsiTheme="minorEastAsia" w:eastAsiaTheme="minorEastAsia" w:cstheme="minorEastAsia"/>
          <w:bCs/>
          <w:color w:val="auto"/>
          <w:szCs w:val="24"/>
          <w:highlight w:val="none"/>
        </w:rPr>
        <w:instrText xml:space="preserve"> HYPERLINK \l _Toc2615 </w:instrText>
      </w:r>
      <w:r>
        <w:rPr>
          <w:rFonts w:hint="eastAsia" w:asciiTheme="minorEastAsia" w:hAnsiTheme="minorEastAsia" w:eastAsiaTheme="minorEastAsia" w:cstheme="minorEastAsia"/>
          <w:bCs/>
          <w:color w:val="auto"/>
          <w:szCs w:val="24"/>
          <w:highlight w:val="none"/>
        </w:rPr>
        <w:fldChar w:fldCharType="separate"/>
      </w:r>
      <w:r>
        <w:rPr>
          <w:rFonts w:hint="eastAsia" w:asciiTheme="minorEastAsia" w:hAnsiTheme="minorEastAsia" w:eastAsiaTheme="minorEastAsia" w:cstheme="minorEastAsia"/>
          <w:color w:val="auto"/>
          <w:szCs w:val="28"/>
          <w:highlight w:val="none"/>
        </w:rPr>
        <w:t>第八章  评标办法</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PAGEREF _Toc2615 \h </w:instrText>
      </w:r>
      <w:r>
        <w:rPr>
          <w:rFonts w:hint="eastAsia" w:asciiTheme="minorEastAsia" w:hAnsiTheme="minorEastAsia" w:eastAsiaTheme="minorEastAsia" w:cstheme="minorEastAsia"/>
          <w:color w:val="auto"/>
          <w:highlight w:val="none"/>
        </w:rPr>
        <w:fldChar w:fldCharType="separate"/>
      </w:r>
      <w:r>
        <w:rPr>
          <w:rFonts w:hint="eastAsia" w:asciiTheme="minorEastAsia" w:hAnsiTheme="minorEastAsia" w:eastAsiaTheme="minorEastAsia" w:cstheme="minorEastAsia"/>
          <w:color w:val="auto"/>
          <w:highlight w:val="none"/>
        </w:rPr>
        <w:t>117</w:t>
      </w:r>
      <w:r>
        <w:rPr>
          <w:rFonts w:hint="eastAsia" w:asciiTheme="minorEastAsia" w:hAnsiTheme="minorEastAsia" w:eastAsiaTheme="minorEastAsia" w:cstheme="minorEastAsia"/>
          <w:color w:val="auto"/>
          <w:highlight w:val="none"/>
        </w:rPr>
        <w:fldChar w:fldCharType="end"/>
      </w:r>
      <w:r>
        <w:rPr>
          <w:rFonts w:hint="eastAsia" w:asciiTheme="minorEastAsia" w:hAnsiTheme="minorEastAsia" w:eastAsiaTheme="minorEastAsia" w:cstheme="minorEastAsia"/>
          <w:bCs/>
          <w:color w:val="auto"/>
          <w:szCs w:val="24"/>
          <w:highlight w:val="none"/>
        </w:rPr>
        <w:fldChar w:fldCharType="end"/>
      </w:r>
    </w:p>
    <w:p w14:paraId="3067D864">
      <w:pPr>
        <w:pStyle w:val="11"/>
        <w:tabs>
          <w:tab w:val="right" w:leader="dot" w:pos="9407"/>
        </w:tabs>
        <w:spacing w:line="440" w:lineRule="exact"/>
        <w:jc w:val="center"/>
        <w:outlineLvl w:val="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szCs w:val="24"/>
          <w:highlight w:val="none"/>
        </w:rPr>
        <w:fldChar w:fldCharType="end"/>
      </w:r>
    </w:p>
    <w:p w14:paraId="1B31C7D7">
      <w:pPr>
        <w:pStyle w:val="11"/>
        <w:tabs>
          <w:tab w:val="left" w:pos="3780"/>
        </w:tabs>
        <w:spacing w:line="276" w:lineRule="auto"/>
        <w:outlineLvl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ab/>
      </w:r>
    </w:p>
    <w:p w14:paraId="16EFF240">
      <w:pPr>
        <w:pStyle w:val="11"/>
        <w:numPr>
          <w:ilvl w:val="0"/>
          <w:numId w:val="1"/>
        </w:numPr>
        <w:spacing w:line="276" w:lineRule="auto"/>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highlight w:val="none"/>
          <w:lang w:val="en-US" w:eastAsia="zh-CN"/>
        </w:rPr>
        <w:br w:type="page"/>
      </w:r>
      <w:bookmarkStart w:id="0" w:name="_Toc14238"/>
      <w:r>
        <w:rPr>
          <w:rFonts w:hint="eastAsia" w:asciiTheme="minorEastAsia" w:hAnsiTheme="minorEastAsia" w:eastAsiaTheme="minorEastAsia" w:cstheme="minorEastAsia"/>
          <w:b/>
          <w:color w:val="auto"/>
          <w:sz w:val="32"/>
          <w:szCs w:val="32"/>
          <w:highlight w:val="none"/>
        </w:rPr>
        <w:t>竞争性磋商公告</w:t>
      </w:r>
      <w:bookmarkEnd w:id="0"/>
    </w:p>
    <w:p w14:paraId="7A393098">
      <w:pPr>
        <w:spacing w:line="400" w:lineRule="exact"/>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eastAsia="zh-CN"/>
        </w:rPr>
        <w:t>广西桂林华禹水利水电工程咨询有限公司</w:t>
      </w:r>
      <w:r>
        <w:rPr>
          <w:rFonts w:hint="eastAsia" w:asciiTheme="minorEastAsia" w:hAnsiTheme="minorEastAsia" w:eastAsiaTheme="minorEastAsia" w:cstheme="minorEastAsia"/>
          <w:b/>
          <w:bCs/>
          <w:color w:val="auto"/>
          <w:sz w:val="28"/>
          <w:szCs w:val="28"/>
          <w:highlight w:val="none"/>
        </w:rPr>
        <w:t>关于</w:t>
      </w:r>
      <w:r>
        <w:rPr>
          <w:rFonts w:hint="eastAsia" w:asciiTheme="minorEastAsia" w:hAnsiTheme="minorEastAsia" w:eastAsiaTheme="minorEastAsia" w:cstheme="minorEastAsia"/>
          <w:b/>
          <w:bCs/>
          <w:color w:val="auto"/>
          <w:sz w:val="28"/>
          <w:szCs w:val="28"/>
          <w:highlight w:val="none"/>
          <w:lang w:eastAsia="zh-CN"/>
        </w:rPr>
        <w:t>昭平县五将镇产业灌溉渠基础设施建设项目</w:t>
      </w:r>
      <w:r>
        <w:rPr>
          <w:rFonts w:hint="eastAsia" w:asciiTheme="minorEastAsia" w:hAnsiTheme="minorEastAsia" w:eastAsiaTheme="minorEastAsia" w:cstheme="minorEastAsia"/>
          <w:b/>
          <w:bCs/>
          <w:color w:val="auto"/>
          <w:sz w:val="28"/>
          <w:szCs w:val="28"/>
          <w:highlight w:val="none"/>
        </w:rPr>
        <w:t>竞争性磋商公告</w:t>
      </w:r>
      <w:r>
        <w:rPr>
          <w:rFonts w:hint="eastAsia" w:asciiTheme="minorEastAsia" w:hAnsiTheme="minorEastAsia" w:eastAsiaTheme="minorEastAsia" w:cstheme="minorEastAsia"/>
          <w:b/>
          <w:bCs/>
          <w:color w:val="auto"/>
          <w:sz w:val="28"/>
          <w:szCs w:val="28"/>
          <w:highlight w:val="none"/>
          <w:lang w:eastAsia="zh-CN"/>
        </w:rPr>
        <w:t>（</w:t>
      </w:r>
      <w:r>
        <w:rPr>
          <w:rFonts w:hint="eastAsia" w:asciiTheme="minorEastAsia" w:hAnsiTheme="minorEastAsia" w:eastAsiaTheme="minorEastAsia" w:cstheme="minorEastAsia"/>
          <w:b/>
          <w:bCs/>
          <w:color w:val="auto"/>
          <w:sz w:val="28"/>
          <w:szCs w:val="28"/>
          <w:highlight w:val="none"/>
          <w:lang w:val="en-US" w:eastAsia="zh-CN"/>
        </w:rPr>
        <w:t>远程异地评标</w:t>
      </w:r>
      <w:r>
        <w:rPr>
          <w:rFonts w:hint="eastAsia" w:asciiTheme="minorEastAsia" w:hAnsiTheme="minorEastAsia" w:eastAsiaTheme="minorEastAsia" w:cstheme="minorEastAsia"/>
          <w:b/>
          <w:bCs/>
          <w:color w:val="auto"/>
          <w:sz w:val="28"/>
          <w:szCs w:val="28"/>
          <w:highlight w:val="none"/>
          <w:lang w:eastAsia="zh-CN"/>
        </w:rPr>
        <w:t>）</w:t>
      </w:r>
    </w:p>
    <w:p w14:paraId="4B16235F">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项目概况</w:t>
      </w:r>
      <w:r>
        <w:rPr>
          <w:rFonts w:hint="eastAsia" w:asciiTheme="minorEastAsia" w:hAnsiTheme="minorEastAsia" w:eastAsiaTheme="minorEastAsia" w:cstheme="minorEastAsia"/>
          <w:color w:val="auto"/>
          <w:sz w:val="24"/>
          <w:szCs w:val="24"/>
          <w:highlight w:val="none"/>
          <w:lang w:eastAsia="zh-CN"/>
        </w:rPr>
        <w:t>：</w:t>
      </w:r>
    </w:p>
    <w:p w14:paraId="336F335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lang w:eastAsia="zh-CN"/>
        </w:rPr>
        <w:t xml:space="preserve"> 昭平县五将镇产业灌溉渠基础设施建设项目</w:t>
      </w:r>
      <w:r>
        <w:rPr>
          <w:rFonts w:hint="eastAsia" w:asciiTheme="minorEastAsia" w:hAnsiTheme="minorEastAsia" w:eastAsiaTheme="minorEastAsia" w:cstheme="minorEastAsia"/>
          <w:color w:val="auto"/>
          <w:sz w:val="24"/>
          <w:szCs w:val="24"/>
          <w:highlight w:val="none"/>
        </w:rPr>
        <w:t>采购项目的潜在供应商应在</w:t>
      </w:r>
      <w:r>
        <w:rPr>
          <w:rFonts w:hint="eastAsia" w:asciiTheme="minorEastAsia" w:hAnsiTheme="minorEastAsia" w:eastAsiaTheme="minorEastAsia" w:cstheme="minorEastAsia"/>
          <w:color w:val="auto"/>
          <w:sz w:val="24"/>
          <w:szCs w:val="24"/>
          <w:highlight w:val="none"/>
          <w:u w:val="single"/>
          <w:lang w:val="en-US" w:eastAsia="zh-CN"/>
        </w:rPr>
        <w:t>广西政府采购云平台（https://www.gcy.zfcg.gxzf.gov.cn/）</w:t>
      </w:r>
      <w:r>
        <w:rPr>
          <w:rFonts w:hint="eastAsia" w:asciiTheme="minorEastAsia" w:hAnsiTheme="minorEastAsia" w:eastAsiaTheme="minorEastAsia" w:cstheme="minorEastAsia"/>
          <w:color w:val="auto"/>
          <w:sz w:val="24"/>
          <w:szCs w:val="24"/>
          <w:highlight w:val="none"/>
        </w:rPr>
        <w:t>获取</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文件，并于</w:t>
      </w:r>
      <w:r>
        <w:rPr>
          <w:rFonts w:hint="eastAsia" w:asciiTheme="minorEastAsia" w:hAnsiTheme="minorEastAsia" w:eastAsiaTheme="minorEastAsia" w:cstheme="minorEastAsia"/>
          <w:color w:val="FF0000"/>
          <w:sz w:val="24"/>
          <w:szCs w:val="24"/>
          <w:highlight w:val="none"/>
          <w:u w:val="single"/>
          <w:lang w:val="en-US" w:eastAsia="zh-CN"/>
        </w:rPr>
        <w:t>2025年04月17日09时00分</w:t>
      </w:r>
      <w:r>
        <w:rPr>
          <w:rFonts w:hint="eastAsia" w:asciiTheme="minorEastAsia" w:hAnsiTheme="minorEastAsia" w:eastAsiaTheme="minorEastAsia" w:cstheme="minorEastAsia"/>
          <w:bCs/>
          <w:color w:val="FF0000"/>
          <w:sz w:val="24"/>
          <w:szCs w:val="24"/>
          <w:highlight w:val="none"/>
          <w:u w:val="single"/>
          <w:lang w:val="en-US" w:eastAsia="zh-CN"/>
        </w:rPr>
        <w:t xml:space="preserve"> </w:t>
      </w:r>
      <w:r>
        <w:rPr>
          <w:rFonts w:hint="eastAsia" w:asciiTheme="minorEastAsia" w:hAnsiTheme="minorEastAsia" w:eastAsiaTheme="minorEastAsia" w:cstheme="minorEastAsia"/>
          <w:bCs/>
          <w:color w:val="auto"/>
          <w:sz w:val="24"/>
          <w:szCs w:val="24"/>
          <w:highlight w:val="none"/>
        </w:rPr>
        <w:t>（北京时间）前提交响应文件</w:t>
      </w:r>
      <w:r>
        <w:rPr>
          <w:rFonts w:hint="eastAsia" w:asciiTheme="minorEastAsia" w:hAnsiTheme="minorEastAsia" w:eastAsiaTheme="minorEastAsia" w:cstheme="minorEastAsia"/>
          <w:color w:val="auto"/>
          <w:sz w:val="24"/>
          <w:szCs w:val="24"/>
          <w:highlight w:val="none"/>
        </w:rPr>
        <w:t>。</w:t>
      </w:r>
    </w:p>
    <w:p w14:paraId="21FFE24C">
      <w:pPr>
        <w:pStyle w:val="3"/>
        <w:pageBreakBefore w:val="0"/>
        <w:widowControl w:val="0"/>
        <w:tabs>
          <w:tab w:val="left" w:pos="6188"/>
        </w:tabs>
        <w:kinsoku/>
        <w:wordWrap/>
        <w:overflowPunct/>
        <w:topLinePunct w:val="0"/>
        <w:autoSpaceDE/>
        <w:autoSpaceDN/>
        <w:bidi w:val="0"/>
        <w:adjustRightInd/>
        <w:snapToGrid/>
        <w:spacing w:before="0" w:after="0" w:line="380" w:lineRule="atLeast"/>
        <w:jc w:val="left"/>
        <w:textAlignment w:val="auto"/>
        <w:rPr>
          <w:rFonts w:hint="eastAsia" w:asciiTheme="minorEastAsia" w:hAnsiTheme="minorEastAsia" w:eastAsiaTheme="minorEastAsia" w:cstheme="minorEastAsia"/>
          <w:b/>
          <w:bCs w:val="0"/>
          <w:color w:val="auto"/>
          <w:sz w:val="24"/>
          <w:szCs w:val="24"/>
          <w:highlight w:val="none"/>
          <w:lang w:eastAsia="zh-CN"/>
        </w:rPr>
      </w:pPr>
      <w:bookmarkStart w:id="1" w:name="_Toc16084"/>
      <w:bookmarkStart w:id="2" w:name="_Toc35393629"/>
      <w:bookmarkStart w:id="3" w:name="_Toc35393798"/>
      <w:bookmarkStart w:id="4" w:name="_Toc28359089"/>
      <w:bookmarkStart w:id="5" w:name="_Toc28359012"/>
      <w:r>
        <w:rPr>
          <w:rFonts w:hint="eastAsia" w:asciiTheme="minorEastAsia" w:hAnsiTheme="minorEastAsia" w:eastAsiaTheme="minorEastAsia" w:cstheme="minorEastAsia"/>
          <w:b/>
          <w:bCs w:val="0"/>
          <w:color w:val="auto"/>
          <w:sz w:val="24"/>
          <w:szCs w:val="24"/>
          <w:highlight w:val="none"/>
        </w:rPr>
        <w:t>一、项目基本情况</w:t>
      </w:r>
      <w:bookmarkEnd w:id="1"/>
      <w:bookmarkEnd w:id="2"/>
      <w:bookmarkEnd w:id="3"/>
      <w:bookmarkEnd w:id="4"/>
      <w:bookmarkEnd w:id="5"/>
      <w:r>
        <w:rPr>
          <w:rFonts w:hint="eastAsia" w:asciiTheme="minorEastAsia" w:hAnsiTheme="minorEastAsia" w:eastAsiaTheme="minorEastAsia" w:cstheme="minorEastAsia"/>
          <w:b/>
          <w:bCs w:val="0"/>
          <w:color w:val="auto"/>
          <w:sz w:val="24"/>
          <w:szCs w:val="24"/>
          <w:highlight w:val="none"/>
          <w:lang w:eastAsia="zh-CN"/>
        </w:rPr>
        <w:tab/>
      </w:r>
    </w:p>
    <w:p w14:paraId="21B02DE8">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HZZC2025-C2-2100</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9-GLHY</w:t>
      </w:r>
      <w:r>
        <w:rPr>
          <w:rFonts w:hint="eastAsia" w:asciiTheme="minorEastAsia" w:hAnsiTheme="minorEastAsia" w:eastAsiaTheme="minorEastAsia" w:cstheme="minorEastAsia"/>
          <w:color w:val="auto"/>
          <w:sz w:val="24"/>
          <w:szCs w:val="24"/>
          <w:highlight w:val="none"/>
          <w:lang w:val="en-US" w:eastAsia="zh-CN"/>
        </w:rPr>
        <w:t xml:space="preserve">  </w:t>
      </w:r>
    </w:p>
    <w:p w14:paraId="4C77CA3C">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昭平县五将镇产业灌溉渠基础设施建设项目</w:t>
      </w:r>
    </w:p>
    <w:p w14:paraId="3CD95561">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采购方式</w:t>
      </w:r>
      <w:r>
        <w:rPr>
          <w:rFonts w:hint="eastAsia" w:asciiTheme="minorEastAsia" w:hAnsiTheme="minorEastAsia" w:eastAsiaTheme="minorEastAsia" w:cstheme="minorEastAsia"/>
          <w:color w:val="auto"/>
          <w:sz w:val="24"/>
          <w:szCs w:val="24"/>
          <w:highlight w:val="none"/>
        </w:rPr>
        <w:t>：竞争性磋商</w:t>
      </w:r>
      <w:r>
        <w:rPr>
          <w:rFonts w:hint="eastAsia" w:asciiTheme="minorEastAsia" w:hAnsiTheme="minorEastAsia" w:eastAsiaTheme="minorEastAsia" w:cstheme="minorEastAsia"/>
          <w:color w:val="auto"/>
          <w:sz w:val="24"/>
          <w:szCs w:val="24"/>
          <w:highlight w:val="none"/>
          <w:lang w:val="en-US" w:eastAsia="zh-CN"/>
        </w:rPr>
        <w:t xml:space="preserve">  </w:t>
      </w:r>
    </w:p>
    <w:p w14:paraId="5D650B41">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预算金额</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人民币壹佰肆拾柒万壹仟壹佰贰拾元陆角捌分（￥1471120.68元）</w:t>
      </w:r>
    </w:p>
    <w:p w14:paraId="10EAD2F5">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lang w:val="en-US"/>
        </w:rPr>
      </w:pPr>
      <w:r>
        <w:rPr>
          <w:rFonts w:hint="eastAsia" w:asciiTheme="minorEastAsia" w:hAnsiTheme="minorEastAsia" w:eastAsiaTheme="minorEastAsia" w:cstheme="minorEastAsia"/>
          <w:b/>
          <w:bCs/>
          <w:color w:val="auto"/>
          <w:sz w:val="24"/>
          <w:szCs w:val="24"/>
          <w:highlight w:val="none"/>
          <w:u w:val="none"/>
        </w:rPr>
        <w:t>最高限价</w:t>
      </w:r>
      <w:r>
        <w:rPr>
          <w:rFonts w:hint="eastAsia" w:asciiTheme="minorEastAsia" w:hAnsiTheme="minorEastAsia" w:eastAsiaTheme="minorEastAsia" w:cstheme="minorEastAsia"/>
          <w:b w:val="0"/>
          <w:bCs w:val="0"/>
          <w:color w:val="auto"/>
          <w:sz w:val="24"/>
          <w:szCs w:val="24"/>
          <w:highlight w:val="none"/>
          <w:u w:val="none"/>
        </w:rPr>
        <w:t>：</w:t>
      </w:r>
      <w:r>
        <w:rPr>
          <w:rFonts w:hint="eastAsia" w:asciiTheme="minorEastAsia" w:hAnsiTheme="minorEastAsia" w:eastAsiaTheme="minorEastAsia" w:cstheme="minorEastAsia"/>
          <w:color w:val="auto"/>
          <w:sz w:val="24"/>
          <w:szCs w:val="24"/>
          <w:highlight w:val="none"/>
          <w:lang w:val="en-US" w:eastAsia="zh-CN"/>
        </w:rPr>
        <w:t>人民币壹佰肆拾柒万壹仟壹佰贰拾元陆角捌分（￥1471120.68元）</w:t>
      </w:r>
    </w:p>
    <w:p w14:paraId="0EF8565C">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项目基本概况介绍：</w:t>
      </w:r>
      <w:r>
        <w:rPr>
          <w:rFonts w:hint="eastAsia" w:asciiTheme="minorEastAsia" w:hAnsiTheme="minorEastAsia" w:eastAsiaTheme="minorEastAsia" w:cstheme="minorEastAsia"/>
          <w:b w:val="0"/>
          <w:bCs w:val="0"/>
          <w:color w:val="auto"/>
          <w:sz w:val="24"/>
          <w:szCs w:val="24"/>
          <w:highlight w:val="none"/>
          <w:lang w:val="en-US" w:eastAsia="zh-CN"/>
        </w:rPr>
        <w:t>1、新建护坡工程、护栏工程、场地硬化工程等；具体内容以经财政投资评审的《工程量清单》为准，其施工技术标准详见《施工图设计》。</w:t>
      </w:r>
    </w:p>
    <w:p w14:paraId="75E037E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本项目是以工代赈示范性项目，项目中的劳务报酬发放应占项目资金比例30%以上；施工单位须安排当地低收入群众30人及以上参与项目建设，优先聘请本村人员，合理确定以工代赈劳务报酬标准，尽可能增加劳务报酬发放规模，劳务报酬要按月发放；同时需做好施工单位要建立统一规范的用工名册和劳务报酬发放台账，经务工人员签字确认后，原则上将劳务报酬通过银行卡发放至本人，并将劳务报酬发放台账送业主备案。</w:t>
      </w:r>
    </w:p>
    <w:p w14:paraId="73E671C7">
      <w:pPr>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b/>
          <w:bCs/>
          <w:color w:val="auto"/>
          <w:sz w:val="24"/>
          <w:szCs w:val="24"/>
          <w:highlight w:val="none"/>
        </w:rPr>
        <w:t>合同履行期限：</w:t>
      </w:r>
      <w:r>
        <w:rPr>
          <w:rFonts w:hint="eastAsia" w:asciiTheme="minorEastAsia" w:hAnsiTheme="minorEastAsia" w:eastAsiaTheme="minorEastAsia" w:cstheme="minorEastAsia"/>
          <w:color w:val="auto"/>
          <w:sz w:val="24"/>
          <w:szCs w:val="24"/>
          <w:highlight w:val="none"/>
          <w:lang w:val="en-US" w:eastAsia="zh-CN"/>
        </w:rPr>
        <w:t>具体以开工令为准，工期为210日历天。</w:t>
      </w:r>
    </w:p>
    <w:p w14:paraId="24C73BF7">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6" w:name="_Toc28359090"/>
      <w:bookmarkStart w:id="7" w:name="_Toc35393799"/>
      <w:bookmarkStart w:id="8" w:name="_Toc24254"/>
      <w:bookmarkStart w:id="9" w:name="_Toc35393630"/>
      <w:bookmarkStart w:id="10" w:name="_Toc28359013"/>
      <w:r>
        <w:rPr>
          <w:rFonts w:hint="eastAsia" w:asciiTheme="minorEastAsia" w:hAnsiTheme="minorEastAsia" w:eastAsiaTheme="minorEastAsia" w:cstheme="minorEastAsia"/>
          <w:b/>
          <w:bCs w:val="0"/>
          <w:color w:val="auto"/>
          <w:sz w:val="24"/>
          <w:szCs w:val="24"/>
          <w:highlight w:val="none"/>
        </w:rPr>
        <w:t>二、申请人的资格要求：</w:t>
      </w:r>
      <w:bookmarkEnd w:id="6"/>
      <w:bookmarkEnd w:id="7"/>
      <w:bookmarkEnd w:id="8"/>
      <w:bookmarkEnd w:id="9"/>
      <w:bookmarkEnd w:id="10"/>
    </w:p>
    <w:p w14:paraId="14805D9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14EFB5E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bookmarkStart w:id="11" w:name="_Toc28359091"/>
      <w:bookmarkStart w:id="12" w:name="_Toc28359014"/>
      <w:r>
        <w:rPr>
          <w:rFonts w:hint="eastAsia" w:asciiTheme="minorEastAsia" w:hAnsiTheme="minorEastAsia" w:eastAsiaTheme="minorEastAsia" w:cstheme="minorEastAsia"/>
          <w:color w:val="auto"/>
          <w:sz w:val="24"/>
          <w:szCs w:val="24"/>
          <w:highlight w:val="none"/>
        </w:rPr>
        <w:t>2.落实政府采购政策需满足的资格要求：</w:t>
      </w:r>
    </w:p>
    <w:p w14:paraId="5AE3419C">
      <w:pPr>
        <w:pStyle w:val="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☑专门面向中小企业采购的项目（供应商应为中小微企业、监狱企业、残疾人福利性单位）</w:t>
      </w:r>
    </w:p>
    <w:p w14:paraId="1CCA005D">
      <w:pPr>
        <w:pStyle w:val="6"/>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□非专门面向中小企业采购的项目</w:t>
      </w:r>
    </w:p>
    <w:p w14:paraId="3CA1B28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5407461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（1）磋商人具有市政公用工程施工总承包叁级以上（含叁级）资质，持有有效的省级及以上建设行政主管部门颁发的《安全生产许可证》，并在人员、设备、资金等方面具备相应的施工能力的供应商；</w:t>
      </w:r>
    </w:p>
    <w:p w14:paraId="0129214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拟投入的项目经理须具备市政工程专业注册建造师二级以上（含二级）执业资格和具备有效的安全生产考核合格证书（B类）【提供项目经理注册建造师执业资格证书和安全生产考核合格证书（B类）的扫描件】。</w:t>
      </w:r>
    </w:p>
    <w:p w14:paraId="28E363D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对在“信用中国”网站(www.creditchina.gov.cn)</w:t>
      </w:r>
      <w:r>
        <w:rPr>
          <w:rFonts w:hint="eastAsia" w:asciiTheme="minorEastAsia" w:hAnsiTheme="minorEastAsia" w:eastAsiaTheme="minorEastAsia" w:cstheme="minorEastAsia"/>
          <w:bCs/>
          <w:color w:val="auto"/>
          <w:sz w:val="24"/>
          <w:szCs w:val="24"/>
          <w:highlight w:val="none"/>
          <w:lang w:val="en-US" w:eastAsia="zh-CN"/>
        </w:rPr>
        <w:t>，</w:t>
      </w:r>
      <w:r>
        <w:rPr>
          <w:rFonts w:hint="eastAsia" w:asciiTheme="minorEastAsia" w:hAnsiTheme="minorEastAsia" w:eastAsiaTheme="minorEastAsia" w:cstheme="minorEastAsia"/>
          <w:bCs/>
          <w:color w:val="auto"/>
          <w:sz w:val="24"/>
          <w:szCs w:val="24"/>
          <w:highlight w:val="none"/>
        </w:rPr>
        <w:t>中国政府采购网(www.ccgp.gov.cn)等渠道列入失信被执行人、重大税收违法案件当事人名单、政府采购严重违法失信行为记录名单的</w:t>
      </w:r>
      <w:r>
        <w:rPr>
          <w:rFonts w:hint="eastAsia" w:asciiTheme="minorEastAsia" w:hAnsiTheme="minorEastAsia" w:eastAsiaTheme="minorEastAsia" w:cstheme="minorEastAsia"/>
          <w:bCs/>
          <w:color w:val="auto"/>
          <w:sz w:val="24"/>
          <w:szCs w:val="24"/>
          <w:highlight w:val="none"/>
          <w:lang w:eastAsia="zh-CN"/>
        </w:rPr>
        <w:t>磋商人</w:t>
      </w:r>
      <w:r>
        <w:rPr>
          <w:rFonts w:hint="eastAsia" w:asciiTheme="minorEastAsia" w:hAnsiTheme="minorEastAsia" w:eastAsiaTheme="minorEastAsia" w:cstheme="minorEastAsia"/>
          <w:bCs/>
          <w:color w:val="auto"/>
          <w:sz w:val="24"/>
          <w:szCs w:val="24"/>
          <w:highlight w:val="none"/>
        </w:rPr>
        <w:t>，不得参与政府采购活动</w:t>
      </w:r>
      <w:r>
        <w:rPr>
          <w:rFonts w:hint="eastAsia" w:asciiTheme="minorEastAsia" w:hAnsiTheme="minorEastAsia" w:eastAsiaTheme="minorEastAsia" w:cstheme="minorEastAsia"/>
          <w:color w:val="auto"/>
          <w:sz w:val="24"/>
          <w:szCs w:val="24"/>
          <w:highlight w:val="none"/>
        </w:rPr>
        <w:t>（以评标过程中查询结果为准）；</w:t>
      </w:r>
    </w:p>
    <w:p w14:paraId="5F3260F4">
      <w:pPr>
        <w:pStyle w:val="15"/>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）本项目不接受联合体磋商。</w:t>
      </w:r>
    </w:p>
    <w:p w14:paraId="4D871A22">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13" w:name="_Toc35393800"/>
      <w:bookmarkStart w:id="14" w:name="_Toc35393631"/>
      <w:bookmarkStart w:id="15" w:name="_Toc5006"/>
      <w:r>
        <w:rPr>
          <w:rFonts w:hint="eastAsia" w:asciiTheme="minorEastAsia" w:hAnsiTheme="minorEastAsia" w:eastAsiaTheme="minorEastAsia" w:cstheme="minorEastAsia"/>
          <w:b/>
          <w:bCs w:val="0"/>
          <w:color w:val="auto"/>
          <w:sz w:val="24"/>
          <w:szCs w:val="24"/>
          <w:highlight w:val="none"/>
        </w:rPr>
        <w:t>三、获取采购文件</w:t>
      </w:r>
      <w:bookmarkEnd w:id="11"/>
      <w:bookmarkEnd w:id="12"/>
      <w:bookmarkEnd w:id="13"/>
      <w:bookmarkEnd w:id="14"/>
      <w:bookmarkEnd w:id="15"/>
    </w:p>
    <w:p w14:paraId="1532307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FF0000"/>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时间：</w:t>
      </w:r>
      <w:r>
        <w:rPr>
          <w:rFonts w:hint="eastAsia" w:asciiTheme="minorEastAsia" w:hAnsiTheme="minorEastAsia" w:eastAsiaTheme="minorEastAsia" w:cstheme="minorEastAsia"/>
          <w:b w:val="0"/>
          <w:bCs/>
          <w:color w:val="FF0000"/>
          <w:sz w:val="24"/>
          <w:szCs w:val="24"/>
          <w:highlight w:val="none"/>
          <w:lang w:val="en-US" w:eastAsia="zh-CN"/>
        </w:rPr>
        <w:t>2025年04月03日公告发布之时至2025年04月11日17时30分（北京时间）；</w:t>
      </w:r>
    </w:p>
    <w:p w14:paraId="5CC2A60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地点：</w:t>
      </w:r>
      <w:r>
        <w:rPr>
          <w:rFonts w:hint="eastAsia" w:asciiTheme="minorEastAsia" w:hAnsiTheme="minorEastAsia" w:eastAsiaTheme="minorEastAsia" w:cstheme="minorEastAsia"/>
          <w:bCs/>
          <w:color w:val="auto"/>
          <w:sz w:val="24"/>
          <w:szCs w:val="24"/>
          <w:highlight w:val="none"/>
          <w:lang w:val="en-US" w:eastAsia="zh-CN"/>
        </w:rPr>
        <w:t>自行</w:t>
      </w:r>
      <w:r>
        <w:rPr>
          <w:rFonts w:hint="eastAsia" w:asciiTheme="minorEastAsia" w:hAnsiTheme="minorEastAsia" w:eastAsiaTheme="minorEastAsia" w:cstheme="minorEastAsia"/>
          <w:bCs/>
          <w:color w:val="auto"/>
          <w:sz w:val="24"/>
          <w:szCs w:val="24"/>
          <w:highlight w:val="none"/>
        </w:rPr>
        <w:t>登录</w:t>
      </w:r>
      <w:r>
        <w:rPr>
          <w:rFonts w:hint="eastAsia" w:asciiTheme="minorEastAsia" w:hAnsiTheme="minorEastAsia" w:eastAsiaTheme="minorEastAsia" w:cstheme="minorEastAsia"/>
          <w:bCs/>
          <w:color w:val="auto"/>
          <w:sz w:val="24"/>
          <w:szCs w:val="24"/>
          <w:highlight w:val="none"/>
          <w:lang w:eastAsia="zh-CN"/>
        </w:rPr>
        <w:t>广西政府采购云平台（https://www.gcy.zfcg.gxzf.gov.cn/）</w:t>
      </w:r>
      <w:r>
        <w:rPr>
          <w:rFonts w:hint="eastAsia" w:asciiTheme="minorEastAsia" w:hAnsiTheme="minorEastAsia" w:eastAsiaTheme="minorEastAsia" w:cstheme="minorEastAsia"/>
          <w:bCs/>
          <w:color w:val="auto"/>
          <w:sz w:val="24"/>
          <w:szCs w:val="24"/>
          <w:highlight w:val="none"/>
        </w:rPr>
        <w:t>在线获取</w:t>
      </w:r>
      <w:r>
        <w:rPr>
          <w:rFonts w:hint="eastAsia" w:asciiTheme="minorEastAsia" w:hAnsiTheme="minorEastAsia" w:eastAsiaTheme="minorEastAsia" w:cstheme="minorEastAsia"/>
          <w:bCs/>
          <w:color w:val="auto"/>
          <w:sz w:val="24"/>
          <w:szCs w:val="24"/>
          <w:highlight w:val="none"/>
          <w:lang w:val="en-US" w:eastAsia="zh-CN"/>
        </w:rPr>
        <w:t>竞争性磋商</w:t>
      </w:r>
      <w:r>
        <w:rPr>
          <w:rFonts w:hint="eastAsia" w:asciiTheme="minorEastAsia" w:hAnsiTheme="minorEastAsia" w:eastAsiaTheme="minorEastAsia" w:cstheme="minorEastAsia"/>
          <w:bCs/>
          <w:color w:val="auto"/>
          <w:sz w:val="24"/>
          <w:szCs w:val="24"/>
          <w:highlight w:val="none"/>
        </w:rPr>
        <w:t>文件（操作路径：登录“</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”平台-项目采购-获取采购文件-找到本项目-点击“申请获取采购文件”）。尚未注册的供应商可在</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平台完成注册后在线获取</w:t>
      </w:r>
      <w:r>
        <w:rPr>
          <w:rFonts w:hint="eastAsia" w:asciiTheme="minorEastAsia" w:hAnsiTheme="minorEastAsia" w:eastAsiaTheme="minorEastAsia" w:cstheme="minorEastAsia"/>
          <w:bCs/>
          <w:color w:val="auto"/>
          <w:sz w:val="24"/>
          <w:szCs w:val="24"/>
          <w:highlight w:val="none"/>
          <w:lang w:val="en-US" w:eastAsia="zh-CN"/>
        </w:rPr>
        <w:t>竞争性磋商</w:t>
      </w:r>
      <w:r>
        <w:rPr>
          <w:rFonts w:hint="eastAsia" w:asciiTheme="minorEastAsia" w:hAnsiTheme="minorEastAsia" w:eastAsiaTheme="minorEastAsia" w:cstheme="minorEastAsia"/>
          <w:bCs/>
          <w:color w:val="auto"/>
          <w:sz w:val="24"/>
          <w:szCs w:val="24"/>
          <w:highlight w:val="none"/>
        </w:rPr>
        <w:t>文件（</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平台-商家入驻-注册）</w:t>
      </w:r>
      <w:r>
        <w:rPr>
          <w:rFonts w:hint="eastAsia" w:asciiTheme="minorEastAsia" w:hAnsiTheme="minorEastAsia" w:eastAsiaTheme="minorEastAsia" w:cstheme="minorEastAsia"/>
          <w:bCs/>
          <w:color w:val="auto"/>
          <w:sz w:val="24"/>
          <w:szCs w:val="24"/>
          <w:highlight w:val="none"/>
          <w:lang w:val="en-US" w:eastAsia="zh-CN"/>
        </w:rPr>
        <w:t>；</w:t>
      </w:r>
    </w:p>
    <w:p w14:paraId="52ECD65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方式：</w:t>
      </w:r>
      <w:r>
        <w:rPr>
          <w:rFonts w:hint="eastAsia" w:asciiTheme="minorEastAsia" w:hAnsiTheme="minorEastAsia" w:eastAsiaTheme="minorEastAsia" w:cstheme="minorEastAsia"/>
          <w:bCs/>
          <w:color w:val="auto"/>
          <w:sz w:val="24"/>
          <w:szCs w:val="24"/>
          <w:highlight w:val="none"/>
          <w:lang w:val="en-US" w:eastAsia="zh-CN"/>
        </w:rPr>
        <w:t>网上在线报名获取。</w:t>
      </w:r>
    </w:p>
    <w:p w14:paraId="1CC74D47">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val="en-US" w:eastAsia="zh-CN"/>
        </w:rPr>
        <w:t>本项目采用资格后审，已获取竞争性磋商文件的供应商不等于符合本项目资格要求。电子响应文件制作需要基于“广西政采云”平台获取的竞争性磋商文件编制。</w:t>
      </w:r>
    </w:p>
    <w:p w14:paraId="4307AD2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售价：</w:t>
      </w:r>
      <w:r>
        <w:rPr>
          <w:rFonts w:hint="eastAsia" w:asciiTheme="minorEastAsia" w:hAnsiTheme="minorEastAsia" w:eastAsiaTheme="minorEastAsia" w:cstheme="minorEastAsia"/>
          <w:bCs/>
          <w:color w:val="auto"/>
          <w:sz w:val="24"/>
          <w:szCs w:val="24"/>
          <w:highlight w:val="none"/>
          <w:lang w:val="en-US" w:eastAsia="zh-CN"/>
        </w:rPr>
        <w:t>0</w:t>
      </w:r>
      <w:r>
        <w:rPr>
          <w:rFonts w:hint="eastAsia" w:asciiTheme="minorEastAsia" w:hAnsiTheme="minorEastAsia" w:eastAsiaTheme="minorEastAsia" w:cstheme="minorEastAsia"/>
          <w:bCs/>
          <w:color w:val="auto"/>
          <w:sz w:val="24"/>
          <w:szCs w:val="24"/>
          <w:highlight w:val="none"/>
        </w:rPr>
        <w:t>元</w:t>
      </w:r>
      <w:r>
        <w:rPr>
          <w:rFonts w:hint="eastAsia" w:asciiTheme="minorEastAsia" w:hAnsiTheme="minorEastAsia" w:eastAsiaTheme="minorEastAsia" w:cstheme="minorEastAsia"/>
          <w:bCs/>
          <w:color w:val="auto"/>
          <w:sz w:val="24"/>
          <w:szCs w:val="24"/>
          <w:highlight w:val="none"/>
          <w:lang w:eastAsia="zh-CN"/>
        </w:rPr>
        <w:t>。</w:t>
      </w:r>
    </w:p>
    <w:p w14:paraId="74811394">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16" w:name="_Toc28359092"/>
      <w:bookmarkStart w:id="17" w:name="_Toc35393632"/>
      <w:bookmarkStart w:id="18" w:name="_Toc35393801"/>
      <w:bookmarkStart w:id="19" w:name="_Toc22501"/>
      <w:bookmarkStart w:id="20" w:name="_Toc28359015"/>
      <w:r>
        <w:rPr>
          <w:rFonts w:hint="eastAsia" w:asciiTheme="minorEastAsia" w:hAnsiTheme="minorEastAsia" w:eastAsiaTheme="minorEastAsia" w:cstheme="minorEastAsia"/>
          <w:b/>
          <w:bCs w:val="0"/>
          <w:color w:val="auto"/>
          <w:sz w:val="24"/>
          <w:szCs w:val="24"/>
          <w:highlight w:val="none"/>
        </w:rPr>
        <w:t>四、响应文件提交</w:t>
      </w:r>
      <w:bookmarkEnd w:id="16"/>
      <w:bookmarkEnd w:id="17"/>
      <w:bookmarkEnd w:id="18"/>
      <w:bookmarkEnd w:id="19"/>
      <w:bookmarkEnd w:id="20"/>
    </w:p>
    <w:p w14:paraId="7777D3D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截止时间：</w:t>
      </w:r>
      <w:r>
        <w:rPr>
          <w:rFonts w:hint="eastAsia" w:asciiTheme="minorEastAsia" w:hAnsiTheme="minorEastAsia" w:eastAsiaTheme="minorEastAsia" w:cstheme="minorEastAsia"/>
          <w:color w:val="FF0000"/>
          <w:sz w:val="24"/>
          <w:szCs w:val="24"/>
          <w:highlight w:val="none"/>
          <w:u w:val="single"/>
          <w:lang w:val="en-US" w:eastAsia="zh-CN"/>
        </w:rPr>
        <w:t>2025年04月17日09时00分</w:t>
      </w:r>
      <w:r>
        <w:rPr>
          <w:rFonts w:hint="eastAsia" w:asciiTheme="minorEastAsia" w:hAnsiTheme="minorEastAsia" w:eastAsiaTheme="minorEastAsia" w:cstheme="minorEastAsia"/>
          <w:bCs/>
          <w:color w:val="FF0000"/>
          <w:sz w:val="24"/>
          <w:szCs w:val="24"/>
          <w:highlight w:val="none"/>
          <w:u w:val="single"/>
          <w:lang w:val="en-US" w:eastAsia="zh-CN"/>
        </w:rPr>
        <w:t xml:space="preserve"> </w:t>
      </w:r>
      <w:r>
        <w:rPr>
          <w:rFonts w:hint="eastAsia" w:asciiTheme="minorEastAsia" w:hAnsiTheme="minorEastAsia" w:eastAsiaTheme="minorEastAsia" w:cstheme="minorEastAsia"/>
          <w:bCs/>
          <w:color w:val="FF0000"/>
          <w:sz w:val="24"/>
          <w:szCs w:val="24"/>
          <w:highlight w:val="none"/>
        </w:rPr>
        <w:t>（</w:t>
      </w:r>
      <w:r>
        <w:rPr>
          <w:rFonts w:hint="eastAsia" w:asciiTheme="minorEastAsia" w:hAnsiTheme="minorEastAsia" w:eastAsiaTheme="minorEastAsia" w:cstheme="minorEastAsia"/>
          <w:bCs/>
          <w:color w:val="auto"/>
          <w:sz w:val="24"/>
          <w:szCs w:val="24"/>
          <w:highlight w:val="none"/>
        </w:rPr>
        <w:t>北京时间）</w:t>
      </w:r>
      <w:r>
        <w:rPr>
          <w:rFonts w:hint="eastAsia" w:asciiTheme="minorEastAsia" w:hAnsiTheme="minorEastAsia" w:eastAsiaTheme="minorEastAsia" w:cstheme="minorEastAsia"/>
          <w:bCs/>
          <w:color w:val="auto"/>
          <w:sz w:val="24"/>
          <w:szCs w:val="24"/>
          <w:highlight w:val="none"/>
          <w:lang w:eastAsia="zh-CN"/>
        </w:rPr>
        <w:t>；</w:t>
      </w:r>
    </w:p>
    <w:p w14:paraId="48AF47CA">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地点：本项目为贺州市电子化项目，通过广西政府采购云平台（https://www.gcy.zfcg.gxzf.gov.cn/）客户端实行在线电子投标</w:t>
      </w:r>
      <w:r>
        <w:rPr>
          <w:rFonts w:hint="eastAsia" w:asciiTheme="minorEastAsia" w:hAnsiTheme="minorEastAsia" w:eastAsiaTheme="minorEastAsia" w:cstheme="minorEastAsia"/>
          <w:color w:val="auto"/>
          <w:sz w:val="24"/>
          <w:szCs w:val="24"/>
          <w:highlight w:val="none"/>
          <w:lang w:eastAsia="zh-CN"/>
        </w:rPr>
        <w:t>。</w:t>
      </w:r>
    </w:p>
    <w:p w14:paraId="2FC1D669">
      <w:pPr>
        <w:pStyle w:val="3"/>
        <w:pageBreakBefore w:val="0"/>
        <w:widowControl w:val="0"/>
        <w:kinsoku/>
        <w:wordWrap/>
        <w:overflowPunct/>
        <w:topLinePunct w:val="0"/>
        <w:autoSpaceDE/>
        <w:autoSpaceDN/>
        <w:bidi w:val="0"/>
        <w:adjustRightInd/>
        <w:snapToGrid/>
        <w:spacing w:before="0" w:after="0" w:line="400" w:lineRule="exact"/>
        <w:jc w:val="both"/>
        <w:textAlignment w:val="auto"/>
        <w:rPr>
          <w:rFonts w:hint="eastAsia" w:asciiTheme="minorEastAsia" w:hAnsiTheme="minorEastAsia" w:eastAsiaTheme="minorEastAsia" w:cstheme="minorEastAsia"/>
          <w:b/>
          <w:bCs w:val="0"/>
          <w:color w:val="auto"/>
          <w:sz w:val="24"/>
          <w:szCs w:val="24"/>
          <w:highlight w:val="none"/>
          <w:lang w:val="en-US" w:eastAsia="zh-CN"/>
        </w:rPr>
      </w:pPr>
      <w:bookmarkStart w:id="21" w:name="_Toc28359093"/>
      <w:bookmarkStart w:id="22" w:name="_Toc35393633"/>
      <w:bookmarkStart w:id="23" w:name="_Toc35393802"/>
      <w:bookmarkStart w:id="24" w:name="_Toc16697"/>
      <w:bookmarkStart w:id="25" w:name="_Toc28359016"/>
      <w:r>
        <w:rPr>
          <w:rFonts w:hint="eastAsia" w:asciiTheme="minorEastAsia" w:hAnsiTheme="minorEastAsia" w:eastAsiaTheme="minorEastAsia" w:cstheme="minorEastAsia"/>
          <w:b/>
          <w:bCs w:val="0"/>
          <w:color w:val="auto"/>
          <w:sz w:val="24"/>
          <w:szCs w:val="24"/>
          <w:highlight w:val="none"/>
          <w:lang w:val="en-US" w:eastAsia="zh-CN"/>
        </w:rPr>
        <w:t>五、开启</w:t>
      </w:r>
      <w:bookmarkEnd w:id="21"/>
      <w:bookmarkEnd w:id="22"/>
      <w:bookmarkEnd w:id="23"/>
      <w:bookmarkEnd w:id="24"/>
      <w:bookmarkEnd w:id="25"/>
    </w:p>
    <w:p w14:paraId="0E4F068C">
      <w:pPr>
        <w:pStyle w:val="3"/>
        <w:pageBreakBefore w:val="0"/>
        <w:widowControl w:val="0"/>
        <w:kinsoku/>
        <w:wordWrap/>
        <w:overflowPunct/>
        <w:topLinePunct w:val="0"/>
        <w:autoSpaceDE/>
        <w:autoSpaceDN/>
        <w:bidi w:val="0"/>
        <w:adjustRightInd/>
        <w:snapToGrid/>
        <w:spacing w:before="0" w:after="0" w:line="400" w:lineRule="exact"/>
        <w:ind w:firstLine="480" w:firstLineChars="200"/>
        <w:jc w:val="left"/>
        <w:textAlignment w:val="auto"/>
        <w:rPr>
          <w:rFonts w:hint="eastAsia" w:asciiTheme="minorEastAsia" w:hAnsiTheme="minorEastAsia" w:eastAsiaTheme="minorEastAsia" w:cstheme="minorEastAsia"/>
          <w:b w:val="0"/>
          <w:bCs/>
          <w:color w:val="auto"/>
          <w:sz w:val="24"/>
          <w:szCs w:val="24"/>
          <w:highlight w:val="none"/>
          <w:lang w:eastAsia="zh-CN"/>
        </w:rPr>
      </w:pPr>
      <w:bookmarkStart w:id="26" w:name="_Toc1573"/>
      <w:r>
        <w:rPr>
          <w:rFonts w:hint="eastAsia" w:asciiTheme="minorEastAsia" w:hAnsiTheme="minorEastAsia" w:eastAsiaTheme="minorEastAsia" w:cstheme="minorEastAsia"/>
          <w:b w:val="0"/>
          <w:bCs/>
          <w:color w:val="auto"/>
          <w:sz w:val="24"/>
          <w:szCs w:val="24"/>
          <w:highlight w:val="none"/>
        </w:rPr>
        <w:t>时间：</w:t>
      </w:r>
      <w:r>
        <w:rPr>
          <w:rFonts w:hint="eastAsia" w:asciiTheme="minorEastAsia" w:hAnsiTheme="minorEastAsia" w:eastAsiaTheme="minorEastAsia" w:cstheme="minorEastAsia"/>
          <w:b w:val="0"/>
          <w:bCs/>
          <w:color w:val="FF0000"/>
          <w:sz w:val="24"/>
          <w:szCs w:val="24"/>
          <w:highlight w:val="none"/>
          <w:u w:val="single"/>
          <w:lang w:val="en-US" w:eastAsia="zh-CN"/>
        </w:rPr>
        <w:t xml:space="preserve">2025年04月17日09时00分 </w:t>
      </w:r>
      <w:r>
        <w:rPr>
          <w:rFonts w:hint="eastAsia" w:asciiTheme="minorEastAsia" w:hAnsiTheme="minorEastAsia" w:eastAsiaTheme="minorEastAsia" w:cstheme="minorEastAsia"/>
          <w:b w:val="0"/>
          <w:bCs/>
          <w:color w:val="auto"/>
          <w:sz w:val="24"/>
          <w:szCs w:val="24"/>
          <w:highlight w:val="none"/>
        </w:rPr>
        <w:t>（北京时间）</w:t>
      </w:r>
      <w:bookmarkEnd w:id="26"/>
    </w:p>
    <w:p w14:paraId="77EC765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val="0"/>
          <w:bCs/>
          <w:color w:val="auto"/>
          <w:sz w:val="24"/>
          <w:szCs w:val="24"/>
          <w:highlight w:val="none"/>
        </w:rPr>
        <w:t>地点：</w:t>
      </w:r>
      <w:r>
        <w:rPr>
          <w:rFonts w:hint="eastAsia" w:asciiTheme="minorEastAsia" w:hAnsiTheme="minorEastAsia" w:eastAsiaTheme="minorEastAsia" w:cstheme="minorEastAsia"/>
          <w:b w:val="0"/>
          <w:bCs/>
          <w:color w:val="FF0000"/>
          <w:sz w:val="24"/>
          <w:szCs w:val="24"/>
          <w:highlight w:val="none"/>
        </w:rPr>
        <w:t>贺州市政务服务中心东侧附属楼政采</w:t>
      </w:r>
      <w:r>
        <w:rPr>
          <w:rFonts w:hint="eastAsia" w:asciiTheme="minorEastAsia" w:hAnsiTheme="minorEastAsia" w:eastAsiaTheme="minorEastAsia" w:cstheme="minorEastAsia"/>
          <w:b w:val="0"/>
          <w:bCs/>
          <w:color w:val="FF0000"/>
          <w:sz w:val="24"/>
          <w:szCs w:val="24"/>
          <w:highlight w:val="none"/>
          <w:lang w:val="en-US" w:eastAsia="zh-CN"/>
        </w:rPr>
        <w:t>开标</w:t>
      </w:r>
      <w:r>
        <w:rPr>
          <w:rFonts w:hint="eastAsia" w:asciiTheme="minorEastAsia" w:hAnsiTheme="minorEastAsia" w:eastAsiaTheme="minorEastAsia" w:cstheme="minorEastAsia"/>
          <w:b w:val="0"/>
          <w:bCs/>
          <w:color w:val="FF0000"/>
          <w:sz w:val="24"/>
          <w:szCs w:val="24"/>
          <w:highlight w:val="none"/>
        </w:rPr>
        <w:t>室</w:t>
      </w:r>
      <w:r>
        <w:rPr>
          <w:rFonts w:hint="eastAsia" w:asciiTheme="minorEastAsia" w:hAnsiTheme="minorEastAsia" w:eastAsiaTheme="minorEastAsia" w:cstheme="minorEastAsia"/>
          <w:b w:val="0"/>
          <w:bCs/>
          <w:color w:val="FF0000"/>
          <w:sz w:val="24"/>
          <w:szCs w:val="24"/>
          <w:highlight w:val="none"/>
          <w:lang w:val="en-US" w:eastAsia="zh-CN"/>
        </w:rPr>
        <w:t>三</w:t>
      </w:r>
      <w:r>
        <w:rPr>
          <w:rFonts w:hint="eastAsia" w:ascii="宋体" w:hAnsi="宋体" w:cs="宋体"/>
          <w:bCs/>
          <w:color w:val="FF0000"/>
          <w:sz w:val="24"/>
          <w:szCs w:val="24"/>
        </w:rPr>
        <w:t>。</w:t>
      </w:r>
    </w:p>
    <w:p w14:paraId="781FB80B">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27" w:name="_Toc35393803"/>
      <w:bookmarkStart w:id="28" w:name="_Toc28359094"/>
      <w:bookmarkStart w:id="29" w:name="_Toc2266"/>
      <w:bookmarkStart w:id="30" w:name="_Toc35393634"/>
      <w:bookmarkStart w:id="31" w:name="_Toc28359017"/>
      <w:r>
        <w:rPr>
          <w:rFonts w:hint="eastAsia" w:asciiTheme="minorEastAsia" w:hAnsiTheme="minorEastAsia" w:eastAsiaTheme="minorEastAsia" w:cstheme="minorEastAsia"/>
          <w:b/>
          <w:bCs w:val="0"/>
          <w:color w:val="auto"/>
          <w:sz w:val="24"/>
          <w:szCs w:val="24"/>
          <w:highlight w:val="none"/>
        </w:rPr>
        <w:t>六、公告期限</w:t>
      </w:r>
      <w:bookmarkEnd w:id="27"/>
      <w:bookmarkEnd w:id="28"/>
      <w:bookmarkEnd w:id="29"/>
      <w:bookmarkEnd w:id="30"/>
      <w:bookmarkEnd w:id="31"/>
    </w:p>
    <w:p w14:paraId="756B422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自本公告发布之日起</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highlight w:val="none"/>
        </w:rPr>
        <w:t>个工作日。</w:t>
      </w:r>
    </w:p>
    <w:p w14:paraId="2E2F9C42">
      <w:pPr>
        <w:pStyle w:val="3"/>
        <w:pageBreakBefore w:val="0"/>
        <w:widowControl w:val="0"/>
        <w:numPr>
          <w:ilvl w:val="0"/>
          <w:numId w:val="2"/>
        </w:numPr>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32" w:name="_Toc35393804"/>
      <w:bookmarkStart w:id="33" w:name="_Toc20414"/>
      <w:bookmarkStart w:id="34" w:name="_Toc35393635"/>
      <w:r>
        <w:rPr>
          <w:rFonts w:hint="eastAsia" w:asciiTheme="minorEastAsia" w:hAnsiTheme="minorEastAsia" w:eastAsiaTheme="minorEastAsia" w:cstheme="minorEastAsia"/>
          <w:b/>
          <w:bCs w:val="0"/>
          <w:color w:val="auto"/>
          <w:sz w:val="24"/>
          <w:szCs w:val="24"/>
          <w:highlight w:val="none"/>
        </w:rPr>
        <w:t>其他补充事宜</w:t>
      </w:r>
      <w:bookmarkEnd w:id="32"/>
      <w:bookmarkEnd w:id="33"/>
      <w:bookmarkEnd w:id="34"/>
    </w:p>
    <w:p w14:paraId="4310FE2D">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7.1 《政府采购促进中小企业发展管理办法》（财库[2020]46号）、《关于政府采购支持监狱企业发展有关问题的通知（财库[2014]68号）》、《关于促进残疾人就业采购政策的通知（财库[2017]141号）》文件指导精神：对小型和微型企业（监狱企业（提供由省级以上监狱管理局、戒毒管理局（含新疆生产建设兵团）出具的属于监狱企业的证明文件）、残疾人福利性单位均视为小型和微型企业）的价格给予20%的扣除。</w:t>
      </w:r>
      <w:r>
        <w:rPr>
          <w:rFonts w:hint="eastAsia" w:asciiTheme="minorEastAsia" w:hAnsiTheme="minorEastAsia" w:eastAsiaTheme="minorEastAsia" w:cstheme="minorEastAsia"/>
          <w:b/>
          <w:bCs w:val="0"/>
          <w:color w:val="auto"/>
          <w:kern w:val="2"/>
          <w:sz w:val="24"/>
          <w:szCs w:val="24"/>
          <w:highlight w:val="none"/>
          <w:lang w:val="en-US" w:eastAsia="zh-CN" w:bidi="ar-SA"/>
        </w:rPr>
        <w:t>本项目为专门面向“中小企业”的项目，不再执行价格评审优惠的扶持政策。</w:t>
      </w:r>
    </w:p>
    <w:p w14:paraId="54C35ED8">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7.2磋商保证金（人民币）：</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本项目无须缴纳磋商保证金</w:t>
      </w:r>
      <w:r>
        <w:rPr>
          <w:rFonts w:hint="eastAsia" w:asciiTheme="minorEastAsia" w:hAnsiTheme="minorEastAsia" w:eastAsiaTheme="minorEastAsia" w:cstheme="minorEastAsia"/>
          <w:b w:val="0"/>
          <w:bCs/>
          <w:color w:val="auto"/>
          <w:kern w:val="2"/>
          <w:sz w:val="24"/>
          <w:szCs w:val="24"/>
          <w:highlight w:val="none"/>
          <w:lang w:val="en-US" w:eastAsia="zh-CN" w:bidi="ar-SA"/>
        </w:rPr>
        <w:t>。</w:t>
      </w:r>
      <w:r>
        <w:rPr>
          <w:rFonts w:hint="eastAsia" w:asciiTheme="minorEastAsia" w:hAnsiTheme="minorEastAsia" w:eastAsiaTheme="minorEastAsia" w:cstheme="minorEastAsia"/>
          <w:b w:val="0"/>
          <w:bCs/>
          <w:color w:val="auto"/>
          <w:kern w:val="2"/>
          <w:sz w:val="24"/>
          <w:szCs w:val="24"/>
          <w:highlight w:val="none"/>
          <w:lang w:val="en-US" w:eastAsia="zh-CN" w:bidi="ar-SA"/>
        </w:rPr>
        <w:tab/>
      </w:r>
    </w:p>
    <w:p w14:paraId="1AC753E1">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对风险较低、规模较小的采购项目，受疫情影响的中小微企业（在提供真实可信证明材料的前提下），停止收取投标保证金和履约保证金。</w:t>
      </w:r>
    </w:p>
    <w:p w14:paraId="77B0BA52">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7.3评标办法和评标标准：综合评分法。</w:t>
      </w:r>
    </w:p>
    <w:p w14:paraId="710070AB">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7.4发布公告的媒介：</w:t>
      </w:r>
    </w:p>
    <w:p w14:paraId="4406A55F">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本次公告同时在中国政府采购网、广西壮族自治区政府采购网、全国公共资源交易平台（广西贺州）发布。</w:t>
      </w:r>
    </w:p>
    <w:p w14:paraId="129705F0">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7.5监督部门：</w:t>
      </w:r>
    </w:p>
    <w:p w14:paraId="4A683203">
      <w:pPr>
        <w:pageBreakBefore w:val="0"/>
        <w:kinsoku/>
        <w:wordWrap/>
        <w:overflowPunct/>
        <w:topLinePunct w:val="0"/>
        <w:autoSpaceDE/>
        <w:autoSpaceDN/>
        <w:bidi w:val="0"/>
        <w:snapToGrid/>
        <w:spacing w:line="400" w:lineRule="exact"/>
        <w:ind w:firstLine="960" w:firstLineChars="4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昭平县政府采购管理办公室，联系电话：0774-6689708 </w:t>
      </w:r>
    </w:p>
    <w:p w14:paraId="3030DEF5">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p>
    <w:p w14:paraId="40743CEF">
      <w:pPr>
        <w:pStyle w:val="15"/>
        <w:ind w:firstLine="480" w:firstLineChars="200"/>
        <w:rPr>
          <w:rFonts w:hint="eastAsia"/>
          <w:color w:val="auto"/>
          <w:lang w:val="en-US" w:eastAsia="zh-CN"/>
        </w:rPr>
      </w:pPr>
      <w:r>
        <w:rPr>
          <w:rFonts w:hint="eastAsia" w:asciiTheme="minorEastAsia" w:hAnsiTheme="minorEastAsia" w:eastAsiaTheme="minorEastAsia" w:cstheme="minorEastAsia"/>
          <w:b w:val="0"/>
          <w:bCs/>
          <w:color w:val="auto"/>
          <w:kern w:val="2"/>
          <w:sz w:val="24"/>
          <w:szCs w:val="24"/>
          <w:highlight w:val="none"/>
          <w:lang w:val="en-US" w:eastAsia="zh-CN" w:bidi="ar-SA"/>
        </w:rPr>
        <w:t>7.7评标说明注意事项：本项目采用远程异地评标，评标主会场地址：贺州市公共资源交易中心（贺州市太白西路161号（交易大厅：贺州市政务服务中心东侧附属楼），详见现场评标室安排。评标副会场地址：来宾市公共资源交易中心（广西壮族自治区来宾市兴宾区来宾市红水河大道331号三楼），详见现场电子评标室安排。</w:t>
      </w:r>
    </w:p>
    <w:p w14:paraId="10E7CF1C">
      <w:pPr>
        <w:pStyle w:val="3"/>
        <w:pageBreakBefore w:val="0"/>
        <w:widowControl w:val="0"/>
        <w:kinsoku/>
        <w:wordWrap/>
        <w:overflowPunct/>
        <w:topLinePunct w:val="0"/>
        <w:autoSpaceDE/>
        <w:autoSpaceDN/>
        <w:bidi w:val="0"/>
        <w:adjustRightInd/>
        <w:snapToGrid/>
        <w:spacing w:before="0" w:after="0" w:line="400" w:lineRule="exact"/>
        <w:jc w:val="left"/>
        <w:textAlignment w:val="auto"/>
        <w:rPr>
          <w:rFonts w:hint="eastAsia" w:asciiTheme="minorEastAsia" w:hAnsiTheme="minorEastAsia" w:eastAsiaTheme="minorEastAsia" w:cstheme="minorEastAsia"/>
          <w:b/>
          <w:bCs w:val="0"/>
          <w:color w:val="auto"/>
          <w:sz w:val="24"/>
          <w:szCs w:val="24"/>
          <w:highlight w:val="none"/>
        </w:rPr>
      </w:pPr>
      <w:bookmarkStart w:id="35" w:name="_Toc957"/>
      <w:bookmarkStart w:id="36" w:name="_Toc35393805"/>
      <w:bookmarkStart w:id="37" w:name="_Toc35393636"/>
      <w:bookmarkStart w:id="38" w:name="_Toc28359018"/>
      <w:bookmarkStart w:id="39" w:name="_Toc28359095"/>
      <w:r>
        <w:rPr>
          <w:rFonts w:hint="eastAsia" w:asciiTheme="minorEastAsia" w:hAnsiTheme="minorEastAsia" w:eastAsiaTheme="minorEastAsia" w:cstheme="minorEastAsia"/>
          <w:b/>
          <w:bCs w:val="0"/>
          <w:color w:val="auto"/>
          <w:sz w:val="24"/>
          <w:szCs w:val="24"/>
          <w:highlight w:val="none"/>
        </w:rPr>
        <w:t>八、凡对本次采购提出询问，请按以下方式联系。</w:t>
      </w:r>
      <w:bookmarkEnd w:id="35"/>
      <w:bookmarkEnd w:id="36"/>
      <w:bookmarkEnd w:id="37"/>
      <w:bookmarkEnd w:id="38"/>
      <w:bookmarkEnd w:id="39"/>
    </w:p>
    <w:p w14:paraId="522A645B">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rPr>
      </w:pPr>
      <w:bookmarkStart w:id="40" w:name="_Toc28359019"/>
      <w:bookmarkStart w:id="41" w:name="_Toc35393637"/>
      <w:bookmarkStart w:id="42" w:name="_Toc28359096"/>
      <w:bookmarkStart w:id="43" w:name="_Toc35393806"/>
      <w:r>
        <w:rPr>
          <w:rFonts w:hint="eastAsia" w:asciiTheme="minorEastAsia" w:hAnsiTheme="minorEastAsia" w:eastAsiaTheme="minorEastAsia" w:cstheme="minorEastAsia"/>
          <w:color w:val="auto"/>
          <w:sz w:val="24"/>
          <w:szCs w:val="24"/>
          <w:highlight w:val="none"/>
        </w:rPr>
        <w:t>1.采购人信息</w:t>
      </w:r>
      <w:bookmarkEnd w:id="40"/>
      <w:bookmarkEnd w:id="41"/>
      <w:bookmarkEnd w:id="42"/>
      <w:bookmarkEnd w:id="43"/>
    </w:p>
    <w:p w14:paraId="29F1FB61">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名    </w:t>
      </w:r>
      <w:r>
        <w:rPr>
          <w:rFonts w:hint="eastAsia" w:asciiTheme="minorEastAsia" w:hAnsiTheme="minorEastAsia" w:eastAsiaTheme="minorEastAsia" w:cstheme="minorEastAsia"/>
          <w:color w:val="auto"/>
          <w:sz w:val="24"/>
          <w:szCs w:val="24"/>
          <w:highlight w:val="none"/>
          <w:lang w:eastAsia="zh-CN"/>
        </w:rPr>
        <w:t>称：昭平县五将镇人民政府</w:t>
      </w:r>
    </w:p>
    <w:p w14:paraId="06B2CE16">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 xml:space="preserve">地    址：昭平县五将镇 </w:t>
      </w:r>
    </w:p>
    <w:p w14:paraId="53CCD70A">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联系方式：</w:t>
      </w:r>
      <w:r>
        <w:rPr>
          <w:rFonts w:hint="eastAsia" w:asciiTheme="minorEastAsia" w:hAnsiTheme="minorEastAsia" w:eastAsiaTheme="minorEastAsia" w:cstheme="minorEastAsia"/>
          <w:color w:val="auto"/>
          <w:sz w:val="24"/>
          <w:szCs w:val="24"/>
          <w:highlight w:val="none"/>
          <w:lang w:val="en-US" w:eastAsia="zh-CN"/>
        </w:rPr>
        <w:t xml:space="preserve">吴艳 0774-2566600      </w:t>
      </w:r>
    </w:p>
    <w:p w14:paraId="27E4265A">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rPr>
      </w:pPr>
      <w:bookmarkStart w:id="44" w:name="_Toc35393807"/>
      <w:bookmarkStart w:id="45" w:name="_Toc35393638"/>
      <w:bookmarkStart w:id="46" w:name="_Toc28359020"/>
      <w:bookmarkStart w:id="47" w:name="_Toc28359097"/>
      <w:r>
        <w:rPr>
          <w:rFonts w:hint="eastAsia" w:asciiTheme="minorEastAsia" w:hAnsiTheme="minorEastAsia" w:eastAsiaTheme="minorEastAsia" w:cstheme="minorEastAsia"/>
          <w:color w:val="auto"/>
          <w:sz w:val="24"/>
          <w:szCs w:val="24"/>
          <w:highlight w:val="none"/>
        </w:rPr>
        <w:t>2.采购代理机构信息</w:t>
      </w:r>
      <w:bookmarkEnd w:id="44"/>
      <w:bookmarkEnd w:id="45"/>
      <w:bookmarkEnd w:id="46"/>
      <w:bookmarkEnd w:id="47"/>
    </w:p>
    <w:p w14:paraId="06BCB41A">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名    称：</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p>
    <w:p w14:paraId="5411622A">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eastAsia="zh-CN"/>
        </w:rPr>
        <w:t>贺州市</w:t>
      </w:r>
      <w:r>
        <w:rPr>
          <w:rFonts w:hint="eastAsia" w:asciiTheme="minorEastAsia" w:hAnsiTheme="minorEastAsia" w:eastAsiaTheme="minorEastAsia" w:cstheme="minorEastAsia"/>
          <w:color w:val="auto"/>
          <w:sz w:val="24"/>
          <w:szCs w:val="24"/>
          <w:highlight w:val="none"/>
          <w:lang w:val="en-US" w:eastAsia="zh-CN"/>
        </w:rPr>
        <w:t>昭平县向阳街70号</w:t>
      </w:r>
    </w:p>
    <w:p w14:paraId="0AAD6B84">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联系方式：</w:t>
      </w:r>
      <w:r>
        <w:rPr>
          <w:rFonts w:hint="eastAsia" w:asciiTheme="minorEastAsia" w:hAnsiTheme="minorEastAsia" w:eastAsiaTheme="minorEastAsia" w:cstheme="minorEastAsia"/>
          <w:color w:val="auto"/>
          <w:sz w:val="24"/>
          <w:szCs w:val="24"/>
          <w:highlight w:val="none"/>
          <w:lang w:eastAsia="zh-CN"/>
        </w:rPr>
        <w:t>0774-</w:t>
      </w:r>
      <w:bookmarkStart w:id="48" w:name="_Toc35393639"/>
      <w:bookmarkStart w:id="49" w:name="_Toc28359098"/>
      <w:bookmarkStart w:id="50" w:name="_Toc35393808"/>
      <w:bookmarkStart w:id="51" w:name="_Toc28359021"/>
      <w:r>
        <w:rPr>
          <w:rFonts w:hint="eastAsia" w:asciiTheme="minorEastAsia" w:hAnsiTheme="minorEastAsia" w:eastAsiaTheme="minorEastAsia" w:cstheme="minorEastAsia"/>
          <w:color w:val="auto"/>
          <w:sz w:val="24"/>
          <w:szCs w:val="24"/>
          <w:highlight w:val="none"/>
          <w:lang w:val="en-US" w:eastAsia="zh-CN"/>
        </w:rPr>
        <w:t>6695352</w:t>
      </w:r>
    </w:p>
    <w:p w14:paraId="25A95C21">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3.项目联系方式</w:t>
      </w:r>
      <w:bookmarkEnd w:id="48"/>
      <w:bookmarkEnd w:id="49"/>
      <w:bookmarkEnd w:id="50"/>
      <w:bookmarkEnd w:id="51"/>
    </w:p>
    <w:p w14:paraId="7CA4C9D9">
      <w:pPr>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项目联系人：</w:t>
      </w:r>
      <w:r>
        <w:rPr>
          <w:rFonts w:hint="eastAsia" w:asciiTheme="minorEastAsia" w:hAnsiTheme="minorEastAsia" w:eastAsiaTheme="minorEastAsia" w:cstheme="minorEastAsia"/>
          <w:color w:val="auto"/>
          <w:sz w:val="24"/>
          <w:szCs w:val="24"/>
          <w:highlight w:val="none"/>
          <w:lang w:val="en-US" w:eastAsia="zh-CN"/>
        </w:rPr>
        <w:t>李世斌  13768145297</w:t>
      </w:r>
    </w:p>
    <w:p w14:paraId="323BC657">
      <w:pPr>
        <w:pageBreakBefore w:val="0"/>
        <w:widowControl w:val="0"/>
        <w:kinsoku/>
        <w:wordWrap/>
        <w:overflowPunct/>
        <w:topLinePunct w:val="0"/>
        <w:autoSpaceDE/>
        <w:autoSpaceDN/>
        <w:bidi w:val="0"/>
        <w:adjustRightInd/>
        <w:snapToGrid/>
        <w:spacing w:line="380" w:lineRule="atLeast"/>
        <w:jc w:val="both"/>
        <w:textAlignment w:val="auto"/>
        <w:rPr>
          <w:rFonts w:hint="eastAsia" w:asciiTheme="minorEastAsia" w:hAnsiTheme="minorEastAsia" w:eastAsiaTheme="minorEastAsia" w:cstheme="minorEastAsia"/>
          <w:color w:val="auto"/>
          <w:sz w:val="24"/>
          <w:szCs w:val="24"/>
          <w:highlight w:val="none"/>
          <w:lang w:val="en-US" w:eastAsia="zh-CN"/>
        </w:rPr>
      </w:pPr>
    </w:p>
    <w:p w14:paraId="1FF6B831">
      <w:pPr>
        <w:pageBreakBefore w:val="0"/>
        <w:widowControl w:val="0"/>
        <w:kinsoku/>
        <w:wordWrap/>
        <w:overflowPunct/>
        <w:topLinePunct w:val="0"/>
        <w:autoSpaceDE/>
        <w:autoSpaceDN/>
        <w:bidi w:val="0"/>
        <w:adjustRightInd/>
        <w:snapToGrid/>
        <w:spacing w:line="380" w:lineRule="atLeast"/>
        <w:ind w:firstLine="720" w:firstLineChars="300"/>
        <w:jc w:val="righ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val="zh-TW" w:eastAsia="zh-CN"/>
        </w:rPr>
        <w:t xml:space="preserve">     </w:t>
      </w:r>
    </w:p>
    <w:p w14:paraId="6E3EED82">
      <w:pPr>
        <w:spacing w:line="360" w:lineRule="auto"/>
        <w:ind w:firstLine="720" w:firstLineChars="300"/>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r>
        <w:rPr>
          <w:rFonts w:hint="eastAsia" w:asciiTheme="minorEastAsia" w:hAnsiTheme="minorEastAsia" w:eastAsiaTheme="minorEastAsia" w:cstheme="minorEastAsia"/>
          <w:color w:val="auto"/>
          <w:sz w:val="24"/>
          <w:szCs w:val="24"/>
          <w:highlight w:val="none"/>
        </w:rPr>
        <w:t xml:space="preserve">  </w:t>
      </w:r>
    </w:p>
    <w:p w14:paraId="0D1E5D1A">
      <w:pPr>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 xml:space="preserve"> </w:t>
      </w:r>
    </w:p>
    <w:p w14:paraId="2EDB18CA">
      <w:pPr>
        <w:jc w:val="righ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FF0000"/>
          <w:sz w:val="24"/>
          <w:szCs w:val="24"/>
          <w:highlight w:val="none"/>
        </w:rPr>
        <w:t>202</w:t>
      </w:r>
      <w:r>
        <w:rPr>
          <w:rFonts w:hint="eastAsia" w:asciiTheme="minorEastAsia" w:hAnsiTheme="minorEastAsia" w:eastAsiaTheme="minorEastAsia" w:cstheme="minorEastAsia"/>
          <w:color w:val="FF0000"/>
          <w:sz w:val="24"/>
          <w:szCs w:val="24"/>
          <w:highlight w:val="none"/>
          <w:lang w:val="en-US" w:eastAsia="zh-CN"/>
        </w:rPr>
        <w:t>5</w:t>
      </w:r>
      <w:r>
        <w:rPr>
          <w:rFonts w:hint="eastAsia" w:asciiTheme="minorEastAsia" w:hAnsiTheme="minorEastAsia" w:eastAsiaTheme="minorEastAsia" w:cstheme="minorEastAsia"/>
          <w:color w:val="FF0000"/>
          <w:sz w:val="24"/>
          <w:szCs w:val="24"/>
          <w:highlight w:val="none"/>
        </w:rPr>
        <w:t>年</w:t>
      </w:r>
      <w:r>
        <w:rPr>
          <w:rFonts w:hint="eastAsia" w:asciiTheme="minorEastAsia" w:hAnsiTheme="minorEastAsia" w:eastAsiaTheme="minorEastAsia" w:cstheme="minorEastAsia"/>
          <w:color w:val="FF0000"/>
          <w:sz w:val="24"/>
          <w:szCs w:val="24"/>
          <w:highlight w:val="none"/>
          <w:lang w:val="en-US" w:eastAsia="zh-CN"/>
        </w:rPr>
        <w:t>04</w:t>
      </w:r>
      <w:r>
        <w:rPr>
          <w:rFonts w:hint="eastAsia" w:asciiTheme="minorEastAsia" w:hAnsiTheme="minorEastAsia" w:eastAsiaTheme="minorEastAsia" w:cstheme="minorEastAsia"/>
          <w:color w:val="FF0000"/>
          <w:sz w:val="24"/>
          <w:szCs w:val="24"/>
          <w:highlight w:val="none"/>
        </w:rPr>
        <w:t>月</w:t>
      </w:r>
      <w:r>
        <w:rPr>
          <w:rFonts w:hint="eastAsia" w:asciiTheme="minorEastAsia" w:hAnsiTheme="minorEastAsia" w:eastAsiaTheme="minorEastAsia" w:cstheme="minorEastAsia"/>
          <w:color w:val="FF0000"/>
          <w:sz w:val="24"/>
          <w:szCs w:val="24"/>
          <w:highlight w:val="none"/>
          <w:lang w:val="en-US" w:eastAsia="zh-CN"/>
        </w:rPr>
        <w:t>03日</w:t>
      </w:r>
    </w:p>
    <w:p w14:paraId="0E1ACB3E">
      <w:pPr>
        <w:pStyle w:val="11"/>
        <w:spacing w:line="276" w:lineRule="auto"/>
        <w:jc w:val="center"/>
        <w:outlineLvl w:val="0"/>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439DCD4F">
      <w:pPr>
        <w:pStyle w:val="11"/>
        <w:numPr>
          <w:ilvl w:val="0"/>
          <w:numId w:val="1"/>
        </w:numPr>
        <w:spacing w:line="276" w:lineRule="auto"/>
        <w:ind w:left="0" w:leftChars="0" w:firstLine="0" w:firstLineChars="0"/>
        <w:jc w:val="center"/>
        <w:outlineLvl w:val="0"/>
        <w:rPr>
          <w:rFonts w:hint="eastAsia" w:asciiTheme="minorEastAsia" w:hAnsiTheme="minorEastAsia" w:eastAsiaTheme="minorEastAsia" w:cstheme="minorEastAsia"/>
          <w:b/>
          <w:color w:val="auto"/>
          <w:sz w:val="28"/>
          <w:szCs w:val="28"/>
          <w:highlight w:val="none"/>
        </w:rPr>
      </w:pPr>
      <w:bookmarkStart w:id="52" w:name="_Toc11438"/>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lang w:eastAsia="zh-CN"/>
        </w:rPr>
        <w:t>磋商供应商</w:t>
      </w:r>
      <w:r>
        <w:rPr>
          <w:rFonts w:hint="eastAsia" w:asciiTheme="minorEastAsia" w:hAnsiTheme="minorEastAsia" w:eastAsiaTheme="minorEastAsia" w:cstheme="minorEastAsia"/>
          <w:b/>
          <w:color w:val="auto"/>
          <w:sz w:val="28"/>
          <w:szCs w:val="28"/>
          <w:highlight w:val="none"/>
        </w:rPr>
        <w:t>须知及前附表</w:t>
      </w:r>
      <w:bookmarkEnd w:id="52"/>
    </w:p>
    <w:p w14:paraId="3633FA37">
      <w:pPr>
        <w:pStyle w:val="12"/>
        <w:numPr>
          <w:ilvl w:val="0"/>
          <w:numId w:val="1"/>
        </w:numPr>
        <w:ind w:left="0" w:leftChars="0" w:firstLine="0" w:firstLineChars="0"/>
        <w:rPr>
          <w:rFonts w:hint="eastAsia"/>
        </w:rPr>
      </w:pPr>
    </w:p>
    <w:tbl>
      <w:tblPr>
        <w:tblStyle w:val="19"/>
        <w:tblW w:w="9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965"/>
        <w:gridCol w:w="7133"/>
      </w:tblGrid>
      <w:tr w14:paraId="468B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706" w:type="dxa"/>
            <w:noWrap w:val="0"/>
            <w:tcMar>
              <w:top w:w="0" w:type="dxa"/>
              <w:left w:w="57" w:type="dxa"/>
              <w:bottom w:w="0" w:type="dxa"/>
              <w:right w:w="57" w:type="dxa"/>
            </w:tcMar>
            <w:vAlign w:val="center"/>
          </w:tcPr>
          <w:p w14:paraId="41EDDD8D">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965" w:type="dxa"/>
            <w:noWrap w:val="0"/>
            <w:tcMar>
              <w:top w:w="0" w:type="dxa"/>
              <w:left w:w="57" w:type="dxa"/>
              <w:bottom w:w="0" w:type="dxa"/>
              <w:right w:w="57" w:type="dxa"/>
            </w:tcMar>
            <w:vAlign w:val="center"/>
          </w:tcPr>
          <w:p w14:paraId="6F8D33F2">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rPr>
              <w:t>名称</w:t>
            </w:r>
          </w:p>
        </w:tc>
        <w:tc>
          <w:tcPr>
            <w:tcW w:w="7133" w:type="dxa"/>
            <w:noWrap w:val="0"/>
            <w:tcMar>
              <w:top w:w="0" w:type="dxa"/>
              <w:left w:w="57" w:type="dxa"/>
              <w:bottom w:w="0" w:type="dxa"/>
              <w:right w:w="57" w:type="dxa"/>
            </w:tcMar>
            <w:vAlign w:val="center"/>
          </w:tcPr>
          <w:p w14:paraId="13FAFC79">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内     容</w:t>
            </w:r>
          </w:p>
        </w:tc>
      </w:tr>
      <w:tr w14:paraId="585D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3A6B6344">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1965" w:type="dxa"/>
            <w:noWrap w:val="0"/>
            <w:tcMar>
              <w:top w:w="0" w:type="dxa"/>
              <w:left w:w="57" w:type="dxa"/>
              <w:bottom w:w="0" w:type="dxa"/>
              <w:right w:w="57" w:type="dxa"/>
            </w:tcMar>
            <w:vAlign w:val="center"/>
          </w:tcPr>
          <w:p w14:paraId="67108098">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b/>
                <w:bCs/>
                <w:color w:val="auto"/>
                <w:sz w:val="24"/>
                <w:szCs w:val="24"/>
                <w:highlight w:val="none"/>
                <w:lang w:eastAsia="zh-CN"/>
              </w:rPr>
              <w:t>及</w:t>
            </w:r>
          </w:p>
          <w:p w14:paraId="617D69DB">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eastAsia="zh-CN"/>
              </w:rPr>
              <w:t>项目编号</w:t>
            </w:r>
          </w:p>
        </w:tc>
        <w:tc>
          <w:tcPr>
            <w:tcW w:w="7133" w:type="dxa"/>
            <w:noWrap w:val="0"/>
            <w:vAlign w:val="center"/>
          </w:tcPr>
          <w:p w14:paraId="134E66C6">
            <w:pPr>
              <w:tabs>
                <w:tab w:val="left" w:pos="1680"/>
              </w:tabs>
              <w:spacing w:line="400" w:lineRule="exact"/>
              <w:ind w:right="69" w:rightChars="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项目名称</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eastAsia="zh-CN"/>
              </w:rPr>
              <w:t>昭平县五将镇产业灌溉渠基础设施建设项目</w:t>
            </w:r>
          </w:p>
          <w:p w14:paraId="1029E2AE">
            <w:pPr>
              <w:tabs>
                <w:tab w:val="left" w:pos="1680"/>
              </w:tabs>
              <w:spacing w:line="400" w:lineRule="exact"/>
              <w:ind w:right="-19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lang w:eastAsia="zh-CN"/>
              </w:rPr>
              <w:t xml:space="preserve"> </w:t>
            </w:r>
            <w:r>
              <w:rPr>
                <w:rFonts w:hint="eastAsia" w:asciiTheme="minorEastAsia" w:hAnsiTheme="minorEastAsia" w:eastAsiaTheme="minorEastAsia" w:cstheme="minorEastAsia"/>
                <w:color w:val="auto"/>
                <w:sz w:val="24"/>
                <w:szCs w:val="24"/>
                <w:highlight w:val="none"/>
                <w:lang w:eastAsia="zh-CN"/>
              </w:rPr>
              <w:t xml:space="preserve">  </w:t>
            </w:r>
          </w:p>
        </w:tc>
      </w:tr>
      <w:tr w14:paraId="1829C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706" w:type="dxa"/>
            <w:noWrap w:val="0"/>
            <w:tcMar>
              <w:top w:w="0" w:type="dxa"/>
              <w:left w:w="57" w:type="dxa"/>
              <w:bottom w:w="0" w:type="dxa"/>
              <w:right w:w="57" w:type="dxa"/>
            </w:tcMar>
            <w:vAlign w:val="center"/>
          </w:tcPr>
          <w:p w14:paraId="4CD41C53">
            <w:pPr>
              <w:tabs>
                <w:tab w:val="left" w:pos="1680"/>
              </w:tabs>
              <w:spacing w:line="400" w:lineRule="exact"/>
              <w:ind w:right="-192"/>
              <w:jc w:val="center"/>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w:t>
            </w:r>
          </w:p>
        </w:tc>
        <w:tc>
          <w:tcPr>
            <w:tcW w:w="1965" w:type="dxa"/>
            <w:noWrap w:val="0"/>
            <w:tcMar>
              <w:top w:w="0" w:type="dxa"/>
              <w:left w:w="57" w:type="dxa"/>
              <w:bottom w:w="0" w:type="dxa"/>
              <w:right w:w="57" w:type="dxa"/>
            </w:tcMar>
            <w:vAlign w:val="center"/>
          </w:tcPr>
          <w:p w14:paraId="43190860">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项目基本概况</w:t>
            </w:r>
          </w:p>
          <w:p w14:paraId="3B3DF100">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介绍</w:t>
            </w:r>
          </w:p>
        </w:tc>
        <w:tc>
          <w:tcPr>
            <w:tcW w:w="7133" w:type="dxa"/>
            <w:noWrap w:val="0"/>
            <w:vAlign w:val="center"/>
          </w:tcPr>
          <w:p w14:paraId="75687BBC">
            <w:pPr>
              <w:numPr>
                <w:ilvl w:val="0"/>
                <w:numId w:val="3"/>
              </w:numPr>
              <w:tabs>
                <w:tab w:val="left" w:pos="1680"/>
              </w:tabs>
              <w:spacing w:line="400" w:lineRule="exact"/>
              <w:ind w:right="-74" w:rightChars="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主要建设内容为：新建护坡工程、护栏工程、场地硬化工程等；具体内容以经财政投资评审的《工程量清单》为准，其施工技术标准详见《施工图设计》。</w:t>
            </w:r>
          </w:p>
          <w:p w14:paraId="61AFF82F">
            <w:pPr>
              <w:numPr>
                <w:ilvl w:val="0"/>
                <w:numId w:val="3"/>
              </w:numPr>
              <w:tabs>
                <w:tab w:val="left" w:pos="1680"/>
              </w:tabs>
              <w:spacing w:line="400" w:lineRule="exact"/>
              <w:ind w:right="-74" w:rightChars="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项目是以工代赈示范性项目，项目中的劳务报酬发放应占项目资金比例30%以上；施工单位须安排当地低收入群众30人及以上参与项目建设，合理确定以工代赈劳务报酬标准，尽可能增加劳务报酬发放规模，劳务报酬要按月发放；同时需做好施工单位要建立统一规范的用工名册和劳务报酬发放台账，经务工人员签字确认后，原则上将劳务报酬通过银行卡发放至本人，并将劳务报酬发放台账送业主备案。</w:t>
            </w:r>
          </w:p>
        </w:tc>
      </w:tr>
      <w:tr w14:paraId="55BA4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2D104E43">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1965" w:type="dxa"/>
            <w:noWrap w:val="0"/>
            <w:tcMar>
              <w:top w:w="0" w:type="dxa"/>
              <w:left w:w="57" w:type="dxa"/>
              <w:bottom w:w="0" w:type="dxa"/>
              <w:right w:w="57" w:type="dxa"/>
            </w:tcMar>
            <w:vAlign w:val="center"/>
          </w:tcPr>
          <w:p w14:paraId="5AD23E26">
            <w:pPr>
              <w:tabs>
                <w:tab w:val="left" w:pos="1680"/>
              </w:tabs>
              <w:spacing w:line="400" w:lineRule="exact"/>
              <w:ind w:right="-192"/>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资金来源</w:t>
            </w:r>
          </w:p>
        </w:tc>
        <w:tc>
          <w:tcPr>
            <w:tcW w:w="7133" w:type="dxa"/>
            <w:noWrap w:val="0"/>
            <w:vAlign w:val="center"/>
          </w:tcPr>
          <w:p w14:paraId="7CF73A71">
            <w:pPr>
              <w:tabs>
                <w:tab w:val="left" w:pos="1680"/>
              </w:tabs>
              <w:spacing w:line="400" w:lineRule="exact"/>
              <w:ind w:right="-74" w:rightChars="0"/>
              <w:jc w:val="both"/>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财政资金</w:t>
            </w:r>
          </w:p>
        </w:tc>
      </w:tr>
      <w:tr w14:paraId="40CC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446B305B">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965" w:type="dxa"/>
            <w:noWrap w:val="0"/>
            <w:tcMar>
              <w:top w:w="0" w:type="dxa"/>
              <w:left w:w="57" w:type="dxa"/>
              <w:bottom w:w="0" w:type="dxa"/>
              <w:right w:w="57" w:type="dxa"/>
            </w:tcMar>
            <w:vAlign w:val="center"/>
          </w:tcPr>
          <w:p w14:paraId="67F3FC1D">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工期要求</w:t>
            </w:r>
          </w:p>
        </w:tc>
        <w:tc>
          <w:tcPr>
            <w:tcW w:w="7133" w:type="dxa"/>
            <w:noWrap w:val="0"/>
            <w:tcMar>
              <w:top w:w="0" w:type="dxa"/>
              <w:left w:w="57" w:type="dxa"/>
              <w:bottom w:w="0" w:type="dxa"/>
              <w:right w:w="57" w:type="dxa"/>
            </w:tcMar>
            <w:vAlign w:val="center"/>
          </w:tcPr>
          <w:p w14:paraId="2BFB6966">
            <w:pPr>
              <w:tabs>
                <w:tab w:val="left" w:pos="1680"/>
              </w:tabs>
              <w:spacing w:line="400" w:lineRule="exact"/>
              <w:ind w:right="-192"/>
              <w:jc w:val="both"/>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具体以开工令为准，工期为210日历天</w:t>
            </w:r>
          </w:p>
        </w:tc>
      </w:tr>
      <w:tr w14:paraId="2F307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A8BB4F8">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965" w:type="dxa"/>
            <w:noWrap w:val="0"/>
            <w:tcMar>
              <w:top w:w="0" w:type="dxa"/>
              <w:left w:w="57" w:type="dxa"/>
              <w:bottom w:w="0" w:type="dxa"/>
              <w:right w:w="57" w:type="dxa"/>
            </w:tcMar>
            <w:vAlign w:val="center"/>
          </w:tcPr>
          <w:p w14:paraId="77590D2E">
            <w:pPr>
              <w:tabs>
                <w:tab w:val="left" w:pos="1680"/>
              </w:tabs>
              <w:spacing w:line="400" w:lineRule="exact"/>
              <w:ind w:right="-192"/>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质量要求</w:t>
            </w:r>
          </w:p>
        </w:tc>
        <w:tc>
          <w:tcPr>
            <w:tcW w:w="7133" w:type="dxa"/>
            <w:noWrap w:val="0"/>
            <w:tcMar>
              <w:top w:w="0" w:type="dxa"/>
              <w:left w:w="57" w:type="dxa"/>
              <w:bottom w:w="0" w:type="dxa"/>
              <w:right w:w="57" w:type="dxa"/>
            </w:tcMar>
            <w:vAlign w:val="center"/>
          </w:tcPr>
          <w:p w14:paraId="1E167388">
            <w:pPr>
              <w:tabs>
                <w:tab w:val="left" w:pos="1680"/>
              </w:tabs>
              <w:spacing w:line="400" w:lineRule="exact"/>
              <w:ind w:right="-192"/>
              <w:jc w:val="both"/>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达到现行国家竣工验收规范合格标准。</w:t>
            </w:r>
          </w:p>
        </w:tc>
      </w:tr>
      <w:tr w14:paraId="37DD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23BAD42">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1965" w:type="dxa"/>
            <w:noWrap w:val="0"/>
            <w:tcMar>
              <w:top w:w="0" w:type="dxa"/>
              <w:left w:w="57" w:type="dxa"/>
              <w:bottom w:w="0" w:type="dxa"/>
              <w:right w:w="57" w:type="dxa"/>
            </w:tcMar>
            <w:vAlign w:val="center"/>
          </w:tcPr>
          <w:p w14:paraId="229CCB69">
            <w:pPr>
              <w:spacing w:line="4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磋商供应商</w:t>
            </w:r>
            <w:r>
              <w:rPr>
                <w:rFonts w:hint="eastAsia" w:asciiTheme="minorEastAsia" w:hAnsiTheme="minorEastAsia" w:eastAsiaTheme="minorEastAsia" w:cstheme="minorEastAsia"/>
                <w:b/>
                <w:bCs/>
                <w:color w:val="auto"/>
                <w:sz w:val="24"/>
                <w:szCs w:val="24"/>
                <w:highlight w:val="none"/>
              </w:rPr>
              <w:t>资格要求</w:t>
            </w:r>
          </w:p>
          <w:p w14:paraId="6106E300">
            <w:pPr>
              <w:spacing w:line="400" w:lineRule="exact"/>
              <w:jc w:val="center"/>
              <w:rPr>
                <w:rFonts w:hint="eastAsia" w:asciiTheme="minorEastAsia" w:hAnsiTheme="minorEastAsia" w:eastAsiaTheme="minorEastAsia" w:cstheme="minorEastAsia"/>
                <w:color w:val="auto"/>
                <w:sz w:val="24"/>
                <w:szCs w:val="24"/>
                <w:highlight w:val="none"/>
              </w:rPr>
            </w:pPr>
          </w:p>
        </w:tc>
        <w:tc>
          <w:tcPr>
            <w:tcW w:w="7133" w:type="dxa"/>
            <w:noWrap w:val="0"/>
            <w:tcMar>
              <w:top w:w="0" w:type="dxa"/>
              <w:left w:w="57" w:type="dxa"/>
              <w:bottom w:w="0" w:type="dxa"/>
              <w:right w:w="57" w:type="dxa"/>
            </w:tcMar>
            <w:vAlign w:val="center"/>
          </w:tcPr>
          <w:p w14:paraId="031DE2F1">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1.满足《中华人民共和国政府采购法》第二十二条规定；</w:t>
            </w:r>
          </w:p>
          <w:p w14:paraId="76AF758A">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2.落实政府采购政策需满足的资格要求：</w:t>
            </w:r>
          </w:p>
          <w:p w14:paraId="1C6C3221">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☑专门面向中小企业采购的项目（供应商应为中小微企业、监狱企业、残疾人福利性单位）</w:t>
            </w:r>
          </w:p>
          <w:p w14:paraId="3CF89DA1">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□非专门面向中小企业采购的项目</w:t>
            </w:r>
          </w:p>
          <w:p w14:paraId="19A1687C">
            <w:pPr>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3.本项目的特定资格要求：</w:t>
            </w:r>
          </w:p>
          <w:p w14:paraId="37CFA59D">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（1）具有市政公用工程施工总承包叁级以上（含叁级）资质，持有有效的省级及以上建设行政主管部门颁发的《安全生产许可证》，并在人员、设备、资金等方面具备相应的施工能力的供应商；</w:t>
            </w:r>
          </w:p>
          <w:p w14:paraId="605C894D">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（2）</w:t>
            </w:r>
            <w:r>
              <w:rPr>
                <w:rFonts w:hint="eastAsia" w:asciiTheme="minorEastAsia" w:hAnsiTheme="minorEastAsia" w:eastAsiaTheme="minorEastAsia" w:cstheme="minorEastAsia"/>
                <w:color w:val="auto"/>
                <w:sz w:val="24"/>
                <w:szCs w:val="24"/>
                <w:highlight w:val="none"/>
                <w:lang w:val="en-US" w:eastAsia="zh-CN"/>
              </w:rPr>
              <w:t>拟投入的项目经理须具备市政工程专业注册建造师二级以上（含二级）执业资格和具备有效的《安全生产考核合格证书（B类）》【提供项目经理注册建造师执业资格证书和安全生产考核合格证书（B类）的扫描件】。</w:t>
            </w:r>
          </w:p>
          <w:p w14:paraId="405A6BE9">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3）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5CAEF1D6">
            <w:pPr>
              <w:pageBreakBefore w:val="0"/>
              <w:widowControl/>
              <w:kinsoku/>
              <w:wordWrap/>
              <w:overflowPunct/>
              <w:topLinePunct w:val="0"/>
              <w:autoSpaceDE/>
              <w:autoSpaceDN/>
              <w:bidi w:val="0"/>
              <w:snapToGrid/>
              <w:spacing w:line="400" w:lineRule="exact"/>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（4）本项目不接受联合体磋商。</w:t>
            </w:r>
          </w:p>
        </w:tc>
      </w:tr>
      <w:tr w14:paraId="43AF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0D52A48">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1965" w:type="dxa"/>
            <w:noWrap w:val="0"/>
            <w:tcMar>
              <w:top w:w="0" w:type="dxa"/>
              <w:left w:w="57" w:type="dxa"/>
              <w:bottom w:w="0" w:type="dxa"/>
              <w:right w:w="57" w:type="dxa"/>
            </w:tcMar>
            <w:vAlign w:val="center"/>
          </w:tcPr>
          <w:p w14:paraId="1004D43E">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增值税计税方法</w:t>
            </w:r>
          </w:p>
        </w:tc>
        <w:tc>
          <w:tcPr>
            <w:tcW w:w="7133" w:type="dxa"/>
            <w:noWrap w:val="0"/>
            <w:tcMar>
              <w:top w:w="0" w:type="dxa"/>
              <w:left w:w="57" w:type="dxa"/>
              <w:bottom w:w="0" w:type="dxa"/>
              <w:right w:w="57" w:type="dxa"/>
            </w:tcMar>
            <w:vAlign w:val="center"/>
          </w:tcPr>
          <w:p w14:paraId="096613A3">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一般计税法。</w:t>
            </w:r>
          </w:p>
        </w:tc>
      </w:tr>
      <w:tr w14:paraId="6682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405FDE9B">
            <w:pPr>
              <w:spacing w:line="4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1965" w:type="dxa"/>
            <w:noWrap w:val="0"/>
            <w:tcMar>
              <w:top w:w="0" w:type="dxa"/>
              <w:left w:w="57" w:type="dxa"/>
              <w:bottom w:w="0" w:type="dxa"/>
              <w:right w:w="57" w:type="dxa"/>
            </w:tcMar>
            <w:vAlign w:val="center"/>
          </w:tcPr>
          <w:p w14:paraId="1C1456CB">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磋商有效期</w:t>
            </w:r>
          </w:p>
        </w:tc>
        <w:tc>
          <w:tcPr>
            <w:tcW w:w="7133" w:type="dxa"/>
            <w:noWrap w:val="0"/>
            <w:tcMar>
              <w:top w:w="0" w:type="dxa"/>
              <w:left w:w="57" w:type="dxa"/>
              <w:bottom w:w="0" w:type="dxa"/>
              <w:right w:w="57" w:type="dxa"/>
            </w:tcMar>
            <w:vAlign w:val="center"/>
          </w:tcPr>
          <w:p w14:paraId="0BAD7EE4">
            <w:pPr>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磋商截止日期后45天</w:t>
            </w:r>
            <w:r>
              <w:rPr>
                <w:rFonts w:hint="eastAsia" w:asciiTheme="minorEastAsia" w:hAnsiTheme="minorEastAsia" w:eastAsiaTheme="minorEastAsia" w:cstheme="minorEastAsia"/>
                <w:color w:val="auto"/>
                <w:sz w:val="24"/>
                <w:szCs w:val="24"/>
                <w:highlight w:val="none"/>
              </w:rPr>
              <w:t>。</w:t>
            </w:r>
          </w:p>
        </w:tc>
      </w:tr>
      <w:tr w14:paraId="4DBC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06" w:type="dxa"/>
            <w:noWrap w:val="0"/>
            <w:tcMar>
              <w:top w:w="0" w:type="dxa"/>
              <w:left w:w="57" w:type="dxa"/>
              <w:bottom w:w="0" w:type="dxa"/>
              <w:right w:w="57" w:type="dxa"/>
            </w:tcMar>
            <w:vAlign w:val="center"/>
          </w:tcPr>
          <w:p w14:paraId="54C5C0C1">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1965" w:type="dxa"/>
            <w:noWrap w:val="0"/>
            <w:tcMar>
              <w:top w:w="0" w:type="dxa"/>
              <w:left w:w="57" w:type="dxa"/>
              <w:bottom w:w="0" w:type="dxa"/>
              <w:right w:w="57" w:type="dxa"/>
            </w:tcMar>
            <w:vAlign w:val="center"/>
          </w:tcPr>
          <w:p w14:paraId="0DB04031">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响应文件电子版要求</w:t>
            </w:r>
          </w:p>
        </w:tc>
        <w:tc>
          <w:tcPr>
            <w:tcW w:w="7133" w:type="dxa"/>
            <w:noWrap w:val="0"/>
            <w:tcMar>
              <w:top w:w="0" w:type="dxa"/>
              <w:left w:w="57" w:type="dxa"/>
              <w:bottom w:w="0" w:type="dxa"/>
              <w:right w:w="57" w:type="dxa"/>
            </w:tcMar>
            <w:vAlign w:val="center"/>
          </w:tcPr>
          <w:p w14:paraId="4F65AF05">
            <w:pPr>
              <w:keepNext w:val="0"/>
              <w:keepLines w:val="0"/>
              <w:pageBreakBefore w:val="0"/>
              <w:widowControl w:val="0"/>
              <w:numPr>
                <w:ilvl w:val="0"/>
                <w:numId w:val="4"/>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响应文件电子版要求：</w:t>
            </w:r>
            <w:r>
              <w:rPr>
                <w:rFonts w:hint="eastAsia" w:asciiTheme="minorEastAsia" w:hAnsiTheme="minorEastAsia" w:eastAsiaTheme="minorEastAsia" w:cstheme="minorEastAsia"/>
                <w:color w:val="auto"/>
                <w:sz w:val="24"/>
                <w:szCs w:val="24"/>
                <w:highlight w:val="none"/>
              </w:rPr>
              <w:t>按照</w:t>
            </w:r>
            <w:r>
              <w:rPr>
                <w:rFonts w:hint="eastAsia" w:asciiTheme="minorEastAsia" w:hAnsiTheme="minorEastAsia" w:eastAsiaTheme="minorEastAsia" w:cstheme="minorEastAsia"/>
                <w:color w:val="auto"/>
                <w:sz w:val="24"/>
                <w:szCs w:val="24"/>
                <w:highlight w:val="none"/>
                <w:lang w:val="en-US" w:eastAsia="zh-CN"/>
              </w:rPr>
              <w:t>竞争性磋商</w:t>
            </w:r>
            <w:r>
              <w:rPr>
                <w:rFonts w:hint="eastAsia" w:asciiTheme="minorEastAsia" w:hAnsiTheme="minorEastAsia" w:eastAsiaTheme="minorEastAsia" w:cstheme="minorEastAsia"/>
                <w:color w:val="auto"/>
                <w:sz w:val="24"/>
                <w:szCs w:val="24"/>
                <w:highlight w:val="none"/>
              </w:rPr>
              <w:t>文件第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rPr>
              <w:t>格式</w:t>
            </w:r>
            <w:r>
              <w:rPr>
                <w:rFonts w:hint="eastAsia" w:asciiTheme="minorEastAsia" w:hAnsiTheme="minorEastAsia" w:eastAsiaTheme="minorEastAsia" w:cstheme="minorEastAsia"/>
                <w:color w:val="auto"/>
                <w:sz w:val="24"/>
                <w:szCs w:val="24"/>
                <w:highlight w:val="none"/>
                <w:lang w:val="en-US" w:eastAsia="zh-CN"/>
              </w:rPr>
              <w:t>进行编写，按</w:t>
            </w:r>
            <w:r>
              <w:rPr>
                <w:rFonts w:hint="eastAsia" w:asciiTheme="minorEastAsia" w:hAnsiTheme="minorEastAsia" w:eastAsiaTheme="minorEastAsia" w:cstheme="minorEastAsia"/>
                <w:color w:val="auto"/>
                <w:sz w:val="24"/>
                <w:szCs w:val="24"/>
                <w:highlight w:val="none"/>
              </w:rPr>
              <w:t>要求在规定位置进行签署、盖章</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未附格式的，由供应商自行拟定。</w:t>
            </w:r>
          </w:p>
          <w:p w14:paraId="6B082BD9">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响应文件电子版密封方式：电子响应文件通过平台有效 CA 加密后在“广西政采云”平台投送。</w:t>
            </w:r>
          </w:p>
          <w:p w14:paraId="61FC4672">
            <w:pPr>
              <w:keepNext w:val="0"/>
              <w:keepLines w:val="0"/>
              <w:pageBreakBefore w:val="0"/>
              <w:widowControl w:val="0"/>
              <w:numPr>
                <w:ilvl w:val="0"/>
                <w:numId w:val="4"/>
              </w:numPr>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u w:val="single"/>
                <w:lang w:val="en-US" w:eastAsia="zh-CN"/>
              </w:rPr>
              <w:t>上传</w:t>
            </w:r>
            <w:r>
              <w:rPr>
                <w:rFonts w:hint="eastAsia" w:asciiTheme="minorEastAsia" w:hAnsiTheme="minorEastAsia" w:eastAsiaTheme="minorEastAsia" w:cstheme="minorEastAsia"/>
                <w:b/>
                <w:color w:val="auto"/>
                <w:sz w:val="24"/>
                <w:szCs w:val="24"/>
                <w:highlight w:val="none"/>
                <w:u w:val="single"/>
              </w:rPr>
              <w:t>电子版</w:t>
            </w:r>
            <w:r>
              <w:rPr>
                <w:rFonts w:hint="eastAsia" w:asciiTheme="minorEastAsia" w:hAnsiTheme="minorEastAsia" w:eastAsiaTheme="minorEastAsia" w:cstheme="minorEastAsia"/>
                <w:b/>
                <w:color w:val="auto"/>
                <w:sz w:val="24"/>
                <w:szCs w:val="24"/>
                <w:highlight w:val="none"/>
                <w:u w:val="single"/>
                <w:lang w:val="en-US" w:eastAsia="zh-CN"/>
              </w:rPr>
              <w:t>响应</w:t>
            </w:r>
            <w:r>
              <w:rPr>
                <w:rFonts w:hint="eastAsia" w:asciiTheme="minorEastAsia" w:hAnsiTheme="minorEastAsia" w:eastAsiaTheme="minorEastAsia" w:cstheme="minorEastAsia"/>
                <w:b/>
                <w:color w:val="auto"/>
                <w:sz w:val="24"/>
                <w:szCs w:val="24"/>
                <w:highlight w:val="none"/>
                <w:u w:val="single"/>
              </w:rPr>
              <w:t>文件方式</w:t>
            </w:r>
            <w:r>
              <w:rPr>
                <w:rFonts w:hint="eastAsia" w:asciiTheme="minorEastAsia" w:hAnsiTheme="minorEastAsia" w:eastAsiaTheme="minorEastAsia" w:cstheme="minorEastAsia"/>
                <w:b/>
                <w:color w:val="auto"/>
                <w:sz w:val="24"/>
                <w:szCs w:val="24"/>
                <w:highlight w:val="none"/>
                <w:u w:val="single"/>
                <w:lang w:val="en-US" w:eastAsia="zh-CN"/>
              </w:rPr>
              <w:t>详</w:t>
            </w:r>
            <w:r>
              <w:rPr>
                <w:rFonts w:hint="eastAsia" w:asciiTheme="minorEastAsia" w:hAnsiTheme="minorEastAsia" w:eastAsiaTheme="minorEastAsia" w:cstheme="minorEastAsia"/>
                <w:b/>
                <w:color w:val="auto"/>
                <w:sz w:val="24"/>
                <w:szCs w:val="24"/>
                <w:highlight w:val="none"/>
                <w:u w:val="single"/>
              </w:rPr>
              <w:t>见</w:t>
            </w:r>
            <w:r>
              <w:rPr>
                <w:rFonts w:hint="eastAsia" w:asciiTheme="minorEastAsia" w:hAnsiTheme="minorEastAsia" w:eastAsiaTheme="minorEastAsia" w:cstheme="minorEastAsia"/>
                <w:b/>
                <w:color w:val="auto"/>
                <w:sz w:val="24"/>
                <w:szCs w:val="24"/>
                <w:highlight w:val="none"/>
                <w:u w:val="single"/>
                <w:lang w:eastAsia="zh-CN"/>
              </w:rPr>
              <w:t>磋商公告</w:t>
            </w:r>
            <w:r>
              <w:rPr>
                <w:rFonts w:hint="eastAsia" w:asciiTheme="minorEastAsia" w:hAnsiTheme="minorEastAsia" w:eastAsiaTheme="minorEastAsia" w:cstheme="minorEastAsia"/>
                <w:b/>
                <w:color w:val="auto"/>
                <w:sz w:val="24"/>
                <w:szCs w:val="24"/>
                <w:highlight w:val="none"/>
                <w:u w:val="single"/>
              </w:rPr>
              <w:t>附件</w:t>
            </w:r>
            <w:r>
              <w:rPr>
                <w:rFonts w:hint="eastAsia" w:asciiTheme="minorEastAsia" w:hAnsiTheme="minorEastAsia" w:eastAsiaTheme="minorEastAsia" w:cstheme="minorEastAsia"/>
                <w:b/>
                <w:color w:val="auto"/>
                <w:sz w:val="24"/>
                <w:szCs w:val="24"/>
                <w:highlight w:val="none"/>
                <w:u w:val="single"/>
                <w:lang w:eastAsia="zh-CN"/>
              </w:rPr>
              <w:t>。</w:t>
            </w:r>
          </w:p>
        </w:tc>
      </w:tr>
      <w:tr w14:paraId="44D3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A7140AB">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965" w:type="dxa"/>
            <w:noWrap w:val="0"/>
            <w:tcMar>
              <w:top w:w="0" w:type="dxa"/>
              <w:left w:w="57" w:type="dxa"/>
              <w:bottom w:w="0" w:type="dxa"/>
              <w:right w:w="57" w:type="dxa"/>
            </w:tcMar>
            <w:vAlign w:val="center"/>
          </w:tcPr>
          <w:p w14:paraId="0C98E25D">
            <w:pPr>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磋商保证金</w:t>
            </w:r>
          </w:p>
        </w:tc>
        <w:tc>
          <w:tcPr>
            <w:tcW w:w="7133" w:type="dxa"/>
            <w:noWrap w:val="0"/>
            <w:tcMar>
              <w:top w:w="0" w:type="dxa"/>
              <w:left w:w="57" w:type="dxa"/>
              <w:bottom w:w="0" w:type="dxa"/>
              <w:right w:w="57" w:type="dxa"/>
            </w:tcMar>
            <w:vAlign w:val="top"/>
          </w:tcPr>
          <w:p w14:paraId="68422DC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磋商保证金（人民币）：</w:t>
            </w:r>
            <w:r>
              <w:rPr>
                <w:rFonts w:hint="eastAsia" w:asciiTheme="minorEastAsia" w:hAnsiTheme="minorEastAsia" w:eastAsiaTheme="minorEastAsia" w:cstheme="minorEastAsia"/>
                <w:b w:val="0"/>
                <w:bCs/>
                <w:color w:val="auto"/>
                <w:kern w:val="2"/>
                <w:sz w:val="24"/>
                <w:szCs w:val="24"/>
                <w:highlight w:val="none"/>
                <w:u w:val="single"/>
                <w:lang w:val="en-US" w:eastAsia="zh-CN" w:bidi="ar-SA"/>
              </w:rPr>
              <w:t>本项目无须缴纳磋商保证金</w:t>
            </w:r>
            <w:r>
              <w:rPr>
                <w:rFonts w:hint="eastAsia" w:asciiTheme="minorEastAsia" w:hAnsiTheme="minorEastAsia" w:eastAsiaTheme="minorEastAsia" w:cstheme="minorEastAsia"/>
                <w:b w:val="0"/>
                <w:bCs/>
                <w:color w:val="auto"/>
                <w:kern w:val="2"/>
                <w:sz w:val="24"/>
                <w:szCs w:val="24"/>
                <w:highlight w:val="none"/>
                <w:lang w:val="en-US" w:eastAsia="zh-CN" w:bidi="ar-SA"/>
              </w:rPr>
              <w:t>。</w:t>
            </w:r>
            <w:r>
              <w:rPr>
                <w:rFonts w:hint="eastAsia" w:asciiTheme="minorEastAsia" w:hAnsiTheme="minorEastAsia" w:eastAsiaTheme="minorEastAsia" w:cstheme="minorEastAsia"/>
                <w:b w:val="0"/>
                <w:bCs/>
                <w:color w:val="auto"/>
                <w:kern w:val="2"/>
                <w:sz w:val="24"/>
                <w:szCs w:val="24"/>
                <w:highlight w:val="none"/>
                <w:lang w:val="en-US" w:eastAsia="zh-CN" w:bidi="ar-SA"/>
              </w:rPr>
              <w:tab/>
            </w:r>
          </w:p>
          <w:p w14:paraId="0B206879">
            <w:pPr>
              <w:pageBreakBefore w:val="0"/>
              <w:kinsoku/>
              <w:wordWrap/>
              <w:overflowPunct/>
              <w:topLinePunct w:val="0"/>
              <w:autoSpaceDE/>
              <w:autoSpaceDN/>
              <w:bidi w:val="0"/>
              <w:snapToGrid/>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kern w:val="2"/>
                <w:sz w:val="24"/>
                <w:szCs w:val="24"/>
                <w:highlight w:val="none"/>
                <w:lang w:val="en-US" w:eastAsia="zh-CN" w:bidi="ar-SA"/>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对风险较低、规模较小的采购项目，受疫情影响的中小微企业（在提供真实可信证明材料的前提下），停止收取投标保证金和履约保证金。</w:t>
            </w:r>
          </w:p>
        </w:tc>
      </w:tr>
      <w:tr w14:paraId="6D6D3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restart"/>
            <w:noWrap w:val="0"/>
            <w:tcMar>
              <w:top w:w="0" w:type="dxa"/>
              <w:left w:w="57" w:type="dxa"/>
              <w:bottom w:w="0" w:type="dxa"/>
              <w:right w:w="57" w:type="dxa"/>
            </w:tcMar>
            <w:vAlign w:val="center"/>
          </w:tcPr>
          <w:p w14:paraId="5119309B">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1965" w:type="dxa"/>
            <w:vMerge w:val="restart"/>
            <w:noWrap w:val="0"/>
            <w:tcMar>
              <w:top w:w="0" w:type="dxa"/>
              <w:left w:w="57" w:type="dxa"/>
              <w:bottom w:w="0" w:type="dxa"/>
              <w:right w:w="57" w:type="dxa"/>
            </w:tcMar>
            <w:vAlign w:val="center"/>
          </w:tcPr>
          <w:p w14:paraId="481ADE00">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452C26BB">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1BB40715">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2BA6FE5D">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57382D1B">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p w14:paraId="77A0AD83">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响应文件的构成（分为资格证明文件、报价文件、商务技术文件三部分组成）</w:t>
            </w:r>
          </w:p>
        </w:tc>
        <w:tc>
          <w:tcPr>
            <w:tcW w:w="7133" w:type="dxa"/>
            <w:noWrap w:val="0"/>
            <w:tcMar>
              <w:top w:w="0" w:type="dxa"/>
              <w:left w:w="57" w:type="dxa"/>
              <w:bottom w:w="0" w:type="dxa"/>
              <w:right w:w="57" w:type="dxa"/>
            </w:tcMar>
            <w:vAlign w:val="top"/>
          </w:tcPr>
          <w:p w14:paraId="4F60F4F4">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资格</w:t>
            </w:r>
            <w:r>
              <w:rPr>
                <w:rFonts w:hint="eastAsia" w:asciiTheme="minorEastAsia" w:hAnsiTheme="minorEastAsia" w:eastAsiaTheme="minorEastAsia" w:cstheme="minorEastAsia"/>
                <w:bCs/>
                <w:color w:val="auto"/>
                <w:sz w:val="24"/>
                <w:szCs w:val="24"/>
                <w:highlight w:val="none"/>
                <w:lang w:val="en-US" w:eastAsia="zh-CN"/>
              </w:rPr>
              <w:t>证明文件：</w:t>
            </w:r>
          </w:p>
          <w:p w14:paraId="285FC7D2">
            <w:pPr>
              <w:pStyle w:val="12"/>
              <w:ind w:left="0" w:leftChars="0" w:firstLine="0" w:firstLineChars="0"/>
              <w:rPr>
                <w:rFonts w:hint="default"/>
                <w:lang w:val="en-US" w:eastAsia="zh-CN"/>
              </w:rPr>
            </w:pP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kern w:val="2"/>
                <w:sz w:val="24"/>
                <w:szCs w:val="24"/>
                <w:highlight w:val="none"/>
                <w:lang w:val="en-US" w:eastAsia="zh-CN" w:bidi="ar-SA"/>
              </w:rPr>
              <w:t>（1）有效的法人营业执照副本扫描件；</w:t>
            </w:r>
          </w:p>
          <w:p w14:paraId="729A393A">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（2）政府采购供应商信用承诺函；</w:t>
            </w:r>
          </w:p>
          <w:p w14:paraId="08E9D590">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（3）有效的资质证书副本扫描件；</w:t>
            </w:r>
          </w:p>
          <w:p w14:paraId="6652D8C0">
            <w:pPr>
              <w:widowControl w:val="0"/>
              <w:spacing w:line="390" w:lineRule="exact"/>
              <w:ind w:firstLine="480" w:firstLineChars="200"/>
              <w:jc w:val="both"/>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（4）有效的安全生产许可证副本扫描件；</w:t>
            </w:r>
          </w:p>
          <w:p w14:paraId="6810DA3F">
            <w:pPr>
              <w:pageBreakBefore w:val="0"/>
              <w:widowControl/>
              <w:kinsoku/>
              <w:wordWrap/>
              <w:overflowPunct/>
              <w:topLinePunct w:val="0"/>
              <w:autoSpaceDE/>
              <w:autoSpaceDN/>
              <w:bidi w:val="0"/>
              <w:snapToGrid/>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bidi="ar-SA"/>
              </w:rPr>
              <w:t>（5）</w:t>
            </w:r>
            <w:r>
              <w:rPr>
                <w:rFonts w:hint="eastAsia" w:asciiTheme="minorEastAsia" w:hAnsiTheme="minorEastAsia" w:eastAsiaTheme="minorEastAsia" w:cstheme="minorEastAsia"/>
                <w:bCs/>
                <w:color w:val="auto"/>
                <w:kern w:val="2"/>
                <w:sz w:val="24"/>
                <w:szCs w:val="24"/>
                <w:highlight w:val="none"/>
                <w:lang w:val="en-US" w:eastAsia="zh-CN" w:bidi="ar-SA"/>
              </w:rPr>
              <w:fldChar w:fldCharType="begin"/>
            </w:r>
            <w:r>
              <w:rPr>
                <w:rFonts w:hint="eastAsia" w:asciiTheme="minorEastAsia" w:hAnsiTheme="minorEastAsia" w:eastAsiaTheme="minorEastAsia" w:cstheme="minorEastAsia"/>
                <w:bCs/>
                <w:color w:val="auto"/>
                <w:kern w:val="2"/>
                <w:sz w:val="24"/>
                <w:szCs w:val="24"/>
                <w:highlight w:val="none"/>
                <w:lang w:val="en-US" w:eastAsia="zh-CN" w:bidi="ar-SA"/>
              </w:rPr>
              <w:instrText xml:space="preserve"> HYPERLINK "http://www.gxcic.net/HTMLFile/2013-02/shownews_167314.html" \t "http://ggzyjy.gxhz.gov.cn/page__gp_portal/_blank" </w:instrText>
            </w:r>
            <w:r>
              <w:rPr>
                <w:rFonts w:hint="eastAsia" w:asciiTheme="minorEastAsia" w:hAnsiTheme="minorEastAsia" w:eastAsiaTheme="minorEastAsia" w:cstheme="minorEastAsia"/>
                <w:bCs/>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bCs/>
                <w:color w:val="auto"/>
                <w:kern w:val="2"/>
                <w:sz w:val="24"/>
                <w:szCs w:val="24"/>
                <w:highlight w:val="none"/>
                <w:lang w:val="en-US" w:eastAsia="zh-CN" w:bidi="ar-SA"/>
              </w:rPr>
              <w:t>拟派往本项目项目经理</w:t>
            </w:r>
            <w:r>
              <w:rPr>
                <w:rFonts w:hint="eastAsia" w:asciiTheme="minorEastAsia" w:hAnsiTheme="minorEastAsia" w:eastAsiaTheme="minorEastAsia" w:cstheme="minorEastAsia"/>
                <w:bCs/>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sz w:val="24"/>
                <w:szCs w:val="24"/>
                <w:highlight w:val="none"/>
                <w:lang w:val="en-US" w:eastAsia="zh-CN"/>
              </w:rPr>
              <w:t>具备市政工程专业注册建造师二级以上（含二级）执业资格和具备有效的具备《安全生产考核合格证书（B类）》【提供项目经理注册建造师执业资格证书和安全生产考核合格证书（B类）的扫描件】。</w:t>
            </w:r>
          </w:p>
          <w:p w14:paraId="04DBD636">
            <w:pPr>
              <w:pageBreakBefore w:val="0"/>
              <w:widowControl/>
              <w:kinsoku/>
              <w:wordWrap/>
              <w:overflowPunct/>
              <w:topLinePunct w:val="0"/>
              <w:autoSpaceDE/>
              <w:autoSpaceDN/>
              <w:bidi w:val="0"/>
              <w:snapToGrid/>
              <w:spacing w:line="400" w:lineRule="exact"/>
              <w:ind w:firstLine="480" w:firstLineChars="20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bidi="ar-SA"/>
              </w:rPr>
              <w:t>（6）法定代表人身份证明书及授权委托书（委托代理时必须提供，同时加盖单位电子公章）</w:t>
            </w:r>
          </w:p>
          <w:p w14:paraId="403ED4E0">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（7）本项目属于专门面向中小企业采购的项目，中小企业声明函（或监狱企业的证明文件或残疾人福利性单位声明函）必须提供；</w:t>
            </w:r>
          </w:p>
          <w:p w14:paraId="320B6A26">
            <w:pPr>
              <w:pStyle w:val="11"/>
              <w:spacing w:line="390" w:lineRule="exact"/>
              <w:ind w:firstLine="482" w:firstLineChars="200"/>
              <w:rPr>
                <w:rFonts w:hint="eastAsia" w:asciiTheme="minorEastAsia" w:hAnsiTheme="minorEastAsia" w:eastAsiaTheme="minorEastAsia" w:cstheme="minorEastAsia"/>
                <w:b/>
                <w:color w:val="auto"/>
                <w:sz w:val="24"/>
                <w:szCs w:val="24"/>
                <w:highlight w:val="none"/>
                <w:u w:val="none"/>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u w:val="single"/>
                <w:lang w:val="en-US" w:eastAsia="zh-CN"/>
              </w:rPr>
              <w:t>1.</w:t>
            </w:r>
            <w:r>
              <w:rPr>
                <w:rFonts w:hint="eastAsia" w:asciiTheme="minorEastAsia" w:hAnsiTheme="minorEastAsia" w:eastAsiaTheme="minorEastAsia" w:cstheme="minorEastAsia"/>
                <w:b/>
                <w:color w:val="auto"/>
                <w:sz w:val="24"/>
                <w:szCs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szCs w:val="24"/>
                <w:highlight w:val="none"/>
                <w:u w:val="none"/>
              </w:rPr>
              <w:t>。</w:t>
            </w:r>
          </w:p>
          <w:p w14:paraId="3EB07E1F">
            <w:pPr>
              <w:pStyle w:val="11"/>
              <w:spacing w:line="390" w:lineRule="exact"/>
              <w:ind w:firstLine="482" w:firstLineChars="200"/>
              <w:rPr>
                <w:rFonts w:hint="eastAsia" w:asciiTheme="minorEastAsia" w:hAnsiTheme="minorEastAsia" w:eastAsiaTheme="minorEastAsia" w:cstheme="minorEastAsia"/>
                <w:b/>
                <w:bCs w:val="0"/>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4"/>
                <w:highlight w:val="none"/>
                <w:u w:val="single"/>
                <w:lang w:val="en-US" w:eastAsia="zh-CN"/>
              </w:rPr>
              <w:t>2.以上材料属于复印件的扫描件的，必须加盖供应商电子公章，否则响应文件按无效响应处理。</w:t>
            </w:r>
          </w:p>
        </w:tc>
      </w:tr>
      <w:tr w14:paraId="6641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vMerge w:val="continue"/>
            <w:noWrap w:val="0"/>
            <w:tcMar>
              <w:top w:w="0" w:type="dxa"/>
              <w:left w:w="57" w:type="dxa"/>
              <w:bottom w:w="0" w:type="dxa"/>
              <w:right w:w="57" w:type="dxa"/>
            </w:tcMar>
            <w:vAlign w:val="center"/>
          </w:tcPr>
          <w:p w14:paraId="216B05E7">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965" w:type="dxa"/>
            <w:vMerge w:val="continue"/>
            <w:noWrap w:val="0"/>
            <w:tcMar>
              <w:top w:w="0" w:type="dxa"/>
              <w:left w:w="57" w:type="dxa"/>
              <w:bottom w:w="0" w:type="dxa"/>
              <w:right w:w="57" w:type="dxa"/>
            </w:tcMar>
            <w:vAlign w:val="center"/>
          </w:tcPr>
          <w:p w14:paraId="6D8195DE">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33" w:type="dxa"/>
            <w:noWrap w:val="0"/>
            <w:tcMar>
              <w:top w:w="0" w:type="dxa"/>
              <w:left w:w="57" w:type="dxa"/>
              <w:bottom w:w="0" w:type="dxa"/>
              <w:right w:w="57" w:type="dxa"/>
            </w:tcMar>
            <w:vAlign w:val="top"/>
          </w:tcPr>
          <w:p w14:paraId="606B4F7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报价文件</w:t>
            </w:r>
          </w:p>
          <w:p w14:paraId="040B6C8C">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（1）磋商函及磋商函附录</w:t>
            </w:r>
          </w:p>
          <w:p w14:paraId="189D8DDF">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（2）竞标人基本情况表</w:t>
            </w:r>
          </w:p>
          <w:p w14:paraId="5AAA0055">
            <w:pPr>
              <w:pStyle w:val="35"/>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（3）已标价工程量清单</w:t>
            </w:r>
          </w:p>
          <w:p w14:paraId="52EBE1CB">
            <w:pPr>
              <w:pStyle w:val="35"/>
              <w:ind w:firstLine="48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tc>
      </w:tr>
      <w:tr w14:paraId="7B7E7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9" w:hRule="atLeast"/>
          <w:jc w:val="center"/>
        </w:trPr>
        <w:tc>
          <w:tcPr>
            <w:tcW w:w="706" w:type="dxa"/>
            <w:vMerge w:val="continue"/>
            <w:noWrap w:val="0"/>
            <w:tcMar>
              <w:top w:w="0" w:type="dxa"/>
              <w:left w:w="57" w:type="dxa"/>
              <w:bottom w:w="0" w:type="dxa"/>
              <w:right w:w="57" w:type="dxa"/>
            </w:tcMar>
            <w:vAlign w:val="center"/>
          </w:tcPr>
          <w:p w14:paraId="3DCFA9A6">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p>
        </w:tc>
        <w:tc>
          <w:tcPr>
            <w:tcW w:w="1965" w:type="dxa"/>
            <w:vMerge w:val="continue"/>
            <w:noWrap w:val="0"/>
            <w:tcMar>
              <w:top w:w="0" w:type="dxa"/>
              <w:left w:w="57" w:type="dxa"/>
              <w:bottom w:w="0" w:type="dxa"/>
              <w:right w:w="57" w:type="dxa"/>
            </w:tcMar>
            <w:vAlign w:val="center"/>
          </w:tcPr>
          <w:p w14:paraId="52C62CD2">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p>
        </w:tc>
        <w:tc>
          <w:tcPr>
            <w:tcW w:w="7133" w:type="dxa"/>
            <w:noWrap w:val="0"/>
            <w:tcMar>
              <w:top w:w="0" w:type="dxa"/>
              <w:left w:w="57" w:type="dxa"/>
              <w:bottom w:w="0" w:type="dxa"/>
              <w:right w:w="57" w:type="dxa"/>
            </w:tcMar>
            <w:vAlign w:val="top"/>
          </w:tcPr>
          <w:p w14:paraId="4DEF91F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商务技术文件</w:t>
            </w:r>
          </w:p>
          <w:p w14:paraId="0CAE06AA">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主要管理人员表</w:t>
            </w:r>
          </w:p>
          <w:p w14:paraId="3BD33FC6">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)建设工程项目管理承诺书</w:t>
            </w:r>
          </w:p>
          <w:p w14:paraId="23F16257">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)施工组织设计</w:t>
            </w:r>
          </w:p>
          <w:p w14:paraId="38600A49">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业绩</w:t>
            </w:r>
            <w:r>
              <w:rPr>
                <w:rFonts w:hint="eastAsia" w:asciiTheme="minorEastAsia" w:hAnsiTheme="minorEastAsia" w:eastAsiaTheme="minorEastAsia" w:cstheme="minorEastAsia"/>
                <w:bCs/>
                <w:color w:val="auto"/>
                <w:sz w:val="24"/>
                <w:szCs w:val="24"/>
                <w:highlight w:val="none"/>
              </w:rPr>
              <w:t>（如有，请提供）</w:t>
            </w:r>
          </w:p>
          <w:p w14:paraId="6A579F21">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)供应商可结合本项目的评标办法视自身情况自行提交相关证明材料。（如有，请提供）</w:t>
            </w:r>
          </w:p>
          <w:p w14:paraId="02DA0BB4">
            <w:pPr>
              <w:pStyle w:val="35"/>
              <w:ind w:firstLine="482"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tc>
      </w:tr>
      <w:tr w14:paraId="503A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2EF2B47">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1965" w:type="dxa"/>
            <w:noWrap w:val="0"/>
            <w:tcMar>
              <w:top w:w="0" w:type="dxa"/>
              <w:left w:w="57" w:type="dxa"/>
              <w:bottom w:w="0" w:type="dxa"/>
              <w:right w:w="57" w:type="dxa"/>
            </w:tcMar>
            <w:vAlign w:val="center"/>
          </w:tcPr>
          <w:p w14:paraId="6E2D7A45">
            <w:pPr>
              <w:spacing w:line="400" w:lineRule="exact"/>
              <w:ind w:firstLine="241" w:firstLineChars="100"/>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《响应文件》的递交</w:t>
            </w:r>
          </w:p>
        </w:tc>
        <w:tc>
          <w:tcPr>
            <w:tcW w:w="7133" w:type="dxa"/>
            <w:noWrap w:val="0"/>
            <w:tcMar>
              <w:top w:w="0" w:type="dxa"/>
              <w:left w:w="57" w:type="dxa"/>
              <w:bottom w:w="0" w:type="dxa"/>
              <w:right w:w="57" w:type="dxa"/>
            </w:tcMar>
            <w:vAlign w:val="top"/>
          </w:tcPr>
          <w:p w14:paraId="3AAE9DA0">
            <w:pPr>
              <w:spacing w:line="4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lang w:eastAsia="zh-CN"/>
              </w:rPr>
              <w:t>地点：</w:t>
            </w:r>
            <w:r>
              <w:rPr>
                <w:rFonts w:hint="eastAsia" w:asciiTheme="minorEastAsia" w:hAnsiTheme="minorEastAsia" w:eastAsiaTheme="minorEastAsia" w:cstheme="minorEastAsia"/>
                <w:color w:val="auto"/>
                <w:sz w:val="24"/>
                <w:szCs w:val="24"/>
                <w:highlight w:val="none"/>
              </w:rPr>
              <w:t>本项目为贺州市电子化项目，通过“</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”平台实行在线电子投标，供应商应先安装“</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电子交易客户端”（请自行前往“</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”平台进行下载），并按照本项目招标文件和“</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”平台的要求编制、加密后在投标截止时间前通过网络上传至“</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w:t>
            </w:r>
            <w:r>
              <w:rPr>
                <w:rFonts w:hint="eastAsia" w:asciiTheme="minorEastAsia" w:hAnsiTheme="minorEastAsia" w:eastAsiaTheme="minorEastAsia" w:cstheme="minorEastAsia"/>
                <w:b/>
                <w:bCs/>
                <w:color w:val="auto"/>
                <w:sz w:val="24"/>
                <w:szCs w:val="24"/>
                <w:highlight w:val="none"/>
              </w:rPr>
              <w:t>供应商在“</w:t>
            </w:r>
            <w:r>
              <w:rPr>
                <w:rFonts w:hint="eastAsia" w:asciiTheme="minorEastAsia" w:hAnsiTheme="minorEastAsia" w:eastAsiaTheme="minorEastAsia" w:cstheme="minorEastAsia"/>
                <w:b/>
                <w:bCs/>
                <w:color w:val="auto"/>
                <w:sz w:val="24"/>
                <w:szCs w:val="24"/>
                <w:highlight w:val="none"/>
                <w:lang w:eastAsia="zh-CN"/>
              </w:rPr>
              <w:t>广西政采云</w:t>
            </w:r>
            <w:r>
              <w:rPr>
                <w:rFonts w:hint="eastAsia" w:asciiTheme="minorEastAsia" w:hAnsiTheme="minorEastAsia" w:eastAsiaTheme="minorEastAsia" w:cstheme="minorEastAsia"/>
                <w:b/>
                <w:bCs/>
                <w:color w:val="auto"/>
                <w:sz w:val="24"/>
                <w:szCs w:val="24"/>
                <w:highlight w:val="none"/>
              </w:rPr>
              <w:t>”平台提交电子版响应文件时，请填写参加远程开标活动经办人联系方式，如在操作过程中遇到问题或需技术支持，请致电</w:t>
            </w:r>
            <w:r>
              <w:rPr>
                <w:rFonts w:hint="eastAsia" w:asciiTheme="minorEastAsia" w:hAnsiTheme="minorEastAsia" w:eastAsiaTheme="minorEastAsia" w:cstheme="minorEastAsia"/>
                <w:b/>
                <w:bCs/>
                <w:color w:val="auto"/>
                <w:sz w:val="24"/>
                <w:szCs w:val="24"/>
                <w:highlight w:val="none"/>
                <w:lang w:eastAsia="zh-CN"/>
              </w:rPr>
              <w:t>广西政采云</w:t>
            </w:r>
            <w:r>
              <w:rPr>
                <w:rFonts w:hint="eastAsia" w:asciiTheme="minorEastAsia" w:hAnsiTheme="minorEastAsia" w:eastAsiaTheme="minorEastAsia" w:cstheme="minorEastAsia"/>
                <w:b/>
                <w:bCs/>
                <w:color w:val="auto"/>
                <w:sz w:val="24"/>
                <w:szCs w:val="24"/>
                <w:highlight w:val="none"/>
              </w:rPr>
              <w:t>客服热线：</w:t>
            </w:r>
            <w:r>
              <w:rPr>
                <w:rFonts w:hint="eastAsia" w:asciiTheme="minorEastAsia" w:hAnsiTheme="minorEastAsia" w:eastAsiaTheme="minorEastAsia" w:cstheme="minorEastAsia"/>
                <w:b/>
                <w:bCs/>
                <w:color w:val="auto"/>
                <w:sz w:val="24"/>
                <w:szCs w:val="24"/>
                <w:highlight w:val="none"/>
                <w:lang w:eastAsia="zh-CN"/>
              </w:rPr>
              <w:t>95763</w:t>
            </w:r>
            <w:r>
              <w:rPr>
                <w:rFonts w:hint="eastAsia" w:asciiTheme="minorEastAsia" w:hAnsiTheme="minorEastAsia" w:eastAsiaTheme="minorEastAsia" w:cstheme="minorEastAsia"/>
                <w:color w:val="auto"/>
                <w:sz w:val="24"/>
                <w:szCs w:val="24"/>
                <w:highlight w:val="none"/>
                <w:lang w:eastAsia="zh-CN"/>
              </w:rPr>
              <w:t>。</w:t>
            </w:r>
          </w:p>
          <w:p w14:paraId="441CA4AE">
            <w:pPr>
              <w:spacing w:line="400" w:lineRule="exac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递交截止时间：</w:t>
            </w:r>
            <w:r>
              <w:rPr>
                <w:rFonts w:hint="eastAsia" w:asciiTheme="minorEastAsia" w:hAnsiTheme="minorEastAsia" w:eastAsiaTheme="minorEastAsia" w:cstheme="minorEastAsia"/>
                <w:b w:val="0"/>
                <w:bCs/>
                <w:color w:val="FF0000"/>
                <w:sz w:val="24"/>
                <w:szCs w:val="24"/>
                <w:highlight w:val="none"/>
                <w:u w:val="none"/>
                <w:lang w:val="en-US" w:eastAsia="zh-CN"/>
              </w:rPr>
              <w:t xml:space="preserve">2025年04月17日09时00分 </w:t>
            </w:r>
          </w:p>
        </w:tc>
      </w:tr>
      <w:tr w14:paraId="04571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2D50F6DC">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1965" w:type="dxa"/>
            <w:noWrap w:val="0"/>
            <w:tcMar>
              <w:top w:w="0" w:type="dxa"/>
              <w:left w:w="57" w:type="dxa"/>
              <w:bottom w:w="0" w:type="dxa"/>
              <w:right w:w="57" w:type="dxa"/>
            </w:tcMar>
            <w:vAlign w:val="center"/>
          </w:tcPr>
          <w:p w14:paraId="1ACB7239">
            <w:pPr>
              <w:spacing w:line="40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开标时间</w:t>
            </w:r>
          </w:p>
        </w:tc>
        <w:tc>
          <w:tcPr>
            <w:tcW w:w="7133" w:type="dxa"/>
            <w:noWrap w:val="0"/>
            <w:tcMar>
              <w:top w:w="0" w:type="dxa"/>
              <w:left w:w="57" w:type="dxa"/>
              <w:bottom w:w="0" w:type="dxa"/>
              <w:right w:w="57" w:type="dxa"/>
            </w:tcMar>
            <w:vAlign w:val="top"/>
          </w:tcPr>
          <w:p w14:paraId="3A4300F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开标时间：</w:t>
            </w:r>
            <w:r>
              <w:rPr>
                <w:rFonts w:hint="eastAsia" w:asciiTheme="minorEastAsia" w:hAnsiTheme="minorEastAsia" w:eastAsiaTheme="minorEastAsia" w:cstheme="minorEastAsia"/>
                <w:b w:val="0"/>
                <w:bCs/>
                <w:color w:val="FF0000"/>
                <w:sz w:val="24"/>
                <w:szCs w:val="24"/>
                <w:highlight w:val="none"/>
                <w:u w:val="none"/>
                <w:lang w:val="en-US" w:eastAsia="zh-CN"/>
              </w:rPr>
              <w:t>2025年04月17日09时00分</w:t>
            </w:r>
            <w:r>
              <w:rPr>
                <w:rFonts w:hint="eastAsia" w:asciiTheme="minorEastAsia" w:hAnsiTheme="minorEastAsia" w:eastAsiaTheme="minorEastAsia" w:cstheme="minorEastAsia"/>
                <w:color w:val="FF0000"/>
                <w:sz w:val="24"/>
                <w:szCs w:val="24"/>
                <w:highlight w:val="none"/>
              </w:rPr>
              <w:t>截标后</w:t>
            </w:r>
          </w:p>
          <w:p w14:paraId="63723E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firstLine="480" w:firstLineChars="2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开标地点：“</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”平台电子开标大厅开标</w:t>
            </w:r>
            <w:r>
              <w:rPr>
                <w:rFonts w:hint="eastAsia" w:asciiTheme="minorEastAsia" w:hAnsiTheme="minorEastAsia" w:eastAsiaTheme="minorEastAsia" w:cstheme="minorEastAsia"/>
                <w:color w:val="auto"/>
                <w:sz w:val="24"/>
                <w:szCs w:val="24"/>
                <w:highlight w:val="none"/>
                <w:lang w:eastAsia="zh-CN"/>
              </w:rPr>
              <w:t>。</w:t>
            </w:r>
          </w:p>
          <w:p w14:paraId="28A574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0" w:lineRule="atLeast"/>
              <w:ind w:right="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tc>
      </w:tr>
      <w:tr w14:paraId="1B80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46376D21">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1965" w:type="dxa"/>
            <w:noWrap w:val="0"/>
            <w:tcMar>
              <w:top w:w="0" w:type="dxa"/>
              <w:left w:w="57" w:type="dxa"/>
              <w:bottom w:w="0" w:type="dxa"/>
              <w:right w:w="57" w:type="dxa"/>
            </w:tcMar>
            <w:vAlign w:val="center"/>
          </w:tcPr>
          <w:p w14:paraId="1F4652EA">
            <w:pPr>
              <w:spacing w:line="40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开标程序</w:t>
            </w:r>
          </w:p>
        </w:tc>
        <w:tc>
          <w:tcPr>
            <w:tcW w:w="7133" w:type="dxa"/>
            <w:noWrap w:val="0"/>
            <w:tcMar>
              <w:top w:w="0" w:type="dxa"/>
              <w:left w:w="57" w:type="dxa"/>
              <w:bottom w:w="0" w:type="dxa"/>
              <w:right w:w="57" w:type="dxa"/>
            </w:tcMar>
            <w:vAlign w:val="top"/>
          </w:tcPr>
          <w:p w14:paraId="5BEAC8E0">
            <w:pPr>
              <w:numPr>
                <w:ilvl w:val="0"/>
                <w:numId w:val="5"/>
              </w:num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签收、</w:t>
            </w:r>
            <w:r>
              <w:rPr>
                <w:rFonts w:hint="eastAsia" w:asciiTheme="minorEastAsia" w:hAnsiTheme="minorEastAsia" w:eastAsiaTheme="minorEastAsia" w:cstheme="minorEastAsia"/>
                <w:color w:val="auto"/>
                <w:sz w:val="24"/>
                <w:szCs w:val="24"/>
                <w:highlight w:val="none"/>
                <w:lang w:eastAsia="zh-CN"/>
              </w:rPr>
              <w:t>解密电子投标文件。</w:t>
            </w:r>
            <w:r>
              <w:rPr>
                <w:rFonts w:hint="eastAsia" w:asciiTheme="minorEastAsia" w:hAnsiTheme="minorEastAsia" w:eastAsiaTheme="minorEastAsia" w:cstheme="minorEastAsia"/>
                <w:color w:val="auto"/>
                <w:sz w:val="24"/>
                <w:szCs w:val="24"/>
                <w:highlight w:val="none"/>
                <w:lang w:val="en-US" w:eastAsia="zh-CN"/>
              </w:rPr>
              <w:t>采购代理机构将在“供应商须知前附表”规定的时间通过电子交易平台组织响应文件开启， 采购机构依托电子交易平台发起【开始解密】指令，供应商的法定代表人或其委托代理人须携带加密时所用的 CA 锁按平台提示和采购文件的规定登录到“广西政采云”平台电子开标大厅签到并在发起解密指令之时起 30分钟内完成对电子响应文件在线解密。发起解密指令之时起 5 分钟内供应商还未进行解密的，代理机构要通知供应商，供应商没预留联系方式或预留联系方式无效，导致代理机构无法联系到投标人在发起解密指令之时起 30分钟内完成对电子响应文件在线解密的，均视为无效投标。</w:t>
            </w:r>
          </w:p>
          <w:p w14:paraId="7472006B">
            <w:pPr>
              <w:numPr>
                <w:ilvl w:val="0"/>
                <w:numId w:val="0"/>
              </w:numPr>
              <w:spacing w:line="390" w:lineRule="exact"/>
              <w:ind w:firstLine="240" w:firstLineChars="1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（解密异常情况处理：详见本章 15.3 电子交易活动的中止。） </w:t>
            </w:r>
          </w:p>
          <w:p w14:paraId="5DCE8405">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如供应商成功解密响应文件，但未在“广西政采云”电子开标大厅参加磋商的，视同认可磋商过程和结果，由此产生的后果由供应商自行负责。参与磋商的供应商不足3 家的，不得磋商。</w:t>
            </w:r>
          </w:p>
          <w:p w14:paraId="5430A7C2">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（2）</w:t>
            </w:r>
            <w:r>
              <w:rPr>
                <w:rFonts w:hint="eastAsia" w:asciiTheme="minorEastAsia" w:hAnsiTheme="minorEastAsia" w:eastAsiaTheme="minorEastAsia" w:cstheme="minorEastAsia"/>
                <w:color w:val="auto"/>
                <w:sz w:val="24"/>
                <w:szCs w:val="24"/>
                <w:highlight w:val="none"/>
                <w:lang w:val="en-US" w:eastAsia="zh-CN"/>
              </w:rPr>
              <w:t>初步评审。</w:t>
            </w:r>
            <w:r>
              <w:rPr>
                <w:rFonts w:hint="eastAsia" w:asciiTheme="minorEastAsia" w:hAnsiTheme="minorEastAsia" w:eastAsiaTheme="minorEastAsia" w:cstheme="minorEastAsia"/>
                <w:color w:val="auto"/>
                <w:sz w:val="24"/>
                <w:szCs w:val="24"/>
                <w:highlight w:val="none"/>
                <w:lang w:eastAsia="zh-CN"/>
              </w:rPr>
              <w:t>投标文件解密结束</w:t>
            </w:r>
            <w:r>
              <w:rPr>
                <w:rFonts w:hint="eastAsia" w:asciiTheme="minorEastAsia" w:hAnsiTheme="minorEastAsia" w:eastAsiaTheme="minorEastAsia" w:cstheme="minorEastAsia"/>
                <w:color w:val="auto"/>
                <w:sz w:val="24"/>
                <w:szCs w:val="24"/>
                <w:highlight w:val="none"/>
                <w:lang w:val="en-US" w:eastAsia="zh-CN"/>
              </w:rPr>
              <w:t>后</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磋商小组依据法律法规和磋商文件的规定，对竞标人进行线上初步评审（资格性审查、符合性审查）。</w:t>
            </w:r>
          </w:p>
          <w:p w14:paraId="6F16BA28">
            <w:pPr>
              <w:numPr>
                <w:ilvl w:val="0"/>
                <w:numId w:val="0"/>
              </w:num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电子在线询标（开启第二轮报价）。①采购代理机构将按照提交首次响应文件的顺序在线上通知，通知磋商时，若某供应商不在通知现场时，该供应商排序到最后磋商，按照签到的顺序由其下一位供应商先参与磋商。②</w:t>
            </w:r>
            <w:r>
              <w:rPr>
                <w:rFonts w:hint="eastAsia" w:asciiTheme="minorEastAsia" w:hAnsiTheme="minorEastAsia" w:eastAsiaTheme="minorEastAsia" w:cstheme="minorEastAsia"/>
                <w:color w:val="auto"/>
                <w:sz w:val="24"/>
                <w:szCs w:val="24"/>
                <w:highlight w:val="none"/>
                <w:lang w:eastAsia="zh-CN"/>
              </w:rPr>
              <w:t>各投标供应商</w:t>
            </w:r>
            <w:r>
              <w:rPr>
                <w:rFonts w:hint="eastAsia" w:asciiTheme="minorEastAsia" w:hAnsiTheme="minorEastAsia" w:eastAsiaTheme="minorEastAsia" w:cstheme="minorEastAsia"/>
                <w:color w:val="auto"/>
                <w:sz w:val="24"/>
                <w:szCs w:val="24"/>
                <w:highlight w:val="none"/>
                <w:lang w:val="en-US" w:eastAsia="zh-CN"/>
              </w:rPr>
              <w:t>在规定地点、时间提交二次报价或询标回复。</w:t>
            </w:r>
          </w:p>
          <w:p w14:paraId="7FAE66CE">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）电子唱标。各投标供应商报价、</w:t>
            </w:r>
            <w:r>
              <w:rPr>
                <w:rFonts w:hint="eastAsia" w:asciiTheme="minorEastAsia" w:hAnsiTheme="minorEastAsia" w:eastAsiaTheme="minorEastAsia" w:cstheme="minorEastAsia"/>
                <w:color w:val="auto"/>
                <w:sz w:val="24"/>
                <w:szCs w:val="24"/>
                <w:highlight w:val="none"/>
                <w:lang w:val="en-US" w:eastAsia="zh-CN"/>
              </w:rPr>
              <w:t>工期等</w:t>
            </w:r>
            <w:r>
              <w:rPr>
                <w:rFonts w:hint="eastAsia" w:asciiTheme="minorEastAsia" w:hAnsiTheme="minorEastAsia" w:eastAsiaTheme="minorEastAsia" w:cstheme="minorEastAsia"/>
                <w:color w:val="auto"/>
                <w:sz w:val="24"/>
                <w:szCs w:val="24"/>
                <w:highlight w:val="none"/>
                <w:lang w:eastAsia="zh-CN"/>
              </w:rPr>
              <w:t>均在“广西政采云”平台远程不见面开标大厅展示；</w:t>
            </w:r>
          </w:p>
          <w:p w14:paraId="58CA5FA5">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6F9F5F4">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bCs/>
                <w:color w:val="auto"/>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）开标结束。</w:t>
            </w:r>
          </w:p>
          <w:p w14:paraId="0F5453AD">
            <w:pPr>
              <w:pStyle w:val="35"/>
              <w:ind w:firstLine="482" w:firstLineChars="20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b/>
                <w:bCs/>
                <w:color w:val="auto"/>
                <w:highlight w:val="none"/>
                <w:lang w:eastAsia="zh-CN"/>
              </w:rPr>
              <w:t>特别说明：如遇“广西政采云”平台电子化开标或评审程序调整的，按调整后执行。</w:t>
            </w:r>
          </w:p>
        </w:tc>
      </w:tr>
      <w:tr w14:paraId="4DEF0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7EA5409F">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1965" w:type="dxa"/>
            <w:noWrap w:val="0"/>
            <w:tcMar>
              <w:top w:w="0" w:type="dxa"/>
              <w:left w:w="57" w:type="dxa"/>
              <w:bottom w:w="0" w:type="dxa"/>
              <w:right w:w="57" w:type="dxa"/>
            </w:tcMar>
            <w:vAlign w:val="center"/>
          </w:tcPr>
          <w:p w14:paraId="30A67D4B">
            <w:pPr>
              <w:widowControl/>
              <w:spacing w:line="4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磋商小组的组成</w:t>
            </w:r>
          </w:p>
        </w:tc>
        <w:tc>
          <w:tcPr>
            <w:tcW w:w="7133" w:type="dxa"/>
            <w:noWrap w:val="0"/>
            <w:tcMar>
              <w:top w:w="0" w:type="dxa"/>
              <w:left w:w="57" w:type="dxa"/>
              <w:bottom w:w="0" w:type="dxa"/>
              <w:right w:w="57" w:type="dxa"/>
            </w:tcMar>
            <w:vAlign w:val="top"/>
          </w:tcPr>
          <w:p w14:paraId="2CE9A8B0">
            <w:pPr>
              <w:keepNext w:val="0"/>
              <w:keepLines w:val="0"/>
              <w:pageBreakBefore w:val="0"/>
              <w:kinsoku/>
              <w:wordWrap/>
              <w:overflowPunct/>
              <w:topLinePunct w:val="0"/>
              <w:autoSpaceDE/>
              <w:autoSpaceDN/>
              <w:bidi w:val="0"/>
              <w:adjustRightInd/>
              <w:snapToGrid/>
              <w:spacing w:line="34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磋商小组</w:t>
            </w:r>
            <w:r>
              <w:rPr>
                <w:rFonts w:hint="eastAsia" w:asciiTheme="minorEastAsia" w:hAnsiTheme="minorEastAsia" w:eastAsiaTheme="minorEastAsia" w:cstheme="minorEastAsia"/>
                <w:b/>
                <w:bCs/>
                <w:color w:val="auto"/>
                <w:sz w:val="24"/>
                <w:szCs w:val="24"/>
                <w:highlight w:val="none"/>
              </w:rPr>
              <w:t>构成：</w:t>
            </w:r>
            <w:r>
              <w:rPr>
                <w:rFonts w:hint="eastAsia" w:asciiTheme="minorEastAsia" w:hAnsiTheme="minorEastAsia" w:eastAsiaTheme="minorEastAsia" w:cstheme="minorEastAsia"/>
                <w:color w:val="auto"/>
                <w:sz w:val="24"/>
                <w:szCs w:val="24"/>
                <w:highlight w:val="none"/>
              </w:rPr>
              <w:t>3人，其中采购人代表1人，专家2人。</w:t>
            </w:r>
          </w:p>
          <w:p w14:paraId="052BFBEE">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评标专家确定方式：</w:t>
            </w:r>
            <w:r>
              <w:rPr>
                <w:rFonts w:hint="eastAsia" w:asciiTheme="minorEastAsia" w:hAnsiTheme="minorEastAsia" w:eastAsiaTheme="minorEastAsia" w:cstheme="minorEastAsia"/>
                <w:color w:val="auto"/>
                <w:sz w:val="24"/>
                <w:szCs w:val="24"/>
                <w:highlight w:val="none"/>
                <w:lang w:val="en-US" w:eastAsia="zh-CN"/>
              </w:rPr>
              <w:t>开标前由采购代理机构在广西政采云平台广西评审专家库随机抽取确定。</w:t>
            </w:r>
          </w:p>
        </w:tc>
      </w:tr>
      <w:tr w14:paraId="505CC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6" w:type="dxa"/>
            <w:noWrap w:val="0"/>
            <w:tcMar>
              <w:top w:w="0" w:type="dxa"/>
              <w:left w:w="57" w:type="dxa"/>
              <w:bottom w:w="0" w:type="dxa"/>
              <w:right w:w="57" w:type="dxa"/>
            </w:tcMar>
            <w:vAlign w:val="center"/>
          </w:tcPr>
          <w:p w14:paraId="07FD1B9C">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1965" w:type="dxa"/>
            <w:noWrap w:val="0"/>
            <w:tcMar>
              <w:top w:w="0" w:type="dxa"/>
              <w:left w:w="57" w:type="dxa"/>
              <w:bottom w:w="0" w:type="dxa"/>
              <w:right w:w="57" w:type="dxa"/>
            </w:tcMar>
            <w:vAlign w:val="center"/>
          </w:tcPr>
          <w:p w14:paraId="1C1187B7">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评标办法</w:t>
            </w:r>
          </w:p>
        </w:tc>
        <w:tc>
          <w:tcPr>
            <w:tcW w:w="7133" w:type="dxa"/>
            <w:noWrap w:val="0"/>
            <w:tcMar>
              <w:top w:w="0" w:type="dxa"/>
              <w:left w:w="57" w:type="dxa"/>
              <w:bottom w:w="0" w:type="dxa"/>
              <w:right w:w="57" w:type="dxa"/>
            </w:tcMar>
            <w:vAlign w:val="center"/>
          </w:tcPr>
          <w:p w14:paraId="19543742">
            <w:pPr>
              <w:keepNext w:val="0"/>
              <w:keepLines w:val="0"/>
              <w:pageBreakBefore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综合评分法</w:t>
            </w:r>
          </w:p>
        </w:tc>
      </w:tr>
      <w:tr w14:paraId="4079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3FE9A1A2">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1965" w:type="dxa"/>
            <w:noWrap w:val="0"/>
            <w:tcMar>
              <w:top w:w="0" w:type="dxa"/>
              <w:left w:w="57" w:type="dxa"/>
              <w:bottom w:w="0" w:type="dxa"/>
              <w:right w:w="57" w:type="dxa"/>
            </w:tcMar>
            <w:vAlign w:val="center"/>
          </w:tcPr>
          <w:p w14:paraId="66B3225B">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是否授权磋商小组确定</w:t>
            </w:r>
            <w:r>
              <w:rPr>
                <w:rFonts w:hint="eastAsia" w:asciiTheme="minorEastAsia" w:hAnsiTheme="minorEastAsia" w:eastAsiaTheme="minorEastAsia" w:cstheme="minorEastAsia"/>
                <w:b/>
                <w:bCs w:val="0"/>
                <w:color w:val="auto"/>
                <w:sz w:val="24"/>
                <w:szCs w:val="24"/>
                <w:highlight w:val="none"/>
                <w:lang w:eastAsia="zh-CN"/>
              </w:rPr>
              <w:t>成交</w:t>
            </w:r>
            <w:r>
              <w:rPr>
                <w:rFonts w:hint="eastAsia" w:asciiTheme="minorEastAsia" w:hAnsiTheme="minorEastAsia" w:eastAsiaTheme="minorEastAsia" w:cstheme="minorEastAsia"/>
                <w:b/>
                <w:bCs w:val="0"/>
                <w:color w:val="auto"/>
                <w:sz w:val="24"/>
                <w:szCs w:val="24"/>
                <w:highlight w:val="none"/>
              </w:rPr>
              <w:t>人</w:t>
            </w:r>
          </w:p>
        </w:tc>
        <w:tc>
          <w:tcPr>
            <w:tcW w:w="7133" w:type="dxa"/>
            <w:noWrap w:val="0"/>
            <w:tcMar>
              <w:top w:w="0" w:type="dxa"/>
              <w:left w:w="57" w:type="dxa"/>
              <w:bottom w:w="0" w:type="dxa"/>
              <w:right w:w="57" w:type="dxa"/>
            </w:tcMar>
            <w:vAlign w:val="center"/>
          </w:tcPr>
          <w:p w14:paraId="79D531BC">
            <w:pPr>
              <w:widowControl/>
              <w:spacing w:line="400" w:lineRule="exact"/>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rPr>
              <w:t>是</w:t>
            </w:r>
            <w:r>
              <w:rPr>
                <w:rFonts w:hint="eastAsia" w:asciiTheme="minorEastAsia" w:hAnsiTheme="minorEastAsia" w:eastAsiaTheme="minorEastAsia" w:cstheme="minorEastAsia"/>
                <w:bCs/>
                <w:color w:val="auto"/>
                <w:sz w:val="24"/>
                <w:szCs w:val="24"/>
                <w:highlight w:val="none"/>
                <w:lang w:eastAsia="zh-CN"/>
              </w:rPr>
              <w:t>。</w:t>
            </w:r>
          </w:p>
        </w:tc>
      </w:tr>
      <w:tr w14:paraId="34AE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54CC1AE4">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1965" w:type="dxa"/>
            <w:noWrap w:val="0"/>
            <w:tcMar>
              <w:top w:w="0" w:type="dxa"/>
              <w:left w:w="57" w:type="dxa"/>
              <w:bottom w:w="0" w:type="dxa"/>
              <w:right w:w="57" w:type="dxa"/>
            </w:tcMar>
            <w:vAlign w:val="center"/>
          </w:tcPr>
          <w:p w14:paraId="077FF05C">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color w:val="auto"/>
                <w:sz w:val="24"/>
                <w:szCs w:val="24"/>
                <w:highlight w:val="none"/>
              </w:rPr>
              <w:t>履约保证金</w:t>
            </w:r>
          </w:p>
        </w:tc>
        <w:tc>
          <w:tcPr>
            <w:tcW w:w="7133" w:type="dxa"/>
            <w:noWrap w:val="0"/>
            <w:tcMar>
              <w:top w:w="0" w:type="dxa"/>
              <w:left w:w="57" w:type="dxa"/>
              <w:bottom w:w="0" w:type="dxa"/>
              <w:right w:w="57" w:type="dxa"/>
            </w:tcMar>
            <w:vAlign w:val="top"/>
          </w:tcPr>
          <w:p w14:paraId="7DD8D10F">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本项目不做要求。</w:t>
            </w:r>
          </w:p>
        </w:tc>
      </w:tr>
      <w:tr w14:paraId="4187E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68C684D7">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1965" w:type="dxa"/>
            <w:noWrap w:val="0"/>
            <w:tcMar>
              <w:top w:w="0" w:type="dxa"/>
              <w:left w:w="57" w:type="dxa"/>
              <w:bottom w:w="0" w:type="dxa"/>
              <w:right w:w="57" w:type="dxa"/>
            </w:tcMar>
            <w:vAlign w:val="center"/>
          </w:tcPr>
          <w:p w14:paraId="40786394">
            <w:pPr>
              <w:spacing w:line="400" w:lineRule="exact"/>
              <w:jc w:val="center"/>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农民工工资保障金</w:t>
            </w:r>
          </w:p>
        </w:tc>
        <w:tc>
          <w:tcPr>
            <w:tcW w:w="7133" w:type="dxa"/>
            <w:noWrap w:val="0"/>
            <w:tcMar>
              <w:top w:w="0" w:type="dxa"/>
              <w:left w:w="57" w:type="dxa"/>
              <w:bottom w:w="0" w:type="dxa"/>
              <w:right w:w="57" w:type="dxa"/>
            </w:tcMar>
            <w:vAlign w:val="top"/>
          </w:tcPr>
          <w:p w14:paraId="39634642">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按合同条款执行。</w:t>
            </w:r>
          </w:p>
        </w:tc>
      </w:tr>
      <w:tr w14:paraId="3E968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06" w:type="dxa"/>
            <w:noWrap w:val="0"/>
            <w:tcMar>
              <w:top w:w="0" w:type="dxa"/>
              <w:left w:w="57" w:type="dxa"/>
              <w:bottom w:w="0" w:type="dxa"/>
              <w:right w:w="57" w:type="dxa"/>
            </w:tcMar>
            <w:vAlign w:val="center"/>
          </w:tcPr>
          <w:p w14:paraId="5D4EFAF9">
            <w:pPr>
              <w:spacing w:line="4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1965" w:type="dxa"/>
            <w:noWrap w:val="0"/>
            <w:tcMar>
              <w:top w:w="0" w:type="dxa"/>
              <w:left w:w="57" w:type="dxa"/>
              <w:bottom w:w="0" w:type="dxa"/>
              <w:right w:w="57" w:type="dxa"/>
            </w:tcMar>
            <w:vAlign w:val="center"/>
          </w:tcPr>
          <w:p w14:paraId="45A04622">
            <w:pPr>
              <w:spacing w:line="40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上限控制价</w:t>
            </w:r>
          </w:p>
        </w:tc>
        <w:tc>
          <w:tcPr>
            <w:tcW w:w="7133" w:type="dxa"/>
            <w:noWrap w:val="0"/>
            <w:tcMar>
              <w:top w:w="0" w:type="dxa"/>
              <w:left w:w="57" w:type="dxa"/>
              <w:bottom w:w="0" w:type="dxa"/>
              <w:right w:w="57" w:type="dxa"/>
            </w:tcMar>
            <w:vAlign w:val="center"/>
          </w:tcPr>
          <w:p w14:paraId="5171BB72">
            <w:pPr>
              <w:widowControl/>
              <w:spacing w:line="240" w:lineRule="auto"/>
              <w:ind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u w:val="single"/>
                <w:lang w:val="en-US" w:eastAsia="zh-CN"/>
              </w:rPr>
              <w:t>人民币壹佰肆拾柒万壹仟壹佰贰拾元陆角捌分（￥1471120.68元）</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报价高于公布的控制价的，其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（磋商）作否决磋商处理。</w:t>
            </w:r>
          </w:p>
        </w:tc>
      </w:tr>
      <w:tr w14:paraId="5C721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58537209">
            <w:pPr>
              <w:spacing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w:t>
            </w:r>
          </w:p>
        </w:tc>
        <w:tc>
          <w:tcPr>
            <w:tcW w:w="1965" w:type="dxa"/>
            <w:noWrap w:val="0"/>
            <w:tcMar>
              <w:top w:w="0" w:type="dxa"/>
              <w:left w:w="57" w:type="dxa"/>
              <w:bottom w:w="0" w:type="dxa"/>
              <w:right w:w="57" w:type="dxa"/>
            </w:tcMar>
            <w:vAlign w:val="center"/>
          </w:tcPr>
          <w:p w14:paraId="2135E777">
            <w:pPr>
              <w:spacing w:line="360" w:lineRule="exact"/>
              <w:jc w:val="center"/>
              <w:rPr>
                <w:rFonts w:hint="eastAsia" w:asciiTheme="minorEastAsia" w:hAnsiTheme="minorEastAsia" w:eastAsiaTheme="minorEastAsia" w:cstheme="minorEastAsia"/>
                <w:b/>
                <w:bCs w:val="0"/>
                <w:color w:val="auto"/>
                <w:sz w:val="24"/>
                <w:szCs w:val="24"/>
                <w:highlight w:val="none"/>
              </w:rPr>
            </w:pPr>
            <w:r>
              <w:rPr>
                <w:rFonts w:hint="eastAsia" w:asciiTheme="minorEastAsia" w:hAnsiTheme="minorEastAsia" w:eastAsiaTheme="minorEastAsia" w:cstheme="minorEastAsia"/>
                <w:b/>
                <w:bCs w:val="0"/>
                <w:color w:val="auto"/>
                <w:sz w:val="24"/>
                <w:szCs w:val="24"/>
                <w:highlight w:val="none"/>
              </w:rPr>
              <w:t>代理</w:t>
            </w:r>
            <w:r>
              <w:rPr>
                <w:rFonts w:hint="eastAsia" w:asciiTheme="minorEastAsia" w:hAnsiTheme="minorEastAsia" w:eastAsiaTheme="minorEastAsia" w:cstheme="minorEastAsia"/>
                <w:b/>
                <w:bCs w:val="0"/>
                <w:color w:val="auto"/>
                <w:sz w:val="24"/>
                <w:szCs w:val="24"/>
                <w:highlight w:val="none"/>
                <w:lang w:eastAsia="zh-CN"/>
              </w:rPr>
              <w:t>服务</w:t>
            </w:r>
            <w:r>
              <w:rPr>
                <w:rFonts w:hint="eastAsia" w:asciiTheme="minorEastAsia" w:hAnsiTheme="minorEastAsia" w:eastAsiaTheme="minorEastAsia" w:cstheme="minorEastAsia"/>
                <w:b/>
                <w:bCs w:val="0"/>
                <w:color w:val="auto"/>
                <w:sz w:val="24"/>
                <w:szCs w:val="24"/>
                <w:highlight w:val="none"/>
              </w:rPr>
              <w:t>费</w:t>
            </w:r>
          </w:p>
        </w:tc>
        <w:tc>
          <w:tcPr>
            <w:tcW w:w="7133" w:type="dxa"/>
            <w:noWrap w:val="0"/>
            <w:tcMar>
              <w:top w:w="0" w:type="dxa"/>
              <w:left w:w="57" w:type="dxa"/>
              <w:bottom w:w="0" w:type="dxa"/>
              <w:right w:w="57" w:type="dxa"/>
            </w:tcMar>
            <w:vAlign w:val="center"/>
          </w:tcPr>
          <w:p w14:paraId="4E2D15A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招标代理费：招标代理费金额</w:t>
            </w:r>
            <w:r>
              <w:rPr>
                <w:rFonts w:hint="eastAsia" w:asciiTheme="minorEastAsia" w:hAnsiTheme="minorEastAsia" w:eastAsiaTheme="minorEastAsia" w:cstheme="minorEastAsia"/>
                <w:color w:val="auto"/>
                <w:sz w:val="24"/>
                <w:szCs w:val="24"/>
                <w:highlight w:val="none"/>
                <w:lang w:val="en-US" w:eastAsia="zh-CN"/>
              </w:rPr>
              <w:t>参照</w:t>
            </w:r>
            <w:r>
              <w:rPr>
                <w:rFonts w:hint="eastAsia" w:asciiTheme="minorEastAsia" w:hAnsiTheme="minorEastAsia" w:eastAsiaTheme="minorEastAsia" w:cstheme="minorEastAsia"/>
                <w:color w:val="auto"/>
                <w:sz w:val="24"/>
                <w:szCs w:val="24"/>
                <w:highlight w:val="none"/>
                <w:lang w:eastAsia="zh-CN"/>
              </w:rPr>
              <w:t>国家计委计价格【2002】1980号文规定的“招标代理服务收费标准”执行。由成交人在领取成交通知书时，一次性向招标代理机构支付。</w:t>
            </w:r>
          </w:p>
        </w:tc>
      </w:tr>
      <w:tr w14:paraId="220D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6" w:type="dxa"/>
            <w:noWrap w:val="0"/>
            <w:tcMar>
              <w:top w:w="0" w:type="dxa"/>
              <w:left w:w="57" w:type="dxa"/>
              <w:bottom w:w="0" w:type="dxa"/>
              <w:right w:w="57" w:type="dxa"/>
            </w:tcMar>
            <w:vAlign w:val="center"/>
          </w:tcPr>
          <w:p w14:paraId="0E60F560">
            <w:pPr>
              <w:spacing w:line="36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w:t>
            </w:r>
          </w:p>
        </w:tc>
        <w:tc>
          <w:tcPr>
            <w:tcW w:w="1965" w:type="dxa"/>
            <w:noWrap w:val="0"/>
            <w:tcMar>
              <w:top w:w="0" w:type="dxa"/>
              <w:left w:w="57" w:type="dxa"/>
              <w:bottom w:w="0" w:type="dxa"/>
              <w:right w:w="57" w:type="dxa"/>
            </w:tcMar>
            <w:vAlign w:val="center"/>
          </w:tcPr>
          <w:p w14:paraId="63C70098">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29845147">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3A9E0A2B">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5A49608C">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0F4940F9">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p>
          <w:p w14:paraId="30F4E8EC">
            <w:pPr>
              <w:spacing w:line="360" w:lineRule="exact"/>
              <w:jc w:val="center"/>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特别说明</w:t>
            </w:r>
          </w:p>
        </w:tc>
        <w:tc>
          <w:tcPr>
            <w:tcW w:w="7133" w:type="dxa"/>
            <w:noWrap w:val="0"/>
            <w:tcMar>
              <w:top w:w="0" w:type="dxa"/>
              <w:left w:w="57" w:type="dxa"/>
              <w:bottom w:w="0" w:type="dxa"/>
              <w:right w:w="57" w:type="dxa"/>
            </w:tcMar>
            <w:vAlign w:val="center"/>
          </w:tcPr>
          <w:p w14:paraId="7F8A4676">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BC03429">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BEBE997">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4D6712E7">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4.自然人竞标的，磋商文件规定盖公章处由自然人摁手指指印。</w:t>
            </w:r>
          </w:p>
          <w:p w14:paraId="494DE21E">
            <w:pPr>
              <w:keepNext w:val="0"/>
              <w:keepLines w:val="0"/>
              <w:pageBreakBefore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5.本磋商文件所称的“以上”“以下”“以内”“届满”，包括本数；所称的“不满”“超过”“以外”，不包括本数。</w:t>
            </w:r>
          </w:p>
        </w:tc>
      </w:tr>
    </w:tbl>
    <w:p w14:paraId="3A3E9945">
      <w:pPr>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4"/>
          <w:szCs w:val="24"/>
          <w:highlight w:val="none"/>
        </w:rPr>
        <w:br w:type="page"/>
      </w:r>
      <w:r>
        <w:rPr>
          <w:rFonts w:hint="eastAsia" w:asciiTheme="minorEastAsia" w:hAnsiTheme="minorEastAsia" w:eastAsiaTheme="minorEastAsia" w:cstheme="minorEastAsia"/>
          <w:b/>
          <w:color w:val="auto"/>
          <w:sz w:val="28"/>
          <w:szCs w:val="28"/>
          <w:highlight w:val="none"/>
          <w:lang w:eastAsia="zh-CN"/>
        </w:rPr>
        <w:t>磋商供应商</w:t>
      </w:r>
      <w:r>
        <w:rPr>
          <w:rFonts w:hint="eastAsia" w:asciiTheme="minorEastAsia" w:hAnsiTheme="minorEastAsia" w:eastAsiaTheme="minorEastAsia" w:cstheme="minorEastAsia"/>
          <w:b/>
          <w:color w:val="auto"/>
          <w:sz w:val="28"/>
          <w:szCs w:val="28"/>
          <w:highlight w:val="none"/>
        </w:rPr>
        <w:t>须知</w:t>
      </w:r>
      <w:bookmarkStart w:id="53" w:name="_Toc459103898"/>
    </w:p>
    <w:p w14:paraId="57A593BE">
      <w:pPr>
        <w:pStyle w:val="3"/>
        <w:spacing w:before="0" w:after="0" w:line="390" w:lineRule="exact"/>
        <w:rPr>
          <w:rFonts w:hint="eastAsia" w:asciiTheme="minorEastAsia" w:hAnsiTheme="minorEastAsia" w:eastAsiaTheme="minorEastAsia" w:cstheme="minorEastAsia"/>
          <w:color w:val="auto"/>
          <w:sz w:val="21"/>
          <w:szCs w:val="21"/>
          <w:highlight w:val="none"/>
        </w:rPr>
      </w:pPr>
      <w:bookmarkStart w:id="54" w:name="_Toc1599"/>
      <w:r>
        <w:rPr>
          <w:rFonts w:hint="eastAsia" w:asciiTheme="minorEastAsia" w:hAnsiTheme="minorEastAsia" w:eastAsiaTheme="minorEastAsia" w:cstheme="minorEastAsia"/>
          <w:color w:val="auto"/>
          <w:sz w:val="21"/>
          <w:szCs w:val="21"/>
          <w:highlight w:val="none"/>
        </w:rPr>
        <w:t>一、总则</w:t>
      </w:r>
      <w:bookmarkEnd w:id="53"/>
      <w:bookmarkEnd w:id="54"/>
    </w:p>
    <w:p w14:paraId="5A2AC1C4">
      <w:pPr>
        <w:spacing w:line="390" w:lineRule="exact"/>
        <w:ind w:left="1862" w:right="-192" w:hanging="2127" w:hangingChars="883"/>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b w:val="0"/>
          <w:bCs w:val="0"/>
          <w:color w:val="auto"/>
          <w:sz w:val="24"/>
          <w:szCs w:val="24"/>
          <w:highlight w:val="none"/>
          <w:lang w:eastAsia="zh-CN"/>
        </w:rPr>
        <w:t>昭平县五将镇产业灌溉渠基础设施建设项目</w:t>
      </w:r>
    </w:p>
    <w:p w14:paraId="1E245D49">
      <w:pPr>
        <w:spacing w:line="390" w:lineRule="exact"/>
        <w:ind w:firstLine="361" w:firstLineChars="15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项目编号：</w:t>
      </w:r>
      <w:r>
        <w:rPr>
          <w:rFonts w:hint="eastAsia" w:asciiTheme="minorEastAsia" w:hAnsiTheme="minorEastAsia" w:eastAsiaTheme="minorEastAsia" w:cstheme="minorEastAsia"/>
          <w:b w:val="0"/>
          <w:bCs w:val="0"/>
          <w:color w:val="auto"/>
          <w:sz w:val="24"/>
          <w:szCs w:val="24"/>
          <w:highlight w:val="none"/>
          <w:lang w:eastAsia="zh-CN"/>
        </w:rPr>
        <w:t>HZZC2025-C2-210019-GLHY</w:t>
      </w:r>
    </w:p>
    <w:p w14:paraId="7D14A30C">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eastAsia="zh-CN"/>
        </w:rPr>
        <w:t>磋商供应商</w:t>
      </w:r>
      <w:r>
        <w:rPr>
          <w:rFonts w:hint="eastAsia" w:asciiTheme="minorEastAsia" w:hAnsiTheme="minorEastAsia" w:eastAsiaTheme="minorEastAsia" w:cstheme="minorEastAsia"/>
          <w:b/>
          <w:bCs/>
          <w:color w:val="auto"/>
          <w:sz w:val="24"/>
          <w:szCs w:val="24"/>
          <w:highlight w:val="none"/>
        </w:rPr>
        <w:t>资质要求：</w:t>
      </w:r>
    </w:p>
    <w:p w14:paraId="2F04A5E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2.1资质要求：</w:t>
      </w:r>
    </w:p>
    <w:p w14:paraId="4A6A4F14">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满足《中华人民共和国政府采购法》第二十二条规定；</w:t>
      </w:r>
    </w:p>
    <w:p w14:paraId="42B270A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落实政府采购政策需满足的资格要求：</w:t>
      </w:r>
      <w:r>
        <w:rPr>
          <w:rFonts w:hint="eastAsia" w:asciiTheme="minorEastAsia" w:hAnsiTheme="minorEastAsia" w:eastAsiaTheme="minorEastAsia" w:cstheme="minorEastAsia"/>
          <w:color w:val="auto"/>
          <w:sz w:val="24"/>
          <w:szCs w:val="24"/>
          <w:highlight w:val="none"/>
          <w:lang w:val="en-US" w:eastAsia="zh-CN"/>
        </w:rPr>
        <w:t>专门面向中小企业采购的项目（供应商应为中小微企业、监狱企业、残疾人福利性单位）</w:t>
      </w:r>
      <w:r>
        <w:rPr>
          <w:rFonts w:hint="eastAsia" w:asciiTheme="minorEastAsia" w:hAnsiTheme="minorEastAsia" w:eastAsiaTheme="minorEastAsia" w:cstheme="minorEastAsia"/>
          <w:color w:val="auto"/>
          <w:sz w:val="24"/>
          <w:szCs w:val="24"/>
          <w:highlight w:val="none"/>
          <w:lang w:eastAsia="zh-CN"/>
        </w:rPr>
        <w:t>；</w:t>
      </w:r>
    </w:p>
    <w:p w14:paraId="048EB92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3本项目的特定资格要求：</w:t>
      </w:r>
    </w:p>
    <w:p w14:paraId="4219743B">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（1）磋商人具备市政公用工程施工总承包叁级以上（含叁级）资质，持有有效的省级及以上建设行政主管部门颁发的《安全生产许可证》，并在人员、设备、资金等方面具备相应的施工能力的供应商；</w:t>
      </w:r>
    </w:p>
    <w:p w14:paraId="70DCF762">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拟投入的项目经理须具备市政工程专业注册建造师二级以上（含二级）执业资格和具备有效的《安全生产考核合格证书（B类）》【提供项目经理注册建造师执业资格证书和安全生产考核合格证书（B类）的扫描件】。</w:t>
      </w:r>
    </w:p>
    <w:p w14:paraId="5AD830E1">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对在“信用中国”网站(www.creditchina.gov.cn)</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rPr>
        <w:t>中国政府采购网(www.ccgp.gov.cn)等渠道列入失信被执行人、重大税收违法案件当事人名单、政府采购严重违法失信行为记录名单的</w:t>
      </w:r>
      <w:r>
        <w:rPr>
          <w:rFonts w:hint="eastAsia" w:asciiTheme="minorEastAsia" w:hAnsiTheme="minorEastAsia" w:eastAsiaTheme="minorEastAsia" w:cstheme="minorEastAsia"/>
          <w:color w:val="auto"/>
          <w:sz w:val="24"/>
          <w:szCs w:val="24"/>
          <w:highlight w:val="none"/>
          <w:lang w:eastAsia="zh-CN"/>
        </w:rPr>
        <w:t>磋商人</w:t>
      </w:r>
      <w:r>
        <w:rPr>
          <w:rFonts w:hint="eastAsia" w:asciiTheme="minorEastAsia" w:hAnsiTheme="minorEastAsia" w:eastAsiaTheme="minorEastAsia" w:cstheme="minorEastAsia"/>
          <w:color w:val="auto"/>
          <w:sz w:val="24"/>
          <w:szCs w:val="24"/>
          <w:highlight w:val="none"/>
        </w:rPr>
        <w:t>，不得参与政府采购活动（以评标过程中查询结果为准）；</w:t>
      </w:r>
    </w:p>
    <w:p w14:paraId="18EDE12D">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）本项目不接受联合体磋商</w:t>
      </w:r>
      <w:r>
        <w:rPr>
          <w:rFonts w:hint="eastAsia" w:asciiTheme="minorEastAsia" w:hAnsiTheme="minorEastAsia" w:eastAsiaTheme="minorEastAsia" w:cstheme="minorEastAsia"/>
          <w:color w:val="auto"/>
          <w:sz w:val="24"/>
          <w:szCs w:val="24"/>
          <w:highlight w:val="none"/>
          <w:lang w:val="en-US" w:eastAsia="zh-CN"/>
        </w:rPr>
        <w:t>。</w:t>
      </w:r>
    </w:p>
    <w:p w14:paraId="4E76F3D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2.2符合</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资格的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应承担磋商及履约中应承担的全部责任与义务。</w:t>
      </w:r>
    </w:p>
    <w:p w14:paraId="5C96D61B">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3、磋商费用</w:t>
      </w:r>
    </w:p>
    <w:p w14:paraId="6022534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应自行承担所有与本次磋商有关的全部费用。</w:t>
      </w:r>
    </w:p>
    <w:p w14:paraId="17907A3D">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55" w:name="_Toc459103899"/>
    </w:p>
    <w:p w14:paraId="1B48F419">
      <w:pPr>
        <w:pStyle w:val="3"/>
        <w:spacing w:before="0" w:after="0" w:line="390" w:lineRule="exact"/>
        <w:rPr>
          <w:rFonts w:hint="eastAsia" w:asciiTheme="minorEastAsia" w:hAnsiTheme="minorEastAsia" w:eastAsiaTheme="minorEastAsia" w:cstheme="minorEastAsia"/>
          <w:color w:val="auto"/>
          <w:sz w:val="24"/>
          <w:szCs w:val="24"/>
          <w:highlight w:val="none"/>
          <w:lang w:eastAsia="zh-CN"/>
        </w:rPr>
      </w:pPr>
      <w:bookmarkStart w:id="56" w:name="_Toc21203"/>
      <w:r>
        <w:rPr>
          <w:rFonts w:hint="eastAsia" w:asciiTheme="minorEastAsia" w:hAnsiTheme="minorEastAsia" w:eastAsiaTheme="minorEastAsia" w:cstheme="minorEastAsia"/>
          <w:color w:val="auto"/>
          <w:sz w:val="24"/>
          <w:szCs w:val="24"/>
          <w:highlight w:val="none"/>
        </w:rPr>
        <w:t>二、</w:t>
      </w:r>
      <w:bookmarkEnd w:id="55"/>
      <w:r>
        <w:rPr>
          <w:rFonts w:hint="eastAsia" w:asciiTheme="minorEastAsia" w:hAnsiTheme="minorEastAsia" w:eastAsiaTheme="minorEastAsia" w:cstheme="minorEastAsia"/>
          <w:color w:val="auto"/>
          <w:sz w:val="24"/>
          <w:szCs w:val="24"/>
          <w:highlight w:val="none"/>
          <w:lang w:eastAsia="zh-CN"/>
        </w:rPr>
        <w:t>《竞争性磋商文件》</w:t>
      </w:r>
      <w:bookmarkEnd w:id="56"/>
    </w:p>
    <w:p w14:paraId="19995EA3">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《竞争性磋商文件》</w:t>
      </w:r>
      <w:r>
        <w:rPr>
          <w:rFonts w:hint="eastAsia" w:asciiTheme="minorEastAsia" w:hAnsiTheme="minorEastAsia" w:eastAsiaTheme="minorEastAsia" w:cstheme="minorEastAsia"/>
          <w:b/>
          <w:bCs/>
          <w:color w:val="auto"/>
          <w:sz w:val="24"/>
          <w:szCs w:val="24"/>
          <w:highlight w:val="none"/>
        </w:rPr>
        <w:t>的构成</w:t>
      </w:r>
    </w:p>
    <w:p w14:paraId="378B78F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4.1磋商文件包括：</w:t>
      </w:r>
    </w:p>
    <w:p w14:paraId="48A53C73">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（1）竞争性磋商公告</w:t>
      </w:r>
    </w:p>
    <w:p w14:paraId="4FBF2C9F">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须知及前附表</w:t>
      </w:r>
    </w:p>
    <w:p w14:paraId="0FA5FE6C">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（3）合同条款及格式</w:t>
      </w:r>
    </w:p>
    <w:p w14:paraId="2AE0DF4C">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w:t>
      </w:r>
      <w:r>
        <w:rPr>
          <w:rFonts w:hint="eastAsia" w:asciiTheme="minorEastAsia" w:hAnsiTheme="minorEastAsia" w:eastAsiaTheme="minorEastAsia" w:cstheme="minorEastAsia"/>
          <w:color w:val="auto"/>
          <w:sz w:val="24"/>
          <w:szCs w:val="24"/>
          <w:highlight w:val="none"/>
        </w:rPr>
        <w:t>工程量清单</w:t>
      </w:r>
    </w:p>
    <w:p w14:paraId="77A9AFA7">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（5）图纸</w:t>
      </w:r>
    </w:p>
    <w:p w14:paraId="07B59004">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bCs/>
          <w:color w:val="auto"/>
          <w:sz w:val="24"/>
          <w:szCs w:val="24"/>
          <w:highlight w:val="none"/>
        </w:rPr>
        <w:t>技术标准和要求</w:t>
      </w:r>
    </w:p>
    <w:p w14:paraId="69B050C1">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格式</w:t>
      </w:r>
    </w:p>
    <w:p w14:paraId="256BF93C">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（8）评标办法</w:t>
      </w:r>
    </w:p>
    <w:p w14:paraId="28722E1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5、</w:t>
      </w:r>
      <w:r>
        <w:rPr>
          <w:rFonts w:hint="eastAsia" w:asciiTheme="minorEastAsia" w:hAnsiTheme="minorEastAsia" w:eastAsiaTheme="minorEastAsia" w:cstheme="minorEastAsia"/>
          <w:b/>
          <w:bCs/>
          <w:color w:val="auto"/>
          <w:sz w:val="24"/>
          <w:szCs w:val="24"/>
          <w:highlight w:val="none"/>
          <w:lang w:eastAsia="zh-CN"/>
        </w:rPr>
        <w:t>《竞争性磋商文件》</w:t>
      </w:r>
      <w:r>
        <w:rPr>
          <w:rFonts w:hint="eastAsia" w:asciiTheme="minorEastAsia" w:hAnsiTheme="minorEastAsia" w:eastAsiaTheme="minorEastAsia" w:cstheme="minorEastAsia"/>
          <w:b/>
          <w:bCs/>
          <w:color w:val="auto"/>
          <w:sz w:val="24"/>
          <w:szCs w:val="24"/>
          <w:highlight w:val="none"/>
        </w:rPr>
        <w:t>的澄清和修改</w:t>
      </w:r>
    </w:p>
    <w:p w14:paraId="1EDD0EE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5.1任何要求澄清</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，均应在磋商截止日期的</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天前以传真、电报等书面形式通知采购代理机构，同时认定其他澄清方式为无效。采购代理机构将以书面形式予以答复。</w:t>
      </w:r>
    </w:p>
    <w:p w14:paraId="3CA9D9A1">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5.2在磋商截止日期前的任何时候，无论出于何种原因，采购代理机构可主动地或在解答</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提出的澄清问题时对</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进行澄清或修改。该澄清或修改的内容为</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的组成部分。</w:t>
      </w:r>
    </w:p>
    <w:p w14:paraId="7F2C3B6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的澄清或修改将在发布竞争性磋商公告的同一媒介发布。</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未及时关注</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人在网站上发布的澄清文件造成的损失，由</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自行负责。</w:t>
      </w:r>
    </w:p>
    <w:p w14:paraId="3B1001E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5.4采购代理机构可视情况延长磋商截止日期，并将此澄清或修改发布竞争性磋商公告的同一媒介发布。</w:t>
      </w:r>
    </w:p>
    <w:p w14:paraId="2B1066F5">
      <w:pPr>
        <w:spacing w:line="390" w:lineRule="exact"/>
        <w:rPr>
          <w:rFonts w:hint="eastAsia" w:asciiTheme="minorEastAsia" w:hAnsiTheme="minorEastAsia" w:eastAsiaTheme="minorEastAsia" w:cstheme="minorEastAsia"/>
          <w:color w:val="auto"/>
          <w:sz w:val="24"/>
          <w:szCs w:val="24"/>
          <w:highlight w:val="none"/>
        </w:rPr>
      </w:pPr>
    </w:p>
    <w:p w14:paraId="31024923">
      <w:pPr>
        <w:pStyle w:val="3"/>
        <w:spacing w:before="0" w:after="0" w:line="39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w:t>
      </w:r>
      <w:bookmarkStart w:id="57" w:name="_Toc459103900"/>
      <w:bookmarkStart w:id="58" w:name="_Toc7663"/>
      <w:r>
        <w:rPr>
          <w:rFonts w:hint="eastAsia" w:asciiTheme="minorEastAsia" w:hAnsiTheme="minorEastAsia" w:eastAsiaTheme="minorEastAsia" w:cstheme="minorEastAsia"/>
          <w:color w:val="auto"/>
          <w:sz w:val="24"/>
          <w:szCs w:val="24"/>
          <w:highlight w:val="none"/>
        </w:rPr>
        <w:t>三、磋商报价说明</w:t>
      </w:r>
      <w:bookmarkEnd w:id="57"/>
      <w:bookmarkEnd w:id="58"/>
    </w:p>
    <w:p w14:paraId="01179ABC">
      <w:pPr>
        <w:pStyle w:val="11"/>
        <w:spacing w:line="390" w:lineRule="exact"/>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b/>
          <w:color w:val="auto"/>
          <w:sz w:val="24"/>
          <w:szCs w:val="24"/>
          <w:highlight w:val="none"/>
        </w:rPr>
        <w:t>6、磋商</w:t>
      </w:r>
      <w:r>
        <w:rPr>
          <w:rFonts w:hint="eastAsia" w:asciiTheme="minorEastAsia" w:hAnsiTheme="minorEastAsia" w:eastAsiaTheme="minorEastAsia" w:cstheme="minorEastAsia"/>
          <w:b/>
          <w:color w:val="auto"/>
          <w:sz w:val="24"/>
          <w:szCs w:val="24"/>
          <w:highlight w:val="none"/>
          <w:lang w:val="en-US" w:eastAsia="zh-CN"/>
        </w:rPr>
        <w:t>报价</w:t>
      </w:r>
    </w:p>
    <w:p w14:paraId="32BE63F2">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u w:val="single"/>
          <w:lang w:eastAsia="zh-CN"/>
        </w:rPr>
      </w:pPr>
      <w:r>
        <w:rPr>
          <w:rFonts w:hint="eastAsia" w:asciiTheme="minorEastAsia" w:hAnsiTheme="minorEastAsia" w:eastAsiaTheme="minorEastAsia" w:cstheme="minorEastAsia"/>
          <w:bCs/>
          <w:color w:val="auto"/>
          <w:sz w:val="24"/>
          <w:szCs w:val="24"/>
          <w:highlight w:val="none"/>
        </w:rPr>
        <w:t>6.1磋商报价：本项目磋商报价不允许超过采购上限控制价</w:t>
      </w:r>
      <w:r>
        <w:rPr>
          <w:rFonts w:hint="eastAsia" w:asciiTheme="minorEastAsia" w:hAnsiTheme="minorEastAsia" w:eastAsiaTheme="minorEastAsia" w:cstheme="minorEastAsia"/>
          <w:bCs/>
          <w:color w:val="auto"/>
          <w:sz w:val="24"/>
          <w:szCs w:val="24"/>
          <w:highlight w:val="none"/>
          <w:u w:val="single"/>
          <w:lang w:val="en-US" w:eastAsia="zh-CN"/>
        </w:rPr>
        <w:t>人民币壹佰肆拾柒万壹仟壹佰贰拾元陆角捌分（￥1471120.68元）</w:t>
      </w:r>
      <w:r>
        <w:rPr>
          <w:rFonts w:hint="eastAsia" w:asciiTheme="minorEastAsia" w:hAnsiTheme="minorEastAsia" w:eastAsiaTheme="minorEastAsia" w:cstheme="minorEastAsia"/>
          <w:bCs/>
          <w:color w:val="auto"/>
          <w:sz w:val="24"/>
          <w:szCs w:val="24"/>
          <w:highlight w:val="none"/>
          <w:u w:val="single"/>
          <w:lang w:eastAsia="zh-CN"/>
        </w:rPr>
        <w:t>。</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54A6A62D">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6.1.1具有标价的工程量清单中所报的单价和合价，以及报价汇总表中的价格应包括施工设备、劳务、管理、材料、安装、维护、保险、利润、税金、政策性文件规定及合同包含的所有风险、责任等各项应有费用。</w:t>
      </w:r>
    </w:p>
    <w:p w14:paraId="302EB6C5">
      <w:pPr>
        <w:pStyle w:val="11"/>
        <w:tabs>
          <w:tab w:val="left" w:pos="284"/>
        </w:tabs>
        <w:spacing w:line="39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6.2 </w:t>
      </w:r>
      <w:r>
        <w:rPr>
          <w:rFonts w:hint="eastAsia" w:asciiTheme="minorEastAsia" w:hAnsiTheme="minorEastAsia" w:eastAsiaTheme="minorEastAsia" w:cstheme="minorEastAsia"/>
          <w:color w:val="auto"/>
          <w:sz w:val="24"/>
          <w:szCs w:val="24"/>
          <w:highlight w:val="none"/>
        </w:rPr>
        <w:t>承包方式：</w:t>
      </w:r>
      <w:r>
        <w:rPr>
          <w:rFonts w:hint="eastAsia" w:asciiTheme="minorEastAsia" w:hAnsiTheme="minorEastAsia" w:eastAsiaTheme="minorEastAsia" w:cstheme="minorEastAsia"/>
          <w:bCs/>
          <w:color w:val="auto"/>
          <w:sz w:val="24"/>
          <w:szCs w:val="24"/>
          <w:highlight w:val="none"/>
        </w:rPr>
        <w:t>　</w:t>
      </w:r>
      <w:r>
        <w:rPr>
          <w:rFonts w:hint="eastAsia" w:asciiTheme="minorEastAsia" w:hAnsiTheme="minorEastAsia" w:eastAsiaTheme="minorEastAsia" w:cstheme="minorEastAsia"/>
          <w:b/>
          <w:color w:val="auto"/>
          <w:sz w:val="24"/>
          <w:szCs w:val="24"/>
          <w:highlight w:val="none"/>
        </w:rPr>
        <w:t xml:space="preserve"> </w:t>
      </w:r>
    </w:p>
    <w:p w14:paraId="28388C50">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 xml:space="preserve">6.2.1 </w:t>
      </w:r>
      <w:r>
        <w:rPr>
          <w:rFonts w:hint="eastAsia" w:asciiTheme="minorEastAsia" w:hAnsiTheme="minorEastAsia" w:eastAsiaTheme="minorEastAsia" w:cstheme="minorEastAsia"/>
          <w:color w:val="auto"/>
          <w:sz w:val="24"/>
          <w:szCs w:val="24"/>
          <w:highlight w:val="none"/>
        </w:rPr>
        <w:t>本合同价款采用固定综合单价方式。</w:t>
      </w:r>
    </w:p>
    <w:p w14:paraId="57077ED4">
      <w:pPr>
        <w:spacing w:line="38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6.2.2 </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应按照采购人提供的工程量清单进行报价并对自己所填写的项目编码、项目名称、计量单位、工程数量负责。</w:t>
      </w:r>
      <w:r>
        <w:rPr>
          <w:rFonts w:hint="eastAsia" w:asciiTheme="minorEastAsia" w:hAnsiTheme="minorEastAsia" w:eastAsiaTheme="minorEastAsia" w:cstheme="minorEastAsia"/>
          <w:b w:val="0"/>
          <w:bCs/>
          <w:color w:val="auto"/>
          <w:sz w:val="24"/>
          <w:szCs w:val="24"/>
          <w:highlight w:val="none"/>
        </w:rPr>
        <w:t>评标时，如项目编码与项目名称不一致，以项目编码为准；如项目编码与计量单位、工程数量无法对应</w:t>
      </w:r>
      <w:r>
        <w:rPr>
          <w:rFonts w:hint="eastAsia" w:asciiTheme="minorEastAsia" w:hAnsiTheme="minorEastAsia" w:eastAsiaTheme="minorEastAsia" w:cstheme="minorEastAsia"/>
          <w:b w:val="0"/>
          <w:bCs/>
          <w:color w:val="auto"/>
          <w:sz w:val="24"/>
          <w:szCs w:val="24"/>
          <w:highlight w:val="none"/>
          <w:lang w:eastAsia="zh-CN"/>
        </w:rPr>
        <w:t>的</w:t>
      </w:r>
      <w:r>
        <w:rPr>
          <w:rFonts w:hint="eastAsia" w:asciiTheme="minorEastAsia" w:hAnsiTheme="minorEastAsia" w:eastAsiaTheme="minorEastAsia" w:cstheme="minorEastAsia"/>
          <w:b w:val="0"/>
          <w:bCs/>
          <w:color w:val="auto"/>
          <w:sz w:val="24"/>
          <w:szCs w:val="24"/>
          <w:highlight w:val="none"/>
        </w:rPr>
        <w:t>，该清单项目作废，该清单项目的费用视为包含在其它清单项目中；如作废的清单项目达到3项及以上或作废的清单项目造价累计超过单位工程磋商报价的2%（含2%），视为不响应竞争性</w:t>
      </w:r>
      <w:r>
        <w:rPr>
          <w:rFonts w:hint="eastAsia" w:asciiTheme="minorEastAsia" w:hAnsiTheme="minorEastAsia" w:eastAsiaTheme="minorEastAsia" w:cstheme="minorEastAsia"/>
          <w:b w:val="0"/>
          <w:bCs/>
          <w:color w:val="auto"/>
          <w:sz w:val="24"/>
          <w:szCs w:val="24"/>
          <w:highlight w:val="none"/>
          <w:lang w:eastAsia="zh-CN"/>
        </w:rPr>
        <w:t>磋商</w:t>
      </w:r>
      <w:r>
        <w:rPr>
          <w:rFonts w:hint="eastAsia" w:asciiTheme="minorEastAsia" w:hAnsiTheme="minorEastAsia" w:eastAsiaTheme="minorEastAsia" w:cstheme="minorEastAsia"/>
          <w:b w:val="0"/>
          <w:bCs/>
          <w:color w:val="auto"/>
          <w:sz w:val="24"/>
          <w:szCs w:val="24"/>
          <w:highlight w:val="none"/>
        </w:rPr>
        <w:t>文件实质性内容，作废标处理。</w:t>
      </w:r>
    </w:p>
    <w:p w14:paraId="72CBA87C">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6.3 磋商货币：</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报价中的单价和合价全部采用人民币表示。</w:t>
      </w:r>
    </w:p>
    <w:p w14:paraId="1E38E4BF">
      <w:pPr>
        <w:spacing w:line="39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 xml:space="preserve">  </w:t>
      </w:r>
    </w:p>
    <w:p w14:paraId="565E5F3D">
      <w:pPr>
        <w:pStyle w:val="3"/>
        <w:spacing w:before="0" w:after="0" w:line="39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color w:val="auto"/>
          <w:sz w:val="24"/>
          <w:szCs w:val="24"/>
          <w:highlight w:val="none"/>
        </w:rPr>
        <w:t xml:space="preserve">  </w:t>
      </w:r>
      <w:bookmarkStart w:id="59" w:name="_Toc13310"/>
      <w:bookmarkStart w:id="60" w:name="_Toc459103901"/>
      <w:r>
        <w:rPr>
          <w:rFonts w:hint="eastAsia" w:asciiTheme="minorEastAsia" w:hAnsiTheme="minorEastAsia" w:eastAsiaTheme="minorEastAsia" w:cstheme="minorEastAsia"/>
          <w:color w:val="auto"/>
          <w:sz w:val="24"/>
          <w:szCs w:val="24"/>
          <w:highlight w:val="none"/>
        </w:rPr>
        <w:t>四、</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的编制格式</w:t>
      </w:r>
      <w:bookmarkEnd w:id="59"/>
      <w:bookmarkEnd w:id="60"/>
    </w:p>
    <w:p w14:paraId="183F7AC2">
      <w:pPr>
        <w:pStyle w:val="11"/>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7、</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的语言</w:t>
      </w:r>
    </w:p>
    <w:p w14:paraId="13377A3F">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及</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与采购人之间与磋商有关的来往通知、函件和文件均应使用中文。</w:t>
      </w:r>
    </w:p>
    <w:p w14:paraId="714BA9A2">
      <w:pPr>
        <w:pStyle w:val="11"/>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8、</w:t>
      </w:r>
      <w:r>
        <w:rPr>
          <w:rFonts w:hint="eastAsia" w:asciiTheme="minorEastAsia" w:hAnsiTheme="minorEastAsia" w:eastAsiaTheme="minorEastAsia" w:cstheme="minorEastAsia"/>
          <w:b/>
          <w:color w:val="auto"/>
          <w:sz w:val="24"/>
          <w:szCs w:val="24"/>
          <w:highlight w:val="none"/>
          <w:lang w:eastAsia="zh-CN"/>
        </w:rPr>
        <w:t>《响应文件》</w:t>
      </w:r>
      <w:r>
        <w:rPr>
          <w:rFonts w:hint="eastAsia" w:asciiTheme="minorEastAsia" w:hAnsiTheme="minorEastAsia" w:eastAsiaTheme="minorEastAsia" w:cstheme="minorEastAsia"/>
          <w:b/>
          <w:color w:val="auto"/>
          <w:sz w:val="24"/>
          <w:szCs w:val="24"/>
          <w:highlight w:val="none"/>
        </w:rPr>
        <w:t>的组成</w:t>
      </w:r>
    </w:p>
    <w:p w14:paraId="4C5ECFE6">
      <w:pPr>
        <w:pStyle w:val="11"/>
        <w:tabs>
          <w:tab w:val="left" w:pos="426"/>
        </w:tabs>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8.1</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应包括下列内容：</w:t>
      </w:r>
    </w:p>
    <w:p w14:paraId="73F2EF8C">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8.1.1</w:t>
      </w:r>
      <w:r>
        <w:rPr>
          <w:rFonts w:hint="eastAsia" w:asciiTheme="minorEastAsia" w:hAnsiTheme="minorEastAsia" w:eastAsiaTheme="minorEastAsia" w:cstheme="minorEastAsia"/>
          <w:bCs/>
          <w:color w:val="auto"/>
          <w:sz w:val="24"/>
          <w:szCs w:val="24"/>
          <w:highlight w:val="none"/>
        </w:rPr>
        <w:t>资格</w:t>
      </w:r>
      <w:r>
        <w:rPr>
          <w:rFonts w:hint="eastAsia" w:asciiTheme="minorEastAsia" w:hAnsiTheme="minorEastAsia" w:eastAsiaTheme="minorEastAsia" w:cstheme="minorEastAsia"/>
          <w:bCs/>
          <w:color w:val="auto"/>
          <w:sz w:val="24"/>
          <w:szCs w:val="24"/>
          <w:highlight w:val="none"/>
          <w:lang w:val="en-US" w:eastAsia="zh-CN"/>
        </w:rPr>
        <w:t>证明文件：</w:t>
      </w:r>
    </w:p>
    <w:p w14:paraId="5CD78A66">
      <w:pPr>
        <w:pStyle w:val="12"/>
        <w:ind w:left="0" w:leftChars="0" w:firstLine="0" w:firstLineChars="0"/>
        <w:jc w:val="left"/>
        <w:rPr>
          <w:rFonts w:hint="default"/>
          <w:lang w:val="en-US" w:eastAsia="zh-CN"/>
        </w:rPr>
      </w:pPr>
      <w:r>
        <w:rPr>
          <w:rFonts w:hint="eastAsia" w:asciiTheme="minorEastAsia" w:hAnsiTheme="minorEastAsia" w:eastAsiaTheme="minorEastAsia" w:cstheme="minorEastAsia"/>
          <w:bCs/>
          <w:color w:val="auto"/>
          <w:sz w:val="24"/>
          <w:szCs w:val="24"/>
          <w:highlight w:val="none"/>
          <w:lang w:val="en-US" w:eastAsia="zh-CN"/>
        </w:rPr>
        <w:t xml:space="preserve">    </w:t>
      </w:r>
      <w:r>
        <w:rPr>
          <w:rFonts w:hint="eastAsia" w:asciiTheme="minorEastAsia" w:hAnsiTheme="minorEastAsia" w:eastAsiaTheme="minorEastAsia" w:cstheme="minorEastAsia"/>
          <w:bCs/>
          <w:color w:val="auto"/>
          <w:kern w:val="2"/>
          <w:sz w:val="24"/>
          <w:szCs w:val="24"/>
          <w:highlight w:val="none"/>
          <w:lang w:val="en-US" w:eastAsia="zh-CN" w:bidi="ar-SA"/>
        </w:rPr>
        <w:t>（1）有效的法人营业执照副本扫描件；</w:t>
      </w:r>
    </w:p>
    <w:p w14:paraId="47ECCE2A">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（2）政府采购供应商信用承诺函；</w:t>
      </w:r>
    </w:p>
    <w:p w14:paraId="23ACF093">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（3）有效的资质证书副本扫描件；</w:t>
      </w:r>
    </w:p>
    <w:p w14:paraId="3B1FAF66">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（4）有效的安全生产许可证副本扫描件；</w:t>
      </w:r>
    </w:p>
    <w:p w14:paraId="47390F5E">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Cs/>
          <w:color w:val="auto"/>
          <w:kern w:val="2"/>
          <w:sz w:val="24"/>
          <w:szCs w:val="24"/>
          <w:highlight w:val="none"/>
          <w:lang w:val="en-US" w:eastAsia="zh-CN" w:bidi="ar-SA"/>
        </w:rPr>
        <w:t>（5）</w:t>
      </w:r>
      <w:r>
        <w:rPr>
          <w:rFonts w:hint="eastAsia" w:asciiTheme="minorEastAsia" w:hAnsiTheme="minorEastAsia" w:eastAsiaTheme="minorEastAsia" w:cstheme="minorEastAsia"/>
          <w:bCs/>
          <w:color w:val="auto"/>
          <w:kern w:val="2"/>
          <w:sz w:val="24"/>
          <w:szCs w:val="24"/>
          <w:highlight w:val="none"/>
          <w:lang w:val="en-US" w:eastAsia="zh-CN" w:bidi="ar-SA"/>
        </w:rPr>
        <w:fldChar w:fldCharType="begin"/>
      </w:r>
      <w:r>
        <w:rPr>
          <w:rFonts w:hint="eastAsia" w:asciiTheme="minorEastAsia" w:hAnsiTheme="minorEastAsia" w:eastAsiaTheme="minorEastAsia" w:cstheme="minorEastAsia"/>
          <w:bCs/>
          <w:color w:val="auto"/>
          <w:kern w:val="2"/>
          <w:sz w:val="24"/>
          <w:szCs w:val="24"/>
          <w:highlight w:val="none"/>
          <w:lang w:val="en-US" w:eastAsia="zh-CN" w:bidi="ar-SA"/>
        </w:rPr>
        <w:instrText xml:space="preserve"> HYPERLINK "http://www.gxcic.net/HTMLFile/2013-02/shownews_167314.html" \t "http://ggzyjy.gxhz.gov.cn/page__gp_portal/_blank" </w:instrText>
      </w:r>
      <w:r>
        <w:rPr>
          <w:rFonts w:hint="eastAsia" w:asciiTheme="minorEastAsia" w:hAnsiTheme="minorEastAsia" w:eastAsiaTheme="minorEastAsia" w:cstheme="minorEastAsia"/>
          <w:bCs/>
          <w:color w:val="auto"/>
          <w:kern w:val="2"/>
          <w:sz w:val="24"/>
          <w:szCs w:val="24"/>
          <w:highlight w:val="none"/>
          <w:lang w:val="en-US" w:eastAsia="zh-CN" w:bidi="ar-SA"/>
        </w:rPr>
        <w:fldChar w:fldCharType="separate"/>
      </w:r>
      <w:r>
        <w:rPr>
          <w:rFonts w:hint="eastAsia" w:asciiTheme="minorEastAsia" w:hAnsiTheme="minorEastAsia" w:eastAsiaTheme="minorEastAsia" w:cstheme="minorEastAsia"/>
          <w:bCs/>
          <w:color w:val="auto"/>
          <w:kern w:val="2"/>
          <w:sz w:val="24"/>
          <w:szCs w:val="24"/>
          <w:highlight w:val="none"/>
          <w:lang w:val="en-US" w:eastAsia="zh-CN" w:bidi="ar-SA"/>
        </w:rPr>
        <w:t>拟派往本项目项目经理</w:t>
      </w:r>
      <w:r>
        <w:rPr>
          <w:rFonts w:hint="eastAsia" w:asciiTheme="minorEastAsia" w:hAnsiTheme="minorEastAsia" w:eastAsiaTheme="minorEastAsia" w:cstheme="minorEastAsia"/>
          <w:bCs/>
          <w:color w:val="auto"/>
          <w:kern w:val="2"/>
          <w:sz w:val="24"/>
          <w:szCs w:val="24"/>
          <w:highlight w:val="none"/>
          <w:lang w:val="en-US" w:eastAsia="zh-CN" w:bidi="ar-SA"/>
        </w:rPr>
        <w:fldChar w:fldCharType="end"/>
      </w:r>
      <w:r>
        <w:rPr>
          <w:rFonts w:hint="eastAsia" w:asciiTheme="minorEastAsia" w:hAnsiTheme="minorEastAsia" w:eastAsiaTheme="minorEastAsia" w:cstheme="minorEastAsia"/>
          <w:color w:val="auto"/>
          <w:sz w:val="24"/>
          <w:szCs w:val="24"/>
          <w:highlight w:val="none"/>
          <w:lang w:val="en-US" w:eastAsia="zh-CN"/>
        </w:rPr>
        <w:t>具备市政工程类专业注册建造师二级以上（含二级）执业资格证书和持有有效的省级或省级以上行政主管部门颁发的《安全生产考核合格证书》【提供项目经理注册建造师执业资格证书和安全生产考核合格证书（B类）的扫描件】。</w:t>
      </w:r>
    </w:p>
    <w:p w14:paraId="77F539E4">
      <w:pPr>
        <w:pStyle w:val="12"/>
        <w:ind w:left="0" w:leftChars="0" w:firstLine="0" w:firstLineChars="0"/>
        <w:jc w:val="left"/>
        <w:rPr>
          <w:rFonts w:hint="default"/>
          <w:sz w:val="24"/>
          <w:szCs w:val="24"/>
          <w:lang w:val="en-US" w:eastAsia="zh-CN"/>
        </w:rPr>
      </w:pPr>
      <w:r>
        <w:rPr>
          <w:rFonts w:hint="eastAsia"/>
          <w:lang w:val="en-US" w:eastAsia="zh-CN"/>
        </w:rPr>
        <w:t xml:space="preserve">    </w:t>
      </w:r>
      <w:r>
        <w:rPr>
          <w:rFonts w:hint="eastAsia"/>
          <w:sz w:val="24"/>
          <w:szCs w:val="24"/>
          <w:lang w:val="en-US" w:eastAsia="zh-CN"/>
        </w:rPr>
        <w:t>（6）法定代表人身份证明书及授权委托书（委托代理时必须提供，同时加盖单位电子公章）</w:t>
      </w:r>
    </w:p>
    <w:p w14:paraId="4113C460">
      <w:pPr>
        <w:pStyle w:val="11"/>
        <w:spacing w:line="390" w:lineRule="exact"/>
        <w:ind w:firstLine="480" w:firstLineChars="200"/>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（7）本项目属于专门面向中小企业采购的项目，中小企业声明函（或监狱企业的证明文件或残疾人福利性单位声明函）必须提供。</w:t>
      </w:r>
    </w:p>
    <w:p w14:paraId="3C47558A">
      <w:pPr>
        <w:pStyle w:val="11"/>
        <w:spacing w:line="390" w:lineRule="exact"/>
        <w:ind w:firstLine="482"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b/>
          <w:bCs/>
          <w:color w:val="auto"/>
          <w:sz w:val="24"/>
          <w:szCs w:val="24"/>
          <w:highlight w:val="none"/>
        </w:rPr>
        <w:t>注：</w:t>
      </w:r>
      <w:r>
        <w:rPr>
          <w:rFonts w:hint="eastAsia" w:asciiTheme="minorEastAsia" w:hAnsiTheme="minorEastAsia" w:eastAsiaTheme="minorEastAsia" w:cstheme="minorEastAsia"/>
          <w:b/>
          <w:bCs/>
          <w:color w:val="auto"/>
          <w:sz w:val="24"/>
          <w:szCs w:val="24"/>
          <w:highlight w:val="none"/>
          <w:u w:val="single"/>
          <w:lang w:val="en-US" w:eastAsia="zh-CN"/>
        </w:rPr>
        <w:t>1.</w:t>
      </w:r>
      <w:r>
        <w:rPr>
          <w:rFonts w:hint="eastAsia" w:asciiTheme="minorEastAsia" w:hAnsiTheme="minorEastAsia" w:eastAsiaTheme="minorEastAsia" w:cstheme="minorEastAsia"/>
          <w:b/>
          <w:color w:val="auto"/>
          <w:sz w:val="24"/>
          <w:szCs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szCs w:val="24"/>
          <w:highlight w:val="none"/>
          <w:u w:val="none"/>
        </w:rPr>
        <w:t>。</w:t>
      </w:r>
      <w:r>
        <w:rPr>
          <w:rFonts w:hint="eastAsia" w:asciiTheme="minorEastAsia" w:hAnsiTheme="minorEastAsia" w:eastAsiaTheme="minorEastAsia" w:cstheme="minorEastAsia"/>
          <w:b/>
          <w:color w:val="auto"/>
          <w:sz w:val="24"/>
          <w:highlight w:val="none"/>
          <w:u w:val="single"/>
          <w:lang w:val="en-US" w:eastAsia="zh-CN"/>
        </w:rPr>
        <w:t>2.以上材料属于复印件的扫描件的，必须加盖供应商电子公章，否则响应文件按无效响应处理。</w:t>
      </w:r>
    </w:p>
    <w:p w14:paraId="71CDF711">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8.1.2报价文件</w:t>
      </w:r>
    </w:p>
    <w:p w14:paraId="2B25B60E">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（1）磋商函及磋商函附录</w:t>
      </w:r>
    </w:p>
    <w:p w14:paraId="0C5A5223">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（2）竞标人基本情况表</w:t>
      </w:r>
    </w:p>
    <w:p w14:paraId="45B24169">
      <w:pPr>
        <w:pStyle w:val="11"/>
        <w:spacing w:line="390" w:lineRule="exact"/>
        <w:ind w:firstLine="480" w:firstLineChars="200"/>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（3）已标价工程量清单</w:t>
      </w:r>
    </w:p>
    <w:p w14:paraId="27E2B817">
      <w:pPr>
        <w:pStyle w:val="3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p w14:paraId="1EBA609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Cs/>
          <w:color w:val="auto"/>
          <w:kern w:val="2"/>
          <w:sz w:val="24"/>
          <w:szCs w:val="24"/>
          <w:highlight w:val="none"/>
          <w:lang w:val="en-US" w:eastAsia="zh-CN" w:bidi="ar-SA"/>
        </w:rPr>
        <w:t>8.1.3商务技术文件</w:t>
      </w:r>
    </w:p>
    <w:p w14:paraId="008A6F03">
      <w:pPr>
        <w:pStyle w:val="11"/>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主要管理人员表</w:t>
      </w:r>
    </w:p>
    <w:p w14:paraId="55E237D8">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rPr>
        <w:t>)建设工程项目管理承诺书</w:t>
      </w:r>
    </w:p>
    <w:p w14:paraId="32CE685E">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rPr>
        <w:t>)施工组织设计</w:t>
      </w:r>
    </w:p>
    <w:p w14:paraId="295F2121">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业绩</w:t>
      </w:r>
      <w:r>
        <w:rPr>
          <w:rFonts w:hint="eastAsia" w:asciiTheme="minorEastAsia" w:hAnsiTheme="minorEastAsia" w:eastAsiaTheme="minorEastAsia" w:cstheme="minorEastAsia"/>
          <w:bCs/>
          <w:color w:val="auto"/>
          <w:sz w:val="24"/>
          <w:szCs w:val="24"/>
          <w:highlight w:val="none"/>
        </w:rPr>
        <w:t>（如有，请提供）</w:t>
      </w:r>
    </w:p>
    <w:p w14:paraId="10B7DFDD">
      <w:pPr>
        <w:pStyle w:val="11"/>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rPr>
        <w:t>)供应商可结合本项目的评标办法视自身情况自行提交相关证明材料。（如有，请提供）</w:t>
      </w:r>
    </w:p>
    <w:p w14:paraId="7F71AA6A">
      <w:pPr>
        <w:pStyle w:val="36"/>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b/>
          <w:color w:val="auto"/>
          <w:sz w:val="24"/>
          <w:highlight w:val="none"/>
          <w:u w:val="single"/>
          <w:lang w:val="en-US" w:eastAsia="zh-CN"/>
        </w:rPr>
        <w:t>注：以上材料属于复印件的扫描件的，必须加盖供应商电子公章，否则响应文件按无效响应处理。</w:t>
      </w:r>
    </w:p>
    <w:p w14:paraId="116EE77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8.2 磋商单位应使用</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bCs/>
          <w:color w:val="auto"/>
          <w:sz w:val="24"/>
          <w:szCs w:val="24"/>
          <w:highlight w:val="none"/>
        </w:rPr>
        <w:t>提供的格式，但表格可以按同样格式扩展，磋商保证金、履约保证金的方式按本须知有关条款的规定可以选择。</w:t>
      </w:r>
    </w:p>
    <w:p w14:paraId="6D2A21E2">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9、磋商货币</w:t>
      </w:r>
    </w:p>
    <w:p w14:paraId="1A9177E5">
      <w:pPr>
        <w:tabs>
          <w:tab w:val="left" w:pos="426"/>
        </w:tabs>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9.1磋商应以人民币报价。</w:t>
      </w:r>
    </w:p>
    <w:p w14:paraId="5C26F264">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10、磋商的有效期</w:t>
      </w:r>
    </w:p>
    <w:p w14:paraId="7CDBDC11">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10．1</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从</w:t>
      </w:r>
      <w:r>
        <w:rPr>
          <w:rFonts w:hint="eastAsia" w:asciiTheme="minorEastAsia" w:hAnsiTheme="minorEastAsia" w:eastAsiaTheme="minorEastAsia" w:cstheme="minorEastAsia"/>
          <w:color w:val="auto"/>
          <w:sz w:val="24"/>
          <w:szCs w:val="24"/>
          <w:highlight w:val="none"/>
          <w:lang w:eastAsia="zh-CN"/>
        </w:rPr>
        <w:t>磋商截止日期后45天</w:t>
      </w:r>
      <w:r>
        <w:rPr>
          <w:rFonts w:hint="eastAsia" w:asciiTheme="minorEastAsia" w:hAnsiTheme="minorEastAsia" w:eastAsiaTheme="minorEastAsia" w:cstheme="minorEastAsia"/>
          <w:color w:val="auto"/>
          <w:sz w:val="24"/>
          <w:szCs w:val="24"/>
          <w:highlight w:val="none"/>
        </w:rPr>
        <w:t>内有效。</w:t>
      </w:r>
    </w:p>
    <w:p w14:paraId="66F27D3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10．2在特殊情况下，采购代理机构可与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协商延长</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的有效期。</w:t>
      </w:r>
    </w:p>
    <w:p w14:paraId="0880B3D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11、</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lang w:val="en-US" w:eastAsia="zh-CN"/>
        </w:rPr>
        <w:t>电子版的编制要求</w:t>
      </w:r>
    </w:p>
    <w:p w14:paraId="0E0379C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11.1</w:t>
      </w:r>
      <w:r>
        <w:rPr>
          <w:rFonts w:hint="eastAsia" w:asciiTheme="minorEastAsia" w:hAnsiTheme="minorEastAsia" w:eastAsiaTheme="minorEastAsia" w:cstheme="minorEastAsia"/>
          <w:color w:val="auto"/>
          <w:sz w:val="24"/>
          <w:szCs w:val="24"/>
          <w:highlight w:val="none"/>
          <w:lang w:val="en-US" w:eastAsia="zh-CN"/>
        </w:rPr>
        <w:t>各供应商在编制响应文件时请按照磋商文件“第七章 响应文件（格式）”规定的格式进行，</w:t>
      </w:r>
      <w:r>
        <w:rPr>
          <w:rFonts w:hint="eastAsia" w:asciiTheme="minorEastAsia" w:hAnsiTheme="minorEastAsia" w:eastAsiaTheme="minorEastAsia" w:cstheme="minorEastAsia"/>
          <w:color w:val="auto"/>
          <w:sz w:val="24"/>
          <w:szCs w:val="24"/>
          <w:highlight w:val="none"/>
        </w:rPr>
        <w:t>第</w:t>
      </w:r>
      <w:r>
        <w:rPr>
          <w:rFonts w:hint="eastAsia" w:asciiTheme="minorEastAsia" w:hAnsiTheme="minorEastAsia" w:eastAsiaTheme="minorEastAsia" w:cstheme="minorEastAsia"/>
          <w:color w:val="auto"/>
          <w:sz w:val="24"/>
          <w:szCs w:val="24"/>
          <w:highlight w:val="none"/>
          <w:lang w:val="en-US" w:eastAsia="zh-CN"/>
        </w:rPr>
        <w:t>七</w:t>
      </w:r>
      <w:r>
        <w:rPr>
          <w:rFonts w:hint="eastAsia" w:asciiTheme="minorEastAsia" w:hAnsiTheme="minorEastAsia" w:eastAsiaTheme="minorEastAsia" w:cstheme="minorEastAsia"/>
          <w:color w:val="auto"/>
          <w:sz w:val="24"/>
          <w:szCs w:val="24"/>
          <w:highlight w:val="none"/>
        </w:rPr>
        <w:t>章</w:t>
      </w:r>
      <w:r>
        <w:rPr>
          <w:rFonts w:hint="eastAsia" w:asciiTheme="minorEastAsia" w:hAnsiTheme="minorEastAsia" w:eastAsiaTheme="minorEastAsia" w:cstheme="minorEastAsia"/>
          <w:color w:val="auto"/>
          <w:sz w:val="24"/>
          <w:szCs w:val="24"/>
          <w:highlight w:val="none"/>
          <w:lang w:val="en-US" w:eastAsia="zh-CN"/>
        </w:rPr>
        <w:t>未附格式的，由供应商自行拟定。混乱的编排导致响应文件被误读或磋商小组查找不到有效文件是供应商的风险。不完整、编排混乱导致响应文件被误读、漏读或者查找不到相关内容的，由此引发的后果由供应商承担</w:t>
      </w:r>
      <w:r>
        <w:rPr>
          <w:rFonts w:hint="eastAsia" w:asciiTheme="minorEastAsia" w:hAnsiTheme="minorEastAsia" w:eastAsiaTheme="minorEastAsia" w:cstheme="minorEastAsia"/>
          <w:color w:val="auto"/>
          <w:sz w:val="24"/>
          <w:szCs w:val="24"/>
          <w:highlight w:val="none"/>
        </w:rPr>
        <w:t>。</w:t>
      </w:r>
    </w:p>
    <w:p w14:paraId="00BB696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11.2</w:t>
      </w:r>
      <w:r>
        <w:rPr>
          <w:rFonts w:hint="eastAsia" w:asciiTheme="minorEastAsia" w:hAnsiTheme="minorEastAsia" w:eastAsiaTheme="minorEastAsia" w:cstheme="minorEastAsia"/>
          <w:color w:val="auto"/>
          <w:sz w:val="24"/>
          <w:szCs w:val="24"/>
          <w:highlight w:val="none"/>
          <w:lang w:val="en-US" w:eastAsia="zh-CN"/>
        </w:rPr>
        <w:t>本磋商只接受电子版响应文件，要求见本章前附表 “响应文件电子版要求”。</w:t>
      </w:r>
    </w:p>
    <w:p w14:paraId="3FA3FB2D">
      <w:pPr>
        <w:spacing w:line="390" w:lineRule="exact"/>
        <w:ind w:firstLine="480" w:firstLineChars="20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11.3</w:t>
      </w:r>
      <w:r>
        <w:rPr>
          <w:rFonts w:hint="eastAsia" w:asciiTheme="minorEastAsia" w:hAnsiTheme="minorEastAsia" w:eastAsiaTheme="minorEastAsia" w:cstheme="minorEastAsia"/>
          <w:color w:val="auto"/>
          <w:sz w:val="24"/>
          <w:szCs w:val="24"/>
          <w:highlight w:val="none"/>
          <w:lang w:val="en-US" w:eastAsia="zh-CN"/>
        </w:rPr>
        <w:t>响应文件须由供应商在“第七章 响应文件（格式）”规定位置进行签署、盖章，否则其响应文件按无效响应处理。骑缝盖公章不视为在规定位置盖章</w:t>
      </w:r>
      <w:r>
        <w:rPr>
          <w:rFonts w:hint="eastAsia" w:asciiTheme="minorEastAsia" w:hAnsiTheme="minorEastAsia" w:eastAsiaTheme="minorEastAsia" w:cstheme="minorEastAsia"/>
          <w:bCs/>
          <w:color w:val="auto"/>
          <w:sz w:val="24"/>
          <w:szCs w:val="24"/>
          <w:highlight w:val="none"/>
        </w:rPr>
        <w:t>。</w:t>
      </w:r>
    </w:p>
    <w:p w14:paraId="413BEAA8">
      <w:pPr>
        <w:spacing w:line="390" w:lineRule="exact"/>
        <w:ind w:firstLine="480"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Cs/>
          <w:color w:val="auto"/>
          <w:sz w:val="24"/>
          <w:szCs w:val="24"/>
          <w:highlight w:val="none"/>
        </w:rPr>
        <w:t>11.4</w:t>
      </w:r>
      <w:r>
        <w:rPr>
          <w:rFonts w:hint="eastAsia" w:asciiTheme="minorEastAsia" w:hAnsiTheme="minorEastAsia" w:eastAsiaTheme="minorEastAsia" w:cstheme="minorEastAsia"/>
          <w:bCs/>
          <w:color w:val="auto"/>
          <w:sz w:val="24"/>
          <w:szCs w:val="24"/>
          <w:highlight w:val="none"/>
          <w:lang w:val="en-US" w:eastAsia="zh-CN"/>
        </w:rPr>
        <w:t>响应文件中标注的供应商名称应与营业执照（事业单位法人证书、执业许可证、自然人身份证）及电子公章一致，否则其响应文件按无效响应处理</w:t>
      </w:r>
      <w:r>
        <w:rPr>
          <w:rFonts w:hint="eastAsia" w:asciiTheme="minorEastAsia" w:hAnsiTheme="minorEastAsia" w:eastAsiaTheme="minorEastAsia" w:cstheme="minorEastAsia"/>
          <w:bCs/>
          <w:color w:val="auto"/>
          <w:sz w:val="24"/>
          <w:szCs w:val="24"/>
          <w:highlight w:val="none"/>
        </w:rPr>
        <w:t>。</w:t>
      </w:r>
    </w:p>
    <w:p w14:paraId="359A68C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11.5</w:t>
      </w:r>
      <w:r>
        <w:rPr>
          <w:rFonts w:hint="eastAsia" w:asciiTheme="minorEastAsia" w:hAnsiTheme="minorEastAsia" w:eastAsiaTheme="minorEastAsia" w:cstheme="minorEastAsia"/>
          <w:color w:val="auto"/>
          <w:sz w:val="24"/>
          <w:szCs w:val="24"/>
          <w:highlight w:val="none"/>
          <w:lang w:val="en-US" w:eastAsia="zh-CN"/>
        </w:rPr>
        <w:t>响应文件应避免涂改、行间插字或者删除，否则其响应文件按无效响应处理</w:t>
      </w:r>
      <w:r>
        <w:rPr>
          <w:rFonts w:hint="eastAsia" w:asciiTheme="minorEastAsia" w:hAnsiTheme="minorEastAsia" w:eastAsiaTheme="minorEastAsia" w:cstheme="minorEastAsia"/>
          <w:color w:val="auto"/>
          <w:sz w:val="24"/>
          <w:szCs w:val="24"/>
          <w:highlight w:val="none"/>
        </w:rPr>
        <w:t>。</w:t>
      </w:r>
    </w:p>
    <w:p w14:paraId="6F05DCA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12、磋商保证金</w:t>
      </w:r>
    </w:p>
    <w:p w14:paraId="54F4165F">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12.1磋商单位应按前附表第</w:t>
      </w: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项规定数额、方式足额提交磋商保证金，此磋商保证金是</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的一个组成部分。</w:t>
      </w:r>
    </w:p>
    <w:p w14:paraId="48E3B32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12.2对于未能按要求提交磋商保证金的磋商，采购单位将视为不响应磋商而拒绝。</w:t>
      </w:r>
    </w:p>
    <w:p w14:paraId="0389D60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12.3未成交</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的磋商保证金，</w:t>
      </w:r>
      <w:r>
        <w:rPr>
          <w:rFonts w:hint="eastAsia" w:asciiTheme="minorEastAsia" w:hAnsiTheme="minorEastAsia" w:eastAsiaTheme="minorEastAsia" w:cstheme="minorEastAsia"/>
          <w:color w:val="auto"/>
          <w:sz w:val="24"/>
          <w:szCs w:val="24"/>
          <w:highlight w:val="none"/>
          <w:u w:val="none"/>
        </w:rPr>
        <w:t>将在成交通知书发出后</w:t>
      </w: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个工作日内予以退还，不计利息。</w:t>
      </w:r>
    </w:p>
    <w:p w14:paraId="7AD6A7F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12.4成交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按要求提交履约保证金并签署合同协议，</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合同协议</w:t>
      </w:r>
      <w:r>
        <w:rPr>
          <w:rFonts w:hint="eastAsia" w:asciiTheme="minorEastAsia" w:hAnsiTheme="minorEastAsia" w:eastAsiaTheme="minorEastAsia" w:cstheme="minorEastAsia"/>
          <w:color w:val="auto"/>
          <w:sz w:val="24"/>
          <w:szCs w:val="24"/>
          <w:highlight w:val="none"/>
          <w:lang w:val="en-US" w:eastAsia="zh-CN"/>
        </w:rPr>
        <w:t>提交1份至采购代理机构后</w:t>
      </w:r>
      <w:r>
        <w:rPr>
          <w:rFonts w:hint="eastAsia" w:asciiTheme="minorEastAsia" w:hAnsiTheme="minorEastAsia" w:eastAsiaTheme="minorEastAsia" w:cstheme="minorEastAsia"/>
          <w:color w:val="auto"/>
          <w:sz w:val="24"/>
          <w:szCs w:val="24"/>
          <w:highlight w:val="none"/>
          <w:u w:val="none"/>
          <w:lang w:val="en-US" w:eastAsia="zh-CN"/>
        </w:rPr>
        <w:t>5</w:t>
      </w:r>
      <w:r>
        <w:rPr>
          <w:rFonts w:hint="eastAsia" w:asciiTheme="minorEastAsia" w:hAnsiTheme="minorEastAsia" w:eastAsiaTheme="minorEastAsia" w:cstheme="minorEastAsia"/>
          <w:color w:val="auto"/>
          <w:sz w:val="24"/>
          <w:szCs w:val="24"/>
          <w:highlight w:val="none"/>
          <w:u w:val="none"/>
        </w:rPr>
        <w:t>个工作日内</w:t>
      </w:r>
      <w:r>
        <w:rPr>
          <w:rFonts w:hint="eastAsia" w:asciiTheme="minorEastAsia" w:hAnsiTheme="minorEastAsia" w:eastAsiaTheme="minorEastAsia" w:cstheme="minorEastAsia"/>
          <w:color w:val="auto"/>
          <w:sz w:val="24"/>
          <w:szCs w:val="24"/>
          <w:highlight w:val="none"/>
        </w:rPr>
        <w:t>将无息退还其磋商保证金。</w:t>
      </w:r>
    </w:p>
    <w:p w14:paraId="6A894A6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12.5如</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 xml:space="preserve">有下列情况，将被没收磋商保证金：　　　  </w:t>
      </w:r>
    </w:p>
    <w:p w14:paraId="0B623EF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在其磋商有效期内撤回其</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p>
    <w:p w14:paraId="169A584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（2）成交</w:t>
      </w:r>
      <w:r>
        <w:rPr>
          <w:rFonts w:hint="eastAsia" w:asciiTheme="minorEastAsia" w:hAnsiTheme="minorEastAsia" w:eastAsiaTheme="minorEastAsia" w:cstheme="minorEastAsia"/>
          <w:color w:val="auto"/>
          <w:sz w:val="24"/>
          <w:szCs w:val="24"/>
          <w:highlight w:val="none"/>
          <w:lang w:eastAsia="zh-CN"/>
        </w:rPr>
        <w:t>人</w:t>
      </w:r>
      <w:r>
        <w:rPr>
          <w:rFonts w:hint="eastAsia" w:asciiTheme="minorEastAsia" w:hAnsiTheme="minorEastAsia" w:eastAsiaTheme="minorEastAsia" w:cstheme="minorEastAsia"/>
          <w:color w:val="auto"/>
          <w:sz w:val="24"/>
          <w:szCs w:val="24"/>
          <w:highlight w:val="none"/>
        </w:rPr>
        <w:t>未能在规定期限内提交履约保证金或签署合同协议。</w:t>
      </w:r>
      <w:bookmarkStart w:id="61" w:name="_Toc459103902"/>
    </w:p>
    <w:p w14:paraId="229C741A">
      <w:pPr>
        <w:pStyle w:val="35"/>
        <w:rPr>
          <w:rFonts w:hint="eastAsia" w:asciiTheme="minorEastAsia" w:hAnsiTheme="minorEastAsia" w:eastAsiaTheme="minorEastAsia" w:cstheme="minorEastAsia"/>
          <w:color w:val="auto"/>
          <w:sz w:val="24"/>
          <w:szCs w:val="24"/>
          <w:highlight w:val="none"/>
        </w:rPr>
      </w:pPr>
    </w:p>
    <w:p w14:paraId="5D3CFF3F">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62" w:name="_Toc11737"/>
      <w:r>
        <w:rPr>
          <w:rFonts w:hint="eastAsia" w:asciiTheme="minorEastAsia" w:hAnsiTheme="minorEastAsia" w:eastAsiaTheme="minorEastAsia" w:cstheme="minorEastAsia"/>
          <w:color w:val="auto"/>
          <w:sz w:val="24"/>
          <w:szCs w:val="24"/>
          <w:highlight w:val="none"/>
        </w:rPr>
        <w:t>五、</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的递交</w:t>
      </w:r>
      <w:bookmarkEnd w:id="61"/>
      <w:bookmarkEnd w:id="62"/>
    </w:p>
    <w:p w14:paraId="76515F12">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3</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w:t>
      </w:r>
      <w:r>
        <w:rPr>
          <w:rFonts w:hint="eastAsia" w:asciiTheme="minorEastAsia" w:hAnsiTheme="minorEastAsia" w:eastAsiaTheme="minorEastAsia" w:cstheme="minorEastAsia"/>
          <w:b/>
          <w:bCs/>
          <w:color w:val="auto"/>
          <w:sz w:val="24"/>
          <w:szCs w:val="24"/>
          <w:highlight w:val="none"/>
        </w:rPr>
        <w:t>的密封与标记</w:t>
      </w:r>
    </w:p>
    <w:p w14:paraId="5209713F">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3.1供应商进行电子交易应安装客户端软件“广西政采云电子交易客户端”，并按照磋商文件和电子交易平台的要求编制并加密响应文件。供应商未按规定加密的响应文件，电子交易平台 将拒收并提示</w:t>
      </w:r>
      <w:r>
        <w:rPr>
          <w:rFonts w:hint="eastAsia" w:asciiTheme="minorEastAsia" w:hAnsiTheme="minorEastAsia" w:eastAsiaTheme="minorEastAsia" w:cstheme="minorEastAsia"/>
          <w:color w:val="auto"/>
          <w:sz w:val="24"/>
          <w:szCs w:val="24"/>
          <w:highlight w:val="none"/>
        </w:rPr>
        <w:t>。</w:t>
      </w:r>
    </w:p>
    <w:p w14:paraId="1D2479F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3.2</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sz w:val="24"/>
          <w:szCs w:val="24"/>
          <w:highlight w:val="none"/>
          <w:lang w:val="en-US" w:eastAsia="zh-CN"/>
        </w:rPr>
        <w:t>使用“广西政采云电子交易客户端”需要提前申领 CA 数字证书，申领流程见本项目采购公告</w:t>
      </w:r>
      <w:r>
        <w:rPr>
          <w:rFonts w:hint="eastAsia" w:asciiTheme="minorEastAsia" w:hAnsiTheme="minorEastAsia" w:eastAsiaTheme="minorEastAsia" w:cstheme="minorEastAsia"/>
          <w:color w:val="auto"/>
          <w:sz w:val="24"/>
          <w:szCs w:val="24"/>
          <w:highlight w:val="none"/>
        </w:rPr>
        <w:t>。</w:t>
      </w:r>
    </w:p>
    <w:p w14:paraId="49426B3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3.3为确保网上操作合法、有效和安全，供应商应当在响应文件提交截止时间前完成在“政府采购云平台”的身份认证，确保在电子交易过程中能够对相关数据电文进行加密和使用电子签名。</w:t>
      </w:r>
    </w:p>
    <w:p w14:paraId="2BF497C0">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 xml:space="preserve">、磋商截止时间  </w:t>
      </w:r>
    </w:p>
    <w:p w14:paraId="01AAE5B6">
      <w:pPr>
        <w:spacing w:line="390" w:lineRule="exact"/>
        <w:ind w:firstLine="480" w:firstLineChars="200"/>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14.1</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的递交不得迟于本须知前附表第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项规定的截止时间。</w:t>
      </w:r>
    </w:p>
    <w:p w14:paraId="5F4607C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必须在规定时间内将</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送到本须知前附表第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项规定地点，</w:t>
      </w:r>
      <w:r>
        <w:rPr>
          <w:rFonts w:hint="eastAsia" w:asciiTheme="minorEastAsia" w:hAnsiTheme="minorEastAsia" w:eastAsiaTheme="minorEastAsia" w:cstheme="minorEastAsia"/>
          <w:color w:val="auto"/>
          <w:sz w:val="24"/>
          <w:szCs w:val="24"/>
          <w:highlight w:val="none"/>
          <w:lang w:val="en-US" w:eastAsia="zh-CN"/>
        </w:rPr>
        <w:t>采购代理机构不可视情况延长提交响应文件的截止时间，</w:t>
      </w:r>
      <w:r>
        <w:rPr>
          <w:rFonts w:hint="eastAsia" w:asciiTheme="minorEastAsia" w:hAnsiTheme="minorEastAsia" w:eastAsiaTheme="minorEastAsia" w:cstheme="minorEastAsia"/>
          <w:color w:val="auto"/>
          <w:sz w:val="24"/>
          <w:szCs w:val="24"/>
          <w:highlight w:val="none"/>
        </w:rPr>
        <w:t>超过磋商截止时间送达的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将不予受理。</w:t>
      </w:r>
    </w:p>
    <w:p w14:paraId="2A96EAC0">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14.3磋商供应商应当在开标截止时间前，将生成的“电子加密响应文件”上传递交至广西政采云平台。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w:t>
      </w:r>
      <w:r>
        <w:rPr>
          <w:rFonts w:hint="eastAsia" w:asciiTheme="minorEastAsia" w:hAnsiTheme="minorEastAsia" w:eastAsiaTheme="minorEastAsia" w:cstheme="minorEastAsia"/>
          <w:color w:val="auto"/>
          <w:sz w:val="24"/>
          <w:szCs w:val="24"/>
          <w:highlight w:val="none"/>
        </w:rPr>
        <w:t>磋商保证金将被没收</w:t>
      </w:r>
      <w:r>
        <w:rPr>
          <w:rFonts w:hint="eastAsia" w:asciiTheme="minorEastAsia" w:hAnsiTheme="minorEastAsia" w:eastAsiaTheme="minorEastAsia" w:cstheme="minorEastAsia"/>
          <w:color w:val="auto"/>
          <w:sz w:val="24"/>
          <w:szCs w:val="24"/>
          <w:highlight w:val="none"/>
          <w:lang w:val="en-US" w:eastAsia="zh-CN"/>
        </w:rPr>
        <w:t>处理</w:t>
      </w:r>
      <w:r>
        <w:rPr>
          <w:rFonts w:hint="eastAsia" w:asciiTheme="minorEastAsia" w:hAnsiTheme="minorEastAsia" w:eastAsiaTheme="minorEastAsia" w:cstheme="minorEastAsia"/>
          <w:color w:val="auto"/>
          <w:sz w:val="24"/>
          <w:szCs w:val="24"/>
          <w:highlight w:val="none"/>
          <w:lang w:eastAsia="zh-CN"/>
        </w:rPr>
        <w:t>。</w:t>
      </w:r>
    </w:p>
    <w:p w14:paraId="3276892A">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14.4电子交易平台收到响应文件，将妥善保存并即时向供应商发出确认回执通知。在响应文件提交截止时间前，除供应商补充、修改或者撤回响应文件外，任何单位和个人不得解密或提取响应文件。</w:t>
      </w:r>
    </w:p>
    <w:p w14:paraId="6F8E2D38">
      <w:pPr>
        <w:spacing w:line="390" w:lineRule="exact"/>
        <w:ind w:firstLine="480" w:firstLineChars="200"/>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14.5响应文件提交截止时间止提交响应文件的供应商不足 3 家时，电子响应文件由代理机构在“广西政采云”平台操作退回，除此之外采购人和采购代理机构对已提交的电子响应文件概不退回。</w:t>
      </w:r>
    </w:p>
    <w:p w14:paraId="7C99AC81">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63" w:name="_Toc459103903"/>
    </w:p>
    <w:p w14:paraId="470DDE87">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64" w:name="_Toc26017"/>
      <w:r>
        <w:rPr>
          <w:rFonts w:hint="eastAsia" w:asciiTheme="minorEastAsia" w:hAnsiTheme="minorEastAsia" w:eastAsiaTheme="minorEastAsia" w:cstheme="minorEastAsia"/>
          <w:color w:val="auto"/>
          <w:sz w:val="24"/>
          <w:szCs w:val="24"/>
          <w:highlight w:val="none"/>
        </w:rPr>
        <w:t>六、竞争性磋商与评标</w:t>
      </w:r>
      <w:bookmarkEnd w:id="63"/>
      <w:bookmarkEnd w:id="64"/>
    </w:p>
    <w:p w14:paraId="34290062">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15.响应文件的开启</w:t>
      </w:r>
    </w:p>
    <w:p w14:paraId="312FC802">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15.1响应文件由磋商小组或者采购代理机构在“供应商须知前附表”规定的时间开启。</w:t>
      </w:r>
    </w:p>
    <w:p w14:paraId="34983325">
      <w:pPr>
        <w:spacing w:line="39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15.2响应文件解密</w:t>
      </w:r>
    </w:p>
    <w:p w14:paraId="609AE86F">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采购代理机构将在“供应商须知前附表”规定的时间通过电子交易平台组织响应文件开启， 采购机构依托电子交易平台发起【开始解密】指令，供应商的法定代表人或其委托代理人须携带加密时所用的 CA 锁按平台提示和采购文件的规定登录到“广西政采云”平台电子开标大厅签到并在发起解密指令之时起 30分钟内完成对电子响应文件在线解密。发起解密指令之时起 5 分钟内供应商还未进行解密的，代理机构要通知供应商，供应商没预留联系方式或预留联系方式无效，导致代理机构无法联系到投标人在发起解密指令之时起 30分钟内完成对电子响应文件在线解密的，均视为无效投标。（解密异常情况处理：详见本章 15.3 电子交易活动的中止。） </w:t>
      </w:r>
    </w:p>
    <w:p w14:paraId="66892FE6">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如供应商成功解密响应文件，但未在“广西政采云”电子开标大厅参加磋商的，视同认可磋商过程和结果，由此产生的后果由供应商自行负责。参与磋商的供应商不足3 家的，不得继续磋商。</w:t>
      </w:r>
    </w:p>
    <w:p w14:paraId="204998FD">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15.3电子交易活动的中止</w:t>
      </w:r>
    </w:p>
    <w:p w14:paraId="136914F7">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采购过程中出现以下情形，导致电子交易平台无法正常运行， 或者无法保证电子交易的公平、公正和安全时，采购机构可中止电子交易活动： </w:t>
      </w:r>
    </w:p>
    <w:p w14:paraId="4B432125">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（1）电子交易平台发生故障而无法登录访问的； </w:t>
      </w:r>
    </w:p>
    <w:p w14:paraId="3948925D">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（2）电子交易平台应用或数据库出现错误，不能进行正常操作的； </w:t>
      </w:r>
    </w:p>
    <w:p w14:paraId="3AD168CE">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（3）电子交易平台发现严重安全漏洞，有潜在泄密危险的； </w:t>
      </w:r>
    </w:p>
    <w:p w14:paraId="049AB5BB">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（4）病毒发作导致不能进行正常操作的； </w:t>
      </w:r>
    </w:p>
    <w:p w14:paraId="755FA5AB">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（5）其他无法保证电子交易的公平、公正和安全的情况 </w:t>
      </w:r>
    </w:p>
    <w:p w14:paraId="7A41824D">
      <w:pPr>
        <w:spacing w:line="390" w:lineRule="exact"/>
        <w:ind w:firstLine="480" w:firstLineChars="200"/>
        <w:rPr>
          <w:rFonts w:hint="eastAsia" w:asciiTheme="minorEastAsia" w:hAnsiTheme="minorEastAsia" w:eastAsiaTheme="minorEastAsia" w:cstheme="minorEastAsia"/>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383AE324">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6</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磋商</w:t>
      </w:r>
    </w:p>
    <w:p w14:paraId="319C50EB">
      <w:pPr>
        <w:spacing w:line="400" w:lineRule="exact"/>
        <w:ind w:left="239" w:leftChars="114"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6.1</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时间及地点：截标后为与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时间</w:t>
      </w:r>
      <w:r>
        <w:rPr>
          <w:rFonts w:hint="eastAsia" w:asciiTheme="minorEastAsia" w:hAnsiTheme="minorEastAsia" w:eastAsiaTheme="minorEastAsia" w:cstheme="minorEastAsia"/>
          <w:color w:val="auto"/>
          <w:sz w:val="24"/>
          <w:szCs w:val="24"/>
          <w:highlight w:val="none"/>
          <w:lang w:eastAsia="zh-CN"/>
        </w:rPr>
        <w:t>：202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w:t>
      </w:r>
      <w:r>
        <w:rPr>
          <w:rFonts w:hint="eastAsia" w:asciiTheme="minorEastAsia" w:hAnsiTheme="minorEastAsia" w:eastAsiaTheme="minorEastAsia" w:cstheme="minorEastAsia"/>
          <w:color w:val="auto"/>
          <w:sz w:val="24"/>
          <w:szCs w:val="24"/>
          <w:highlight w:val="none"/>
          <w:lang w:val="en-US" w:eastAsia="zh-CN"/>
        </w:rPr>
        <w:t>04</w:t>
      </w:r>
      <w:r>
        <w:rPr>
          <w:rFonts w:hint="eastAsia" w:asciiTheme="minorEastAsia" w:hAnsiTheme="minorEastAsia" w:eastAsiaTheme="minorEastAsia" w:cstheme="minorEastAsia"/>
          <w:color w:val="auto"/>
          <w:sz w:val="24"/>
          <w:szCs w:val="24"/>
          <w:highlight w:val="none"/>
          <w:lang w:eastAsia="zh-CN"/>
        </w:rPr>
        <w:t>月</w:t>
      </w: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lang w:eastAsia="zh-CN"/>
        </w:rPr>
        <w:t>日</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lang w:eastAsia="zh-CN"/>
        </w:rPr>
        <w:t>时</w:t>
      </w:r>
      <w:r>
        <w:rPr>
          <w:rFonts w:hint="eastAsia" w:asciiTheme="minorEastAsia" w:hAnsiTheme="minorEastAsia" w:eastAsiaTheme="minorEastAsia" w:cstheme="minorEastAsia"/>
          <w:color w:val="auto"/>
          <w:sz w:val="24"/>
          <w:szCs w:val="24"/>
          <w:highlight w:val="none"/>
          <w:lang w:val="en-US" w:eastAsia="zh-CN"/>
        </w:rPr>
        <w:t>0</w:t>
      </w:r>
      <w:r>
        <w:rPr>
          <w:rFonts w:hint="eastAsia" w:asciiTheme="minorEastAsia" w:hAnsiTheme="minorEastAsia" w:eastAsiaTheme="minorEastAsia" w:cstheme="minorEastAsia"/>
          <w:color w:val="auto"/>
          <w:sz w:val="24"/>
          <w:szCs w:val="24"/>
          <w:highlight w:val="none"/>
          <w:lang w:eastAsia="zh-CN"/>
        </w:rPr>
        <w:t>0分</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地点为“</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”平台电子开标大厅</w:t>
      </w:r>
      <w:r>
        <w:rPr>
          <w:rFonts w:hint="eastAsia" w:asciiTheme="minorEastAsia" w:hAnsiTheme="minorEastAsia" w:eastAsiaTheme="minorEastAsia" w:cstheme="minorEastAsia"/>
          <w:color w:val="auto"/>
          <w:sz w:val="24"/>
          <w:szCs w:val="24"/>
          <w:highlight w:val="none"/>
          <w:lang w:eastAsia="zh-CN"/>
        </w:rPr>
        <w:t>。</w:t>
      </w:r>
    </w:p>
    <w:p w14:paraId="5E899C7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6.2</w:t>
      </w:r>
      <w:r>
        <w:rPr>
          <w:rFonts w:hint="eastAsia" w:asciiTheme="minorEastAsia" w:hAnsiTheme="minorEastAsia" w:eastAsiaTheme="minorEastAsia" w:cstheme="minorEastAsia"/>
          <w:color w:val="auto"/>
          <w:sz w:val="24"/>
          <w:szCs w:val="24"/>
          <w:highlight w:val="none"/>
          <w:lang w:eastAsia="zh-CN"/>
        </w:rPr>
        <w:t>采购人</w:t>
      </w:r>
      <w:r>
        <w:rPr>
          <w:rFonts w:hint="eastAsia" w:asciiTheme="minorEastAsia" w:hAnsiTheme="minorEastAsia" w:eastAsiaTheme="minorEastAsia" w:cstheme="minorEastAsia"/>
          <w:color w:val="auto"/>
          <w:sz w:val="24"/>
          <w:szCs w:val="24"/>
          <w:highlight w:val="none"/>
        </w:rPr>
        <w:t>根据要求</w:t>
      </w:r>
      <w:r>
        <w:rPr>
          <w:rFonts w:hint="eastAsia" w:asciiTheme="minorEastAsia" w:hAnsiTheme="minorEastAsia" w:eastAsiaTheme="minorEastAsia" w:cstheme="minorEastAsia"/>
          <w:color w:val="auto"/>
          <w:sz w:val="24"/>
          <w:szCs w:val="24"/>
          <w:highlight w:val="none"/>
          <w:lang w:eastAsia="zh-CN"/>
        </w:rPr>
        <w:t>依法</w:t>
      </w:r>
      <w:r>
        <w:rPr>
          <w:rFonts w:hint="eastAsia" w:asciiTheme="minorEastAsia" w:hAnsiTheme="minorEastAsia" w:eastAsiaTheme="minorEastAsia" w:cstheme="minorEastAsia"/>
          <w:color w:val="auto"/>
          <w:sz w:val="24"/>
          <w:szCs w:val="24"/>
          <w:highlight w:val="none"/>
        </w:rPr>
        <w:t>组建竞争性磋商小组（以下简称磋商小组），磋商小组由采购人代表和评审专家共三人以上（含三人）单数组成，其中评审专家人数不少于磋商小组成员总数的2/3。评审专家</w:t>
      </w:r>
      <w:r>
        <w:rPr>
          <w:rFonts w:hint="eastAsia" w:asciiTheme="minorEastAsia" w:hAnsiTheme="minorEastAsia" w:eastAsiaTheme="minorEastAsia" w:cstheme="minorEastAsia"/>
          <w:color w:val="auto"/>
          <w:sz w:val="24"/>
          <w:szCs w:val="24"/>
          <w:highlight w:val="none"/>
          <w:lang w:val="en-US" w:eastAsia="zh-CN"/>
        </w:rPr>
        <w:t>由采购代理机构在广西政采云平台广西评审专家库内</w:t>
      </w:r>
      <w:r>
        <w:rPr>
          <w:rFonts w:hint="eastAsia" w:asciiTheme="minorEastAsia" w:hAnsiTheme="minorEastAsia" w:eastAsiaTheme="minorEastAsia" w:cstheme="minorEastAsia"/>
          <w:color w:val="auto"/>
          <w:sz w:val="24"/>
          <w:szCs w:val="24"/>
          <w:highlight w:val="none"/>
        </w:rPr>
        <w:t>相关专业技术、经济等方面的专家名单中随机抽取。</w:t>
      </w:r>
    </w:p>
    <w:p w14:paraId="36790815">
      <w:pPr>
        <w:pStyle w:val="15"/>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6.3</w:t>
      </w:r>
      <w:r>
        <w:rPr>
          <w:rFonts w:hint="eastAsia" w:asciiTheme="minorEastAsia" w:hAnsiTheme="minorEastAsia" w:eastAsiaTheme="minorEastAsia" w:cstheme="minorEastAsia"/>
          <w:color w:val="auto"/>
          <w:sz w:val="24"/>
          <w:szCs w:val="24"/>
          <w:highlight w:val="none"/>
        </w:rPr>
        <w:t>评审专家应当遵守评审工作纪律，不得泄露评审情况和评审中获悉的商业秘密。</w:t>
      </w:r>
    </w:p>
    <w:p w14:paraId="331ABC9F">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6.4</w:t>
      </w:r>
      <w:r>
        <w:rPr>
          <w:rFonts w:hint="eastAsia" w:asciiTheme="minorEastAsia" w:hAnsiTheme="minorEastAsia" w:eastAsiaTheme="minorEastAsia" w:cstheme="minorEastAsia"/>
          <w:color w:val="auto"/>
          <w:sz w:val="24"/>
          <w:szCs w:val="24"/>
          <w:highlight w:val="none"/>
        </w:rPr>
        <w:t>磋商小组成员应当按照客观、公正、审慎的原则，根据磋商文件规定的评审程序、评审方法和评审标准进行独立评审</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在整个</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过程中，</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小组将负责对全部</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进行审查、</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及评标工作。</w:t>
      </w:r>
    </w:p>
    <w:p w14:paraId="27F2D3C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6.5</w:t>
      </w:r>
      <w:r>
        <w:rPr>
          <w:rFonts w:hint="eastAsia" w:asciiTheme="minorEastAsia" w:hAnsiTheme="minorEastAsia" w:eastAsiaTheme="minorEastAsia" w:cstheme="minorEastAsia"/>
          <w:color w:val="auto"/>
          <w:sz w:val="24"/>
          <w:szCs w:val="24"/>
          <w:highlight w:val="none"/>
        </w:rPr>
        <w:t>采购代理机构将</w:t>
      </w:r>
      <w:r>
        <w:rPr>
          <w:rFonts w:hint="eastAsia" w:asciiTheme="minorEastAsia" w:hAnsiTheme="minorEastAsia" w:eastAsiaTheme="minorEastAsia" w:cstheme="minorEastAsia"/>
          <w:color w:val="auto"/>
          <w:sz w:val="24"/>
          <w:szCs w:val="24"/>
          <w:highlight w:val="none"/>
          <w:lang w:val="en-US" w:eastAsia="zh-CN"/>
        </w:rPr>
        <w:t xml:space="preserve">按照提交首次响应文件的顺序在线上通知，通知磋商时，若某供应商不在通知现场时，该供应商排序到最后磋商，按照签到的顺序由其下一位供应商先参与磋商。 </w:t>
      </w:r>
    </w:p>
    <w:p w14:paraId="3D56B4F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6.6</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的内容包括技术性条件、商务性条件以及</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小组认为需要</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的内容。当</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有实质性变动的，</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小组以</w:t>
      </w:r>
      <w:r>
        <w:rPr>
          <w:rFonts w:hint="eastAsia" w:asciiTheme="minorEastAsia" w:hAnsiTheme="minorEastAsia" w:eastAsiaTheme="minorEastAsia" w:cstheme="minorEastAsia"/>
          <w:color w:val="auto"/>
          <w:sz w:val="24"/>
          <w:szCs w:val="24"/>
          <w:highlight w:val="none"/>
          <w:lang w:val="en-US" w:eastAsia="zh-CN"/>
        </w:rPr>
        <w:t>在线询标</w:t>
      </w:r>
      <w:r>
        <w:rPr>
          <w:rFonts w:hint="eastAsia" w:asciiTheme="minorEastAsia" w:hAnsiTheme="minorEastAsia" w:eastAsiaTheme="minorEastAsia" w:cstheme="minorEastAsia"/>
          <w:color w:val="auto"/>
          <w:sz w:val="24"/>
          <w:szCs w:val="24"/>
          <w:highlight w:val="none"/>
        </w:rPr>
        <w:t>通知所有参加</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lang w:val="en-US" w:eastAsia="zh-CN"/>
        </w:rPr>
        <w:t>应在规定的地点、时间内在线回复询标函。</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就商务和技术条件作出的包含补充、修改、承诺、重新报价等内容的</w:t>
      </w:r>
      <w:r>
        <w:rPr>
          <w:rFonts w:hint="eastAsia" w:asciiTheme="minorEastAsia" w:hAnsiTheme="minorEastAsia" w:eastAsiaTheme="minorEastAsia" w:cstheme="minorEastAsia"/>
          <w:color w:val="auto"/>
          <w:sz w:val="24"/>
          <w:szCs w:val="24"/>
          <w:highlight w:val="none"/>
          <w:lang w:val="en-US" w:eastAsia="zh-CN"/>
        </w:rPr>
        <w:t>询标回复函或第二轮报价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必须由</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构成</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的一部分。</w:t>
      </w:r>
    </w:p>
    <w:p w14:paraId="63F85C3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6.7</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小组对各</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递交的</w:t>
      </w:r>
      <w:r>
        <w:rPr>
          <w:rFonts w:hint="eastAsia" w:asciiTheme="minorEastAsia" w:hAnsiTheme="minorEastAsia" w:eastAsiaTheme="minorEastAsia" w:cstheme="minorEastAsia"/>
          <w:color w:val="auto"/>
          <w:sz w:val="24"/>
          <w:szCs w:val="24"/>
          <w:highlight w:val="none"/>
          <w:lang w:val="en-US" w:eastAsia="zh-CN"/>
        </w:rPr>
        <w:t>询标回复函或响应文件</w:t>
      </w:r>
      <w:r>
        <w:rPr>
          <w:rFonts w:hint="eastAsia" w:asciiTheme="minorEastAsia" w:hAnsiTheme="minorEastAsia" w:eastAsiaTheme="minorEastAsia" w:cstheme="minorEastAsia"/>
          <w:color w:val="auto"/>
          <w:sz w:val="24"/>
          <w:szCs w:val="24"/>
          <w:highlight w:val="none"/>
        </w:rPr>
        <w:t>统一开启，并进行评审后，认为有必要再次进行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的，可再次与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程序和要求按本须知1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规定执行，直至</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小组认为没有必要再进行</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方可结束。对最后一轮</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小组应明确告知</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，并要求所有</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在规定的时间、地点以</w:t>
      </w:r>
      <w:r>
        <w:rPr>
          <w:rFonts w:hint="eastAsia" w:asciiTheme="minorEastAsia" w:hAnsiTheme="minorEastAsia" w:eastAsiaTheme="minorEastAsia" w:cstheme="minorEastAsia"/>
          <w:color w:val="auto"/>
          <w:sz w:val="24"/>
          <w:szCs w:val="24"/>
          <w:highlight w:val="none"/>
          <w:lang w:val="en-US" w:eastAsia="zh-CN"/>
        </w:rPr>
        <w:t>在线回复</w:t>
      </w:r>
      <w:r>
        <w:rPr>
          <w:rFonts w:hint="eastAsia" w:asciiTheme="minorEastAsia" w:hAnsiTheme="minorEastAsia" w:eastAsiaTheme="minorEastAsia" w:cstheme="minorEastAsia"/>
          <w:color w:val="auto"/>
          <w:sz w:val="24"/>
          <w:szCs w:val="24"/>
          <w:highlight w:val="none"/>
        </w:rPr>
        <w:t>形式递交最终的</w:t>
      </w:r>
      <w:r>
        <w:rPr>
          <w:rFonts w:hint="eastAsia" w:asciiTheme="minorEastAsia" w:hAnsiTheme="minorEastAsia" w:eastAsiaTheme="minorEastAsia" w:cstheme="minorEastAsia"/>
          <w:color w:val="auto"/>
          <w:sz w:val="24"/>
          <w:szCs w:val="24"/>
          <w:highlight w:val="none"/>
          <w:lang w:val="en-US" w:eastAsia="zh-CN"/>
        </w:rPr>
        <w:t>询标回复函</w:t>
      </w:r>
      <w:r>
        <w:rPr>
          <w:rFonts w:hint="eastAsia" w:asciiTheme="minorEastAsia" w:hAnsiTheme="minorEastAsia" w:eastAsiaTheme="minorEastAsia" w:cstheme="minorEastAsia"/>
          <w:color w:val="auto"/>
          <w:sz w:val="24"/>
          <w:szCs w:val="24"/>
          <w:highlight w:val="none"/>
        </w:rPr>
        <w:t>。</w:t>
      </w:r>
    </w:p>
    <w:p w14:paraId="22A6A47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6.8</w:t>
      </w:r>
      <w:r>
        <w:rPr>
          <w:rFonts w:hint="eastAsia" w:asciiTheme="minorEastAsia" w:hAnsiTheme="minorEastAsia" w:eastAsiaTheme="minorEastAsia" w:cstheme="minorEastAsia"/>
          <w:color w:val="auto"/>
          <w:sz w:val="24"/>
          <w:szCs w:val="24"/>
          <w:highlight w:val="none"/>
        </w:rPr>
        <w:t>最终</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结束后，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小组不得再与</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进行任何形式的商谈。</w:t>
      </w:r>
    </w:p>
    <w:p w14:paraId="179BF688">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6.9</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的任何一方不得透露与</w:t>
      </w:r>
      <w:r>
        <w:rPr>
          <w:rFonts w:hint="eastAsia" w:asciiTheme="minorEastAsia" w:hAnsiTheme="minorEastAsia" w:eastAsiaTheme="minorEastAsia" w:cstheme="minorEastAsia"/>
          <w:color w:val="auto"/>
          <w:sz w:val="24"/>
          <w:szCs w:val="24"/>
          <w:highlight w:val="none"/>
          <w:lang w:eastAsia="zh-CN"/>
        </w:rPr>
        <w:t>磋商</w:t>
      </w:r>
      <w:r>
        <w:rPr>
          <w:rFonts w:hint="eastAsia" w:asciiTheme="minorEastAsia" w:hAnsiTheme="minorEastAsia" w:eastAsiaTheme="minorEastAsia" w:cstheme="minorEastAsia"/>
          <w:color w:val="auto"/>
          <w:sz w:val="24"/>
          <w:szCs w:val="24"/>
          <w:highlight w:val="none"/>
        </w:rPr>
        <w:t>有关的其他</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的技术资料、价格和其他信息。</w:t>
      </w:r>
    </w:p>
    <w:p w14:paraId="1BC5C190">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7</w:t>
      </w:r>
      <w:r>
        <w:rPr>
          <w:rFonts w:hint="eastAsia" w:asciiTheme="minorEastAsia" w:hAnsiTheme="minorEastAsia" w:eastAsiaTheme="minorEastAsia" w:cstheme="minorEastAsia"/>
          <w:b/>
          <w:bCs/>
          <w:color w:val="auto"/>
          <w:sz w:val="24"/>
          <w:szCs w:val="24"/>
          <w:highlight w:val="none"/>
        </w:rPr>
        <w:t>、评标</w:t>
      </w:r>
    </w:p>
    <w:p w14:paraId="0C9136D3">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.1本采购项目的评标依据为</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和</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w:t>
      </w:r>
    </w:p>
    <w:p w14:paraId="7116D7A3">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.2评标工作将采取</w:t>
      </w:r>
      <w:r>
        <w:rPr>
          <w:rFonts w:hint="eastAsia" w:asciiTheme="minorEastAsia" w:hAnsiTheme="minorEastAsia" w:eastAsiaTheme="minorEastAsia" w:cstheme="minorEastAsia"/>
          <w:color w:val="auto"/>
          <w:sz w:val="24"/>
          <w:szCs w:val="24"/>
          <w:highlight w:val="none"/>
          <w:u w:val="single"/>
        </w:rPr>
        <w:t>封闭方式</w:t>
      </w:r>
      <w:r>
        <w:rPr>
          <w:rFonts w:hint="eastAsia" w:asciiTheme="minorEastAsia" w:hAnsiTheme="minorEastAsia" w:eastAsiaTheme="minorEastAsia" w:cstheme="minorEastAsia"/>
          <w:color w:val="auto"/>
          <w:sz w:val="24"/>
          <w:szCs w:val="24"/>
          <w:highlight w:val="none"/>
        </w:rPr>
        <w:t>进行，</w:t>
      </w:r>
      <w:r>
        <w:rPr>
          <w:rFonts w:hint="eastAsia" w:asciiTheme="minorEastAsia" w:hAnsiTheme="minorEastAsia" w:eastAsiaTheme="minorEastAsia" w:cstheme="minorEastAsia"/>
          <w:color w:val="auto"/>
          <w:sz w:val="24"/>
          <w:szCs w:val="24"/>
          <w:highlight w:val="none"/>
          <w:lang w:eastAsia="zh-CN"/>
        </w:rPr>
        <w:t>磋商小组</w:t>
      </w:r>
      <w:r>
        <w:rPr>
          <w:rFonts w:hint="eastAsia" w:asciiTheme="minorEastAsia" w:hAnsiTheme="minorEastAsia" w:eastAsiaTheme="minorEastAsia" w:cstheme="minorEastAsia"/>
          <w:color w:val="auto"/>
          <w:sz w:val="24"/>
          <w:szCs w:val="24"/>
          <w:highlight w:val="none"/>
        </w:rPr>
        <w:t>成员和有关工作人员不得透露对</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的评审、比较和成交人的</w:t>
      </w:r>
      <w:r>
        <w:rPr>
          <w:rFonts w:hint="eastAsia" w:asciiTheme="minorEastAsia" w:hAnsiTheme="minorEastAsia" w:eastAsiaTheme="minorEastAsia" w:cstheme="minorEastAsia"/>
          <w:color w:val="auto"/>
          <w:sz w:val="24"/>
          <w:szCs w:val="24"/>
          <w:highlight w:val="none"/>
          <w:lang w:eastAsia="zh-CN"/>
        </w:rPr>
        <w:t>确定</w:t>
      </w:r>
      <w:r>
        <w:rPr>
          <w:rFonts w:hint="eastAsia" w:asciiTheme="minorEastAsia" w:hAnsiTheme="minorEastAsia" w:eastAsiaTheme="minorEastAsia" w:cstheme="minorEastAsia"/>
          <w:color w:val="auto"/>
          <w:sz w:val="24"/>
          <w:szCs w:val="24"/>
          <w:highlight w:val="none"/>
        </w:rPr>
        <w:t>情况以及与评标有关的其他情况。</w:t>
      </w:r>
    </w:p>
    <w:p w14:paraId="382C474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在评标过程中，所进行的力图影响评标结果公正性的活动，将可能导致其成交资格被取消。</w:t>
      </w:r>
    </w:p>
    <w:p w14:paraId="3D16075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磋商小组成员按照客观、公正、审慎的原则，根据磋商文件规定的评审程序、评审方法和评审标准进行独立评审。</w:t>
      </w:r>
    </w:p>
    <w:p w14:paraId="609470D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17.4</w:t>
      </w:r>
      <w:r>
        <w:rPr>
          <w:rFonts w:hint="eastAsia" w:asciiTheme="minorEastAsia" w:hAnsiTheme="minorEastAsia" w:eastAsiaTheme="minorEastAsia" w:cstheme="minorEastAsia"/>
          <w:color w:val="auto"/>
          <w:sz w:val="24"/>
          <w:szCs w:val="24"/>
          <w:highlight w:val="none"/>
        </w:rPr>
        <w:t>.1响应文件</w:t>
      </w:r>
      <w:r>
        <w:rPr>
          <w:rFonts w:hint="eastAsia" w:asciiTheme="minorEastAsia" w:hAnsiTheme="minorEastAsia" w:eastAsiaTheme="minorEastAsia" w:cstheme="minorEastAsia"/>
          <w:color w:val="auto"/>
          <w:sz w:val="24"/>
          <w:szCs w:val="24"/>
          <w:highlight w:val="none"/>
          <w:lang w:val="en-US" w:eastAsia="zh-CN"/>
        </w:rPr>
        <w:t>线上资格评审</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资格评审</w:t>
      </w:r>
      <w:r>
        <w:rPr>
          <w:rFonts w:hint="eastAsia" w:asciiTheme="minorEastAsia" w:hAnsiTheme="minorEastAsia" w:eastAsiaTheme="minorEastAsia" w:cstheme="minorEastAsia"/>
          <w:color w:val="auto"/>
          <w:sz w:val="24"/>
          <w:szCs w:val="24"/>
          <w:highlight w:val="none"/>
        </w:rPr>
        <w:t>分为资格性审查和符合性审查。</w:t>
      </w:r>
    </w:p>
    <w:p w14:paraId="7EE4DBE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资格性检查。依据法律法规和竞争性磋商文件的规定对响应文件的资质证明、磋商保证金等进行审查，以确定供应商是否具备竞标资格。它所涉及到的主要文件和内容为磋商文件供应商须知第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条、第1</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条所述的资格证明文件内容和签</w:t>
      </w:r>
      <w:r>
        <w:rPr>
          <w:rFonts w:hint="eastAsia" w:asciiTheme="minorEastAsia" w:hAnsiTheme="minorEastAsia" w:eastAsiaTheme="minorEastAsia" w:cstheme="minorEastAsia"/>
          <w:color w:val="auto"/>
          <w:sz w:val="24"/>
          <w:szCs w:val="24"/>
          <w:highlight w:val="none"/>
          <w:lang w:val="en-US" w:eastAsia="zh-CN"/>
        </w:rPr>
        <w:t>署、盖</w:t>
      </w:r>
      <w:r>
        <w:rPr>
          <w:rFonts w:hint="eastAsia" w:asciiTheme="minorEastAsia" w:hAnsiTheme="minorEastAsia" w:eastAsiaTheme="minorEastAsia" w:cstheme="minorEastAsia"/>
          <w:color w:val="auto"/>
          <w:sz w:val="24"/>
          <w:szCs w:val="24"/>
          <w:highlight w:val="none"/>
        </w:rPr>
        <w:t>章的合格性、合法性等（注：其中信用查询规则见“</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须知前附表”，“</w:t>
      </w:r>
      <w:r>
        <w:rPr>
          <w:rFonts w:hint="eastAsia" w:asciiTheme="minorEastAsia" w:hAnsiTheme="minorEastAsia" w:eastAsiaTheme="minorEastAsia" w:cstheme="minorEastAsia"/>
          <w:color w:val="auto"/>
          <w:sz w:val="24"/>
          <w:szCs w:val="24"/>
          <w:highlight w:val="none"/>
          <w:lang w:eastAsia="zh-CN"/>
        </w:rPr>
        <w:t>广西政采云</w:t>
      </w:r>
      <w:r>
        <w:rPr>
          <w:rFonts w:hint="eastAsia" w:asciiTheme="minorEastAsia" w:hAnsiTheme="minorEastAsia" w:eastAsiaTheme="minorEastAsia" w:cstheme="minorEastAsia"/>
          <w:color w:val="auto"/>
          <w:sz w:val="24"/>
          <w:szCs w:val="24"/>
          <w:highlight w:val="none"/>
        </w:rPr>
        <w:t>”平台已与“信用中国”</w:t>
      </w:r>
      <w:r>
        <w:rPr>
          <w:rFonts w:hint="eastAsia" w:asciiTheme="minorEastAsia" w:hAnsiTheme="minorEastAsia" w:eastAsiaTheme="minorEastAsia" w:cstheme="minorEastAsia"/>
          <w:color w:val="auto"/>
          <w:sz w:val="24"/>
          <w:szCs w:val="24"/>
          <w:highlight w:val="none"/>
          <w:lang w:val="en-US" w:eastAsia="zh-CN"/>
        </w:rPr>
        <w:t>和“中国政府采购网”</w:t>
      </w:r>
      <w:r>
        <w:rPr>
          <w:rFonts w:hint="eastAsia" w:asciiTheme="minorEastAsia" w:hAnsiTheme="minorEastAsia" w:eastAsiaTheme="minorEastAsia" w:cstheme="minorEastAsia"/>
          <w:color w:val="auto"/>
          <w:sz w:val="24"/>
          <w:szCs w:val="24"/>
          <w:highlight w:val="none"/>
        </w:rPr>
        <w:t>平台做接口，</w:t>
      </w:r>
      <w:r>
        <w:rPr>
          <w:rFonts w:hint="eastAsia" w:asciiTheme="minorEastAsia" w:hAnsiTheme="minorEastAsia" w:eastAsiaTheme="minorEastAsia" w:cstheme="minorEastAsia"/>
          <w:color w:val="auto"/>
          <w:sz w:val="24"/>
          <w:szCs w:val="24"/>
          <w:highlight w:val="none"/>
          <w:lang w:val="en-US" w:eastAsia="zh-CN"/>
        </w:rPr>
        <w:t>磋商小组</w:t>
      </w:r>
      <w:r>
        <w:rPr>
          <w:rFonts w:hint="eastAsia" w:asciiTheme="minorEastAsia" w:hAnsiTheme="minorEastAsia" w:eastAsiaTheme="minorEastAsia" w:cstheme="minorEastAsia"/>
          <w:color w:val="auto"/>
          <w:sz w:val="24"/>
          <w:szCs w:val="24"/>
          <w:highlight w:val="none"/>
        </w:rPr>
        <w:t>可直接在线查询）。如果供应商不具备竞标资格，不满足磋商文件所规定的资格标准或提供资格证明文件不全的，其竞标将被拒绝。</w:t>
      </w:r>
    </w:p>
    <w:p w14:paraId="5687CEE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0C7DC30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 出现下列情况之一的，视为未实质性响应磋商文件的响应文件，按无效响应处理。</w:t>
      </w:r>
    </w:p>
    <w:p w14:paraId="41FBC17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 响应文件未按本须知第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条、第</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条规定进行编制、签署、盖章的；</w:t>
      </w:r>
    </w:p>
    <w:p w14:paraId="19D037C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 未按本须知第</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条规定提交必须提供且有效的证明文件的；</w:t>
      </w:r>
    </w:p>
    <w:p w14:paraId="11AB878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 未按有关要求提交或足额提交磋商保证金的；</w:t>
      </w:r>
    </w:p>
    <w:p w14:paraId="72D31D6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 磋商有效期不满足磋商文件要求的；</w:t>
      </w:r>
    </w:p>
    <w:p w14:paraId="06EB463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 响应文件的关键内容字迹模糊、无法辨认的；</w:t>
      </w:r>
    </w:p>
    <w:p w14:paraId="2B03A820">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⑥供应商提交的是可选择的报价的，或最后报价超过采购预算价的；</w:t>
      </w:r>
    </w:p>
    <w:p w14:paraId="340127B2">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⑦竞标内容与采购内容及要求存在重大偏离或保留的（如严重背离采购需求、合同协议要求等）；</w:t>
      </w:r>
    </w:p>
    <w:p w14:paraId="5EC61CF9">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⑧ 响应文件中提供虚假或失实资料的；</w:t>
      </w:r>
    </w:p>
    <w:p w14:paraId="6FC0205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⑨ 不符合有关法律、法规和磋商文件中规定的其他实质性条款。</w:t>
      </w:r>
    </w:p>
    <w:p w14:paraId="6CA663B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.2澄清有关问题。</w:t>
      </w:r>
    </w:p>
    <w:p w14:paraId="1F59B0B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98EC40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(2)磋商小组要求供应商澄清、说明或者更正响应文件应当以</w:t>
      </w:r>
      <w:r>
        <w:rPr>
          <w:rFonts w:hint="eastAsia" w:asciiTheme="minorEastAsia" w:hAnsiTheme="minorEastAsia" w:eastAsiaTheme="minorEastAsia" w:cstheme="minorEastAsia"/>
          <w:color w:val="auto"/>
          <w:sz w:val="24"/>
          <w:szCs w:val="24"/>
          <w:highlight w:val="none"/>
          <w:lang w:val="en-US" w:eastAsia="zh-CN"/>
        </w:rPr>
        <w:t>在线询标</w:t>
      </w:r>
      <w:r>
        <w:rPr>
          <w:rFonts w:hint="eastAsia" w:asciiTheme="minorEastAsia" w:hAnsiTheme="minorEastAsia" w:eastAsiaTheme="minorEastAsia" w:cstheme="minorEastAsia"/>
          <w:color w:val="auto"/>
          <w:sz w:val="24"/>
          <w:szCs w:val="24"/>
          <w:highlight w:val="none"/>
        </w:rPr>
        <w:t>形式作出。供应商的澄清、说明或者更正应当由法定代表人或委托代理人签名或盖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公章。由授权代表签字的，应当附法定代表人授权书。</w:t>
      </w:r>
    </w:p>
    <w:p w14:paraId="3422A28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(3)响应文件如果出现计算或表达上的错误，修正错误的原则如下：</w:t>
      </w:r>
    </w:p>
    <w:p w14:paraId="17C018BB">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 响应文件中《</w:t>
      </w:r>
      <w:r>
        <w:rPr>
          <w:rFonts w:hint="eastAsia" w:asciiTheme="minorEastAsia" w:hAnsiTheme="minorEastAsia" w:eastAsiaTheme="minorEastAsia" w:cstheme="minorEastAsia"/>
          <w:color w:val="auto"/>
          <w:sz w:val="24"/>
          <w:szCs w:val="24"/>
          <w:highlight w:val="none"/>
          <w:lang w:val="en-US" w:eastAsia="zh-CN"/>
        </w:rPr>
        <w:t>磋商函附录</w:t>
      </w:r>
      <w:r>
        <w:rPr>
          <w:rFonts w:hint="eastAsia" w:asciiTheme="minorEastAsia" w:hAnsiTheme="minorEastAsia" w:eastAsiaTheme="minorEastAsia" w:cstheme="minorEastAsia"/>
          <w:color w:val="auto"/>
          <w:sz w:val="24"/>
          <w:szCs w:val="24"/>
          <w:highlight w:val="none"/>
        </w:rPr>
        <w:t>》与《</w:t>
      </w:r>
      <w:r>
        <w:rPr>
          <w:rFonts w:hint="eastAsia" w:asciiTheme="minorEastAsia" w:hAnsiTheme="minorEastAsia" w:eastAsiaTheme="minorEastAsia" w:cstheme="minorEastAsia"/>
          <w:color w:val="auto"/>
          <w:sz w:val="24"/>
          <w:szCs w:val="24"/>
          <w:highlight w:val="none"/>
          <w:lang w:eastAsia="zh-CN"/>
        </w:rPr>
        <w:t>磋商函</w:t>
      </w:r>
      <w:r>
        <w:rPr>
          <w:rFonts w:hint="eastAsia" w:asciiTheme="minorEastAsia" w:hAnsiTheme="minorEastAsia" w:eastAsiaTheme="minorEastAsia" w:cstheme="minorEastAsia"/>
          <w:color w:val="auto"/>
          <w:sz w:val="24"/>
          <w:szCs w:val="24"/>
          <w:highlight w:val="none"/>
        </w:rPr>
        <w:t>》内容不一致的，以《</w:t>
      </w:r>
      <w:r>
        <w:rPr>
          <w:rFonts w:hint="eastAsia" w:asciiTheme="minorEastAsia" w:hAnsiTheme="minorEastAsia" w:eastAsiaTheme="minorEastAsia" w:cstheme="minorEastAsia"/>
          <w:color w:val="auto"/>
          <w:sz w:val="24"/>
          <w:szCs w:val="24"/>
          <w:highlight w:val="none"/>
          <w:lang w:val="en-US" w:eastAsia="zh-CN"/>
        </w:rPr>
        <w:t>磋商函附录</w:t>
      </w:r>
      <w:r>
        <w:rPr>
          <w:rFonts w:hint="eastAsia" w:asciiTheme="minorEastAsia" w:hAnsiTheme="minorEastAsia" w:eastAsiaTheme="minorEastAsia" w:cstheme="minorEastAsia"/>
          <w:color w:val="auto"/>
          <w:sz w:val="24"/>
          <w:szCs w:val="24"/>
          <w:highlight w:val="none"/>
        </w:rPr>
        <w:t>》为准。</w:t>
      </w:r>
    </w:p>
    <w:p w14:paraId="039FEBA9">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 响应文件的大写金额和小写金额不一致的，以大写金额为准；</w:t>
      </w:r>
    </w:p>
    <w:p w14:paraId="6844B5B7">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 总价金额与按单价汇总金额不一致的，以单价金额计算结果为准；</w:t>
      </w:r>
    </w:p>
    <w:p w14:paraId="569AC03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 单价金额小数点有明显错位的，应以总价为准，并修改单价；</w:t>
      </w:r>
    </w:p>
    <w:p w14:paraId="151E7469">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 对不同文字文本响应文件的解释发生异议的，以中文文本为准。</w:t>
      </w:r>
    </w:p>
    <w:p w14:paraId="3A5537E4">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7BC92F43">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磋商过程。</w:t>
      </w:r>
    </w:p>
    <w:p w14:paraId="5396A31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(1)磋商小组所有成员集中与单一供应商分别进行磋商（最多三轮），磋商的内容包括技术条件、商务性条件及磋商小组认为需要磋商的内容。</w:t>
      </w:r>
    </w:p>
    <w:p w14:paraId="748475D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(2)在磋商过程中，磋商小组可以根据磋商文件和磋商情况实质性变动项目需求中的技术、服务要求以及合同草案条款，但不得变动磋商文件中的其他内容。实质性变动的内容，须经采购人代表确认。</w:t>
      </w:r>
    </w:p>
    <w:p w14:paraId="7E9C4B2F">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(3)对磋商文件作出的实质性变动是磋商文件的有效组成部分，磋商小组应当及时以</w:t>
      </w:r>
      <w:r>
        <w:rPr>
          <w:rFonts w:hint="eastAsia" w:asciiTheme="minorEastAsia" w:hAnsiTheme="minorEastAsia" w:eastAsiaTheme="minorEastAsia" w:cstheme="minorEastAsia"/>
          <w:color w:val="auto"/>
          <w:sz w:val="24"/>
          <w:szCs w:val="24"/>
          <w:highlight w:val="none"/>
          <w:lang w:val="en-US" w:eastAsia="zh-CN"/>
        </w:rPr>
        <w:t>在线询标/澄清</w:t>
      </w:r>
      <w:r>
        <w:rPr>
          <w:rFonts w:hint="eastAsia" w:asciiTheme="minorEastAsia" w:hAnsiTheme="minorEastAsia" w:eastAsiaTheme="minorEastAsia" w:cstheme="minorEastAsia"/>
          <w:color w:val="auto"/>
          <w:sz w:val="24"/>
          <w:szCs w:val="24"/>
          <w:highlight w:val="none"/>
        </w:rPr>
        <w:t>形式同时通知所有参加磋商的供应商。</w:t>
      </w:r>
    </w:p>
    <w:p w14:paraId="66481EEA">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(4)供应商应当按照磋商文件的变动情况和磋商小组的要求重新提交</w:t>
      </w:r>
      <w:r>
        <w:rPr>
          <w:rFonts w:hint="eastAsia" w:asciiTheme="minorEastAsia" w:hAnsiTheme="minorEastAsia" w:eastAsiaTheme="minorEastAsia" w:cstheme="minorEastAsia"/>
          <w:color w:val="auto"/>
          <w:sz w:val="24"/>
          <w:szCs w:val="24"/>
          <w:highlight w:val="none"/>
          <w:lang w:val="en-US" w:eastAsia="zh-CN"/>
        </w:rPr>
        <w:t>应答</w:t>
      </w:r>
      <w:r>
        <w:rPr>
          <w:rFonts w:hint="eastAsia" w:asciiTheme="minorEastAsia" w:hAnsiTheme="minorEastAsia" w:eastAsiaTheme="minorEastAsia" w:cstheme="minorEastAsia"/>
          <w:color w:val="auto"/>
          <w:sz w:val="24"/>
          <w:szCs w:val="24"/>
          <w:highlight w:val="none"/>
        </w:rPr>
        <w:t>文件，并由其法定代表人或委托代理人签名或盖</w:t>
      </w:r>
      <w:r>
        <w:rPr>
          <w:rFonts w:hint="eastAsia" w:asciiTheme="minorEastAsia" w:hAnsiTheme="minorEastAsia" w:eastAsiaTheme="minorEastAsia" w:cstheme="minorEastAsia"/>
          <w:color w:val="auto"/>
          <w:sz w:val="24"/>
          <w:szCs w:val="24"/>
          <w:highlight w:val="none"/>
          <w:lang w:val="en-US" w:eastAsia="zh-CN"/>
        </w:rPr>
        <w:t>电子</w:t>
      </w:r>
      <w:r>
        <w:rPr>
          <w:rFonts w:hint="eastAsia" w:asciiTheme="minorEastAsia" w:hAnsiTheme="minorEastAsia" w:eastAsiaTheme="minorEastAsia" w:cstheme="minorEastAsia"/>
          <w:color w:val="auto"/>
          <w:sz w:val="24"/>
          <w:szCs w:val="24"/>
          <w:highlight w:val="none"/>
        </w:rPr>
        <w:t>公章。由授权代表签字的，应当附法定代表人授权书。</w:t>
      </w:r>
    </w:p>
    <w:p w14:paraId="4D0BDE6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)供应商未在通知的时间内到达现场参加磋商的，或未提交书面说明退出磋商的，或未在规定时间内提交</w:t>
      </w:r>
      <w:r>
        <w:rPr>
          <w:rFonts w:hint="eastAsia" w:asciiTheme="minorEastAsia" w:hAnsiTheme="minorEastAsia" w:eastAsiaTheme="minorEastAsia" w:cstheme="minorEastAsia"/>
          <w:color w:val="auto"/>
          <w:sz w:val="24"/>
          <w:szCs w:val="24"/>
          <w:highlight w:val="none"/>
          <w:lang w:val="en-US" w:eastAsia="zh-CN"/>
        </w:rPr>
        <w:t>在线</w:t>
      </w:r>
      <w:r>
        <w:rPr>
          <w:rFonts w:hint="eastAsia" w:asciiTheme="minorEastAsia" w:hAnsiTheme="minorEastAsia" w:eastAsiaTheme="minorEastAsia" w:cstheme="minorEastAsia"/>
          <w:color w:val="auto"/>
          <w:sz w:val="24"/>
          <w:szCs w:val="24"/>
          <w:highlight w:val="none"/>
        </w:rPr>
        <w:t>应答文件和最后报价的，视为供应商自动放弃磋商。</w:t>
      </w:r>
    </w:p>
    <w:p w14:paraId="5F2D529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)最终磋商结束后，磋商小组不得再与供应商进行任何形式的商谈。磋商的任何一方不得透露与磋商有关的其他供应商的技术资料、价格和其他信息。</w:t>
      </w:r>
    </w:p>
    <w:p w14:paraId="5D789A61">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.4磋商小组对竞标人资格性和竞标文件符合性审查。磋商小组只接受通过资格性和符合性审查竞标人在规定时间（10分钟）内进行磋商最终总报价。</w:t>
      </w:r>
    </w:p>
    <w:p w14:paraId="2522ECC6">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.5比较与评价。经磋商确定最终采购需求和提交最后报价的供应商后，由磋商小组采用综合评分法（详见第</w:t>
      </w:r>
      <w:r>
        <w:rPr>
          <w:rFonts w:hint="eastAsia" w:asciiTheme="minorEastAsia" w:hAnsiTheme="minorEastAsia" w:eastAsiaTheme="minorEastAsia" w:cstheme="minorEastAsia"/>
          <w:color w:val="auto"/>
          <w:sz w:val="24"/>
          <w:szCs w:val="24"/>
          <w:highlight w:val="none"/>
          <w:lang w:val="en-US" w:eastAsia="zh-CN"/>
        </w:rPr>
        <w:t>八</w:t>
      </w:r>
      <w:r>
        <w:rPr>
          <w:rFonts w:hint="eastAsia" w:asciiTheme="minorEastAsia" w:hAnsiTheme="minorEastAsia" w:eastAsiaTheme="minorEastAsia" w:cstheme="minorEastAsia"/>
          <w:color w:val="auto"/>
          <w:sz w:val="24"/>
          <w:szCs w:val="24"/>
          <w:highlight w:val="none"/>
        </w:rPr>
        <w:t>章）对提交最后报价的供应商的响应文件和最后报价进行综合评分。</w:t>
      </w:r>
    </w:p>
    <w:p w14:paraId="5559D678">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.6推荐成交候选人名单及编写评审报告。磋商小组根据综合评分情况，按照评分办法的成交标准及成交候选人推荐原则依次推荐成交候选人名单，并根据磋商过程和结果编写评审报告。</w:t>
      </w:r>
    </w:p>
    <w:p w14:paraId="1B913545">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评审会纪律</w:t>
      </w:r>
    </w:p>
    <w:p w14:paraId="4EDF7DBE">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.1评审过程的保密性。磋商小组成员、有关工作人员及其他知情人不得透露对响应文件评审、比较、成交候选人的推荐情况以及与评审有关的其他情况。</w:t>
      </w:r>
    </w:p>
    <w:p w14:paraId="006C508C">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.2在磋商评审期间，供应商试图影响采购人和磋商小组的任何活动，将导致其报价被拒绝，并承担相应的法律责任。</w:t>
      </w:r>
    </w:p>
    <w:p w14:paraId="3F104183">
      <w:pPr>
        <w:pStyle w:val="11"/>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、拒绝接收</w:t>
      </w:r>
    </w:p>
    <w:p w14:paraId="3C248508">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18</w:t>
      </w:r>
      <w:r>
        <w:rPr>
          <w:rFonts w:hint="eastAsia" w:asciiTheme="minorEastAsia" w:hAnsiTheme="minorEastAsia" w:eastAsiaTheme="minorEastAsia" w:cstheme="minorEastAsia"/>
          <w:color w:val="auto"/>
          <w:sz w:val="24"/>
          <w:szCs w:val="24"/>
          <w:highlight w:val="none"/>
        </w:rPr>
        <w:t>.1属下列情形之一的，采购机构应当拒绝接收磋商供应商的响应文件：</w:t>
      </w:r>
    </w:p>
    <w:p w14:paraId="38908DAE">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（1）在本章第</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.1项规定的投标截止时间之后送达的；</w:t>
      </w:r>
    </w:p>
    <w:p w14:paraId="2265C337">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（2）未送达至本章第</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项指定的递交响应文件地点的；</w:t>
      </w:r>
    </w:p>
    <w:p w14:paraId="3EDD8479">
      <w:pPr>
        <w:pStyle w:val="37"/>
        <w:spacing w:line="400" w:lineRule="exact"/>
        <w:outlineLvl w:val="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、无效的响应文件</w:t>
      </w:r>
    </w:p>
    <w:p w14:paraId="625C5AF9">
      <w:pPr>
        <w:widowControl/>
        <w:spacing w:line="400" w:lineRule="exact"/>
        <w:ind w:firstLine="4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.1响应文件如有下列情况之一，将会在评标中视为无效文件处理：</w:t>
      </w:r>
    </w:p>
    <w:p w14:paraId="1ED706B5">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未按照磋商文件规定要求密封、签署、盖章的；</w:t>
      </w:r>
    </w:p>
    <w:p w14:paraId="233C60AA">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不具备磋商文件中规定资格要求的；</w:t>
      </w:r>
    </w:p>
    <w:p w14:paraId="43AEB2E3">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未交应交磋商保证金的或未按磋商文件要求缴纳磋商保证金的；</w:t>
      </w:r>
    </w:p>
    <w:p w14:paraId="1219DBA3">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磋商供应商报价超出了采购预算价的；</w:t>
      </w:r>
    </w:p>
    <w:p w14:paraId="5FA26B32">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不符磋商文件中规定的其它实质性要求并且在磋商规定内时间无法说明和补充的；</w:t>
      </w:r>
    </w:p>
    <w:p w14:paraId="2C324A3D">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未按磋商文件中提出实质性要求和条件作出完全响应的；</w:t>
      </w:r>
    </w:p>
    <w:p w14:paraId="39B5BDC0">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不同供应商的响应文件由同一单位或者个人编制的；</w:t>
      </w:r>
    </w:p>
    <w:p w14:paraId="681B846F">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不同供应商委托同一单位或者个人办理竞标事宜的；</w:t>
      </w:r>
    </w:p>
    <w:p w14:paraId="0AE39FF5">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不同供应商的响应文件异常一致或者磋商报价呈规律性差异；</w:t>
      </w:r>
    </w:p>
    <w:p w14:paraId="77232FA5">
      <w:pPr>
        <w:widowControl/>
        <w:numPr>
          <w:ilvl w:val="0"/>
          <w:numId w:val="6"/>
        </w:numPr>
        <w:spacing w:line="400" w:lineRule="exact"/>
        <w:ind w:left="840" w:hanging="420"/>
        <w:jc w:val="left"/>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不同供应商的磋商保证金从同一单位或者个人的</w:t>
      </w:r>
      <w:r>
        <w:rPr>
          <w:rFonts w:hint="eastAsia" w:asciiTheme="minorEastAsia" w:hAnsiTheme="minorEastAsia" w:eastAsiaTheme="minorEastAsia" w:cstheme="minorEastAsia"/>
          <w:bCs/>
          <w:color w:val="auto"/>
          <w:sz w:val="24"/>
          <w:szCs w:val="24"/>
          <w:highlight w:val="none"/>
          <w:lang w:val="en-US" w:eastAsia="zh-CN"/>
        </w:rPr>
        <w:t>银行</w:t>
      </w:r>
      <w:r>
        <w:rPr>
          <w:rFonts w:hint="eastAsia" w:asciiTheme="minorEastAsia" w:hAnsiTheme="minorEastAsia" w:eastAsiaTheme="minorEastAsia" w:cstheme="minorEastAsia"/>
          <w:bCs/>
          <w:color w:val="auto"/>
          <w:sz w:val="24"/>
          <w:szCs w:val="24"/>
          <w:highlight w:val="none"/>
        </w:rPr>
        <w:t>账户转；</w:t>
      </w:r>
    </w:p>
    <w:p w14:paraId="593F924D">
      <w:pPr>
        <w:pStyle w:val="37"/>
        <w:spacing w:line="400" w:lineRule="exact"/>
        <w:outlineLvl w:val="3"/>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20</w:t>
      </w:r>
      <w:r>
        <w:rPr>
          <w:rFonts w:hint="eastAsia" w:asciiTheme="minorEastAsia" w:hAnsiTheme="minorEastAsia" w:eastAsiaTheme="minorEastAsia" w:cstheme="minorEastAsia"/>
          <w:b/>
          <w:color w:val="auto"/>
          <w:sz w:val="24"/>
          <w:szCs w:val="24"/>
          <w:highlight w:val="none"/>
        </w:rPr>
        <w:t>、废标</w:t>
      </w:r>
    </w:p>
    <w:p w14:paraId="01CBD1A0">
      <w:pPr>
        <w:pStyle w:val="11"/>
        <w:spacing w:line="400" w:lineRule="exac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　　</w:t>
      </w:r>
      <w:r>
        <w:rPr>
          <w:rFonts w:hint="eastAsia" w:asciiTheme="minorEastAsia" w:hAnsiTheme="minorEastAsia" w:eastAsiaTheme="minorEastAsia" w:cstheme="minorEastAsia"/>
          <w:b/>
          <w:bCs/>
          <w:color w:val="auto"/>
          <w:sz w:val="24"/>
          <w:szCs w:val="24"/>
          <w:highlight w:val="none"/>
          <w:lang w:val="en-US" w:eastAsia="zh-CN"/>
        </w:rPr>
        <w:t>20</w:t>
      </w:r>
      <w:r>
        <w:rPr>
          <w:rFonts w:hint="eastAsia" w:asciiTheme="minorEastAsia" w:hAnsiTheme="minorEastAsia" w:eastAsiaTheme="minorEastAsia" w:cstheme="minorEastAsia"/>
          <w:b/>
          <w:bCs/>
          <w:color w:val="auto"/>
          <w:sz w:val="24"/>
          <w:szCs w:val="24"/>
          <w:highlight w:val="none"/>
        </w:rPr>
        <w:t>.1磋商采购项目出现下列情形之一的，采购代理机构将予以废标：</w:t>
      </w:r>
    </w:p>
    <w:p w14:paraId="09D06D33">
      <w:pPr>
        <w:pStyle w:val="11"/>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(1)出现影响采购公正的违法、违规行为的；</w:t>
      </w:r>
    </w:p>
    <w:p w14:paraId="56C0BE3E">
      <w:pPr>
        <w:pStyle w:val="11"/>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(2)所有服务商的报价均超过了采购预算，采购人不能支付的；</w:t>
      </w:r>
    </w:p>
    <w:p w14:paraId="4349A564">
      <w:pPr>
        <w:pStyle w:val="11"/>
        <w:spacing w:line="440" w:lineRule="exact"/>
        <w:ind w:firstLine="42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(3)因重大变故，采购任务取消的；</w:t>
      </w:r>
    </w:p>
    <w:p w14:paraId="46423AD7">
      <w:pPr>
        <w:pStyle w:val="11"/>
        <w:spacing w:line="440" w:lineRule="exact"/>
        <w:ind w:firstLine="42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(4)磋商文件存在不合理条款的，竞争性磋商公告时间及程序不符合规定的；</w:t>
      </w:r>
    </w:p>
    <w:p w14:paraId="06D596AA">
      <w:pPr>
        <w:pStyle w:val="11"/>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.2如本次项目废标后，采购代理机构将把废标理由通知所有磋商供应商。</w:t>
      </w:r>
    </w:p>
    <w:p w14:paraId="17F3E325">
      <w:pPr>
        <w:pStyle w:val="37"/>
        <w:spacing w:line="400" w:lineRule="exact"/>
        <w:outlineLvl w:val="3"/>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21、重新招标</w:t>
      </w:r>
    </w:p>
    <w:p w14:paraId="57A38811">
      <w:pPr>
        <w:pStyle w:val="11"/>
        <w:numPr>
          <w:ilvl w:val="0"/>
          <w:numId w:val="0"/>
        </w:num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21.1 经磋商小组评审后，认为所有竞标均不符合竞争性磋商采购文件要求，可以否决所有竞标。所有竞标被否决后，采购人将依法重新招标。</w:t>
      </w:r>
    </w:p>
    <w:p w14:paraId="3E22B672">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b w:val="0"/>
          <w:bCs w:val="0"/>
          <w:color w:val="auto"/>
          <w:sz w:val="24"/>
          <w:szCs w:val="24"/>
          <w:highlight w:val="none"/>
          <w:lang w:val="en-US" w:eastAsia="zh-CN"/>
        </w:rPr>
        <w:t>21.2重新招标后竞标人仍少于三个或者所有竞标被否决的，属于必须审批或核准的工程建设项目，经原审批或核准部门批准后不再进行招标</w:t>
      </w:r>
      <w:bookmarkStart w:id="65" w:name="_Toc459103904"/>
      <w:r>
        <w:rPr>
          <w:rFonts w:hint="eastAsia" w:asciiTheme="minorEastAsia" w:hAnsiTheme="minorEastAsia" w:eastAsiaTheme="minorEastAsia" w:cstheme="minorEastAsia"/>
          <w:b w:val="0"/>
          <w:bCs w:val="0"/>
          <w:color w:val="auto"/>
          <w:sz w:val="24"/>
          <w:szCs w:val="24"/>
          <w:highlight w:val="none"/>
          <w:lang w:val="en-US" w:eastAsia="zh-CN"/>
        </w:rPr>
        <w:t>。</w:t>
      </w:r>
    </w:p>
    <w:p w14:paraId="1C53C264">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66" w:name="_Toc495"/>
      <w:r>
        <w:rPr>
          <w:rFonts w:hint="eastAsia" w:asciiTheme="minorEastAsia" w:hAnsiTheme="minorEastAsia" w:eastAsiaTheme="minorEastAsia" w:cstheme="minorEastAsia"/>
          <w:color w:val="auto"/>
          <w:sz w:val="24"/>
          <w:szCs w:val="24"/>
          <w:highlight w:val="none"/>
        </w:rPr>
        <w:t>七、签订合同</w:t>
      </w:r>
      <w:bookmarkEnd w:id="65"/>
      <w:bookmarkEnd w:id="66"/>
    </w:p>
    <w:p w14:paraId="32162469">
      <w:pPr>
        <w:pStyle w:val="11"/>
        <w:spacing w:line="400" w:lineRule="exact"/>
        <w:outlineLvl w:val="2"/>
        <w:rPr>
          <w:rFonts w:hint="eastAsia" w:asciiTheme="minorEastAsia" w:hAnsiTheme="minorEastAsia" w:eastAsiaTheme="minorEastAsia" w:cstheme="minorEastAsia"/>
          <w:b/>
          <w:color w:val="auto"/>
          <w:sz w:val="24"/>
          <w:szCs w:val="24"/>
          <w:highlight w:val="none"/>
        </w:rPr>
      </w:pPr>
      <w:bookmarkStart w:id="67" w:name="_Toc7205"/>
      <w:bookmarkStart w:id="68" w:name="_Toc1798"/>
      <w:r>
        <w:rPr>
          <w:rFonts w:hint="eastAsia" w:asciiTheme="minorEastAsia" w:hAnsiTheme="minorEastAsia" w:eastAsiaTheme="minorEastAsia" w:cstheme="minorEastAsia"/>
          <w:b/>
          <w:color w:val="auto"/>
          <w:sz w:val="24"/>
          <w:szCs w:val="24"/>
          <w:highlight w:val="none"/>
          <w:lang w:val="en-US" w:eastAsia="zh-CN"/>
        </w:rPr>
        <w:t>22</w:t>
      </w:r>
      <w:r>
        <w:rPr>
          <w:rFonts w:hint="eastAsia" w:asciiTheme="minorEastAsia" w:hAnsiTheme="minorEastAsia" w:eastAsiaTheme="minorEastAsia" w:cstheme="minorEastAsia"/>
          <w:b/>
          <w:color w:val="auto"/>
          <w:sz w:val="24"/>
          <w:szCs w:val="24"/>
          <w:highlight w:val="none"/>
        </w:rPr>
        <w:t>.成交结果</w:t>
      </w:r>
      <w:bookmarkEnd w:id="67"/>
      <w:r>
        <w:rPr>
          <w:rFonts w:hint="eastAsia" w:asciiTheme="minorEastAsia" w:hAnsiTheme="minorEastAsia" w:eastAsiaTheme="minorEastAsia" w:cstheme="minorEastAsia"/>
          <w:b/>
          <w:color w:val="auto"/>
          <w:sz w:val="24"/>
          <w:szCs w:val="24"/>
          <w:highlight w:val="none"/>
        </w:rPr>
        <w:t>公告</w:t>
      </w:r>
      <w:bookmarkEnd w:id="68"/>
    </w:p>
    <w:p w14:paraId="63CCBC3F">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69" w:name="_Toc5678"/>
      <w:bookmarkStart w:id="70" w:name="_Toc15082"/>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.1采购代理机构在磋商工作完成后2日内将磋商报告送采购人，采购人确认后，成交结果公告将在</w:t>
      </w:r>
      <w:r>
        <w:rPr>
          <w:rFonts w:hint="eastAsia" w:asciiTheme="minorEastAsia" w:hAnsiTheme="minorEastAsia" w:eastAsiaTheme="minorEastAsia" w:cstheme="minorEastAsia"/>
          <w:bCs/>
          <w:color w:val="auto"/>
          <w:sz w:val="24"/>
          <w:szCs w:val="24"/>
          <w:highlight w:val="none"/>
          <w:lang w:eastAsia="zh-CN"/>
        </w:rPr>
        <w:t>发布本项目竞争性磋商公告的同一网站上发布</w:t>
      </w:r>
      <w:r>
        <w:rPr>
          <w:rFonts w:hint="eastAsia" w:asciiTheme="minorEastAsia" w:hAnsiTheme="minorEastAsia" w:eastAsiaTheme="minorEastAsia" w:cstheme="minorEastAsia"/>
          <w:bCs/>
          <w:color w:val="auto"/>
          <w:sz w:val="24"/>
          <w:szCs w:val="24"/>
          <w:highlight w:val="none"/>
        </w:rPr>
        <w:t>。</w:t>
      </w:r>
      <w:bookmarkEnd w:id="69"/>
      <w:bookmarkEnd w:id="70"/>
    </w:p>
    <w:p w14:paraId="2F849375">
      <w:pPr>
        <w:pStyle w:val="11"/>
        <w:spacing w:line="400" w:lineRule="exact"/>
        <w:ind w:firstLine="420"/>
        <w:rPr>
          <w:rFonts w:hint="eastAsia" w:asciiTheme="minorEastAsia" w:hAnsiTheme="minorEastAsia" w:eastAsiaTheme="minorEastAsia" w:cstheme="minorEastAsia"/>
          <w:bCs/>
          <w:color w:val="auto"/>
          <w:sz w:val="24"/>
          <w:szCs w:val="24"/>
          <w:highlight w:val="none"/>
          <w:lang w:eastAsia="zh-CN"/>
        </w:rPr>
      </w:pPr>
      <w:bookmarkStart w:id="71" w:name="_Toc29884"/>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.2成交结果公告期限为1个工作日，发布</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结果公告的同时向</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供应商发出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通知书。采购代理机构发出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通知书前，应当对</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人信用进行核实，对列入失信被执行人、重大税收违法案件当事人名单、政府采购严重违法失信行为记录名单及其他不符合《中华人民共和国政府采购法》第二十二条规定条件的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bCs/>
          <w:color w:val="auto"/>
          <w:sz w:val="24"/>
          <w:szCs w:val="24"/>
          <w:highlight w:val="none"/>
          <w:lang w:val="en-US" w:eastAsia="zh-CN"/>
        </w:rPr>
        <w:t>竞</w:t>
      </w:r>
      <w:r>
        <w:rPr>
          <w:rFonts w:hint="eastAsia" w:asciiTheme="minorEastAsia" w:hAnsiTheme="minorEastAsia" w:eastAsiaTheme="minorEastAsia" w:cstheme="minorEastAsia"/>
          <w:bCs/>
          <w:color w:val="auto"/>
          <w:sz w:val="24"/>
          <w:szCs w:val="24"/>
          <w:highlight w:val="none"/>
        </w:rPr>
        <w:t>标人，取消其</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资格，并确定排名第二的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人。排名第二的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候选人因前款规定的同样原因被取消</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资格的，授权的</w:t>
      </w:r>
      <w:r>
        <w:rPr>
          <w:rFonts w:hint="eastAsia" w:asciiTheme="minorEastAsia" w:hAnsiTheme="minorEastAsia" w:eastAsiaTheme="minorEastAsia" w:cstheme="minorEastAsia"/>
          <w:bCs/>
          <w:color w:val="auto"/>
          <w:sz w:val="24"/>
          <w:szCs w:val="24"/>
          <w:highlight w:val="none"/>
          <w:lang w:val="en-US" w:eastAsia="zh-CN"/>
        </w:rPr>
        <w:t>磋商小组</w:t>
      </w:r>
      <w:r>
        <w:rPr>
          <w:rFonts w:hint="eastAsia" w:asciiTheme="minorEastAsia" w:hAnsiTheme="minorEastAsia" w:eastAsiaTheme="minorEastAsia" w:cstheme="minorEastAsia"/>
          <w:bCs/>
          <w:color w:val="auto"/>
          <w:sz w:val="24"/>
          <w:szCs w:val="24"/>
          <w:highlight w:val="none"/>
        </w:rPr>
        <w:t>可以确定排名第三的</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候选人为</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人，以此类推。以上信息查询记录及相关证据与采购文件一并保存</w:t>
      </w:r>
      <w:r>
        <w:rPr>
          <w:rFonts w:hint="eastAsia" w:asciiTheme="minorEastAsia" w:hAnsiTheme="minorEastAsia" w:eastAsiaTheme="minorEastAsia" w:cstheme="minorEastAsia"/>
          <w:bCs/>
          <w:color w:val="auto"/>
          <w:sz w:val="24"/>
          <w:szCs w:val="24"/>
          <w:highlight w:val="none"/>
          <w:lang w:eastAsia="zh-CN"/>
        </w:rPr>
        <w:t>。</w:t>
      </w:r>
    </w:p>
    <w:p w14:paraId="643192F5">
      <w:pPr>
        <w:pStyle w:val="11"/>
        <w:spacing w:line="400" w:lineRule="exact"/>
        <w:ind w:firstLine="42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1362622A">
      <w:pPr>
        <w:pStyle w:val="11"/>
        <w:spacing w:line="400" w:lineRule="exact"/>
        <w:ind w:firstLine="4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22.4</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认为成交结果使自己的权益受到损害的，可以在成交结果公告期限届满之日起7个工作日内以书面形式向采购人或受托代理机构提出质疑，逾期将不再受理</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color w:val="auto"/>
          <w:sz w:val="24"/>
          <w:szCs w:val="24"/>
          <w:highlight w:val="none"/>
        </w:rPr>
        <w:t>采购人或受托代理机构</w:t>
      </w:r>
      <w:r>
        <w:rPr>
          <w:rFonts w:hint="eastAsia" w:asciiTheme="minorEastAsia" w:hAnsiTheme="minorEastAsia" w:eastAsiaTheme="minorEastAsia" w:cstheme="minorEastAsia"/>
          <w:bCs/>
          <w:color w:val="auto"/>
          <w:sz w:val="24"/>
          <w:szCs w:val="24"/>
          <w:highlight w:val="none"/>
        </w:rPr>
        <w:t>在收到</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的书面质疑后7个工作日内做出答复，但答复的内容不得涉及商业秘密。</w:t>
      </w:r>
      <w:bookmarkEnd w:id="71"/>
    </w:p>
    <w:p w14:paraId="1CC04460">
      <w:pPr>
        <w:pStyle w:val="11"/>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22</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质疑和投诉书面要求:</w:t>
      </w:r>
    </w:p>
    <w:p w14:paraId="47FD88CB">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质疑人或投诉人的单位名称或姓名、详细地址、邮政编码、联系电话等；</w:t>
      </w:r>
    </w:p>
    <w:p w14:paraId="50856BB0">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被质疑人或被投诉人的单位名称或姓名等；</w:t>
      </w:r>
    </w:p>
    <w:p w14:paraId="0FEC4503">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质疑或投诉的事实及理由；</w:t>
      </w:r>
    </w:p>
    <w:p w14:paraId="3C2EEC6F">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有关违规违法的情况和有效证明材料；</w:t>
      </w:r>
    </w:p>
    <w:p w14:paraId="0895CA36">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质疑人或投诉人的签章及质疑或投诉时间；</w:t>
      </w:r>
    </w:p>
    <w:p w14:paraId="22F4B990">
      <w:pPr>
        <w:pStyle w:val="11"/>
        <w:numPr>
          <w:ilvl w:val="0"/>
          <w:numId w:val="7"/>
        </w:numPr>
        <w:spacing w:line="400" w:lineRule="exact"/>
        <w:ind w:firstLine="4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质疑书递交方式：质疑人的法定代表人凭本人身份证原件或授权委托代理人凭法定代表人授权委托书原件和本人身份证原件同时持质疑书原件递交至</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r>
        <w:rPr>
          <w:rFonts w:hint="eastAsia" w:asciiTheme="minorEastAsia" w:hAnsiTheme="minorEastAsia" w:eastAsiaTheme="minorEastAsia" w:cstheme="minorEastAsia"/>
          <w:color w:val="auto"/>
          <w:sz w:val="24"/>
          <w:szCs w:val="24"/>
          <w:highlight w:val="none"/>
        </w:rPr>
        <w:t>。</w:t>
      </w:r>
    </w:p>
    <w:p w14:paraId="337D9CB5">
      <w:pPr>
        <w:pStyle w:val="11"/>
        <w:numPr>
          <w:ilvl w:val="0"/>
          <w:numId w:val="7"/>
        </w:numPr>
        <w:spacing w:line="400" w:lineRule="exact"/>
        <w:ind w:firstLine="42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color w:val="auto"/>
          <w:sz w:val="24"/>
          <w:szCs w:val="24"/>
          <w:highlight w:val="none"/>
        </w:rPr>
        <w:t>如不按规定质疑或投诉的，视为无效投诉，不予采理</w:t>
      </w:r>
      <w:r>
        <w:rPr>
          <w:rFonts w:hint="eastAsia" w:asciiTheme="minorEastAsia" w:hAnsiTheme="minorEastAsia" w:eastAsiaTheme="minorEastAsia" w:cstheme="minorEastAsia"/>
          <w:color w:val="auto"/>
          <w:sz w:val="24"/>
          <w:szCs w:val="24"/>
          <w:highlight w:val="none"/>
          <w:lang w:eastAsia="zh-CN"/>
        </w:rPr>
        <w:t>。</w:t>
      </w:r>
    </w:p>
    <w:p w14:paraId="35484C7F">
      <w:pPr>
        <w:pStyle w:val="11"/>
        <w:spacing w:line="400" w:lineRule="exact"/>
        <w:ind w:firstLine="480" w:firstLineChars="200"/>
        <w:outlineLvl w:val="2"/>
        <w:rPr>
          <w:rFonts w:hint="eastAsia" w:asciiTheme="minorEastAsia" w:hAnsiTheme="minorEastAsia" w:eastAsiaTheme="minorEastAsia" w:cstheme="minorEastAsia"/>
          <w:b/>
          <w:bCs/>
          <w:color w:val="auto"/>
          <w:sz w:val="24"/>
          <w:szCs w:val="24"/>
          <w:highlight w:val="none"/>
        </w:rPr>
      </w:pPr>
      <w:bookmarkStart w:id="72" w:name="_Toc8756"/>
      <w:bookmarkStart w:id="73" w:name="_Toc15621"/>
      <w:r>
        <w:rPr>
          <w:rFonts w:hint="eastAsia" w:asciiTheme="minorEastAsia" w:hAnsiTheme="minorEastAsia" w:eastAsiaTheme="minorEastAsia" w:cstheme="minorEastAsia"/>
          <w:bCs/>
          <w:color w:val="auto"/>
          <w:sz w:val="24"/>
          <w:szCs w:val="24"/>
          <w:highlight w:val="none"/>
          <w:lang w:val="en-US" w:eastAsia="zh-CN"/>
        </w:rPr>
        <w:t>22</w:t>
      </w:r>
      <w:r>
        <w:rPr>
          <w:rFonts w:hint="eastAsia" w:asciiTheme="minorEastAsia" w:hAnsiTheme="minorEastAsia" w:eastAsiaTheme="minorEastAsia" w:cstheme="minorEastAsia"/>
          <w:bCs/>
          <w:color w:val="auto"/>
          <w:sz w:val="24"/>
          <w:szCs w:val="24"/>
          <w:highlight w:val="none"/>
        </w:rPr>
        <w:t>.</w:t>
      </w:r>
      <w:r>
        <w:rPr>
          <w:rFonts w:hint="eastAsia" w:asciiTheme="minorEastAsia" w:hAnsiTheme="minorEastAsia" w:eastAsiaTheme="minorEastAsia" w:cstheme="minorEastAsia"/>
          <w:bCs/>
          <w:color w:val="auto"/>
          <w:sz w:val="24"/>
          <w:szCs w:val="24"/>
          <w:highlight w:val="none"/>
          <w:lang w:val="en-US" w:eastAsia="zh-CN"/>
        </w:rPr>
        <w:t>6</w:t>
      </w:r>
      <w:r>
        <w:rPr>
          <w:rFonts w:hint="eastAsia" w:asciiTheme="minorEastAsia" w:hAnsiTheme="minorEastAsia" w:eastAsiaTheme="minorEastAsia" w:cstheme="minorEastAsia"/>
          <w:bCs/>
          <w:color w:val="auto"/>
          <w:sz w:val="24"/>
          <w:szCs w:val="24"/>
          <w:highlight w:val="none"/>
        </w:rPr>
        <w:t>质疑</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必须首先经过质疑程序，在对采购代理机构的答复不满意或者采购代理机构未在规定的时间内做出答复的，可以在答复期满后15个工作日内书面向同级政府采购监督管理部门投诉。</w:t>
      </w:r>
      <w:bookmarkEnd w:id="72"/>
      <w:bookmarkEnd w:id="73"/>
    </w:p>
    <w:p w14:paraId="29FAE6C3">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23</w:t>
      </w:r>
      <w:r>
        <w:rPr>
          <w:rFonts w:hint="eastAsia" w:asciiTheme="minorEastAsia" w:hAnsiTheme="minorEastAsia" w:eastAsiaTheme="minorEastAsia" w:cstheme="minorEastAsia"/>
          <w:b/>
          <w:bCs/>
          <w:color w:val="auto"/>
          <w:sz w:val="24"/>
          <w:szCs w:val="24"/>
          <w:highlight w:val="none"/>
        </w:rPr>
        <w:t>、成交通知</w:t>
      </w:r>
    </w:p>
    <w:p w14:paraId="5D0A624E">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74" w:name="_Toc30837"/>
      <w:bookmarkStart w:id="75" w:name="_Toc15907"/>
      <w:r>
        <w:rPr>
          <w:rFonts w:hint="eastAsia" w:asciiTheme="minorEastAsia" w:hAnsiTheme="minorEastAsia" w:eastAsiaTheme="minorEastAsia" w:cstheme="minorEastAsia"/>
          <w:bCs/>
          <w:color w:val="auto"/>
          <w:sz w:val="24"/>
          <w:szCs w:val="24"/>
          <w:highlight w:val="none"/>
          <w:lang w:val="en-US" w:eastAsia="zh-CN"/>
        </w:rPr>
        <w:t>23</w:t>
      </w:r>
      <w:r>
        <w:rPr>
          <w:rFonts w:hint="eastAsia" w:asciiTheme="minorEastAsia" w:hAnsiTheme="minorEastAsia" w:eastAsiaTheme="minorEastAsia" w:cstheme="minorEastAsia"/>
          <w:bCs/>
          <w:color w:val="auto"/>
          <w:sz w:val="24"/>
          <w:szCs w:val="24"/>
          <w:highlight w:val="none"/>
        </w:rPr>
        <w:t>.1采购代理机构在发布</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公告的同时，采购代理机构向</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人通过“</w:t>
      </w:r>
      <w:r>
        <w:rPr>
          <w:rFonts w:hint="eastAsia" w:asciiTheme="minorEastAsia" w:hAnsiTheme="minorEastAsia" w:eastAsiaTheme="minorEastAsia" w:cstheme="minorEastAsia"/>
          <w:bCs/>
          <w:color w:val="auto"/>
          <w:sz w:val="24"/>
          <w:szCs w:val="24"/>
          <w:highlight w:val="none"/>
          <w:lang w:eastAsia="zh-CN"/>
        </w:rPr>
        <w:t>广西政采云</w:t>
      </w:r>
      <w:r>
        <w:rPr>
          <w:rFonts w:hint="eastAsia" w:asciiTheme="minorEastAsia" w:hAnsiTheme="minorEastAsia" w:eastAsiaTheme="minorEastAsia" w:cstheme="minorEastAsia"/>
          <w:bCs/>
          <w:color w:val="auto"/>
          <w:sz w:val="24"/>
          <w:szCs w:val="24"/>
          <w:highlight w:val="none"/>
        </w:rPr>
        <w:t>”平台发出电子中标通知书。</w:t>
      </w:r>
      <w:bookmarkEnd w:id="74"/>
      <w:bookmarkEnd w:id="75"/>
    </w:p>
    <w:p w14:paraId="27C23F99">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lang w:eastAsia="zh-CN"/>
        </w:rPr>
      </w:pPr>
      <w:bookmarkStart w:id="76" w:name="_Toc9442"/>
      <w:bookmarkStart w:id="77" w:name="_Toc28429"/>
      <w:r>
        <w:rPr>
          <w:rFonts w:hint="eastAsia" w:asciiTheme="minorEastAsia" w:hAnsiTheme="minorEastAsia" w:eastAsiaTheme="minorEastAsia" w:cstheme="minorEastAsia"/>
          <w:bCs/>
          <w:color w:val="auto"/>
          <w:sz w:val="24"/>
          <w:szCs w:val="24"/>
          <w:highlight w:val="none"/>
          <w:lang w:val="en-US" w:eastAsia="zh-CN"/>
        </w:rPr>
        <w:t>23</w:t>
      </w:r>
      <w:r>
        <w:rPr>
          <w:rFonts w:hint="eastAsia" w:asciiTheme="minorEastAsia" w:hAnsiTheme="minorEastAsia" w:eastAsiaTheme="minorEastAsia" w:cstheme="minorEastAsia"/>
          <w:bCs/>
          <w:color w:val="auto"/>
          <w:sz w:val="24"/>
          <w:szCs w:val="24"/>
          <w:highlight w:val="none"/>
        </w:rPr>
        <w:t>.2对未通过资格审查的</w:t>
      </w:r>
      <w:r>
        <w:rPr>
          <w:rFonts w:hint="eastAsia" w:asciiTheme="minorEastAsia" w:hAnsiTheme="minorEastAsia" w:eastAsiaTheme="minorEastAsia" w:cstheme="minorEastAsia"/>
          <w:bCs/>
          <w:color w:val="auto"/>
          <w:sz w:val="24"/>
          <w:szCs w:val="24"/>
          <w:highlight w:val="none"/>
          <w:lang w:val="en-US" w:eastAsia="zh-CN"/>
        </w:rPr>
        <w:t>竞</w:t>
      </w:r>
      <w:r>
        <w:rPr>
          <w:rFonts w:hint="eastAsia" w:asciiTheme="minorEastAsia" w:hAnsiTheme="minorEastAsia" w:eastAsiaTheme="minorEastAsia" w:cstheme="minorEastAsia"/>
          <w:bCs/>
          <w:color w:val="auto"/>
          <w:sz w:val="24"/>
          <w:szCs w:val="24"/>
          <w:highlight w:val="none"/>
        </w:rPr>
        <w:t>标人，采购人或采购机构应当告知其未通过的原因；采用综合评分办法评审的，采购人或采购机构还应当告知未</w:t>
      </w:r>
      <w:r>
        <w:rPr>
          <w:rFonts w:hint="eastAsia" w:asciiTheme="minorEastAsia" w:hAnsiTheme="minorEastAsia" w:eastAsiaTheme="minorEastAsia" w:cstheme="minorEastAsia"/>
          <w:bCs/>
          <w:color w:val="auto"/>
          <w:sz w:val="24"/>
          <w:szCs w:val="24"/>
          <w:highlight w:val="none"/>
          <w:lang w:val="en-US" w:eastAsia="zh-CN"/>
        </w:rPr>
        <w:t>成交</w:t>
      </w:r>
      <w:r>
        <w:rPr>
          <w:rFonts w:hint="eastAsia" w:asciiTheme="minorEastAsia" w:hAnsiTheme="minorEastAsia" w:eastAsiaTheme="minorEastAsia" w:cstheme="minorEastAsia"/>
          <w:bCs/>
          <w:color w:val="auto"/>
          <w:sz w:val="24"/>
          <w:szCs w:val="24"/>
          <w:highlight w:val="none"/>
        </w:rPr>
        <w:t>人本人的评审得分与排序</w:t>
      </w:r>
      <w:r>
        <w:rPr>
          <w:rFonts w:hint="eastAsia" w:asciiTheme="minorEastAsia" w:hAnsiTheme="minorEastAsia" w:eastAsiaTheme="minorEastAsia" w:cstheme="minorEastAsia"/>
          <w:bCs/>
          <w:color w:val="auto"/>
          <w:sz w:val="24"/>
          <w:szCs w:val="24"/>
          <w:highlight w:val="none"/>
          <w:lang w:eastAsia="zh-CN"/>
        </w:rPr>
        <w:t>。</w:t>
      </w:r>
      <w:bookmarkEnd w:id="76"/>
    </w:p>
    <w:p w14:paraId="3F03936D">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78" w:name="_Toc28971"/>
      <w:r>
        <w:rPr>
          <w:rFonts w:hint="eastAsia" w:asciiTheme="minorEastAsia" w:hAnsiTheme="minorEastAsia" w:eastAsiaTheme="minorEastAsia" w:cstheme="minorEastAsia"/>
          <w:bCs/>
          <w:color w:val="auto"/>
          <w:sz w:val="24"/>
          <w:szCs w:val="24"/>
          <w:highlight w:val="none"/>
          <w:lang w:val="en-US" w:eastAsia="zh-CN"/>
        </w:rPr>
        <w:t>23.3</w:t>
      </w:r>
      <w:r>
        <w:rPr>
          <w:rFonts w:hint="eastAsia" w:asciiTheme="minorEastAsia" w:hAnsiTheme="minorEastAsia" w:eastAsiaTheme="minorEastAsia" w:cstheme="minorEastAsia"/>
          <w:bCs/>
          <w:color w:val="auto"/>
          <w:sz w:val="24"/>
          <w:szCs w:val="24"/>
          <w:highlight w:val="none"/>
        </w:rPr>
        <w:t>采购代理机构无义务向落标的</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解释落标原因和退还</w:t>
      </w:r>
      <w:r>
        <w:rPr>
          <w:rFonts w:hint="eastAsia" w:asciiTheme="minorEastAsia" w:hAnsiTheme="minorEastAsia" w:eastAsiaTheme="minorEastAsia" w:cstheme="minorEastAsia"/>
          <w:bCs/>
          <w:color w:val="auto"/>
          <w:sz w:val="24"/>
          <w:szCs w:val="24"/>
          <w:highlight w:val="none"/>
          <w:lang w:eastAsia="zh-CN"/>
        </w:rPr>
        <w:t>《响应文件》</w:t>
      </w:r>
      <w:r>
        <w:rPr>
          <w:rFonts w:hint="eastAsia" w:asciiTheme="minorEastAsia" w:hAnsiTheme="minorEastAsia" w:eastAsiaTheme="minorEastAsia" w:cstheme="minorEastAsia"/>
          <w:bCs/>
          <w:color w:val="auto"/>
          <w:sz w:val="24"/>
          <w:szCs w:val="24"/>
          <w:highlight w:val="none"/>
        </w:rPr>
        <w:t>。</w:t>
      </w:r>
      <w:bookmarkEnd w:id="77"/>
      <w:bookmarkEnd w:id="78"/>
    </w:p>
    <w:p w14:paraId="557248D4">
      <w:pPr>
        <w:pStyle w:val="11"/>
        <w:spacing w:line="400" w:lineRule="exact"/>
        <w:outlineLvl w:val="2"/>
        <w:rPr>
          <w:rFonts w:hint="eastAsia" w:asciiTheme="minorEastAsia" w:hAnsiTheme="minorEastAsia" w:eastAsiaTheme="minorEastAsia" w:cstheme="minorEastAsia"/>
          <w:bCs/>
          <w:color w:val="auto"/>
          <w:sz w:val="24"/>
          <w:szCs w:val="24"/>
          <w:highlight w:val="none"/>
        </w:rPr>
      </w:pPr>
      <w:bookmarkStart w:id="79" w:name="_Toc14897"/>
      <w:bookmarkStart w:id="80" w:name="_Toc16088"/>
      <w:bookmarkStart w:id="81" w:name="_Toc17903"/>
      <w:r>
        <w:rPr>
          <w:rFonts w:hint="eastAsia" w:asciiTheme="minorEastAsia" w:hAnsiTheme="minorEastAsia" w:eastAsiaTheme="minorEastAsia" w:cstheme="minorEastAsia"/>
          <w:b/>
          <w:color w:val="auto"/>
          <w:sz w:val="24"/>
          <w:szCs w:val="24"/>
          <w:highlight w:val="none"/>
          <w:lang w:val="en-US" w:eastAsia="zh-CN"/>
        </w:rPr>
        <w:t>24</w:t>
      </w:r>
      <w:r>
        <w:rPr>
          <w:rFonts w:hint="eastAsia" w:asciiTheme="minorEastAsia" w:hAnsiTheme="minorEastAsia" w:eastAsiaTheme="minorEastAsia" w:cstheme="minorEastAsia"/>
          <w:b/>
          <w:color w:val="auto"/>
          <w:sz w:val="24"/>
          <w:szCs w:val="24"/>
          <w:highlight w:val="none"/>
        </w:rPr>
        <w:t>.合同授予标准</w:t>
      </w:r>
      <w:bookmarkEnd w:id="79"/>
      <w:bookmarkEnd w:id="80"/>
    </w:p>
    <w:p w14:paraId="00FBB5E3">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rPr>
      </w:pPr>
      <w:bookmarkStart w:id="82" w:name="_Toc1836"/>
      <w:r>
        <w:rPr>
          <w:rFonts w:hint="eastAsia" w:asciiTheme="minorEastAsia" w:hAnsiTheme="minorEastAsia" w:eastAsiaTheme="minorEastAsia" w:cstheme="minorEastAsia"/>
          <w:bCs/>
          <w:color w:val="auto"/>
          <w:sz w:val="24"/>
          <w:szCs w:val="24"/>
          <w:highlight w:val="none"/>
          <w:lang w:val="en-US" w:eastAsia="zh-CN"/>
        </w:rPr>
        <w:t>24</w:t>
      </w:r>
      <w:r>
        <w:rPr>
          <w:rFonts w:hint="eastAsia" w:asciiTheme="minorEastAsia" w:hAnsiTheme="minorEastAsia" w:eastAsiaTheme="minorEastAsia" w:cstheme="minorEastAsia"/>
          <w:bCs/>
          <w:color w:val="auto"/>
          <w:sz w:val="24"/>
          <w:szCs w:val="24"/>
          <w:highlight w:val="none"/>
        </w:rPr>
        <w:t>.1合同将授予被确定为实质上响应</w:t>
      </w:r>
      <w:r>
        <w:rPr>
          <w:rFonts w:hint="eastAsia" w:asciiTheme="minorEastAsia" w:hAnsiTheme="minorEastAsia" w:eastAsiaTheme="minorEastAsia" w:cstheme="minorEastAsia"/>
          <w:bCs/>
          <w:color w:val="auto"/>
          <w:sz w:val="24"/>
          <w:szCs w:val="24"/>
          <w:highlight w:val="none"/>
          <w:lang w:eastAsia="zh-CN"/>
        </w:rPr>
        <w:t>《竞争性磋商文件》</w:t>
      </w:r>
      <w:r>
        <w:rPr>
          <w:rFonts w:hint="eastAsia" w:asciiTheme="minorEastAsia" w:hAnsiTheme="minorEastAsia" w:eastAsiaTheme="minorEastAsia" w:cstheme="minorEastAsia"/>
          <w:bCs/>
          <w:color w:val="auto"/>
          <w:sz w:val="24"/>
          <w:szCs w:val="24"/>
          <w:highlight w:val="none"/>
        </w:rPr>
        <w:t>要求，评标认为具备履行合同能力，获得综合评分最高的</w:t>
      </w:r>
      <w:r>
        <w:rPr>
          <w:rFonts w:hint="eastAsia" w:asciiTheme="minorEastAsia" w:hAnsiTheme="minorEastAsia" w:eastAsiaTheme="minorEastAsia" w:cstheme="minorEastAsia"/>
          <w:bCs/>
          <w:color w:val="auto"/>
          <w:sz w:val="24"/>
          <w:szCs w:val="24"/>
          <w:highlight w:val="none"/>
          <w:lang w:eastAsia="zh-CN"/>
        </w:rPr>
        <w:t>磋商供应商</w:t>
      </w:r>
      <w:r>
        <w:rPr>
          <w:rFonts w:hint="eastAsia" w:asciiTheme="minorEastAsia" w:hAnsiTheme="minorEastAsia" w:eastAsiaTheme="minorEastAsia" w:cstheme="minorEastAsia"/>
          <w:bCs/>
          <w:color w:val="auto"/>
          <w:sz w:val="24"/>
          <w:szCs w:val="24"/>
          <w:highlight w:val="none"/>
        </w:rPr>
        <w:t>。</w:t>
      </w:r>
      <w:bookmarkEnd w:id="81"/>
      <w:bookmarkEnd w:id="82"/>
    </w:p>
    <w:p w14:paraId="56CB1AC7">
      <w:pPr>
        <w:pStyle w:val="11"/>
        <w:spacing w:line="400" w:lineRule="exact"/>
        <w:ind w:firstLine="480" w:firstLineChars="200"/>
        <w:outlineLvl w:val="2"/>
        <w:rPr>
          <w:rFonts w:hint="eastAsia" w:asciiTheme="minorEastAsia" w:hAnsiTheme="minorEastAsia" w:eastAsiaTheme="minorEastAsia" w:cstheme="minorEastAsia"/>
          <w:bCs/>
          <w:color w:val="auto"/>
          <w:sz w:val="24"/>
          <w:szCs w:val="24"/>
          <w:highlight w:val="none"/>
          <w:lang w:val="en-US" w:eastAsia="zh-CN"/>
        </w:rPr>
      </w:pPr>
      <w:bookmarkStart w:id="83" w:name="_Toc22962"/>
      <w:bookmarkStart w:id="84" w:name="_Toc21249"/>
      <w:r>
        <w:rPr>
          <w:rFonts w:hint="eastAsia" w:asciiTheme="minorEastAsia" w:hAnsiTheme="minorEastAsia" w:eastAsiaTheme="minorEastAsia" w:cstheme="minorEastAsia"/>
          <w:bCs/>
          <w:color w:val="auto"/>
          <w:sz w:val="24"/>
          <w:szCs w:val="24"/>
          <w:highlight w:val="none"/>
          <w:lang w:val="en-US" w:eastAsia="zh-CN"/>
        </w:rPr>
        <w:t>24</w:t>
      </w:r>
      <w:r>
        <w:rPr>
          <w:rFonts w:hint="eastAsia" w:asciiTheme="minorEastAsia" w:hAnsiTheme="minorEastAsia" w:eastAsiaTheme="minorEastAsia" w:cstheme="minorEastAsia"/>
          <w:bCs/>
          <w:color w:val="auto"/>
          <w:sz w:val="24"/>
          <w:szCs w:val="24"/>
          <w:highlight w:val="none"/>
        </w:rPr>
        <w:t>.2采购人应按照评标报告中推荐的成交候选人顺序确定成交人，也可授权磋商小组直接确定成交人。</w:t>
      </w:r>
      <w:bookmarkEnd w:id="83"/>
      <w:r>
        <w:rPr>
          <w:rFonts w:hint="eastAsia" w:asciiTheme="minorEastAsia" w:hAnsiTheme="minorEastAsia" w:eastAsiaTheme="minorEastAsia" w:cstheme="minorEastAsia"/>
          <w:bCs/>
          <w:color w:val="auto"/>
          <w:sz w:val="24"/>
          <w:szCs w:val="24"/>
          <w:highlight w:val="none"/>
          <w:lang w:val="en-US" w:eastAsia="zh-CN"/>
        </w:rPr>
        <w:t>本项目授权</w:t>
      </w:r>
      <w:r>
        <w:rPr>
          <w:rFonts w:hint="eastAsia" w:asciiTheme="minorEastAsia" w:hAnsiTheme="minorEastAsia" w:eastAsiaTheme="minorEastAsia" w:cstheme="minorEastAsia"/>
          <w:bCs/>
          <w:color w:val="auto"/>
          <w:sz w:val="24"/>
          <w:szCs w:val="24"/>
          <w:highlight w:val="none"/>
        </w:rPr>
        <w:t>磋商小组直接确定成交</w:t>
      </w:r>
      <w:r>
        <w:rPr>
          <w:rFonts w:hint="eastAsia" w:asciiTheme="minorEastAsia" w:hAnsiTheme="minorEastAsia" w:eastAsiaTheme="minorEastAsia" w:cstheme="minorEastAsia"/>
          <w:bCs/>
          <w:color w:val="auto"/>
          <w:sz w:val="24"/>
          <w:szCs w:val="24"/>
          <w:highlight w:val="none"/>
          <w:lang w:val="en-US" w:eastAsia="zh-CN"/>
        </w:rPr>
        <w:t>供应商</w:t>
      </w:r>
      <w:r>
        <w:rPr>
          <w:rFonts w:hint="eastAsia" w:asciiTheme="minorEastAsia" w:hAnsiTheme="minorEastAsia" w:eastAsiaTheme="minorEastAsia" w:cstheme="minorEastAsia"/>
          <w:bCs/>
          <w:color w:val="auto"/>
          <w:sz w:val="24"/>
          <w:szCs w:val="24"/>
          <w:highlight w:val="none"/>
          <w:lang w:eastAsia="zh-CN"/>
        </w:rPr>
        <w:t>。</w:t>
      </w:r>
      <w:bookmarkEnd w:id="84"/>
    </w:p>
    <w:p w14:paraId="22ACDCD2">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、签订合同</w:t>
      </w:r>
    </w:p>
    <w:p w14:paraId="0713247E">
      <w:pPr>
        <w:pStyle w:val="11"/>
        <w:spacing w:line="360" w:lineRule="exact"/>
        <w:ind w:firstLine="480" w:firstLineChars="200"/>
        <w:rPr>
          <w:rFonts w:hint="eastAsia" w:asciiTheme="minorEastAsia" w:hAnsiTheme="minorEastAsia" w:eastAsiaTheme="minorEastAsia" w:cstheme="minorEastAsia"/>
          <w:color w:val="auto"/>
          <w:sz w:val="24"/>
          <w:szCs w:val="24"/>
          <w:highlight w:val="none"/>
        </w:rPr>
      </w:pPr>
      <w:bookmarkStart w:id="85" w:name="_Toc459103905"/>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人领取电子</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通知书后，按成交通知书中规定的时间、地点与采购人签订合同。</w:t>
      </w:r>
    </w:p>
    <w:p w14:paraId="4262C9B2">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.2如成交人不按成交通知书的规定签订合同（采购人原因除外），则按成交人违约处理，本代理将取消该成交决定，不予退还该成交人的磋商保证金，成交人应当依法承担法律责任。</w:t>
      </w:r>
      <w:r>
        <w:rPr>
          <w:rFonts w:hint="eastAsia" w:asciiTheme="minorEastAsia" w:hAnsiTheme="minorEastAsia" w:eastAsiaTheme="minorEastAsia" w:cstheme="minorEastAsia"/>
          <w:color w:val="auto"/>
          <w:sz w:val="24"/>
          <w:szCs w:val="24"/>
          <w:highlight w:val="none"/>
          <w:lang w:eastAsia="zh-CN"/>
        </w:rPr>
        <w:t>如采购人无正当理由拒签合同的，给</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供应商造成损失的，</w:t>
      </w: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lang w:eastAsia="zh-CN"/>
        </w:rPr>
        <w:t>供应商可追究采购人承担相应的法律责任。</w:t>
      </w:r>
    </w:p>
    <w:p w14:paraId="6E502643">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.3成交人因不可抗力或者自身原因不能履行政府采购合同的，采购人可以确定排名第二位的成交候选人并与其签订政府采购合同，以此类推</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也可以重新开展政府采购活动</w:t>
      </w:r>
      <w:r>
        <w:rPr>
          <w:rFonts w:hint="eastAsia" w:asciiTheme="minorEastAsia" w:hAnsiTheme="minorEastAsia" w:eastAsiaTheme="minorEastAsia" w:cstheme="minorEastAsia"/>
          <w:color w:val="auto"/>
          <w:sz w:val="24"/>
          <w:szCs w:val="24"/>
          <w:highlight w:val="none"/>
          <w:lang w:eastAsia="zh-CN"/>
        </w:rPr>
        <w:t>。</w:t>
      </w:r>
    </w:p>
    <w:p w14:paraId="2F2BBBAC">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7DD7BD0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5310B1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25.6</w:t>
      </w:r>
      <w:r>
        <w:rPr>
          <w:rFonts w:hint="eastAsia" w:asciiTheme="minorEastAsia" w:hAnsiTheme="minorEastAsia" w:eastAsiaTheme="minorEastAsia" w:cstheme="minorEastAsia"/>
          <w:b/>
          <w:bCs/>
          <w:color w:val="auto"/>
          <w:kern w:val="2"/>
          <w:sz w:val="24"/>
          <w:szCs w:val="24"/>
          <w:highlight w:val="none"/>
          <w:lang w:val="en-US" w:eastAsia="zh-CN" w:bidi="ar-SA"/>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61D337E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216573C">
      <w:pPr>
        <w:pStyle w:val="11"/>
        <w:spacing w:line="400" w:lineRule="exact"/>
        <w:outlineLvl w:val="2"/>
        <w:rPr>
          <w:rFonts w:hint="eastAsia" w:asciiTheme="minorEastAsia" w:hAnsiTheme="minorEastAsia" w:eastAsiaTheme="minorEastAsia" w:cstheme="minorEastAsia"/>
          <w:b/>
          <w:color w:val="auto"/>
          <w:sz w:val="24"/>
          <w:szCs w:val="24"/>
          <w:highlight w:val="none"/>
        </w:rPr>
      </w:pPr>
      <w:bookmarkStart w:id="86" w:name="_Toc5728"/>
      <w:bookmarkStart w:id="87" w:name="_Toc8743"/>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.合同履行中的追加</w:t>
      </w:r>
      <w:bookmarkEnd w:id="86"/>
      <w:bookmarkEnd w:id="87"/>
    </w:p>
    <w:p w14:paraId="27166409">
      <w:pPr>
        <w:pStyle w:val="11"/>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402C3001">
      <w:pPr>
        <w:spacing w:line="390" w:lineRule="exact"/>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27.农民工工资保障金</w:t>
      </w:r>
    </w:p>
    <w:p w14:paraId="50EAD5E9">
      <w:pPr>
        <w:pStyle w:val="3"/>
        <w:spacing w:before="0" w:after="0" w:line="390" w:lineRule="exact"/>
        <w:ind w:firstLine="480" w:firstLineChars="200"/>
        <w:jc w:val="both"/>
        <w:rPr>
          <w:rFonts w:hint="eastAsia" w:asciiTheme="minorEastAsia" w:hAnsiTheme="minorEastAsia" w:eastAsiaTheme="minorEastAsia" w:cstheme="minorEastAsia"/>
          <w:b w:val="0"/>
          <w:color w:val="auto"/>
          <w:kern w:val="2"/>
          <w:sz w:val="24"/>
          <w:szCs w:val="24"/>
          <w:highlight w:val="none"/>
          <w:lang w:val="en-US" w:eastAsia="zh-CN" w:bidi="ar-SA"/>
        </w:rPr>
      </w:pPr>
      <w:bookmarkStart w:id="88" w:name="_Toc23066"/>
      <w:r>
        <w:rPr>
          <w:rFonts w:hint="eastAsia" w:asciiTheme="minorEastAsia" w:hAnsiTheme="minorEastAsia" w:eastAsiaTheme="minorEastAsia" w:cstheme="minorEastAsia"/>
          <w:b w:val="0"/>
          <w:color w:val="auto"/>
          <w:kern w:val="2"/>
          <w:sz w:val="24"/>
          <w:szCs w:val="24"/>
          <w:highlight w:val="none"/>
          <w:lang w:val="en-US" w:eastAsia="zh-CN" w:bidi="ar-SA"/>
        </w:rPr>
        <w:t>27.1</w:t>
      </w:r>
      <w:r>
        <w:rPr>
          <w:rFonts w:hint="eastAsia" w:asciiTheme="minorEastAsia" w:hAnsiTheme="minorEastAsia" w:eastAsiaTheme="minorEastAsia" w:cstheme="minorEastAsia"/>
          <w:b w:val="0"/>
          <w:bCs w:val="0"/>
          <w:color w:val="auto"/>
          <w:sz w:val="24"/>
          <w:szCs w:val="24"/>
          <w:highlight w:val="none"/>
          <w:lang w:val="en-US" w:eastAsia="zh-CN"/>
        </w:rPr>
        <w:t>按合同条款执行</w:t>
      </w:r>
      <w:r>
        <w:rPr>
          <w:rFonts w:hint="eastAsia" w:asciiTheme="minorEastAsia" w:hAnsiTheme="minorEastAsia" w:eastAsiaTheme="minorEastAsia" w:cstheme="minorEastAsia"/>
          <w:b w:val="0"/>
          <w:color w:val="auto"/>
          <w:kern w:val="2"/>
          <w:sz w:val="24"/>
          <w:szCs w:val="24"/>
          <w:highlight w:val="none"/>
          <w:lang w:val="en-US" w:eastAsia="zh-CN" w:bidi="ar-SA"/>
        </w:rPr>
        <w:t>。</w:t>
      </w:r>
      <w:bookmarkEnd w:id="88"/>
    </w:p>
    <w:p w14:paraId="339E35D1">
      <w:pPr>
        <w:pStyle w:val="3"/>
        <w:spacing w:before="0" w:after="0" w:line="390" w:lineRule="exact"/>
        <w:rPr>
          <w:rFonts w:hint="eastAsia" w:asciiTheme="minorEastAsia" w:hAnsiTheme="minorEastAsia" w:eastAsiaTheme="minorEastAsia" w:cstheme="minorEastAsia"/>
          <w:color w:val="auto"/>
          <w:sz w:val="24"/>
          <w:szCs w:val="24"/>
          <w:highlight w:val="none"/>
        </w:rPr>
      </w:pPr>
      <w:bookmarkStart w:id="89" w:name="_Toc7705"/>
      <w:r>
        <w:rPr>
          <w:rFonts w:hint="eastAsia" w:asciiTheme="minorEastAsia" w:hAnsiTheme="minorEastAsia" w:eastAsiaTheme="minorEastAsia" w:cstheme="minorEastAsia"/>
          <w:color w:val="auto"/>
          <w:sz w:val="24"/>
          <w:szCs w:val="24"/>
          <w:highlight w:val="none"/>
        </w:rPr>
        <w:t>八、其他事项</w:t>
      </w:r>
      <w:bookmarkEnd w:id="85"/>
      <w:bookmarkEnd w:id="89"/>
    </w:p>
    <w:p w14:paraId="1CFEE6E8">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2</w:t>
      </w: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、解释权</w:t>
      </w:r>
    </w:p>
    <w:p w14:paraId="5B2EB143">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.1本</w:t>
      </w:r>
      <w:r>
        <w:rPr>
          <w:rFonts w:hint="eastAsia" w:asciiTheme="minorEastAsia" w:hAnsiTheme="minorEastAsia" w:eastAsiaTheme="minorEastAsia" w:cstheme="minorEastAsia"/>
          <w:color w:val="auto"/>
          <w:sz w:val="24"/>
          <w:szCs w:val="24"/>
          <w:highlight w:val="none"/>
          <w:lang w:eastAsia="zh-CN"/>
        </w:rPr>
        <w:t>《竞争性磋商文件》</w:t>
      </w:r>
      <w:r>
        <w:rPr>
          <w:rFonts w:hint="eastAsia" w:asciiTheme="minorEastAsia" w:hAnsiTheme="minorEastAsia" w:eastAsiaTheme="minorEastAsia" w:cstheme="minorEastAsia"/>
          <w:color w:val="auto"/>
          <w:sz w:val="24"/>
          <w:szCs w:val="24"/>
          <w:highlight w:val="none"/>
        </w:rPr>
        <w:t>是根据国家有关法律、法规以及政府采购管理有关规定和参照国际惯例编制，解释权属本采购代理机构。</w:t>
      </w:r>
    </w:p>
    <w:p w14:paraId="7A4F0E7E">
      <w:pPr>
        <w:spacing w:line="390" w:lineRule="exac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w:t>
      </w: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、代理</w:t>
      </w:r>
      <w:r>
        <w:rPr>
          <w:rFonts w:hint="eastAsia" w:asciiTheme="minorEastAsia" w:hAnsiTheme="minorEastAsia" w:eastAsiaTheme="minorEastAsia" w:cstheme="minorEastAsia"/>
          <w:b/>
          <w:color w:val="auto"/>
          <w:sz w:val="24"/>
          <w:szCs w:val="24"/>
          <w:highlight w:val="none"/>
          <w:lang w:eastAsia="zh-CN"/>
        </w:rPr>
        <w:t>服务</w:t>
      </w:r>
      <w:r>
        <w:rPr>
          <w:rFonts w:hint="eastAsia" w:asciiTheme="minorEastAsia" w:hAnsiTheme="minorEastAsia" w:eastAsiaTheme="minorEastAsia" w:cstheme="minorEastAsia"/>
          <w:b/>
          <w:color w:val="auto"/>
          <w:sz w:val="24"/>
          <w:szCs w:val="24"/>
          <w:highlight w:val="none"/>
        </w:rPr>
        <w:t>费</w:t>
      </w:r>
    </w:p>
    <w:p w14:paraId="37B77671">
      <w:pPr>
        <w:spacing w:line="390" w:lineRule="exact"/>
        <w:ind w:firstLine="480" w:firstLineChars="20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29</w:t>
      </w:r>
      <w:r>
        <w:rPr>
          <w:rFonts w:hint="eastAsia" w:asciiTheme="minorEastAsia" w:hAnsiTheme="minorEastAsia" w:eastAsiaTheme="minorEastAsia" w:cstheme="minorEastAsia"/>
          <w:color w:val="auto"/>
          <w:sz w:val="24"/>
          <w:szCs w:val="24"/>
          <w:highlight w:val="none"/>
        </w:rPr>
        <w:t>.1代理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费：根据国家发改办【2003】857号文，代理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费由成交单位交纳，含在磋商报价内，代理</w:t>
      </w: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费金额</w:t>
      </w:r>
      <w:r>
        <w:rPr>
          <w:rFonts w:hint="eastAsia" w:asciiTheme="minorEastAsia" w:hAnsiTheme="minorEastAsia" w:eastAsiaTheme="minorEastAsia" w:cstheme="minorEastAsia"/>
          <w:color w:val="auto"/>
          <w:sz w:val="24"/>
          <w:szCs w:val="24"/>
          <w:highlight w:val="none"/>
          <w:lang w:val="en-US" w:eastAsia="zh-CN"/>
        </w:rPr>
        <w:t>参照</w:t>
      </w:r>
      <w:r>
        <w:rPr>
          <w:rFonts w:hint="eastAsia" w:asciiTheme="minorEastAsia" w:hAnsiTheme="minorEastAsia" w:eastAsiaTheme="minorEastAsia" w:cstheme="minorEastAsia"/>
          <w:color w:val="auto"/>
          <w:sz w:val="24"/>
          <w:szCs w:val="24"/>
          <w:highlight w:val="none"/>
        </w:rPr>
        <w:t>国家计委计价格【2002】1980号文规定的“招标代理服务收费标准”执行。由成交人在领取成交通知书时，一次性向</w:t>
      </w:r>
      <w:r>
        <w:rPr>
          <w:rFonts w:hint="eastAsia" w:asciiTheme="minorEastAsia" w:hAnsiTheme="minorEastAsia" w:eastAsiaTheme="minorEastAsia" w:cstheme="minorEastAsia"/>
          <w:color w:val="auto"/>
          <w:sz w:val="24"/>
          <w:szCs w:val="24"/>
          <w:highlight w:val="none"/>
          <w:lang w:eastAsia="zh-CN"/>
        </w:rPr>
        <w:t>采购</w:t>
      </w:r>
      <w:r>
        <w:rPr>
          <w:rFonts w:hint="eastAsia" w:asciiTheme="minorEastAsia" w:hAnsiTheme="minorEastAsia" w:eastAsiaTheme="minorEastAsia" w:cstheme="minorEastAsia"/>
          <w:color w:val="auto"/>
          <w:sz w:val="24"/>
          <w:szCs w:val="24"/>
          <w:highlight w:val="none"/>
        </w:rPr>
        <w:t>代理机构支付</w:t>
      </w:r>
      <w:r>
        <w:rPr>
          <w:rFonts w:hint="eastAsia" w:asciiTheme="minorEastAsia" w:hAnsiTheme="minorEastAsia" w:eastAsiaTheme="minorEastAsia" w:cstheme="minorEastAsia"/>
          <w:color w:val="auto"/>
          <w:sz w:val="24"/>
          <w:szCs w:val="24"/>
          <w:highlight w:val="none"/>
          <w:lang w:val="en-US" w:eastAsia="zh-CN"/>
        </w:rPr>
        <w:t>代理服务费。</w:t>
      </w:r>
    </w:p>
    <w:p w14:paraId="2D1F43B7">
      <w:pPr>
        <w:spacing w:line="390" w:lineRule="exact"/>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30</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“政采贷”政策告知函</w:t>
      </w:r>
    </w:p>
    <w:p w14:paraId="4E969AA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各供应商:</w:t>
      </w:r>
    </w:p>
    <w:p w14:paraId="77CD387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欢迎贵公司参与贺州市政府采购活动!</w:t>
      </w:r>
    </w:p>
    <w:p w14:paraId="374D535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等相关材料向金融机构申请贷款，金融机构核实信息，按照双方自愿的原则提供便捷、优惠的贷款服务。</w:t>
      </w:r>
    </w:p>
    <w:p w14:paraId="4C24806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一、“政采贷”操作流程</w:t>
      </w:r>
    </w:p>
    <w:p w14:paraId="2B8A863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进入“广西政府采购网”（</w:t>
      </w:r>
      <w:r>
        <w:rPr>
          <w:rFonts w:hint="eastAsia" w:asciiTheme="minorEastAsia" w:hAnsiTheme="minorEastAsia" w:eastAsiaTheme="minorEastAsia" w:cstheme="minorEastAsia"/>
          <w:b w:val="0"/>
          <w:bCs/>
          <w:color w:val="auto"/>
          <w:sz w:val="24"/>
          <w:szCs w:val="24"/>
          <w:highlight w:val="none"/>
          <w:lang w:val="en-US" w:eastAsia="zh-CN"/>
        </w:rPr>
        <w:fldChar w:fldCharType="begin"/>
      </w:r>
      <w:r>
        <w:rPr>
          <w:rFonts w:hint="eastAsia" w:asciiTheme="minorEastAsia" w:hAnsiTheme="minorEastAsia" w:eastAsiaTheme="minorEastAsia" w:cstheme="minorEastAsia"/>
          <w:b w:val="0"/>
          <w:bCs/>
          <w:color w:val="auto"/>
          <w:sz w:val="24"/>
          <w:szCs w:val="24"/>
          <w:highlight w:val="none"/>
          <w:lang w:val="en-US" w:eastAsia="zh-CN"/>
        </w:rPr>
        <w:instrText xml:space="preserve"> HYPERLINK "http://zfcg.gxzf.gov.cn/" </w:instrText>
      </w:r>
      <w:r>
        <w:rPr>
          <w:rFonts w:hint="eastAsia" w:asciiTheme="minorEastAsia" w:hAnsiTheme="minorEastAsia" w:eastAsiaTheme="minorEastAsia" w:cstheme="minorEastAsia"/>
          <w:b w:val="0"/>
          <w:bCs/>
          <w:color w:val="auto"/>
          <w:sz w:val="24"/>
          <w:szCs w:val="24"/>
          <w:highlight w:val="none"/>
          <w:lang w:val="en-US" w:eastAsia="zh-CN"/>
        </w:rPr>
        <w:fldChar w:fldCharType="separate"/>
      </w:r>
      <w:r>
        <w:rPr>
          <w:rFonts w:hint="eastAsia" w:asciiTheme="minorEastAsia" w:hAnsiTheme="minorEastAsia" w:eastAsiaTheme="minorEastAsia" w:cstheme="minorEastAsia"/>
          <w:b w:val="0"/>
          <w:bCs/>
          <w:color w:val="auto"/>
          <w:sz w:val="24"/>
          <w:szCs w:val="24"/>
          <w:highlight w:val="none"/>
          <w:lang w:val="en-US" w:eastAsia="zh-CN"/>
        </w:rPr>
        <w:t>http://zfcg.gxzf.gov.cn/</w:t>
      </w:r>
      <w:r>
        <w:rPr>
          <w:rFonts w:hint="eastAsia" w:asciiTheme="minorEastAsia" w:hAnsiTheme="minorEastAsia" w:eastAsiaTheme="minorEastAsia" w:cstheme="minorEastAsia"/>
          <w:b w:val="0"/>
          <w:bCs/>
          <w:color w:val="auto"/>
          <w:sz w:val="24"/>
          <w:szCs w:val="24"/>
          <w:highlight w:val="none"/>
          <w:lang w:val="en-US" w:eastAsia="zh-CN"/>
        </w:rPr>
        <w:fldChar w:fldCharType="end"/>
      </w:r>
      <w:r>
        <w:rPr>
          <w:rFonts w:hint="eastAsia" w:asciiTheme="minorEastAsia" w:hAnsiTheme="minorEastAsia" w:eastAsiaTheme="minorEastAsia" w:cstheme="minorEastAsia"/>
          <w:b w:val="0"/>
          <w:bCs/>
          <w:color w:val="auto"/>
          <w:sz w:val="24"/>
          <w:szCs w:val="24"/>
          <w:highlight w:val="none"/>
          <w:lang w:val="en-US" w:eastAsia="zh-CN"/>
        </w:rPr>
        <w:t>）“办事指南”专栏找到“金融融资”板块，进入“广西政府采购金融服务平台”登录，选择试点银行机构进行合同融资预申请。（详情请按照《贺州市财政局关于进一步推行“政采贷”工作的通知》（贺财采〔2024〕3号）文件执行）</w:t>
      </w:r>
    </w:p>
    <w:p w14:paraId="02CD4DB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二、承接银行联系方式</w:t>
      </w:r>
    </w:p>
    <w:p w14:paraId="3F3DA53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1.中国建设银行贺州分行</w:t>
      </w:r>
      <w:r>
        <w:rPr>
          <w:rFonts w:hint="eastAsia" w:asciiTheme="minorEastAsia" w:hAnsiTheme="minorEastAsia" w:eastAsiaTheme="minorEastAsia" w:cstheme="minorEastAsia"/>
          <w:b w:val="0"/>
          <w:bCs/>
          <w:color w:val="auto"/>
          <w:sz w:val="24"/>
          <w:szCs w:val="24"/>
          <w:highlight w:val="none"/>
          <w:lang w:val="en-US" w:eastAsia="zh-CN"/>
        </w:rPr>
        <w:tab/>
      </w:r>
    </w:p>
    <w:tbl>
      <w:tblPr>
        <w:tblStyle w:val="20"/>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2969"/>
        <w:gridCol w:w="954"/>
        <w:gridCol w:w="1125"/>
        <w:gridCol w:w="1537"/>
        <w:gridCol w:w="2625"/>
      </w:tblGrid>
      <w:tr w14:paraId="7402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600" w:type="dxa"/>
            <w:gridSpan w:val="6"/>
            <w:noWrap w:val="0"/>
            <w:vAlign w:val="center"/>
          </w:tcPr>
          <w:p w14:paraId="6517909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中国建设银行贺州分行 总协调人：杨宏毅  职务：公司业务部副总经理  手机号码：18077397188</w:t>
            </w:r>
          </w:p>
        </w:tc>
      </w:tr>
      <w:tr w14:paraId="38721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0" w:type="dxa"/>
            <w:noWrap w:val="0"/>
            <w:vAlign w:val="center"/>
          </w:tcPr>
          <w:p w14:paraId="551F4EF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2969" w:type="dxa"/>
            <w:noWrap w:val="0"/>
            <w:vAlign w:val="center"/>
          </w:tcPr>
          <w:p w14:paraId="2F63275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54" w:type="dxa"/>
            <w:noWrap w:val="0"/>
            <w:vAlign w:val="center"/>
          </w:tcPr>
          <w:p w14:paraId="7474634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25" w:type="dxa"/>
            <w:noWrap w:val="0"/>
            <w:vAlign w:val="center"/>
          </w:tcPr>
          <w:p w14:paraId="3DAE152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37" w:type="dxa"/>
            <w:noWrap w:val="0"/>
            <w:vAlign w:val="center"/>
          </w:tcPr>
          <w:p w14:paraId="219CB91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625" w:type="dxa"/>
            <w:noWrap w:val="0"/>
            <w:vAlign w:val="center"/>
          </w:tcPr>
          <w:p w14:paraId="7B4DB34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14:paraId="04679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390" w:type="dxa"/>
            <w:noWrap w:val="0"/>
            <w:vAlign w:val="center"/>
          </w:tcPr>
          <w:p w14:paraId="2F57C07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2969" w:type="dxa"/>
            <w:noWrap w:val="0"/>
            <w:vAlign w:val="center"/>
          </w:tcPr>
          <w:p w14:paraId="2189E827">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中国建设银行贺州分行营业部</w:t>
            </w:r>
          </w:p>
        </w:tc>
        <w:tc>
          <w:tcPr>
            <w:tcW w:w="954" w:type="dxa"/>
            <w:noWrap w:val="0"/>
            <w:vAlign w:val="center"/>
          </w:tcPr>
          <w:p w14:paraId="5F0DCCF7">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雍</w:t>
            </w:r>
          </w:p>
        </w:tc>
        <w:tc>
          <w:tcPr>
            <w:tcW w:w="1125" w:type="dxa"/>
            <w:noWrap w:val="0"/>
            <w:vAlign w:val="center"/>
          </w:tcPr>
          <w:p w14:paraId="39228A5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2602B07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18778943521</w:t>
            </w:r>
          </w:p>
        </w:tc>
        <w:tc>
          <w:tcPr>
            <w:tcW w:w="2625" w:type="dxa"/>
            <w:noWrap w:val="0"/>
            <w:vAlign w:val="center"/>
          </w:tcPr>
          <w:p w14:paraId="4B9F414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贺州市八步区建设中路1号</w:t>
            </w:r>
          </w:p>
        </w:tc>
      </w:tr>
      <w:tr w14:paraId="25DC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5F540D4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2969" w:type="dxa"/>
            <w:noWrap w:val="0"/>
            <w:vAlign w:val="center"/>
          </w:tcPr>
          <w:p w14:paraId="391B601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中国建设银行贺州城东支行</w:t>
            </w:r>
          </w:p>
        </w:tc>
        <w:tc>
          <w:tcPr>
            <w:tcW w:w="954" w:type="dxa"/>
            <w:noWrap w:val="0"/>
            <w:vAlign w:val="center"/>
          </w:tcPr>
          <w:p w14:paraId="04A8EC3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刘昭勇</w:t>
            </w:r>
          </w:p>
        </w:tc>
        <w:tc>
          <w:tcPr>
            <w:tcW w:w="1125" w:type="dxa"/>
            <w:noWrap w:val="0"/>
            <w:vAlign w:val="center"/>
          </w:tcPr>
          <w:p w14:paraId="11141DA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490613D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18877499257</w:t>
            </w:r>
          </w:p>
        </w:tc>
        <w:tc>
          <w:tcPr>
            <w:tcW w:w="2625" w:type="dxa"/>
            <w:noWrap w:val="0"/>
            <w:vAlign w:val="center"/>
          </w:tcPr>
          <w:p w14:paraId="0F9C2D3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贺州市八步区平安西路266号贺州广场购物中心1号楼一层东面</w:t>
            </w:r>
          </w:p>
        </w:tc>
      </w:tr>
      <w:tr w14:paraId="5784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2159B83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2969" w:type="dxa"/>
            <w:noWrap w:val="0"/>
            <w:vAlign w:val="center"/>
          </w:tcPr>
          <w:p w14:paraId="2666D62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中国建设银行贺州城西支行</w:t>
            </w:r>
          </w:p>
        </w:tc>
        <w:tc>
          <w:tcPr>
            <w:tcW w:w="954" w:type="dxa"/>
            <w:noWrap w:val="0"/>
            <w:vAlign w:val="center"/>
          </w:tcPr>
          <w:p w14:paraId="490D99E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于丛家</w:t>
            </w:r>
          </w:p>
        </w:tc>
        <w:tc>
          <w:tcPr>
            <w:tcW w:w="1125" w:type="dxa"/>
            <w:noWrap w:val="0"/>
            <w:vAlign w:val="center"/>
          </w:tcPr>
          <w:p w14:paraId="3991401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4A298A0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15177666737</w:t>
            </w:r>
          </w:p>
        </w:tc>
        <w:tc>
          <w:tcPr>
            <w:tcW w:w="2625" w:type="dxa"/>
            <w:noWrap w:val="0"/>
            <w:vAlign w:val="center"/>
          </w:tcPr>
          <w:p w14:paraId="1968C20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贺州市八步区八达西路689号1栋11号商铺</w:t>
            </w:r>
          </w:p>
        </w:tc>
      </w:tr>
      <w:tr w14:paraId="6F5B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1DD1371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2969" w:type="dxa"/>
            <w:noWrap w:val="0"/>
            <w:vAlign w:val="center"/>
          </w:tcPr>
          <w:p w14:paraId="1C7A42E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中国建设银行贺州平桂支行</w:t>
            </w:r>
          </w:p>
        </w:tc>
        <w:tc>
          <w:tcPr>
            <w:tcW w:w="954" w:type="dxa"/>
            <w:noWrap w:val="0"/>
            <w:vAlign w:val="center"/>
          </w:tcPr>
          <w:p w14:paraId="5466387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邱  伟</w:t>
            </w:r>
          </w:p>
        </w:tc>
        <w:tc>
          <w:tcPr>
            <w:tcW w:w="1125" w:type="dxa"/>
            <w:noWrap w:val="0"/>
            <w:vAlign w:val="center"/>
          </w:tcPr>
          <w:p w14:paraId="232602C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7984FAE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18007840720</w:t>
            </w:r>
          </w:p>
        </w:tc>
        <w:tc>
          <w:tcPr>
            <w:tcW w:w="2625" w:type="dxa"/>
            <w:noWrap w:val="0"/>
            <w:vAlign w:val="center"/>
          </w:tcPr>
          <w:p w14:paraId="5146EA2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贺州市平桂区平桂大道15号富旺小区1号楼105号商铺</w:t>
            </w:r>
          </w:p>
        </w:tc>
      </w:tr>
      <w:tr w14:paraId="07A5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73C64B5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2969" w:type="dxa"/>
            <w:noWrap w:val="0"/>
            <w:vAlign w:val="center"/>
          </w:tcPr>
          <w:p w14:paraId="21FD9C6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中国建设银行钟山支行</w:t>
            </w:r>
          </w:p>
        </w:tc>
        <w:tc>
          <w:tcPr>
            <w:tcW w:w="954" w:type="dxa"/>
            <w:noWrap w:val="0"/>
            <w:vAlign w:val="center"/>
          </w:tcPr>
          <w:p w14:paraId="0D42529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张文韬</w:t>
            </w:r>
          </w:p>
        </w:tc>
        <w:tc>
          <w:tcPr>
            <w:tcW w:w="1125" w:type="dxa"/>
            <w:noWrap w:val="0"/>
            <w:vAlign w:val="center"/>
          </w:tcPr>
          <w:p w14:paraId="3E8EA41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7DFB628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13047836009</w:t>
            </w:r>
          </w:p>
        </w:tc>
        <w:tc>
          <w:tcPr>
            <w:tcW w:w="2625" w:type="dxa"/>
            <w:noWrap w:val="0"/>
            <w:vAlign w:val="center"/>
          </w:tcPr>
          <w:p w14:paraId="349C1FE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贺州市钟山县城书香西路南侧</w:t>
            </w:r>
          </w:p>
        </w:tc>
      </w:tr>
      <w:tr w14:paraId="59F6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6BD8220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2969" w:type="dxa"/>
            <w:noWrap w:val="0"/>
            <w:vAlign w:val="center"/>
          </w:tcPr>
          <w:p w14:paraId="19C5AAA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中国建设银行富川支行</w:t>
            </w:r>
          </w:p>
        </w:tc>
        <w:tc>
          <w:tcPr>
            <w:tcW w:w="954" w:type="dxa"/>
            <w:noWrap w:val="0"/>
            <w:vAlign w:val="center"/>
          </w:tcPr>
          <w:p w14:paraId="2EC90F1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邓李杰</w:t>
            </w:r>
          </w:p>
        </w:tc>
        <w:tc>
          <w:tcPr>
            <w:tcW w:w="1125" w:type="dxa"/>
            <w:noWrap w:val="0"/>
            <w:vAlign w:val="center"/>
          </w:tcPr>
          <w:p w14:paraId="6087D63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营业室总经理</w:t>
            </w:r>
          </w:p>
        </w:tc>
        <w:tc>
          <w:tcPr>
            <w:tcW w:w="1537" w:type="dxa"/>
            <w:noWrap w:val="0"/>
            <w:vAlign w:val="center"/>
          </w:tcPr>
          <w:p w14:paraId="300A609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18276498401</w:t>
            </w:r>
          </w:p>
        </w:tc>
        <w:tc>
          <w:tcPr>
            <w:tcW w:w="2625" w:type="dxa"/>
            <w:noWrap w:val="0"/>
            <w:vAlign w:val="center"/>
          </w:tcPr>
          <w:p w14:paraId="07925F2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贺州市富川瑶族自治县富阳镇凤凰路汇龙华府第13号楼</w:t>
            </w:r>
          </w:p>
        </w:tc>
      </w:tr>
      <w:tr w14:paraId="64DB8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90" w:type="dxa"/>
            <w:noWrap w:val="0"/>
            <w:vAlign w:val="center"/>
          </w:tcPr>
          <w:p w14:paraId="6441A92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7</w:t>
            </w:r>
          </w:p>
        </w:tc>
        <w:tc>
          <w:tcPr>
            <w:tcW w:w="2969" w:type="dxa"/>
            <w:noWrap w:val="0"/>
            <w:vAlign w:val="center"/>
          </w:tcPr>
          <w:p w14:paraId="197DCC7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中国建设银行昭平支行</w:t>
            </w:r>
          </w:p>
        </w:tc>
        <w:tc>
          <w:tcPr>
            <w:tcW w:w="954" w:type="dxa"/>
            <w:noWrap w:val="0"/>
            <w:vAlign w:val="center"/>
          </w:tcPr>
          <w:p w14:paraId="36F70DF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贝晟延</w:t>
            </w:r>
          </w:p>
        </w:tc>
        <w:tc>
          <w:tcPr>
            <w:tcW w:w="1125" w:type="dxa"/>
            <w:noWrap w:val="0"/>
            <w:vAlign w:val="center"/>
          </w:tcPr>
          <w:p w14:paraId="1512CE4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客户经理</w:t>
            </w:r>
          </w:p>
        </w:tc>
        <w:tc>
          <w:tcPr>
            <w:tcW w:w="1537" w:type="dxa"/>
            <w:noWrap w:val="0"/>
            <w:vAlign w:val="center"/>
          </w:tcPr>
          <w:p w14:paraId="490DD2C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15676427374</w:t>
            </w:r>
          </w:p>
        </w:tc>
        <w:tc>
          <w:tcPr>
            <w:tcW w:w="2625" w:type="dxa"/>
            <w:noWrap w:val="0"/>
            <w:vAlign w:val="center"/>
          </w:tcPr>
          <w:p w14:paraId="6B8140A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贺州市昭平县昭平镇东宁中路19号</w:t>
            </w:r>
          </w:p>
        </w:tc>
      </w:tr>
    </w:tbl>
    <w:p w14:paraId="255D4B6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2.广西北部湾银行</w:t>
      </w:r>
    </w:p>
    <w:tbl>
      <w:tblPr>
        <w:tblStyle w:val="20"/>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3004"/>
        <w:gridCol w:w="943"/>
        <w:gridCol w:w="1136"/>
        <w:gridCol w:w="1534"/>
        <w:gridCol w:w="2449"/>
      </w:tblGrid>
      <w:tr w14:paraId="5691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43A82C0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广西北部湾银行贺州分行 总协调人：杨政  职务：普惠金融部总经理  手机号码：18978413000</w:t>
            </w:r>
          </w:p>
        </w:tc>
      </w:tr>
      <w:tr w14:paraId="6F9C1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3165BD2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3004" w:type="dxa"/>
            <w:noWrap w:val="0"/>
            <w:vAlign w:val="center"/>
          </w:tcPr>
          <w:p w14:paraId="1BB307C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43" w:type="dxa"/>
            <w:noWrap w:val="0"/>
            <w:vAlign w:val="center"/>
          </w:tcPr>
          <w:p w14:paraId="1B0FBD4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36" w:type="dxa"/>
            <w:noWrap w:val="0"/>
            <w:vAlign w:val="center"/>
          </w:tcPr>
          <w:p w14:paraId="69B1D90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34" w:type="dxa"/>
            <w:noWrap w:val="0"/>
            <w:vAlign w:val="center"/>
          </w:tcPr>
          <w:p w14:paraId="3B7EF58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449" w:type="dxa"/>
            <w:noWrap w:val="0"/>
            <w:vAlign w:val="center"/>
          </w:tcPr>
          <w:p w14:paraId="2BBF380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14:paraId="59EC8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4265B9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3004" w:type="dxa"/>
            <w:noWrap w:val="0"/>
            <w:vAlign w:val="center"/>
          </w:tcPr>
          <w:p w14:paraId="365D1B5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广西北部湾银行贺州分行</w:t>
            </w:r>
          </w:p>
        </w:tc>
        <w:tc>
          <w:tcPr>
            <w:tcW w:w="943" w:type="dxa"/>
            <w:noWrap w:val="0"/>
            <w:vAlign w:val="center"/>
          </w:tcPr>
          <w:p w14:paraId="4DAD4A6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黄剑锐</w:t>
            </w:r>
          </w:p>
        </w:tc>
        <w:tc>
          <w:tcPr>
            <w:tcW w:w="1136" w:type="dxa"/>
            <w:noWrap w:val="0"/>
            <w:vAlign w:val="center"/>
          </w:tcPr>
          <w:p w14:paraId="1ADACCF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个人金融部副经理</w:t>
            </w:r>
          </w:p>
        </w:tc>
        <w:tc>
          <w:tcPr>
            <w:tcW w:w="1534" w:type="dxa"/>
            <w:noWrap w:val="0"/>
            <w:vAlign w:val="center"/>
          </w:tcPr>
          <w:p w14:paraId="12EB36B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15507848190</w:t>
            </w:r>
          </w:p>
        </w:tc>
        <w:tc>
          <w:tcPr>
            <w:tcW w:w="2449" w:type="dxa"/>
            <w:noWrap w:val="0"/>
            <w:vAlign w:val="center"/>
          </w:tcPr>
          <w:p w14:paraId="50F6CFD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贺州市八步区太白西路153号8号楼</w:t>
            </w:r>
          </w:p>
        </w:tc>
      </w:tr>
      <w:tr w14:paraId="134F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7E7CC26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3004" w:type="dxa"/>
            <w:noWrap w:val="0"/>
            <w:vAlign w:val="center"/>
          </w:tcPr>
          <w:p w14:paraId="29CC794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广西北部湾银行贺州市平桂支行</w:t>
            </w:r>
          </w:p>
        </w:tc>
        <w:tc>
          <w:tcPr>
            <w:tcW w:w="943" w:type="dxa"/>
            <w:noWrap w:val="0"/>
            <w:vAlign w:val="center"/>
          </w:tcPr>
          <w:p w14:paraId="0AD2154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乐</w:t>
            </w:r>
          </w:p>
        </w:tc>
        <w:tc>
          <w:tcPr>
            <w:tcW w:w="1136" w:type="dxa"/>
            <w:noWrap w:val="0"/>
            <w:vAlign w:val="center"/>
          </w:tcPr>
          <w:p w14:paraId="39F74AE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公司客户经理</w:t>
            </w:r>
          </w:p>
        </w:tc>
        <w:tc>
          <w:tcPr>
            <w:tcW w:w="1534" w:type="dxa"/>
            <w:noWrap w:val="0"/>
            <w:vAlign w:val="center"/>
          </w:tcPr>
          <w:p w14:paraId="0CCEAB1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13036871008</w:t>
            </w:r>
          </w:p>
        </w:tc>
        <w:tc>
          <w:tcPr>
            <w:tcW w:w="2449" w:type="dxa"/>
            <w:noWrap w:val="0"/>
            <w:vAlign w:val="center"/>
          </w:tcPr>
          <w:p w14:paraId="3FE6EB3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贺州市平桂区平桂大道4号3号楼103号商铺</w:t>
            </w:r>
          </w:p>
        </w:tc>
      </w:tr>
      <w:tr w14:paraId="44B4F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630202B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3004" w:type="dxa"/>
            <w:noWrap w:val="0"/>
            <w:vAlign w:val="center"/>
          </w:tcPr>
          <w:p w14:paraId="5593F33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广西北部湾银行钟山支行</w:t>
            </w:r>
          </w:p>
        </w:tc>
        <w:tc>
          <w:tcPr>
            <w:tcW w:w="943" w:type="dxa"/>
            <w:noWrap w:val="0"/>
            <w:vAlign w:val="center"/>
          </w:tcPr>
          <w:p w14:paraId="4D331FC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唐振豪</w:t>
            </w:r>
          </w:p>
        </w:tc>
        <w:tc>
          <w:tcPr>
            <w:tcW w:w="1136" w:type="dxa"/>
            <w:noWrap w:val="0"/>
            <w:vAlign w:val="center"/>
          </w:tcPr>
          <w:p w14:paraId="0660C63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公司客户经理</w:t>
            </w:r>
          </w:p>
        </w:tc>
        <w:tc>
          <w:tcPr>
            <w:tcW w:w="1534" w:type="dxa"/>
            <w:noWrap w:val="0"/>
            <w:vAlign w:val="center"/>
          </w:tcPr>
          <w:p w14:paraId="611790F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18878480702</w:t>
            </w:r>
          </w:p>
        </w:tc>
        <w:tc>
          <w:tcPr>
            <w:tcW w:w="2449" w:type="dxa"/>
            <w:noWrap w:val="0"/>
            <w:vAlign w:val="center"/>
          </w:tcPr>
          <w:p w14:paraId="0601F69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贺州市钟山县广场西路南侧悦城壹号院B区1#楼B09-13号商铺</w:t>
            </w:r>
          </w:p>
        </w:tc>
      </w:tr>
      <w:tr w14:paraId="5F915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505277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3004" w:type="dxa"/>
            <w:noWrap w:val="0"/>
            <w:vAlign w:val="center"/>
          </w:tcPr>
          <w:p w14:paraId="4C3FE0F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广西北部湾银行富川支行</w:t>
            </w:r>
          </w:p>
        </w:tc>
        <w:tc>
          <w:tcPr>
            <w:tcW w:w="943" w:type="dxa"/>
            <w:noWrap w:val="0"/>
            <w:vAlign w:val="center"/>
          </w:tcPr>
          <w:p w14:paraId="57AE0FF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秦明龙</w:t>
            </w:r>
          </w:p>
        </w:tc>
        <w:tc>
          <w:tcPr>
            <w:tcW w:w="1136" w:type="dxa"/>
            <w:noWrap w:val="0"/>
            <w:vAlign w:val="center"/>
          </w:tcPr>
          <w:p w14:paraId="5F52BDF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业务发展部经理</w:t>
            </w:r>
          </w:p>
        </w:tc>
        <w:tc>
          <w:tcPr>
            <w:tcW w:w="1534" w:type="dxa"/>
            <w:noWrap w:val="0"/>
            <w:vAlign w:val="center"/>
          </w:tcPr>
          <w:p w14:paraId="6D69A47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17776119667</w:t>
            </w:r>
          </w:p>
        </w:tc>
        <w:tc>
          <w:tcPr>
            <w:tcW w:w="2449" w:type="dxa"/>
            <w:noWrap w:val="0"/>
            <w:vAlign w:val="center"/>
          </w:tcPr>
          <w:p w14:paraId="5FEC642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贺州市富川瑶族自治县富阳镇凤凰路121号</w:t>
            </w:r>
          </w:p>
        </w:tc>
      </w:tr>
      <w:tr w14:paraId="4314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3CB32B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5</w:t>
            </w:r>
          </w:p>
        </w:tc>
        <w:tc>
          <w:tcPr>
            <w:tcW w:w="3004" w:type="dxa"/>
            <w:noWrap w:val="0"/>
            <w:vAlign w:val="center"/>
          </w:tcPr>
          <w:p w14:paraId="27A1093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广西北部湾银行昭平支行</w:t>
            </w:r>
          </w:p>
        </w:tc>
        <w:tc>
          <w:tcPr>
            <w:tcW w:w="943" w:type="dxa"/>
            <w:noWrap w:val="0"/>
            <w:vAlign w:val="center"/>
          </w:tcPr>
          <w:p w14:paraId="200DC877">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邱俊豪</w:t>
            </w:r>
          </w:p>
        </w:tc>
        <w:tc>
          <w:tcPr>
            <w:tcW w:w="1136" w:type="dxa"/>
            <w:noWrap w:val="0"/>
            <w:vAlign w:val="center"/>
          </w:tcPr>
          <w:p w14:paraId="25A6D5A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综合客户经理</w:t>
            </w:r>
          </w:p>
        </w:tc>
        <w:tc>
          <w:tcPr>
            <w:tcW w:w="1534" w:type="dxa"/>
            <w:noWrap w:val="0"/>
            <w:vAlign w:val="center"/>
          </w:tcPr>
          <w:p w14:paraId="08A9D31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18107842696</w:t>
            </w:r>
          </w:p>
        </w:tc>
        <w:tc>
          <w:tcPr>
            <w:tcW w:w="2449" w:type="dxa"/>
            <w:noWrap w:val="0"/>
            <w:vAlign w:val="center"/>
          </w:tcPr>
          <w:p w14:paraId="16582DF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贺州市昭平县昭平镇河西东路（江湾一号）101-103铺面</w:t>
            </w:r>
          </w:p>
        </w:tc>
      </w:tr>
    </w:tbl>
    <w:p w14:paraId="183FF32B">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3.广西贺州桂东农村合作银行</w:t>
      </w:r>
    </w:p>
    <w:tbl>
      <w:tblPr>
        <w:tblStyle w:val="20"/>
        <w:tblpPr w:leftFromText="180" w:rightFromText="180" w:vertAnchor="text" w:horzAnchor="page" w:tblpX="1362" w:tblpY="1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
        <w:gridCol w:w="2992"/>
        <w:gridCol w:w="944"/>
        <w:gridCol w:w="1159"/>
        <w:gridCol w:w="1545"/>
        <w:gridCol w:w="2426"/>
      </w:tblGrid>
      <w:tr w14:paraId="6C57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9421" w:type="dxa"/>
            <w:gridSpan w:val="6"/>
            <w:noWrap w:val="0"/>
            <w:vAlign w:val="center"/>
          </w:tcPr>
          <w:p w14:paraId="34296AFF">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 总协调人：卢士强  职务：授信审批部总经理  手机号码：18077409115</w:t>
            </w:r>
          </w:p>
        </w:tc>
      </w:tr>
      <w:tr w14:paraId="14F4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 w:type="dxa"/>
            <w:noWrap w:val="0"/>
            <w:vAlign w:val="center"/>
          </w:tcPr>
          <w:p w14:paraId="70BAD14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序号</w:t>
            </w:r>
          </w:p>
        </w:tc>
        <w:tc>
          <w:tcPr>
            <w:tcW w:w="2992" w:type="dxa"/>
            <w:noWrap w:val="0"/>
            <w:vAlign w:val="center"/>
          </w:tcPr>
          <w:p w14:paraId="25C3D43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金融机构</w:t>
            </w:r>
          </w:p>
        </w:tc>
        <w:tc>
          <w:tcPr>
            <w:tcW w:w="944" w:type="dxa"/>
            <w:noWrap w:val="0"/>
            <w:vAlign w:val="center"/>
          </w:tcPr>
          <w:p w14:paraId="784D627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联系人</w:t>
            </w:r>
          </w:p>
        </w:tc>
        <w:tc>
          <w:tcPr>
            <w:tcW w:w="1159" w:type="dxa"/>
            <w:noWrap w:val="0"/>
            <w:vAlign w:val="center"/>
          </w:tcPr>
          <w:p w14:paraId="294ECD41">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职务</w:t>
            </w:r>
          </w:p>
        </w:tc>
        <w:tc>
          <w:tcPr>
            <w:tcW w:w="1545" w:type="dxa"/>
            <w:noWrap w:val="0"/>
            <w:vAlign w:val="center"/>
          </w:tcPr>
          <w:p w14:paraId="06BFEFFC">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手机号码</w:t>
            </w:r>
          </w:p>
        </w:tc>
        <w:tc>
          <w:tcPr>
            <w:tcW w:w="2426" w:type="dxa"/>
            <w:noWrap w:val="0"/>
            <w:vAlign w:val="center"/>
          </w:tcPr>
          <w:p w14:paraId="6AEF243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银行地址</w:t>
            </w:r>
          </w:p>
        </w:tc>
      </w:tr>
      <w:tr w14:paraId="4F6DF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41A4549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w:t>
            </w:r>
          </w:p>
        </w:tc>
        <w:tc>
          <w:tcPr>
            <w:tcW w:w="2992" w:type="dxa"/>
            <w:noWrap w:val="0"/>
            <w:vAlign w:val="center"/>
          </w:tcPr>
          <w:p w14:paraId="5452EF8A">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w:t>
            </w:r>
          </w:p>
        </w:tc>
        <w:tc>
          <w:tcPr>
            <w:tcW w:w="944" w:type="dxa"/>
            <w:noWrap w:val="0"/>
            <w:vAlign w:val="center"/>
          </w:tcPr>
          <w:p w14:paraId="710EBB74">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黄  腾</w:t>
            </w:r>
          </w:p>
        </w:tc>
        <w:tc>
          <w:tcPr>
            <w:tcW w:w="1159" w:type="dxa"/>
            <w:noWrap w:val="0"/>
            <w:vAlign w:val="center"/>
          </w:tcPr>
          <w:p w14:paraId="6490C53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授信审批部审查员</w:t>
            </w:r>
          </w:p>
        </w:tc>
        <w:tc>
          <w:tcPr>
            <w:tcW w:w="1545" w:type="dxa"/>
            <w:noWrap w:val="0"/>
            <w:vAlign w:val="center"/>
          </w:tcPr>
          <w:p w14:paraId="4D52961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15078333887</w:t>
            </w:r>
          </w:p>
        </w:tc>
        <w:tc>
          <w:tcPr>
            <w:tcW w:w="2426" w:type="dxa"/>
            <w:noWrap w:val="0"/>
            <w:vAlign w:val="center"/>
          </w:tcPr>
          <w:p w14:paraId="17828CC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贺州市八步区建设东路6号</w:t>
            </w:r>
          </w:p>
        </w:tc>
      </w:tr>
      <w:tr w14:paraId="1B2E6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AE3DCD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2992" w:type="dxa"/>
            <w:noWrap w:val="0"/>
            <w:vAlign w:val="center"/>
          </w:tcPr>
          <w:p w14:paraId="63F3DEED">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广西贺州桂东农村合作银行营业部</w:t>
            </w:r>
          </w:p>
        </w:tc>
        <w:tc>
          <w:tcPr>
            <w:tcW w:w="944" w:type="dxa"/>
            <w:noWrap w:val="0"/>
            <w:vAlign w:val="center"/>
          </w:tcPr>
          <w:p w14:paraId="7FAD479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刘  瑜</w:t>
            </w:r>
          </w:p>
        </w:tc>
        <w:tc>
          <w:tcPr>
            <w:tcW w:w="1159" w:type="dxa"/>
            <w:noWrap w:val="0"/>
            <w:vAlign w:val="center"/>
          </w:tcPr>
          <w:p w14:paraId="2CF69E9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营业部副总经理</w:t>
            </w:r>
          </w:p>
        </w:tc>
        <w:tc>
          <w:tcPr>
            <w:tcW w:w="1545" w:type="dxa"/>
            <w:noWrap w:val="0"/>
            <w:vAlign w:val="center"/>
          </w:tcPr>
          <w:p w14:paraId="1D0CA90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18007843000</w:t>
            </w:r>
          </w:p>
        </w:tc>
        <w:tc>
          <w:tcPr>
            <w:tcW w:w="2426" w:type="dxa"/>
            <w:noWrap w:val="0"/>
            <w:vAlign w:val="center"/>
          </w:tcPr>
          <w:p w14:paraId="1B204D26">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贺州市八步区建设东路6号</w:t>
            </w:r>
          </w:p>
        </w:tc>
      </w:tr>
      <w:tr w14:paraId="4559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4232E91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w:t>
            </w:r>
          </w:p>
        </w:tc>
        <w:tc>
          <w:tcPr>
            <w:tcW w:w="2992" w:type="dxa"/>
            <w:noWrap w:val="0"/>
            <w:vAlign w:val="center"/>
          </w:tcPr>
          <w:p w14:paraId="52C8E44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广西贺州桂东农村合作银行八步支行</w:t>
            </w:r>
          </w:p>
        </w:tc>
        <w:tc>
          <w:tcPr>
            <w:tcW w:w="944" w:type="dxa"/>
            <w:noWrap w:val="0"/>
            <w:vAlign w:val="center"/>
          </w:tcPr>
          <w:p w14:paraId="2EF57A25">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谢地恩</w:t>
            </w:r>
          </w:p>
        </w:tc>
        <w:tc>
          <w:tcPr>
            <w:tcW w:w="1159" w:type="dxa"/>
            <w:noWrap w:val="0"/>
            <w:vAlign w:val="center"/>
          </w:tcPr>
          <w:p w14:paraId="4FE083A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信贷副行长</w:t>
            </w:r>
          </w:p>
        </w:tc>
        <w:tc>
          <w:tcPr>
            <w:tcW w:w="1545" w:type="dxa"/>
            <w:noWrap w:val="0"/>
            <w:vAlign w:val="center"/>
          </w:tcPr>
          <w:p w14:paraId="1F5D2EA9">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18007840168</w:t>
            </w:r>
          </w:p>
        </w:tc>
        <w:tc>
          <w:tcPr>
            <w:tcW w:w="2426" w:type="dxa"/>
            <w:noWrap w:val="0"/>
            <w:vAlign w:val="center"/>
          </w:tcPr>
          <w:p w14:paraId="0BC666F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贺州市八步区八达西路652-1号</w:t>
            </w:r>
          </w:p>
        </w:tc>
      </w:tr>
      <w:tr w14:paraId="4DE4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355" w:type="dxa"/>
            <w:noWrap w:val="0"/>
            <w:vAlign w:val="center"/>
          </w:tcPr>
          <w:p w14:paraId="31F2B4AE">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4</w:t>
            </w:r>
          </w:p>
        </w:tc>
        <w:tc>
          <w:tcPr>
            <w:tcW w:w="2992" w:type="dxa"/>
            <w:noWrap w:val="0"/>
            <w:vAlign w:val="center"/>
          </w:tcPr>
          <w:p w14:paraId="01EC1BF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广西贺州桂东农村合作银行平桂支行</w:t>
            </w:r>
          </w:p>
        </w:tc>
        <w:tc>
          <w:tcPr>
            <w:tcW w:w="944" w:type="dxa"/>
            <w:noWrap w:val="0"/>
            <w:vAlign w:val="center"/>
          </w:tcPr>
          <w:p w14:paraId="26341832">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古  睿</w:t>
            </w:r>
          </w:p>
        </w:tc>
        <w:tc>
          <w:tcPr>
            <w:tcW w:w="1159" w:type="dxa"/>
            <w:noWrap w:val="0"/>
            <w:vAlign w:val="center"/>
          </w:tcPr>
          <w:p w14:paraId="3E2FE9D3">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信贷副行长</w:t>
            </w:r>
          </w:p>
        </w:tc>
        <w:tc>
          <w:tcPr>
            <w:tcW w:w="1545" w:type="dxa"/>
            <w:noWrap w:val="0"/>
            <w:vAlign w:val="center"/>
          </w:tcPr>
          <w:p w14:paraId="0AEADC78">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18007840375</w:t>
            </w:r>
          </w:p>
        </w:tc>
        <w:tc>
          <w:tcPr>
            <w:tcW w:w="2426" w:type="dxa"/>
            <w:noWrap w:val="0"/>
            <w:vAlign w:val="center"/>
          </w:tcPr>
          <w:p w14:paraId="7B0B3B20">
            <w:pPr>
              <w:spacing w:line="390" w:lineRule="exact"/>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贺州市平桂区平桂大道财政局一楼</w:t>
            </w:r>
          </w:p>
        </w:tc>
      </w:tr>
    </w:tbl>
    <w:p w14:paraId="7C2B3013">
      <w:pPr>
        <w:spacing w:line="39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rPr>
        <w:t>有关事宜</w:t>
      </w:r>
    </w:p>
    <w:p w14:paraId="48422DAD">
      <w:pPr>
        <w:spacing w:line="39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.1所有与本磋商文件有关的函电请按下列通讯地址联系：</w:t>
      </w:r>
    </w:p>
    <w:p w14:paraId="76FA8719">
      <w:pPr>
        <w:numPr>
          <w:ilvl w:val="0"/>
          <w:numId w:val="0"/>
        </w:numPr>
        <w:spacing w:line="390" w:lineRule="exact"/>
        <w:ind w:firstLine="480" w:firstLineChars="200"/>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30.1.1</w:t>
      </w:r>
      <w:r>
        <w:rPr>
          <w:rFonts w:hint="eastAsia" w:asciiTheme="minorEastAsia" w:hAnsiTheme="minorEastAsia" w:eastAsiaTheme="minorEastAsia" w:cstheme="minorEastAsia"/>
          <w:b w:val="0"/>
          <w:bCs w:val="0"/>
          <w:color w:val="auto"/>
          <w:sz w:val="24"/>
          <w:szCs w:val="24"/>
          <w:highlight w:val="none"/>
        </w:rPr>
        <w:t>采购代理机构：</w:t>
      </w:r>
    </w:p>
    <w:p w14:paraId="662F5B89">
      <w:pPr>
        <w:spacing w:line="390" w:lineRule="exact"/>
        <w:ind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采购代理机构：</w:t>
      </w:r>
      <w:r>
        <w:rPr>
          <w:rFonts w:hint="eastAsia" w:asciiTheme="minorEastAsia" w:hAnsiTheme="minorEastAsia" w:eastAsiaTheme="minorEastAsia" w:cstheme="minorEastAsia"/>
          <w:color w:val="auto"/>
          <w:sz w:val="24"/>
          <w:szCs w:val="24"/>
          <w:highlight w:val="none"/>
          <w:lang w:eastAsia="zh-CN"/>
        </w:rPr>
        <w:t>广西桂林华禹水利水电工程咨询有限公司</w:t>
      </w:r>
    </w:p>
    <w:p w14:paraId="567154A4">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地 址：</w:t>
      </w:r>
      <w:r>
        <w:rPr>
          <w:rFonts w:hint="eastAsia" w:asciiTheme="minorEastAsia" w:hAnsiTheme="minorEastAsia" w:eastAsiaTheme="minorEastAsia" w:cstheme="minorEastAsia"/>
          <w:color w:val="auto"/>
          <w:sz w:val="24"/>
          <w:szCs w:val="24"/>
          <w:highlight w:val="none"/>
          <w:lang w:val="en-US" w:eastAsia="zh-CN"/>
        </w:rPr>
        <w:t>昭平县向阳街70号</w:t>
      </w:r>
    </w:p>
    <w:p w14:paraId="798E61B3">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联系人：</w:t>
      </w:r>
      <w:r>
        <w:rPr>
          <w:rFonts w:hint="eastAsia" w:asciiTheme="minorEastAsia" w:hAnsiTheme="minorEastAsia" w:eastAsiaTheme="minorEastAsia" w:cstheme="minorEastAsia"/>
          <w:color w:val="auto"/>
          <w:sz w:val="24"/>
          <w:szCs w:val="24"/>
          <w:highlight w:val="none"/>
          <w:lang w:val="en-US" w:eastAsia="zh-CN"/>
        </w:rPr>
        <w:t>李世斌</w:t>
      </w:r>
    </w:p>
    <w:p w14:paraId="7A8B7D16">
      <w:pPr>
        <w:spacing w:line="390" w:lineRule="exact"/>
        <w:ind w:right="-192"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电 话：</w:t>
      </w:r>
      <w:r>
        <w:rPr>
          <w:rFonts w:hint="eastAsia" w:asciiTheme="minorEastAsia" w:hAnsiTheme="minorEastAsia" w:eastAsiaTheme="minorEastAsia" w:cstheme="minorEastAsia"/>
          <w:color w:val="auto"/>
          <w:sz w:val="24"/>
          <w:szCs w:val="24"/>
          <w:highlight w:val="none"/>
          <w:lang w:val="en-US" w:eastAsia="zh-CN"/>
        </w:rPr>
        <w:t>13768145297</w:t>
      </w:r>
    </w:p>
    <w:p w14:paraId="65378C52">
      <w:pPr>
        <w:spacing w:line="390" w:lineRule="exact"/>
        <w:ind w:right="-192" w:firstLine="480" w:firstLineChars="200"/>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30.1.2监督单位全称：</w:t>
      </w:r>
      <w:bookmarkStart w:id="90" w:name="_Toc14983"/>
      <w:r>
        <w:rPr>
          <w:rFonts w:hint="eastAsia" w:asciiTheme="minorEastAsia" w:hAnsiTheme="minorEastAsia" w:eastAsiaTheme="minorEastAsia" w:cstheme="minorEastAsia"/>
          <w:b w:val="0"/>
          <w:color w:val="auto"/>
          <w:kern w:val="2"/>
          <w:sz w:val="24"/>
          <w:szCs w:val="24"/>
          <w:highlight w:val="none"/>
          <w:lang w:val="en-US" w:eastAsia="zh-CN" w:bidi="ar-SA"/>
        </w:rPr>
        <w:t>昭平县政府采购管理办公室，联系电话：0774-6689708</w:t>
      </w:r>
      <w:r>
        <w:rPr>
          <w:rFonts w:hint="eastAsia" w:asciiTheme="minorEastAsia" w:hAnsiTheme="minorEastAsia" w:eastAsiaTheme="minorEastAsia" w:cstheme="minorEastAsia"/>
          <w:b/>
          <w:color w:val="auto"/>
          <w:szCs w:val="21"/>
          <w:highlight w:val="none"/>
        </w:rPr>
        <w:br w:type="page"/>
      </w:r>
      <w:bookmarkStart w:id="91" w:name="_Toc351203480"/>
      <w:bookmarkStart w:id="92" w:name="_Toc373227552"/>
      <w:bookmarkStart w:id="93" w:name="_Toc439163592"/>
      <w:bookmarkStart w:id="94" w:name="_Toc430095341"/>
      <w:bookmarkStart w:id="95" w:name="_Toc440877583"/>
      <w:bookmarkStart w:id="96" w:name="_Toc406071080"/>
      <w:bookmarkStart w:id="97" w:name="_Toc296503025"/>
      <w:bookmarkStart w:id="98" w:name="_Toc296890982"/>
      <w:bookmarkStart w:id="99" w:name="_Toc373478199"/>
      <w:bookmarkStart w:id="100" w:name="_Toc389065255"/>
      <w:r>
        <w:rPr>
          <w:rFonts w:hint="eastAsia" w:asciiTheme="minorEastAsia" w:hAnsiTheme="minorEastAsia" w:eastAsiaTheme="minorEastAsia" w:cstheme="minorEastAsia"/>
          <w:b/>
          <w:color w:val="auto"/>
          <w:szCs w:val="21"/>
          <w:highlight w:val="none"/>
          <w:lang w:val="en-US" w:eastAsia="zh-CN"/>
        </w:rPr>
        <w:t xml:space="preserve">         </w:t>
      </w:r>
    </w:p>
    <w:p w14:paraId="521A6A73">
      <w:pPr>
        <w:pStyle w:val="3"/>
        <w:numPr>
          <w:ilvl w:val="0"/>
          <w:numId w:val="0"/>
        </w:numPr>
        <w:ind w:firstLine="3092" w:firstLineChars="700"/>
        <w:jc w:val="both"/>
        <w:rPr>
          <w:rFonts w:hint="eastAsia" w:ascii="宋体" w:hAnsi="宋体" w:eastAsia="宋体" w:cs="宋体"/>
          <w:color w:val="auto"/>
          <w:highlight w:val="none"/>
        </w:rPr>
      </w:pPr>
      <w:r>
        <w:rPr>
          <w:rStyle w:val="53"/>
          <w:rFonts w:hint="eastAsia" w:asciiTheme="minorEastAsia" w:hAnsiTheme="minorEastAsia" w:eastAsiaTheme="minorEastAsia" w:cstheme="minorEastAsia"/>
          <w:b/>
          <w:color w:val="auto"/>
          <w:highlight w:val="none"/>
        </w:rPr>
        <w:t xml:space="preserve">第三章  </w:t>
      </w:r>
      <w:bookmarkEnd w:id="90"/>
      <w:bookmarkEnd w:id="91"/>
      <w:bookmarkEnd w:id="92"/>
      <w:bookmarkEnd w:id="93"/>
      <w:bookmarkEnd w:id="94"/>
      <w:bookmarkEnd w:id="95"/>
      <w:bookmarkEnd w:id="96"/>
      <w:bookmarkEnd w:id="97"/>
      <w:bookmarkEnd w:id="98"/>
      <w:bookmarkEnd w:id="99"/>
      <w:bookmarkEnd w:id="100"/>
      <w:bookmarkStart w:id="101" w:name="_Toc19183"/>
      <w:bookmarkStart w:id="102" w:name="_Toc351203652"/>
      <w:r>
        <w:rPr>
          <w:rFonts w:hint="eastAsia" w:ascii="宋体" w:hAnsi="宋体" w:eastAsia="宋体" w:cs="宋体"/>
          <w:color w:val="auto"/>
          <w:highlight w:val="none"/>
        </w:rPr>
        <w:t>合同条款</w:t>
      </w:r>
      <w:bookmarkEnd w:id="101"/>
    </w:p>
    <w:p w14:paraId="58EBB838">
      <w:pPr>
        <w:pStyle w:val="3"/>
        <w:ind w:firstLine="3092" w:firstLineChars="700"/>
        <w:jc w:val="both"/>
        <w:rPr>
          <w:color w:val="auto"/>
          <w:highlight w:val="none"/>
        </w:rPr>
      </w:pPr>
      <w:bookmarkStart w:id="103" w:name="_Toc39866684"/>
      <w:bookmarkStart w:id="104" w:name="_Toc27495"/>
      <w:bookmarkStart w:id="105" w:name="_Toc256000032"/>
      <w:r>
        <w:rPr>
          <w:rFonts w:ascii="宋体" w:hAnsi="宋体" w:eastAsia="宋体" w:cs="宋体"/>
          <w:color w:val="auto"/>
          <w:sz w:val="44"/>
          <w:szCs w:val="44"/>
          <w:highlight w:val="none"/>
        </w:rPr>
        <w:t>第一节</w:t>
      </w:r>
      <w:r>
        <w:rPr>
          <w:rFonts w:hint="eastAsia" w:ascii="宋体" w:hAnsi="宋体" w:eastAsia="宋体" w:cs="宋体"/>
          <w:color w:val="auto"/>
          <w:sz w:val="44"/>
          <w:szCs w:val="44"/>
          <w:highlight w:val="none"/>
          <w:lang w:val="en-US" w:eastAsia="zh-CN"/>
        </w:rPr>
        <w:t xml:space="preserve">  </w:t>
      </w:r>
      <w:r>
        <w:rPr>
          <w:rFonts w:ascii="宋体" w:hAnsi="宋体" w:eastAsia="宋体" w:cs="宋体"/>
          <w:color w:val="auto"/>
          <w:sz w:val="44"/>
          <w:szCs w:val="44"/>
          <w:highlight w:val="none"/>
        </w:rPr>
        <w:t>通用合同条款</w:t>
      </w:r>
      <w:r>
        <w:rPr>
          <w:rFonts w:hint="eastAsia"/>
          <w:color w:val="auto"/>
          <w:highlight w:val="none"/>
          <w:vertAlign w:val="superscript"/>
        </w:rPr>
        <w:t>①</w:t>
      </w:r>
      <w:bookmarkEnd w:id="103"/>
      <w:bookmarkEnd w:id="104"/>
      <w:bookmarkEnd w:id="105"/>
    </w:p>
    <w:p w14:paraId="0D4ABA0A">
      <w:pPr>
        <w:spacing w:before="62"/>
        <w:ind w:left="633"/>
        <w:rPr>
          <w:rFonts w:ascii="黑体" w:hAnsi="黑体" w:eastAsia="黑体"/>
          <w:color w:val="auto"/>
          <w:sz w:val="28"/>
          <w:highlight w:val="none"/>
        </w:rPr>
      </w:pPr>
    </w:p>
    <w:p w14:paraId="1DCC7398">
      <w:pPr>
        <w:spacing w:before="62"/>
        <w:ind w:left="633"/>
        <w:rPr>
          <w:rFonts w:ascii="黑体" w:hAnsi="黑体" w:eastAsia="黑体"/>
          <w:color w:val="auto"/>
          <w:sz w:val="28"/>
          <w:highlight w:val="none"/>
        </w:rPr>
      </w:pPr>
    </w:p>
    <w:p w14:paraId="1666DFE6">
      <w:pPr>
        <w:spacing w:before="62"/>
        <w:ind w:left="633"/>
        <w:rPr>
          <w:rFonts w:ascii="黑体" w:hAnsi="黑体" w:eastAsia="黑体"/>
          <w:color w:val="auto"/>
          <w:sz w:val="28"/>
          <w:highlight w:val="none"/>
        </w:rPr>
      </w:pPr>
    </w:p>
    <w:p w14:paraId="339F1A27">
      <w:pPr>
        <w:spacing w:before="62"/>
        <w:ind w:left="633"/>
        <w:rPr>
          <w:rFonts w:ascii="黑体" w:hAnsi="黑体" w:eastAsia="黑体"/>
          <w:color w:val="auto"/>
          <w:sz w:val="28"/>
          <w:highlight w:val="none"/>
        </w:rPr>
      </w:pPr>
    </w:p>
    <w:p w14:paraId="0BC098A9">
      <w:pPr>
        <w:spacing w:before="62"/>
        <w:ind w:left="633"/>
        <w:rPr>
          <w:rFonts w:ascii="黑体" w:hAnsi="黑体" w:eastAsia="黑体"/>
          <w:color w:val="auto"/>
          <w:sz w:val="28"/>
          <w:highlight w:val="none"/>
        </w:rPr>
      </w:pPr>
    </w:p>
    <w:p w14:paraId="2FE804BB">
      <w:pPr>
        <w:spacing w:before="62"/>
        <w:ind w:left="633"/>
        <w:rPr>
          <w:rFonts w:ascii="黑体" w:hAnsi="黑体" w:eastAsia="黑体"/>
          <w:color w:val="auto"/>
          <w:sz w:val="28"/>
          <w:highlight w:val="none"/>
        </w:rPr>
      </w:pPr>
    </w:p>
    <w:p w14:paraId="64C1A9EA">
      <w:pPr>
        <w:spacing w:before="62"/>
        <w:ind w:left="633"/>
        <w:rPr>
          <w:rFonts w:ascii="黑体" w:hAnsi="黑体" w:eastAsia="黑体"/>
          <w:color w:val="auto"/>
          <w:sz w:val="28"/>
          <w:highlight w:val="none"/>
        </w:rPr>
      </w:pPr>
    </w:p>
    <w:p w14:paraId="5E45ED24">
      <w:pPr>
        <w:spacing w:before="62"/>
        <w:ind w:left="633"/>
        <w:rPr>
          <w:rFonts w:ascii="黑体" w:hAnsi="黑体" w:eastAsia="黑体"/>
          <w:color w:val="auto"/>
          <w:sz w:val="28"/>
          <w:highlight w:val="none"/>
        </w:rPr>
      </w:pPr>
    </w:p>
    <w:p w14:paraId="49313D02">
      <w:pPr>
        <w:spacing w:before="62"/>
        <w:ind w:left="633"/>
        <w:rPr>
          <w:rFonts w:ascii="黑体" w:hAnsi="黑体" w:eastAsia="黑体"/>
          <w:color w:val="auto"/>
          <w:sz w:val="28"/>
          <w:highlight w:val="none"/>
        </w:rPr>
      </w:pPr>
    </w:p>
    <w:p w14:paraId="40002F5F">
      <w:pPr>
        <w:spacing w:before="62"/>
        <w:ind w:left="633"/>
        <w:rPr>
          <w:rFonts w:ascii="黑体" w:hAnsi="黑体" w:eastAsia="黑体"/>
          <w:color w:val="auto"/>
          <w:sz w:val="28"/>
          <w:highlight w:val="none"/>
        </w:rPr>
      </w:pPr>
    </w:p>
    <w:p w14:paraId="7725D558">
      <w:pPr>
        <w:spacing w:before="62"/>
        <w:ind w:left="633"/>
        <w:rPr>
          <w:rFonts w:ascii="黑体" w:hAnsi="黑体" w:eastAsia="黑体"/>
          <w:color w:val="auto"/>
          <w:sz w:val="28"/>
          <w:highlight w:val="none"/>
        </w:rPr>
      </w:pPr>
    </w:p>
    <w:p w14:paraId="64E60E4D">
      <w:pPr>
        <w:spacing w:before="62"/>
        <w:ind w:left="633"/>
        <w:rPr>
          <w:rFonts w:ascii="黑体" w:hAnsi="黑体" w:eastAsia="黑体"/>
          <w:color w:val="auto"/>
          <w:sz w:val="28"/>
          <w:highlight w:val="none"/>
        </w:rPr>
      </w:pPr>
    </w:p>
    <w:p w14:paraId="7296D37F">
      <w:pPr>
        <w:spacing w:before="62"/>
        <w:ind w:left="633"/>
        <w:rPr>
          <w:rFonts w:ascii="黑体" w:hAnsi="黑体" w:eastAsia="黑体"/>
          <w:color w:val="auto"/>
          <w:sz w:val="28"/>
          <w:highlight w:val="none"/>
        </w:rPr>
      </w:pPr>
    </w:p>
    <w:p w14:paraId="678CFD14">
      <w:pPr>
        <w:spacing w:before="62"/>
        <w:ind w:left="633"/>
        <w:rPr>
          <w:rFonts w:ascii="黑体" w:hAnsi="黑体" w:eastAsia="黑体"/>
          <w:color w:val="auto"/>
          <w:sz w:val="28"/>
          <w:highlight w:val="none"/>
        </w:rPr>
      </w:pPr>
    </w:p>
    <w:p w14:paraId="32D787EE">
      <w:pPr>
        <w:spacing w:before="62"/>
        <w:ind w:left="633"/>
        <w:rPr>
          <w:rFonts w:ascii="黑体" w:hAnsi="黑体" w:eastAsia="黑体"/>
          <w:color w:val="auto"/>
          <w:sz w:val="28"/>
          <w:highlight w:val="none"/>
        </w:rPr>
      </w:pPr>
    </w:p>
    <w:p w14:paraId="11470130">
      <w:pPr>
        <w:spacing w:before="62"/>
        <w:ind w:left="633"/>
        <w:rPr>
          <w:rFonts w:ascii="黑体" w:hAnsi="黑体" w:eastAsia="黑体"/>
          <w:color w:val="auto"/>
          <w:sz w:val="28"/>
          <w:highlight w:val="none"/>
        </w:rPr>
      </w:pPr>
    </w:p>
    <w:p w14:paraId="48A005ED">
      <w:pPr>
        <w:spacing w:before="62"/>
        <w:ind w:left="633"/>
        <w:rPr>
          <w:rFonts w:ascii="黑体" w:hAnsi="黑体" w:eastAsia="黑体"/>
          <w:color w:val="auto"/>
          <w:sz w:val="28"/>
          <w:highlight w:val="none"/>
        </w:rPr>
      </w:pPr>
    </w:p>
    <w:p w14:paraId="33CA1EDA">
      <w:pPr>
        <w:spacing w:before="62"/>
        <w:ind w:left="633"/>
        <w:rPr>
          <w:rFonts w:ascii="黑体" w:hAnsi="黑体" w:eastAsia="黑体"/>
          <w:color w:val="auto"/>
          <w:sz w:val="28"/>
          <w:highlight w:val="none"/>
        </w:rPr>
      </w:pPr>
    </w:p>
    <w:p w14:paraId="63630936">
      <w:pPr>
        <w:spacing w:before="62"/>
        <w:ind w:left="633"/>
        <w:rPr>
          <w:rFonts w:ascii="黑体" w:hAnsi="黑体" w:eastAsia="黑体"/>
          <w:color w:val="auto"/>
          <w:sz w:val="28"/>
          <w:highlight w:val="none"/>
        </w:rPr>
      </w:pPr>
    </w:p>
    <w:p w14:paraId="252C6070">
      <w:pPr>
        <w:spacing w:before="62"/>
        <w:ind w:left="633"/>
        <w:rPr>
          <w:rFonts w:ascii="黑体" w:hAnsi="黑体" w:eastAsia="黑体"/>
          <w:color w:val="auto"/>
          <w:sz w:val="18"/>
          <w:szCs w:val="11"/>
          <w:highlight w:val="none"/>
        </w:rPr>
      </w:pPr>
      <w:r>
        <w:rPr>
          <w:color w:val="auto"/>
          <w:sz w:val="20"/>
          <w:szCs w:val="11"/>
          <w:highlight w:val="none"/>
        </w:rPr>
        <mc:AlternateContent>
          <mc:Choice Requires="wps">
            <w:drawing>
              <wp:anchor distT="0" distB="0" distL="114300" distR="114300" simplePos="0" relativeHeight="251659264" behindDoc="0" locked="0" layoutInCell="1" allowOverlap="1">
                <wp:simplePos x="0" y="0"/>
                <wp:positionH relativeFrom="page">
                  <wp:posOffset>815340</wp:posOffset>
                </wp:positionH>
                <wp:positionV relativeFrom="paragraph">
                  <wp:posOffset>279400</wp:posOffset>
                </wp:positionV>
                <wp:extent cx="1829435"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182943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4.2pt;margin-top:22pt;height:0pt;width:144.05pt;mso-position-horizontal-relative:page;mso-wrap-distance-bottom:0pt;mso-wrap-distance-top:0pt;z-index:251659264;mso-width-relative:page;mso-height-relative:page;" filled="f" stroked="t" coordsize="21600,21600" o:gfxdata="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4EoE1wAAAAkBAAAPAAAAAAAAAAEAIAAAACIAAABkcnMvZG93bnJldi54bWxQSwEC&#10;FAAUAAAACACHTuJAwc2dvvUBAADkAwAADgAAAAAAAAABACAAAAAmAQAAZHJzL2Uyb0RvYy54bWxQ&#10;SwUGAAAAAAYABgBZAQAAjQUAAAAA&#10;">
                <v:fill on="f" focussize="0,0"/>
                <v:stroke weight="0.48pt" color="#000000" joinstyle="round"/>
                <v:imagedata o:title=""/>
                <o:lock v:ext="edit" aspectratio="f"/>
                <w10:wrap type="topAndBottom"/>
              </v:line>
            </w:pict>
          </mc:Fallback>
        </mc:AlternateContent>
      </w:r>
    </w:p>
    <w:p w14:paraId="3F121FF6">
      <w:pPr>
        <w:rPr>
          <w:color w:val="auto"/>
          <w:sz w:val="20"/>
          <w:szCs w:val="16"/>
          <w:highlight w:val="none"/>
        </w:rPr>
      </w:pPr>
      <w:r>
        <w:rPr>
          <w:rFonts w:hint="eastAsia"/>
          <w:color w:val="auto"/>
          <w:sz w:val="20"/>
          <w:szCs w:val="16"/>
          <w:highlight w:val="none"/>
          <w:vertAlign w:val="superscript"/>
        </w:rPr>
        <w:t>①</w:t>
      </w:r>
      <w:r>
        <w:rPr>
          <w:rFonts w:hint="eastAsia"/>
          <w:color w:val="auto"/>
          <w:sz w:val="20"/>
          <w:szCs w:val="16"/>
          <w:highlight w:val="none"/>
        </w:rPr>
        <w:t>本部分不加修改地引用了国家九部委《标准施工招标文件》（</w:t>
      </w:r>
      <w:r>
        <w:rPr>
          <w:color w:val="auto"/>
          <w:sz w:val="20"/>
          <w:szCs w:val="16"/>
          <w:highlight w:val="none"/>
        </w:rPr>
        <w:t>2007</w:t>
      </w:r>
      <w:r>
        <w:rPr>
          <w:rFonts w:hint="eastAsia"/>
          <w:color w:val="auto"/>
          <w:sz w:val="20"/>
          <w:szCs w:val="16"/>
          <w:highlight w:val="none"/>
        </w:rPr>
        <w:t>年版）相关内容。</w:t>
      </w:r>
    </w:p>
    <w:p w14:paraId="1CFEBA8B">
      <w:pPr>
        <w:jc w:val="center"/>
        <w:rPr>
          <w:color w:val="auto"/>
          <w:szCs w:val="24"/>
          <w:highlight w:val="none"/>
        </w:rPr>
      </w:pPr>
      <w:r>
        <w:rPr>
          <w:color w:val="auto"/>
          <w:szCs w:val="24"/>
          <w:highlight w:val="none"/>
        </w:rPr>
        <w:br w:type="page"/>
      </w:r>
      <w:bookmarkStart w:id="106" w:name="EBe4492df5c1fb463b91bc9a11a1a58b1e"/>
    </w:p>
    <w:p w14:paraId="7FE7651B">
      <w:pPr>
        <w:jc w:val="center"/>
        <w:rPr>
          <w:color w:val="auto"/>
          <w:szCs w:val="24"/>
          <w:highlight w:val="none"/>
        </w:rPr>
      </w:pPr>
    </w:p>
    <w:p w14:paraId="333B8EE3">
      <w:pPr>
        <w:jc w:val="center"/>
        <w:rPr>
          <w:color w:val="auto"/>
          <w:szCs w:val="24"/>
          <w:highlight w:val="none"/>
        </w:rPr>
      </w:pPr>
    </w:p>
    <w:p w14:paraId="26F40790">
      <w:pPr>
        <w:jc w:val="center"/>
        <w:rPr>
          <w:rFonts w:ascii="黑体" w:hAnsi="黑体" w:eastAsia="黑体" w:cs="宋体"/>
          <w:color w:val="auto"/>
          <w:kern w:val="0"/>
          <w:sz w:val="32"/>
          <w:szCs w:val="32"/>
          <w:highlight w:val="none"/>
          <w:lang w:val="zh-CN"/>
        </w:rPr>
      </w:pPr>
      <w:r>
        <w:rPr>
          <w:rFonts w:hint="eastAsia" w:ascii="黑体" w:hAnsi="黑体" w:eastAsia="黑体" w:cs="宋体"/>
          <w:color w:val="auto"/>
          <w:kern w:val="0"/>
          <w:sz w:val="32"/>
          <w:szCs w:val="32"/>
          <w:highlight w:val="none"/>
          <w:lang w:val="zh-CN"/>
        </w:rPr>
        <w:t>通用合同条款</w:t>
      </w:r>
    </w:p>
    <w:p w14:paraId="5FFE94A0">
      <w:pPr>
        <w:pStyle w:val="54"/>
        <w:keepNext/>
        <w:keepLines/>
        <w:spacing w:before="360" w:after="240" w:line="380" w:lineRule="atLeast"/>
        <w:outlineLvl w:val="2"/>
        <w:rPr>
          <w:rFonts w:ascii="Times New Roman" w:hAnsi="Times New Roman" w:eastAsia="黑体"/>
          <w:bCs/>
          <w:color w:val="auto"/>
          <w:kern w:val="44"/>
          <w:szCs w:val="21"/>
          <w:highlight w:val="none"/>
          <w:lang w:val="zh-CN"/>
        </w:rPr>
      </w:pPr>
      <w:bookmarkStart w:id="107" w:name="_Toc20378"/>
      <w:r>
        <w:rPr>
          <w:rFonts w:ascii="Times New Roman" w:hAnsi="Times New Roman" w:eastAsia="黑体"/>
          <w:bCs/>
          <w:color w:val="auto"/>
          <w:kern w:val="44"/>
          <w:szCs w:val="21"/>
          <w:highlight w:val="none"/>
          <w:lang w:val="zh-CN"/>
        </w:rPr>
        <w:t xml:space="preserve">1. </w:t>
      </w:r>
      <w:r>
        <w:rPr>
          <w:rFonts w:hint="eastAsia" w:ascii="Times New Roman" w:hAnsi="Times New Roman" w:eastAsia="黑体"/>
          <w:bCs/>
          <w:color w:val="auto"/>
          <w:kern w:val="44"/>
          <w:szCs w:val="21"/>
          <w:highlight w:val="none"/>
          <w:lang w:val="zh-CN"/>
        </w:rPr>
        <w:t>一般约定</w:t>
      </w:r>
      <w:bookmarkEnd w:id="107"/>
      <w:r>
        <w:rPr>
          <w:rFonts w:ascii="Times New Roman" w:hAnsi="Times New Roman" w:eastAsia="黑体"/>
          <w:bCs/>
          <w:color w:val="auto"/>
          <w:kern w:val="44"/>
          <w:szCs w:val="21"/>
          <w:highlight w:val="none"/>
          <w:lang w:val="zh-CN"/>
        </w:rPr>
        <w:tab/>
      </w:r>
    </w:p>
    <w:p w14:paraId="1393078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词语定义</w:t>
      </w:r>
    </w:p>
    <w:p w14:paraId="39E36D8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通用合同条款、专用合同条款中的下列词语应具有本款所赋予的含义。</w:t>
      </w:r>
    </w:p>
    <w:p w14:paraId="76354387">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1.1.1 </w:t>
      </w:r>
      <w:r>
        <w:rPr>
          <w:rFonts w:hint="eastAsia" w:ascii="Times New Roman" w:hAnsi="Times New Roman" w:eastAsia="黑体"/>
          <w:color w:val="auto"/>
          <w:szCs w:val="21"/>
          <w:highlight w:val="none"/>
        </w:rPr>
        <w:t>合同</w:t>
      </w:r>
    </w:p>
    <w:p w14:paraId="1A8B5E0A">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1.1.1.1 </w:t>
      </w:r>
      <w:r>
        <w:rPr>
          <w:rFonts w:hint="eastAsia" w:ascii="Times New Roman" w:hAnsi="Times New Roman"/>
          <w:color w:val="auto"/>
          <w:szCs w:val="21"/>
          <w:highlight w:val="none"/>
        </w:rPr>
        <w:t>合同文件（或称合同）：指合同协议书、中标通知书、投标函及投标函附录、专用合同条款、通用合同条款、技术标准和要求、图纸、已标价工程量清单，以及其他合同文件。</w:t>
      </w:r>
    </w:p>
    <w:p w14:paraId="647AA73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合同协议书：指第</w:t>
      </w:r>
      <w:r>
        <w:rPr>
          <w:rFonts w:ascii="Times New Roman" w:hAnsi="Times New Roman"/>
          <w:color w:val="auto"/>
          <w:szCs w:val="21"/>
          <w:highlight w:val="none"/>
        </w:rPr>
        <w:t>1.5</w:t>
      </w:r>
      <w:r>
        <w:rPr>
          <w:rFonts w:hint="eastAsia" w:ascii="Times New Roman" w:hAnsi="Times New Roman"/>
          <w:color w:val="auto"/>
          <w:szCs w:val="21"/>
          <w:highlight w:val="none"/>
        </w:rPr>
        <w:t>款所指的合同协议书。</w:t>
      </w:r>
    </w:p>
    <w:p w14:paraId="1C49871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1.1.1.3 </w:t>
      </w:r>
      <w:r>
        <w:rPr>
          <w:rFonts w:hint="eastAsia" w:ascii="Times New Roman" w:hAnsi="Times New Roman"/>
          <w:color w:val="auto"/>
          <w:szCs w:val="21"/>
          <w:highlight w:val="none"/>
        </w:rPr>
        <w:t>中标通知书：指发包人通知投标人中标的函件。</w:t>
      </w:r>
    </w:p>
    <w:p w14:paraId="345B8C72">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1.1.1.4 </w:t>
      </w:r>
      <w:r>
        <w:rPr>
          <w:rFonts w:hint="eastAsia" w:ascii="Times New Roman" w:hAnsi="Times New Roman"/>
          <w:color w:val="auto"/>
          <w:szCs w:val="21"/>
          <w:highlight w:val="none"/>
        </w:rPr>
        <w:t>投标函：指构成合同文件组成部分的由投标人填写并签署的投标函。</w:t>
      </w:r>
    </w:p>
    <w:p w14:paraId="17A76D2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1.1.1.5 </w:t>
      </w:r>
      <w:r>
        <w:rPr>
          <w:rFonts w:hint="eastAsia" w:ascii="Times New Roman" w:hAnsi="Times New Roman"/>
          <w:color w:val="auto"/>
          <w:szCs w:val="21"/>
          <w:highlight w:val="none"/>
        </w:rPr>
        <w:t>投标函附录：指附在投标函后构成合同文件的投标函附录。</w:t>
      </w:r>
    </w:p>
    <w:p w14:paraId="62210ACD">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1.1.1.6 </w:t>
      </w:r>
      <w:r>
        <w:rPr>
          <w:rFonts w:hint="eastAsia" w:ascii="Times New Roman" w:hAnsi="Times New Roman"/>
          <w:color w:val="auto"/>
          <w:szCs w:val="21"/>
          <w:highlight w:val="none"/>
        </w:rPr>
        <w:t>技术标准和要求：指构成合同文件组成部分的名为技术标准和要求的文件，包括合同双方当事人约定对其所作的修改或补充。</w:t>
      </w:r>
    </w:p>
    <w:p w14:paraId="6DE225E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1.1.1.7 </w:t>
      </w:r>
      <w:r>
        <w:rPr>
          <w:rFonts w:hint="eastAsia" w:ascii="Times New Roman" w:hAnsi="Times New Roman"/>
          <w:color w:val="auto"/>
          <w:szCs w:val="21"/>
          <w:highlight w:val="none"/>
        </w:rPr>
        <w:t>图纸：指包含在合同中的工程图纸，以及由发包人按合同约定提供的任何补充和修改的图纸，包括配套的说明。</w:t>
      </w:r>
    </w:p>
    <w:p w14:paraId="2ACF70B1">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1.1.1.8 </w:t>
      </w:r>
      <w:r>
        <w:rPr>
          <w:rFonts w:hint="eastAsia" w:ascii="Times New Roman" w:hAnsi="Times New Roman"/>
          <w:color w:val="auto"/>
          <w:szCs w:val="21"/>
          <w:highlight w:val="none"/>
        </w:rPr>
        <w:t>已标价工程量清单：指构成合同文件组成部分的由承包人按照规定的格式和要求填写并标明价格的工程量清单。</w:t>
      </w:r>
    </w:p>
    <w:p w14:paraId="4A6E6074">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1.1.1.9 </w:t>
      </w:r>
      <w:r>
        <w:rPr>
          <w:rFonts w:hint="eastAsia" w:ascii="Times New Roman" w:hAnsi="Times New Roman"/>
          <w:color w:val="auto"/>
          <w:szCs w:val="21"/>
          <w:highlight w:val="none"/>
        </w:rPr>
        <w:t>其他合同文件：指经合同双方当事人确认构成合同文件的其他文件。</w:t>
      </w:r>
    </w:p>
    <w:p w14:paraId="52813431">
      <w:pPr>
        <w:pStyle w:val="54"/>
        <w:spacing w:line="400" w:lineRule="atLeast"/>
        <w:ind w:firstLine="420" w:firstLineChars="200"/>
        <w:rPr>
          <w:rFonts w:ascii="Times New Roman" w:hAnsi="Times New Roman" w:eastAsia="黑体"/>
          <w:color w:val="auto"/>
          <w:szCs w:val="21"/>
          <w:highlight w:val="none"/>
        </w:rPr>
      </w:pPr>
      <w:r>
        <w:rPr>
          <w:rFonts w:ascii="Times New Roman" w:hAnsi="Times New Roman"/>
          <w:color w:val="auto"/>
          <w:szCs w:val="21"/>
          <w:highlight w:val="none"/>
        </w:rPr>
        <w:t xml:space="preserve">1.1.2 </w:t>
      </w:r>
      <w:r>
        <w:rPr>
          <w:rFonts w:hint="eastAsia" w:ascii="Times New Roman" w:hAnsi="Times New Roman" w:eastAsia="黑体"/>
          <w:color w:val="auto"/>
          <w:szCs w:val="21"/>
          <w:highlight w:val="none"/>
        </w:rPr>
        <w:t>合同当事人和人员</w:t>
      </w:r>
    </w:p>
    <w:p w14:paraId="1865971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1.1.2.1 </w:t>
      </w:r>
      <w:r>
        <w:rPr>
          <w:rFonts w:hint="eastAsia" w:ascii="Times New Roman" w:hAnsi="Times New Roman"/>
          <w:color w:val="auto"/>
          <w:szCs w:val="21"/>
          <w:highlight w:val="none"/>
        </w:rPr>
        <w:t>合同当事人：指发包人和（或）承包人。</w:t>
      </w:r>
    </w:p>
    <w:p w14:paraId="571F49E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1.1.2.2 </w:t>
      </w:r>
      <w:r>
        <w:rPr>
          <w:rFonts w:hint="eastAsia" w:ascii="Times New Roman" w:hAnsi="Times New Roman"/>
          <w:color w:val="auto"/>
          <w:szCs w:val="21"/>
          <w:highlight w:val="none"/>
        </w:rPr>
        <w:t>发包人：指专用合同条款中指明并与承包人在合同协议书中签字的当事人。</w:t>
      </w:r>
    </w:p>
    <w:p w14:paraId="1DCB0A32">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1.1.2.3</w:t>
      </w:r>
      <w:r>
        <w:rPr>
          <w:rFonts w:hint="eastAsia" w:ascii="Times New Roman" w:hAnsi="Times New Roman"/>
          <w:color w:val="auto"/>
          <w:szCs w:val="21"/>
          <w:highlight w:val="none"/>
        </w:rPr>
        <w:t>承包人：指与发包人签订合同协议书的当事人。</w:t>
      </w:r>
    </w:p>
    <w:p w14:paraId="56AF1B30">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1.1.2.4</w:t>
      </w:r>
      <w:r>
        <w:rPr>
          <w:rFonts w:hint="eastAsia" w:ascii="Times New Roman" w:hAnsi="Times New Roman"/>
          <w:color w:val="auto"/>
          <w:szCs w:val="21"/>
          <w:highlight w:val="none"/>
        </w:rPr>
        <w:t>承包人项目经理：指承包人派驻施工场地的全权负责人。</w:t>
      </w:r>
    </w:p>
    <w:p w14:paraId="740E04B1">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1.1.2.5</w:t>
      </w:r>
      <w:r>
        <w:rPr>
          <w:rFonts w:hint="eastAsia" w:ascii="Times New Roman" w:hAnsi="Times New Roman"/>
          <w:color w:val="auto"/>
          <w:szCs w:val="21"/>
          <w:highlight w:val="none"/>
        </w:rPr>
        <w:t>分包人：指从承包人处分包合同中某一部分工程，并与其签订分包合同的分包人。</w:t>
      </w:r>
    </w:p>
    <w:p w14:paraId="3B85EF78">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1.1.2.6</w:t>
      </w:r>
      <w:r>
        <w:rPr>
          <w:rFonts w:hint="eastAsia" w:ascii="Times New Roman" w:hAnsi="Times New Roman"/>
          <w:color w:val="auto"/>
          <w:szCs w:val="21"/>
          <w:highlight w:val="none"/>
        </w:rPr>
        <w:t>监理人：指在专用合同条款中指明的，受发包人委托对合同履行实施管理的法人或其他组织。</w:t>
      </w:r>
    </w:p>
    <w:p w14:paraId="7A23EF4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1.1.2.7</w:t>
      </w:r>
      <w:r>
        <w:rPr>
          <w:rFonts w:hint="eastAsia" w:ascii="Times New Roman" w:hAnsi="Times New Roman"/>
          <w:color w:val="auto"/>
          <w:szCs w:val="21"/>
          <w:highlight w:val="none"/>
        </w:rPr>
        <w:t>总监理工程师（总监）：指由监理人委派常驻施工场地对合同履行实施管理的全权负责人。</w:t>
      </w:r>
    </w:p>
    <w:p w14:paraId="5B246EF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1.1.3 </w:t>
      </w:r>
      <w:r>
        <w:rPr>
          <w:rFonts w:hint="eastAsia" w:ascii="Times New Roman" w:hAnsi="Times New Roman" w:eastAsia="黑体"/>
          <w:color w:val="auto"/>
          <w:szCs w:val="21"/>
          <w:highlight w:val="none"/>
        </w:rPr>
        <w:t>工程和设备</w:t>
      </w:r>
    </w:p>
    <w:p w14:paraId="47A7079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1.1.3.1 </w:t>
      </w:r>
      <w:r>
        <w:rPr>
          <w:rFonts w:hint="eastAsia" w:ascii="Times New Roman" w:hAnsi="Times New Roman"/>
          <w:color w:val="auto"/>
          <w:szCs w:val="21"/>
          <w:highlight w:val="none"/>
        </w:rPr>
        <w:t>工程：指永久工程和（或）临时工程。</w:t>
      </w:r>
    </w:p>
    <w:p w14:paraId="7744005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1.1.3.2 </w:t>
      </w:r>
      <w:r>
        <w:rPr>
          <w:rFonts w:hint="eastAsia" w:ascii="Times New Roman" w:hAnsi="Times New Roman"/>
          <w:color w:val="auto"/>
          <w:szCs w:val="21"/>
          <w:highlight w:val="none"/>
        </w:rPr>
        <w:t>永久工程：指按合同约定建造并移交给发包人的工程，包括工程设备。</w:t>
      </w:r>
    </w:p>
    <w:p w14:paraId="04E29CE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1.1.3.3 </w:t>
      </w:r>
      <w:r>
        <w:rPr>
          <w:rFonts w:hint="eastAsia" w:ascii="Times New Roman" w:hAnsi="Times New Roman"/>
          <w:color w:val="auto"/>
          <w:szCs w:val="21"/>
          <w:highlight w:val="none"/>
        </w:rPr>
        <w:t>临时工程：指为完成合同约定的永久工程所修建的各类临时性工程，不包括施工设备。</w:t>
      </w:r>
    </w:p>
    <w:p w14:paraId="7468FDB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1.1.3.4 </w:t>
      </w:r>
      <w:r>
        <w:rPr>
          <w:rFonts w:hint="eastAsia" w:ascii="Times New Roman" w:hAnsi="Times New Roman"/>
          <w:color w:val="auto"/>
          <w:szCs w:val="21"/>
          <w:highlight w:val="none"/>
        </w:rPr>
        <w:t>单位工程：指专用合同条款中指明特定范围的永久工程。</w:t>
      </w:r>
    </w:p>
    <w:p w14:paraId="4541F7D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1.1.3.5 </w:t>
      </w:r>
      <w:r>
        <w:rPr>
          <w:rFonts w:hint="eastAsia" w:ascii="Times New Roman" w:hAnsi="Times New Roman"/>
          <w:color w:val="auto"/>
          <w:szCs w:val="21"/>
          <w:highlight w:val="none"/>
        </w:rPr>
        <w:t>工程设备：指构成或计划构成永久工程一部分的机电设备、金属结构设备、仪器装置及其他类似的设备和装置。</w:t>
      </w:r>
    </w:p>
    <w:p w14:paraId="210FAEF4">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1.1.3.6 </w:t>
      </w:r>
      <w:r>
        <w:rPr>
          <w:rFonts w:hint="eastAsia" w:ascii="Times New Roman" w:hAnsi="Times New Roman"/>
          <w:color w:val="auto"/>
          <w:szCs w:val="21"/>
          <w:highlight w:val="none"/>
        </w:rPr>
        <w:t>施工设备：指为完成合同约定的各项工作所需的设备、器具和其他物品，不包括临时工程和材料。</w:t>
      </w:r>
    </w:p>
    <w:p w14:paraId="72C1A2A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1.1.3.7</w:t>
      </w:r>
      <w:r>
        <w:rPr>
          <w:rFonts w:hint="eastAsia" w:ascii="Times New Roman" w:hAnsi="Times New Roman"/>
          <w:color w:val="auto"/>
          <w:szCs w:val="21"/>
          <w:highlight w:val="none"/>
        </w:rPr>
        <w:t>临时设施：指为完成合同约定的各项工作所服务的临时性生产和生活设施。</w:t>
      </w:r>
    </w:p>
    <w:p w14:paraId="68FE3CDA">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1.1.3.8 </w:t>
      </w:r>
      <w:r>
        <w:rPr>
          <w:rFonts w:hint="eastAsia" w:ascii="Times New Roman" w:hAnsi="Times New Roman"/>
          <w:color w:val="auto"/>
          <w:szCs w:val="21"/>
          <w:highlight w:val="none"/>
        </w:rPr>
        <w:t>承包人设备：指承包人自带的施工设备。</w:t>
      </w:r>
    </w:p>
    <w:p w14:paraId="469790F5">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1.1.3.9 </w:t>
      </w:r>
      <w:r>
        <w:rPr>
          <w:rFonts w:hint="eastAsia" w:ascii="Times New Roman" w:hAnsi="Times New Roman"/>
          <w:color w:val="auto"/>
          <w:szCs w:val="21"/>
          <w:highlight w:val="none"/>
        </w:rPr>
        <w:t>施工场地（或称工地、现场）：指用于合同工程施工的场所，以及在合同中指定作为施工场地组成部分的其他场所，包括永久占地和临时占地。</w:t>
      </w:r>
    </w:p>
    <w:p w14:paraId="02E9CF3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1.1.3.10 </w:t>
      </w:r>
      <w:r>
        <w:rPr>
          <w:rFonts w:hint="eastAsia" w:ascii="Times New Roman" w:hAnsi="Times New Roman"/>
          <w:color w:val="auto"/>
          <w:szCs w:val="21"/>
          <w:highlight w:val="none"/>
        </w:rPr>
        <w:t>永久占地：指专用合同条款中指明为实施合同工程需永久占用的土地。</w:t>
      </w:r>
    </w:p>
    <w:p w14:paraId="3BB4AF5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1.1.3.11 </w:t>
      </w:r>
      <w:r>
        <w:rPr>
          <w:rFonts w:hint="eastAsia" w:ascii="Times New Roman" w:hAnsi="Times New Roman"/>
          <w:color w:val="auto"/>
          <w:szCs w:val="21"/>
          <w:highlight w:val="none"/>
        </w:rPr>
        <w:t>临时占地：指专用合同条款中指明为实施合同工程需临时占用的土地。</w:t>
      </w:r>
    </w:p>
    <w:p w14:paraId="6E80D810">
      <w:pPr>
        <w:pStyle w:val="54"/>
        <w:spacing w:line="400" w:lineRule="atLeast"/>
        <w:ind w:firstLine="420" w:firstLineChars="200"/>
        <w:rPr>
          <w:rFonts w:ascii="Times New Roman" w:hAnsi="Times New Roman" w:eastAsia="黑体"/>
          <w:color w:val="auto"/>
          <w:szCs w:val="21"/>
          <w:highlight w:val="none"/>
        </w:rPr>
      </w:pPr>
      <w:r>
        <w:rPr>
          <w:rFonts w:ascii="Times New Roman" w:hAnsi="Times New Roman"/>
          <w:color w:val="auto"/>
          <w:szCs w:val="21"/>
          <w:highlight w:val="none"/>
        </w:rPr>
        <w:t xml:space="preserve">1.1.4 </w:t>
      </w:r>
      <w:r>
        <w:rPr>
          <w:rFonts w:hint="eastAsia" w:ascii="Times New Roman" w:hAnsi="Times New Roman" w:eastAsia="黑体"/>
          <w:color w:val="auto"/>
          <w:szCs w:val="21"/>
          <w:highlight w:val="none"/>
        </w:rPr>
        <w:t>日期</w:t>
      </w:r>
    </w:p>
    <w:p w14:paraId="0EEC57E0">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1.1.4.1 </w:t>
      </w:r>
      <w:r>
        <w:rPr>
          <w:rFonts w:hint="eastAsia" w:ascii="Times New Roman" w:hAnsi="Times New Roman"/>
          <w:color w:val="auto"/>
          <w:szCs w:val="21"/>
          <w:highlight w:val="none"/>
        </w:rPr>
        <w:t>开工通知：指监理人按第</w:t>
      </w:r>
      <w:r>
        <w:rPr>
          <w:rFonts w:ascii="Times New Roman" w:hAnsi="Times New Roman"/>
          <w:color w:val="auto"/>
          <w:szCs w:val="21"/>
          <w:highlight w:val="none"/>
        </w:rPr>
        <w:t>11.1</w:t>
      </w:r>
      <w:r>
        <w:rPr>
          <w:rFonts w:hint="eastAsia" w:ascii="Times New Roman" w:hAnsi="Times New Roman"/>
          <w:color w:val="auto"/>
          <w:szCs w:val="21"/>
          <w:highlight w:val="none"/>
        </w:rPr>
        <w:t>款通知承包人开工的函件。</w:t>
      </w:r>
    </w:p>
    <w:p w14:paraId="2138832E">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1.1.4.2 </w:t>
      </w:r>
      <w:r>
        <w:rPr>
          <w:rFonts w:hint="eastAsia" w:ascii="Times New Roman" w:hAnsi="Times New Roman"/>
          <w:color w:val="auto"/>
          <w:szCs w:val="21"/>
          <w:highlight w:val="none"/>
        </w:rPr>
        <w:t>开工日期：指监理人按第</w:t>
      </w:r>
      <w:r>
        <w:rPr>
          <w:rFonts w:ascii="Times New Roman" w:hAnsi="Times New Roman"/>
          <w:color w:val="auto"/>
          <w:szCs w:val="21"/>
          <w:highlight w:val="none"/>
        </w:rPr>
        <w:t>11.1</w:t>
      </w:r>
      <w:r>
        <w:rPr>
          <w:rFonts w:hint="eastAsia" w:ascii="Times New Roman" w:hAnsi="Times New Roman"/>
          <w:color w:val="auto"/>
          <w:szCs w:val="21"/>
          <w:highlight w:val="none"/>
        </w:rPr>
        <w:t>款发出的开工通知中写明的开工日期。</w:t>
      </w:r>
    </w:p>
    <w:p w14:paraId="57960C1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1.1.4.3 </w:t>
      </w:r>
      <w:r>
        <w:rPr>
          <w:rFonts w:hint="eastAsia" w:ascii="Times New Roman" w:hAnsi="Times New Roman"/>
          <w:color w:val="auto"/>
          <w:szCs w:val="21"/>
          <w:highlight w:val="none"/>
        </w:rPr>
        <w:t>工期：指承包人在投标函中承诺的完成合同工程所需的期限，包括按第</w:t>
      </w:r>
      <w:r>
        <w:rPr>
          <w:rFonts w:ascii="Times New Roman" w:hAnsi="Times New Roman"/>
          <w:color w:val="auto"/>
          <w:szCs w:val="21"/>
          <w:highlight w:val="none"/>
        </w:rPr>
        <w:t>11.3</w:t>
      </w:r>
      <w:r>
        <w:rPr>
          <w:rFonts w:hint="eastAsia" w:ascii="Times New Roman" w:hAnsi="Times New Roman"/>
          <w:color w:val="auto"/>
          <w:szCs w:val="21"/>
          <w:highlight w:val="none"/>
        </w:rPr>
        <w:t>款、第</w:t>
      </w:r>
      <w:r>
        <w:rPr>
          <w:rFonts w:ascii="Times New Roman" w:hAnsi="Times New Roman"/>
          <w:color w:val="auto"/>
          <w:szCs w:val="21"/>
          <w:highlight w:val="none"/>
        </w:rPr>
        <w:t>11.4</w:t>
      </w:r>
      <w:r>
        <w:rPr>
          <w:rFonts w:hint="eastAsia" w:ascii="Times New Roman" w:hAnsi="Times New Roman"/>
          <w:color w:val="auto"/>
          <w:szCs w:val="21"/>
          <w:highlight w:val="none"/>
        </w:rPr>
        <w:t>款和第</w:t>
      </w:r>
      <w:r>
        <w:rPr>
          <w:rFonts w:ascii="Times New Roman" w:hAnsi="Times New Roman"/>
          <w:color w:val="auto"/>
          <w:szCs w:val="21"/>
          <w:highlight w:val="none"/>
        </w:rPr>
        <w:t>11.6</w:t>
      </w:r>
      <w:r>
        <w:rPr>
          <w:rFonts w:hint="eastAsia" w:ascii="Times New Roman" w:hAnsi="Times New Roman"/>
          <w:color w:val="auto"/>
          <w:szCs w:val="21"/>
          <w:highlight w:val="none"/>
        </w:rPr>
        <w:t>款约定所作的变更。</w:t>
      </w:r>
    </w:p>
    <w:p w14:paraId="14C755CF">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1.1.4.4 </w:t>
      </w:r>
      <w:r>
        <w:rPr>
          <w:rFonts w:hint="eastAsia" w:ascii="Times New Roman" w:hAnsi="Times New Roman"/>
          <w:color w:val="auto"/>
          <w:szCs w:val="21"/>
          <w:highlight w:val="none"/>
        </w:rPr>
        <w:t>竣工日期：指第</w:t>
      </w:r>
      <w:r>
        <w:rPr>
          <w:rFonts w:ascii="Times New Roman" w:hAnsi="Times New Roman"/>
          <w:color w:val="auto"/>
          <w:szCs w:val="21"/>
          <w:highlight w:val="none"/>
        </w:rPr>
        <w:t>1.1.4.3</w:t>
      </w:r>
      <w:r>
        <w:rPr>
          <w:rFonts w:hint="eastAsia" w:ascii="Times New Roman" w:hAnsi="Times New Roman"/>
          <w:color w:val="auto"/>
          <w:szCs w:val="21"/>
          <w:highlight w:val="none"/>
        </w:rPr>
        <w:t>目约定工期届满时的日期。实际竣工日期以工程接收证书中写明的日期为准。</w:t>
      </w:r>
    </w:p>
    <w:p w14:paraId="64F11877">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1.1.4.5 </w:t>
      </w:r>
      <w:r>
        <w:rPr>
          <w:rFonts w:hint="eastAsia" w:ascii="Times New Roman" w:hAnsi="Times New Roman"/>
          <w:color w:val="auto"/>
          <w:szCs w:val="21"/>
          <w:highlight w:val="none"/>
        </w:rPr>
        <w:t>缺陷责任期：指履行第</w:t>
      </w:r>
      <w:r>
        <w:rPr>
          <w:rFonts w:ascii="Times New Roman" w:hAnsi="Times New Roman"/>
          <w:color w:val="auto"/>
          <w:szCs w:val="21"/>
          <w:highlight w:val="none"/>
        </w:rPr>
        <w:t>19.2</w:t>
      </w:r>
      <w:r>
        <w:rPr>
          <w:rFonts w:hint="eastAsia" w:ascii="Times New Roman" w:hAnsi="Times New Roman"/>
          <w:color w:val="auto"/>
          <w:szCs w:val="21"/>
          <w:highlight w:val="none"/>
        </w:rPr>
        <w:t>款约定的缺陷责任的期限，具体期限由专用合同条款约定，包括根据第</w:t>
      </w:r>
      <w:r>
        <w:rPr>
          <w:rFonts w:ascii="Times New Roman" w:hAnsi="Times New Roman"/>
          <w:color w:val="auto"/>
          <w:szCs w:val="21"/>
          <w:highlight w:val="none"/>
        </w:rPr>
        <w:t>19.3</w:t>
      </w:r>
      <w:r>
        <w:rPr>
          <w:rFonts w:hint="eastAsia" w:ascii="Times New Roman" w:hAnsi="Times New Roman"/>
          <w:color w:val="auto"/>
          <w:szCs w:val="21"/>
          <w:highlight w:val="none"/>
        </w:rPr>
        <w:t>款约定所作的延长。</w:t>
      </w:r>
    </w:p>
    <w:p w14:paraId="4DFA63C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1.1.4.6 </w:t>
      </w:r>
      <w:r>
        <w:rPr>
          <w:rFonts w:hint="eastAsia" w:ascii="Times New Roman" w:hAnsi="Times New Roman"/>
          <w:color w:val="auto"/>
          <w:szCs w:val="21"/>
          <w:highlight w:val="none"/>
        </w:rPr>
        <w:t>基准日期：指投标截止时间前</w:t>
      </w:r>
      <w:r>
        <w:rPr>
          <w:rFonts w:ascii="Times New Roman" w:hAnsi="Times New Roman"/>
          <w:color w:val="auto"/>
          <w:szCs w:val="21"/>
          <w:highlight w:val="none"/>
        </w:rPr>
        <w:t>28</w:t>
      </w:r>
      <w:r>
        <w:rPr>
          <w:rFonts w:hint="eastAsia" w:ascii="Times New Roman" w:hAnsi="Times New Roman"/>
          <w:color w:val="auto"/>
          <w:szCs w:val="21"/>
          <w:highlight w:val="none"/>
        </w:rPr>
        <w:t>天的日期。</w:t>
      </w:r>
    </w:p>
    <w:p w14:paraId="2905766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1.1.4.7 </w:t>
      </w:r>
      <w:r>
        <w:rPr>
          <w:rFonts w:hint="eastAsia" w:ascii="Times New Roman" w:hAnsi="Times New Roman"/>
          <w:color w:val="auto"/>
          <w:szCs w:val="21"/>
          <w:highlight w:val="none"/>
        </w:rPr>
        <w:t>天：除特别指明外，指日历天。合同中按天计算时间的，开始当天不计入，从次日开始计算。期限最后一天的截止时间为当天</w:t>
      </w:r>
      <w:r>
        <w:rPr>
          <w:rFonts w:ascii="Times New Roman" w:hAnsi="Times New Roman"/>
          <w:color w:val="auto"/>
          <w:szCs w:val="21"/>
          <w:highlight w:val="none"/>
        </w:rPr>
        <w:t>24:00</w:t>
      </w:r>
      <w:r>
        <w:rPr>
          <w:rFonts w:hint="eastAsia" w:ascii="Times New Roman" w:hAnsi="Times New Roman"/>
          <w:color w:val="auto"/>
          <w:szCs w:val="21"/>
          <w:highlight w:val="none"/>
        </w:rPr>
        <w:t>。</w:t>
      </w:r>
    </w:p>
    <w:p w14:paraId="05EB171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1.1.5 </w:t>
      </w:r>
      <w:r>
        <w:rPr>
          <w:rFonts w:hint="eastAsia" w:ascii="Times New Roman" w:hAnsi="Times New Roman" w:eastAsia="黑体"/>
          <w:color w:val="auto"/>
          <w:szCs w:val="21"/>
          <w:highlight w:val="none"/>
        </w:rPr>
        <w:t>合同价格和费用</w:t>
      </w:r>
    </w:p>
    <w:p w14:paraId="527CD646">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1.1.5.1 </w:t>
      </w:r>
      <w:r>
        <w:rPr>
          <w:rFonts w:hint="eastAsia" w:ascii="Times New Roman" w:hAnsi="Times New Roman"/>
          <w:color w:val="auto"/>
          <w:szCs w:val="21"/>
          <w:highlight w:val="none"/>
        </w:rPr>
        <w:t>签约合同价：指签订合同时合同协议书中写明的，包括了暂列金额、暂估价的合同总金额。</w:t>
      </w:r>
    </w:p>
    <w:p w14:paraId="59DC4E82">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1.1.5.2 </w:t>
      </w:r>
      <w:r>
        <w:rPr>
          <w:rFonts w:hint="eastAsia" w:ascii="Times New Roman" w:hAnsi="Times New Roman"/>
          <w:color w:val="auto"/>
          <w:szCs w:val="21"/>
          <w:highlight w:val="none"/>
        </w:rPr>
        <w:t>合同价格：指承包人按合同约定完成了包括缺陷责任期内的全部承包工作后，发包人应付给承包人的金额，包括在履行合同过程中按合同约定进行的变更和调整。</w:t>
      </w:r>
    </w:p>
    <w:p w14:paraId="51E00951">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1.1.5.3 </w:t>
      </w:r>
      <w:r>
        <w:rPr>
          <w:rFonts w:hint="eastAsia" w:ascii="Times New Roman" w:hAnsi="Times New Roman"/>
          <w:color w:val="auto"/>
          <w:szCs w:val="21"/>
          <w:highlight w:val="none"/>
        </w:rPr>
        <w:t>费用：指为履行合同所发生的或将要发生的所有合理开支，包括管理费和应分摊的其他费用，但不包括利润。</w:t>
      </w:r>
    </w:p>
    <w:p w14:paraId="09825E10">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1.1.5.4 </w:t>
      </w:r>
      <w:r>
        <w:rPr>
          <w:rFonts w:hint="eastAsia" w:ascii="Times New Roman" w:hAnsi="Times New Roman"/>
          <w:color w:val="auto"/>
          <w:szCs w:val="21"/>
          <w:highlight w:val="none"/>
        </w:rPr>
        <w:t>暂列金额：指已标价工程量清单中所列的暂列金额，用于在签订协议书时尚未确定或不可预见变更的施工及其所需材料、工程设备、服务等的金额，包括以计日工方式支付的金额。</w:t>
      </w:r>
    </w:p>
    <w:p w14:paraId="6DFAB27C">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1.1.5.5</w:t>
      </w:r>
      <w:r>
        <w:rPr>
          <w:rFonts w:hint="eastAsia" w:ascii="Times New Roman" w:hAnsi="Times New Roman"/>
          <w:color w:val="auto"/>
          <w:szCs w:val="21"/>
          <w:highlight w:val="none"/>
        </w:rPr>
        <w:t>暂估价：指发包人在工程量清单中给定的用于支付必然发生但暂时不能确定价格的材料、工程设备以及专业工程的金额。</w:t>
      </w:r>
    </w:p>
    <w:p w14:paraId="123FA5E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1.1.5.6 </w:t>
      </w:r>
      <w:r>
        <w:rPr>
          <w:rFonts w:hint="eastAsia" w:ascii="Times New Roman" w:hAnsi="Times New Roman"/>
          <w:color w:val="auto"/>
          <w:szCs w:val="21"/>
          <w:highlight w:val="none"/>
        </w:rPr>
        <w:t>计日工：指对零星工作采取的一种计价方式，按合同中的计日工子目及其单价计价付款。</w:t>
      </w:r>
    </w:p>
    <w:p w14:paraId="40E74783">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1.1.5.7 </w:t>
      </w:r>
      <w:r>
        <w:rPr>
          <w:rFonts w:hint="eastAsia" w:ascii="Times New Roman" w:hAnsi="Times New Roman"/>
          <w:color w:val="auto"/>
          <w:szCs w:val="21"/>
          <w:highlight w:val="none"/>
        </w:rPr>
        <w:t>质量保证金（或称保留金）：指按第</w:t>
      </w:r>
      <w:r>
        <w:rPr>
          <w:rFonts w:ascii="Times New Roman" w:hAnsi="Times New Roman"/>
          <w:color w:val="auto"/>
          <w:szCs w:val="21"/>
          <w:highlight w:val="none"/>
        </w:rPr>
        <w:t>17.4.1</w:t>
      </w:r>
      <w:r>
        <w:rPr>
          <w:rFonts w:hint="eastAsia" w:ascii="Times New Roman" w:hAnsi="Times New Roman"/>
          <w:color w:val="auto"/>
          <w:szCs w:val="21"/>
          <w:highlight w:val="none"/>
        </w:rPr>
        <w:t>项约定用于保证在缺陷责任期内履行缺陷修复义务的金额。</w:t>
      </w:r>
    </w:p>
    <w:p w14:paraId="3C2196AC">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1.1.6 </w:t>
      </w:r>
      <w:r>
        <w:rPr>
          <w:rFonts w:hint="eastAsia" w:ascii="Times New Roman" w:hAnsi="Times New Roman" w:eastAsia="黑体"/>
          <w:color w:val="auto"/>
          <w:szCs w:val="21"/>
          <w:highlight w:val="none"/>
        </w:rPr>
        <w:t>其他</w:t>
      </w:r>
    </w:p>
    <w:p w14:paraId="4CA64A79">
      <w:pPr>
        <w:pStyle w:val="54"/>
        <w:spacing w:line="400" w:lineRule="atLeast"/>
        <w:ind w:firstLine="630" w:firstLineChars="300"/>
        <w:rPr>
          <w:rFonts w:ascii="Times New Roman" w:hAnsi="Times New Roman"/>
          <w:color w:val="auto"/>
          <w:szCs w:val="21"/>
          <w:highlight w:val="none"/>
        </w:rPr>
      </w:pPr>
      <w:r>
        <w:rPr>
          <w:rFonts w:ascii="Times New Roman" w:hAnsi="Times New Roman"/>
          <w:color w:val="auto"/>
          <w:szCs w:val="21"/>
          <w:highlight w:val="none"/>
        </w:rPr>
        <w:t xml:space="preserve">1.1.6.1 </w:t>
      </w:r>
      <w:r>
        <w:rPr>
          <w:rFonts w:hint="eastAsia" w:ascii="Times New Roman" w:hAnsi="Times New Roman"/>
          <w:color w:val="auto"/>
          <w:szCs w:val="21"/>
          <w:highlight w:val="none"/>
        </w:rPr>
        <w:t>书面形式：指合同文件、信函、电报、传真等可以有形地表现所载内容的形式。</w:t>
      </w:r>
    </w:p>
    <w:p w14:paraId="1509A08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 </w:t>
      </w:r>
      <w:r>
        <w:rPr>
          <w:rFonts w:hint="eastAsia" w:ascii="Times New Roman" w:hAnsi="Times New Roman" w:eastAsia="黑体"/>
          <w:bCs/>
          <w:color w:val="auto"/>
          <w:kern w:val="44"/>
          <w:szCs w:val="21"/>
          <w:highlight w:val="none"/>
          <w:lang w:val="zh-CN"/>
        </w:rPr>
        <w:t>语言文字</w:t>
      </w:r>
    </w:p>
    <w:p w14:paraId="7B9441B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除专用术语外，合同使用的语言文字为中文。必要时专用术语应附有中文注释。</w:t>
      </w:r>
    </w:p>
    <w:p w14:paraId="60B568E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 </w:t>
      </w:r>
      <w:r>
        <w:rPr>
          <w:rFonts w:hint="eastAsia" w:ascii="Times New Roman" w:hAnsi="Times New Roman" w:eastAsia="黑体"/>
          <w:bCs/>
          <w:color w:val="auto"/>
          <w:kern w:val="44"/>
          <w:szCs w:val="21"/>
          <w:highlight w:val="none"/>
          <w:lang w:val="zh-CN"/>
        </w:rPr>
        <w:t>法律</w:t>
      </w:r>
    </w:p>
    <w:p w14:paraId="7AF13856">
      <w:pPr>
        <w:pStyle w:val="54"/>
        <w:tabs>
          <w:tab w:val="left" w:pos="7020"/>
        </w:tabs>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适用于合同的法律包括中华人民共和国法律、行政法规、部门规章，以及工程所在地的地方法规、自治条例、单行条例和地方政府规章。</w:t>
      </w:r>
    </w:p>
    <w:p w14:paraId="1BA50B4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 </w:t>
      </w:r>
      <w:r>
        <w:rPr>
          <w:rFonts w:hint="eastAsia" w:ascii="Times New Roman" w:hAnsi="Times New Roman" w:eastAsia="黑体"/>
          <w:bCs/>
          <w:color w:val="auto"/>
          <w:kern w:val="44"/>
          <w:szCs w:val="21"/>
          <w:highlight w:val="none"/>
          <w:lang w:val="zh-CN"/>
        </w:rPr>
        <w:t>合同文件的优先顺序</w:t>
      </w:r>
    </w:p>
    <w:p w14:paraId="6B43948E">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组成合同的各项文件应互相解释，互为说明。除专用合同条款另有约定外，解释合同文件的优先顺序如下：</w:t>
      </w:r>
    </w:p>
    <w:p w14:paraId="4A7D070D">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1</w:t>
      </w:r>
      <w:r>
        <w:rPr>
          <w:rFonts w:hint="eastAsia" w:ascii="Times New Roman" w:hAnsi="Times New Roman"/>
          <w:color w:val="auto"/>
          <w:szCs w:val="21"/>
          <w:highlight w:val="none"/>
        </w:rPr>
        <w:t>）合同协议书；</w:t>
      </w:r>
    </w:p>
    <w:p w14:paraId="23C1D0E9">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2</w:t>
      </w:r>
      <w:r>
        <w:rPr>
          <w:rFonts w:hint="eastAsia" w:ascii="Times New Roman" w:hAnsi="Times New Roman"/>
          <w:color w:val="auto"/>
          <w:szCs w:val="21"/>
          <w:highlight w:val="none"/>
        </w:rPr>
        <w:t>）中标通知书；</w:t>
      </w:r>
    </w:p>
    <w:p w14:paraId="53B2AB43">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3</w:t>
      </w:r>
      <w:r>
        <w:rPr>
          <w:rFonts w:hint="eastAsia" w:ascii="Times New Roman" w:hAnsi="Times New Roman"/>
          <w:color w:val="auto"/>
          <w:szCs w:val="21"/>
          <w:highlight w:val="none"/>
        </w:rPr>
        <w:t>）投标函及投标函附录；</w:t>
      </w:r>
    </w:p>
    <w:p w14:paraId="5C363DA9">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4</w:t>
      </w:r>
      <w:r>
        <w:rPr>
          <w:rFonts w:hint="eastAsia" w:ascii="Times New Roman" w:hAnsi="Times New Roman"/>
          <w:color w:val="auto"/>
          <w:szCs w:val="21"/>
          <w:highlight w:val="none"/>
        </w:rPr>
        <w:t>）专用合同条款；</w:t>
      </w:r>
    </w:p>
    <w:p w14:paraId="771FD352">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5</w:t>
      </w:r>
      <w:r>
        <w:rPr>
          <w:rFonts w:hint="eastAsia" w:ascii="Times New Roman" w:hAnsi="Times New Roman"/>
          <w:color w:val="auto"/>
          <w:szCs w:val="21"/>
          <w:highlight w:val="none"/>
        </w:rPr>
        <w:t>）通用合同条款；</w:t>
      </w:r>
    </w:p>
    <w:p w14:paraId="0A4FF77C">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6</w:t>
      </w:r>
      <w:r>
        <w:rPr>
          <w:rFonts w:hint="eastAsia" w:ascii="Times New Roman" w:hAnsi="Times New Roman"/>
          <w:color w:val="auto"/>
          <w:szCs w:val="21"/>
          <w:highlight w:val="none"/>
        </w:rPr>
        <w:t>）技术标准和要求；</w:t>
      </w:r>
    </w:p>
    <w:p w14:paraId="2CEF7AAC">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7</w:t>
      </w:r>
      <w:r>
        <w:rPr>
          <w:rFonts w:hint="eastAsia" w:ascii="Times New Roman" w:hAnsi="Times New Roman"/>
          <w:color w:val="auto"/>
          <w:szCs w:val="21"/>
          <w:highlight w:val="none"/>
        </w:rPr>
        <w:t>）图纸；</w:t>
      </w:r>
    </w:p>
    <w:p w14:paraId="43E60E36">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w:t>
      </w:r>
      <w:r>
        <w:rPr>
          <w:rFonts w:hint="eastAsia" w:ascii="Times New Roman" w:hAnsi="Times New Roman"/>
          <w:color w:val="auto"/>
          <w:szCs w:val="21"/>
          <w:highlight w:val="none"/>
        </w:rPr>
        <w:t>）已标价工程量清单；</w:t>
      </w:r>
    </w:p>
    <w:p w14:paraId="577BB48D">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9</w:t>
      </w:r>
      <w:r>
        <w:rPr>
          <w:rFonts w:hint="eastAsia" w:ascii="Times New Roman" w:hAnsi="Times New Roman"/>
          <w:color w:val="auto"/>
          <w:szCs w:val="21"/>
          <w:highlight w:val="none"/>
        </w:rPr>
        <w:t>）其他合同文件。</w:t>
      </w:r>
      <w:r>
        <w:rPr>
          <w:rFonts w:ascii="Times New Roman" w:hAnsi="Times New Roman"/>
          <w:color w:val="auto"/>
          <w:szCs w:val="21"/>
          <w:highlight w:val="none"/>
        </w:rPr>
        <w:t xml:space="preserve">     </w:t>
      </w:r>
    </w:p>
    <w:p w14:paraId="304F970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 </w:t>
      </w:r>
      <w:r>
        <w:rPr>
          <w:rFonts w:hint="eastAsia" w:ascii="Times New Roman" w:hAnsi="Times New Roman" w:eastAsia="黑体"/>
          <w:bCs/>
          <w:color w:val="auto"/>
          <w:kern w:val="44"/>
          <w:szCs w:val="21"/>
          <w:highlight w:val="none"/>
          <w:lang w:val="zh-CN"/>
        </w:rPr>
        <w:t>合同协议书</w:t>
      </w:r>
    </w:p>
    <w:p w14:paraId="10F7F2DE">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承包人按中标通知书规定的时间与发包人签订合同协议书。除法律另有规定或合同另有约定外，发包人和承包人的法定代表人或其委托代理人在合同协议书上签字并盖单位章后，合同生效。</w:t>
      </w:r>
    </w:p>
    <w:p w14:paraId="7F613C2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1.6 </w:t>
      </w:r>
      <w:r>
        <w:rPr>
          <w:rFonts w:hint="eastAsia" w:ascii="Times New Roman" w:hAnsi="Times New Roman" w:eastAsia="黑体"/>
          <w:bCs/>
          <w:color w:val="auto"/>
          <w:kern w:val="44"/>
          <w:szCs w:val="21"/>
          <w:highlight w:val="none"/>
          <w:lang w:val="zh-CN"/>
        </w:rPr>
        <w:t>图纸和承包人文件</w:t>
      </w:r>
    </w:p>
    <w:p w14:paraId="6B419A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1.6.1 </w:t>
      </w:r>
      <w:r>
        <w:rPr>
          <w:rFonts w:hint="eastAsia" w:ascii="Times New Roman" w:hAnsi="Times New Roman" w:eastAsia="黑体"/>
          <w:color w:val="auto"/>
          <w:szCs w:val="21"/>
          <w:highlight w:val="none"/>
        </w:rPr>
        <w:t>图纸的提供</w:t>
      </w:r>
    </w:p>
    <w:p w14:paraId="2417C29D">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除专用合同条款另有约定外，图纸应在合理的期限内按照合同约定的数量提供给承包人。由于发包人未按时提供图纸造成工期延误的，按第</w:t>
      </w:r>
      <w:r>
        <w:rPr>
          <w:rFonts w:ascii="Times New Roman" w:hAnsi="Times New Roman"/>
          <w:color w:val="auto"/>
          <w:szCs w:val="21"/>
          <w:highlight w:val="none"/>
        </w:rPr>
        <w:t>11.3</w:t>
      </w:r>
      <w:r>
        <w:rPr>
          <w:rFonts w:hint="eastAsia" w:ascii="Times New Roman" w:hAnsi="Times New Roman"/>
          <w:color w:val="auto"/>
          <w:szCs w:val="21"/>
          <w:highlight w:val="none"/>
        </w:rPr>
        <w:t>款的约定办理。</w:t>
      </w:r>
    </w:p>
    <w:p w14:paraId="4DEE68C3">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1.6.2</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承包人提供的文件</w:t>
      </w:r>
    </w:p>
    <w:p w14:paraId="20C3622C">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按专用合同条款约定由承包人提供的文件，包括部分工程的大样图、加工图等，承包人应按约定的数量和期限报送监理人。监理人应在专用合同条款约定的期限内批复。</w:t>
      </w:r>
    </w:p>
    <w:p w14:paraId="6824983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1.6.3 </w:t>
      </w:r>
      <w:r>
        <w:rPr>
          <w:rFonts w:hint="eastAsia" w:ascii="Times New Roman" w:hAnsi="Times New Roman" w:eastAsia="黑体"/>
          <w:color w:val="auto"/>
          <w:szCs w:val="21"/>
          <w:highlight w:val="none"/>
        </w:rPr>
        <w:t>图纸的修改</w:t>
      </w:r>
    </w:p>
    <w:p w14:paraId="451D2473">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图纸需要修改和补充的，应由监理人取得发包人同意后，在该工程或工程相应部位施工前的合理期限内签发图纸修改图给承包人，具体签发期限在专用合同条款中约定。承包人应按修改后的图纸施工。</w:t>
      </w:r>
    </w:p>
    <w:p w14:paraId="4F89894C">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1.6.4 </w:t>
      </w:r>
      <w:r>
        <w:rPr>
          <w:rFonts w:hint="eastAsia" w:ascii="Times New Roman" w:hAnsi="Times New Roman" w:eastAsia="黑体"/>
          <w:color w:val="auto"/>
          <w:szCs w:val="21"/>
          <w:highlight w:val="none"/>
        </w:rPr>
        <w:t>图纸的错误</w:t>
      </w:r>
    </w:p>
    <w:p w14:paraId="69F380AA">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承包人发现发包人提供的图纸存在明显错误或疏忽，应及时通知监理人。</w:t>
      </w:r>
    </w:p>
    <w:p w14:paraId="44588CBF">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1.6.5</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图纸和承包人文件的保管</w:t>
      </w:r>
    </w:p>
    <w:p w14:paraId="73BB860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监理人和承包人均应在施工场地各保存一套完整的包含第</w:t>
      </w:r>
      <w:r>
        <w:rPr>
          <w:rFonts w:ascii="Times New Roman" w:hAnsi="Times New Roman"/>
          <w:color w:val="auto"/>
          <w:szCs w:val="21"/>
          <w:highlight w:val="none"/>
        </w:rPr>
        <w:t>1.6.1</w:t>
      </w:r>
      <w:r>
        <w:rPr>
          <w:rFonts w:hint="eastAsia" w:ascii="Times New Roman" w:hAnsi="Times New Roman"/>
          <w:color w:val="auto"/>
          <w:szCs w:val="21"/>
          <w:highlight w:val="none"/>
        </w:rPr>
        <w:t>项、第</w:t>
      </w:r>
      <w:r>
        <w:rPr>
          <w:rFonts w:ascii="Times New Roman" w:hAnsi="Times New Roman"/>
          <w:color w:val="auto"/>
          <w:szCs w:val="21"/>
          <w:highlight w:val="none"/>
        </w:rPr>
        <w:t>1.6.2</w:t>
      </w:r>
      <w:r>
        <w:rPr>
          <w:rFonts w:hint="eastAsia" w:ascii="Times New Roman" w:hAnsi="Times New Roman"/>
          <w:color w:val="auto"/>
          <w:szCs w:val="21"/>
          <w:highlight w:val="none"/>
        </w:rPr>
        <w:t>项、第</w:t>
      </w:r>
      <w:r>
        <w:rPr>
          <w:rFonts w:ascii="Times New Roman" w:hAnsi="Times New Roman"/>
          <w:color w:val="auto"/>
          <w:szCs w:val="21"/>
          <w:highlight w:val="none"/>
        </w:rPr>
        <w:t>1.6.3</w:t>
      </w:r>
      <w:r>
        <w:rPr>
          <w:rFonts w:hint="eastAsia" w:ascii="Times New Roman" w:hAnsi="Times New Roman"/>
          <w:color w:val="auto"/>
          <w:szCs w:val="21"/>
          <w:highlight w:val="none"/>
        </w:rPr>
        <w:t>项约定内容的图纸和承包人文件。</w:t>
      </w:r>
    </w:p>
    <w:p w14:paraId="01DC020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 </w:t>
      </w:r>
      <w:r>
        <w:rPr>
          <w:rFonts w:hint="eastAsia" w:ascii="Times New Roman" w:hAnsi="Times New Roman" w:eastAsia="黑体"/>
          <w:bCs/>
          <w:color w:val="auto"/>
          <w:kern w:val="44"/>
          <w:szCs w:val="21"/>
          <w:highlight w:val="none"/>
          <w:lang w:val="zh-CN"/>
        </w:rPr>
        <w:t>联络</w:t>
      </w:r>
    </w:p>
    <w:p w14:paraId="203B35D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1.7.1 </w:t>
      </w:r>
      <w:r>
        <w:rPr>
          <w:rFonts w:hint="eastAsia" w:ascii="Times New Roman" w:hAnsi="Times New Roman"/>
          <w:color w:val="auto"/>
          <w:szCs w:val="21"/>
          <w:highlight w:val="none"/>
        </w:rPr>
        <w:t>与合同有关的通知、批准、证明、证书、指示、要求、请求、同意、意见、确定和决定等，均应采用书面形式。</w:t>
      </w:r>
    </w:p>
    <w:p w14:paraId="588303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1.7.2 </w:t>
      </w:r>
      <w:r>
        <w:rPr>
          <w:rFonts w:hint="eastAsia" w:ascii="Times New Roman" w:hAnsi="Times New Roman"/>
          <w:color w:val="auto"/>
          <w:szCs w:val="21"/>
          <w:highlight w:val="none"/>
        </w:rPr>
        <w:t>第</w:t>
      </w:r>
      <w:r>
        <w:rPr>
          <w:rFonts w:ascii="Times New Roman" w:hAnsi="Times New Roman"/>
          <w:color w:val="auto"/>
          <w:szCs w:val="21"/>
          <w:highlight w:val="none"/>
        </w:rPr>
        <w:t>1.7.1</w:t>
      </w:r>
      <w:r>
        <w:rPr>
          <w:rFonts w:hint="eastAsia" w:ascii="Times New Roman" w:hAnsi="Times New Roman"/>
          <w:color w:val="auto"/>
          <w:szCs w:val="21"/>
          <w:highlight w:val="none"/>
        </w:rPr>
        <w:t>项中的通知、批准、证明、证书、指示、要求、请求、同意、意见、确定和决定等来往函件，均应在合同约定的期限内送达指定地点和接收人，并办理签收手续。</w:t>
      </w:r>
    </w:p>
    <w:p w14:paraId="773EC913">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 </w:t>
      </w:r>
      <w:r>
        <w:rPr>
          <w:rFonts w:hint="eastAsia" w:ascii="Times New Roman" w:hAnsi="Times New Roman" w:eastAsia="黑体"/>
          <w:bCs/>
          <w:color w:val="auto"/>
          <w:kern w:val="44"/>
          <w:szCs w:val="21"/>
          <w:highlight w:val="none"/>
          <w:lang w:val="zh-CN"/>
        </w:rPr>
        <w:t>转让</w:t>
      </w:r>
    </w:p>
    <w:p w14:paraId="2835AA19">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除合同另有约定外，未经对方当事人同意，一方当事人不得将合同权利全部或部分转让给第三人，也不得全部或部分转移合同义务。</w:t>
      </w:r>
    </w:p>
    <w:p w14:paraId="5F1FF8E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 </w:t>
      </w:r>
      <w:r>
        <w:rPr>
          <w:rFonts w:hint="eastAsia" w:ascii="Times New Roman" w:hAnsi="Times New Roman" w:eastAsia="黑体"/>
          <w:bCs/>
          <w:color w:val="auto"/>
          <w:kern w:val="44"/>
          <w:szCs w:val="21"/>
          <w:highlight w:val="none"/>
          <w:lang w:val="zh-CN"/>
        </w:rPr>
        <w:t>严禁贿赂</w:t>
      </w:r>
    </w:p>
    <w:p w14:paraId="17B88AD6">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合同双方当事人不得以贿赂或变相贿赂的方式，谋取不当利益或损害对方权益。因贿赂造成对方损失的，行为人应赔偿损失，并承担相应的法律责任。</w:t>
      </w:r>
    </w:p>
    <w:p w14:paraId="5E2BE5C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1.10 </w:t>
      </w:r>
      <w:r>
        <w:rPr>
          <w:rFonts w:hint="eastAsia" w:ascii="Times New Roman" w:hAnsi="Times New Roman" w:eastAsia="黑体"/>
          <w:bCs/>
          <w:color w:val="auto"/>
          <w:kern w:val="44"/>
          <w:szCs w:val="21"/>
          <w:highlight w:val="none"/>
          <w:lang w:val="zh-CN"/>
        </w:rPr>
        <w:t>化石、文物</w:t>
      </w:r>
    </w:p>
    <w:p w14:paraId="2E48D58F">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1.10.1 </w:t>
      </w:r>
      <w:r>
        <w:rPr>
          <w:rFonts w:hint="eastAsia" w:ascii="Times New Roman" w:hAnsi="Times New Roman"/>
          <w:color w:val="auto"/>
          <w:szCs w:val="21"/>
          <w:highlight w:val="none"/>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发包人、监理人和承包人应按文物行政部门要求采取妥善保护措施，由此导致费用增加和（或）工期延误由发包人承担。</w:t>
      </w:r>
    </w:p>
    <w:p w14:paraId="2BC15537">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1.10.2 </w:t>
      </w:r>
      <w:r>
        <w:rPr>
          <w:rFonts w:hint="eastAsia" w:ascii="Times New Roman" w:hAnsi="Times New Roman"/>
          <w:color w:val="auto"/>
          <w:szCs w:val="21"/>
          <w:highlight w:val="none"/>
        </w:rPr>
        <w:t>承包人发现文物后不及时报告或隐瞒不报，致使文物丢失或损坏的，应赔偿损失，并承担相应的法律责任。</w:t>
      </w:r>
    </w:p>
    <w:p w14:paraId="5BF760E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1.11 </w:t>
      </w:r>
      <w:r>
        <w:rPr>
          <w:rFonts w:hint="eastAsia" w:ascii="Times New Roman" w:hAnsi="Times New Roman" w:eastAsia="黑体"/>
          <w:bCs/>
          <w:color w:val="auto"/>
          <w:kern w:val="44"/>
          <w:szCs w:val="21"/>
          <w:highlight w:val="none"/>
          <w:lang w:val="zh-CN"/>
        </w:rPr>
        <w:t>专利技术</w:t>
      </w:r>
    </w:p>
    <w:p w14:paraId="4697BA65">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 xml:space="preserve">1.11.1 </w:t>
      </w:r>
      <w:r>
        <w:rPr>
          <w:rFonts w:hint="eastAsia" w:ascii="Times New Roman" w:hAnsi="Times New Roman"/>
          <w:color w:val="auto"/>
          <w:szCs w:val="21"/>
          <w:highlight w:val="none"/>
        </w:rPr>
        <w:t>承包人在使用任何材料、承包人设备、工程设备或采用施工工艺时，因侵犯专利权或其他知识产权所引起的责任，由承包人承担，但由于遵照发包人提供的设计或技术标准和要求引起的除外。</w:t>
      </w:r>
    </w:p>
    <w:p w14:paraId="5C5201F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承包人在投标文件中采用专利技术的，专利技术的使用费包含在投标报价内。</w:t>
      </w:r>
    </w:p>
    <w:p w14:paraId="5CBBA94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1.11.3 </w:t>
      </w:r>
      <w:r>
        <w:rPr>
          <w:rFonts w:hint="eastAsia" w:ascii="Times New Roman" w:hAnsi="Times New Roman"/>
          <w:color w:val="auto"/>
          <w:szCs w:val="21"/>
          <w:highlight w:val="none"/>
        </w:rPr>
        <w:t>承包人的技术秘密和声明需要保密的资料和信息，发包人和监理人不得为合同以外的目的泄露给他人。</w:t>
      </w:r>
    </w:p>
    <w:p w14:paraId="23B8631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1.12 </w:t>
      </w:r>
      <w:r>
        <w:rPr>
          <w:rFonts w:hint="eastAsia" w:ascii="Times New Roman" w:hAnsi="Times New Roman" w:eastAsia="黑体"/>
          <w:bCs/>
          <w:color w:val="auto"/>
          <w:kern w:val="44"/>
          <w:szCs w:val="21"/>
          <w:highlight w:val="none"/>
          <w:lang w:val="zh-CN"/>
        </w:rPr>
        <w:t>图纸和文件的保密</w:t>
      </w:r>
    </w:p>
    <w:p w14:paraId="017C206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1.12.1 </w:t>
      </w:r>
      <w:r>
        <w:rPr>
          <w:rFonts w:hint="eastAsia" w:ascii="Times New Roman" w:hAnsi="Times New Roman"/>
          <w:color w:val="auto"/>
          <w:szCs w:val="21"/>
          <w:highlight w:val="none"/>
        </w:rPr>
        <w:t>发包人提供的图纸和文件，未经发包人同意，承包人不得为合同以外的目的泄露给他人或公开发表与引用。</w:t>
      </w:r>
    </w:p>
    <w:p w14:paraId="364E5D9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1.12.2 </w:t>
      </w:r>
      <w:r>
        <w:rPr>
          <w:rFonts w:hint="eastAsia" w:ascii="Times New Roman" w:hAnsi="Times New Roman"/>
          <w:color w:val="auto"/>
          <w:szCs w:val="21"/>
          <w:highlight w:val="none"/>
        </w:rPr>
        <w:t>承包人提供的文件，未经承包人同意，发包人和监理人不得为合同以外的目的泄露给他人或公开发表与引用。</w:t>
      </w:r>
    </w:p>
    <w:p w14:paraId="2C22C931">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08" w:name="_Toc24285"/>
      <w:r>
        <w:rPr>
          <w:rFonts w:ascii="Times New Roman" w:hAnsi="Times New Roman" w:eastAsia="黑体"/>
          <w:bCs/>
          <w:color w:val="auto"/>
          <w:kern w:val="44"/>
          <w:szCs w:val="21"/>
          <w:highlight w:val="none"/>
          <w:lang w:val="zh-CN"/>
        </w:rPr>
        <w:t xml:space="preserve">2. </w:t>
      </w:r>
      <w:r>
        <w:rPr>
          <w:rFonts w:hint="eastAsia" w:ascii="Times New Roman" w:hAnsi="Times New Roman" w:eastAsia="黑体"/>
          <w:bCs/>
          <w:color w:val="auto"/>
          <w:kern w:val="44"/>
          <w:szCs w:val="21"/>
          <w:highlight w:val="none"/>
          <w:lang w:val="zh-CN"/>
        </w:rPr>
        <w:t>发包人义务</w:t>
      </w:r>
      <w:bookmarkEnd w:id="108"/>
    </w:p>
    <w:p w14:paraId="6F65B65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 </w:t>
      </w:r>
      <w:r>
        <w:rPr>
          <w:rFonts w:hint="eastAsia" w:ascii="Times New Roman" w:hAnsi="Times New Roman" w:eastAsia="黑体"/>
          <w:bCs/>
          <w:color w:val="auto"/>
          <w:kern w:val="44"/>
          <w:szCs w:val="21"/>
          <w:highlight w:val="none"/>
          <w:lang w:val="zh-CN"/>
        </w:rPr>
        <w:t>遵守法律</w:t>
      </w:r>
    </w:p>
    <w:p w14:paraId="4FDC88EF">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发包人在履行合同过程中应遵守法律，并保证承包人免于承担因发包人违反法律而引起的任何责任。</w:t>
      </w:r>
    </w:p>
    <w:p w14:paraId="21E60D6A">
      <w:pPr>
        <w:pStyle w:val="54"/>
        <w:keepNext/>
        <w:keepLines/>
        <w:spacing w:before="240" w:after="240" w:line="380" w:lineRule="atLeast"/>
        <w:jc w:val="lef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 </w:t>
      </w:r>
      <w:r>
        <w:rPr>
          <w:rFonts w:hint="eastAsia" w:ascii="Times New Roman" w:hAnsi="Times New Roman" w:eastAsia="黑体"/>
          <w:bCs/>
          <w:color w:val="auto"/>
          <w:kern w:val="44"/>
          <w:szCs w:val="21"/>
          <w:highlight w:val="none"/>
          <w:lang w:val="zh-CN"/>
        </w:rPr>
        <w:t>发出开工通知</w:t>
      </w:r>
    </w:p>
    <w:p w14:paraId="5262E26E">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发包人应委托监理人按第</w:t>
      </w:r>
      <w:r>
        <w:rPr>
          <w:rFonts w:ascii="Times New Roman" w:hAnsi="Times New Roman"/>
          <w:color w:val="auto"/>
          <w:szCs w:val="21"/>
          <w:highlight w:val="none"/>
        </w:rPr>
        <w:t>11.1</w:t>
      </w:r>
      <w:r>
        <w:rPr>
          <w:rFonts w:hint="eastAsia" w:ascii="Times New Roman" w:hAnsi="Times New Roman"/>
          <w:color w:val="auto"/>
          <w:szCs w:val="21"/>
          <w:highlight w:val="none"/>
        </w:rPr>
        <w:t>款的约定向承包人发出开工通知。</w:t>
      </w:r>
    </w:p>
    <w:p w14:paraId="3038BC1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 </w:t>
      </w:r>
      <w:r>
        <w:rPr>
          <w:rFonts w:hint="eastAsia" w:ascii="Times New Roman" w:hAnsi="Times New Roman" w:eastAsia="黑体"/>
          <w:bCs/>
          <w:color w:val="auto"/>
          <w:kern w:val="44"/>
          <w:szCs w:val="21"/>
          <w:highlight w:val="none"/>
          <w:lang w:val="zh-CN"/>
        </w:rPr>
        <w:t>提供施工场地</w:t>
      </w:r>
    </w:p>
    <w:p w14:paraId="158CBC62">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发包人应按专用合同条款约定向承包人提供施工场地，以及施工场地内地下管线和地下设施等有关资料，并保证资料的真实、准确、完整。</w:t>
      </w:r>
    </w:p>
    <w:p w14:paraId="2D36F5D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 </w:t>
      </w:r>
      <w:r>
        <w:rPr>
          <w:rFonts w:hint="eastAsia" w:ascii="Times New Roman" w:hAnsi="Times New Roman" w:eastAsia="黑体"/>
          <w:bCs/>
          <w:color w:val="auto"/>
          <w:kern w:val="44"/>
          <w:szCs w:val="21"/>
          <w:highlight w:val="none"/>
          <w:lang w:val="zh-CN"/>
        </w:rPr>
        <w:t>协助承包人办理证件和批件</w:t>
      </w:r>
    </w:p>
    <w:p w14:paraId="620BC713">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发包人应协助承包人办理法律规定的有关施工证件和批件。</w:t>
      </w:r>
    </w:p>
    <w:p w14:paraId="7DD51BF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2.5 </w:t>
      </w:r>
      <w:r>
        <w:rPr>
          <w:rFonts w:hint="eastAsia" w:ascii="Times New Roman" w:hAnsi="Times New Roman" w:eastAsia="黑体"/>
          <w:bCs/>
          <w:color w:val="auto"/>
          <w:kern w:val="44"/>
          <w:szCs w:val="21"/>
          <w:highlight w:val="none"/>
          <w:lang w:val="zh-CN"/>
        </w:rPr>
        <w:t>组织设计交底</w:t>
      </w:r>
    </w:p>
    <w:p w14:paraId="26274F34">
      <w:pPr>
        <w:pStyle w:val="54"/>
        <w:spacing w:line="400" w:lineRule="atLeast"/>
        <w:ind w:firstLine="405"/>
        <w:rPr>
          <w:rFonts w:hint="eastAsia" w:ascii="Times New Roman" w:hAnsi="Times New Roman"/>
          <w:color w:val="auto"/>
          <w:szCs w:val="21"/>
          <w:highlight w:val="none"/>
        </w:rPr>
      </w:pPr>
      <w:r>
        <w:rPr>
          <w:rFonts w:hint="eastAsia" w:ascii="Times New Roman" w:hAnsi="Times New Roman"/>
          <w:color w:val="auto"/>
          <w:szCs w:val="21"/>
          <w:highlight w:val="none"/>
        </w:rPr>
        <w:t>发包人应根据合同进度计划，组织设计单位向承包人进行设计交底。</w:t>
      </w:r>
    </w:p>
    <w:p w14:paraId="38F65402">
      <w:pPr>
        <w:pStyle w:val="54"/>
        <w:spacing w:line="400" w:lineRule="atLeast"/>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2.6 </w:t>
      </w:r>
      <w:r>
        <w:rPr>
          <w:rFonts w:hint="eastAsia" w:ascii="Times New Roman" w:hAnsi="Times New Roman" w:eastAsia="黑体"/>
          <w:bCs/>
          <w:color w:val="auto"/>
          <w:kern w:val="44"/>
          <w:szCs w:val="21"/>
          <w:highlight w:val="none"/>
          <w:lang w:val="zh-CN"/>
        </w:rPr>
        <w:t>支付合同价款</w:t>
      </w:r>
    </w:p>
    <w:p w14:paraId="74F7E6E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发包人应按合同约定向承包人及时支付合同价款。</w:t>
      </w:r>
    </w:p>
    <w:p w14:paraId="50CD354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2.7 </w:t>
      </w:r>
      <w:r>
        <w:rPr>
          <w:rFonts w:hint="eastAsia" w:ascii="Times New Roman" w:hAnsi="Times New Roman" w:eastAsia="黑体"/>
          <w:bCs/>
          <w:color w:val="auto"/>
          <w:kern w:val="44"/>
          <w:szCs w:val="21"/>
          <w:highlight w:val="none"/>
          <w:lang w:val="zh-CN"/>
        </w:rPr>
        <w:t>组织竣工验收</w:t>
      </w:r>
    </w:p>
    <w:p w14:paraId="1D0FFCD7">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发包人应按合同约定及时组织竣工验收。</w:t>
      </w:r>
    </w:p>
    <w:p w14:paraId="412CC35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2.8 </w:t>
      </w:r>
      <w:r>
        <w:rPr>
          <w:rFonts w:hint="eastAsia" w:ascii="Times New Roman" w:hAnsi="Times New Roman" w:eastAsia="黑体"/>
          <w:bCs/>
          <w:color w:val="auto"/>
          <w:kern w:val="44"/>
          <w:szCs w:val="21"/>
          <w:highlight w:val="none"/>
          <w:lang w:val="zh-CN"/>
        </w:rPr>
        <w:t>其他义务</w:t>
      </w:r>
    </w:p>
    <w:p w14:paraId="67ADC07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发包人应履行合同约定的其他义务。</w:t>
      </w:r>
    </w:p>
    <w:p w14:paraId="380ED543">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09" w:name="_Toc5995"/>
      <w:r>
        <w:rPr>
          <w:rFonts w:ascii="Times New Roman" w:hAnsi="Times New Roman" w:eastAsia="黑体"/>
          <w:bCs/>
          <w:color w:val="auto"/>
          <w:kern w:val="44"/>
          <w:szCs w:val="21"/>
          <w:highlight w:val="none"/>
          <w:lang w:val="zh-CN"/>
        </w:rPr>
        <w:t xml:space="preserve">3. </w:t>
      </w:r>
      <w:r>
        <w:rPr>
          <w:rFonts w:hint="eastAsia" w:ascii="Times New Roman" w:hAnsi="Times New Roman" w:eastAsia="黑体"/>
          <w:bCs/>
          <w:color w:val="auto"/>
          <w:kern w:val="44"/>
          <w:szCs w:val="21"/>
          <w:highlight w:val="none"/>
          <w:lang w:val="zh-CN"/>
        </w:rPr>
        <w:t>监理人</w:t>
      </w:r>
      <w:bookmarkEnd w:id="109"/>
    </w:p>
    <w:p w14:paraId="71B8EE4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3.1 </w:t>
      </w:r>
      <w:r>
        <w:rPr>
          <w:rFonts w:hint="eastAsia" w:ascii="Times New Roman" w:hAnsi="Times New Roman" w:eastAsia="黑体"/>
          <w:bCs/>
          <w:color w:val="auto"/>
          <w:kern w:val="44"/>
          <w:szCs w:val="21"/>
          <w:highlight w:val="none"/>
          <w:lang w:val="zh-CN"/>
        </w:rPr>
        <w:t>监理人的职责和权力</w:t>
      </w:r>
      <w:r>
        <w:rPr>
          <w:rFonts w:ascii="Times New Roman" w:hAnsi="Times New Roman" w:eastAsia="黑体"/>
          <w:bCs/>
          <w:color w:val="auto"/>
          <w:kern w:val="44"/>
          <w:szCs w:val="21"/>
          <w:highlight w:val="none"/>
          <w:lang w:val="zh-CN"/>
        </w:rPr>
        <w:t xml:space="preserve"> </w:t>
      </w:r>
    </w:p>
    <w:p w14:paraId="712428D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3.1.1 </w:t>
      </w:r>
      <w:r>
        <w:rPr>
          <w:rFonts w:hint="eastAsia" w:ascii="Times New Roman" w:hAnsi="Times New Roman"/>
          <w:color w:val="auto"/>
          <w:szCs w:val="21"/>
          <w:highlight w:val="none"/>
        </w:rPr>
        <w:t>监理人受发包人委托，享有合同约定的权力。监理人在行使某项权力前需要经发包人事先批准而通用合同条款没有指明的，应在专用合同条款中指明。</w:t>
      </w:r>
    </w:p>
    <w:p w14:paraId="4D5BF8C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3.1.2 </w:t>
      </w:r>
      <w:r>
        <w:rPr>
          <w:rFonts w:hint="eastAsia" w:ascii="Times New Roman" w:hAnsi="Times New Roman"/>
          <w:color w:val="auto"/>
          <w:szCs w:val="21"/>
          <w:highlight w:val="none"/>
        </w:rPr>
        <w:t>监理人发出的任何指示应视为已得到发包人的批准，但监理人无权免除或变更合同约定的发包人和承包人的权利、义务和责任。</w:t>
      </w:r>
    </w:p>
    <w:p w14:paraId="4FF7536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3.1.3 </w:t>
      </w:r>
      <w:r>
        <w:rPr>
          <w:rFonts w:hint="eastAsia" w:ascii="Times New Roman" w:hAnsi="Times New Roman"/>
          <w:color w:val="auto"/>
          <w:szCs w:val="21"/>
          <w:highlight w:val="none"/>
        </w:rPr>
        <w:t>合同约定应由承包人承担的义务和责任，不因监理人对承包人提交文件的审查或批准，对工程、材料和设备的检查和检验，以及为实施监理作出的指示等职务行为而减轻或解除。</w:t>
      </w:r>
    </w:p>
    <w:p w14:paraId="2F9C7B5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3.2 </w:t>
      </w:r>
      <w:r>
        <w:rPr>
          <w:rFonts w:hint="eastAsia" w:ascii="Times New Roman" w:hAnsi="Times New Roman" w:eastAsia="黑体"/>
          <w:bCs/>
          <w:color w:val="auto"/>
          <w:kern w:val="44"/>
          <w:szCs w:val="21"/>
          <w:highlight w:val="none"/>
          <w:lang w:val="zh-CN"/>
        </w:rPr>
        <w:t>总监理工程师</w:t>
      </w:r>
    </w:p>
    <w:p w14:paraId="4A44FD0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发包人应在发出开工通知前将总监理工程师的任命通知承包人。总监理工程师更换时，应在调离</w:t>
      </w:r>
      <w:r>
        <w:rPr>
          <w:rFonts w:ascii="Times New Roman" w:hAnsi="Times New Roman"/>
          <w:color w:val="auto"/>
          <w:szCs w:val="21"/>
          <w:highlight w:val="none"/>
        </w:rPr>
        <w:t>14</w:t>
      </w:r>
      <w:r>
        <w:rPr>
          <w:rFonts w:hint="eastAsia" w:ascii="Times New Roman" w:hAnsi="Times New Roman"/>
          <w:color w:val="auto"/>
          <w:szCs w:val="21"/>
          <w:highlight w:val="none"/>
        </w:rPr>
        <w:t>天前通知承包人。总监理工程师短期离开施工场地的，应委派代表代行其职责，并通知承包人。</w:t>
      </w:r>
    </w:p>
    <w:p w14:paraId="0F2D281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3.3 </w:t>
      </w:r>
      <w:r>
        <w:rPr>
          <w:rFonts w:hint="eastAsia" w:ascii="Times New Roman" w:hAnsi="Times New Roman" w:eastAsia="黑体"/>
          <w:bCs/>
          <w:color w:val="auto"/>
          <w:kern w:val="44"/>
          <w:szCs w:val="21"/>
          <w:highlight w:val="none"/>
          <w:lang w:val="zh-CN"/>
        </w:rPr>
        <w:t>监理人员</w:t>
      </w:r>
    </w:p>
    <w:p w14:paraId="58374DE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3.3.1 </w:t>
      </w:r>
      <w:r>
        <w:rPr>
          <w:rFonts w:hint="eastAsia" w:ascii="Times New Roman" w:hAnsi="Times New Roman"/>
          <w:color w:val="auto"/>
          <w:szCs w:val="21"/>
          <w:highlight w:val="none"/>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14:paraId="399EF8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3.3.2 </w:t>
      </w:r>
      <w:r>
        <w:rPr>
          <w:rFonts w:hint="eastAsia" w:ascii="Times New Roman" w:hAnsi="Times New Roman"/>
          <w:color w:val="auto"/>
          <w:szCs w:val="21"/>
          <w:highlight w:val="none"/>
        </w:rPr>
        <w:t>监理人员对承包人的任何工作、工程或其采用的材料和工程设备未在约定的或合理的期限内提出否定意见的，视为已获批准，但不影响监理人在以后拒绝该项工作、工程、材料或工程设备的权利。</w:t>
      </w:r>
    </w:p>
    <w:p w14:paraId="3FE91CF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3.3.3 </w:t>
      </w:r>
      <w:r>
        <w:rPr>
          <w:rFonts w:hint="eastAsia" w:ascii="Times New Roman" w:hAnsi="Times New Roman"/>
          <w:color w:val="auto"/>
          <w:szCs w:val="21"/>
          <w:highlight w:val="none"/>
        </w:rPr>
        <w:t>承包人对总监理工程师授权的监理人员发出的指示有疑问的，可向总监理工程师提出书面异议，总监理工程师应在</w:t>
      </w:r>
      <w:r>
        <w:rPr>
          <w:rFonts w:ascii="Times New Roman" w:hAnsi="Times New Roman"/>
          <w:color w:val="auto"/>
          <w:szCs w:val="21"/>
          <w:highlight w:val="none"/>
        </w:rPr>
        <w:t>48</w:t>
      </w:r>
      <w:r>
        <w:rPr>
          <w:rFonts w:hint="eastAsia" w:ascii="Times New Roman" w:hAnsi="Times New Roman"/>
          <w:color w:val="auto"/>
          <w:szCs w:val="21"/>
          <w:highlight w:val="none"/>
        </w:rPr>
        <w:t>小时内对该指示予以确认、更改或撤销。</w:t>
      </w:r>
    </w:p>
    <w:p w14:paraId="26A72F1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3.3.4 </w:t>
      </w:r>
      <w:r>
        <w:rPr>
          <w:rFonts w:hint="eastAsia" w:ascii="Times New Roman" w:hAnsi="Times New Roman"/>
          <w:color w:val="auto"/>
          <w:szCs w:val="21"/>
          <w:highlight w:val="none"/>
        </w:rPr>
        <w:t>除专用合同条款另有约定外，总监理工程师不应将第</w:t>
      </w:r>
      <w:r>
        <w:rPr>
          <w:rFonts w:ascii="Times New Roman" w:hAnsi="Times New Roman"/>
          <w:color w:val="auto"/>
          <w:szCs w:val="21"/>
          <w:highlight w:val="none"/>
        </w:rPr>
        <w:t>3.5</w:t>
      </w:r>
      <w:r>
        <w:rPr>
          <w:rFonts w:hint="eastAsia" w:ascii="Times New Roman" w:hAnsi="Times New Roman"/>
          <w:color w:val="auto"/>
          <w:szCs w:val="21"/>
          <w:highlight w:val="none"/>
        </w:rPr>
        <w:t>款约定应由总监理工程师作出确定的权力授权或委托给其他监理人员。</w:t>
      </w:r>
    </w:p>
    <w:p w14:paraId="63C051D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3.4 </w:t>
      </w:r>
      <w:r>
        <w:rPr>
          <w:rFonts w:hint="eastAsia" w:ascii="Times New Roman" w:hAnsi="Times New Roman" w:eastAsia="黑体"/>
          <w:bCs/>
          <w:color w:val="auto"/>
          <w:kern w:val="44"/>
          <w:szCs w:val="21"/>
          <w:highlight w:val="none"/>
          <w:lang w:val="zh-CN"/>
        </w:rPr>
        <w:t>监理人的指示</w:t>
      </w:r>
    </w:p>
    <w:p w14:paraId="0BDB416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3.4.1 </w:t>
      </w:r>
      <w:r>
        <w:rPr>
          <w:rFonts w:hint="eastAsia" w:ascii="Times New Roman" w:hAnsi="Times New Roman"/>
          <w:color w:val="auto"/>
          <w:szCs w:val="21"/>
          <w:highlight w:val="none"/>
        </w:rPr>
        <w:t>监理人应按第</w:t>
      </w:r>
      <w:r>
        <w:rPr>
          <w:rFonts w:ascii="Times New Roman" w:hAnsi="Times New Roman"/>
          <w:color w:val="auto"/>
          <w:szCs w:val="21"/>
          <w:highlight w:val="none"/>
        </w:rPr>
        <w:t>3.1</w:t>
      </w:r>
      <w:r>
        <w:rPr>
          <w:rFonts w:hint="eastAsia" w:ascii="Times New Roman" w:hAnsi="Times New Roman"/>
          <w:color w:val="auto"/>
          <w:szCs w:val="21"/>
          <w:highlight w:val="none"/>
        </w:rPr>
        <w:t>款的约定向承包人发出指示，监理人的指示应盖有监理人授权的施工场地机构章，并由总监理工程师或总监理工程师按第</w:t>
      </w:r>
      <w:r>
        <w:rPr>
          <w:rFonts w:ascii="Times New Roman" w:hAnsi="Times New Roman"/>
          <w:color w:val="auto"/>
          <w:szCs w:val="21"/>
          <w:highlight w:val="none"/>
        </w:rPr>
        <w:t>3.3.1</w:t>
      </w:r>
      <w:r>
        <w:rPr>
          <w:rFonts w:hint="eastAsia" w:ascii="Times New Roman" w:hAnsi="Times New Roman"/>
          <w:color w:val="auto"/>
          <w:szCs w:val="21"/>
          <w:highlight w:val="none"/>
        </w:rPr>
        <w:t>项约定授权的监理人员签字。</w:t>
      </w:r>
    </w:p>
    <w:p w14:paraId="4327C1A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3.4.2 </w:t>
      </w:r>
      <w:r>
        <w:rPr>
          <w:rFonts w:hint="eastAsia" w:ascii="Times New Roman" w:hAnsi="Times New Roman"/>
          <w:color w:val="auto"/>
          <w:szCs w:val="21"/>
          <w:highlight w:val="none"/>
        </w:rPr>
        <w:t>承包人收到监理人按第</w:t>
      </w:r>
      <w:r>
        <w:rPr>
          <w:rFonts w:ascii="Times New Roman" w:hAnsi="Times New Roman"/>
          <w:color w:val="auto"/>
          <w:szCs w:val="21"/>
          <w:highlight w:val="none"/>
        </w:rPr>
        <w:t>3.4.1</w:t>
      </w:r>
      <w:r>
        <w:rPr>
          <w:rFonts w:hint="eastAsia" w:ascii="Times New Roman" w:hAnsi="Times New Roman"/>
          <w:color w:val="auto"/>
          <w:szCs w:val="21"/>
          <w:highlight w:val="none"/>
        </w:rPr>
        <w:t>项作出的指示后应遵照执行。指示构成变更的，应按第</w:t>
      </w:r>
      <w:r>
        <w:rPr>
          <w:rFonts w:ascii="Times New Roman" w:hAnsi="Times New Roman"/>
          <w:color w:val="auto"/>
          <w:szCs w:val="21"/>
          <w:highlight w:val="none"/>
        </w:rPr>
        <w:t>15</w:t>
      </w:r>
      <w:r>
        <w:rPr>
          <w:rFonts w:hint="eastAsia" w:ascii="Times New Roman" w:hAnsi="Times New Roman"/>
          <w:color w:val="auto"/>
          <w:szCs w:val="21"/>
          <w:highlight w:val="none"/>
        </w:rPr>
        <w:t>条处理。</w:t>
      </w:r>
    </w:p>
    <w:p w14:paraId="494DCB8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3.4.3 </w:t>
      </w:r>
      <w:r>
        <w:rPr>
          <w:rFonts w:hint="eastAsia" w:ascii="Times New Roman" w:hAnsi="Times New Roman"/>
          <w:color w:val="auto"/>
          <w:szCs w:val="21"/>
          <w:highlight w:val="none"/>
        </w:rPr>
        <w:t>在紧急情况下，总监理工程师或被授权的监理人员可以当场签发临时书面指示，承包人应遵照执行。承包人应在收到上述临时书面指示后</w:t>
      </w:r>
      <w:r>
        <w:rPr>
          <w:rFonts w:ascii="Times New Roman" w:hAnsi="Times New Roman"/>
          <w:color w:val="auto"/>
          <w:szCs w:val="21"/>
          <w:highlight w:val="none"/>
        </w:rPr>
        <w:t>24</w:t>
      </w:r>
      <w:r>
        <w:rPr>
          <w:rFonts w:hint="eastAsia" w:ascii="Times New Roman" w:hAnsi="Times New Roman"/>
          <w:color w:val="auto"/>
          <w:szCs w:val="21"/>
          <w:highlight w:val="none"/>
        </w:rPr>
        <w:t>小时内，向监理人发出书面确认函。监理人在收到书面确认函后</w:t>
      </w:r>
      <w:r>
        <w:rPr>
          <w:rFonts w:ascii="Times New Roman" w:hAnsi="Times New Roman"/>
          <w:color w:val="auto"/>
          <w:szCs w:val="21"/>
          <w:highlight w:val="none"/>
        </w:rPr>
        <w:t>24</w:t>
      </w:r>
      <w:r>
        <w:rPr>
          <w:rFonts w:hint="eastAsia" w:ascii="Times New Roman" w:hAnsi="Times New Roman"/>
          <w:color w:val="auto"/>
          <w:szCs w:val="21"/>
          <w:highlight w:val="none"/>
        </w:rPr>
        <w:t>小时内未予答复的，该书面确认函应被视为监理人的正式指示。</w:t>
      </w:r>
    </w:p>
    <w:p w14:paraId="0B42DDD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3.4.4 </w:t>
      </w:r>
      <w:r>
        <w:rPr>
          <w:rFonts w:hint="eastAsia" w:ascii="Times New Roman" w:hAnsi="Times New Roman"/>
          <w:color w:val="auto"/>
          <w:szCs w:val="21"/>
          <w:highlight w:val="none"/>
        </w:rPr>
        <w:t>除合同另有约定外，承包人只从总监理工程师或按第</w:t>
      </w:r>
      <w:r>
        <w:rPr>
          <w:rFonts w:ascii="Times New Roman" w:hAnsi="Times New Roman"/>
          <w:color w:val="auto"/>
          <w:szCs w:val="21"/>
          <w:highlight w:val="none"/>
        </w:rPr>
        <w:t>3.3.1</w:t>
      </w:r>
      <w:r>
        <w:rPr>
          <w:rFonts w:hint="eastAsia" w:ascii="Times New Roman" w:hAnsi="Times New Roman"/>
          <w:color w:val="auto"/>
          <w:szCs w:val="21"/>
          <w:highlight w:val="none"/>
        </w:rPr>
        <w:t>项被授权的监理人员处取得指示。</w:t>
      </w:r>
    </w:p>
    <w:p w14:paraId="00FE190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3.4.5 </w:t>
      </w:r>
      <w:r>
        <w:rPr>
          <w:rFonts w:hint="eastAsia" w:ascii="Times New Roman" w:hAnsi="Times New Roman"/>
          <w:color w:val="auto"/>
          <w:szCs w:val="21"/>
          <w:highlight w:val="none"/>
        </w:rPr>
        <w:t>由于监理人未能按合同约定发出指示、指示延误或指示错误而导致承包人费用增加和（或）工期延误的，由发包人承担赔偿责任。</w:t>
      </w:r>
      <w:r>
        <w:rPr>
          <w:rFonts w:ascii="Times New Roman" w:hAnsi="Times New Roman"/>
          <w:color w:val="auto"/>
          <w:szCs w:val="21"/>
          <w:highlight w:val="none"/>
        </w:rPr>
        <w:t xml:space="preserve"> </w:t>
      </w:r>
    </w:p>
    <w:p w14:paraId="169F368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3.5</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商定或确定</w:t>
      </w:r>
    </w:p>
    <w:p w14:paraId="360FAB2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3.5.1</w:t>
      </w:r>
      <w:r>
        <w:rPr>
          <w:rFonts w:hint="eastAsia" w:ascii="Times New Roman" w:hAnsi="Times New Roman"/>
          <w:color w:val="auto"/>
          <w:szCs w:val="21"/>
          <w:highlight w:val="none"/>
        </w:rPr>
        <w:t>合同约定总监理工程师应按照本款对任何事项进行商定或确定时，总监理工程师应与合同当事人协商，尽量达成一致。不能达成一致的，总监理工程师应认真研究后审慎确定。</w:t>
      </w:r>
    </w:p>
    <w:p w14:paraId="0ECE8DF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3.5.2 </w:t>
      </w:r>
      <w:r>
        <w:rPr>
          <w:rFonts w:hint="eastAsia" w:ascii="Times New Roman" w:hAnsi="Times New Roman"/>
          <w:color w:val="auto"/>
          <w:szCs w:val="21"/>
          <w:highlight w:val="none"/>
        </w:rPr>
        <w:t>总监理工程师应将商定或确定的事项通知合同当事人，并附详细依据。对总监理工程师的确定有异议的，</w:t>
      </w:r>
      <w:r>
        <w:rPr>
          <w:rFonts w:hint="eastAsia" w:ascii="Times New Roman" w:hAnsi="Times New Roman"/>
          <w:iCs/>
          <w:color w:val="auto"/>
          <w:szCs w:val="21"/>
          <w:highlight w:val="none"/>
        </w:rPr>
        <w:t>构成争议，</w:t>
      </w:r>
      <w:r>
        <w:rPr>
          <w:rFonts w:hint="eastAsia" w:ascii="Times New Roman" w:hAnsi="Times New Roman"/>
          <w:color w:val="auto"/>
          <w:szCs w:val="21"/>
          <w:highlight w:val="none"/>
        </w:rPr>
        <w:t>按照第</w:t>
      </w:r>
      <w:r>
        <w:rPr>
          <w:rFonts w:ascii="Times New Roman" w:hAnsi="Times New Roman"/>
          <w:color w:val="auto"/>
          <w:szCs w:val="21"/>
          <w:highlight w:val="none"/>
        </w:rPr>
        <w:t>24</w:t>
      </w:r>
      <w:r>
        <w:rPr>
          <w:rFonts w:hint="eastAsia" w:ascii="Times New Roman" w:hAnsi="Times New Roman"/>
          <w:color w:val="auto"/>
          <w:szCs w:val="21"/>
          <w:highlight w:val="none"/>
        </w:rPr>
        <w:t>条的约定处理。在争议解决前，双方应暂按总监理工程师的确定执行，按照第</w:t>
      </w:r>
      <w:r>
        <w:rPr>
          <w:rFonts w:ascii="Times New Roman" w:hAnsi="Times New Roman"/>
          <w:color w:val="auto"/>
          <w:szCs w:val="21"/>
          <w:highlight w:val="none"/>
        </w:rPr>
        <w:t>24</w:t>
      </w:r>
      <w:r>
        <w:rPr>
          <w:rFonts w:hint="eastAsia" w:ascii="Times New Roman" w:hAnsi="Times New Roman"/>
          <w:color w:val="auto"/>
          <w:szCs w:val="21"/>
          <w:highlight w:val="none"/>
        </w:rPr>
        <w:t>条的约定对总监理工程师的确定作出修改的，按修改后的结果执行。</w:t>
      </w:r>
    </w:p>
    <w:p w14:paraId="42FBB21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0" w:name="_Toc11503"/>
      <w:r>
        <w:rPr>
          <w:rFonts w:ascii="Times New Roman" w:hAnsi="Times New Roman" w:eastAsia="黑体"/>
          <w:bCs/>
          <w:color w:val="auto"/>
          <w:kern w:val="44"/>
          <w:szCs w:val="21"/>
          <w:highlight w:val="none"/>
          <w:lang w:val="zh-CN"/>
        </w:rPr>
        <w:t xml:space="preserve">4. </w:t>
      </w:r>
      <w:r>
        <w:rPr>
          <w:rFonts w:hint="eastAsia" w:ascii="Times New Roman" w:hAnsi="Times New Roman" w:eastAsia="黑体"/>
          <w:bCs/>
          <w:color w:val="auto"/>
          <w:kern w:val="44"/>
          <w:szCs w:val="21"/>
          <w:highlight w:val="none"/>
          <w:lang w:val="zh-CN"/>
        </w:rPr>
        <w:t>承包人</w:t>
      </w:r>
      <w:bookmarkEnd w:id="110"/>
    </w:p>
    <w:p w14:paraId="69A7D62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 </w:t>
      </w:r>
      <w:r>
        <w:rPr>
          <w:rFonts w:hint="eastAsia" w:ascii="Times New Roman" w:hAnsi="Times New Roman" w:eastAsia="黑体"/>
          <w:bCs/>
          <w:color w:val="auto"/>
          <w:kern w:val="44"/>
          <w:szCs w:val="21"/>
          <w:highlight w:val="none"/>
          <w:lang w:val="zh-CN"/>
        </w:rPr>
        <w:t>承包人的一般义务</w:t>
      </w:r>
    </w:p>
    <w:p w14:paraId="70295E83">
      <w:pPr>
        <w:pStyle w:val="54"/>
        <w:spacing w:line="400" w:lineRule="atLeast"/>
        <w:ind w:firstLine="409" w:firstLineChars="195"/>
        <w:rPr>
          <w:rFonts w:ascii="Times New Roman" w:hAnsi="Times New Roman"/>
          <w:color w:val="auto"/>
          <w:szCs w:val="21"/>
          <w:highlight w:val="none"/>
        </w:rPr>
      </w:pPr>
      <w:r>
        <w:rPr>
          <w:rFonts w:ascii="Times New Roman" w:hAnsi="Times New Roman"/>
          <w:color w:val="auto"/>
          <w:szCs w:val="21"/>
          <w:highlight w:val="none"/>
        </w:rPr>
        <w:t xml:space="preserve">4.1.1 </w:t>
      </w:r>
      <w:r>
        <w:rPr>
          <w:rFonts w:hint="eastAsia" w:ascii="Times New Roman" w:hAnsi="Times New Roman" w:eastAsia="黑体"/>
          <w:color w:val="auto"/>
          <w:szCs w:val="21"/>
          <w:highlight w:val="none"/>
        </w:rPr>
        <w:t>遵守法律</w:t>
      </w:r>
    </w:p>
    <w:p w14:paraId="0B4D692E">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承包人在履行合同过程中应遵守法律，并保证发包人免于承担因承包人违反法律而引起的任何责任。</w:t>
      </w:r>
    </w:p>
    <w:p w14:paraId="0EEA18CB">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4.1.2 </w:t>
      </w:r>
      <w:r>
        <w:rPr>
          <w:rFonts w:hint="eastAsia" w:ascii="Times New Roman" w:hAnsi="Times New Roman" w:eastAsia="黑体"/>
          <w:color w:val="auto"/>
          <w:szCs w:val="21"/>
          <w:highlight w:val="none"/>
        </w:rPr>
        <w:t>依法纳税</w:t>
      </w:r>
    </w:p>
    <w:p w14:paraId="4A51907E">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承包人应按有关法律规定纳税，应缴纳的税金包括在合同价格内。</w:t>
      </w:r>
    </w:p>
    <w:p w14:paraId="33B511FF">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4.1.3 </w:t>
      </w:r>
      <w:r>
        <w:rPr>
          <w:rFonts w:hint="eastAsia" w:ascii="Times New Roman" w:hAnsi="Times New Roman" w:eastAsia="黑体"/>
          <w:color w:val="auto"/>
          <w:szCs w:val="21"/>
          <w:highlight w:val="none"/>
        </w:rPr>
        <w:t>完成各项承包工作</w:t>
      </w:r>
    </w:p>
    <w:p w14:paraId="4E630637">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承包人应按合同约定以及监理人根据第</w:t>
      </w:r>
      <w:r>
        <w:rPr>
          <w:rFonts w:ascii="Times New Roman" w:hAnsi="Times New Roman"/>
          <w:color w:val="auto"/>
          <w:szCs w:val="21"/>
          <w:highlight w:val="none"/>
        </w:rPr>
        <w:t>3.4</w:t>
      </w:r>
      <w:r>
        <w:rPr>
          <w:rFonts w:hint="eastAsia" w:ascii="Times New Roman" w:hAnsi="Times New Roman"/>
          <w:color w:val="auto"/>
          <w:szCs w:val="21"/>
          <w:highlight w:val="none"/>
        </w:rPr>
        <w:t>款作出的指示，实施、完成全部工程，并修补工程中的任何缺陷。除专用合同条款另有约定外，承包人应提供为完成合同工作所需的劳务、材料、施工设备、工程设备和其他物品，并按合同约定负责临时设施的设计、建造、运行、维护、管理和拆除。</w:t>
      </w:r>
    </w:p>
    <w:p w14:paraId="73DAF551">
      <w:pPr>
        <w:pStyle w:val="54"/>
        <w:spacing w:line="400" w:lineRule="atLeast"/>
        <w:ind w:firstLine="409" w:firstLineChars="195"/>
        <w:rPr>
          <w:rFonts w:ascii="Times New Roman" w:hAnsi="Times New Roman"/>
          <w:color w:val="auto"/>
          <w:szCs w:val="21"/>
          <w:highlight w:val="none"/>
        </w:rPr>
      </w:pPr>
      <w:r>
        <w:rPr>
          <w:rFonts w:ascii="Times New Roman" w:hAnsi="Times New Roman" w:eastAsia="黑体"/>
          <w:color w:val="auto"/>
          <w:szCs w:val="21"/>
          <w:highlight w:val="none"/>
        </w:rPr>
        <w:t xml:space="preserve">4.1.4 </w:t>
      </w:r>
      <w:r>
        <w:rPr>
          <w:rFonts w:hint="eastAsia" w:ascii="Times New Roman" w:hAnsi="Times New Roman" w:eastAsia="黑体"/>
          <w:color w:val="auto"/>
          <w:szCs w:val="21"/>
          <w:highlight w:val="none"/>
        </w:rPr>
        <w:t>对施工作业和施工方法的完备性负责</w:t>
      </w:r>
    </w:p>
    <w:p w14:paraId="5CB5D044">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承包人应按合同约定的工作内容和施工进度要求，编制施工组织设计和施工措施计划，并对所有施工作业和施工方法的完备性和安全可靠性负责。</w:t>
      </w:r>
    </w:p>
    <w:p w14:paraId="3D893B43">
      <w:pPr>
        <w:pStyle w:val="54"/>
        <w:spacing w:line="400" w:lineRule="atLeast"/>
        <w:ind w:firstLine="409" w:firstLineChars="195"/>
        <w:rPr>
          <w:rFonts w:ascii="Times New Roman" w:hAnsi="Times New Roman"/>
          <w:color w:val="auto"/>
          <w:szCs w:val="21"/>
          <w:highlight w:val="none"/>
        </w:rPr>
      </w:pPr>
      <w:r>
        <w:rPr>
          <w:rFonts w:ascii="Times New Roman" w:hAnsi="Times New Roman"/>
          <w:color w:val="auto"/>
          <w:szCs w:val="21"/>
          <w:highlight w:val="none"/>
        </w:rPr>
        <w:t>4.1.5</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保证工程施工和人员的安全</w:t>
      </w:r>
    </w:p>
    <w:p w14:paraId="7C35926D">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承包人应按第</w:t>
      </w:r>
      <w:r>
        <w:rPr>
          <w:rFonts w:ascii="Times New Roman" w:hAnsi="Times New Roman"/>
          <w:color w:val="auto"/>
          <w:szCs w:val="21"/>
          <w:highlight w:val="none"/>
        </w:rPr>
        <w:t>9.2</w:t>
      </w:r>
      <w:r>
        <w:rPr>
          <w:rFonts w:hint="eastAsia" w:ascii="Times New Roman" w:hAnsi="Times New Roman"/>
          <w:color w:val="auto"/>
          <w:szCs w:val="21"/>
          <w:highlight w:val="none"/>
        </w:rPr>
        <w:t>款约定采取施工安全措施，确保工程及其人员、材料、设备和设施的安全，防止因工程施工造成的人身伤害和财产损失。</w:t>
      </w:r>
    </w:p>
    <w:p w14:paraId="40950B66">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4.1.6 </w:t>
      </w:r>
      <w:r>
        <w:rPr>
          <w:rFonts w:hint="eastAsia" w:ascii="Times New Roman" w:hAnsi="Times New Roman" w:eastAsia="黑体"/>
          <w:color w:val="auto"/>
          <w:szCs w:val="21"/>
          <w:highlight w:val="none"/>
        </w:rPr>
        <w:t>负责施工场地及其周边环境与生态的保护工作</w:t>
      </w:r>
    </w:p>
    <w:p w14:paraId="6B5EBAA2">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承包人应按照第</w:t>
      </w:r>
      <w:r>
        <w:rPr>
          <w:rFonts w:ascii="Times New Roman" w:hAnsi="Times New Roman"/>
          <w:color w:val="auto"/>
          <w:szCs w:val="21"/>
          <w:highlight w:val="none"/>
        </w:rPr>
        <w:t>9.4</w:t>
      </w:r>
      <w:r>
        <w:rPr>
          <w:rFonts w:hint="eastAsia" w:ascii="Times New Roman" w:hAnsi="Times New Roman"/>
          <w:color w:val="auto"/>
          <w:szCs w:val="21"/>
          <w:highlight w:val="none"/>
        </w:rPr>
        <w:t>款约定负责施工场地及其周边环境与生态的保护工作。</w:t>
      </w:r>
    </w:p>
    <w:p w14:paraId="0940EAEB">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4.1.7 </w:t>
      </w:r>
      <w:r>
        <w:rPr>
          <w:rFonts w:hint="eastAsia" w:ascii="Times New Roman" w:hAnsi="Times New Roman" w:eastAsia="黑体"/>
          <w:color w:val="auto"/>
          <w:szCs w:val="21"/>
          <w:highlight w:val="none"/>
        </w:rPr>
        <w:t>避免施工对公众与他人的利益造成损害</w:t>
      </w:r>
    </w:p>
    <w:p w14:paraId="42CB01CD">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2CAEEEBD">
      <w:pPr>
        <w:pStyle w:val="54"/>
        <w:spacing w:line="400" w:lineRule="atLeast"/>
        <w:ind w:firstLine="409" w:firstLineChars="195"/>
        <w:rPr>
          <w:rFonts w:ascii="Times New Roman" w:hAnsi="Times New Roman"/>
          <w:color w:val="auto"/>
          <w:szCs w:val="21"/>
          <w:highlight w:val="none"/>
        </w:rPr>
      </w:pPr>
      <w:r>
        <w:rPr>
          <w:rFonts w:ascii="Times New Roman" w:hAnsi="Times New Roman"/>
          <w:color w:val="auto"/>
          <w:szCs w:val="21"/>
          <w:highlight w:val="none"/>
        </w:rPr>
        <w:t xml:space="preserve">4.1.8 </w:t>
      </w:r>
      <w:r>
        <w:rPr>
          <w:rFonts w:hint="eastAsia" w:ascii="Times New Roman" w:hAnsi="Times New Roman" w:eastAsia="黑体"/>
          <w:color w:val="auto"/>
          <w:szCs w:val="21"/>
          <w:highlight w:val="none"/>
        </w:rPr>
        <w:t>为他人提供方便</w:t>
      </w:r>
    </w:p>
    <w:p w14:paraId="432A0E52">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承包人应按监理人的指示为他人在施工场地或附近实施与工程有关的其他各项工作提供可能的条件。除合同另有约定外，提供有关条件的内容和可能发生的费用，由监理人按第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p>
    <w:p w14:paraId="77608A64">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4.1.9 </w:t>
      </w:r>
      <w:r>
        <w:rPr>
          <w:rFonts w:hint="eastAsia" w:ascii="Times New Roman" w:hAnsi="Times New Roman" w:eastAsia="黑体"/>
          <w:color w:val="auto"/>
          <w:szCs w:val="21"/>
          <w:highlight w:val="none"/>
        </w:rPr>
        <w:t>工程的维护和照管</w:t>
      </w:r>
    </w:p>
    <w:p w14:paraId="39B43AFE">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工程接收证书颁发前，承包人应负责照管和维护工程。工程接收证书颁发时尚有部分未竣工工程的，承包人还应负责该未竣工工程的照管和维护工作，直至竣工后移交给发包人为止。</w:t>
      </w:r>
    </w:p>
    <w:p w14:paraId="501A2AB2">
      <w:pPr>
        <w:pStyle w:val="54"/>
        <w:spacing w:line="400" w:lineRule="atLeast"/>
        <w:ind w:firstLine="409" w:firstLineChars="195"/>
        <w:rPr>
          <w:rFonts w:ascii="Times New Roman" w:hAnsi="Times New Roman" w:eastAsia="黑体"/>
          <w:color w:val="auto"/>
          <w:szCs w:val="21"/>
          <w:highlight w:val="none"/>
        </w:rPr>
      </w:pPr>
      <w:r>
        <w:rPr>
          <w:rFonts w:ascii="Times New Roman" w:hAnsi="Times New Roman"/>
          <w:color w:val="auto"/>
          <w:szCs w:val="21"/>
          <w:highlight w:val="none"/>
        </w:rPr>
        <w:t xml:space="preserve">4.1.10 </w:t>
      </w:r>
      <w:r>
        <w:rPr>
          <w:rFonts w:hint="eastAsia" w:ascii="Times New Roman" w:hAnsi="Times New Roman" w:eastAsia="黑体"/>
          <w:color w:val="auto"/>
          <w:szCs w:val="21"/>
          <w:highlight w:val="none"/>
        </w:rPr>
        <w:t>其他义务</w:t>
      </w:r>
    </w:p>
    <w:p w14:paraId="1A60ECF5">
      <w:pPr>
        <w:pStyle w:val="54"/>
        <w:spacing w:line="400" w:lineRule="atLeast"/>
        <w:ind w:firstLine="409" w:firstLineChars="195"/>
        <w:rPr>
          <w:rFonts w:ascii="Times New Roman" w:hAnsi="Times New Roman"/>
          <w:color w:val="auto"/>
          <w:szCs w:val="21"/>
          <w:highlight w:val="none"/>
        </w:rPr>
      </w:pPr>
      <w:r>
        <w:rPr>
          <w:rFonts w:hint="eastAsia" w:ascii="Times New Roman" w:hAnsi="Times New Roman"/>
          <w:color w:val="auto"/>
          <w:szCs w:val="21"/>
          <w:highlight w:val="none"/>
        </w:rPr>
        <w:t>承包人应履行合同约定的其他义务。</w:t>
      </w:r>
    </w:p>
    <w:p w14:paraId="40FCC9C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4.2 </w:t>
      </w:r>
      <w:r>
        <w:rPr>
          <w:rFonts w:hint="eastAsia" w:ascii="Times New Roman" w:hAnsi="Times New Roman" w:eastAsia="黑体"/>
          <w:bCs/>
          <w:color w:val="auto"/>
          <w:kern w:val="44"/>
          <w:szCs w:val="21"/>
          <w:highlight w:val="none"/>
          <w:lang w:val="zh-CN"/>
        </w:rPr>
        <w:t>履约担保</w:t>
      </w:r>
    </w:p>
    <w:p w14:paraId="46869AB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承包人应保证其履约担保在发包人颁发工程接收证书前一直有效。发包人应在工程接收证书颁发后</w:t>
      </w:r>
      <w:r>
        <w:rPr>
          <w:rFonts w:ascii="Times New Roman" w:hAnsi="Times New Roman"/>
          <w:color w:val="auto"/>
          <w:szCs w:val="21"/>
          <w:highlight w:val="none"/>
        </w:rPr>
        <w:t>28</w:t>
      </w:r>
      <w:r>
        <w:rPr>
          <w:rFonts w:hint="eastAsia" w:ascii="Times New Roman" w:hAnsi="Times New Roman"/>
          <w:color w:val="auto"/>
          <w:szCs w:val="21"/>
          <w:highlight w:val="none"/>
        </w:rPr>
        <w:t>天内把履约担保退还给承包人。</w:t>
      </w:r>
    </w:p>
    <w:p w14:paraId="0EFC1C2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4.3 </w:t>
      </w:r>
      <w:r>
        <w:rPr>
          <w:rFonts w:hint="eastAsia" w:ascii="Times New Roman" w:hAnsi="Times New Roman" w:eastAsia="黑体"/>
          <w:bCs/>
          <w:color w:val="auto"/>
          <w:kern w:val="44"/>
          <w:szCs w:val="21"/>
          <w:highlight w:val="none"/>
          <w:lang w:val="zh-CN"/>
        </w:rPr>
        <w:t>分包</w:t>
      </w:r>
    </w:p>
    <w:p w14:paraId="0916616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4.3.1 </w:t>
      </w:r>
      <w:r>
        <w:rPr>
          <w:rFonts w:hint="eastAsia" w:ascii="Times New Roman" w:hAnsi="Times New Roman"/>
          <w:color w:val="auto"/>
          <w:szCs w:val="21"/>
          <w:highlight w:val="none"/>
        </w:rPr>
        <w:t>承包人不得将其承包的全部工程转包给第三人，或将其承包的全部工程肢解后以分包的名义转包给第三人。</w:t>
      </w:r>
    </w:p>
    <w:p w14:paraId="516B6D6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4.3.2 </w:t>
      </w:r>
      <w:r>
        <w:rPr>
          <w:rFonts w:hint="eastAsia" w:ascii="Times New Roman" w:hAnsi="Times New Roman"/>
          <w:color w:val="auto"/>
          <w:szCs w:val="21"/>
          <w:highlight w:val="none"/>
        </w:rPr>
        <w:t>承包人不得将工程主体、关键性工作分包给第三人。除专用合同条款另有约定外，未经发包人同意，承包人不得将工程的其他部分或工作分包给第三人。</w:t>
      </w:r>
    </w:p>
    <w:p w14:paraId="546B3C9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4.3.3</w:t>
      </w:r>
      <w:r>
        <w:rPr>
          <w:rFonts w:hint="eastAsia" w:ascii="Times New Roman" w:hAnsi="Times New Roman"/>
          <w:color w:val="auto"/>
          <w:szCs w:val="21"/>
          <w:highlight w:val="none"/>
        </w:rPr>
        <w:t>分包人的资格能力应与其分包工程的标准和规模相适应。</w:t>
      </w:r>
    </w:p>
    <w:p w14:paraId="0A6DEEB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4.3.4</w:t>
      </w:r>
      <w:r>
        <w:rPr>
          <w:rFonts w:hint="eastAsia" w:ascii="Times New Roman" w:hAnsi="Times New Roman"/>
          <w:color w:val="auto"/>
          <w:szCs w:val="21"/>
          <w:highlight w:val="none"/>
        </w:rPr>
        <w:t>按投标函附录约定分包工程的，承包人应向发包人和监理人提交分包合同副本。</w:t>
      </w:r>
    </w:p>
    <w:p w14:paraId="5B0C88A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4.3.5</w:t>
      </w:r>
      <w:r>
        <w:rPr>
          <w:rFonts w:hint="eastAsia" w:ascii="Times New Roman" w:hAnsi="Times New Roman"/>
          <w:color w:val="auto"/>
          <w:szCs w:val="21"/>
          <w:highlight w:val="none"/>
        </w:rPr>
        <w:t>承包人应与分包人就分包工程向发包人承担连带责任。</w:t>
      </w:r>
    </w:p>
    <w:p w14:paraId="0F7F73C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4.4</w:t>
      </w:r>
      <w:r>
        <w:rPr>
          <w:rFonts w:ascii="Times New Roman" w:hAnsi="Times New Roman" w:eastAsia="黑体"/>
          <w:bCs/>
          <w:color w:val="auto"/>
          <w:kern w:val="44"/>
          <w:szCs w:val="21"/>
          <w:highlight w:val="none"/>
          <w:lang w:val="zh-CN"/>
        </w:rPr>
        <w:tab/>
      </w:r>
      <w:r>
        <w:rPr>
          <w:rFonts w:hint="eastAsia" w:ascii="Times New Roman" w:hAnsi="Times New Roman" w:eastAsia="黑体"/>
          <w:bCs/>
          <w:color w:val="auto"/>
          <w:kern w:val="44"/>
          <w:szCs w:val="21"/>
          <w:highlight w:val="none"/>
          <w:lang w:val="zh-CN"/>
        </w:rPr>
        <w:t>联合体（本项目不适用）</w:t>
      </w:r>
    </w:p>
    <w:p w14:paraId="0E23A5E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4.5 </w:t>
      </w:r>
      <w:r>
        <w:rPr>
          <w:rFonts w:hint="eastAsia" w:ascii="Times New Roman" w:hAnsi="Times New Roman" w:eastAsia="黑体"/>
          <w:bCs/>
          <w:color w:val="auto"/>
          <w:kern w:val="44"/>
          <w:szCs w:val="21"/>
          <w:highlight w:val="none"/>
          <w:lang w:val="zh-CN"/>
        </w:rPr>
        <w:t>承包人项目经理</w:t>
      </w:r>
    </w:p>
    <w:p w14:paraId="0671FA5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4.5.1</w:t>
      </w:r>
      <w:r>
        <w:rPr>
          <w:rFonts w:hint="eastAsia" w:ascii="Times New Roman" w:hAnsi="Times New Roman"/>
          <w:color w:val="auto"/>
          <w:szCs w:val="21"/>
          <w:highlight w:val="none"/>
        </w:rPr>
        <w:t>承包人应按合同约定指派项目经理，并在约定的期限内到职。承包人更换项目经理应事先征得发包人同意，并应在更换</w:t>
      </w:r>
      <w:r>
        <w:rPr>
          <w:rFonts w:ascii="Times New Roman" w:hAnsi="Times New Roman"/>
          <w:color w:val="auto"/>
          <w:szCs w:val="21"/>
          <w:highlight w:val="none"/>
        </w:rPr>
        <w:t>14</w:t>
      </w:r>
      <w:r>
        <w:rPr>
          <w:rFonts w:hint="eastAsia" w:ascii="Times New Roman" w:hAnsi="Times New Roman"/>
          <w:color w:val="auto"/>
          <w:szCs w:val="21"/>
          <w:highlight w:val="none"/>
        </w:rPr>
        <w:t>天前通知发包人和监理人。承包人项目经理短期离开施工场地，应事先征得监理人同意，并委派代表代行其职责。</w:t>
      </w:r>
    </w:p>
    <w:p w14:paraId="34A28B1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4.5.2 </w:t>
      </w:r>
      <w:r>
        <w:rPr>
          <w:rFonts w:hint="eastAsia" w:ascii="Times New Roman" w:hAnsi="Times New Roman"/>
          <w:color w:val="auto"/>
          <w:szCs w:val="21"/>
          <w:highlight w:val="none"/>
        </w:rPr>
        <w:t>承包人项目经理应按合同约定以及监理人按第</w:t>
      </w:r>
      <w:r>
        <w:rPr>
          <w:rFonts w:ascii="Times New Roman" w:hAnsi="Times New Roman"/>
          <w:color w:val="auto"/>
          <w:szCs w:val="21"/>
          <w:highlight w:val="none"/>
        </w:rPr>
        <w:t>3.4</w:t>
      </w:r>
      <w:r>
        <w:rPr>
          <w:rFonts w:hint="eastAsia" w:ascii="Times New Roman" w:hAnsi="Times New Roman"/>
          <w:color w:val="auto"/>
          <w:szCs w:val="21"/>
          <w:highlight w:val="none"/>
        </w:rPr>
        <w:t>款作出的指示，负责组织合同工程的实施。在情况紧急且无法与监理人取得联系时，可采取保证工程和人员生命财产安全的紧急措施，并在采取措施后</w:t>
      </w:r>
      <w:r>
        <w:rPr>
          <w:rFonts w:ascii="Times New Roman" w:hAnsi="Times New Roman"/>
          <w:color w:val="auto"/>
          <w:szCs w:val="21"/>
          <w:highlight w:val="none"/>
        </w:rPr>
        <w:t>24</w:t>
      </w:r>
      <w:r>
        <w:rPr>
          <w:rFonts w:hint="eastAsia" w:ascii="Times New Roman" w:hAnsi="Times New Roman"/>
          <w:color w:val="auto"/>
          <w:szCs w:val="21"/>
          <w:highlight w:val="none"/>
        </w:rPr>
        <w:t>小时内向监理人提交书面报告。</w:t>
      </w:r>
    </w:p>
    <w:p w14:paraId="1B9D54E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4.5.3</w:t>
      </w:r>
      <w:r>
        <w:rPr>
          <w:rFonts w:hint="eastAsia" w:ascii="Times New Roman" w:hAnsi="Times New Roman"/>
          <w:color w:val="auto"/>
          <w:szCs w:val="21"/>
          <w:highlight w:val="none"/>
        </w:rPr>
        <w:t>承包人为履行合同发出的一切函件均应盖有承包人授权的施工场地管理机构章，并由承包人项目经理或其授权代表签字。</w:t>
      </w:r>
    </w:p>
    <w:p w14:paraId="57160D1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4.5.4 </w:t>
      </w:r>
      <w:r>
        <w:rPr>
          <w:rFonts w:hint="eastAsia" w:ascii="Times New Roman" w:hAnsi="Times New Roman"/>
          <w:color w:val="auto"/>
          <w:szCs w:val="21"/>
          <w:highlight w:val="none"/>
        </w:rPr>
        <w:t>承包人项目经理可以授权其下属人员履行其某项职责，但事先应将这些人员的姓名和授权范围通知监理人。</w:t>
      </w:r>
    </w:p>
    <w:p w14:paraId="49F86FE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4.6 </w:t>
      </w:r>
      <w:r>
        <w:rPr>
          <w:rFonts w:hint="eastAsia" w:ascii="Times New Roman" w:hAnsi="Times New Roman" w:eastAsia="黑体"/>
          <w:bCs/>
          <w:color w:val="auto"/>
          <w:kern w:val="44"/>
          <w:szCs w:val="21"/>
          <w:highlight w:val="none"/>
          <w:lang w:val="zh-CN"/>
        </w:rPr>
        <w:t>承包人人员的管理</w:t>
      </w:r>
    </w:p>
    <w:p w14:paraId="0CD921B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4.6.1 </w:t>
      </w:r>
      <w:r>
        <w:rPr>
          <w:rFonts w:hint="eastAsia" w:ascii="Times New Roman" w:hAnsi="Times New Roman"/>
          <w:color w:val="auto"/>
          <w:szCs w:val="21"/>
          <w:highlight w:val="none"/>
        </w:rPr>
        <w:t>承包人应在接到开工通知后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14:paraId="62DED0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4.6.2 </w:t>
      </w:r>
      <w:r>
        <w:rPr>
          <w:rFonts w:hint="eastAsia" w:ascii="Times New Roman" w:hAnsi="Times New Roman"/>
          <w:color w:val="auto"/>
          <w:szCs w:val="21"/>
          <w:highlight w:val="none"/>
        </w:rPr>
        <w:t>为完成合同约定的各项工作，承包人应向施工场地派遣或雇佣足够数量的下列人员：</w:t>
      </w:r>
    </w:p>
    <w:p w14:paraId="2F7C8844">
      <w:pPr>
        <w:pStyle w:val="54"/>
        <w:spacing w:line="400" w:lineRule="atLeast"/>
        <w:ind w:firstLine="630" w:firstLineChars="3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）具有相应资格的专业技工和合格的普工；</w:t>
      </w:r>
    </w:p>
    <w:p w14:paraId="5B232B2B">
      <w:pPr>
        <w:pStyle w:val="54"/>
        <w:spacing w:line="400" w:lineRule="atLeast"/>
        <w:ind w:firstLine="630" w:firstLineChars="3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）具有相应施工经验的技术人员；</w:t>
      </w:r>
    </w:p>
    <w:p w14:paraId="02C2DFB7">
      <w:pPr>
        <w:pStyle w:val="54"/>
        <w:spacing w:line="400" w:lineRule="atLeast"/>
        <w:ind w:firstLine="630" w:firstLineChars="3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）具有相应岗位资格的各级管理人员。</w:t>
      </w:r>
    </w:p>
    <w:p w14:paraId="7562AD5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4.6.3 </w:t>
      </w:r>
      <w:r>
        <w:rPr>
          <w:rFonts w:hint="eastAsia" w:ascii="Times New Roman" w:hAnsi="Times New Roman"/>
          <w:color w:val="auto"/>
          <w:szCs w:val="21"/>
          <w:highlight w:val="none"/>
        </w:rPr>
        <w:t>承包人安排在施工场地的主要管理人员和技术骨干应相对稳定。承包人更换主要管理人员和技术骨干时，应取得监理人的同意。</w:t>
      </w:r>
    </w:p>
    <w:p w14:paraId="3E0385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4.6.4 </w:t>
      </w:r>
      <w:r>
        <w:rPr>
          <w:rFonts w:hint="eastAsia" w:ascii="Times New Roman" w:hAnsi="Times New Roman"/>
          <w:color w:val="auto"/>
          <w:szCs w:val="21"/>
          <w:highlight w:val="none"/>
        </w:rPr>
        <w:t>特殊岗位的工作人员均应持有相应的资格证明，监理人有权随时检查。监理人认为有必要时，可进行现场考核。</w:t>
      </w:r>
    </w:p>
    <w:p w14:paraId="796F4A3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4.7 </w:t>
      </w:r>
      <w:r>
        <w:rPr>
          <w:rFonts w:hint="eastAsia" w:ascii="Times New Roman" w:hAnsi="Times New Roman" w:eastAsia="黑体"/>
          <w:bCs/>
          <w:color w:val="auto"/>
          <w:kern w:val="44"/>
          <w:szCs w:val="21"/>
          <w:highlight w:val="none"/>
          <w:lang w:val="zh-CN"/>
        </w:rPr>
        <w:t>撤换承包人项目经理和其他人员</w:t>
      </w:r>
    </w:p>
    <w:p w14:paraId="11B33BE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承包人应对其项目经理和其他人员进行有效管理。监理人要求撤换不能胜任本职工作、行为不端或玩忽职守的承包人项目经理和其他人员的，承包人应予以撤换。</w:t>
      </w:r>
    </w:p>
    <w:p w14:paraId="06A59FF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4.8 </w:t>
      </w:r>
      <w:r>
        <w:rPr>
          <w:rFonts w:hint="eastAsia" w:ascii="Times New Roman" w:hAnsi="Times New Roman" w:eastAsia="黑体"/>
          <w:bCs/>
          <w:color w:val="auto"/>
          <w:kern w:val="44"/>
          <w:szCs w:val="21"/>
          <w:highlight w:val="none"/>
          <w:lang w:val="zh-CN"/>
        </w:rPr>
        <w:t>保障承包人人员的合法权益</w:t>
      </w:r>
    </w:p>
    <w:p w14:paraId="7980311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4.8.1 </w:t>
      </w:r>
      <w:r>
        <w:rPr>
          <w:rFonts w:hint="eastAsia" w:ascii="Times New Roman" w:hAnsi="Times New Roman"/>
          <w:color w:val="auto"/>
          <w:szCs w:val="21"/>
          <w:highlight w:val="none"/>
        </w:rPr>
        <w:t>承包人应与其雇佣的人员签订劳动合同，并按时发放工资。</w:t>
      </w:r>
    </w:p>
    <w:p w14:paraId="10DBDBC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4.8.2 </w:t>
      </w:r>
      <w:r>
        <w:rPr>
          <w:rFonts w:hint="eastAsia" w:ascii="Times New Roman" w:hAnsi="Times New Roman"/>
          <w:color w:val="auto"/>
          <w:szCs w:val="21"/>
          <w:highlight w:val="none"/>
        </w:rPr>
        <w:t>承包人应按劳动法的规定安排工作时间，保证其雇佣人员享有休息和休假的权利。因工程施工的特殊需要占用休假日或延长工作时间的，应不超过法律规定的限度，并按法律规定给予补休或付酬。</w:t>
      </w:r>
    </w:p>
    <w:p w14:paraId="13DB158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4.8.3 </w:t>
      </w:r>
      <w:r>
        <w:rPr>
          <w:rFonts w:hint="eastAsia" w:ascii="Times New Roman" w:hAnsi="Times New Roman"/>
          <w:color w:val="auto"/>
          <w:szCs w:val="21"/>
          <w:highlight w:val="none"/>
        </w:rPr>
        <w:t>承包人应为其雇佣人员提供必要的食宿条件，以及符合环境保护和卫生要求的生活环境，在远离城镇的施工场地，还应配备必要的伤病防治和急救的医务人员与医疗设施。</w:t>
      </w:r>
    </w:p>
    <w:p w14:paraId="3E2B33A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4.8.4 </w:t>
      </w:r>
      <w:r>
        <w:rPr>
          <w:rFonts w:hint="eastAsia" w:ascii="Times New Roman" w:hAnsi="Times New Roman"/>
          <w:color w:val="auto"/>
          <w:szCs w:val="21"/>
          <w:highlight w:val="none"/>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0E459E0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4.8.5 </w:t>
      </w:r>
      <w:r>
        <w:rPr>
          <w:rFonts w:hint="eastAsia" w:ascii="Times New Roman" w:hAnsi="Times New Roman"/>
          <w:color w:val="auto"/>
          <w:szCs w:val="21"/>
          <w:highlight w:val="none"/>
        </w:rPr>
        <w:t>承包人应按有关法律规定和合同约定，为其雇佣人员办理保险。</w:t>
      </w:r>
    </w:p>
    <w:p w14:paraId="544B4E2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4.8.6 </w:t>
      </w:r>
      <w:r>
        <w:rPr>
          <w:rFonts w:hint="eastAsia" w:ascii="Times New Roman" w:hAnsi="Times New Roman"/>
          <w:color w:val="auto"/>
          <w:szCs w:val="21"/>
          <w:highlight w:val="none"/>
        </w:rPr>
        <w:t>承包人应负责处理其雇佣人员因工伤亡事故的善后事宜。</w:t>
      </w:r>
    </w:p>
    <w:p w14:paraId="4C829D0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4.9 </w:t>
      </w:r>
      <w:r>
        <w:rPr>
          <w:rFonts w:hint="eastAsia" w:ascii="Times New Roman" w:hAnsi="Times New Roman" w:eastAsia="黑体"/>
          <w:bCs/>
          <w:color w:val="auto"/>
          <w:kern w:val="44"/>
          <w:szCs w:val="21"/>
          <w:highlight w:val="none"/>
          <w:lang w:val="zh-CN"/>
        </w:rPr>
        <w:t>工程价款应专款专用</w:t>
      </w:r>
    </w:p>
    <w:p w14:paraId="1C06A33C">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发包人按合同约定支付给承包人的各项价款应专用于合同工程。</w:t>
      </w:r>
    </w:p>
    <w:p w14:paraId="7308A06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4.10 </w:t>
      </w:r>
      <w:r>
        <w:rPr>
          <w:rFonts w:hint="eastAsia" w:ascii="Times New Roman" w:hAnsi="Times New Roman" w:eastAsia="黑体"/>
          <w:bCs/>
          <w:color w:val="auto"/>
          <w:kern w:val="44"/>
          <w:szCs w:val="21"/>
          <w:highlight w:val="none"/>
          <w:lang w:val="zh-CN"/>
        </w:rPr>
        <w:t>承包人现场查勘</w:t>
      </w:r>
      <w:r>
        <w:rPr>
          <w:rFonts w:ascii="Times New Roman" w:hAnsi="Times New Roman" w:eastAsia="黑体"/>
          <w:bCs/>
          <w:color w:val="auto"/>
          <w:kern w:val="44"/>
          <w:szCs w:val="21"/>
          <w:highlight w:val="none"/>
          <w:lang w:val="zh-CN"/>
        </w:rPr>
        <w:t xml:space="preserve">    </w:t>
      </w:r>
    </w:p>
    <w:p w14:paraId="61C347D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4.10.1 </w:t>
      </w:r>
      <w:r>
        <w:rPr>
          <w:rFonts w:hint="eastAsia" w:ascii="Times New Roman" w:hAnsi="Times New Roman"/>
          <w:color w:val="auto"/>
          <w:szCs w:val="21"/>
          <w:highlight w:val="none"/>
        </w:rPr>
        <w:t>发包人应将其持有的现场地质勘探资料、水文气象资料提供给承包人，并对其准确性负责。但承包人应对其阅读上述有关资料后所作出的解释和推断负责。</w:t>
      </w:r>
    </w:p>
    <w:p w14:paraId="2FABA22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4.10.2 </w:t>
      </w:r>
      <w:r>
        <w:rPr>
          <w:rFonts w:hint="eastAsia" w:ascii="Times New Roman" w:hAnsi="Times New Roman"/>
          <w:color w:val="auto"/>
          <w:szCs w:val="21"/>
          <w:highlight w:val="none"/>
        </w:rPr>
        <w:t>承包人应对施工场地和周围环境进行查勘，并收集有关地质、水文、气象条件、交通条件、风俗习惯以及其他为完成合同工作有关的当地资料。在全部合同工作中，应视为承包人已充分估计了应承担的责任和风险。</w:t>
      </w:r>
    </w:p>
    <w:p w14:paraId="092EDF0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4.11 </w:t>
      </w:r>
      <w:r>
        <w:rPr>
          <w:rFonts w:hint="eastAsia" w:ascii="Times New Roman" w:hAnsi="Times New Roman" w:eastAsia="黑体"/>
          <w:bCs/>
          <w:color w:val="auto"/>
          <w:kern w:val="44"/>
          <w:szCs w:val="21"/>
          <w:highlight w:val="none"/>
          <w:lang w:val="zh-CN"/>
        </w:rPr>
        <w:t>不利物质条件</w:t>
      </w:r>
    </w:p>
    <w:p w14:paraId="0C76B724">
      <w:pPr>
        <w:pStyle w:val="54"/>
        <w:spacing w:line="400" w:lineRule="atLeast"/>
        <w:ind w:firstLine="420"/>
        <w:rPr>
          <w:rFonts w:ascii="Times New Roman" w:hAnsi="Times New Roman"/>
          <w:color w:val="auto"/>
          <w:szCs w:val="21"/>
          <w:highlight w:val="none"/>
        </w:rPr>
      </w:pPr>
      <w:r>
        <w:rPr>
          <w:rFonts w:ascii="Times New Roman" w:hAnsi="Times New Roman"/>
          <w:color w:val="auto"/>
          <w:szCs w:val="21"/>
          <w:highlight w:val="none"/>
        </w:rPr>
        <w:t>4.11.1</w:t>
      </w:r>
      <w:r>
        <w:rPr>
          <w:rFonts w:hint="eastAsia" w:ascii="Times New Roman" w:hAnsi="Times New Roman"/>
          <w:color w:val="auto"/>
          <w:szCs w:val="21"/>
          <w:highlight w:val="none"/>
        </w:rPr>
        <w:t>不利物质条件，除专用合同条款另有约定外，是指承包人在施工场地遇到的不可预见的自然物质条件、非自然的物质障碍和污染物，包括地下和水文条件，但不包括气候条件。</w:t>
      </w:r>
    </w:p>
    <w:p w14:paraId="16D159FA">
      <w:pPr>
        <w:pStyle w:val="54"/>
        <w:spacing w:line="400" w:lineRule="atLeast"/>
        <w:ind w:firstLine="420"/>
        <w:rPr>
          <w:rFonts w:ascii="Times New Roman" w:hAnsi="Times New Roman"/>
          <w:iCs/>
          <w:color w:val="auto"/>
          <w:szCs w:val="21"/>
          <w:highlight w:val="none"/>
        </w:rPr>
      </w:pPr>
      <w:r>
        <w:rPr>
          <w:rFonts w:ascii="Times New Roman" w:hAnsi="Times New Roman"/>
          <w:iCs/>
          <w:color w:val="auto"/>
          <w:szCs w:val="21"/>
          <w:highlight w:val="none"/>
        </w:rPr>
        <w:t>4.11.2</w:t>
      </w:r>
      <w:r>
        <w:rPr>
          <w:rFonts w:hint="eastAsia" w:ascii="Times New Roman" w:hAnsi="Times New Roman"/>
          <w:iCs/>
          <w:color w:val="auto"/>
          <w:szCs w:val="21"/>
          <w:highlight w:val="none"/>
        </w:rPr>
        <w:t>承包人遇到不利物质条件时，应采取适应不利物质条件的合理措施继续施工，并及时通知监理人。监理人应当及时发出指示，指示构成变更的，按第</w:t>
      </w:r>
      <w:r>
        <w:rPr>
          <w:rFonts w:ascii="Times New Roman" w:hAnsi="Times New Roman"/>
          <w:iCs/>
          <w:color w:val="auto"/>
          <w:szCs w:val="21"/>
          <w:highlight w:val="none"/>
        </w:rPr>
        <w:t>15</w:t>
      </w:r>
      <w:r>
        <w:rPr>
          <w:rFonts w:hint="eastAsia" w:ascii="Times New Roman" w:hAnsi="Times New Roman"/>
          <w:iCs/>
          <w:color w:val="auto"/>
          <w:szCs w:val="21"/>
          <w:highlight w:val="none"/>
        </w:rPr>
        <w:t>条约定办理。监理人没有发出指示的，承包人因采取合理措施而增加的费用和（或）工期延误，由发包人承担。</w:t>
      </w:r>
    </w:p>
    <w:p w14:paraId="3F2C50A4">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1" w:name="_Toc6224"/>
      <w:r>
        <w:rPr>
          <w:rFonts w:ascii="Times New Roman" w:hAnsi="Times New Roman" w:eastAsia="黑体"/>
          <w:bCs/>
          <w:color w:val="auto"/>
          <w:kern w:val="44"/>
          <w:szCs w:val="21"/>
          <w:highlight w:val="none"/>
          <w:lang w:val="zh-CN"/>
        </w:rPr>
        <w:t xml:space="preserve">5. </w:t>
      </w:r>
      <w:r>
        <w:rPr>
          <w:rFonts w:hint="eastAsia" w:ascii="Times New Roman" w:hAnsi="Times New Roman" w:eastAsia="黑体"/>
          <w:bCs/>
          <w:color w:val="auto"/>
          <w:kern w:val="44"/>
          <w:szCs w:val="21"/>
          <w:highlight w:val="none"/>
          <w:lang w:val="zh-CN"/>
        </w:rPr>
        <w:t>材料和工程设备</w:t>
      </w:r>
      <w:bookmarkEnd w:id="111"/>
    </w:p>
    <w:p w14:paraId="6522F14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5.1 </w:t>
      </w:r>
      <w:r>
        <w:rPr>
          <w:rFonts w:hint="eastAsia" w:ascii="Times New Roman" w:hAnsi="Times New Roman" w:eastAsia="黑体"/>
          <w:bCs/>
          <w:color w:val="auto"/>
          <w:kern w:val="44"/>
          <w:szCs w:val="21"/>
          <w:highlight w:val="none"/>
          <w:lang w:val="zh-CN"/>
        </w:rPr>
        <w:t>承包人提供的材料和工程设备</w:t>
      </w:r>
    </w:p>
    <w:p w14:paraId="7AB0FB3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5.1.1 </w:t>
      </w:r>
      <w:r>
        <w:rPr>
          <w:rFonts w:hint="eastAsia" w:ascii="Times New Roman" w:hAnsi="Times New Roman"/>
          <w:color w:val="auto"/>
          <w:szCs w:val="21"/>
          <w:highlight w:val="none"/>
        </w:rPr>
        <w:t>除专用合同条款另有约定外，承包人提供的材料和工程设备均由承包人负责采购、运输和保管。承包人应对其采购的材料和工程设备负责。</w:t>
      </w:r>
    </w:p>
    <w:p w14:paraId="1DF5B8D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5.1.2 </w:t>
      </w:r>
      <w:r>
        <w:rPr>
          <w:rFonts w:hint="eastAsia" w:ascii="Times New Roman" w:hAnsi="Times New Roman"/>
          <w:color w:val="auto"/>
          <w:szCs w:val="21"/>
          <w:highlight w:val="none"/>
        </w:rPr>
        <w:t>承包人应按专用合同条款的约定，将各项材料和工程设备的供货人及品种、规格、数量和供货时间等报送监理人审批。承包人应向监理</w:t>
      </w:r>
      <w:r>
        <w:rPr>
          <w:rFonts w:hint="eastAsia" w:ascii="Times New Roman" w:hAnsi="Times New Roman"/>
          <w:iCs/>
          <w:color w:val="auto"/>
          <w:szCs w:val="21"/>
          <w:highlight w:val="none"/>
        </w:rPr>
        <w:t>人</w:t>
      </w:r>
      <w:r>
        <w:rPr>
          <w:rFonts w:hint="eastAsia" w:ascii="Times New Roman" w:hAnsi="Times New Roman"/>
          <w:color w:val="auto"/>
          <w:szCs w:val="21"/>
          <w:highlight w:val="none"/>
        </w:rPr>
        <w:t>提交其负责提供的材料和工程设备的质量证明文件，并满足合同约定的质量标准。</w:t>
      </w:r>
    </w:p>
    <w:p w14:paraId="2D49408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5.1.3</w:t>
      </w:r>
      <w:r>
        <w:rPr>
          <w:rFonts w:hint="eastAsia" w:ascii="Times New Roman" w:hAnsi="Times New Roman"/>
          <w:color w:val="auto"/>
          <w:szCs w:val="21"/>
          <w:highlight w:val="none"/>
        </w:rPr>
        <w:t>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1114C94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5.2 </w:t>
      </w:r>
      <w:r>
        <w:rPr>
          <w:rFonts w:hint="eastAsia" w:ascii="Times New Roman" w:hAnsi="Times New Roman" w:eastAsia="黑体"/>
          <w:bCs/>
          <w:color w:val="auto"/>
          <w:kern w:val="44"/>
          <w:szCs w:val="21"/>
          <w:highlight w:val="none"/>
          <w:lang w:val="zh-CN"/>
        </w:rPr>
        <w:t>发包人提供的材料和工程设备（本项目发包人不提供的材料和工程设备）</w:t>
      </w:r>
    </w:p>
    <w:p w14:paraId="0F2845A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5.3 </w:t>
      </w:r>
      <w:r>
        <w:rPr>
          <w:rFonts w:hint="eastAsia" w:ascii="Times New Roman" w:hAnsi="Times New Roman" w:eastAsia="黑体"/>
          <w:bCs/>
          <w:color w:val="auto"/>
          <w:kern w:val="44"/>
          <w:szCs w:val="21"/>
          <w:highlight w:val="none"/>
          <w:lang w:val="zh-CN"/>
        </w:rPr>
        <w:t>材料和工程设备专用于合同工程</w:t>
      </w:r>
    </w:p>
    <w:p w14:paraId="2BA2E94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5.3.1</w:t>
      </w:r>
      <w:r>
        <w:rPr>
          <w:rFonts w:hint="eastAsia" w:ascii="Times New Roman" w:hAnsi="Times New Roman"/>
          <w:color w:val="auto"/>
          <w:szCs w:val="21"/>
          <w:highlight w:val="none"/>
        </w:rPr>
        <w:t>运入施工场地的材料、工程设备，包括备品备件、安装专用工器具与随机资料，必须专用于合同工程，未经监理人同意，承包人不得运出施工场地或挪作他用。</w:t>
      </w:r>
    </w:p>
    <w:p w14:paraId="4C130E8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5.3.2 </w:t>
      </w:r>
      <w:r>
        <w:rPr>
          <w:rFonts w:hint="eastAsia" w:ascii="Times New Roman" w:hAnsi="Times New Roman"/>
          <w:color w:val="auto"/>
          <w:szCs w:val="21"/>
          <w:highlight w:val="none"/>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6F28617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5.4 </w:t>
      </w:r>
      <w:r>
        <w:rPr>
          <w:rFonts w:hint="eastAsia" w:ascii="Times New Roman" w:hAnsi="Times New Roman" w:eastAsia="黑体"/>
          <w:bCs/>
          <w:color w:val="auto"/>
          <w:kern w:val="44"/>
          <w:szCs w:val="21"/>
          <w:highlight w:val="none"/>
          <w:lang w:val="zh-CN"/>
        </w:rPr>
        <w:t>禁止使用不合格的材料和工程设备</w:t>
      </w:r>
      <w:r>
        <w:rPr>
          <w:rFonts w:ascii="Times New Roman" w:hAnsi="Times New Roman" w:eastAsia="黑体"/>
          <w:bCs/>
          <w:color w:val="auto"/>
          <w:kern w:val="44"/>
          <w:szCs w:val="21"/>
          <w:highlight w:val="none"/>
          <w:lang w:val="zh-CN"/>
        </w:rPr>
        <w:t xml:space="preserve"> </w:t>
      </w:r>
    </w:p>
    <w:p w14:paraId="11A197B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5.4.1 </w:t>
      </w:r>
      <w:r>
        <w:rPr>
          <w:rFonts w:hint="eastAsia" w:ascii="Times New Roman" w:hAnsi="Times New Roman"/>
          <w:color w:val="auto"/>
          <w:szCs w:val="21"/>
          <w:highlight w:val="none"/>
        </w:rPr>
        <w:t>监理人有权拒绝承包人提供的不合格材料或工程设备，并要求承包人立即进行更换。监理人应在更换后再次进行检查和检验，由此增加的费用和（或）工期延误由承包人承担。</w:t>
      </w:r>
    </w:p>
    <w:p w14:paraId="220B71C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5.4.2 </w:t>
      </w:r>
      <w:r>
        <w:rPr>
          <w:rFonts w:hint="eastAsia" w:ascii="Times New Roman" w:hAnsi="Times New Roman"/>
          <w:color w:val="auto"/>
          <w:szCs w:val="21"/>
          <w:highlight w:val="none"/>
        </w:rPr>
        <w:t>监理人发现承包人使用了不合格的材料和工程设备，应即时发出指示要求承包人立即改正，并禁止在工程中继续使用不合格的材料和工程设备。</w:t>
      </w:r>
    </w:p>
    <w:p w14:paraId="40F96D5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5.4.3 </w:t>
      </w:r>
      <w:r>
        <w:rPr>
          <w:rFonts w:hint="eastAsia" w:ascii="Times New Roman" w:hAnsi="Times New Roman"/>
          <w:color w:val="auto"/>
          <w:szCs w:val="21"/>
          <w:highlight w:val="none"/>
        </w:rPr>
        <w:t>发包人提供的材料或工程设备不符合合同要求的，承包人有权拒绝，并可要求发包人更换，由此增加的费用和（或）工期延误由发包人承担。</w:t>
      </w:r>
    </w:p>
    <w:p w14:paraId="7E1EC2E8">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2" w:name="_Toc22036"/>
      <w:r>
        <w:rPr>
          <w:rFonts w:ascii="Times New Roman" w:hAnsi="Times New Roman" w:eastAsia="黑体"/>
          <w:bCs/>
          <w:color w:val="auto"/>
          <w:kern w:val="44"/>
          <w:szCs w:val="21"/>
          <w:highlight w:val="none"/>
          <w:lang w:val="zh-CN"/>
        </w:rPr>
        <w:t xml:space="preserve">6. </w:t>
      </w:r>
      <w:r>
        <w:rPr>
          <w:rFonts w:hint="eastAsia" w:ascii="Times New Roman" w:hAnsi="Times New Roman" w:eastAsia="黑体"/>
          <w:bCs/>
          <w:color w:val="auto"/>
          <w:kern w:val="44"/>
          <w:szCs w:val="21"/>
          <w:highlight w:val="none"/>
          <w:lang w:val="zh-CN"/>
        </w:rPr>
        <w:t>施工设备和临时设施</w:t>
      </w:r>
      <w:bookmarkEnd w:id="112"/>
      <w:r>
        <w:rPr>
          <w:rFonts w:ascii="Times New Roman" w:hAnsi="Times New Roman" w:eastAsia="黑体"/>
          <w:bCs/>
          <w:color w:val="auto"/>
          <w:kern w:val="44"/>
          <w:szCs w:val="21"/>
          <w:highlight w:val="none"/>
          <w:lang w:val="zh-CN"/>
        </w:rPr>
        <w:t xml:space="preserve"> </w:t>
      </w:r>
    </w:p>
    <w:p w14:paraId="31F33D4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6.1 </w:t>
      </w:r>
      <w:r>
        <w:rPr>
          <w:rFonts w:hint="eastAsia" w:ascii="Times New Roman" w:hAnsi="Times New Roman" w:eastAsia="黑体"/>
          <w:bCs/>
          <w:color w:val="auto"/>
          <w:kern w:val="44"/>
          <w:szCs w:val="21"/>
          <w:highlight w:val="none"/>
          <w:lang w:val="zh-CN"/>
        </w:rPr>
        <w:t>承包人提供的施工设备和临时设施</w:t>
      </w:r>
    </w:p>
    <w:p w14:paraId="6845A35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6.1.1 </w:t>
      </w:r>
      <w:r>
        <w:rPr>
          <w:rFonts w:hint="eastAsia" w:ascii="Times New Roman" w:hAnsi="Times New Roman"/>
          <w:color w:val="auto"/>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76F6330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6.1.2 </w:t>
      </w:r>
      <w:r>
        <w:rPr>
          <w:rFonts w:hint="eastAsia" w:ascii="Times New Roman" w:hAnsi="Times New Roman"/>
          <w:color w:val="auto"/>
          <w:szCs w:val="21"/>
          <w:highlight w:val="none"/>
        </w:rPr>
        <w:t>除专用合同条款另有约定外，承包人应自行承担修建临时设施的费用，需要临时占地的，应由发包人办理申请手续并承担相应费用。</w:t>
      </w:r>
    </w:p>
    <w:p w14:paraId="24BFA03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6.2 </w:t>
      </w:r>
      <w:r>
        <w:rPr>
          <w:rFonts w:hint="eastAsia" w:ascii="Times New Roman" w:hAnsi="Times New Roman" w:eastAsia="黑体"/>
          <w:bCs/>
          <w:color w:val="auto"/>
          <w:kern w:val="44"/>
          <w:szCs w:val="21"/>
          <w:highlight w:val="none"/>
          <w:lang w:val="zh-CN"/>
        </w:rPr>
        <w:t>发包人提供的施工设备和临时设施（本项目发包人不提供的施工设备和临时设施）</w:t>
      </w:r>
    </w:p>
    <w:p w14:paraId="0A875F7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6.3 </w:t>
      </w:r>
      <w:r>
        <w:rPr>
          <w:rFonts w:hint="eastAsia" w:ascii="Times New Roman" w:hAnsi="Times New Roman" w:eastAsia="黑体"/>
          <w:bCs/>
          <w:color w:val="auto"/>
          <w:kern w:val="44"/>
          <w:szCs w:val="21"/>
          <w:highlight w:val="none"/>
          <w:lang w:val="zh-CN"/>
        </w:rPr>
        <w:t>要求承包人增加或更换施工设备</w:t>
      </w:r>
    </w:p>
    <w:p w14:paraId="10EE073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承包人使用的施工设备不能满足合同进度计划和（或）质量要求时，监理人有权要求承包人增加或更换施工设备，承包人应及时增加或更换，由此增加的费用和（或）工期延误由承包人承担。</w:t>
      </w:r>
    </w:p>
    <w:p w14:paraId="5A94A1C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6.4 </w:t>
      </w:r>
      <w:r>
        <w:rPr>
          <w:rFonts w:hint="eastAsia" w:ascii="Times New Roman" w:hAnsi="Times New Roman" w:eastAsia="黑体"/>
          <w:bCs/>
          <w:color w:val="auto"/>
          <w:kern w:val="44"/>
          <w:szCs w:val="21"/>
          <w:highlight w:val="none"/>
          <w:lang w:val="zh-CN"/>
        </w:rPr>
        <w:t>施工设备和临时设施专用于合同工程</w:t>
      </w:r>
    </w:p>
    <w:p w14:paraId="17502AC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6.4.1</w:t>
      </w:r>
      <w:r>
        <w:rPr>
          <w:rFonts w:hint="eastAsia" w:ascii="Times New Roman" w:hAnsi="Times New Roman"/>
          <w:color w:val="auto"/>
          <w:szCs w:val="21"/>
          <w:highlight w:val="none"/>
        </w:rPr>
        <w:t>除合同另有约定外，运入施工场地的所有施工设备以及在施工场地建设的临时设施应专用于合同工程。未经监理人同意，不得将上述施工设备和临时设施中的任何部分运出施工场地或挪作他用。</w:t>
      </w:r>
    </w:p>
    <w:p w14:paraId="1A94DB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6.4.2 </w:t>
      </w:r>
      <w:r>
        <w:rPr>
          <w:rFonts w:hint="eastAsia" w:ascii="Times New Roman" w:hAnsi="Times New Roman"/>
          <w:color w:val="auto"/>
          <w:szCs w:val="21"/>
          <w:highlight w:val="none"/>
        </w:rPr>
        <w:t>经监理人同意，承包人可根据合同进度计划撤走闲置的施工设备。</w:t>
      </w:r>
    </w:p>
    <w:p w14:paraId="19700DF8">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3" w:name="_Toc20991"/>
      <w:r>
        <w:rPr>
          <w:rFonts w:ascii="Times New Roman" w:hAnsi="Times New Roman" w:eastAsia="黑体"/>
          <w:bCs/>
          <w:color w:val="auto"/>
          <w:kern w:val="44"/>
          <w:szCs w:val="21"/>
          <w:highlight w:val="none"/>
          <w:lang w:val="zh-CN"/>
        </w:rPr>
        <w:t xml:space="preserve">7. </w:t>
      </w:r>
      <w:r>
        <w:rPr>
          <w:rFonts w:hint="eastAsia" w:ascii="Times New Roman" w:hAnsi="Times New Roman" w:eastAsia="黑体"/>
          <w:bCs/>
          <w:color w:val="auto"/>
          <w:kern w:val="44"/>
          <w:szCs w:val="21"/>
          <w:highlight w:val="none"/>
          <w:lang w:val="zh-CN"/>
        </w:rPr>
        <w:t>交通运输</w:t>
      </w:r>
      <w:bookmarkEnd w:id="113"/>
      <w:r>
        <w:rPr>
          <w:rFonts w:ascii="Times New Roman" w:hAnsi="Times New Roman" w:eastAsia="黑体"/>
          <w:bCs/>
          <w:color w:val="auto"/>
          <w:kern w:val="44"/>
          <w:szCs w:val="21"/>
          <w:highlight w:val="none"/>
          <w:lang w:val="zh-CN"/>
        </w:rPr>
        <w:t xml:space="preserve"> </w:t>
      </w:r>
    </w:p>
    <w:p w14:paraId="18C5FEB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7.1 </w:t>
      </w:r>
      <w:r>
        <w:rPr>
          <w:rFonts w:hint="eastAsia" w:ascii="Times New Roman" w:hAnsi="Times New Roman" w:eastAsia="黑体"/>
          <w:bCs/>
          <w:color w:val="auto"/>
          <w:kern w:val="44"/>
          <w:szCs w:val="21"/>
          <w:highlight w:val="none"/>
          <w:lang w:val="zh-CN"/>
        </w:rPr>
        <w:t>道路通行权和场外设施</w:t>
      </w:r>
    </w:p>
    <w:p w14:paraId="04E912A3">
      <w:pPr>
        <w:pStyle w:val="54"/>
        <w:spacing w:line="400" w:lineRule="atLeast"/>
        <w:ind w:firstLine="420"/>
        <w:rPr>
          <w:rFonts w:ascii="Times New Roman" w:hAnsi="Times New Roman"/>
          <w:i/>
          <w:color w:val="auto"/>
          <w:szCs w:val="21"/>
          <w:highlight w:val="none"/>
        </w:rPr>
      </w:pPr>
      <w:r>
        <w:rPr>
          <w:rFonts w:hint="eastAsia" w:ascii="Times New Roman" w:hAnsi="Times New Roman"/>
          <w:color w:val="auto"/>
          <w:szCs w:val="21"/>
          <w:highlight w:val="none"/>
        </w:rPr>
        <w:t>除专用合同条款另有约定外，发包人应根据合同工程的施工需要，负责办理取得出入施工场地的专用和临时道路的通行权，以及取得为工程建设所需修建场外设施的权利，并承担有关费用。承包人应协助发包人办理上述手续。</w:t>
      </w:r>
    </w:p>
    <w:p w14:paraId="7433F89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7.2 </w:t>
      </w:r>
      <w:r>
        <w:rPr>
          <w:rFonts w:hint="eastAsia" w:ascii="Times New Roman" w:hAnsi="Times New Roman" w:eastAsia="黑体"/>
          <w:bCs/>
          <w:color w:val="auto"/>
          <w:kern w:val="44"/>
          <w:szCs w:val="21"/>
          <w:highlight w:val="none"/>
          <w:lang w:val="zh-CN"/>
        </w:rPr>
        <w:t>场内施工道路</w:t>
      </w:r>
    </w:p>
    <w:p w14:paraId="6D374E0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7.2.1 </w:t>
      </w:r>
      <w:r>
        <w:rPr>
          <w:rFonts w:hint="eastAsia" w:ascii="Times New Roman" w:hAnsi="Times New Roman"/>
          <w:color w:val="auto"/>
          <w:szCs w:val="21"/>
          <w:highlight w:val="none"/>
        </w:rPr>
        <w:t>除专用合同条款另有约定外，承包人应负责修建、维修、养护和管理施工所需的临时道路和交通设施，包括维修、养护和管理发包人提供的道路和交通设施，并承担相应费用。</w:t>
      </w:r>
    </w:p>
    <w:p w14:paraId="06D45CB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7.2.2 </w:t>
      </w:r>
      <w:r>
        <w:rPr>
          <w:rFonts w:hint="eastAsia" w:ascii="Times New Roman" w:hAnsi="Times New Roman"/>
          <w:color w:val="auto"/>
          <w:szCs w:val="21"/>
          <w:highlight w:val="none"/>
        </w:rPr>
        <w:t>除专用合同条款另有约定外，承包人修建的临时道路和交通设施应免费提供发包人和监理人使用。</w:t>
      </w:r>
    </w:p>
    <w:p w14:paraId="2231C98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7.3 </w:t>
      </w:r>
      <w:r>
        <w:rPr>
          <w:rFonts w:hint="eastAsia" w:ascii="Times New Roman" w:hAnsi="Times New Roman" w:eastAsia="黑体"/>
          <w:bCs/>
          <w:color w:val="auto"/>
          <w:kern w:val="44"/>
          <w:szCs w:val="21"/>
          <w:highlight w:val="none"/>
          <w:lang w:val="zh-CN"/>
        </w:rPr>
        <w:t>场外交通</w:t>
      </w:r>
    </w:p>
    <w:p w14:paraId="4AE8DE8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7.3.1 </w:t>
      </w:r>
      <w:r>
        <w:rPr>
          <w:rFonts w:hint="eastAsia" w:ascii="Times New Roman" w:hAnsi="Times New Roman"/>
          <w:color w:val="auto"/>
          <w:szCs w:val="21"/>
          <w:highlight w:val="none"/>
        </w:rPr>
        <w:t>承包人车辆外出行驶所需的场外公共道路的通行费、养路费和税款等由承包人承担。</w:t>
      </w:r>
    </w:p>
    <w:p w14:paraId="591342C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7.3.2 </w:t>
      </w:r>
      <w:r>
        <w:rPr>
          <w:rFonts w:hint="eastAsia" w:ascii="Times New Roman" w:hAnsi="Times New Roman"/>
          <w:color w:val="auto"/>
          <w:szCs w:val="21"/>
          <w:highlight w:val="none"/>
        </w:rPr>
        <w:t>承包人应遵守有关交通法规，严格按照道路和桥梁的限制荷重安全行驶，并服从交通管理部门的检查和监督。</w:t>
      </w:r>
    </w:p>
    <w:p w14:paraId="6E1AE91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7.4 </w:t>
      </w:r>
      <w:r>
        <w:rPr>
          <w:rFonts w:hint="eastAsia" w:ascii="Times New Roman" w:hAnsi="Times New Roman" w:eastAsia="黑体"/>
          <w:bCs/>
          <w:color w:val="auto"/>
          <w:kern w:val="44"/>
          <w:szCs w:val="21"/>
          <w:highlight w:val="none"/>
          <w:lang w:val="zh-CN"/>
        </w:rPr>
        <w:t>超大件和超重件的运输</w:t>
      </w:r>
    </w:p>
    <w:p w14:paraId="17A1371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7C0D1B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7.5 </w:t>
      </w:r>
      <w:r>
        <w:rPr>
          <w:rFonts w:hint="eastAsia" w:ascii="Times New Roman" w:hAnsi="Times New Roman" w:eastAsia="黑体"/>
          <w:bCs/>
          <w:color w:val="auto"/>
          <w:kern w:val="44"/>
          <w:szCs w:val="21"/>
          <w:highlight w:val="none"/>
          <w:lang w:val="zh-CN"/>
        </w:rPr>
        <w:t>道路和桥梁的损坏责任</w:t>
      </w:r>
    </w:p>
    <w:p w14:paraId="2EE050B8">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因承包人运输造成施工场地内外公共道路和桥梁损坏的，由承包人承担修复损坏的全部费用和可能引起的赔偿。</w:t>
      </w:r>
    </w:p>
    <w:p w14:paraId="592A564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7.6 </w:t>
      </w:r>
      <w:r>
        <w:rPr>
          <w:rFonts w:hint="eastAsia" w:ascii="Times New Roman" w:hAnsi="Times New Roman" w:eastAsia="黑体"/>
          <w:bCs/>
          <w:color w:val="auto"/>
          <w:kern w:val="44"/>
          <w:szCs w:val="21"/>
          <w:highlight w:val="none"/>
          <w:lang w:val="zh-CN"/>
        </w:rPr>
        <w:t>水路和航空运输</w:t>
      </w:r>
    </w:p>
    <w:p w14:paraId="79465ADB">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本条上述各款的内容适用于水路运输和航空运输，其中</w:t>
      </w:r>
      <w:r>
        <w:rPr>
          <w:rFonts w:ascii="Times New Roman" w:hAnsi="Times New Roman"/>
          <w:color w:val="auto"/>
          <w:szCs w:val="21"/>
          <w:highlight w:val="none"/>
        </w:rPr>
        <w:t>“</w:t>
      </w:r>
      <w:r>
        <w:rPr>
          <w:rFonts w:hint="eastAsia" w:ascii="Times New Roman" w:hAnsi="Times New Roman"/>
          <w:color w:val="auto"/>
          <w:szCs w:val="21"/>
          <w:highlight w:val="none"/>
        </w:rPr>
        <w:t>道路</w:t>
      </w:r>
      <w:r>
        <w:rPr>
          <w:rFonts w:ascii="Times New Roman" w:hAnsi="Times New Roman"/>
          <w:color w:val="auto"/>
          <w:szCs w:val="21"/>
          <w:highlight w:val="none"/>
        </w:rPr>
        <w:t>”</w:t>
      </w:r>
      <w:r>
        <w:rPr>
          <w:rFonts w:hint="eastAsia" w:ascii="Times New Roman" w:hAnsi="Times New Roman"/>
          <w:color w:val="auto"/>
          <w:szCs w:val="21"/>
          <w:highlight w:val="none"/>
        </w:rPr>
        <w:t>一词的涵义包括河道、航线、船闸、机场、码头、堤防以及水路或航空运输中其他相似结构物；</w:t>
      </w:r>
      <w:r>
        <w:rPr>
          <w:rFonts w:ascii="Times New Roman" w:hAnsi="Times New Roman"/>
          <w:color w:val="auto"/>
          <w:szCs w:val="21"/>
          <w:highlight w:val="none"/>
        </w:rPr>
        <w:t>“</w:t>
      </w:r>
      <w:r>
        <w:rPr>
          <w:rFonts w:hint="eastAsia" w:ascii="Times New Roman" w:hAnsi="Times New Roman"/>
          <w:color w:val="auto"/>
          <w:szCs w:val="21"/>
          <w:highlight w:val="none"/>
        </w:rPr>
        <w:t>车辆</w:t>
      </w:r>
      <w:r>
        <w:rPr>
          <w:rFonts w:ascii="Times New Roman" w:hAnsi="Times New Roman"/>
          <w:color w:val="auto"/>
          <w:szCs w:val="21"/>
          <w:highlight w:val="none"/>
        </w:rPr>
        <w:t>”</w:t>
      </w:r>
      <w:r>
        <w:rPr>
          <w:rFonts w:hint="eastAsia" w:ascii="Times New Roman" w:hAnsi="Times New Roman"/>
          <w:color w:val="auto"/>
          <w:szCs w:val="21"/>
          <w:highlight w:val="none"/>
        </w:rPr>
        <w:t>一词的涵义包括船舶和飞机等。</w:t>
      </w:r>
      <w:r>
        <w:rPr>
          <w:rFonts w:ascii="Times New Roman" w:hAnsi="Times New Roman"/>
          <w:color w:val="auto"/>
          <w:szCs w:val="21"/>
          <w:highlight w:val="none"/>
        </w:rPr>
        <w:t xml:space="preserve"> </w:t>
      </w:r>
    </w:p>
    <w:p w14:paraId="10A7B34A">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4" w:name="_Toc24523"/>
      <w:r>
        <w:rPr>
          <w:rFonts w:ascii="Times New Roman" w:hAnsi="Times New Roman" w:eastAsia="黑体"/>
          <w:bCs/>
          <w:color w:val="auto"/>
          <w:kern w:val="44"/>
          <w:szCs w:val="21"/>
          <w:highlight w:val="none"/>
          <w:lang w:val="zh-CN"/>
        </w:rPr>
        <w:t xml:space="preserve">8. </w:t>
      </w:r>
      <w:r>
        <w:rPr>
          <w:rFonts w:hint="eastAsia" w:ascii="Times New Roman" w:hAnsi="Times New Roman" w:eastAsia="黑体"/>
          <w:bCs/>
          <w:color w:val="auto"/>
          <w:kern w:val="44"/>
          <w:szCs w:val="21"/>
          <w:highlight w:val="none"/>
          <w:lang w:val="zh-CN"/>
        </w:rPr>
        <w:t>测量放线</w:t>
      </w:r>
      <w:bookmarkEnd w:id="114"/>
    </w:p>
    <w:p w14:paraId="023060C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8.1 </w:t>
      </w:r>
      <w:r>
        <w:rPr>
          <w:rFonts w:hint="eastAsia" w:ascii="Times New Roman" w:hAnsi="Times New Roman" w:eastAsia="黑体"/>
          <w:bCs/>
          <w:color w:val="auto"/>
          <w:kern w:val="44"/>
          <w:szCs w:val="21"/>
          <w:highlight w:val="none"/>
          <w:lang w:val="zh-CN"/>
        </w:rPr>
        <w:t>施工控制网</w:t>
      </w:r>
    </w:p>
    <w:p w14:paraId="1E6D4F2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8.1.1</w:t>
      </w:r>
      <w:r>
        <w:rPr>
          <w:rFonts w:hint="eastAsia" w:ascii="Times New Roman" w:hAnsi="Times New Roman"/>
          <w:color w:val="auto"/>
          <w:szCs w:val="21"/>
          <w:highlight w:val="none"/>
        </w:rPr>
        <w:t>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审批。</w:t>
      </w:r>
    </w:p>
    <w:p w14:paraId="1E8776F7">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8.1.2</w:t>
      </w:r>
      <w:r>
        <w:rPr>
          <w:rFonts w:hint="eastAsia" w:ascii="Times New Roman" w:hAnsi="Times New Roman"/>
          <w:color w:val="auto"/>
          <w:szCs w:val="21"/>
          <w:highlight w:val="none"/>
        </w:rPr>
        <w:t>承包人应负责管理施工控制网点。施工控制网点丢失或损坏的，承包人应及时修复。承包人应承担施工控制网点的管理与修复费用，并在工程竣工后将施工控制网点移交发包人。</w:t>
      </w:r>
    </w:p>
    <w:p w14:paraId="6E464C9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8.2 </w:t>
      </w:r>
      <w:r>
        <w:rPr>
          <w:rFonts w:hint="eastAsia" w:ascii="Times New Roman" w:hAnsi="Times New Roman" w:eastAsia="黑体"/>
          <w:bCs/>
          <w:color w:val="auto"/>
          <w:kern w:val="44"/>
          <w:szCs w:val="21"/>
          <w:highlight w:val="none"/>
          <w:lang w:val="zh-CN"/>
        </w:rPr>
        <w:t>施工测量</w:t>
      </w:r>
    </w:p>
    <w:p w14:paraId="1B6E0308">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8.2.1</w:t>
      </w:r>
      <w:r>
        <w:rPr>
          <w:rFonts w:hint="eastAsia" w:ascii="Times New Roman" w:hAnsi="Times New Roman"/>
          <w:color w:val="auto"/>
          <w:szCs w:val="21"/>
          <w:highlight w:val="none"/>
        </w:rPr>
        <w:t>承包人应负责施工过程中的全部施工测量放线工作，并配置合格的人员、仪器、设备和其他物品。</w:t>
      </w:r>
    </w:p>
    <w:p w14:paraId="7D21EA92">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w:t>
      </w:r>
      <w:r>
        <w:rPr>
          <w:rFonts w:ascii="Times New Roman" w:hAnsi="Times New Roman"/>
          <w:color w:val="auto"/>
          <w:szCs w:val="21"/>
          <w:highlight w:val="none"/>
        </w:rPr>
        <w:t>8.2.2</w:t>
      </w:r>
      <w:r>
        <w:rPr>
          <w:rFonts w:hint="eastAsia" w:ascii="Times New Roman" w:hAnsi="Times New Roman"/>
          <w:color w:val="auto"/>
          <w:szCs w:val="21"/>
          <w:highlight w:val="none"/>
        </w:rPr>
        <w:t>监理人可以指示承包人进行抽样复测，当复测中发现错误或出现超过合同约定的误差时，承包人应按监理人指示进行修正或补测，并承担相应的复测费用。</w:t>
      </w:r>
    </w:p>
    <w:p w14:paraId="3791C4F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8.3 </w:t>
      </w:r>
      <w:r>
        <w:rPr>
          <w:rFonts w:hint="eastAsia" w:ascii="Times New Roman" w:hAnsi="Times New Roman" w:eastAsia="黑体"/>
          <w:bCs/>
          <w:color w:val="auto"/>
          <w:kern w:val="44"/>
          <w:szCs w:val="21"/>
          <w:highlight w:val="none"/>
          <w:lang w:val="zh-CN"/>
        </w:rPr>
        <w:t>基准资料错误的责任</w:t>
      </w:r>
    </w:p>
    <w:p w14:paraId="1986311F">
      <w:pPr>
        <w:pStyle w:val="54"/>
        <w:spacing w:line="400" w:lineRule="atLeast"/>
        <w:rPr>
          <w:rFonts w:ascii="Times New Roman" w:hAnsi="Times New Roman"/>
          <w:color w:val="auto"/>
          <w:szCs w:val="21"/>
          <w:highlight w:val="none"/>
        </w:rPr>
      </w:pPr>
      <w:r>
        <w:rPr>
          <w:rFonts w:hint="eastAsia" w:ascii="Times New Roman" w:hAnsi="Times New Roman"/>
          <w:color w:val="auto"/>
          <w:szCs w:val="21"/>
          <w:highlight w:val="none"/>
        </w:rPr>
        <w:t>　　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14:paraId="0E18752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8.4 </w:t>
      </w:r>
      <w:r>
        <w:rPr>
          <w:rFonts w:hint="eastAsia" w:ascii="Times New Roman" w:hAnsi="Times New Roman" w:eastAsia="黑体"/>
          <w:bCs/>
          <w:color w:val="auto"/>
          <w:kern w:val="44"/>
          <w:szCs w:val="21"/>
          <w:highlight w:val="none"/>
          <w:lang w:val="zh-CN"/>
        </w:rPr>
        <w:t>监理人使用施工控制网</w:t>
      </w:r>
    </w:p>
    <w:p w14:paraId="4627E822">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监理人需要使用施工控制网的，承包人应提供必要的协助，发包人不再为此支付费用。</w:t>
      </w:r>
    </w:p>
    <w:p w14:paraId="3433F1AE">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5" w:name="_Toc3634"/>
      <w:r>
        <w:rPr>
          <w:rFonts w:ascii="Times New Roman" w:hAnsi="Times New Roman" w:eastAsia="黑体"/>
          <w:bCs/>
          <w:color w:val="auto"/>
          <w:kern w:val="44"/>
          <w:szCs w:val="21"/>
          <w:highlight w:val="none"/>
          <w:lang w:val="zh-CN"/>
        </w:rPr>
        <w:t xml:space="preserve">9. </w:t>
      </w:r>
      <w:r>
        <w:rPr>
          <w:rFonts w:hint="eastAsia" w:ascii="Times New Roman" w:hAnsi="Times New Roman" w:eastAsia="黑体"/>
          <w:bCs/>
          <w:color w:val="auto"/>
          <w:kern w:val="44"/>
          <w:szCs w:val="21"/>
          <w:highlight w:val="none"/>
          <w:lang w:val="zh-CN"/>
        </w:rPr>
        <w:t>施工安全、治安保卫和环境保护</w:t>
      </w:r>
      <w:bookmarkEnd w:id="115"/>
    </w:p>
    <w:p w14:paraId="27AC16E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9.1 </w:t>
      </w:r>
      <w:r>
        <w:rPr>
          <w:rFonts w:hint="eastAsia" w:ascii="Times New Roman" w:hAnsi="Times New Roman" w:eastAsia="黑体"/>
          <w:bCs/>
          <w:color w:val="auto"/>
          <w:kern w:val="44"/>
          <w:szCs w:val="21"/>
          <w:highlight w:val="none"/>
          <w:lang w:val="zh-CN"/>
        </w:rPr>
        <w:t>发包人的施工安全责任</w:t>
      </w:r>
    </w:p>
    <w:p w14:paraId="6F3AFC83">
      <w:pPr>
        <w:pStyle w:val="54"/>
        <w:spacing w:line="400" w:lineRule="atLeast"/>
        <w:ind w:firstLine="390"/>
        <w:rPr>
          <w:rFonts w:ascii="Times New Roman" w:hAnsi="Times New Roman"/>
          <w:color w:val="auto"/>
          <w:szCs w:val="21"/>
          <w:highlight w:val="none"/>
        </w:rPr>
      </w:pPr>
      <w:r>
        <w:rPr>
          <w:rFonts w:ascii="Times New Roman" w:hAnsi="Times New Roman"/>
          <w:color w:val="auto"/>
          <w:szCs w:val="21"/>
          <w:highlight w:val="none"/>
        </w:rPr>
        <w:t>9.1.1</w:t>
      </w:r>
      <w:r>
        <w:rPr>
          <w:rFonts w:hint="eastAsia" w:ascii="Times New Roman" w:hAnsi="Times New Roman"/>
          <w:color w:val="auto"/>
          <w:szCs w:val="21"/>
          <w:highlight w:val="none"/>
        </w:rPr>
        <w:t>发包人应按合同约定履行安全职责，授权监理人按合同约定的安全工作内容监督、检查承包人安全工作的实施，组织承包人和有关单位进行安全检查。</w:t>
      </w:r>
    </w:p>
    <w:p w14:paraId="7646E9F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9.2 </w:t>
      </w:r>
      <w:r>
        <w:rPr>
          <w:rFonts w:hint="eastAsia" w:ascii="Times New Roman" w:hAnsi="Times New Roman" w:eastAsia="黑体"/>
          <w:bCs/>
          <w:color w:val="auto"/>
          <w:kern w:val="44"/>
          <w:szCs w:val="21"/>
          <w:highlight w:val="none"/>
          <w:lang w:val="zh-CN"/>
        </w:rPr>
        <w:t>承包人的施工安全责任</w:t>
      </w:r>
    </w:p>
    <w:p w14:paraId="3D748F9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9.2.1 </w:t>
      </w:r>
      <w:r>
        <w:rPr>
          <w:rFonts w:hint="eastAsia" w:ascii="Times New Roman" w:hAnsi="Times New Roman"/>
          <w:color w:val="auto"/>
          <w:szCs w:val="21"/>
          <w:highlight w:val="none"/>
        </w:rPr>
        <w:t>承包人应按合同约定履行安全职责</w:t>
      </w:r>
      <w:r>
        <w:rPr>
          <w:rFonts w:ascii="Times New Roman" w:hAnsi="Times New Roman"/>
          <w:color w:val="auto"/>
          <w:szCs w:val="21"/>
          <w:highlight w:val="none"/>
        </w:rPr>
        <w:t>,</w:t>
      </w:r>
      <w:r>
        <w:rPr>
          <w:rFonts w:hint="eastAsia" w:ascii="Times New Roman" w:hAnsi="Times New Roman"/>
          <w:color w:val="auto"/>
          <w:szCs w:val="21"/>
          <w:highlight w:val="none"/>
        </w:rPr>
        <w:t>执行监理人有关安全工作的指示</w:t>
      </w:r>
      <w:r>
        <w:rPr>
          <w:rFonts w:ascii="Times New Roman" w:hAnsi="Times New Roman"/>
          <w:color w:val="auto"/>
          <w:szCs w:val="21"/>
          <w:highlight w:val="none"/>
        </w:rPr>
        <w:t>,</w:t>
      </w:r>
      <w:r>
        <w:rPr>
          <w:rFonts w:hint="eastAsia" w:ascii="Times New Roman" w:hAnsi="Times New Roman"/>
          <w:color w:val="auto"/>
          <w:szCs w:val="21"/>
          <w:highlight w:val="none"/>
        </w:rPr>
        <w:t>并在专用合同条款约定的期限内，按合同约定的安全工作内容，编制施工安全措施计划报送监理人审批。</w:t>
      </w:r>
    </w:p>
    <w:p w14:paraId="1EA1373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9.2.2 </w:t>
      </w:r>
      <w:r>
        <w:rPr>
          <w:rFonts w:hint="eastAsia" w:ascii="Times New Roman" w:hAnsi="Times New Roman"/>
          <w:color w:val="auto"/>
          <w:szCs w:val="21"/>
          <w:highlight w:val="none"/>
        </w:rPr>
        <w:t>承包人应加强施工作业安全管理，特别应加强易燃、易爆材料、火工器材、有毒与腐蚀性材料和其他危险品的管理，以及对爆破作业和地下工程施工等危险作业的管理。</w:t>
      </w:r>
    </w:p>
    <w:p w14:paraId="270CE2B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9.2.3 </w:t>
      </w:r>
      <w:r>
        <w:rPr>
          <w:rFonts w:hint="eastAsia" w:ascii="Times New Roman" w:hAnsi="Times New Roman"/>
          <w:color w:val="auto"/>
          <w:szCs w:val="21"/>
          <w:highlight w:val="none"/>
        </w:rPr>
        <w:t>承包人应严格按照国家安全标准制定施工安全操作规程，配备必要的安全生产和劳动保护设施，加强对承包人人员的安全教育，并发放安全工作手册和劳动保护用具。</w:t>
      </w:r>
    </w:p>
    <w:p w14:paraId="24A46A3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9.2.4 </w:t>
      </w:r>
      <w:r>
        <w:rPr>
          <w:rFonts w:hint="eastAsia" w:ascii="Times New Roman" w:hAnsi="Times New Roman"/>
          <w:color w:val="auto"/>
          <w:szCs w:val="21"/>
          <w:highlight w:val="none"/>
        </w:rPr>
        <w:t>承包人应按监理人的指示制定应对灾害的紧急预案，报送监理人审批。承包人还应按预案做好安全检查，配置必要的救助物资和器材，切实保护好有关人员的人身和财产安全。</w:t>
      </w:r>
    </w:p>
    <w:p w14:paraId="7A892B5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9.2.5 </w:t>
      </w:r>
      <w:r>
        <w:rPr>
          <w:rFonts w:hint="eastAsia" w:ascii="Times New Roman" w:hAnsi="Times New Roman"/>
          <w:color w:val="auto"/>
          <w:szCs w:val="21"/>
          <w:highlight w:val="none"/>
        </w:rPr>
        <w:t>合同约定的安全作业环境及安全施工措施所需费用应遵守有关规定，并包括在相关工作的合同价格中。因采取合同未约定的安全作业环境及安全施工措施增加的费用，由监理人按第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p>
    <w:p w14:paraId="3042576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9.2.6 </w:t>
      </w:r>
      <w:r>
        <w:rPr>
          <w:rFonts w:hint="eastAsia" w:ascii="Times New Roman" w:hAnsi="Times New Roman"/>
          <w:color w:val="auto"/>
          <w:szCs w:val="21"/>
          <w:highlight w:val="none"/>
        </w:rPr>
        <w:t>承包人应对其履行合同所雇佣的全部人员，包括分包人人员的工伤事故承担责任，但由于发包人原因造成承包人人员工伤事故的，应由发包人承担责任。</w:t>
      </w:r>
    </w:p>
    <w:p w14:paraId="58A938D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9.2.7 </w:t>
      </w:r>
      <w:r>
        <w:rPr>
          <w:rFonts w:hint="eastAsia" w:ascii="Times New Roman" w:hAnsi="Times New Roman"/>
          <w:color w:val="auto"/>
          <w:szCs w:val="21"/>
          <w:highlight w:val="none"/>
        </w:rPr>
        <w:t>由于承包人原因在施工场地内及其毗邻地带造成的第三者人员伤亡和财产损失，由承包人负责赔偿。</w:t>
      </w:r>
    </w:p>
    <w:p w14:paraId="713BA19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9.3 </w:t>
      </w:r>
      <w:r>
        <w:rPr>
          <w:rFonts w:hint="eastAsia" w:ascii="Times New Roman" w:hAnsi="Times New Roman" w:eastAsia="黑体"/>
          <w:bCs/>
          <w:color w:val="auto"/>
          <w:kern w:val="44"/>
          <w:szCs w:val="21"/>
          <w:highlight w:val="none"/>
          <w:lang w:val="zh-CN"/>
        </w:rPr>
        <w:t>治安保卫</w:t>
      </w:r>
    </w:p>
    <w:p w14:paraId="77209FD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9.3.1 </w:t>
      </w:r>
      <w:r>
        <w:rPr>
          <w:rFonts w:hint="eastAsia" w:ascii="Times New Roman" w:hAnsi="Times New Roman"/>
          <w:color w:val="auto"/>
          <w:szCs w:val="21"/>
          <w:highlight w:val="none"/>
        </w:rPr>
        <w:t>除合同另有约定外，发包人应与当地公安部门协商，在现场建立治安管理机构或联防组织，统一管理施工场地的治安保卫事项，履行合同工程的治安保卫职责。</w:t>
      </w:r>
    </w:p>
    <w:p w14:paraId="02582DA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9.3.2 </w:t>
      </w:r>
      <w:r>
        <w:rPr>
          <w:rFonts w:hint="eastAsia" w:ascii="Times New Roman" w:hAnsi="Times New Roman"/>
          <w:color w:val="auto"/>
          <w:szCs w:val="21"/>
          <w:highlight w:val="none"/>
        </w:rPr>
        <w:t>发包人和承包人除应协助现场治安管理机构或联防组织维护施工场地的社会治安外，还应做好包括生活区在内的各自管辖区的治安保卫工作。</w:t>
      </w:r>
    </w:p>
    <w:p w14:paraId="7D1CF9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9.3.3 </w:t>
      </w:r>
      <w:r>
        <w:rPr>
          <w:rFonts w:hint="eastAsia" w:ascii="Times New Roman" w:hAnsi="Times New Roman"/>
          <w:color w:val="auto"/>
          <w:szCs w:val="21"/>
          <w:highlight w:val="none"/>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6D86501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9.4 </w:t>
      </w:r>
      <w:r>
        <w:rPr>
          <w:rFonts w:hint="eastAsia" w:ascii="Times New Roman" w:hAnsi="Times New Roman" w:eastAsia="黑体"/>
          <w:bCs/>
          <w:color w:val="auto"/>
          <w:kern w:val="44"/>
          <w:szCs w:val="21"/>
          <w:highlight w:val="none"/>
          <w:lang w:val="zh-CN"/>
        </w:rPr>
        <w:t>环境保护</w:t>
      </w:r>
    </w:p>
    <w:p w14:paraId="1BB71A9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9.4.1 </w:t>
      </w:r>
      <w:r>
        <w:rPr>
          <w:rFonts w:hint="eastAsia" w:ascii="Times New Roman" w:hAnsi="Times New Roman"/>
          <w:color w:val="auto"/>
          <w:szCs w:val="21"/>
          <w:highlight w:val="none"/>
        </w:rPr>
        <w:t>承包人在施工过程中，应遵守有关环境保护的法律，履行合同约定的环境保护义务，并对违反法律和合同约定义务所造成的环境破坏、人身伤害和财产损失负责。</w:t>
      </w:r>
    </w:p>
    <w:p w14:paraId="515ABFC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9.4.2 </w:t>
      </w:r>
      <w:r>
        <w:rPr>
          <w:rFonts w:hint="eastAsia" w:ascii="Times New Roman" w:hAnsi="Times New Roman"/>
          <w:color w:val="auto"/>
          <w:szCs w:val="21"/>
          <w:highlight w:val="none"/>
        </w:rPr>
        <w:t>承包人应按合同约定的环保工作内容，编制施工环保措施计划，报送监理人审批。</w:t>
      </w:r>
    </w:p>
    <w:p w14:paraId="0322165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9.4.3 </w:t>
      </w:r>
      <w:r>
        <w:rPr>
          <w:rFonts w:hint="eastAsia" w:ascii="Times New Roman" w:hAnsi="Times New Roman"/>
          <w:color w:val="auto"/>
          <w:szCs w:val="21"/>
          <w:highlight w:val="none"/>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14:paraId="3A6CCD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9.4.4 </w:t>
      </w:r>
      <w:r>
        <w:rPr>
          <w:rFonts w:hint="eastAsia" w:ascii="Times New Roman" w:hAnsi="Times New Roman"/>
          <w:color w:val="auto"/>
          <w:szCs w:val="21"/>
          <w:highlight w:val="none"/>
        </w:rPr>
        <w:t>承包人应按合同约定采取有效措施，对施工开挖的边坡及时进行支护</w:t>
      </w:r>
      <w:r>
        <w:rPr>
          <w:rFonts w:ascii="Times New Roman" w:hAnsi="Times New Roman"/>
          <w:color w:val="auto"/>
          <w:szCs w:val="21"/>
          <w:highlight w:val="none"/>
        </w:rPr>
        <w:t>,</w:t>
      </w:r>
      <w:r>
        <w:rPr>
          <w:rFonts w:hint="eastAsia" w:ascii="Times New Roman" w:hAnsi="Times New Roman"/>
          <w:color w:val="auto"/>
          <w:szCs w:val="21"/>
          <w:highlight w:val="none"/>
        </w:rPr>
        <w:t>维护排水设施，并进行水土保护，避免因施工造成的地质灾害。</w:t>
      </w:r>
    </w:p>
    <w:p w14:paraId="3001AB3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9.4.5 </w:t>
      </w:r>
      <w:r>
        <w:rPr>
          <w:rFonts w:hint="eastAsia" w:ascii="Times New Roman" w:hAnsi="Times New Roman"/>
          <w:color w:val="auto"/>
          <w:szCs w:val="21"/>
          <w:highlight w:val="none"/>
        </w:rPr>
        <w:t>承包人应按国家饮用水管理标准定期对饮用水源进行监测，防止施工活动污染饮用水源。</w:t>
      </w:r>
    </w:p>
    <w:p w14:paraId="66DE5AFC">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9.4.6 </w:t>
      </w:r>
      <w:r>
        <w:rPr>
          <w:rFonts w:hint="eastAsia" w:ascii="Times New Roman" w:hAnsi="Times New Roman"/>
          <w:color w:val="auto"/>
          <w:szCs w:val="21"/>
          <w:highlight w:val="none"/>
        </w:rPr>
        <w:t>承包人应按合同约定，加强对噪声、粉尘、废气、废水和废油的控制，努力降低噪声，控制粉尘和废气浓度，做好废水和废油的治理和排放。</w:t>
      </w:r>
    </w:p>
    <w:p w14:paraId="5C83481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9.5 </w:t>
      </w:r>
      <w:r>
        <w:rPr>
          <w:rFonts w:hint="eastAsia" w:ascii="Times New Roman" w:hAnsi="Times New Roman" w:eastAsia="黑体"/>
          <w:bCs/>
          <w:color w:val="auto"/>
          <w:kern w:val="44"/>
          <w:szCs w:val="21"/>
          <w:highlight w:val="none"/>
          <w:lang w:val="zh-CN"/>
        </w:rPr>
        <w:t>事故处理</w:t>
      </w:r>
    </w:p>
    <w:p w14:paraId="728E2AC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4FF062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6" w:name="_Toc9802"/>
      <w:r>
        <w:rPr>
          <w:rFonts w:ascii="Times New Roman" w:hAnsi="Times New Roman" w:eastAsia="黑体"/>
          <w:bCs/>
          <w:color w:val="auto"/>
          <w:kern w:val="44"/>
          <w:szCs w:val="21"/>
          <w:highlight w:val="none"/>
          <w:lang w:val="zh-CN"/>
        </w:rPr>
        <w:t xml:space="preserve">10. </w:t>
      </w:r>
      <w:r>
        <w:rPr>
          <w:rFonts w:hint="eastAsia" w:ascii="Times New Roman" w:hAnsi="Times New Roman" w:eastAsia="黑体"/>
          <w:bCs/>
          <w:color w:val="auto"/>
          <w:kern w:val="44"/>
          <w:szCs w:val="21"/>
          <w:highlight w:val="none"/>
          <w:lang w:val="zh-CN"/>
        </w:rPr>
        <w:t>进度计划</w:t>
      </w:r>
      <w:bookmarkEnd w:id="116"/>
    </w:p>
    <w:p w14:paraId="6BE9E9C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10.1 </w:t>
      </w:r>
      <w:r>
        <w:rPr>
          <w:rFonts w:hint="eastAsia" w:ascii="Times New Roman" w:hAnsi="Times New Roman" w:eastAsia="黑体"/>
          <w:bCs/>
          <w:color w:val="auto"/>
          <w:kern w:val="44"/>
          <w:szCs w:val="21"/>
          <w:highlight w:val="none"/>
          <w:lang w:val="zh-CN"/>
        </w:rPr>
        <w:t>合同进度计划</w:t>
      </w:r>
    </w:p>
    <w:p w14:paraId="2E0BC78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按专用合同条款约定的内容和期限，编制详细的施工进度计划和施工方案说明报送监理人。监理人应在专用合同条款约定的期限内批复或提出修改意见，否则该进度计划视为已得到批准。经监理人批准的施工进度计划称合同进度计划，是控制合同工程进度的依据。承包人还应根据合同进度计划，编制更为详细的分阶段或分项进度计划，报监理人审批。</w:t>
      </w:r>
    </w:p>
    <w:p w14:paraId="7BAD7ED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10.2 </w:t>
      </w:r>
      <w:r>
        <w:rPr>
          <w:rFonts w:hint="eastAsia" w:ascii="Times New Roman" w:hAnsi="Times New Roman" w:eastAsia="黑体"/>
          <w:bCs/>
          <w:color w:val="auto"/>
          <w:kern w:val="44"/>
          <w:szCs w:val="21"/>
          <w:highlight w:val="none"/>
          <w:lang w:val="zh-CN"/>
        </w:rPr>
        <w:t>合同进度计划的修订</w:t>
      </w:r>
    </w:p>
    <w:p w14:paraId="18897390">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不论何种原因造成工程的实际进度与第</w:t>
      </w:r>
      <w:r>
        <w:rPr>
          <w:rFonts w:ascii="Times New Roman" w:hAnsi="Times New Roman"/>
          <w:color w:val="auto"/>
          <w:szCs w:val="21"/>
          <w:highlight w:val="none"/>
        </w:rPr>
        <w:t>10.1</w:t>
      </w:r>
      <w:r>
        <w:rPr>
          <w:rFonts w:hint="eastAsia" w:ascii="Times New Roman" w:hAnsi="Times New Roman"/>
          <w:color w:val="auto"/>
          <w:szCs w:val="21"/>
          <w:highlight w:val="none"/>
        </w:rPr>
        <w:t>款的合同进度计划不符时，承包人可以在专用合同条款约定的期限内向监理人提交修订合同进度计划的申请报告，并附有关措施和相关资料，报监理人审批；监理人也可以直接向承包人作出修订合同进度计划的指示，承包人应按该指示修订合同进度计划，报监理人审批。监理人应在专用合同条款约定的期限内批复。监理人在批复前应获得发包人同意。</w:t>
      </w:r>
    </w:p>
    <w:p w14:paraId="65824EBA">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7" w:name="_Toc13316"/>
      <w:r>
        <w:rPr>
          <w:rFonts w:ascii="Times New Roman" w:hAnsi="Times New Roman" w:eastAsia="黑体"/>
          <w:bCs/>
          <w:color w:val="auto"/>
          <w:kern w:val="44"/>
          <w:szCs w:val="21"/>
          <w:highlight w:val="none"/>
          <w:lang w:val="zh-CN"/>
        </w:rPr>
        <w:t xml:space="preserve">11. </w:t>
      </w:r>
      <w:r>
        <w:rPr>
          <w:rFonts w:hint="eastAsia" w:ascii="Times New Roman" w:hAnsi="Times New Roman" w:eastAsia="黑体"/>
          <w:bCs/>
          <w:color w:val="auto"/>
          <w:kern w:val="44"/>
          <w:szCs w:val="21"/>
          <w:highlight w:val="none"/>
          <w:lang w:val="zh-CN"/>
        </w:rPr>
        <w:t>开工和竣工</w:t>
      </w:r>
      <w:bookmarkEnd w:id="117"/>
    </w:p>
    <w:p w14:paraId="1296B1EF">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11.1 </w:t>
      </w:r>
      <w:r>
        <w:rPr>
          <w:rFonts w:hint="eastAsia" w:ascii="Times New Roman" w:hAnsi="Times New Roman" w:eastAsia="黑体"/>
          <w:bCs/>
          <w:color w:val="auto"/>
          <w:kern w:val="44"/>
          <w:szCs w:val="21"/>
          <w:highlight w:val="none"/>
          <w:lang w:val="zh-CN"/>
        </w:rPr>
        <w:t>开工</w:t>
      </w:r>
    </w:p>
    <w:p w14:paraId="4C34173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11.1.1 </w:t>
      </w:r>
      <w:r>
        <w:rPr>
          <w:rFonts w:hint="eastAsia" w:ascii="Times New Roman" w:hAnsi="Times New Roman"/>
          <w:color w:val="auto"/>
          <w:szCs w:val="21"/>
          <w:highlight w:val="none"/>
        </w:rPr>
        <w:t>监理人应在开工日期</w:t>
      </w:r>
      <w:r>
        <w:rPr>
          <w:rFonts w:ascii="Times New Roman" w:hAnsi="Times New Roman"/>
          <w:color w:val="auto"/>
          <w:szCs w:val="21"/>
          <w:highlight w:val="none"/>
        </w:rPr>
        <w:t>7</w:t>
      </w:r>
      <w:r>
        <w:rPr>
          <w:rFonts w:hint="eastAsia" w:ascii="Times New Roman" w:hAnsi="Times New Roman"/>
          <w:color w:val="auto"/>
          <w:szCs w:val="21"/>
          <w:highlight w:val="none"/>
        </w:rPr>
        <w:t>天前向承包人发出开工通知。监理人在发出开工通知前应获得发包人同意。工期自监理人发出的开工通知中载明的开工日期起计算。承包人应在开工日期后尽快施工。</w:t>
      </w:r>
    </w:p>
    <w:p w14:paraId="17505CE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11.1.2 </w:t>
      </w:r>
      <w:r>
        <w:rPr>
          <w:rFonts w:hint="eastAsia" w:ascii="Times New Roman" w:hAnsi="Times New Roman"/>
          <w:color w:val="auto"/>
          <w:szCs w:val="21"/>
          <w:highlight w:val="none"/>
        </w:rPr>
        <w:t>承包人应按第</w:t>
      </w:r>
      <w:r>
        <w:rPr>
          <w:rFonts w:ascii="Times New Roman" w:hAnsi="Times New Roman"/>
          <w:color w:val="auto"/>
          <w:szCs w:val="21"/>
          <w:highlight w:val="none"/>
        </w:rPr>
        <w:t>10.1</w:t>
      </w:r>
      <w:r>
        <w:rPr>
          <w:rFonts w:hint="eastAsia" w:ascii="Times New Roman" w:hAnsi="Times New Roman"/>
          <w:color w:val="auto"/>
          <w:szCs w:val="21"/>
          <w:highlight w:val="none"/>
        </w:rPr>
        <w:t>款约定的合同进度计划，向监理人提交工程开工报审表，经监理人审批后执行。开工报审表应详细说明按合同进度计划正常施工所需的施工道路、临时设施、材料设备、施工人员等施工组织措施的落实情况以及工程的进度安排。</w:t>
      </w:r>
    </w:p>
    <w:p w14:paraId="6F7FE35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11.2</w:t>
      </w:r>
      <w:r>
        <w:rPr>
          <w:rFonts w:ascii="Times New Roman" w:hAnsi="Times New Roman" w:eastAsia="黑体"/>
          <w:bCs/>
          <w:color w:val="auto"/>
          <w:kern w:val="44"/>
          <w:szCs w:val="21"/>
          <w:highlight w:val="none"/>
          <w:lang w:val="zh-CN"/>
        </w:rPr>
        <w:tab/>
      </w:r>
      <w:r>
        <w:rPr>
          <w:rFonts w:ascii="Times New Roman" w:hAnsi="Times New Roman" w:eastAsia="黑体"/>
          <w:bCs/>
          <w:color w:val="auto"/>
          <w:kern w:val="44"/>
          <w:szCs w:val="21"/>
          <w:highlight w:val="none"/>
          <w:lang w:val="zh-CN"/>
        </w:rPr>
        <w:t xml:space="preserve"> </w:t>
      </w:r>
      <w:r>
        <w:rPr>
          <w:rFonts w:hint="eastAsia" w:ascii="Times New Roman" w:hAnsi="Times New Roman" w:eastAsia="黑体"/>
          <w:bCs/>
          <w:color w:val="auto"/>
          <w:kern w:val="44"/>
          <w:szCs w:val="21"/>
          <w:highlight w:val="none"/>
          <w:lang w:val="zh-CN"/>
        </w:rPr>
        <w:t>竣工</w:t>
      </w:r>
    </w:p>
    <w:p w14:paraId="7158466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承包人应在第</w:t>
      </w:r>
      <w:r>
        <w:rPr>
          <w:rFonts w:ascii="Times New Roman" w:hAnsi="Times New Roman"/>
          <w:color w:val="auto"/>
          <w:szCs w:val="21"/>
          <w:highlight w:val="none"/>
        </w:rPr>
        <w:t>1.1.4.3</w:t>
      </w:r>
      <w:r>
        <w:rPr>
          <w:rFonts w:hint="eastAsia" w:ascii="Times New Roman" w:hAnsi="Times New Roman"/>
          <w:color w:val="auto"/>
          <w:szCs w:val="21"/>
          <w:highlight w:val="none"/>
        </w:rPr>
        <w:t>目约定的期限内完成合同工程。实际竣工日期在接收证书中写明。</w:t>
      </w:r>
    </w:p>
    <w:p w14:paraId="70A0281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11.3 </w:t>
      </w:r>
      <w:r>
        <w:rPr>
          <w:rFonts w:hint="eastAsia" w:ascii="Times New Roman" w:hAnsi="Times New Roman" w:eastAsia="黑体"/>
          <w:bCs/>
          <w:color w:val="auto"/>
          <w:kern w:val="44"/>
          <w:szCs w:val="21"/>
          <w:highlight w:val="none"/>
          <w:lang w:val="zh-CN"/>
        </w:rPr>
        <w:t>发包人的工期延误</w:t>
      </w:r>
    </w:p>
    <w:p w14:paraId="6A6A70E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在履行合同过程中，由于发包人的下列原因造成工期延误的，承包人有权要求发包人延长工期和（或）增加费用，并支付合理利润。需要修订合同进度计划的，按照第</w:t>
      </w:r>
      <w:r>
        <w:rPr>
          <w:rFonts w:ascii="Times New Roman" w:hAnsi="Times New Roman"/>
          <w:color w:val="auto"/>
          <w:szCs w:val="21"/>
          <w:highlight w:val="none"/>
        </w:rPr>
        <w:t>10.2</w:t>
      </w:r>
      <w:r>
        <w:rPr>
          <w:rFonts w:hint="eastAsia" w:ascii="Times New Roman" w:hAnsi="Times New Roman"/>
          <w:color w:val="auto"/>
          <w:szCs w:val="21"/>
          <w:highlight w:val="none"/>
        </w:rPr>
        <w:t>款的约定办理。</w:t>
      </w:r>
    </w:p>
    <w:p w14:paraId="138F5D8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）增加合同工作内容</w:t>
      </w:r>
      <w:r>
        <w:rPr>
          <w:rFonts w:ascii="Times New Roman" w:hAnsi="Times New Roman"/>
          <w:color w:val="auto"/>
          <w:szCs w:val="21"/>
          <w:highlight w:val="none"/>
        </w:rPr>
        <w:t>;</w:t>
      </w:r>
    </w:p>
    <w:p w14:paraId="1C055FE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）改变合同中任何一项工作的质量要求或其他特性；</w:t>
      </w:r>
    </w:p>
    <w:p w14:paraId="20B9AEF3">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）发包人迟延提供材料、工程设备或变更交货地点的；</w:t>
      </w:r>
    </w:p>
    <w:p w14:paraId="319A864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）因发包人原因导致的暂停施工；</w:t>
      </w:r>
    </w:p>
    <w:p w14:paraId="6662DC1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）提供图纸延误；</w:t>
      </w:r>
    </w:p>
    <w:p w14:paraId="139E9B0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）未按合同约定及时支付预付款、进度款；</w:t>
      </w:r>
    </w:p>
    <w:p w14:paraId="13C9A19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7</w:t>
      </w:r>
      <w:r>
        <w:rPr>
          <w:rFonts w:hint="eastAsia" w:ascii="Times New Roman" w:hAnsi="Times New Roman"/>
          <w:color w:val="auto"/>
          <w:szCs w:val="21"/>
          <w:highlight w:val="none"/>
        </w:rPr>
        <w:t>）发包人造成工期延误的其他原因。</w:t>
      </w:r>
    </w:p>
    <w:p w14:paraId="22574DD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11.4</w:t>
      </w:r>
      <w:r>
        <w:rPr>
          <w:rFonts w:hint="eastAsia" w:ascii="Times New Roman" w:hAnsi="Times New Roman" w:eastAsia="黑体"/>
          <w:bCs/>
          <w:color w:val="auto"/>
          <w:kern w:val="44"/>
          <w:szCs w:val="21"/>
          <w:highlight w:val="none"/>
          <w:lang w:val="zh-CN"/>
        </w:rPr>
        <w:t>异常恶劣的气候条件</w:t>
      </w:r>
    </w:p>
    <w:p w14:paraId="7692F7EF">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由于出现专用合同条款约定的异常恶劣气候的条件导致工期延误的，承包人有权要求发包人延长工期。</w:t>
      </w:r>
    </w:p>
    <w:p w14:paraId="7A4DE1C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11.5 </w:t>
      </w:r>
      <w:r>
        <w:rPr>
          <w:rFonts w:hint="eastAsia" w:ascii="Times New Roman" w:hAnsi="Times New Roman" w:eastAsia="黑体"/>
          <w:bCs/>
          <w:color w:val="auto"/>
          <w:kern w:val="44"/>
          <w:szCs w:val="21"/>
          <w:highlight w:val="none"/>
          <w:lang w:val="zh-CN"/>
        </w:rPr>
        <w:t>承包人的工期延误</w:t>
      </w:r>
    </w:p>
    <w:p w14:paraId="227CEC0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14:paraId="1CE5FBF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11.6 </w:t>
      </w:r>
      <w:r>
        <w:rPr>
          <w:rFonts w:hint="eastAsia" w:ascii="Times New Roman" w:hAnsi="Times New Roman" w:eastAsia="黑体"/>
          <w:bCs/>
          <w:color w:val="auto"/>
          <w:kern w:val="44"/>
          <w:szCs w:val="21"/>
          <w:highlight w:val="none"/>
          <w:lang w:val="zh-CN"/>
        </w:rPr>
        <w:t>工期提前</w:t>
      </w:r>
    </w:p>
    <w:p w14:paraId="25339E94">
      <w:pPr>
        <w:pStyle w:val="54"/>
        <w:spacing w:line="400" w:lineRule="atLeas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r>
        <w:rPr>
          <w:rFonts w:ascii="Times New Roman" w:hAnsi="Times New Roman"/>
          <w:color w:val="auto"/>
          <w:szCs w:val="21"/>
          <w:highlight w:val="none"/>
        </w:rPr>
        <w:t xml:space="preserve"> </w:t>
      </w:r>
      <w:bookmarkStart w:id="118" w:name="_Toc2304"/>
    </w:p>
    <w:p w14:paraId="5F12698F">
      <w:pPr>
        <w:pStyle w:val="54"/>
        <w:spacing w:line="400" w:lineRule="atLeast"/>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12. </w:t>
      </w:r>
      <w:r>
        <w:rPr>
          <w:rFonts w:hint="eastAsia" w:ascii="Times New Roman" w:hAnsi="Times New Roman" w:eastAsia="黑体"/>
          <w:bCs/>
          <w:color w:val="auto"/>
          <w:kern w:val="44"/>
          <w:szCs w:val="21"/>
          <w:highlight w:val="none"/>
          <w:lang w:val="zh-CN"/>
        </w:rPr>
        <w:t>暂停施工</w:t>
      </w:r>
      <w:bookmarkEnd w:id="118"/>
    </w:p>
    <w:p w14:paraId="3767BE9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12.1 </w:t>
      </w:r>
      <w:r>
        <w:rPr>
          <w:rFonts w:hint="eastAsia" w:ascii="Times New Roman" w:hAnsi="Times New Roman" w:eastAsia="黑体"/>
          <w:bCs/>
          <w:color w:val="auto"/>
          <w:kern w:val="44"/>
          <w:szCs w:val="21"/>
          <w:highlight w:val="none"/>
          <w:lang w:val="zh-CN"/>
        </w:rPr>
        <w:t>承包人暂停施工的责任</w:t>
      </w:r>
    </w:p>
    <w:p w14:paraId="04ACC41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因下列暂停施工增加的费用和（或）工期延误由承包人承担：</w:t>
      </w:r>
    </w:p>
    <w:p w14:paraId="483B3CF3">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）承包人违约引起的暂停施工；</w:t>
      </w:r>
    </w:p>
    <w:p w14:paraId="5262041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）由于承包人原因为工程合理施工和安全保障所必需的暂停施工；</w:t>
      </w:r>
    </w:p>
    <w:p w14:paraId="35DE07A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）承包人擅自暂停施工；</w:t>
      </w:r>
    </w:p>
    <w:p w14:paraId="0DD0799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）承包人其他原因引起的暂停施工；</w:t>
      </w:r>
    </w:p>
    <w:p w14:paraId="49865FA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）专用合同条款约定由承包人承担的其他暂停施工。</w:t>
      </w:r>
    </w:p>
    <w:p w14:paraId="4366C29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12.2 </w:t>
      </w:r>
      <w:r>
        <w:rPr>
          <w:rFonts w:hint="eastAsia" w:ascii="Times New Roman" w:hAnsi="Times New Roman" w:eastAsia="黑体"/>
          <w:bCs/>
          <w:color w:val="auto"/>
          <w:kern w:val="44"/>
          <w:szCs w:val="21"/>
          <w:highlight w:val="none"/>
          <w:lang w:val="zh-CN"/>
        </w:rPr>
        <w:t>发包人暂停施工的责任</w:t>
      </w:r>
    </w:p>
    <w:p w14:paraId="13848A1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由于发包人原因引起的暂停施工造成工期延误的，承包人有权要求发包人延长工期和（或）增加费用，并支付合理利润。</w:t>
      </w:r>
    </w:p>
    <w:p w14:paraId="5695492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12.3 </w:t>
      </w:r>
      <w:r>
        <w:rPr>
          <w:rFonts w:hint="eastAsia" w:ascii="Times New Roman" w:hAnsi="Times New Roman" w:eastAsia="黑体"/>
          <w:bCs/>
          <w:color w:val="auto"/>
          <w:kern w:val="44"/>
          <w:szCs w:val="21"/>
          <w:highlight w:val="none"/>
          <w:lang w:val="zh-CN"/>
        </w:rPr>
        <w:t>监理人暂停施工指示</w:t>
      </w:r>
    </w:p>
    <w:p w14:paraId="5BF29EE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12.3.1 </w:t>
      </w:r>
      <w:r>
        <w:rPr>
          <w:rFonts w:hint="eastAsia" w:ascii="Times New Roman" w:hAnsi="Times New Roman"/>
          <w:color w:val="auto"/>
          <w:szCs w:val="21"/>
          <w:highlight w:val="none"/>
        </w:rPr>
        <w:t>监理人认为有必要时，可向承包人作出暂停施工的指示，承包人应按监理人指示暂停施工。不论由于何种原因引起的暂停施工，暂停施工期间承包人应负责妥善保护工程并提供安全保障。</w:t>
      </w:r>
    </w:p>
    <w:p w14:paraId="53C2920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12.3.2 </w:t>
      </w:r>
      <w:r>
        <w:rPr>
          <w:rFonts w:hint="eastAsia" w:ascii="Times New Roman" w:hAnsi="Times New Roman"/>
          <w:color w:val="auto"/>
          <w:szCs w:val="21"/>
          <w:highlight w:val="none"/>
        </w:rPr>
        <w:t>由于发包人的原因发生暂停施工的紧急情况，且监理人未及时下达暂停施工指示的，承包人可先暂停施工，并及时向监理人提出暂停施工的书面请求。监理人应在接到书面请求后的</w:t>
      </w:r>
      <w:r>
        <w:rPr>
          <w:rFonts w:ascii="Times New Roman" w:hAnsi="Times New Roman"/>
          <w:color w:val="auto"/>
          <w:szCs w:val="21"/>
          <w:highlight w:val="none"/>
        </w:rPr>
        <w:t>24</w:t>
      </w:r>
      <w:r>
        <w:rPr>
          <w:rFonts w:hint="eastAsia" w:ascii="Times New Roman" w:hAnsi="Times New Roman"/>
          <w:color w:val="auto"/>
          <w:szCs w:val="21"/>
          <w:highlight w:val="none"/>
        </w:rPr>
        <w:t>小时内予以答复，逾期未答复的，视为同意承包人的暂停施工请求。</w:t>
      </w:r>
    </w:p>
    <w:p w14:paraId="7DFF46A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12.4 </w:t>
      </w:r>
      <w:r>
        <w:rPr>
          <w:rFonts w:hint="eastAsia" w:ascii="Times New Roman" w:hAnsi="Times New Roman" w:eastAsia="黑体"/>
          <w:bCs/>
          <w:color w:val="auto"/>
          <w:kern w:val="44"/>
          <w:szCs w:val="21"/>
          <w:highlight w:val="none"/>
          <w:lang w:val="zh-CN"/>
        </w:rPr>
        <w:t>暂停施工后的复工</w:t>
      </w:r>
    </w:p>
    <w:p w14:paraId="288FA76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12.4.1</w:t>
      </w:r>
      <w:r>
        <w:rPr>
          <w:rFonts w:hint="eastAsia" w:ascii="Times New Roman" w:hAnsi="Times New Roman"/>
          <w:color w:val="auto"/>
          <w:szCs w:val="21"/>
          <w:highlight w:val="none"/>
        </w:rPr>
        <w:t>暂停施工后，监理人应与发包人和承包人协商，采取有效措施积极消除暂停施工的影响。当工程具备复工条件时，监理人应立即向承包人发出复工通知。承包人收到复工通知后，应在监理人指定的期限内复工。</w:t>
      </w:r>
    </w:p>
    <w:p w14:paraId="333367F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12.4.2</w:t>
      </w:r>
      <w:r>
        <w:rPr>
          <w:rFonts w:hint="eastAsia" w:ascii="Times New Roman" w:hAnsi="Times New Roman"/>
          <w:color w:val="auto"/>
          <w:szCs w:val="21"/>
          <w:highlight w:val="none"/>
        </w:rPr>
        <w:t>承包人无故拖延和拒绝复工的，由此增加的费用和工期延误由承包人承担；因发包人原因无法按时复工的，承包人有权要求发包人延长工期和（或）增加费用，并支付合理利润。</w:t>
      </w:r>
    </w:p>
    <w:p w14:paraId="338022F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12.5 </w:t>
      </w:r>
      <w:r>
        <w:rPr>
          <w:rFonts w:hint="eastAsia" w:ascii="Times New Roman" w:hAnsi="Times New Roman" w:eastAsia="黑体"/>
          <w:bCs/>
          <w:color w:val="auto"/>
          <w:kern w:val="44"/>
          <w:szCs w:val="21"/>
          <w:highlight w:val="none"/>
          <w:lang w:val="zh-CN"/>
        </w:rPr>
        <w:t>暂停施工持续</w:t>
      </w:r>
      <w:r>
        <w:rPr>
          <w:rFonts w:ascii="Times New Roman" w:hAnsi="Times New Roman" w:eastAsia="黑体"/>
          <w:bCs/>
          <w:color w:val="auto"/>
          <w:kern w:val="44"/>
          <w:szCs w:val="21"/>
          <w:highlight w:val="none"/>
          <w:lang w:val="zh-CN"/>
        </w:rPr>
        <w:t>56</w:t>
      </w:r>
      <w:r>
        <w:rPr>
          <w:rFonts w:hint="eastAsia" w:ascii="Times New Roman" w:hAnsi="Times New Roman" w:eastAsia="黑体"/>
          <w:bCs/>
          <w:color w:val="auto"/>
          <w:kern w:val="44"/>
          <w:szCs w:val="21"/>
          <w:highlight w:val="none"/>
          <w:lang w:val="zh-CN"/>
        </w:rPr>
        <w:t>天以上</w:t>
      </w:r>
    </w:p>
    <w:p w14:paraId="74E81F9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12.5.1</w:t>
      </w:r>
      <w:r>
        <w:rPr>
          <w:rFonts w:hint="eastAsia" w:ascii="Times New Roman" w:hAnsi="Times New Roman"/>
          <w:color w:val="auto"/>
          <w:szCs w:val="21"/>
          <w:highlight w:val="none"/>
        </w:rPr>
        <w:t>监理人发出暂停施工指示后</w:t>
      </w:r>
      <w:r>
        <w:rPr>
          <w:rFonts w:ascii="Times New Roman" w:hAnsi="Times New Roman"/>
          <w:color w:val="auto"/>
          <w:szCs w:val="21"/>
          <w:highlight w:val="none"/>
        </w:rPr>
        <w:t>56</w:t>
      </w:r>
      <w:r>
        <w:rPr>
          <w:rFonts w:hint="eastAsia" w:ascii="Times New Roman" w:hAnsi="Times New Roman"/>
          <w:color w:val="auto"/>
          <w:szCs w:val="21"/>
          <w:highlight w:val="none"/>
        </w:rPr>
        <w:t>天内未向承包人发出复工通知，除了该项停工属于第</w:t>
      </w:r>
      <w:r>
        <w:rPr>
          <w:rFonts w:ascii="Times New Roman" w:hAnsi="Times New Roman"/>
          <w:color w:val="auto"/>
          <w:szCs w:val="21"/>
          <w:highlight w:val="none"/>
        </w:rPr>
        <w:t>12.1</w:t>
      </w:r>
      <w:r>
        <w:rPr>
          <w:rFonts w:hint="eastAsia" w:ascii="Times New Roman" w:hAnsi="Times New Roman"/>
          <w:color w:val="auto"/>
          <w:szCs w:val="21"/>
          <w:highlight w:val="none"/>
        </w:rPr>
        <w:t>款的情况外，承包人可向监理人提交书面通知，要求监理人在收到书面通知后</w:t>
      </w:r>
      <w:r>
        <w:rPr>
          <w:rFonts w:ascii="Times New Roman" w:hAnsi="Times New Roman"/>
          <w:color w:val="auto"/>
          <w:szCs w:val="21"/>
          <w:highlight w:val="none"/>
        </w:rPr>
        <w:t>28</w:t>
      </w:r>
      <w:r>
        <w:rPr>
          <w:rFonts w:hint="eastAsia" w:ascii="Times New Roman" w:hAnsi="Times New Roman"/>
          <w:color w:val="auto"/>
          <w:szCs w:val="21"/>
          <w:highlight w:val="none"/>
        </w:rPr>
        <w:t>天内准许已暂停施工的工程或其中一部分工程继续施工。如监理人逾期不予批准，则承包人可以通知监理人，将工程受影响的部分视为按第</w:t>
      </w:r>
      <w:r>
        <w:rPr>
          <w:rFonts w:ascii="Times New Roman" w:hAnsi="Times New Roman"/>
          <w:color w:val="auto"/>
          <w:szCs w:val="21"/>
          <w:highlight w:val="none"/>
        </w:rPr>
        <w:t>15.1</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）项的可取消工作。如暂停施工影响到整个工程，可视为发包人违约，应按第</w:t>
      </w:r>
      <w:r>
        <w:rPr>
          <w:rFonts w:ascii="Times New Roman" w:hAnsi="Times New Roman"/>
          <w:color w:val="auto"/>
          <w:szCs w:val="21"/>
          <w:highlight w:val="none"/>
        </w:rPr>
        <w:t>22.2</w:t>
      </w:r>
      <w:r>
        <w:rPr>
          <w:rFonts w:hint="eastAsia" w:ascii="Times New Roman" w:hAnsi="Times New Roman"/>
          <w:color w:val="auto"/>
          <w:szCs w:val="21"/>
          <w:highlight w:val="none"/>
        </w:rPr>
        <w:t>款的约定办理。</w:t>
      </w:r>
    </w:p>
    <w:p w14:paraId="4880112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12.5.2</w:t>
      </w:r>
      <w:r>
        <w:rPr>
          <w:rFonts w:hint="eastAsia" w:ascii="Times New Roman" w:hAnsi="Times New Roman"/>
          <w:color w:val="auto"/>
          <w:szCs w:val="21"/>
          <w:highlight w:val="none"/>
        </w:rPr>
        <w:t>由于承包人责任引起的暂停施工，如承包人在收到监理人暂停施工指示后</w:t>
      </w:r>
      <w:r>
        <w:rPr>
          <w:rFonts w:ascii="Times New Roman" w:hAnsi="Times New Roman"/>
          <w:color w:val="auto"/>
          <w:szCs w:val="21"/>
          <w:highlight w:val="none"/>
        </w:rPr>
        <w:t>56</w:t>
      </w:r>
      <w:r>
        <w:rPr>
          <w:rFonts w:hint="eastAsia" w:ascii="Times New Roman" w:hAnsi="Times New Roman"/>
          <w:color w:val="auto"/>
          <w:szCs w:val="21"/>
          <w:highlight w:val="none"/>
        </w:rPr>
        <w:t>天内不认真采取有效的复工措施，造成工期延误，可视为承包人违约，应按第</w:t>
      </w:r>
      <w:r>
        <w:rPr>
          <w:rFonts w:ascii="Times New Roman" w:hAnsi="Times New Roman"/>
          <w:color w:val="auto"/>
          <w:szCs w:val="21"/>
          <w:highlight w:val="none"/>
        </w:rPr>
        <w:t>22.1</w:t>
      </w:r>
      <w:r>
        <w:rPr>
          <w:rFonts w:hint="eastAsia" w:ascii="Times New Roman" w:hAnsi="Times New Roman"/>
          <w:color w:val="auto"/>
          <w:szCs w:val="21"/>
          <w:highlight w:val="none"/>
        </w:rPr>
        <w:t>款的约定办理。</w:t>
      </w:r>
    </w:p>
    <w:p w14:paraId="22D3ED2E">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19" w:name="_Toc20226"/>
      <w:r>
        <w:rPr>
          <w:rFonts w:ascii="Times New Roman" w:hAnsi="Times New Roman" w:eastAsia="黑体"/>
          <w:bCs/>
          <w:color w:val="auto"/>
          <w:kern w:val="44"/>
          <w:szCs w:val="21"/>
          <w:highlight w:val="none"/>
          <w:lang w:val="zh-CN"/>
        </w:rPr>
        <w:t xml:space="preserve">13. </w:t>
      </w:r>
      <w:r>
        <w:rPr>
          <w:rFonts w:hint="eastAsia" w:ascii="Times New Roman" w:hAnsi="Times New Roman" w:eastAsia="黑体"/>
          <w:bCs/>
          <w:color w:val="auto"/>
          <w:kern w:val="44"/>
          <w:szCs w:val="21"/>
          <w:highlight w:val="none"/>
          <w:lang w:val="zh-CN"/>
        </w:rPr>
        <w:t>工程质量</w:t>
      </w:r>
      <w:bookmarkEnd w:id="119"/>
    </w:p>
    <w:p w14:paraId="77B47E9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13.1 </w:t>
      </w:r>
      <w:r>
        <w:rPr>
          <w:rFonts w:hint="eastAsia" w:ascii="Times New Roman" w:hAnsi="Times New Roman" w:eastAsia="黑体"/>
          <w:bCs/>
          <w:color w:val="auto"/>
          <w:kern w:val="44"/>
          <w:szCs w:val="21"/>
          <w:highlight w:val="none"/>
          <w:lang w:val="zh-CN"/>
        </w:rPr>
        <w:t>工程质量要求</w:t>
      </w:r>
    </w:p>
    <w:p w14:paraId="531402D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13.1.1 </w:t>
      </w:r>
      <w:r>
        <w:rPr>
          <w:rFonts w:hint="eastAsia" w:ascii="Times New Roman" w:hAnsi="Times New Roman"/>
          <w:color w:val="auto"/>
          <w:szCs w:val="21"/>
          <w:highlight w:val="none"/>
        </w:rPr>
        <w:t>工程质量验收按合同约定验收标准执行。</w:t>
      </w:r>
    </w:p>
    <w:p w14:paraId="3F67ADF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13.1.2 </w:t>
      </w:r>
      <w:r>
        <w:rPr>
          <w:rFonts w:hint="eastAsia" w:ascii="Times New Roman" w:hAnsi="Times New Roman"/>
          <w:color w:val="auto"/>
          <w:szCs w:val="21"/>
          <w:highlight w:val="none"/>
        </w:rPr>
        <w:t>因承包人原因造成工程质量达不到合同约定验收标准的，监理人有权要求承包人返工直至符合合同要求为止，由此造成的费用增加和（或）工期延误由承包人承担。</w:t>
      </w:r>
    </w:p>
    <w:p w14:paraId="0F1EA1B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13.1.3 </w:t>
      </w:r>
      <w:r>
        <w:rPr>
          <w:rFonts w:hint="eastAsia" w:ascii="Times New Roman" w:hAnsi="Times New Roman"/>
          <w:color w:val="auto"/>
          <w:szCs w:val="21"/>
          <w:highlight w:val="none"/>
        </w:rPr>
        <w:t>因发包人原因造成工程质量达不到合同约定验收标准的，发包人应承担由于承包人返工造成的费用增加和（或）工期延误，并支付承包人合理利润。</w:t>
      </w:r>
    </w:p>
    <w:p w14:paraId="10A9C57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13.2 </w:t>
      </w:r>
      <w:r>
        <w:rPr>
          <w:rFonts w:hint="eastAsia" w:ascii="Times New Roman" w:hAnsi="Times New Roman" w:eastAsia="黑体"/>
          <w:bCs/>
          <w:color w:val="auto"/>
          <w:kern w:val="44"/>
          <w:szCs w:val="21"/>
          <w:highlight w:val="none"/>
          <w:lang w:val="zh-CN"/>
        </w:rPr>
        <w:t>承包人的质量管理</w:t>
      </w:r>
    </w:p>
    <w:p w14:paraId="101F9D5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13.2.1 </w:t>
      </w:r>
      <w:r>
        <w:rPr>
          <w:rFonts w:hint="eastAsia" w:ascii="Times New Roman" w:hAnsi="Times New Roman"/>
          <w:color w:val="auto"/>
          <w:szCs w:val="21"/>
          <w:highlight w:val="none"/>
        </w:rPr>
        <w:t>承包人应在施工场地设置专门的质量检查机构，配备专职质量检查人员，建立完善的质量检查制度。承包人应在合同约定的期限内，提交工程质量保证措施文件，包括质量检查机构的组织和岗位责任、质检人员的组成、质量检查程序和实施细则等，报送监理人审批。</w:t>
      </w:r>
    </w:p>
    <w:p w14:paraId="4239EA5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13.2.2 </w:t>
      </w:r>
      <w:r>
        <w:rPr>
          <w:rFonts w:hint="eastAsia" w:ascii="Times New Roman" w:hAnsi="Times New Roman"/>
          <w:color w:val="auto"/>
          <w:szCs w:val="21"/>
          <w:highlight w:val="none"/>
        </w:rPr>
        <w:t>承包人应加强对施工人员的质量教育和技术培训，定期考核施工人员的劳动技能，严格执行规范和操作规程。</w:t>
      </w:r>
    </w:p>
    <w:p w14:paraId="5C336EE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13.3 </w:t>
      </w:r>
      <w:r>
        <w:rPr>
          <w:rFonts w:hint="eastAsia" w:ascii="Times New Roman" w:hAnsi="Times New Roman" w:eastAsia="黑体"/>
          <w:bCs/>
          <w:color w:val="auto"/>
          <w:kern w:val="44"/>
          <w:szCs w:val="21"/>
          <w:highlight w:val="none"/>
          <w:lang w:val="zh-CN"/>
        </w:rPr>
        <w:t>承包人的质量检查</w:t>
      </w:r>
    </w:p>
    <w:p w14:paraId="08D836E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承包人应按合同约定对材料、工程设备以及工程的所有部位及其施工工艺进行全过程的质量检查和检验，并作详细记录，编制工程质量报表，报送监理人审查。</w:t>
      </w:r>
    </w:p>
    <w:p w14:paraId="3F01391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13.4 </w:t>
      </w:r>
      <w:r>
        <w:rPr>
          <w:rFonts w:hint="eastAsia" w:ascii="Times New Roman" w:hAnsi="Times New Roman" w:eastAsia="黑体"/>
          <w:bCs/>
          <w:color w:val="auto"/>
          <w:kern w:val="44"/>
          <w:szCs w:val="21"/>
          <w:highlight w:val="none"/>
          <w:lang w:val="zh-CN"/>
        </w:rPr>
        <w:t>监理人的质量检查</w:t>
      </w:r>
    </w:p>
    <w:p w14:paraId="47E490D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078C925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13.5 </w:t>
      </w:r>
      <w:r>
        <w:rPr>
          <w:rFonts w:hint="eastAsia" w:ascii="Times New Roman" w:hAnsi="Times New Roman" w:eastAsia="黑体"/>
          <w:bCs/>
          <w:color w:val="auto"/>
          <w:kern w:val="44"/>
          <w:szCs w:val="21"/>
          <w:highlight w:val="none"/>
          <w:lang w:val="zh-CN"/>
        </w:rPr>
        <w:t>工程隐蔽部位覆盖前的检查</w:t>
      </w:r>
    </w:p>
    <w:p w14:paraId="2CB25001">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13.5.1 </w:t>
      </w:r>
      <w:r>
        <w:rPr>
          <w:rFonts w:hint="eastAsia" w:ascii="Times New Roman" w:hAnsi="Times New Roman" w:eastAsia="黑体"/>
          <w:color w:val="auto"/>
          <w:szCs w:val="21"/>
          <w:highlight w:val="none"/>
        </w:rPr>
        <w:t>通知监理人检查</w:t>
      </w:r>
      <w:r>
        <w:rPr>
          <w:rFonts w:ascii="Times New Roman" w:hAnsi="Times New Roman" w:eastAsia="黑体"/>
          <w:color w:val="auto"/>
          <w:szCs w:val="21"/>
          <w:highlight w:val="none"/>
        </w:rPr>
        <w:t xml:space="preserve"> </w:t>
      </w:r>
    </w:p>
    <w:p w14:paraId="16C7F2E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24CCD81C">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13.5.2</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监理人未到场检查</w:t>
      </w:r>
    </w:p>
    <w:p w14:paraId="76BC698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监理人未按第</w:t>
      </w:r>
      <w:r>
        <w:rPr>
          <w:rFonts w:ascii="Times New Roman" w:hAnsi="Times New Roman"/>
          <w:color w:val="auto"/>
          <w:szCs w:val="21"/>
          <w:highlight w:val="none"/>
        </w:rPr>
        <w:t>13.5.1</w:t>
      </w:r>
      <w:r>
        <w:rPr>
          <w:rFonts w:hint="eastAsia" w:ascii="Times New Roman" w:hAnsi="Times New Roman"/>
          <w:color w:val="auto"/>
          <w:szCs w:val="21"/>
          <w:highlight w:val="none"/>
        </w:rPr>
        <w:t>项约定的时间进行检查的，除监理人另有指示外，承包人可自行完成覆盖工作，并作相应记录报送监理人，监理人应签字确认。监理人事后对检查记录有疑问的，可按第</w:t>
      </w:r>
      <w:r>
        <w:rPr>
          <w:rFonts w:ascii="Times New Roman" w:hAnsi="Times New Roman"/>
          <w:color w:val="auto"/>
          <w:szCs w:val="21"/>
          <w:highlight w:val="none"/>
        </w:rPr>
        <w:t>13.5.3</w:t>
      </w:r>
      <w:r>
        <w:rPr>
          <w:rFonts w:hint="eastAsia" w:ascii="Times New Roman" w:hAnsi="Times New Roman"/>
          <w:color w:val="auto"/>
          <w:szCs w:val="21"/>
          <w:highlight w:val="none"/>
        </w:rPr>
        <w:t>项的约定重新检查。</w:t>
      </w:r>
    </w:p>
    <w:p w14:paraId="1A5FE555">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13.5.3</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监理人重新检查</w:t>
      </w:r>
    </w:p>
    <w:p w14:paraId="4E46EC7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承包人按第</w:t>
      </w:r>
      <w:r>
        <w:rPr>
          <w:rFonts w:ascii="Times New Roman" w:hAnsi="Times New Roman"/>
          <w:color w:val="auto"/>
          <w:szCs w:val="21"/>
          <w:highlight w:val="none"/>
        </w:rPr>
        <w:t>13.5.1</w:t>
      </w:r>
      <w:r>
        <w:rPr>
          <w:rFonts w:hint="eastAsia" w:ascii="Times New Roman" w:hAnsi="Times New Roman"/>
          <w:color w:val="auto"/>
          <w:szCs w:val="21"/>
          <w:highlight w:val="none"/>
        </w:rPr>
        <w:t>项或</w:t>
      </w:r>
      <w:r>
        <w:rPr>
          <w:rFonts w:ascii="Times New Roman" w:hAnsi="Times New Roman"/>
          <w:color w:val="auto"/>
          <w:szCs w:val="21"/>
          <w:highlight w:val="none"/>
        </w:rPr>
        <w:t>13.5.2</w:t>
      </w:r>
      <w:r>
        <w:rPr>
          <w:rFonts w:hint="eastAsia" w:ascii="Times New Roman" w:hAnsi="Times New Roman"/>
          <w:color w:val="auto"/>
          <w:szCs w:val="21"/>
          <w:highlight w:val="none"/>
        </w:rPr>
        <w:t>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4A41007B">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13.5.4 </w:t>
      </w:r>
      <w:r>
        <w:rPr>
          <w:rFonts w:hint="eastAsia" w:ascii="Times New Roman" w:hAnsi="Times New Roman" w:eastAsia="黑体"/>
          <w:color w:val="auto"/>
          <w:szCs w:val="21"/>
          <w:highlight w:val="none"/>
        </w:rPr>
        <w:t>承包人私自覆盖</w:t>
      </w:r>
    </w:p>
    <w:p w14:paraId="29A054E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承包人未通知监理人到场检查，私自将工程隐蔽部位覆盖的，监理人有权指示承包人钻孔探测或揭开检查，由此增加的费用和（或）工期延误由承包人承担。</w:t>
      </w:r>
    </w:p>
    <w:p w14:paraId="302624E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13.6 </w:t>
      </w:r>
      <w:r>
        <w:rPr>
          <w:rFonts w:hint="eastAsia" w:ascii="Times New Roman" w:hAnsi="Times New Roman" w:eastAsia="黑体"/>
          <w:bCs/>
          <w:color w:val="auto"/>
          <w:kern w:val="44"/>
          <w:szCs w:val="21"/>
          <w:highlight w:val="none"/>
          <w:lang w:val="zh-CN"/>
        </w:rPr>
        <w:t>清除不合格工程</w:t>
      </w:r>
    </w:p>
    <w:p w14:paraId="2FBDE7F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13.6.1</w:t>
      </w:r>
      <w:r>
        <w:rPr>
          <w:rFonts w:hint="eastAsia" w:ascii="Times New Roman" w:hAnsi="Times New Roman"/>
          <w:color w:val="auto"/>
          <w:szCs w:val="21"/>
          <w:highlight w:val="none"/>
        </w:rPr>
        <w:t>承包人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4D909B1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13.6.2</w:t>
      </w:r>
      <w:r>
        <w:rPr>
          <w:rFonts w:hint="eastAsia" w:ascii="Times New Roman" w:hAnsi="Times New Roman"/>
          <w:color w:val="auto"/>
          <w:szCs w:val="21"/>
          <w:highlight w:val="none"/>
        </w:rPr>
        <w:t>由于发包人提供的材料或工程设备不合格造成的工程不合格，需要承包人采取措施补救的，发包人应承担由此增加的费用和（或）工期延误，并支付承包人合理利润。</w:t>
      </w:r>
    </w:p>
    <w:p w14:paraId="1AEC944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0" w:name="_Toc12237"/>
      <w:r>
        <w:rPr>
          <w:rFonts w:ascii="Times New Roman" w:hAnsi="Times New Roman" w:eastAsia="黑体"/>
          <w:bCs/>
          <w:color w:val="auto"/>
          <w:kern w:val="44"/>
          <w:szCs w:val="21"/>
          <w:highlight w:val="none"/>
          <w:lang w:val="zh-CN"/>
        </w:rPr>
        <w:t xml:space="preserve">14. </w:t>
      </w:r>
      <w:r>
        <w:rPr>
          <w:rFonts w:hint="eastAsia" w:ascii="Times New Roman" w:hAnsi="Times New Roman" w:eastAsia="黑体"/>
          <w:bCs/>
          <w:color w:val="auto"/>
          <w:kern w:val="44"/>
          <w:szCs w:val="21"/>
          <w:highlight w:val="none"/>
          <w:lang w:val="zh-CN"/>
        </w:rPr>
        <w:t>试验和检验</w:t>
      </w:r>
      <w:bookmarkEnd w:id="120"/>
    </w:p>
    <w:p w14:paraId="38C9306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14.1 </w:t>
      </w:r>
      <w:r>
        <w:rPr>
          <w:rFonts w:hint="eastAsia" w:ascii="Times New Roman" w:hAnsi="Times New Roman" w:eastAsia="黑体"/>
          <w:bCs/>
          <w:color w:val="auto"/>
          <w:kern w:val="44"/>
          <w:szCs w:val="21"/>
          <w:highlight w:val="none"/>
          <w:lang w:val="zh-CN"/>
        </w:rPr>
        <w:t>材料、工程设备和工程的试验和检验</w:t>
      </w:r>
    </w:p>
    <w:p w14:paraId="53ACFA8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14.1.1 </w:t>
      </w:r>
      <w:r>
        <w:rPr>
          <w:rFonts w:hint="eastAsia" w:ascii="Times New Roman" w:hAnsi="Times New Roman"/>
          <w:color w:val="auto"/>
          <w:szCs w:val="21"/>
          <w:highlight w:val="none"/>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95DE8A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14.1.2 </w:t>
      </w:r>
      <w:r>
        <w:rPr>
          <w:rFonts w:hint="eastAsia" w:ascii="Times New Roman" w:hAnsi="Times New Roman"/>
          <w:color w:val="auto"/>
          <w:szCs w:val="21"/>
          <w:highlight w:val="none"/>
        </w:rPr>
        <w:t>监理人未按合同约定派员参加试验和检验的，除监理人另有指示外，承包人可自行试验和检验，并应立即将试验和检验结果报送监理人，监理人应签字确认。</w:t>
      </w:r>
    </w:p>
    <w:p w14:paraId="41B9808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14.1.3 </w:t>
      </w:r>
      <w:r>
        <w:rPr>
          <w:rFonts w:hint="eastAsia" w:ascii="Times New Roman" w:hAnsi="Times New Roman"/>
          <w:color w:val="auto"/>
          <w:szCs w:val="21"/>
          <w:highlight w:val="none"/>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77E136F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14.2 </w:t>
      </w:r>
      <w:r>
        <w:rPr>
          <w:rFonts w:hint="eastAsia" w:ascii="Times New Roman" w:hAnsi="Times New Roman" w:eastAsia="黑体"/>
          <w:bCs/>
          <w:color w:val="auto"/>
          <w:kern w:val="44"/>
          <w:szCs w:val="21"/>
          <w:highlight w:val="none"/>
          <w:lang w:val="zh-CN"/>
        </w:rPr>
        <w:t>现场材料试验</w:t>
      </w:r>
    </w:p>
    <w:p w14:paraId="62D3C64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14.2.1 </w:t>
      </w:r>
      <w:r>
        <w:rPr>
          <w:rFonts w:hint="eastAsia" w:ascii="Times New Roman" w:hAnsi="Times New Roman"/>
          <w:color w:val="auto"/>
          <w:szCs w:val="21"/>
          <w:highlight w:val="none"/>
        </w:rPr>
        <w:t>承包人根据合同约定或监理人指示进行的现场材料试验，应由承包人提供试验场所、试验人员、试验设备器材以及其他必要的试验条件。</w:t>
      </w:r>
    </w:p>
    <w:p w14:paraId="2E96C02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14.2.2 </w:t>
      </w:r>
      <w:r>
        <w:rPr>
          <w:rFonts w:hint="eastAsia" w:ascii="Times New Roman" w:hAnsi="Times New Roman"/>
          <w:color w:val="auto"/>
          <w:szCs w:val="21"/>
          <w:highlight w:val="none"/>
        </w:rPr>
        <w:t>监理人在必要时可以使用承包人的试验场所、试验设备器材以及其他试验条件，进行以工程质量检查为目的的复核性材料试验，承包人应予以协助。</w:t>
      </w:r>
    </w:p>
    <w:p w14:paraId="7731BD7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14.3 </w:t>
      </w:r>
      <w:r>
        <w:rPr>
          <w:rFonts w:hint="eastAsia" w:ascii="Times New Roman" w:hAnsi="Times New Roman" w:eastAsia="黑体"/>
          <w:bCs/>
          <w:color w:val="auto"/>
          <w:kern w:val="44"/>
          <w:szCs w:val="21"/>
          <w:highlight w:val="none"/>
          <w:lang w:val="zh-CN"/>
        </w:rPr>
        <w:t>现场工艺试验</w:t>
      </w:r>
    </w:p>
    <w:p w14:paraId="7494D1C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承包人应按合同约定或监理人指示进行现场工艺试验。对大型的现场工艺试验，监理人认为必要时，应由承包人根据监理人提出的工艺试验要求，编制工艺试验措施计划，报送监理人审批。</w:t>
      </w:r>
    </w:p>
    <w:p w14:paraId="22D63203">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1" w:name="_Toc12261"/>
      <w:r>
        <w:rPr>
          <w:rFonts w:ascii="Times New Roman" w:hAnsi="Times New Roman" w:eastAsia="黑体"/>
          <w:bCs/>
          <w:color w:val="auto"/>
          <w:kern w:val="44"/>
          <w:szCs w:val="21"/>
          <w:highlight w:val="none"/>
          <w:lang w:val="zh-CN"/>
        </w:rPr>
        <w:t xml:space="preserve">15. </w:t>
      </w:r>
      <w:r>
        <w:rPr>
          <w:rFonts w:hint="eastAsia" w:ascii="Times New Roman" w:hAnsi="Times New Roman" w:eastAsia="黑体"/>
          <w:bCs/>
          <w:color w:val="auto"/>
          <w:kern w:val="44"/>
          <w:szCs w:val="21"/>
          <w:highlight w:val="none"/>
          <w:lang w:val="zh-CN"/>
        </w:rPr>
        <w:t>变更</w:t>
      </w:r>
      <w:bookmarkEnd w:id="121"/>
    </w:p>
    <w:p w14:paraId="240AB74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15.1 </w:t>
      </w:r>
      <w:r>
        <w:rPr>
          <w:rFonts w:hint="eastAsia" w:ascii="Times New Roman" w:hAnsi="Times New Roman" w:eastAsia="黑体"/>
          <w:bCs/>
          <w:color w:val="auto"/>
          <w:kern w:val="44"/>
          <w:szCs w:val="21"/>
          <w:highlight w:val="none"/>
          <w:lang w:val="zh-CN"/>
        </w:rPr>
        <w:t>变更的范围和内容</w:t>
      </w:r>
    </w:p>
    <w:p w14:paraId="5D728D8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除专用合同条款另有约定外，在履行合同中发生以下情形之一，应按照本条规定进行变更。</w:t>
      </w:r>
    </w:p>
    <w:p w14:paraId="01F29F3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）取消合同中任何一项工作，但被取消的工作不能转由发包人或其他人实施；</w:t>
      </w:r>
    </w:p>
    <w:p w14:paraId="5E049E3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）改变合同中任何一项工作的质量或其他特性；</w:t>
      </w:r>
    </w:p>
    <w:p w14:paraId="5CD6937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）改变合同工程的基线、标高、位置或尺寸；</w:t>
      </w:r>
    </w:p>
    <w:p w14:paraId="733E08D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）改变合同中任何一项工作的施工时间或改变已批准的施工工艺或顺序；</w:t>
      </w:r>
    </w:p>
    <w:p w14:paraId="5C3266C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）为完成工程需要追加的额外工作。</w:t>
      </w:r>
    </w:p>
    <w:p w14:paraId="0300C75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15.2 </w:t>
      </w:r>
      <w:r>
        <w:rPr>
          <w:rFonts w:hint="eastAsia" w:ascii="Times New Roman" w:hAnsi="Times New Roman" w:eastAsia="黑体"/>
          <w:bCs/>
          <w:color w:val="auto"/>
          <w:kern w:val="44"/>
          <w:szCs w:val="21"/>
          <w:highlight w:val="none"/>
          <w:lang w:val="zh-CN"/>
        </w:rPr>
        <w:t>变更权</w:t>
      </w:r>
    </w:p>
    <w:p w14:paraId="5CA2E79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在履行合同过程中，经发包人同意，监理人可按第</w:t>
      </w:r>
      <w:r>
        <w:rPr>
          <w:rFonts w:ascii="Times New Roman" w:hAnsi="Times New Roman"/>
          <w:color w:val="auto"/>
          <w:szCs w:val="21"/>
          <w:highlight w:val="none"/>
        </w:rPr>
        <w:t>15.3</w:t>
      </w:r>
      <w:r>
        <w:rPr>
          <w:rFonts w:hint="eastAsia" w:ascii="Times New Roman" w:hAnsi="Times New Roman"/>
          <w:color w:val="auto"/>
          <w:szCs w:val="21"/>
          <w:highlight w:val="none"/>
        </w:rPr>
        <w:t>款约定的变更程序向承包人作出变更指示，承包人应遵照执行。没有监理人的变更指示，承包人不得擅自变更。</w:t>
      </w:r>
    </w:p>
    <w:p w14:paraId="522BF1B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15.3 </w:t>
      </w:r>
      <w:r>
        <w:rPr>
          <w:rFonts w:hint="eastAsia" w:ascii="Times New Roman" w:hAnsi="Times New Roman" w:eastAsia="黑体"/>
          <w:bCs/>
          <w:color w:val="auto"/>
          <w:kern w:val="44"/>
          <w:szCs w:val="21"/>
          <w:highlight w:val="none"/>
          <w:lang w:val="zh-CN"/>
        </w:rPr>
        <w:t>变更程序</w:t>
      </w:r>
    </w:p>
    <w:p w14:paraId="5B529FCD">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15.3.1 </w:t>
      </w:r>
      <w:r>
        <w:rPr>
          <w:rFonts w:hint="eastAsia" w:ascii="Times New Roman" w:hAnsi="Times New Roman" w:eastAsia="黑体"/>
          <w:color w:val="auto"/>
          <w:szCs w:val="21"/>
          <w:highlight w:val="none"/>
        </w:rPr>
        <w:t>变更的提出</w:t>
      </w:r>
    </w:p>
    <w:p w14:paraId="2237866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）在合同履行过程中，可能发生第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发包人同意承包人根据变更意向书要求提交的变更实施方案的，由监理人按第</w:t>
      </w:r>
      <w:r>
        <w:rPr>
          <w:rFonts w:ascii="Times New Roman" w:hAnsi="Times New Roman"/>
          <w:color w:val="auto"/>
          <w:szCs w:val="21"/>
          <w:highlight w:val="none"/>
        </w:rPr>
        <w:t>15.3.3</w:t>
      </w:r>
      <w:r>
        <w:rPr>
          <w:rFonts w:hint="eastAsia" w:ascii="Times New Roman" w:hAnsi="Times New Roman"/>
          <w:color w:val="auto"/>
          <w:szCs w:val="21"/>
          <w:highlight w:val="none"/>
        </w:rPr>
        <w:t>项约定发出变更指示。</w:t>
      </w:r>
    </w:p>
    <w:p w14:paraId="22CB1BE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）在合同履行过程中，发生第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款约定情形的，监理人应按照第</w:t>
      </w:r>
      <w:r>
        <w:rPr>
          <w:rFonts w:ascii="Times New Roman" w:hAnsi="Times New Roman"/>
          <w:color w:val="auto"/>
          <w:szCs w:val="21"/>
          <w:highlight w:val="none"/>
        </w:rPr>
        <w:t>15.3.3</w:t>
      </w:r>
      <w:r>
        <w:rPr>
          <w:rFonts w:hint="eastAsia" w:ascii="Times New Roman" w:hAnsi="Times New Roman"/>
          <w:color w:val="auto"/>
          <w:szCs w:val="21"/>
          <w:highlight w:val="none"/>
        </w:rPr>
        <w:t>项约定向承包人发出变更指示。</w:t>
      </w:r>
    </w:p>
    <w:p w14:paraId="4C3FA72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）承包人收到监理人按合同约定发出的图纸和文件，经检查认为其中存在第</w:t>
      </w:r>
      <w:r>
        <w:rPr>
          <w:rFonts w:ascii="Times New Roman" w:hAnsi="Times New Roman"/>
          <w:color w:val="auto"/>
          <w:szCs w:val="21"/>
          <w:highlight w:val="none"/>
        </w:rPr>
        <w:t>15.1</w:t>
      </w:r>
      <w:r>
        <w:rPr>
          <w:rFonts w:hint="eastAsia" w:ascii="Times New Roman" w:hAnsi="Times New Roman"/>
          <w:color w:val="auto"/>
          <w:szCs w:val="21"/>
          <w:highlight w:val="none"/>
        </w:rPr>
        <w:t>款约定情形的，可向监理人提出书面变更建议。变更建议应阐明要求变更的依据，并附必要的图纸和说明。监理人收到承包人书面建议后，应与发包人共同研究，确认存在变更的，应在收到承包人书面建议后的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Times New Roman" w:hAnsi="Times New Roman"/>
          <w:color w:val="auto"/>
          <w:szCs w:val="21"/>
          <w:highlight w:val="none"/>
        </w:rPr>
        <w:t>14</w:t>
      </w:r>
      <w:r>
        <w:rPr>
          <w:rFonts w:hint="eastAsia" w:ascii="Times New Roman" w:hAnsi="Times New Roman"/>
          <w:color w:val="auto"/>
          <w:szCs w:val="21"/>
          <w:highlight w:val="none"/>
        </w:rPr>
        <w:t>天内作出变更指示。经研究后不同意作为变更的，应由监理人书面答复承包人。</w:t>
      </w:r>
    </w:p>
    <w:p w14:paraId="1875BCB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）若承包人收到监理人的变更意向书后认为难以实施此项变更，应立即通知监理人，说明原因并附详细依据。监理人与承包人和发包人协商后确定撤销、改变或不改变原变更意向书。</w:t>
      </w:r>
    </w:p>
    <w:p w14:paraId="182A534E">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15.3.2 </w:t>
      </w:r>
      <w:r>
        <w:rPr>
          <w:rFonts w:hint="eastAsia" w:ascii="Times New Roman" w:hAnsi="Times New Roman" w:eastAsia="黑体"/>
          <w:color w:val="auto"/>
          <w:szCs w:val="21"/>
          <w:highlight w:val="none"/>
        </w:rPr>
        <w:t>变更估价</w:t>
      </w:r>
    </w:p>
    <w:p w14:paraId="02D281D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）除专用合同条款对期限另有约定外，承包人应在收到变更指示或变更意向书后的</w:t>
      </w:r>
      <w:r>
        <w:rPr>
          <w:rFonts w:ascii="Times New Roman" w:hAnsi="Times New Roman"/>
          <w:color w:val="auto"/>
          <w:szCs w:val="21"/>
          <w:highlight w:val="none"/>
        </w:rPr>
        <w:t>14</w:t>
      </w:r>
      <w:r>
        <w:rPr>
          <w:rFonts w:hint="eastAsia" w:ascii="Times New Roman" w:hAnsi="Times New Roman"/>
          <w:color w:val="auto"/>
          <w:szCs w:val="21"/>
          <w:highlight w:val="none"/>
        </w:rPr>
        <w:t>天内，向监理人提交变更报价书，报价内容应根据第</w:t>
      </w:r>
      <w:r>
        <w:rPr>
          <w:rFonts w:ascii="Times New Roman" w:hAnsi="Times New Roman"/>
          <w:color w:val="auto"/>
          <w:szCs w:val="21"/>
          <w:highlight w:val="none"/>
        </w:rPr>
        <w:t>15.4</w:t>
      </w:r>
      <w:r>
        <w:rPr>
          <w:rFonts w:hint="eastAsia" w:ascii="Times New Roman" w:hAnsi="Times New Roman"/>
          <w:color w:val="auto"/>
          <w:szCs w:val="21"/>
          <w:highlight w:val="none"/>
        </w:rPr>
        <w:t>款约定的估价原则，详细开列变更工作的价格组成及其依据，并附必要的施工方法说明和有关图纸。</w:t>
      </w:r>
    </w:p>
    <w:p w14:paraId="696BBBD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）变更工作影响工期的，承包人应提出调整工期的具体细节。监理人认为有必要时，可要求承包人提交要求提前或延长工期的施工进度计划及相应施工措施等详细资料。</w:t>
      </w:r>
    </w:p>
    <w:p w14:paraId="02F24E3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）除专用合同条款对期限另有约定外，监理人收到承包人变更报价书后的</w:t>
      </w:r>
      <w:r>
        <w:rPr>
          <w:rFonts w:ascii="Times New Roman" w:hAnsi="Times New Roman"/>
          <w:color w:val="auto"/>
          <w:szCs w:val="21"/>
          <w:highlight w:val="none"/>
        </w:rPr>
        <w:t>14</w:t>
      </w:r>
      <w:r>
        <w:rPr>
          <w:rFonts w:hint="eastAsia" w:ascii="Times New Roman" w:hAnsi="Times New Roman"/>
          <w:color w:val="auto"/>
          <w:szCs w:val="21"/>
          <w:highlight w:val="none"/>
        </w:rPr>
        <w:t>天内，根据第</w:t>
      </w:r>
      <w:r>
        <w:rPr>
          <w:rFonts w:ascii="Times New Roman" w:hAnsi="Times New Roman"/>
          <w:color w:val="auto"/>
          <w:szCs w:val="21"/>
          <w:highlight w:val="none"/>
        </w:rPr>
        <w:t>15.4</w:t>
      </w:r>
      <w:r>
        <w:rPr>
          <w:rFonts w:hint="eastAsia" w:ascii="Times New Roman" w:hAnsi="Times New Roman"/>
          <w:color w:val="auto"/>
          <w:szCs w:val="21"/>
          <w:highlight w:val="none"/>
        </w:rPr>
        <w:t>款约定的估价原则，按照第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款商定或确定变更价格。</w:t>
      </w:r>
    </w:p>
    <w:p w14:paraId="3BDECBF7">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15.3.3</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变更指示</w:t>
      </w:r>
    </w:p>
    <w:p w14:paraId="574AED2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）变更指示只能由监理人发出。</w:t>
      </w:r>
    </w:p>
    <w:p w14:paraId="2FF3755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）变更指示应说明变更的目的、范围、变更内容以及变更的工程量及其进度和技术要求，并附有关图纸和文件。承包人收到变更指示后，应按变更指示进行变更工作。</w:t>
      </w:r>
    </w:p>
    <w:p w14:paraId="3AC0B80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15.4 </w:t>
      </w:r>
      <w:r>
        <w:rPr>
          <w:rFonts w:hint="eastAsia" w:ascii="Times New Roman" w:hAnsi="Times New Roman" w:eastAsia="黑体"/>
          <w:bCs/>
          <w:color w:val="auto"/>
          <w:kern w:val="44"/>
          <w:szCs w:val="21"/>
          <w:highlight w:val="none"/>
          <w:lang w:val="zh-CN"/>
        </w:rPr>
        <w:t>变更的估价原则</w:t>
      </w:r>
      <w:r>
        <w:rPr>
          <w:rFonts w:ascii="Times New Roman" w:hAnsi="Times New Roman" w:eastAsia="黑体"/>
          <w:bCs/>
          <w:color w:val="auto"/>
          <w:kern w:val="44"/>
          <w:szCs w:val="21"/>
          <w:highlight w:val="none"/>
          <w:lang w:val="zh-CN"/>
        </w:rPr>
        <w:t xml:space="preserve"> </w:t>
      </w:r>
    </w:p>
    <w:p w14:paraId="102C8204">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除专用合同条款另有约定外，因变更引起的价格调整按照本款约定处理。</w:t>
      </w:r>
    </w:p>
    <w:p w14:paraId="653020D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15.4.1 </w:t>
      </w:r>
      <w:r>
        <w:rPr>
          <w:rFonts w:hint="eastAsia" w:ascii="Times New Roman" w:hAnsi="Times New Roman"/>
          <w:color w:val="auto"/>
          <w:szCs w:val="21"/>
          <w:highlight w:val="none"/>
        </w:rPr>
        <w:t>已标价工程量清单中有适用于变更工作的子目的，采用该子目的单价。</w:t>
      </w:r>
    </w:p>
    <w:p w14:paraId="43B9120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15.4.2 </w:t>
      </w:r>
      <w:r>
        <w:rPr>
          <w:rFonts w:hint="eastAsia" w:ascii="Times New Roman" w:hAnsi="Times New Roman"/>
          <w:color w:val="auto"/>
          <w:szCs w:val="21"/>
          <w:highlight w:val="none"/>
        </w:rPr>
        <w:t>已标价工程量清单中无适用于变更工作的子目，但有类似子目的，可在合理范围内参照类似子目的单价，由监理人按第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款商定或确定变更工作的单价。</w:t>
      </w:r>
    </w:p>
    <w:p w14:paraId="7CE9E4C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15.4.3 </w:t>
      </w:r>
      <w:r>
        <w:rPr>
          <w:rFonts w:hint="eastAsia" w:ascii="Times New Roman" w:hAnsi="Times New Roman"/>
          <w:color w:val="auto"/>
          <w:szCs w:val="21"/>
          <w:highlight w:val="none"/>
        </w:rPr>
        <w:t>已标价工程量清单中无适用或类似子目的单价，可按照成本加利润的原则，由监理人按第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款商定或确定变更工作的单价。</w:t>
      </w:r>
    </w:p>
    <w:p w14:paraId="48969C6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15.5 </w:t>
      </w:r>
      <w:r>
        <w:rPr>
          <w:rFonts w:hint="eastAsia" w:ascii="Times New Roman" w:hAnsi="Times New Roman" w:eastAsia="黑体"/>
          <w:bCs/>
          <w:color w:val="auto"/>
          <w:kern w:val="44"/>
          <w:szCs w:val="21"/>
          <w:highlight w:val="none"/>
          <w:lang w:val="zh-CN"/>
        </w:rPr>
        <w:t>承包人的合理化建议</w:t>
      </w:r>
    </w:p>
    <w:p w14:paraId="47765E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15.5.1 </w:t>
      </w:r>
      <w:r>
        <w:rPr>
          <w:rFonts w:hint="eastAsia" w:ascii="Times New Roman" w:hAnsi="Times New Roman"/>
          <w:color w:val="auto"/>
          <w:szCs w:val="21"/>
          <w:highlight w:val="none"/>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Times New Roman" w:hAnsi="Times New Roman"/>
          <w:color w:val="auto"/>
          <w:szCs w:val="21"/>
          <w:highlight w:val="none"/>
        </w:rPr>
        <w:t>15.3.3</w:t>
      </w:r>
      <w:r>
        <w:rPr>
          <w:rFonts w:hint="eastAsia" w:ascii="Times New Roman" w:hAnsi="Times New Roman"/>
          <w:color w:val="auto"/>
          <w:szCs w:val="21"/>
          <w:highlight w:val="none"/>
        </w:rPr>
        <w:t>项约定向承包人发出变更指示。</w:t>
      </w:r>
    </w:p>
    <w:p w14:paraId="0123B333">
      <w:pPr>
        <w:pStyle w:val="54"/>
        <w:spacing w:line="400" w:lineRule="atLeast"/>
        <w:ind w:firstLine="390"/>
        <w:rPr>
          <w:rFonts w:hint="eastAsia" w:ascii="Times New Roman" w:hAnsi="Times New Roman"/>
          <w:color w:val="auto"/>
          <w:szCs w:val="21"/>
          <w:highlight w:val="none"/>
        </w:rPr>
      </w:pPr>
      <w:r>
        <w:rPr>
          <w:rFonts w:ascii="Times New Roman" w:hAnsi="Times New Roman"/>
          <w:color w:val="auto"/>
          <w:szCs w:val="21"/>
          <w:highlight w:val="none"/>
        </w:rPr>
        <w:t xml:space="preserve">15.5.2 </w:t>
      </w:r>
      <w:r>
        <w:rPr>
          <w:rFonts w:hint="eastAsia" w:ascii="Times New Roman" w:hAnsi="Times New Roman"/>
          <w:color w:val="auto"/>
          <w:szCs w:val="21"/>
          <w:highlight w:val="none"/>
        </w:rPr>
        <w:t>承包人提出的合理化建议降低了合同价格、缩短了工期或者提高了工程经济效益的，发包人可按国家有关规定在专用合同条款中约定给予奖励</w:t>
      </w:r>
    </w:p>
    <w:p w14:paraId="4B9526B8">
      <w:pPr>
        <w:pStyle w:val="54"/>
        <w:spacing w:line="40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15.6 </w:t>
      </w:r>
      <w:r>
        <w:rPr>
          <w:rFonts w:hint="eastAsia" w:ascii="Times New Roman" w:hAnsi="Times New Roman" w:eastAsia="黑体"/>
          <w:bCs/>
          <w:color w:val="auto"/>
          <w:kern w:val="44"/>
          <w:szCs w:val="21"/>
          <w:highlight w:val="none"/>
          <w:lang w:val="zh-CN"/>
        </w:rPr>
        <w:t>暂列金额（本项目无暂列金额）</w:t>
      </w:r>
    </w:p>
    <w:p w14:paraId="7847918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15.7 </w:t>
      </w:r>
      <w:r>
        <w:rPr>
          <w:rFonts w:hint="eastAsia" w:ascii="Times New Roman" w:hAnsi="Times New Roman" w:eastAsia="黑体"/>
          <w:bCs/>
          <w:color w:val="auto"/>
          <w:kern w:val="44"/>
          <w:szCs w:val="21"/>
          <w:highlight w:val="none"/>
          <w:lang w:val="zh-CN"/>
        </w:rPr>
        <w:t>计日工（本项目无计日工）</w:t>
      </w:r>
    </w:p>
    <w:p w14:paraId="063DFA6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15.8</w:t>
      </w:r>
      <w:r>
        <w:rPr>
          <w:rFonts w:hint="eastAsia" w:ascii="Times New Roman" w:hAnsi="Times New Roman" w:eastAsia="黑体"/>
          <w:bCs/>
          <w:color w:val="auto"/>
          <w:kern w:val="44"/>
          <w:szCs w:val="21"/>
          <w:highlight w:val="none"/>
          <w:lang w:val="zh-CN"/>
        </w:rPr>
        <w:t>暂估价（本项目无暂估价）</w:t>
      </w:r>
    </w:p>
    <w:p w14:paraId="2CE13C74">
      <w:pPr>
        <w:pStyle w:val="54"/>
        <w:keepNext/>
        <w:keepLines/>
        <w:spacing w:before="480" w:after="240" w:line="380" w:lineRule="atLeast"/>
        <w:outlineLvl w:val="2"/>
        <w:rPr>
          <w:rFonts w:ascii="Times New Roman" w:hAnsi="Times New Roman" w:eastAsia="黑体"/>
          <w:bCs/>
          <w:color w:val="auto"/>
          <w:kern w:val="44"/>
          <w:szCs w:val="21"/>
          <w:highlight w:val="none"/>
        </w:rPr>
      </w:pPr>
      <w:bookmarkStart w:id="122" w:name="_Toc22367"/>
      <w:r>
        <w:rPr>
          <w:rFonts w:ascii="Times New Roman" w:hAnsi="Times New Roman" w:eastAsia="黑体"/>
          <w:bCs/>
          <w:color w:val="auto"/>
          <w:kern w:val="44"/>
          <w:szCs w:val="21"/>
          <w:highlight w:val="none"/>
          <w:lang w:val="zh-CN"/>
        </w:rPr>
        <w:t xml:space="preserve">16. </w:t>
      </w:r>
      <w:r>
        <w:rPr>
          <w:rFonts w:hint="eastAsia" w:ascii="Times New Roman" w:hAnsi="Times New Roman" w:eastAsia="黑体"/>
          <w:bCs/>
          <w:color w:val="auto"/>
          <w:kern w:val="44"/>
          <w:szCs w:val="21"/>
          <w:highlight w:val="none"/>
          <w:lang w:val="zh-CN"/>
        </w:rPr>
        <w:t>价格调整</w:t>
      </w:r>
      <w:bookmarkEnd w:id="122"/>
      <w:r>
        <w:rPr>
          <w:rFonts w:hint="eastAsia" w:ascii="Times New Roman" w:hAnsi="Times New Roman" w:eastAsia="黑体"/>
          <w:bCs/>
          <w:color w:val="auto"/>
          <w:kern w:val="44"/>
          <w:szCs w:val="21"/>
          <w:highlight w:val="none"/>
          <w:lang w:val="zh-CN"/>
        </w:rPr>
        <w:t>（本工程不作价格调整）</w:t>
      </w:r>
    </w:p>
    <w:p w14:paraId="2655167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3" w:name="_Toc31772"/>
      <w:r>
        <w:rPr>
          <w:rFonts w:ascii="Times New Roman" w:hAnsi="Times New Roman" w:eastAsia="黑体"/>
          <w:bCs/>
          <w:color w:val="auto"/>
          <w:kern w:val="44"/>
          <w:szCs w:val="21"/>
          <w:highlight w:val="none"/>
          <w:lang w:val="zh-CN"/>
        </w:rPr>
        <w:t xml:space="preserve">17. </w:t>
      </w:r>
      <w:r>
        <w:rPr>
          <w:rFonts w:hint="eastAsia" w:ascii="Times New Roman" w:hAnsi="Times New Roman" w:eastAsia="黑体"/>
          <w:bCs/>
          <w:color w:val="auto"/>
          <w:kern w:val="44"/>
          <w:szCs w:val="21"/>
          <w:highlight w:val="none"/>
          <w:lang w:val="zh-CN"/>
        </w:rPr>
        <w:t>计量与支付</w:t>
      </w:r>
      <w:bookmarkEnd w:id="123"/>
    </w:p>
    <w:p w14:paraId="4B53551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17.1 </w:t>
      </w:r>
      <w:r>
        <w:rPr>
          <w:rFonts w:hint="eastAsia" w:ascii="Times New Roman" w:hAnsi="Times New Roman" w:eastAsia="黑体"/>
          <w:bCs/>
          <w:color w:val="auto"/>
          <w:kern w:val="44"/>
          <w:szCs w:val="21"/>
          <w:highlight w:val="none"/>
          <w:lang w:val="zh-CN"/>
        </w:rPr>
        <w:t>计量</w:t>
      </w:r>
      <w:r>
        <w:rPr>
          <w:rFonts w:ascii="Times New Roman" w:hAnsi="Times New Roman" w:eastAsia="黑体"/>
          <w:bCs/>
          <w:color w:val="auto"/>
          <w:kern w:val="44"/>
          <w:szCs w:val="21"/>
          <w:highlight w:val="none"/>
          <w:lang w:val="zh-CN"/>
        </w:rPr>
        <w:t xml:space="preserve"> </w:t>
      </w:r>
    </w:p>
    <w:p w14:paraId="63D3FE1C">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17.1.1 </w:t>
      </w:r>
      <w:r>
        <w:rPr>
          <w:rFonts w:hint="eastAsia" w:ascii="Times New Roman" w:hAnsi="Times New Roman" w:eastAsia="黑体"/>
          <w:color w:val="auto"/>
          <w:szCs w:val="21"/>
          <w:highlight w:val="none"/>
        </w:rPr>
        <w:t>计量单位</w:t>
      </w:r>
    </w:p>
    <w:p w14:paraId="0291748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计量采用国家法定的计量单位。</w:t>
      </w:r>
    </w:p>
    <w:p w14:paraId="53FE2B22">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17.1.2 </w:t>
      </w:r>
      <w:r>
        <w:rPr>
          <w:rFonts w:hint="eastAsia" w:ascii="Times New Roman" w:hAnsi="Times New Roman" w:eastAsia="黑体"/>
          <w:color w:val="auto"/>
          <w:szCs w:val="21"/>
          <w:highlight w:val="none"/>
        </w:rPr>
        <w:t>计量方法</w:t>
      </w:r>
    </w:p>
    <w:p w14:paraId="624819D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工程量清单中的工程量计算规则应按有关国家标准、行业标准的规定，并在合同中约定执行。</w:t>
      </w:r>
    </w:p>
    <w:p w14:paraId="665074D8">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17.1.3 </w:t>
      </w:r>
      <w:r>
        <w:rPr>
          <w:rFonts w:hint="eastAsia" w:ascii="Times New Roman" w:hAnsi="Times New Roman" w:eastAsia="黑体"/>
          <w:color w:val="auto"/>
          <w:szCs w:val="21"/>
          <w:highlight w:val="none"/>
        </w:rPr>
        <w:t>计量周期</w:t>
      </w:r>
    </w:p>
    <w:p w14:paraId="3F4F74AB">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除专用合同条款另有约定外，单价子目已完成工程量按月计量，总价子目的计量周期按批准的支付分解报告确定。</w:t>
      </w:r>
      <w:r>
        <w:rPr>
          <w:rFonts w:ascii="Times New Roman" w:hAnsi="Times New Roman"/>
          <w:color w:val="auto"/>
          <w:szCs w:val="21"/>
          <w:highlight w:val="none"/>
        </w:rPr>
        <w:t xml:space="preserve"> </w:t>
      </w:r>
    </w:p>
    <w:p w14:paraId="0B8520CB">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17.1.4 </w:t>
      </w:r>
      <w:r>
        <w:rPr>
          <w:rFonts w:hint="eastAsia" w:ascii="Times New Roman" w:hAnsi="Times New Roman" w:eastAsia="黑体"/>
          <w:color w:val="auto"/>
          <w:szCs w:val="21"/>
          <w:highlight w:val="none"/>
        </w:rPr>
        <w:t>单价子目的计量</w:t>
      </w:r>
    </w:p>
    <w:p w14:paraId="6784DEB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）已标价工程量清单中的单价子目工程量为估算工程量。结算工程量是承包人实际完成的，并按合同约定的计量方法进行计量的工程量。</w:t>
      </w:r>
    </w:p>
    <w:p w14:paraId="6DF1F90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）承包人对已完成的工程进行计量，向监理人提交进度付款申请单、已完成工程量报表和有关计量资料。</w:t>
      </w:r>
    </w:p>
    <w:p w14:paraId="5EDD1BF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）监理人对承包人提交的工程量报表进行复核，以确定实际完成的工程量。对数量有异议的，可要求承包人按第</w:t>
      </w:r>
      <w:r>
        <w:rPr>
          <w:rFonts w:ascii="Times New Roman" w:hAnsi="Times New Roman"/>
          <w:color w:val="auto"/>
          <w:szCs w:val="21"/>
          <w:highlight w:val="none"/>
        </w:rPr>
        <w:t>8.2</w:t>
      </w:r>
      <w:r>
        <w:rPr>
          <w:rFonts w:hint="eastAsia" w:ascii="Times New Roman" w:hAnsi="Times New Roman"/>
          <w:color w:val="auto"/>
          <w:szCs w:val="21"/>
          <w:highlight w:val="none"/>
        </w:rPr>
        <w:t>款约定进行共同复核和抽样复测。承包人应协助监理人进行复核并按监理人要求提供补充计量资料。承包人未按监理人要求参加复核，监理人复核或修正的工程量视为承包人实际完成的工程量。</w:t>
      </w:r>
    </w:p>
    <w:p w14:paraId="22830FA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）监理人认为有必要时，可通知承包人共同进行联合测量、计量，承包人应遵照执行。</w:t>
      </w:r>
    </w:p>
    <w:p w14:paraId="6D5A9DB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14:paraId="08B80AD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）监理人应在收到承包人提交的工程量报表后的</w:t>
      </w:r>
      <w:r>
        <w:rPr>
          <w:rFonts w:ascii="Times New Roman" w:hAnsi="Times New Roman"/>
          <w:color w:val="auto"/>
          <w:szCs w:val="21"/>
          <w:highlight w:val="none"/>
        </w:rPr>
        <w:t>7</w:t>
      </w:r>
      <w:r>
        <w:rPr>
          <w:rFonts w:hint="eastAsia" w:ascii="Times New Roman" w:hAnsi="Times New Roman"/>
          <w:color w:val="auto"/>
          <w:szCs w:val="21"/>
          <w:highlight w:val="none"/>
        </w:rPr>
        <w:t>天内进行复核，监理人未在约定时间内复核的，承包人提交的工程量报表中的工程量视为承包人实际完成的工程量，据此计算工程价款。</w:t>
      </w:r>
    </w:p>
    <w:p w14:paraId="75538E27">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17.1.5 </w:t>
      </w:r>
      <w:r>
        <w:rPr>
          <w:rFonts w:hint="eastAsia" w:ascii="Times New Roman" w:hAnsi="Times New Roman" w:eastAsia="黑体"/>
          <w:color w:val="auto"/>
          <w:szCs w:val="21"/>
          <w:highlight w:val="none"/>
        </w:rPr>
        <w:t>总价子目的计量</w:t>
      </w:r>
    </w:p>
    <w:p w14:paraId="58785493">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除专用合同条款另有约定外，总价子目的分解和计量按照下述约定进行。</w:t>
      </w:r>
    </w:p>
    <w:p w14:paraId="2F3F78A7">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）总价子目的计量和支付应以总价为基础，不因第</w:t>
      </w:r>
      <w:r>
        <w:rPr>
          <w:rFonts w:ascii="Times New Roman" w:hAnsi="Times New Roman"/>
          <w:color w:val="auto"/>
          <w:szCs w:val="21"/>
          <w:highlight w:val="none"/>
        </w:rPr>
        <w:t>16.1</w:t>
      </w:r>
      <w:r>
        <w:rPr>
          <w:rFonts w:hint="eastAsia" w:ascii="Times New Roman" w:hAnsi="Times New Roman"/>
          <w:color w:val="auto"/>
          <w:szCs w:val="21"/>
          <w:highlight w:val="none"/>
        </w:rPr>
        <w:t>款中的因素而进行调整。承包人实际完成的工程量，是进行工程目标管理和控制进度支付的依据。</w:t>
      </w:r>
    </w:p>
    <w:p w14:paraId="70BF4FC9">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在合同约定的每个计量周期内，对已完成的工程进行计量，并向监理人提交进度付款申请单、专用合同条款约定的合同总价支付分解表所表示的阶段性或分项计量的支持性资料，以及所达到工程形象目标或分阶段需完成的工程量和有关计量资料。</w:t>
      </w:r>
    </w:p>
    <w:p w14:paraId="3A6A197F">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）监理人对承包人提交的上述资料进行复核，以确定分阶段实际完成的工程量和工程形象目标。对其有异议的，可要求承包人按第</w:t>
      </w:r>
      <w:r>
        <w:rPr>
          <w:rFonts w:ascii="Times New Roman" w:hAnsi="Times New Roman"/>
          <w:color w:val="auto"/>
          <w:szCs w:val="21"/>
          <w:highlight w:val="none"/>
        </w:rPr>
        <w:t>8.2</w:t>
      </w:r>
      <w:r>
        <w:rPr>
          <w:rFonts w:hint="eastAsia" w:ascii="Times New Roman" w:hAnsi="Times New Roman"/>
          <w:color w:val="auto"/>
          <w:szCs w:val="21"/>
          <w:highlight w:val="none"/>
        </w:rPr>
        <w:t>款约定进行共同复核和抽样复测。</w:t>
      </w:r>
    </w:p>
    <w:p w14:paraId="57B48EF1">
      <w:pPr>
        <w:pStyle w:val="54"/>
        <w:spacing w:line="400" w:lineRule="atLeast"/>
        <w:ind w:firstLine="411" w:firstLineChars="196"/>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）除按照第</w:t>
      </w:r>
      <w:r>
        <w:rPr>
          <w:rFonts w:ascii="Times New Roman" w:hAnsi="Times New Roman"/>
          <w:color w:val="auto"/>
          <w:szCs w:val="21"/>
          <w:highlight w:val="none"/>
        </w:rPr>
        <w:t>15</w:t>
      </w:r>
      <w:r>
        <w:rPr>
          <w:rFonts w:hint="eastAsia" w:ascii="Times New Roman" w:hAnsi="Times New Roman"/>
          <w:color w:val="auto"/>
          <w:szCs w:val="21"/>
          <w:highlight w:val="none"/>
        </w:rPr>
        <w:t>条约定的变更外，总价子目的工程量是承包人用于结算的最终工程量。</w:t>
      </w:r>
    </w:p>
    <w:p w14:paraId="08DDC008">
      <w:pPr>
        <w:pStyle w:val="54"/>
        <w:keepNext/>
        <w:keepLines/>
        <w:spacing w:before="240" w:after="240" w:line="380" w:lineRule="atLeast"/>
        <w:rPr>
          <w:rFonts w:hint="default" w:ascii="Times New Roman" w:hAnsi="Times New Roman" w:eastAsia="黑体"/>
          <w:bCs/>
          <w:color w:val="FF0000"/>
          <w:kern w:val="44"/>
          <w:szCs w:val="21"/>
          <w:highlight w:val="none"/>
          <w:lang w:val="en-US" w:eastAsia="zh-CN"/>
        </w:rPr>
      </w:pPr>
      <w:r>
        <w:rPr>
          <w:rFonts w:ascii="Times New Roman" w:hAnsi="Times New Roman" w:eastAsia="黑体"/>
          <w:bCs/>
          <w:color w:val="FF0000"/>
          <w:kern w:val="44"/>
          <w:szCs w:val="21"/>
          <w:highlight w:val="none"/>
          <w:lang w:val="zh-CN"/>
        </w:rPr>
        <w:t xml:space="preserve">17.2 </w:t>
      </w:r>
      <w:r>
        <w:rPr>
          <w:rFonts w:hint="eastAsia" w:ascii="Times New Roman" w:hAnsi="Times New Roman" w:eastAsia="黑体"/>
          <w:bCs/>
          <w:color w:val="FF0000"/>
          <w:kern w:val="44"/>
          <w:szCs w:val="21"/>
          <w:highlight w:val="none"/>
          <w:lang w:val="zh-CN"/>
        </w:rPr>
        <w:t>预付款：</w:t>
      </w:r>
      <w:r>
        <w:rPr>
          <w:rFonts w:hint="eastAsia" w:ascii="Times New Roman" w:hAnsi="Times New Roman" w:eastAsia="黑体"/>
          <w:bCs/>
          <w:color w:val="FF0000"/>
          <w:kern w:val="44"/>
          <w:szCs w:val="21"/>
          <w:highlight w:val="none"/>
          <w:lang w:val="en-US" w:eastAsia="zh-CN"/>
        </w:rPr>
        <w:t>合同金额的30%。</w:t>
      </w:r>
    </w:p>
    <w:p w14:paraId="213CB39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17.3 </w:t>
      </w:r>
      <w:r>
        <w:rPr>
          <w:rFonts w:hint="eastAsia" w:ascii="Times New Roman" w:hAnsi="Times New Roman" w:eastAsia="黑体"/>
          <w:bCs/>
          <w:color w:val="auto"/>
          <w:kern w:val="44"/>
          <w:szCs w:val="21"/>
          <w:highlight w:val="none"/>
          <w:lang w:val="zh-CN"/>
        </w:rPr>
        <w:t>工程进度付款</w:t>
      </w:r>
    </w:p>
    <w:p w14:paraId="467A31FB">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17.3.1 </w:t>
      </w:r>
      <w:r>
        <w:rPr>
          <w:rFonts w:hint="eastAsia" w:ascii="Times New Roman" w:hAnsi="Times New Roman" w:eastAsia="黑体"/>
          <w:color w:val="auto"/>
          <w:szCs w:val="21"/>
          <w:highlight w:val="none"/>
        </w:rPr>
        <w:t>付款周期</w:t>
      </w:r>
    </w:p>
    <w:p w14:paraId="23488D07">
      <w:pPr>
        <w:pStyle w:val="54"/>
        <w:spacing w:line="400" w:lineRule="atLeast"/>
        <w:ind w:firstLine="390"/>
        <w:rPr>
          <w:rFonts w:ascii="Times New Roman" w:hAnsi="Times New Roman"/>
          <w:color w:val="FF0000"/>
          <w:szCs w:val="21"/>
          <w:highlight w:val="none"/>
        </w:rPr>
      </w:pPr>
      <w:r>
        <w:rPr>
          <w:rFonts w:hint="eastAsia" w:ascii="Times New Roman" w:hAnsi="Times New Roman"/>
          <w:color w:val="FF0000"/>
          <w:szCs w:val="21"/>
          <w:highlight w:val="none"/>
        </w:rPr>
        <w:t>付进度款支付方式：合同内进度款支付限额为已完成工程量的85%，工程变更部分进度款支付限额为已完成工程量的75%。</w:t>
      </w:r>
    </w:p>
    <w:p w14:paraId="21FD40D3">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17.3.2 </w:t>
      </w:r>
      <w:r>
        <w:rPr>
          <w:rFonts w:hint="eastAsia" w:ascii="Times New Roman" w:hAnsi="Times New Roman" w:eastAsia="黑体"/>
          <w:color w:val="auto"/>
          <w:szCs w:val="21"/>
          <w:highlight w:val="none"/>
        </w:rPr>
        <w:t>进度付款申请单</w:t>
      </w:r>
    </w:p>
    <w:p w14:paraId="3BF6343B">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承包人应在每个付款周期末，按监理人批准的格式和专用合同条款约定的份数，向监理人提交进度付款申请单，并附相应的支持性证明文件。除专用合同条款另有约定外，进度付款申请单应包括下列内容：</w:t>
      </w:r>
    </w:p>
    <w:p w14:paraId="32A86090">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）截至本次付款周期末已实施工程的价款；</w:t>
      </w:r>
    </w:p>
    <w:p w14:paraId="52CA17EE">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）根据第</w:t>
      </w:r>
      <w:r>
        <w:rPr>
          <w:rFonts w:ascii="Times New Roman" w:hAnsi="Times New Roman"/>
          <w:color w:val="auto"/>
          <w:szCs w:val="21"/>
          <w:highlight w:val="none"/>
        </w:rPr>
        <w:t>15</w:t>
      </w:r>
      <w:r>
        <w:rPr>
          <w:rFonts w:hint="eastAsia" w:ascii="Times New Roman" w:hAnsi="Times New Roman"/>
          <w:color w:val="auto"/>
          <w:szCs w:val="21"/>
          <w:highlight w:val="none"/>
        </w:rPr>
        <w:t>条应增加和扣减的变更金额；</w:t>
      </w:r>
    </w:p>
    <w:p w14:paraId="45F15DDC">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）根据第</w:t>
      </w:r>
      <w:r>
        <w:rPr>
          <w:rFonts w:ascii="Times New Roman" w:hAnsi="Times New Roman"/>
          <w:color w:val="auto"/>
          <w:szCs w:val="21"/>
          <w:highlight w:val="none"/>
        </w:rPr>
        <w:t>23</w:t>
      </w:r>
      <w:r>
        <w:rPr>
          <w:rFonts w:hint="eastAsia" w:ascii="Times New Roman" w:hAnsi="Times New Roman"/>
          <w:color w:val="auto"/>
          <w:szCs w:val="21"/>
          <w:highlight w:val="none"/>
        </w:rPr>
        <w:t>条应增加和扣减的索赔金额；</w:t>
      </w:r>
    </w:p>
    <w:p w14:paraId="4C3996A7">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）根据第</w:t>
      </w:r>
      <w:r>
        <w:rPr>
          <w:rFonts w:ascii="Times New Roman" w:hAnsi="Times New Roman"/>
          <w:color w:val="auto"/>
          <w:szCs w:val="21"/>
          <w:highlight w:val="none"/>
        </w:rPr>
        <w:t>17.2</w:t>
      </w:r>
      <w:r>
        <w:rPr>
          <w:rFonts w:hint="eastAsia" w:ascii="Times New Roman" w:hAnsi="Times New Roman"/>
          <w:color w:val="auto"/>
          <w:szCs w:val="21"/>
          <w:highlight w:val="none"/>
        </w:rPr>
        <w:t>款约定应支付的预付款和扣减的返还预付款；</w:t>
      </w:r>
    </w:p>
    <w:p w14:paraId="006499F1">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）根据第</w:t>
      </w:r>
      <w:r>
        <w:rPr>
          <w:rFonts w:ascii="Times New Roman" w:hAnsi="Times New Roman"/>
          <w:color w:val="auto"/>
          <w:szCs w:val="21"/>
          <w:highlight w:val="none"/>
        </w:rPr>
        <w:t>17.4.1</w:t>
      </w:r>
      <w:r>
        <w:rPr>
          <w:rFonts w:hint="eastAsia" w:ascii="Times New Roman" w:hAnsi="Times New Roman"/>
          <w:color w:val="auto"/>
          <w:szCs w:val="21"/>
          <w:highlight w:val="none"/>
        </w:rPr>
        <w:t>项约定应扣减的质量保证金；</w:t>
      </w:r>
    </w:p>
    <w:p w14:paraId="6FB9D235">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）根据合同应增加和扣减的其他金额。</w:t>
      </w:r>
    </w:p>
    <w:p w14:paraId="5D8F9006">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17.3.3 </w:t>
      </w:r>
      <w:r>
        <w:rPr>
          <w:rFonts w:hint="eastAsia" w:ascii="Times New Roman" w:hAnsi="Times New Roman" w:eastAsia="黑体"/>
          <w:color w:val="auto"/>
          <w:szCs w:val="21"/>
          <w:highlight w:val="none"/>
        </w:rPr>
        <w:t>进度付款证书和支付时间</w:t>
      </w:r>
    </w:p>
    <w:p w14:paraId="3FC17D7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）监理人在收到承包人进度付款申请单以及相应的支持性证明文件后的</w:t>
      </w:r>
      <w:r>
        <w:rPr>
          <w:rFonts w:ascii="Times New Roman" w:hAnsi="Times New Roman"/>
          <w:color w:val="auto"/>
          <w:szCs w:val="21"/>
          <w:highlight w:val="none"/>
        </w:rPr>
        <w:t>14</w:t>
      </w:r>
      <w:r>
        <w:rPr>
          <w:rFonts w:hint="eastAsia" w:ascii="Times New Roman" w:hAnsi="Times New Roman"/>
          <w:color w:val="auto"/>
          <w:szCs w:val="21"/>
          <w:highlight w:val="none"/>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14:paraId="7DAC183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）发包人应在监理人收到进度付款申请单后的</w:t>
      </w:r>
      <w:r>
        <w:rPr>
          <w:rFonts w:ascii="Times New Roman" w:hAnsi="Times New Roman"/>
          <w:color w:val="auto"/>
          <w:szCs w:val="21"/>
          <w:highlight w:val="none"/>
        </w:rPr>
        <w:t>28</w:t>
      </w:r>
      <w:r>
        <w:rPr>
          <w:rFonts w:hint="eastAsia" w:ascii="Times New Roman" w:hAnsi="Times New Roman"/>
          <w:color w:val="auto"/>
          <w:szCs w:val="21"/>
          <w:highlight w:val="none"/>
        </w:rPr>
        <w:t>天内，将进度应付款支付给承包人。发包人不按期支付的，按专用合同条款的约定支付逾期付款违约金。</w:t>
      </w:r>
    </w:p>
    <w:p w14:paraId="060E16C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）监理人出具进度付款证书，不应视为监理人已同意、批准或接受了承包人完成的该部分工作。</w:t>
      </w:r>
    </w:p>
    <w:p w14:paraId="359AF4D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）进度付款涉及政府投资资金的，按照国库集中支付等国家相关规定和专用合同条款的约定办理。</w:t>
      </w:r>
    </w:p>
    <w:p w14:paraId="11B50B98">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17.3.4</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工程进度付款的修正</w:t>
      </w:r>
    </w:p>
    <w:p w14:paraId="0EFA700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在对以往历次已签发的进度付款证书进行汇总和复核中发现错、漏或重复的，监理人有权予以修正，承包人也有权提出修正申请。经双方复核同意的修正，应在本次进度付款中支付或扣除。</w:t>
      </w:r>
    </w:p>
    <w:p w14:paraId="423368E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17.4 </w:t>
      </w:r>
      <w:r>
        <w:rPr>
          <w:rFonts w:hint="eastAsia" w:ascii="Times New Roman" w:hAnsi="Times New Roman" w:eastAsia="黑体"/>
          <w:bCs/>
          <w:color w:val="auto"/>
          <w:kern w:val="44"/>
          <w:szCs w:val="21"/>
          <w:highlight w:val="none"/>
          <w:lang w:val="zh-CN"/>
        </w:rPr>
        <w:t>质量保证金</w:t>
      </w:r>
    </w:p>
    <w:p w14:paraId="77519CF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17.4.1 </w:t>
      </w:r>
      <w:r>
        <w:rPr>
          <w:rFonts w:hint="eastAsia" w:ascii="Times New Roman" w:hAnsi="Times New Roman"/>
          <w:color w:val="auto"/>
          <w:szCs w:val="21"/>
          <w:highlight w:val="none"/>
        </w:rPr>
        <w:t>监理人应从第一个付款周期开始，在发包人的进度付款中，按专用合同条款的约定扣留质量保证金，直至扣留的质量保证金总额达到专用合同条款约定的金额或比例为止。质量保证金的计算额度不包括预付款的支付、扣回以及价格调整的金额。</w:t>
      </w:r>
    </w:p>
    <w:p w14:paraId="1320921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17.4.2 </w:t>
      </w: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目约定的缺陷责任期满时，承包人向发包人申请到期应返还承包人剩余的质量保证金金额，发包人应在</w:t>
      </w:r>
      <w:r>
        <w:rPr>
          <w:rFonts w:ascii="Times New Roman" w:hAnsi="Times New Roman"/>
          <w:color w:val="auto"/>
          <w:szCs w:val="21"/>
          <w:highlight w:val="none"/>
        </w:rPr>
        <w:t>14</w:t>
      </w:r>
      <w:r>
        <w:rPr>
          <w:rFonts w:hint="eastAsia" w:ascii="Times New Roman" w:hAnsi="Times New Roman"/>
          <w:color w:val="auto"/>
          <w:szCs w:val="21"/>
          <w:highlight w:val="none"/>
        </w:rPr>
        <w:t>天内会同承包人按照合同约定的内容核实承包人是否完成缺陷责任。如无异议，发包人应当在核实后将剩余保证金返还承包人。</w:t>
      </w:r>
    </w:p>
    <w:p w14:paraId="582C383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17.4.3</w:t>
      </w: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目约定的缺陷责任期满时，承包人没有完成缺陷责任的，发包人有权扣留与未履行责任剩余工作所需金额相应的质量保证金余额，并有权根据第</w:t>
      </w:r>
      <w:r>
        <w:rPr>
          <w:rFonts w:ascii="Times New Roman" w:hAnsi="Times New Roman"/>
          <w:color w:val="auto"/>
          <w:szCs w:val="21"/>
          <w:highlight w:val="none"/>
        </w:rPr>
        <w:t>19.3</w:t>
      </w:r>
      <w:r>
        <w:rPr>
          <w:rFonts w:hint="eastAsia" w:ascii="Times New Roman" w:hAnsi="Times New Roman"/>
          <w:color w:val="auto"/>
          <w:szCs w:val="21"/>
          <w:highlight w:val="none"/>
        </w:rPr>
        <w:t>款约定要求延长缺陷责任期，直至完成剩余工作为止。</w:t>
      </w:r>
      <w:r>
        <w:rPr>
          <w:rFonts w:ascii="Times New Roman" w:hAnsi="Times New Roman"/>
          <w:color w:val="auto"/>
          <w:szCs w:val="21"/>
          <w:highlight w:val="none"/>
        </w:rPr>
        <w:t xml:space="preserve"> </w:t>
      </w:r>
    </w:p>
    <w:p w14:paraId="5898187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17.5 </w:t>
      </w:r>
      <w:r>
        <w:rPr>
          <w:rFonts w:hint="eastAsia" w:ascii="Times New Roman" w:hAnsi="Times New Roman" w:eastAsia="黑体"/>
          <w:bCs/>
          <w:color w:val="auto"/>
          <w:kern w:val="44"/>
          <w:szCs w:val="21"/>
          <w:highlight w:val="none"/>
          <w:lang w:val="zh-CN"/>
        </w:rPr>
        <w:t>竣工结算</w:t>
      </w:r>
    </w:p>
    <w:p w14:paraId="6D77DF9B">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17.5.1 </w:t>
      </w:r>
      <w:r>
        <w:rPr>
          <w:rFonts w:hint="eastAsia" w:ascii="Times New Roman" w:hAnsi="Times New Roman" w:eastAsia="黑体"/>
          <w:color w:val="auto"/>
          <w:szCs w:val="21"/>
          <w:highlight w:val="none"/>
        </w:rPr>
        <w:t>竣工付款申请单</w:t>
      </w:r>
    </w:p>
    <w:p w14:paraId="0951D15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w:t>
      </w:r>
      <w:r>
        <w:rPr>
          <w:rFonts w:ascii="Times New Roman" w:hAnsi="Times New Roman"/>
          <w:color w:val="auto"/>
          <w:szCs w:val="21"/>
          <w:highlight w:val="none"/>
        </w:rPr>
        <w:t xml:space="preserve"> </w:t>
      </w:r>
      <w:r>
        <w:rPr>
          <w:rFonts w:hint="eastAsia" w:ascii="Times New Roman" w:hAnsi="Times New Roman"/>
          <w:color w:val="auto"/>
          <w:szCs w:val="21"/>
          <w:highlight w:val="none"/>
        </w:rPr>
        <w:t>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0A27533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）监理人对竣工付款申请单有异议的，有权要求承包人进行修正和提供补充资料。经监理人和承包人协商后，由承包人向监理人提交修正后的竣工付款申请单。</w:t>
      </w:r>
    </w:p>
    <w:p w14:paraId="067598BD">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17.5.2 </w:t>
      </w:r>
      <w:r>
        <w:rPr>
          <w:rFonts w:hint="eastAsia" w:ascii="Times New Roman" w:hAnsi="Times New Roman" w:eastAsia="黑体"/>
          <w:color w:val="auto"/>
          <w:szCs w:val="21"/>
          <w:highlight w:val="none"/>
        </w:rPr>
        <w:t>竣工付款证书及支付时间</w:t>
      </w:r>
    </w:p>
    <w:p w14:paraId="7C408122">
      <w:pPr>
        <w:pStyle w:val="54"/>
        <w:spacing w:line="400" w:lineRule="atLeast"/>
        <w:ind w:firstLine="411" w:firstLineChars="196"/>
        <w:rPr>
          <w:rFonts w:ascii="Times New Roman" w:hAnsi="Times New Roman" w:eastAsia="黑体"/>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）监理人在收到承包人提交的竣工付款申请单后的</w:t>
      </w:r>
      <w:r>
        <w:rPr>
          <w:rFonts w:ascii="Times New Roman" w:hAnsi="Times New Roman"/>
          <w:color w:val="auto"/>
          <w:szCs w:val="21"/>
          <w:highlight w:val="none"/>
        </w:rPr>
        <w:t>14</w:t>
      </w:r>
      <w:r>
        <w:rPr>
          <w:rFonts w:hint="eastAsia" w:ascii="Times New Roman" w:hAnsi="Times New Roman"/>
          <w:color w:val="auto"/>
          <w:szCs w:val="21"/>
          <w:highlight w:val="none"/>
        </w:rPr>
        <w:t>天内完成核查，提出发包人到期应支付给承包人的价款送发包人审核并抄送承包人。发包人应在收到后</w:t>
      </w:r>
      <w:r>
        <w:rPr>
          <w:rFonts w:ascii="Times New Roman" w:hAnsi="Times New Roman"/>
          <w:color w:val="auto"/>
          <w:szCs w:val="21"/>
          <w:highlight w:val="none"/>
        </w:rPr>
        <w:t>14</w:t>
      </w:r>
      <w:r>
        <w:rPr>
          <w:rFonts w:hint="eastAsia" w:ascii="Times New Roman" w:hAnsi="Times New Roman"/>
          <w:color w:val="auto"/>
          <w:szCs w:val="21"/>
          <w:highlight w:val="none"/>
        </w:rPr>
        <w:t>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5943CF62">
      <w:pPr>
        <w:pStyle w:val="54"/>
        <w:spacing w:line="400" w:lineRule="atLeast"/>
        <w:ind w:firstLine="6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）发包人应在监理人出具竣工付款证书后的</w:t>
      </w:r>
      <w:r>
        <w:rPr>
          <w:rFonts w:ascii="Times New Roman" w:hAnsi="Times New Roman"/>
          <w:color w:val="auto"/>
          <w:szCs w:val="21"/>
          <w:highlight w:val="none"/>
        </w:rPr>
        <w:t>14</w:t>
      </w:r>
      <w:r>
        <w:rPr>
          <w:rFonts w:hint="eastAsia" w:ascii="Times New Roman" w:hAnsi="Times New Roman"/>
          <w:color w:val="auto"/>
          <w:szCs w:val="21"/>
          <w:highlight w:val="none"/>
        </w:rPr>
        <w:t>天内，将应支付款支付给承包人。发包人不按期支付的，按第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）目的约定，将逾期付款违约金支付给承包人。</w:t>
      </w:r>
    </w:p>
    <w:p w14:paraId="02FCA20F">
      <w:pPr>
        <w:pStyle w:val="54"/>
        <w:spacing w:line="400" w:lineRule="atLeast"/>
        <w:ind w:firstLine="6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）承包人对发包人签认的竣工付款证书有异议的，发包人可出具竣工付款申请单中承包人已同意部分的临时付款证书。存在争议的部分，按第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79718213">
      <w:pPr>
        <w:pStyle w:val="54"/>
        <w:spacing w:line="400" w:lineRule="atLeast"/>
        <w:ind w:firstLine="6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）竣工付款涉及政府投资资金的，按第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）目的约定办理。</w:t>
      </w:r>
    </w:p>
    <w:p w14:paraId="50121FE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17.6 </w:t>
      </w:r>
      <w:r>
        <w:rPr>
          <w:rFonts w:hint="eastAsia" w:ascii="Times New Roman" w:hAnsi="Times New Roman" w:eastAsia="黑体"/>
          <w:bCs/>
          <w:color w:val="auto"/>
          <w:kern w:val="44"/>
          <w:szCs w:val="21"/>
          <w:highlight w:val="none"/>
          <w:lang w:val="zh-CN"/>
        </w:rPr>
        <w:t>最终结清</w:t>
      </w:r>
    </w:p>
    <w:p w14:paraId="669A594E">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17.6.1 </w:t>
      </w:r>
      <w:r>
        <w:rPr>
          <w:rFonts w:hint="eastAsia" w:ascii="Times New Roman" w:hAnsi="Times New Roman" w:eastAsia="黑体"/>
          <w:color w:val="auto"/>
          <w:szCs w:val="21"/>
          <w:highlight w:val="none"/>
        </w:rPr>
        <w:t>最终结清申请单</w:t>
      </w:r>
    </w:p>
    <w:p w14:paraId="7D9CD60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）缺陷责任期终止证书签发后，承包人可按专用合同条款约定的份数和期限向监理人提交最终结清申请单，并提供相关证明材料。</w:t>
      </w:r>
    </w:p>
    <w:p w14:paraId="6C39BB0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）发包人对最终结清申请单内容有异议的，有权要求承包人进行修正和提供补充资料，由承包人向监理人提交修正后的最终结清申请单。</w:t>
      </w:r>
    </w:p>
    <w:p w14:paraId="42AC1E94">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17.6.2 </w:t>
      </w:r>
      <w:r>
        <w:rPr>
          <w:rFonts w:hint="eastAsia" w:ascii="Times New Roman" w:hAnsi="Times New Roman" w:eastAsia="黑体"/>
          <w:color w:val="auto"/>
          <w:szCs w:val="21"/>
          <w:highlight w:val="none"/>
        </w:rPr>
        <w:t>最终结清证书和支付时间</w:t>
      </w:r>
      <w:r>
        <w:rPr>
          <w:rFonts w:ascii="Times New Roman" w:hAnsi="Times New Roman"/>
          <w:color w:val="auto"/>
          <w:szCs w:val="21"/>
          <w:highlight w:val="none"/>
        </w:rPr>
        <w:t xml:space="preserve"> </w:t>
      </w:r>
    </w:p>
    <w:p w14:paraId="28E51A2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）监理人收到承包人提交的最终结清申请单后的</w:t>
      </w:r>
      <w:r>
        <w:rPr>
          <w:rFonts w:ascii="Times New Roman" w:hAnsi="Times New Roman"/>
          <w:color w:val="auto"/>
          <w:szCs w:val="21"/>
          <w:highlight w:val="none"/>
        </w:rPr>
        <w:t>14</w:t>
      </w:r>
      <w:r>
        <w:rPr>
          <w:rFonts w:hint="eastAsia" w:ascii="Times New Roman" w:hAnsi="Times New Roman"/>
          <w:color w:val="auto"/>
          <w:szCs w:val="21"/>
          <w:highlight w:val="none"/>
        </w:rPr>
        <w:t>天内，提出发包人应支付给承包人的价款送发包人审核并抄送承包人。发包人应在收到后</w:t>
      </w:r>
      <w:r>
        <w:rPr>
          <w:rFonts w:ascii="Times New Roman" w:hAnsi="Times New Roman"/>
          <w:color w:val="auto"/>
          <w:szCs w:val="21"/>
          <w:highlight w:val="none"/>
        </w:rPr>
        <w:t>14</w:t>
      </w:r>
      <w:r>
        <w:rPr>
          <w:rFonts w:hint="eastAsia" w:ascii="Times New Roman" w:hAnsi="Times New Roman"/>
          <w:color w:val="auto"/>
          <w:szCs w:val="21"/>
          <w:highlight w:val="none"/>
        </w:rPr>
        <w:t>天内审核完毕，由监理人向承包人出具经发包人签认的最终结清证书。监理人未在约定时间内核查，又未提出具体意见的，视为承包人提交的最终结清申请单已经监理人核查同意；发包人未在约定时间内审核又未提出具体意见的，监理人提出应支付给承包人的价款视为已经发包人同意。</w:t>
      </w:r>
    </w:p>
    <w:p w14:paraId="20BB1DA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）发包人应在监理人出具最终结清证书后的</w:t>
      </w:r>
      <w:r>
        <w:rPr>
          <w:rFonts w:ascii="Times New Roman" w:hAnsi="Times New Roman"/>
          <w:color w:val="auto"/>
          <w:szCs w:val="21"/>
          <w:highlight w:val="none"/>
        </w:rPr>
        <w:t>14</w:t>
      </w:r>
      <w:r>
        <w:rPr>
          <w:rFonts w:hint="eastAsia" w:ascii="Times New Roman" w:hAnsi="Times New Roman"/>
          <w:color w:val="auto"/>
          <w:szCs w:val="21"/>
          <w:highlight w:val="none"/>
        </w:rPr>
        <w:t>天内，将应支付款支付给承包人。发包人不按期支付的，按第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）目的约定，将逾期付款违约金支付给承包人。</w:t>
      </w:r>
    </w:p>
    <w:p w14:paraId="306C324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）承包人对发包人签认的最终结清证书有异议的，按第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4B21DC7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）最终结清付款涉及政府投资资金的，按第</w:t>
      </w:r>
      <w:r>
        <w:rPr>
          <w:rFonts w:ascii="Times New Roman" w:hAnsi="Times New Roman"/>
          <w:color w:val="auto"/>
          <w:szCs w:val="21"/>
          <w:highlight w:val="none"/>
        </w:rPr>
        <w:t>17.3.3</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）目的约定办理。</w:t>
      </w:r>
    </w:p>
    <w:p w14:paraId="3AC7652A">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4" w:name="_Toc17688"/>
      <w:r>
        <w:rPr>
          <w:rFonts w:ascii="Times New Roman" w:hAnsi="Times New Roman" w:eastAsia="黑体"/>
          <w:bCs/>
          <w:color w:val="auto"/>
          <w:kern w:val="44"/>
          <w:szCs w:val="21"/>
          <w:highlight w:val="none"/>
          <w:lang w:val="zh-CN"/>
        </w:rPr>
        <w:t xml:space="preserve">18. </w:t>
      </w:r>
      <w:r>
        <w:rPr>
          <w:rFonts w:hint="eastAsia" w:ascii="Times New Roman" w:hAnsi="Times New Roman" w:eastAsia="黑体"/>
          <w:bCs/>
          <w:color w:val="auto"/>
          <w:kern w:val="44"/>
          <w:szCs w:val="21"/>
          <w:highlight w:val="none"/>
          <w:lang w:val="zh-CN"/>
        </w:rPr>
        <w:t>竣工验收</w:t>
      </w:r>
      <w:bookmarkEnd w:id="124"/>
    </w:p>
    <w:p w14:paraId="0C402C8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18.1 </w:t>
      </w:r>
      <w:r>
        <w:rPr>
          <w:rFonts w:hint="eastAsia" w:ascii="Times New Roman" w:hAnsi="Times New Roman" w:eastAsia="黑体"/>
          <w:bCs/>
          <w:color w:val="auto"/>
          <w:kern w:val="44"/>
          <w:szCs w:val="21"/>
          <w:highlight w:val="none"/>
          <w:lang w:val="zh-CN"/>
        </w:rPr>
        <w:t>竣工验收的含义</w:t>
      </w:r>
    </w:p>
    <w:p w14:paraId="10E83C6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18.1.1 </w:t>
      </w:r>
      <w:r>
        <w:rPr>
          <w:rFonts w:hint="eastAsia" w:ascii="Times New Roman" w:hAnsi="Times New Roman"/>
          <w:color w:val="auto"/>
          <w:szCs w:val="21"/>
          <w:highlight w:val="none"/>
        </w:rPr>
        <w:t>竣工验收指承包人完成了全部合同工作后，发包人按合同要求进行的验收。</w:t>
      </w:r>
    </w:p>
    <w:p w14:paraId="4838AB5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18.1.2 </w:t>
      </w:r>
      <w:r>
        <w:rPr>
          <w:rFonts w:hint="eastAsia" w:ascii="Times New Roman" w:hAnsi="Times New Roman"/>
          <w:color w:val="auto"/>
          <w:szCs w:val="21"/>
          <w:highlight w:val="none"/>
        </w:rPr>
        <w:t>国家验收是政府有关部门根据法律、规范、规程和政策要求，针对发包人全面组织实施的整个工程正式交付投运前的验收。</w:t>
      </w:r>
    </w:p>
    <w:p w14:paraId="251B353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18.1.3 </w:t>
      </w:r>
      <w:r>
        <w:rPr>
          <w:rFonts w:hint="eastAsia" w:ascii="Times New Roman" w:hAnsi="Times New Roman"/>
          <w:color w:val="auto"/>
          <w:szCs w:val="21"/>
          <w:highlight w:val="none"/>
        </w:rPr>
        <w:t>需要进行国家验收的，竣工验收是国家验收的一部分。竣工验收所采用的各项验收和评定标准应符合国家验收标准。发包人和承包人为竣工验收提供的各项竣工验收资料应符合国家验收的要求。</w:t>
      </w:r>
      <w:r>
        <w:rPr>
          <w:rFonts w:ascii="Times New Roman" w:hAnsi="Times New Roman"/>
          <w:color w:val="auto"/>
          <w:szCs w:val="21"/>
          <w:highlight w:val="none"/>
        </w:rPr>
        <w:t xml:space="preserve"> </w:t>
      </w:r>
    </w:p>
    <w:p w14:paraId="5BD459B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18.2 </w:t>
      </w:r>
      <w:r>
        <w:rPr>
          <w:rFonts w:hint="eastAsia" w:ascii="Times New Roman" w:hAnsi="Times New Roman" w:eastAsia="黑体"/>
          <w:bCs/>
          <w:color w:val="auto"/>
          <w:kern w:val="44"/>
          <w:szCs w:val="21"/>
          <w:highlight w:val="none"/>
          <w:lang w:val="zh-CN"/>
        </w:rPr>
        <w:t>竣工验收申请报告</w:t>
      </w:r>
    </w:p>
    <w:p w14:paraId="4FE7D3D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当工程具备以下条件时，承包人即可向监理人报送竣工验收申请报告：</w:t>
      </w:r>
    </w:p>
    <w:p w14:paraId="0902B7A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）除监理人同意列入缺陷责任期内完成的尾工（甩项）工程和缺陷修补工作外，合同范围内的全部单位工程以及有关工作，包括合同要求的试验、试运行以及检验和验收均已完成，并符合合同要求；</w:t>
      </w:r>
    </w:p>
    <w:p w14:paraId="5B2C5CD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）已按合同约定的内容和份数备齐了符合要求的竣工资料；</w:t>
      </w:r>
    </w:p>
    <w:p w14:paraId="00BEFA7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）已按监理人的要求编制了在缺陷责任期内完成的尾工（甩项）工程和缺陷修补工作清单以及相应施工计划；</w:t>
      </w:r>
    </w:p>
    <w:p w14:paraId="66900F0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）监理人要求在竣工验收前应完成的其他工作；</w:t>
      </w:r>
    </w:p>
    <w:p w14:paraId="451788E2">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）监理人要求提交的竣工验收资料清单。</w:t>
      </w:r>
    </w:p>
    <w:p w14:paraId="24DA904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18.3 </w:t>
      </w:r>
      <w:r>
        <w:rPr>
          <w:rFonts w:hint="eastAsia" w:ascii="Times New Roman" w:hAnsi="Times New Roman" w:eastAsia="黑体"/>
          <w:bCs/>
          <w:color w:val="auto"/>
          <w:kern w:val="44"/>
          <w:szCs w:val="21"/>
          <w:highlight w:val="none"/>
          <w:lang w:val="zh-CN"/>
        </w:rPr>
        <w:t>验收</w:t>
      </w:r>
    </w:p>
    <w:p w14:paraId="6519ADD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监理人收到承包人按第</w:t>
      </w:r>
      <w:r>
        <w:rPr>
          <w:rFonts w:ascii="Times New Roman" w:hAnsi="Times New Roman"/>
          <w:color w:val="auto"/>
          <w:szCs w:val="21"/>
          <w:highlight w:val="none"/>
        </w:rPr>
        <w:t>18.2</w:t>
      </w:r>
      <w:r>
        <w:rPr>
          <w:rFonts w:hint="eastAsia" w:ascii="Times New Roman" w:hAnsi="Times New Roman"/>
          <w:color w:val="auto"/>
          <w:szCs w:val="21"/>
          <w:highlight w:val="none"/>
        </w:rPr>
        <w:t>款约定提交的竣工验收申请报告后，应审查申请报告的各项内容，并按以下不同情况进行处理。</w:t>
      </w:r>
    </w:p>
    <w:p w14:paraId="73832F6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18.3.1 </w:t>
      </w:r>
      <w:r>
        <w:rPr>
          <w:rFonts w:hint="eastAsia" w:ascii="Times New Roman" w:hAnsi="Times New Roman"/>
          <w:color w:val="auto"/>
          <w:szCs w:val="21"/>
          <w:highlight w:val="none"/>
        </w:rPr>
        <w:t>监理人审查后认为尚不具备竣工验收条件的，应在收到竣工验收申请报告后的</w:t>
      </w:r>
      <w:r>
        <w:rPr>
          <w:rFonts w:ascii="Times New Roman" w:hAnsi="Times New Roman"/>
          <w:color w:val="auto"/>
          <w:szCs w:val="21"/>
          <w:highlight w:val="none"/>
        </w:rPr>
        <w:t>28</w:t>
      </w:r>
      <w:r>
        <w:rPr>
          <w:rFonts w:hint="eastAsia" w:ascii="Times New Roman" w:hAnsi="Times New Roman"/>
          <w:color w:val="auto"/>
          <w:szCs w:val="21"/>
          <w:highlight w:val="none"/>
        </w:rPr>
        <w:t>天内通知承包人，指出在颁发接收证书前承包人还需进行的工作内容。承包人完成监理人通知的全部工作内容后，应再次提交竣工验收申请报告，直至监理人同意为止。</w:t>
      </w:r>
    </w:p>
    <w:p w14:paraId="78C9F54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18.3.2 </w:t>
      </w:r>
      <w:r>
        <w:rPr>
          <w:rFonts w:hint="eastAsia" w:ascii="Times New Roman" w:hAnsi="Times New Roman"/>
          <w:color w:val="auto"/>
          <w:szCs w:val="21"/>
          <w:highlight w:val="none"/>
        </w:rPr>
        <w:t>监理人审查后认为已具备竣工验收条件的，应在收到竣工验收申请报告后的</w:t>
      </w:r>
      <w:r>
        <w:rPr>
          <w:rFonts w:ascii="Times New Roman" w:hAnsi="Times New Roman"/>
          <w:color w:val="auto"/>
          <w:szCs w:val="21"/>
          <w:highlight w:val="none"/>
        </w:rPr>
        <w:t>28</w:t>
      </w:r>
      <w:r>
        <w:rPr>
          <w:rFonts w:hint="eastAsia" w:ascii="Times New Roman" w:hAnsi="Times New Roman"/>
          <w:color w:val="auto"/>
          <w:szCs w:val="21"/>
          <w:highlight w:val="none"/>
        </w:rPr>
        <w:t>天内提请发包人进行工程验收。</w:t>
      </w:r>
    </w:p>
    <w:p w14:paraId="56C141C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18.3.3</w:t>
      </w:r>
      <w:r>
        <w:rPr>
          <w:rFonts w:hint="eastAsia" w:ascii="Times New Roman" w:hAnsi="Times New Roman"/>
          <w:color w:val="auto"/>
          <w:szCs w:val="21"/>
          <w:highlight w:val="none"/>
        </w:rPr>
        <w:t>发包人经过验收后同意接收工程的，应在监理人收到竣工验收申请报告后的</w:t>
      </w:r>
      <w:r>
        <w:rPr>
          <w:rFonts w:ascii="Times New Roman" w:hAnsi="Times New Roman"/>
          <w:color w:val="auto"/>
          <w:szCs w:val="21"/>
          <w:highlight w:val="none"/>
        </w:rPr>
        <w:t>56</w:t>
      </w:r>
      <w:r>
        <w:rPr>
          <w:rFonts w:hint="eastAsia" w:ascii="Times New Roman" w:hAnsi="Times New Roman"/>
          <w:color w:val="auto"/>
          <w:szCs w:val="21"/>
          <w:highlight w:val="none"/>
        </w:rPr>
        <w:t>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32EBC8C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18.3.4 </w:t>
      </w:r>
      <w:r>
        <w:rPr>
          <w:rFonts w:hint="eastAsia" w:ascii="Times New Roman" w:hAnsi="Times New Roman"/>
          <w:color w:val="auto"/>
          <w:szCs w:val="21"/>
          <w:highlight w:val="none"/>
        </w:rPr>
        <w:t>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Times New Roman" w:hAnsi="Times New Roman"/>
          <w:color w:val="auto"/>
          <w:szCs w:val="21"/>
          <w:highlight w:val="none"/>
        </w:rPr>
        <w:t>18.3.1</w:t>
      </w:r>
      <w:r>
        <w:rPr>
          <w:rFonts w:hint="eastAsia" w:ascii="Times New Roman" w:hAnsi="Times New Roman"/>
          <w:color w:val="auto"/>
          <w:szCs w:val="21"/>
          <w:highlight w:val="none"/>
        </w:rPr>
        <w:t>项、第</w:t>
      </w:r>
      <w:r>
        <w:rPr>
          <w:rFonts w:ascii="Times New Roman" w:hAnsi="Times New Roman"/>
          <w:color w:val="auto"/>
          <w:szCs w:val="21"/>
          <w:highlight w:val="none"/>
        </w:rPr>
        <w:t>18.3.2</w:t>
      </w:r>
      <w:r>
        <w:rPr>
          <w:rFonts w:hint="eastAsia" w:ascii="Times New Roman" w:hAnsi="Times New Roman"/>
          <w:color w:val="auto"/>
          <w:szCs w:val="21"/>
          <w:highlight w:val="none"/>
        </w:rPr>
        <w:t>项和第</w:t>
      </w:r>
      <w:r>
        <w:rPr>
          <w:rFonts w:ascii="Times New Roman" w:hAnsi="Times New Roman"/>
          <w:color w:val="auto"/>
          <w:szCs w:val="21"/>
          <w:highlight w:val="none"/>
        </w:rPr>
        <w:t>18.3.3</w:t>
      </w:r>
      <w:r>
        <w:rPr>
          <w:rFonts w:hint="eastAsia" w:ascii="Times New Roman" w:hAnsi="Times New Roman"/>
          <w:color w:val="auto"/>
          <w:szCs w:val="21"/>
          <w:highlight w:val="none"/>
        </w:rPr>
        <w:t>项的约定进行。</w:t>
      </w:r>
    </w:p>
    <w:p w14:paraId="3715056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18.3.5 </w:t>
      </w:r>
      <w:r>
        <w:rPr>
          <w:rFonts w:hint="eastAsia" w:ascii="Times New Roman" w:hAnsi="Times New Roman"/>
          <w:color w:val="auto"/>
          <w:szCs w:val="21"/>
          <w:highlight w:val="none"/>
        </w:rPr>
        <w:t>除专用合同条款另有约定外，经验收合格工程的实际竣工日期，以提交竣工验收申请报告的日期为准，并在工程接收证书中写明。</w:t>
      </w:r>
    </w:p>
    <w:p w14:paraId="595BF46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18.3.6 </w:t>
      </w:r>
      <w:r>
        <w:rPr>
          <w:rFonts w:hint="eastAsia" w:ascii="Times New Roman" w:hAnsi="Times New Roman"/>
          <w:color w:val="auto"/>
          <w:szCs w:val="21"/>
          <w:highlight w:val="none"/>
        </w:rPr>
        <w:t>发包人在收到承包人竣工验收申请报告</w:t>
      </w:r>
      <w:r>
        <w:rPr>
          <w:rFonts w:ascii="Times New Roman" w:hAnsi="Times New Roman"/>
          <w:color w:val="auto"/>
          <w:szCs w:val="21"/>
          <w:highlight w:val="none"/>
        </w:rPr>
        <w:t>56</w:t>
      </w:r>
      <w:r>
        <w:rPr>
          <w:rFonts w:hint="eastAsia" w:ascii="Times New Roman" w:hAnsi="Times New Roman"/>
          <w:color w:val="auto"/>
          <w:szCs w:val="21"/>
          <w:highlight w:val="none"/>
        </w:rPr>
        <w:t>天后未进行验收的，视为验收合格，实际竣工日期以提交竣工验收申请报告的日期为准，但发包人由于不可抗力不能进行验收的除外。</w:t>
      </w:r>
    </w:p>
    <w:p w14:paraId="2275457E">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18.4 </w:t>
      </w:r>
      <w:r>
        <w:rPr>
          <w:rFonts w:hint="eastAsia" w:ascii="Times New Roman" w:hAnsi="Times New Roman" w:eastAsia="黑体"/>
          <w:bCs/>
          <w:color w:val="auto"/>
          <w:kern w:val="44"/>
          <w:szCs w:val="21"/>
          <w:highlight w:val="none"/>
          <w:lang w:val="zh-CN"/>
        </w:rPr>
        <w:t>单位工程验收</w:t>
      </w:r>
    </w:p>
    <w:p w14:paraId="7C91EC14">
      <w:pPr>
        <w:pStyle w:val="54"/>
        <w:spacing w:line="400" w:lineRule="atLeast"/>
        <w:ind w:firstLine="420" w:firstLineChars="200"/>
        <w:rPr>
          <w:rFonts w:ascii="Times New Roman" w:hAnsi="Times New Roman"/>
          <w:color w:val="auto"/>
          <w:szCs w:val="21"/>
          <w:highlight w:val="none"/>
        </w:rPr>
      </w:pPr>
      <w:r>
        <w:rPr>
          <w:rFonts w:ascii="Times New Roman" w:hAnsi="Times New Roman" w:eastAsia="黑体"/>
          <w:color w:val="auto"/>
          <w:szCs w:val="21"/>
          <w:highlight w:val="none"/>
        </w:rPr>
        <w:t>18.4.1</w:t>
      </w:r>
      <w:r>
        <w:rPr>
          <w:rFonts w:hint="eastAsia" w:ascii="Times New Roman" w:hAnsi="Times New Roman"/>
          <w:color w:val="auto"/>
          <w:szCs w:val="21"/>
          <w:highlight w:val="none"/>
        </w:rPr>
        <w:t>发包人根据合同进度计划安排，在全部工程竣工前需要使用已经竣工的单位工程时，或承包人提出经发包人同意时，可进行单位工程验收。验收的程序可参照第</w:t>
      </w:r>
      <w:r>
        <w:rPr>
          <w:rFonts w:ascii="Times New Roman" w:hAnsi="Times New Roman"/>
          <w:color w:val="auto"/>
          <w:szCs w:val="21"/>
          <w:highlight w:val="none"/>
        </w:rPr>
        <w:t>18.2</w:t>
      </w:r>
      <w:r>
        <w:rPr>
          <w:rFonts w:hint="eastAsia" w:ascii="Times New Roman" w:hAnsi="Times New Roman"/>
          <w:color w:val="auto"/>
          <w:szCs w:val="21"/>
          <w:highlight w:val="none"/>
        </w:rPr>
        <w:t>款与第</w:t>
      </w:r>
      <w:r>
        <w:rPr>
          <w:rFonts w:ascii="Times New Roman" w:hAnsi="Times New Roman"/>
          <w:color w:val="auto"/>
          <w:szCs w:val="21"/>
          <w:highlight w:val="none"/>
        </w:rPr>
        <w:t>18.3</w:t>
      </w:r>
      <w:r>
        <w:rPr>
          <w:rFonts w:hint="eastAsia" w:ascii="Times New Roman" w:hAnsi="Times New Roman"/>
          <w:color w:val="auto"/>
          <w:szCs w:val="21"/>
          <w:highlight w:val="none"/>
        </w:rPr>
        <w:t>款的约定进行。验收合格后，由监理人向承包人出具经发包人签认的单位工程验收证书。已签发单位工程接收证书的单位工程由发包人负责照管。单位工程的验收成果和结论作为全部工程竣工验收申请报告的附件。</w:t>
      </w:r>
    </w:p>
    <w:p w14:paraId="44F8FA1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18.4.2</w:t>
      </w:r>
      <w:r>
        <w:rPr>
          <w:rFonts w:hint="eastAsia" w:ascii="Times New Roman" w:hAnsi="Times New Roman"/>
          <w:color w:val="auto"/>
          <w:szCs w:val="21"/>
          <w:highlight w:val="none"/>
        </w:rPr>
        <w:t>发包人在全部工程竣工前，使用已接收的单位工程导致承包人费用增加的，发包人应承担由此增加的费用和（或）工期延误，并支付承包人合理利润。</w:t>
      </w:r>
    </w:p>
    <w:p w14:paraId="5004556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18.5</w:t>
      </w:r>
      <w:r>
        <w:rPr>
          <w:rFonts w:hint="eastAsia" w:ascii="Times New Roman" w:hAnsi="Times New Roman" w:eastAsia="黑体"/>
          <w:bCs/>
          <w:color w:val="auto"/>
          <w:kern w:val="44"/>
          <w:szCs w:val="21"/>
          <w:highlight w:val="none"/>
          <w:lang w:val="zh-CN"/>
        </w:rPr>
        <w:t>施工期运行</w:t>
      </w:r>
    </w:p>
    <w:p w14:paraId="34E6B3E1">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18.5.1 </w:t>
      </w:r>
      <w:r>
        <w:rPr>
          <w:rFonts w:hint="eastAsia" w:ascii="Times New Roman" w:hAnsi="Times New Roman"/>
          <w:color w:val="auto"/>
          <w:szCs w:val="21"/>
          <w:highlight w:val="none"/>
        </w:rPr>
        <w:t>施工期运行是指合同工程尚未全部竣工，其中某项或某几项单位工程或工程设备安装已竣工，根据专用合同条款约定，需要投入施工期运行的，经发包人按第</w:t>
      </w:r>
      <w:r>
        <w:rPr>
          <w:rFonts w:ascii="Times New Roman" w:hAnsi="Times New Roman"/>
          <w:color w:val="auto"/>
          <w:szCs w:val="21"/>
          <w:highlight w:val="none"/>
        </w:rPr>
        <w:t>18.4</w:t>
      </w:r>
      <w:r>
        <w:rPr>
          <w:rFonts w:hint="eastAsia" w:ascii="Times New Roman" w:hAnsi="Times New Roman"/>
          <w:color w:val="auto"/>
          <w:szCs w:val="21"/>
          <w:highlight w:val="none"/>
        </w:rPr>
        <w:t>款的约定验收合格，证明能确保安全后，才能在施工期投入运行。</w:t>
      </w:r>
    </w:p>
    <w:p w14:paraId="564F6124">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18.5.2 </w:t>
      </w:r>
      <w:r>
        <w:rPr>
          <w:rFonts w:hint="eastAsia" w:ascii="Times New Roman" w:hAnsi="Times New Roman"/>
          <w:color w:val="auto"/>
          <w:szCs w:val="21"/>
          <w:highlight w:val="none"/>
        </w:rPr>
        <w:t>在施工期运行中发现工程或工程设备损坏或存在缺陷的，由承包人按第</w:t>
      </w:r>
      <w:r>
        <w:rPr>
          <w:rFonts w:ascii="Times New Roman" w:hAnsi="Times New Roman"/>
          <w:color w:val="auto"/>
          <w:szCs w:val="21"/>
          <w:highlight w:val="none"/>
        </w:rPr>
        <w:t>19.2</w:t>
      </w:r>
      <w:r>
        <w:rPr>
          <w:rFonts w:hint="eastAsia" w:ascii="Times New Roman" w:hAnsi="Times New Roman"/>
          <w:color w:val="auto"/>
          <w:szCs w:val="21"/>
          <w:highlight w:val="none"/>
        </w:rPr>
        <w:t>款约定进行修复。</w:t>
      </w:r>
    </w:p>
    <w:p w14:paraId="306FB2D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18.6 </w:t>
      </w:r>
      <w:r>
        <w:rPr>
          <w:rFonts w:hint="eastAsia" w:ascii="Times New Roman" w:hAnsi="Times New Roman" w:eastAsia="黑体"/>
          <w:bCs/>
          <w:color w:val="auto"/>
          <w:kern w:val="44"/>
          <w:szCs w:val="21"/>
          <w:highlight w:val="none"/>
          <w:lang w:val="zh-CN"/>
        </w:rPr>
        <w:t>试运行（本项目不适用）</w:t>
      </w:r>
    </w:p>
    <w:p w14:paraId="5469850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18.7 </w:t>
      </w:r>
      <w:r>
        <w:rPr>
          <w:rFonts w:hint="eastAsia" w:ascii="Times New Roman" w:hAnsi="Times New Roman" w:eastAsia="黑体"/>
          <w:bCs/>
          <w:color w:val="auto"/>
          <w:kern w:val="44"/>
          <w:szCs w:val="21"/>
          <w:highlight w:val="none"/>
          <w:lang w:val="zh-CN"/>
        </w:rPr>
        <w:t>竣工清场</w:t>
      </w:r>
    </w:p>
    <w:p w14:paraId="3798382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18.7.1</w:t>
      </w:r>
      <w:r>
        <w:rPr>
          <w:rFonts w:hint="eastAsia" w:ascii="Times New Roman" w:hAnsi="Times New Roman"/>
          <w:color w:val="auto"/>
          <w:szCs w:val="21"/>
          <w:highlight w:val="none"/>
        </w:rPr>
        <w:t>除合同另有约定外，工程接收证书颁发后，承包人应按以下要求对施工场地进行清理，直至监理人检验合格为止。竣工清场费用由承包人承担。</w:t>
      </w:r>
    </w:p>
    <w:p w14:paraId="0091CF71">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）施工场地内残留的垃圾已全部清除出场；</w:t>
      </w:r>
    </w:p>
    <w:p w14:paraId="497E74F2">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）临时工程已拆除，场地已按合同要求进行清理、平整或复原；</w:t>
      </w:r>
    </w:p>
    <w:p w14:paraId="1076B1FA">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）按合同约定应撤离的承包人设备和剩余的材料，包括废弃的施工设备和材料，已按计划撤离施工场地；</w:t>
      </w:r>
    </w:p>
    <w:p w14:paraId="23DC6B70">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）工程建筑物周边及其附近道路、河道的施工堆积物，已按监理人指示全部清理；</w:t>
      </w:r>
    </w:p>
    <w:p w14:paraId="00D32938">
      <w:pPr>
        <w:pStyle w:val="54"/>
        <w:spacing w:line="400" w:lineRule="atLeast"/>
        <w:ind w:firstLine="569" w:firstLineChars="271"/>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）监理人指示的其他场地清理工作已全部完成。</w:t>
      </w:r>
    </w:p>
    <w:p w14:paraId="1E9C72B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18.7.2</w:t>
      </w:r>
      <w:r>
        <w:rPr>
          <w:rFonts w:hint="eastAsia" w:ascii="Times New Roman" w:hAnsi="Times New Roman"/>
          <w:color w:val="auto"/>
          <w:szCs w:val="21"/>
          <w:highlight w:val="none"/>
        </w:rPr>
        <w:t>承包人未按监理人的要求恢复临时占地，或者场地清理未达到合同约定的，发包人有权委托其他人恢复或清理，所发生的金额从拟支付给承包人的款项中扣除。</w:t>
      </w:r>
    </w:p>
    <w:p w14:paraId="73D8D89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18.8</w:t>
      </w:r>
      <w:r>
        <w:rPr>
          <w:rFonts w:hint="eastAsia" w:ascii="Times New Roman" w:hAnsi="Times New Roman" w:eastAsia="黑体"/>
          <w:bCs/>
          <w:color w:val="auto"/>
          <w:kern w:val="44"/>
          <w:szCs w:val="21"/>
          <w:highlight w:val="none"/>
          <w:lang w:val="zh-CN"/>
        </w:rPr>
        <w:t>施工队伍的撤离</w:t>
      </w:r>
    </w:p>
    <w:p w14:paraId="66739E9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工程接收证书颁发后的</w:t>
      </w:r>
      <w:r>
        <w:rPr>
          <w:rFonts w:ascii="Times New Roman" w:hAnsi="Times New Roman"/>
          <w:color w:val="auto"/>
          <w:szCs w:val="21"/>
          <w:highlight w:val="none"/>
        </w:rPr>
        <w:t>56</w:t>
      </w:r>
      <w:r>
        <w:rPr>
          <w:rFonts w:hint="eastAsia" w:ascii="Times New Roman" w:hAnsi="Times New Roman"/>
          <w:color w:val="auto"/>
          <w:szCs w:val="21"/>
          <w:highlight w:val="none"/>
        </w:rPr>
        <w:t>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5B0E3C1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5" w:name="_Toc27265"/>
      <w:r>
        <w:rPr>
          <w:rFonts w:ascii="Times New Roman" w:hAnsi="Times New Roman" w:eastAsia="黑体"/>
          <w:bCs/>
          <w:color w:val="auto"/>
          <w:kern w:val="44"/>
          <w:szCs w:val="21"/>
          <w:highlight w:val="none"/>
          <w:lang w:val="zh-CN"/>
        </w:rPr>
        <w:t xml:space="preserve">19. </w:t>
      </w:r>
      <w:r>
        <w:rPr>
          <w:rFonts w:hint="eastAsia" w:ascii="Times New Roman" w:hAnsi="Times New Roman" w:eastAsia="黑体"/>
          <w:bCs/>
          <w:color w:val="auto"/>
          <w:kern w:val="44"/>
          <w:szCs w:val="21"/>
          <w:highlight w:val="none"/>
          <w:lang w:val="zh-CN"/>
        </w:rPr>
        <w:t>缺陷责任与保修责任</w:t>
      </w:r>
      <w:bookmarkEnd w:id="125"/>
    </w:p>
    <w:p w14:paraId="7294319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19.1 </w:t>
      </w:r>
      <w:r>
        <w:rPr>
          <w:rFonts w:hint="eastAsia" w:ascii="Times New Roman" w:hAnsi="Times New Roman" w:eastAsia="黑体"/>
          <w:bCs/>
          <w:color w:val="auto"/>
          <w:kern w:val="44"/>
          <w:szCs w:val="21"/>
          <w:highlight w:val="none"/>
          <w:lang w:val="zh-CN"/>
        </w:rPr>
        <w:t>缺陷责任期的起算时间</w:t>
      </w:r>
    </w:p>
    <w:p w14:paraId="161EC27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缺陷责任期自实际竣工日期起计算。在全部工程竣工验收前，已经发包人提前验收的单位工程，其缺陷责任期的起算日期相应提前。</w:t>
      </w:r>
    </w:p>
    <w:p w14:paraId="6CE40E7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19.2 </w:t>
      </w:r>
      <w:r>
        <w:rPr>
          <w:rFonts w:hint="eastAsia" w:ascii="Times New Roman" w:hAnsi="Times New Roman" w:eastAsia="黑体"/>
          <w:bCs/>
          <w:color w:val="auto"/>
          <w:kern w:val="44"/>
          <w:szCs w:val="21"/>
          <w:highlight w:val="none"/>
          <w:lang w:val="zh-CN"/>
        </w:rPr>
        <w:t>缺陷责任</w:t>
      </w:r>
    </w:p>
    <w:p w14:paraId="435C951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19.2.1 </w:t>
      </w:r>
      <w:r>
        <w:rPr>
          <w:rFonts w:hint="eastAsia" w:ascii="Times New Roman" w:hAnsi="Times New Roman"/>
          <w:color w:val="auto"/>
          <w:szCs w:val="21"/>
          <w:highlight w:val="none"/>
        </w:rPr>
        <w:t>承包人应在缺陷责任期内对已交付使用的工程承担缺陷责任。</w:t>
      </w:r>
    </w:p>
    <w:p w14:paraId="35907C4E">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19.2.2 </w:t>
      </w:r>
      <w:r>
        <w:rPr>
          <w:rFonts w:hint="eastAsia" w:ascii="Times New Roman" w:hAnsi="Times New Roman"/>
          <w:color w:val="auto"/>
          <w:szCs w:val="21"/>
          <w:highlight w:val="none"/>
        </w:rPr>
        <w:t>缺陷责任期内，发包人对已接收使用的工程负责日常维护工作。发包人在使用过程中，发现已接收的工程存在新的缺陷或已修复的缺陷部位或部件又遭损坏的，承包人应负责修复，直至检验合格为止。</w:t>
      </w:r>
    </w:p>
    <w:p w14:paraId="4240C8E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19.2.3 </w:t>
      </w:r>
      <w:r>
        <w:rPr>
          <w:rFonts w:hint="eastAsia" w:ascii="Times New Roman" w:hAnsi="Times New Roman"/>
          <w:color w:val="auto"/>
          <w:szCs w:val="21"/>
          <w:highlight w:val="none"/>
        </w:rPr>
        <w:t>监理人和承包人应共同查清缺陷和（或）损坏的原因。经查明属承包人原因造成的，应由承包人承担修复和查验的费用。经查验属发包人原因造成的，发包人应承担修复和查验的费用，并支付承包人合理利润。</w:t>
      </w:r>
    </w:p>
    <w:p w14:paraId="53C66ED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19.2.4 </w:t>
      </w:r>
      <w:r>
        <w:rPr>
          <w:rFonts w:hint="eastAsia" w:ascii="Times New Roman" w:hAnsi="Times New Roman"/>
          <w:color w:val="auto"/>
          <w:szCs w:val="21"/>
          <w:highlight w:val="none"/>
        </w:rPr>
        <w:t>承包人不能在合理时间内修复缺陷的，发包人可自行修复或委托其他人修复，所需费用和利润的承担，按第</w:t>
      </w:r>
      <w:r>
        <w:rPr>
          <w:rFonts w:ascii="Times New Roman" w:hAnsi="Times New Roman"/>
          <w:color w:val="auto"/>
          <w:szCs w:val="21"/>
          <w:highlight w:val="none"/>
        </w:rPr>
        <w:t>19.2.3</w:t>
      </w:r>
      <w:r>
        <w:rPr>
          <w:rFonts w:hint="eastAsia" w:ascii="Times New Roman" w:hAnsi="Times New Roman"/>
          <w:color w:val="auto"/>
          <w:szCs w:val="21"/>
          <w:highlight w:val="none"/>
        </w:rPr>
        <w:t>项约定办理。</w:t>
      </w:r>
    </w:p>
    <w:p w14:paraId="0D28A0C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19.3 </w:t>
      </w:r>
      <w:r>
        <w:rPr>
          <w:rFonts w:hint="eastAsia" w:ascii="Times New Roman" w:hAnsi="Times New Roman" w:eastAsia="黑体"/>
          <w:bCs/>
          <w:color w:val="auto"/>
          <w:kern w:val="44"/>
          <w:szCs w:val="21"/>
          <w:highlight w:val="none"/>
          <w:lang w:val="zh-CN"/>
        </w:rPr>
        <w:t>缺陷责任期的延长</w:t>
      </w:r>
    </w:p>
    <w:p w14:paraId="28DAC66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由于承包人原因造成某项缺陷或损坏使某项工程或工程设备不能按原定目标使用而需要再次检查、检验和修复的，发包人有权要求承包人相应延长缺陷责任期，但缺陷责任期最长不超过</w:t>
      </w:r>
      <w:r>
        <w:rPr>
          <w:rFonts w:ascii="Times New Roman" w:hAnsi="Times New Roman"/>
          <w:color w:val="auto"/>
          <w:szCs w:val="21"/>
          <w:highlight w:val="none"/>
        </w:rPr>
        <w:t>2</w:t>
      </w:r>
      <w:r>
        <w:rPr>
          <w:rFonts w:hint="eastAsia" w:ascii="Times New Roman" w:hAnsi="Times New Roman"/>
          <w:color w:val="auto"/>
          <w:szCs w:val="21"/>
          <w:highlight w:val="none"/>
        </w:rPr>
        <w:t>年。</w:t>
      </w:r>
    </w:p>
    <w:p w14:paraId="57F4C666">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19.4 </w:t>
      </w:r>
      <w:r>
        <w:rPr>
          <w:rFonts w:hint="eastAsia" w:ascii="Times New Roman" w:hAnsi="Times New Roman" w:eastAsia="黑体"/>
          <w:bCs/>
          <w:color w:val="auto"/>
          <w:kern w:val="44"/>
          <w:szCs w:val="21"/>
          <w:highlight w:val="none"/>
          <w:lang w:val="zh-CN"/>
        </w:rPr>
        <w:t>进一步试验和试运行</w:t>
      </w:r>
    </w:p>
    <w:p w14:paraId="1C5B0983">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任何一项缺陷或损坏修复后，经检查证明其影响了工程或工程设备的使用性能，承包人应重新进行合同约定的试验和试运行，试验和试运行的全部费用应由责任方承担。</w:t>
      </w:r>
    </w:p>
    <w:p w14:paraId="0E30253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19.5 </w:t>
      </w:r>
      <w:r>
        <w:rPr>
          <w:rFonts w:hint="eastAsia" w:ascii="Times New Roman" w:hAnsi="Times New Roman" w:eastAsia="黑体"/>
          <w:bCs/>
          <w:color w:val="auto"/>
          <w:kern w:val="44"/>
          <w:szCs w:val="21"/>
          <w:highlight w:val="none"/>
          <w:lang w:val="zh-CN"/>
        </w:rPr>
        <w:t>承包人的进入权</w:t>
      </w:r>
      <w:r>
        <w:rPr>
          <w:rFonts w:ascii="Times New Roman" w:hAnsi="Times New Roman" w:eastAsia="黑体"/>
          <w:bCs/>
          <w:color w:val="auto"/>
          <w:kern w:val="44"/>
          <w:szCs w:val="21"/>
          <w:highlight w:val="none"/>
          <w:lang w:val="zh-CN"/>
        </w:rPr>
        <w:t xml:space="preserve"> </w:t>
      </w:r>
    </w:p>
    <w:p w14:paraId="391551A5">
      <w:pPr>
        <w:pStyle w:val="54"/>
        <w:spacing w:line="400" w:lineRule="atLeast"/>
        <w:ind w:firstLine="435"/>
        <w:rPr>
          <w:rFonts w:ascii="Times New Roman" w:hAnsi="Times New Roman"/>
          <w:color w:val="auto"/>
          <w:szCs w:val="21"/>
          <w:highlight w:val="none"/>
        </w:rPr>
      </w:pPr>
      <w:r>
        <w:rPr>
          <w:rFonts w:hint="eastAsia" w:ascii="Times New Roman" w:hAnsi="Times New Roman"/>
          <w:color w:val="auto"/>
          <w:szCs w:val="21"/>
          <w:highlight w:val="none"/>
        </w:rPr>
        <w:t>缺陷责任期内承包人为缺陷修复工作需要，有权进入工程现场，但应遵守发包人的保安和保密规定。</w:t>
      </w:r>
    </w:p>
    <w:p w14:paraId="080E8DD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19.6 </w:t>
      </w:r>
      <w:r>
        <w:rPr>
          <w:rFonts w:hint="eastAsia" w:ascii="Times New Roman" w:hAnsi="Times New Roman" w:eastAsia="黑体"/>
          <w:bCs/>
          <w:color w:val="auto"/>
          <w:kern w:val="44"/>
          <w:szCs w:val="21"/>
          <w:highlight w:val="none"/>
          <w:lang w:val="zh-CN"/>
        </w:rPr>
        <w:t>缺陷责任期终止证书</w:t>
      </w:r>
    </w:p>
    <w:p w14:paraId="31F5B5A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在第</w:t>
      </w:r>
      <w:r>
        <w:rPr>
          <w:rFonts w:ascii="Times New Roman" w:hAnsi="Times New Roman"/>
          <w:color w:val="auto"/>
          <w:szCs w:val="21"/>
          <w:highlight w:val="none"/>
        </w:rPr>
        <w:t>1.1.4.5</w:t>
      </w:r>
      <w:r>
        <w:rPr>
          <w:rFonts w:hint="eastAsia" w:ascii="Times New Roman" w:hAnsi="Times New Roman"/>
          <w:color w:val="auto"/>
          <w:szCs w:val="21"/>
          <w:highlight w:val="none"/>
        </w:rPr>
        <w:t>目约定的缺陷责任期，包括根据第</w:t>
      </w:r>
      <w:r>
        <w:rPr>
          <w:rFonts w:ascii="Times New Roman" w:hAnsi="Times New Roman"/>
          <w:color w:val="auto"/>
          <w:szCs w:val="21"/>
          <w:highlight w:val="none"/>
        </w:rPr>
        <w:t>19.3</w:t>
      </w:r>
      <w:r>
        <w:rPr>
          <w:rFonts w:hint="eastAsia" w:ascii="Times New Roman" w:hAnsi="Times New Roman"/>
          <w:color w:val="auto"/>
          <w:szCs w:val="21"/>
          <w:highlight w:val="none"/>
        </w:rPr>
        <w:t>款延长的期限终止后</w:t>
      </w:r>
      <w:r>
        <w:rPr>
          <w:rFonts w:ascii="Times New Roman" w:hAnsi="Times New Roman"/>
          <w:color w:val="auto"/>
          <w:szCs w:val="21"/>
          <w:highlight w:val="none"/>
        </w:rPr>
        <w:t>14</w:t>
      </w:r>
      <w:r>
        <w:rPr>
          <w:rFonts w:hint="eastAsia" w:ascii="Times New Roman" w:hAnsi="Times New Roman"/>
          <w:color w:val="auto"/>
          <w:szCs w:val="21"/>
          <w:highlight w:val="none"/>
        </w:rPr>
        <w:t>天内，由监理人向承包人出具经发包人签认的缺陷责任期终止证书，并退还剩余的质量保证金。</w:t>
      </w:r>
    </w:p>
    <w:p w14:paraId="7899E1D9">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19.7 </w:t>
      </w:r>
      <w:r>
        <w:rPr>
          <w:rFonts w:hint="eastAsia" w:ascii="Times New Roman" w:hAnsi="Times New Roman" w:eastAsia="黑体"/>
          <w:bCs/>
          <w:color w:val="auto"/>
          <w:kern w:val="44"/>
          <w:szCs w:val="21"/>
          <w:highlight w:val="none"/>
          <w:lang w:val="zh-CN"/>
        </w:rPr>
        <w:t>保修责任</w:t>
      </w:r>
    </w:p>
    <w:p w14:paraId="0C7B2B03">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合同当事人根据有关法律规定，在专用合同条款中约定工程质量保修范围、期限和责任。保修期自实际竣工日期起计算。在全部工程竣工验收前，已经发包人提前验收的单位工程，其保修期的起算日期相应提前。</w:t>
      </w:r>
    </w:p>
    <w:p w14:paraId="50B23A2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6" w:name="_Toc18267"/>
      <w:r>
        <w:rPr>
          <w:rFonts w:ascii="Times New Roman" w:hAnsi="Times New Roman" w:eastAsia="黑体"/>
          <w:bCs/>
          <w:color w:val="auto"/>
          <w:kern w:val="44"/>
          <w:szCs w:val="21"/>
          <w:highlight w:val="none"/>
          <w:lang w:val="zh-CN"/>
        </w:rPr>
        <w:t xml:space="preserve">20. </w:t>
      </w:r>
      <w:r>
        <w:rPr>
          <w:rFonts w:hint="eastAsia" w:ascii="Times New Roman" w:hAnsi="Times New Roman" w:eastAsia="黑体"/>
          <w:bCs/>
          <w:color w:val="auto"/>
          <w:kern w:val="44"/>
          <w:szCs w:val="21"/>
          <w:highlight w:val="none"/>
          <w:lang w:val="zh-CN"/>
        </w:rPr>
        <w:t>保险</w:t>
      </w:r>
      <w:bookmarkEnd w:id="126"/>
    </w:p>
    <w:p w14:paraId="6565E803">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20.1</w:t>
      </w:r>
      <w:r>
        <w:rPr>
          <w:rFonts w:hint="eastAsia" w:ascii="Times New Roman" w:hAnsi="Times New Roman" w:eastAsia="黑体"/>
          <w:bCs/>
          <w:color w:val="auto"/>
          <w:kern w:val="44"/>
          <w:szCs w:val="21"/>
          <w:highlight w:val="none"/>
          <w:lang w:val="zh-CN"/>
        </w:rPr>
        <w:t>工程保险</w:t>
      </w:r>
    </w:p>
    <w:p w14:paraId="4D9470D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承包人应以发包人和承包人的共同名义向双方同意的保险人投保建筑工程一切险、安装工程一切险。其具体的投保内容、保险金额、保险费率、保险期限等有关内容在专用合同条款中约定。</w:t>
      </w:r>
    </w:p>
    <w:p w14:paraId="7DB52304">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20.2</w:t>
      </w:r>
      <w:r>
        <w:rPr>
          <w:rFonts w:hint="eastAsia" w:ascii="Times New Roman" w:hAnsi="Times New Roman" w:eastAsia="黑体"/>
          <w:bCs/>
          <w:color w:val="auto"/>
          <w:kern w:val="44"/>
          <w:szCs w:val="21"/>
          <w:highlight w:val="none"/>
          <w:lang w:val="zh-CN"/>
        </w:rPr>
        <w:t>人员工伤事故的保险</w:t>
      </w:r>
    </w:p>
    <w:p w14:paraId="054566B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20.2.1 </w:t>
      </w:r>
      <w:r>
        <w:rPr>
          <w:rFonts w:hint="eastAsia" w:ascii="Times New Roman" w:hAnsi="Times New Roman" w:eastAsia="黑体"/>
          <w:color w:val="auto"/>
          <w:szCs w:val="21"/>
          <w:highlight w:val="none"/>
        </w:rPr>
        <w:t>承包人员工伤事故的保险</w:t>
      </w:r>
    </w:p>
    <w:p w14:paraId="2620B63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承包人应依照有关法律规定参加工伤保险，为其履行合同所雇用的全部人员，缴纳工伤保险费，并要求其分包人也进行此项保险。</w:t>
      </w:r>
    </w:p>
    <w:p w14:paraId="5643613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20.2.2</w:t>
      </w:r>
      <w:r>
        <w:rPr>
          <w:rFonts w:hint="eastAsia" w:ascii="Times New Roman" w:hAnsi="Times New Roman" w:eastAsia="黑体"/>
          <w:color w:val="auto"/>
          <w:szCs w:val="21"/>
          <w:highlight w:val="none"/>
        </w:rPr>
        <w:t>发包人员工伤事故的保险</w:t>
      </w:r>
    </w:p>
    <w:p w14:paraId="5FD968C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发包人应依照有关法律规定参加工伤保险，为其现场机构雇用的全部人员，缴纳工伤保险费，并要求其监理人也进行此项保险。</w:t>
      </w:r>
    </w:p>
    <w:p w14:paraId="371BB51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20.3 </w:t>
      </w:r>
      <w:r>
        <w:rPr>
          <w:rFonts w:hint="eastAsia" w:ascii="Times New Roman" w:hAnsi="Times New Roman" w:eastAsia="黑体"/>
          <w:bCs/>
          <w:color w:val="auto"/>
          <w:kern w:val="44"/>
          <w:szCs w:val="21"/>
          <w:highlight w:val="none"/>
          <w:lang w:val="zh-CN"/>
        </w:rPr>
        <w:t>人身意外伤害险</w:t>
      </w:r>
    </w:p>
    <w:p w14:paraId="4BBE231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20.3.1</w:t>
      </w:r>
      <w:r>
        <w:rPr>
          <w:rFonts w:hint="eastAsia" w:ascii="Times New Roman" w:hAnsi="Times New Roman"/>
          <w:color w:val="auto"/>
          <w:szCs w:val="21"/>
          <w:highlight w:val="none"/>
        </w:rPr>
        <w:t>发包人应在整个施工期间为其现场机构雇用的全部人员，投保人身意外伤害险，缴纳保险费，并要求其监理人也进行此项保险。</w:t>
      </w:r>
    </w:p>
    <w:p w14:paraId="7A2D6376">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20.3.2 </w:t>
      </w:r>
      <w:r>
        <w:rPr>
          <w:rFonts w:hint="eastAsia" w:ascii="Times New Roman" w:hAnsi="Times New Roman"/>
          <w:color w:val="auto"/>
          <w:szCs w:val="21"/>
          <w:highlight w:val="none"/>
        </w:rPr>
        <w:t>承包人应在整个施工期间为其现场机构雇用的全部人员，投保人身意外伤害险，缴纳保险费，并要求其分包人也进行此项保险。</w:t>
      </w:r>
    </w:p>
    <w:p w14:paraId="640D1D12">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7" w:name="_Toc7931"/>
      <w:r>
        <w:rPr>
          <w:rFonts w:ascii="Times New Roman" w:hAnsi="Times New Roman" w:eastAsia="黑体"/>
          <w:bCs/>
          <w:color w:val="auto"/>
          <w:kern w:val="44"/>
          <w:szCs w:val="21"/>
          <w:highlight w:val="none"/>
          <w:lang w:val="zh-CN"/>
        </w:rPr>
        <w:t xml:space="preserve">21. </w:t>
      </w:r>
      <w:r>
        <w:rPr>
          <w:rFonts w:hint="eastAsia" w:ascii="Times New Roman" w:hAnsi="Times New Roman" w:eastAsia="黑体"/>
          <w:bCs/>
          <w:color w:val="auto"/>
          <w:kern w:val="44"/>
          <w:szCs w:val="21"/>
          <w:highlight w:val="none"/>
          <w:lang w:val="zh-CN"/>
        </w:rPr>
        <w:t>不可抗力</w:t>
      </w:r>
      <w:bookmarkEnd w:id="127"/>
    </w:p>
    <w:p w14:paraId="5C336B68">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21.1 </w:t>
      </w:r>
      <w:r>
        <w:rPr>
          <w:rFonts w:hint="eastAsia" w:ascii="Times New Roman" w:hAnsi="Times New Roman" w:eastAsia="黑体"/>
          <w:bCs/>
          <w:color w:val="auto"/>
          <w:kern w:val="44"/>
          <w:szCs w:val="21"/>
          <w:highlight w:val="none"/>
          <w:lang w:val="zh-CN"/>
        </w:rPr>
        <w:t>不可抗力的确认</w:t>
      </w:r>
    </w:p>
    <w:p w14:paraId="695B17E0">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21.1.1 </w:t>
      </w:r>
      <w:r>
        <w:rPr>
          <w:rFonts w:hint="eastAsia" w:ascii="Times New Roman" w:hAnsi="Times New Roman"/>
          <w:color w:val="auto"/>
          <w:szCs w:val="21"/>
          <w:highlight w:val="none"/>
        </w:rPr>
        <w:t>不可抗力是指承包人和发包人在订立合同时不可预见，在工程施工过程中不可避免发生并不能克服的自然灾害和社会性突发事件，如地震、海啸、瘟疫、水灾、骚乱、暴动、战争和专用合同条款约定的其他情形。</w:t>
      </w:r>
    </w:p>
    <w:p w14:paraId="7296B09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21.1.2 </w:t>
      </w:r>
      <w:r>
        <w:rPr>
          <w:rFonts w:hint="eastAsia" w:ascii="Times New Roman" w:hAnsi="Times New Roman"/>
          <w:color w:val="auto"/>
          <w:szCs w:val="21"/>
          <w:highlight w:val="none"/>
        </w:rPr>
        <w:t>不可抗力发生后，发包人和承包人应及时认真统计所造成的损失，收集不可抗力造成损失的证据。合同双方对是否属于不可抗力或其损失的意见不一致的，由监理人按第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款商定或确定。发生争议时，按第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186C88EB">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21.2 </w:t>
      </w:r>
      <w:r>
        <w:rPr>
          <w:rFonts w:hint="eastAsia" w:ascii="Times New Roman" w:hAnsi="Times New Roman" w:eastAsia="黑体"/>
          <w:bCs/>
          <w:color w:val="auto"/>
          <w:kern w:val="44"/>
          <w:szCs w:val="21"/>
          <w:highlight w:val="none"/>
          <w:lang w:val="zh-CN"/>
        </w:rPr>
        <w:t>不可抗力的通知</w:t>
      </w:r>
    </w:p>
    <w:p w14:paraId="57972CB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21.2.1 </w:t>
      </w:r>
      <w:r>
        <w:rPr>
          <w:rFonts w:hint="eastAsia" w:ascii="Times New Roman" w:hAnsi="Times New Roman"/>
          <w:color w:val="auto"/>
          <w:szCs w:val="21"/>
          <w:highlight w:val="none"/>
        </w:rPr>
        <w:t>合同一方当事人遇到不可抗力事件，使其履行合同义务受到阻碍时，应立即通知合同另一方当事人和监理人，书面说明不可抗力和受阻碍的详细情况，并提供必要的证明。</w:t>
      </w:r>
    </w:p>
    <w:p w14:paraId="76318CA3">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21.2.2 </w:t>
      </w:r>
      <w:r>
        <w:rPr>
          <w:rFonts w:hint="eastAsia" w:ascii="Times New Roman" w:hAnsi="Times New Roman"/>
          <w:color w:val="auto"/>
          <w:szCs w:val="21"/>
          <w:highlight w:val="none"/>
        </w:rPr>
        <w:t>如不可抗力持续发生，合同一方当事人应及时向合同另一方当事人和监理人提交中间报告，说明不可抗力和履行合同受阻的情况，并于不可抗力事件结束后</w:t>
      </w:r>
      <w:r>
        <w:rPr>
          <w:rFonts w:ascii="Times New Roman" w:hAnsi="Times New Roman"/>
          <w:color w:val="auto"/>
          <w:szCs w:val="21"/>
          <w:highlight w:val="none"/>
        </w:rPr>
        <w:t>28</w:t>
      </w:r>
      <w:r>
        <w:rPr>
          <w:rFonts w:hint="eastAsia" w:ascii="Times New Roman" w:hAnsi="Times New Roman"/>
          <w:color w:val="auto"/>
          <w:szCs w:val="21"/>
          <w:highlight w:val="none"/>
        </w:rPr>
        <w:t>天内提交最终报告及有关资料。</w:t>
      </w:r>
    </w:p>
    <w:p w14:paraId="5749C8E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21.3 </w:t>
      </w:r>
      <w:r>
        <w:rPr>
          <w:rFonts w:hint="eastAsia" w:ascii="Times New Roman" w:hAnsi="Times New Roman" w:eastAsia="黑体"/>
          <w:bCs/>
          <w:color w:val="auto"/>
          <w:kern w:val="44"/>
          <w:szCs w:val="21"/>
          <w:highlight w:val="none"/>
          <w:lang w:val="zh-CN"/>
        </w:rPr>
        <w:t>不可抗力后果及其处理</w:t>
      </w:r>
    </w:p>
    <w:p w14:paraId="690F99B5">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21.3.1 </w:t>
      </w:r>
      <w:r>
        <w:rPr>
          <w:rFonts w:hint="eastAsia" w:ascii="Times New Roman" w:hAnsi="Times New Roman" w:eastAsia="黑体"/>
          <w:color w:val="auto"/>
          <w:szCs w:val="21"/>
          <w:highlight w:val="none"/>
        </w:rPr>
        <w:t>不可抗力造成损害的责任</w:t>
      </w:r>
    </w:p>
    <w:p w14:paraId="18EC565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除专用合同条款另有约定外，不可抗力导致的人员伤亡、财产损失、费用增加和（或）工期延误等后果，由合同双方按以下原则承担：</w:t>
      </w:r>
    </w:p>
    <w:p w14:paraId="627D848C">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）永久工程，包括已运至施工场地的材料和工程设备的损害，以及因工程损害造成的第三者人员伤亡和财产损失由发包人承担；</w:t>
      </w:r>
    </w:p>
    <w:p w14:paraId="692DC886">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）承包人设备的损坏由承包人承担；</w:t>
      </w:r>
    </w:p>
    <w:p w14:paraId="0C2F97E4">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）发包人和承包人各自承担其人员伤亡和其他财产损失及其相关费用；</w:t>
      </w:r>
    </w:p>
    <w:p w14:paraId="4E906970">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）承包人的停工损失由承包人承担，但停工期间应监理人要求照管工程和清理、修复工程的金额由发包人承担；</w:t>
      </w:r>
    </w:p>
    <w:p w14:paraId="0E59E4DE">
      <w:pPr>
        <w:pStyle w:val="54"/>
        <w:spacing w:line="400" w:lineRule="atLeast"/>
        <w:rPr>
          <w:rFonts w:ascii="Times New Roman" w:hAnsi="Times New Roman"/>
          <w:color w:val="auto"/>
          <w:szCs w:val="21"/>
          <w:highlight w:val="none"/>
        </w:rPr>
      </w:pPr>
      <w:r>
        <w:rPr>
          <w:rFonts w:ascii="Times New Roman" w:hAnsi="Times New Roman"/>
          <w:color w:val="auto"/>
          <w:szCs w:val="21"/>
          <w:highlight w:val="none"/>
        </w:rPr>
        <w:t xml:space="preserve">      </w:t>
      </w: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）不能按期竣工的，应合理延长工期，承包人不需支付逾期竣工违约金。发包人要求赶工的，承包人应采取赶工措施，赶工费用由发包人承担。</w:t>
      </w:r>
    </w:p>
    <w:p w14:paraId="4EEBB6B6">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21.3.2 </w:t>
      </w:r>
      <w:r>
        <w:rPr>
          <w:rFonts w:hint="eastAsia" w:ascii="Times New Roman" w:hAnsi="Times New Roman" w:eastAsia="黑体"/>
          <w:color w:val="auto"/>
          <w:szCs w:val="21"/>
          <w:highlight w:val="none"/>
        </w:rPr>
        <w:t>延迟履行期间发生的不可抗力</w:t>
      </w:r>
    </w:p>
    <w:p w14:paraId="1AC1FEF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合同一方当事人延迟履行，在延迟履行期间发生不可抗力的，不免除其责任。</w:t>
      </w:r>
    </w:p>
    <w:p w14:paraId="71BDED8F">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21.3.3 </w:t>
      </w:r>
      <w:r>
        <w:rPr>
          <w:rFonts w:hint="eastAsia" w:ascii="Times New Roman" w:hAnsi="Times New Roman" w:eastAsia="黑体"/>
          <w:color w:val="auto"/>
          <w:szCs w:val="21"/>
          <w:highlight w:val="none"/>
        </w:rPr>
        <w:t>避免和减少不可抗力损失</w:t>
      </w:r>
    </w:p>
    <w:p w14:paraId="471B002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不可抗力发生后，发包人和承包人均应采取措施尽量避免和减少损失的扩大，任何一方没有采取有效措施导致损失扩大的，应对扩大的损失承担责任。</w:t>
      </w:r>
    </w:p>
    <w:p w14:paraId="71EEC005">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21.3.4 </w:t>
      </w:r>
      <w:r>
        <w:rPr>
          <w:rFonts w:hint="eastAsia" w:ascii="Times New Roman" w:hAnsi="Times New Roman" w:eastAsia="黑体"/>
          <w:color w:val="auto"/>
          <w:szCs w:val="21"/>
          <w:highlight w:val="none"/>
        </w:rPr>
        <w:t>因不可抗力解除合同</w:t>
      </w:r>
    </w:p>
    <w:p w14:paraId="6757323D">
      <w:pPr>
        <w:pStyle w:val="54"/>
        <w:spacing w:line="400" w:lineRule="atLeast"/>
        <w:ind w:firstLine="420" w:firstLineChars="200"/>
        <w:rPr>
          <w:rFonts w:hint="eastAsia" w:ascii="Times New Roman" w:hAnsi="Times New Roman"/>
          <w:color w:val="auto"/>
          <w:szCs w:val="21"/>
          <w:highlight w:val="none"/>
        </w:rPr>
      </w:pPr>
      <w:r>
        <w:rPr>
          <w:rFonts w:hint="eastAsia" w:ascii="Times New Roman" w:hAnsi="Times New Roman"/>
          <w:color w:val="auto"/>
          <w:szCs w:val="21"/>
          <w:highlight w:val="none"/>
        </w:rPr>
        <w:t>合同一方当事人因不可抗力不能履行合同的，应当及时通知对方解除合同。合同解除后，承包人应按照第</w:t>
      </w:r>
      <w:r>
        <w:rPr>
          <w:rFonts w:ascii="Times New Roman" w:hAnsi="Times New Roman"/>
          <w:color w:val="auto"/>
          <w:szCs w:val="21"/>
          <w:highlight w:val="none"/>
        </w:rPr>
        <w:t>22.2.5</w:t>
      </w:r>
      <w:r>
        <w:rPr>
          <w:rFonts w:hint="eastAsia" w:ascii="Times New Roman" w:hAnsi="Times New Roman"/>
          <w:color w:val="auto"/>
          <w:szCs w:val="21"/>
          <w:highlight w:val="none"/>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Times New Roman" w:hAnsi="Times New Roman"/>
          <w:color w:val="auto"/>
          <w:szCs w:val="21"/>
          <w:highlight w:val="none"/>
        </w:rPr>
        <w:t>22.2.4</w:t>
      </w:r>
      <w:r>
        <w:rPr>
          <w:rFonts w:hint="eastAsia" w:ascii="Times New Roman" w:hAnsi="Times New Roman"/>
          <w:color w:val="auto"/>
          <w:szCs w:val="21"/>
          <w:highlight w:val="none"/>
        </w:rPr>
        <w:t>项约定，由监理人按第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w:t>
      </w:r>
      <w:bookmarkStart w:id="128" w:name="_Toc3398"/>
    </w:p>
    <w:p w14:paraId="6826C378">
      <w:pPr>
        <w:pStyle w:val="54"/>
        <w:spacing w:line="400" w:lineRule="atLeast"/>
        <w:ind w:firstLine="420" w:firstLineChars="200"/>
        <w:rPr>
          <w:rFonts w:ascii="Times New Roman" w:hAnsi="Times New Roman"/>
          <w:color w:val="auto"/>
          <w:szCs w:val="21"/>
          <w:highlight w:val="none"/>
        </w:rPr>
      </w:pPr>
      <w:r>
        <w:rPr>
          <w:rFonts w:ascii="Times New Roman" w:hAnsi="Times New Roman" w:eastAsia="黑体"/>
          <w:bCs/>
          <w:color w:val="auto"/>
          <w:kern w:val="44"/>
          <w:szCs w:val="21"/>
          <w:highlight w:val="none"/>
          <w:lang w:val="zh-CN"/>
        </w:rPr>
        <w:t xml:space="preserve">22. </w:t>
      </w:r>
      <w:r>
        <w:rPr>
          <w:rFonts w:hint="eastAsia" w:ascii="Times New Roman" w:hAnsi="Times New Roman" w:eastAsia="黑体"/>
          <w:bCs/>
          <w:color w:val="auto"/>
          <w:kern w:val="44"/>
          <w:szCs w:val="21"/>
          <w:highlight w:val="none"/>
          <w:lang w:val="zh-CN"/>
        </w:rPr>
        <w:t>违约</w:t>
      </w:r>
      <w:bookmarkEnd w:id="128"/>
    </w:p>
    <w:p w14:paraId="1DBB8D1A">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22.1 </w:t>
      </w:r>
      <w:r>
        <w:rPr>
          <w:rFonts w:hint="eastAsia" w:ascii="Times New Roman" w:hAnsi="Times New Roman" w:eastAsia="黑体"/>
          <w:bCs/>
          <w:color w:val="auto"/>
          <w:kern w:val="44"/>
          <w:szCs w:val="21"/>
          <w:highlight w:val="none"/>
          <w:lang w:val="zh-CN"/>
        </w:rPr>
        <w:t>承包人违约</w:t>
      </w:r>
    </w:p>
    <w:p w14:paraId="0DDEB9E9">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22.1.1 </w:t>
      </w:r>
      <w:r>
        <w:rPr>
          <w:rFonts w:hint="eastAsia" w:ascii="Times New Roman" w:hAnsi="Times New Roman" w:eastAsia="黑体"/>
          <w:color w:val="auto"/>
          <w:szCs w:val="21"/>
          <w:highlight w:val="none"/>
        </w:rPr>
        <w:t>承包人违约的情形</w:t>
      </w:r>
    </w:p>
    <w:p w14:paraId="53BFEC2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在履行合同过程中发生的下列情况属承包人违约：</w:t>
      </w:r>
    </w:p>
    <w:p w14:paraId="564A54D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）承包人违反第</w:t>
      </w:r>
      <w:r>
        <w:rPr>
          <w:rFonts w:ascii="Times New Roman" w:hAnsi="Times New Roman"/>
          <w:color w:val="auto"/>
          <w:szCs w:val="21"/>
          <w:highlight w:val="none"/>
        </w:rPr>
        <w:t>1.8</w:t>
      </w:r>
      <w:r>
        <w:rPr>
          <w:rFonts w:hint="eastAsia" w:ascii="Times New Roman" w:hAnsi="Times New Roman"/>
          <w:color w:val="auto"/>
          <w:szCs w:val="21"/>
          <w:highlight w:val="none"/>
        </w:rPr>
        <w:t>款或第</w:t>
      </w:r>
      <w:r>
        <w:rPr>
          <w:rFonts w:ascii="Times New Roman" w:hAnsi="Times New Roman"/>
          <w:color w:val="auto"/>
          <w:szCs w:val="21"/>
          <w:highlight w:val="none"/>
        </w:rPr>
        <w:t>4.3</w:t>
      </w:r>
      <w:r>
        <w:rPr>
          <w:rFonts w:hint="eastAsia" w:ascii="Times New Roman" w:hAnsi="Times New Roman"/>
          <w:color w:val="auto"/>
          <w:szCs w:val="21"/>
          <w:highlight w:val="none"/>
        </w:rPr>
        <w:t>款的约定，私自将合同的全部或部分权利转让给其他人，或私自将合同的全部或部分义务转移给其他人；</w:t>
      </w:r>
    </w:p>
    <w:p w14:paraId="367EC42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）承包人违反第</w:t>
      </w:r>
      <w:r>
        <w:rPr>
          <w:rFonts w:ascii="Times New Roman" w:hAnsi="Times New Roman"/>
          <w:color w:val="auto"/>
          <w:szCs w:val="21"/>
          <w:highlight w:val="none"/>
        </w:rPr>
        <w:t>5.3</w:t>
      </w:r>
      <w:r>
        <w:rPr>
          <w:rFonts w:hint="eastAsia" w:ascii="Times New Roman" w:hAnsi="Times New Roman"/>
          <w:color w:val="auto"/>
          <w:szCs w:val="21"/>
          <w:highlight w:val="none"/>
        </w:rPr>
        <w:t>款或第</w:t>
      </w:r>
      <w:r>
        <w:rPr>
          <w:rFonts w:ascii="Times New Roman" w:hAnsi="Times New Roman"/>
          <w:color w:val="auto"/>
          <w:szCs w:val="21"/>
          <w:highlight w:val="none"/>
        </w:rPr>
        <w:t>6.4</w:t>
      </w:r>
      <w:r>
        <w:rPr>
          <w:rFonts w:hint="eastAsia" w:ascii="Times New Roman" w:hAnsi="Times New Roman"/>
          <w:color w:val="auto"/>
          <w:szCs w:val="21"/>
          <w:highlight w:val="none"/>
        </w:rPr>
        <w:t>款的约定，未经监理人批准，私自将已按合同约定进入施工场地的施工设备、临时设施或材料撤离施工场地；</w:t>
      </w:r>
    </w:p>
    <w:p w14:paraId="6F019E4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）承包人违反第</w:t>
      </w:r>
      <w:r>
        <w:rPr>
          <w:rFonts w:ascii="Times New Roman" w:hAnsi="Times New Roman"/>
          <w:color w:val="auto"/>
          <w:szCs w:val="21"/>
          <w:highlight w:val="none"/>
        </w:rPr>
        <w:t>5.4</w:t>
      </w:r>
      <w:r>
        <w:rPr>
          <w:rFonts w:hint="eastAsia" w:ascii="Times New Roman" w:hAnsi="Times New Roman"/>
          <w:color w:val="auto"/>
          <w:szCs w:val="21"/>
          <w:highlight w:val="none"/>
        </w:rPr>
        <w:t>款的约定使用了不合格材料或工程设备，工程质量达不到标准要求，又拒绝清除不合格工程；</w:t>
      </w:r>
    </w:p>
    <w:p w14:paraId="44FF159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）承包人未能按合同进度计划及时完成合同约定的工作，已造成或预期造成工期延误；</w:t>
      </w:r>
    </w:p>
    <w:p w14:paraId="52267B8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）承包人在缺陷责任期内，未能对工程接收证书所列的缺陷清单的内容或缺陷责任期内发生的缺陷进行修复，而又拒绝按监理人指示再进行修补；</w:t>
      </w:r>
    </w:p>
    <w:p w14:paraId="336C2E2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）承包人无法继续履行或明确表示不履行或实质上已停止履行合同；</w:t>
      </w:r>
    </w:p>
    <w:p w14:paraId="3CD6D13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7</w:t>
      </w:r>
      <w:r>
        <w:rPr>
          <w:rFonts w:hint="eastAsia" w:ascii="Times New Roman" w:hAnsi="Times New Roman"/>
          <w:color w:val="auto"/>
          <w:szCs w:val="21"/>
          <w:highlight w:val="none"/>
        </w:rPr>
        <w:t>）承包人不按合同约定履行义务的其他情况。</w:t>
      </w:r>
    </w:p>
    <w:p w14:paraId="66CAEA5C">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22.1.2 </w:t>
      </w:r>
      <w:r>
        <w:rPr>
          <w:rFonts w:hint="eastAsia" w:ascii="Times New Roman" w:hAnsi="Times New Roman" w:eastAsia="黑体"/>
          <w:color w:val="auto"/>
          <w:szCs w:val="21"/>
          <w:highlight w:val="none"/>
        </w:rPr>
        <w:t>对承包人违约的处理</w:t>
      </w:r>
    </w:p>
    <w:p w14:paraId="5931BD9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）承包人发生第</w:t>
      </w:r>
      <w:r>
        <w:rPr>
          <w:rFonts w:ascii="Times New Roman" w:hAnsi="Times New Roman"/>
          <w:color w:val="auto"/>
          <w:szCs w:val="21"/>
          <w:highlight w:val="none"/>
        </w:rPr>
        <w:t>22.1.1</w:t>
      </w: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）目约定的违约情况时，发包人可通知承包人立即解除合同，并按有关法律处理。</w:t>
      </w:r>
    </w:p>
    <w:p w14:paraId="2D27E17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）承包人发生除第</w:t>
      </w:r>
      <w:r>
        <w:rPr>
          <w:rFonts w:ascii="Times New Roman" w:hAnsi="Times New Roman"/>
          <w:color w:val="auto"/>
          <w:szCs w:val="21"/>
          <w:highlight w:val="none"/>
        </w:rPr>
        <w:t>22.1.1</w:t>
      </w: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）目约定以外的其他违约情况时，监理人可向承包人发出整改通知，要求其在指定的期限内改正。承包人应承担其违约所引起的费用增加和（或）工期延误。</w:t>
      </w:r>
    </w:p>
    <w:p w14:paraId="1920093D">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）经检查证明承包人已采取了有效措施纠正违约行为，具备复工条件的，可由监理人签发复工通知复工。</w:t>
      </w:r>
    </w:p>
    <w:p w14:paraId="384776F6">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22.1.3 </w:t>
      </w:r>
      <w:r>
        <w:rPr>
          <w:rFonts w:hint="eastAsia" w:ascii="Times New Roman" w:hAnsi="Times New Roman" w:eastAsia="黑体"/>
          <w:color w:val="auto"/>
          <w:szCs w:val="21"/>
          <w:highlight w:val="none"/>
        </w:rPr>
        <w:t>承包人违约解除合同</w:t>
      </w:r>
    </w:p>
    <w:p w14:paraId="6B5BAC7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监理人发出整改通知</w:t>
      </w:r>
      <w:r>
        <w:rPr>
          <w:rFonts w:ascii="Times New Roman" w:hAnsi="Times New Roman"/>
          <w:color w:val="auto"/>
          <w:szCs w:val="21"/>
          <w:highlight w:val="none"/>
        </w:rPr>
        <w:t>28</w:t>
      </w:r>
      <w:r>
        <w:rPr>
          <w:rFonts w:hint="eastAsia" w:ascii="Times New Roman" w:hAnsi="Times New Roman"/>
          <w:color w:val="auto"/>
          <w:szCs w:val="21"/>
          <w:highlight w:val="none"/>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14:paraId="1CFB69A8">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22.1.4 </w:t>
      </w:r>
      <w:r>
        <w:rPr>
          <w:rFonts w:hint="eastAsia" w:ascii="Times New Roman" w:hAnsi="Times New Roman" w:eastAsia="黑体"/>
          <w:color w:val="auto"/>
          <w:szCs w:val="21"/>
          <w:highlight w:val="none"/>
        </w:rPr>
        <w:t>合同解除后的估价、付款和结清</w:t>
      </w:r>
    </w:p>
    <w:p w14:paraId="4D2921D4">
      <w:pPr>
        <w:pStyle w:val="54"/>
        <w:tabs>
          <w:tab w:val="left" w:pos="54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）合同解除后，监理人按第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款商定或确定承包人实际完成工作的价值，以及承包人已提供的材料、施工设备、工程设备和临时工程等的价值。</w:t>
      </w:r>
      <w:r>
        <w:rPr>
          <w:rFonts w:ascii="Times New Roman" w:hAnsi="Times New Roman"/>
          <w:color w:val="auto"/>
          <w:szCs w:val="21"/>
          <w:highlight w:val="none"/>
        </w:rPr>
        <w:t xml:space="preserve"> </w:t>
      </w:r>
    </w:p>
    <w:p w14:paraId="6CE53BD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）合同解除后，发包人应暂停对承包人的一切付款，查清各项付款和已扣款金额，包括承包人应支付的违约金。</w:t>
      </w:r>
      <w:r>
        <w:rPr>
          <w:rFonts w:ascii="Times New Roman" w:hAnsi="Times New Roman"/>
          <w:color w:val="auto"/>
          <w:szCs w:val="21"/>
          <w:highlight w:val="none"/>
        </w:rPr>
        <w:t xml:space="preserve"> </w:t>
      </w:r>
    </w:p>
    <w:p w14:paraId="44733296">
      <w:pPr>
        <w:pStyle w:val="54"/>
        <w:tabs>
          <w:tab w:val="left" w:pos="72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）合同解除后，发包人应按第</w:t>
      </w:r>
      <w:r>
        <w:rPr>
          <w:rFonts w:ascii="Times New Roman" w:hAnsi="Times New Roman"/>
          <w:color w:val="auto"/>
          <w:szCs w:val="21"/>
          <w:highlight w:val="none"/>
        </w:rPr>
        <w:t>23.4</w:t>
      </w:r>
      <w:r>
        <w:rPr>
          <w:rFonts w:hint="eastAsia" w:ascii="Times New Roman" w:hAnsi="Times New Roman"/>
          <w:color w:val="auto"/>
          <w:szCs w:val="21"/>
          <w:highlight w:val="none"/>
        </w:rPr>
        <w:t>款的约定向承包人索赔由于解除合同给发包人造成的损失。</w:t>
      </w:r>
    </w:p>
    <w:p w14:paraId="240AA7A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）合同双方确认上述往来款项后，出具最终结清付款证书，结清全部合同款项。</w:t>
      </w:r>
    </w:p>
    <w:p w14:paraId="60D28FD8">
      <w:pPr>
        <w:pStyle w:val="54"/>
        <w:spacing w:line="400" w:lineRule="atLeast"/>
        <w:ind w:right="25" w:rightChars="12"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）发包人和承包人未能就解除合同后的结清达成一致而形成争议的，按第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7837CD33">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22.1.5 </w:t>
      </w:r>
      <w:r>
        <w:rPr>
          <w:rFonts w:hint="eastAsia" w:ascii="Times New Roman" w:hAnsi="Times New Roman" w:eastAsia="黑体"/>
          <w:color w:val="auto"/>
          <w:szCs w:val="21"/>
          <w:highlight w:val="none"/>
        </w:rPr>
        <w:t>协议利益的转让</w:t>
      </w:r>
    </w:p>
    <w:p w14:paraId="7365AED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因承包人违约解除合同的，发包人有权要求承包人将其为实施合同而签订的材料和设备的订货协议或任何服务协议利益转让给发包人，并在解除合同后的</w:t>
      </w:r>
      <w:r>
        <w:rPr>
          <w:rFonts w:ascii="Times New Roman" w:hAnsi="Times New Roman"/>
          <w:color w:val="auto"/>
          <w:szCs w:val="21"/>
          <w:highlight w:val="none"/>
        </w:rPr>
        <w:t>14</w:t>
      </w:r>
      <w:r>
        <w:rPr>
          <w:rFonts w:hint="eastAsia" w:ascii="Times New Roman" w:hAnsi="Times New Roman"/>
          <w:color w:val="auto"/>
          <w:szCs w:val="21"/>
          <w:highlight w:val="none"/>
        </w:rPr>
        <w:t>天内，依法办理转让手续。</w:t>
      </w:r>
      <w:r>
        <w:rPr>
          <w:rFonts w:ascii="Times New Roman" w:hAnsi="Times New Roman"/>
          <w:color w:val="auto"/>
          <w:szCs w:val="21"/>
          <w:highlight w:val="none"/>
        </w:rPr>
        <w:t xml:space="preserve"> </w:t>
      </w:r>
    </w:p>
    <w:p w14:paraId="71B2C96D">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22.1.6 </w:t>
      </w:r>
      <w:r>
        <w:rPr>
          <w:rFonts w:hint="eastAsia" w:ascii="Times New Roman" w:hAnsi="Times New Roman" w:eastAsia="黑体"/>
          <w:color w:val="auto"/>
          <w:szCs w:val="21"/>
          <w:highlight w:val="none"/>
        </w:rPr>
        <w:t>紧急情况下无能力或不愿进行抢救</w:t>
      </w:r>
    </w:p>
    <w:p w14:paraId="39F79EF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58791C32">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22.2 </w:t>
      </w:r>
      <w:r>
        <w:rPr>
          <w:rFonts w:hint="eastAsia" w:ascii="Times New Roman" w:hAnsi="Times New Roman" w:eastAsia="黑体"/>
          <w:bCs/>
          <w:color w:val="auto"/>
          <w:kern w:val="44"/>
          <w:szCs w:val="21"/>
          <w:highlight w:val="none"/>
          <w:lang w:val="zh-CN"/>
        </w:rPr>
        <w:t>发包人违约</w:t>
      </w:r>
    </w:p>
    <w:p w14:paraId="2520A16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22.2.1</w:t>
      </w:r>
      <w:r>
        <w:rPr>
          <w:rFonts w:hint="eastAsia" w:ascii="Times New Roman" w:hAnsi="Times New Roman" w:eastAsia="黑体"/>
          <w:color w:val="auto"/>
          <w:szCs w:val="21"/>
          <w:highlight w:val="none"/>
        </w:rPr>
        <w:t>发包人违约的情形</w:t>
      </w:r>
    </w:p>
    <w:p w14:paraId="6659E0C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在履行合同过程中发生的下列情形，属发包人违约：</w:t>
      </w:r>
    </w:p>
    <w:p w14:paraId="007FA8B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）发包人未能按合同约定支付预付款或合同价款，或拖延、拒绝批准付款申请和支付凭证，导致付款延误的；</w:t>
      </w:r>
      <w:r>
        <w:rPr>
          <w:rFonts w:ascii="Times New Roman" w:hAnsi="Times New Roman"/>
          <w:color w:val="auto"/>
          <w:szCs w:val="21"/>
          <w:highlight w:val="none"/>
        </w:rPr>
        <w:t xml:space="preserve"> </w:t>
      </w:r>
    </w:p>
    <w:p w14:paraId="1C49BDD5">
      <w:pPr>
        <w:pStyle w:val="54"/>
        <w:tabs>
          <w:tab w:val="left" w:pos="72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）发包人原因造成停工的；</w:t>
      </w:r>
    </w:p>
    <w:p w14:paraId="13FEB1D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）监理人无正当理由没有在约定期限内发出复工指示，导致承包人无法复工的；</w:t>
      </w:r>
    </w:p>
    <w:p w14:paraId="056868A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）发包人无法继续履行或明确表示不履行或实质上已停止履行合同的；</w:t>
      </w:r>
    </w:p>
    <w:p w14:paraId="0429613B">
      <w:pPr>
        <w:pStyle w:val="54"/>
        <w:tabs>
          <w:tab w:val="left" w:pos="72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）发包人不履行合同约定其他义务的。</w:t>
      </w:r>
    </w:p>
    <w:p w14:paraId="7ECF46BF">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color w:val="auto"/>
          <w:szCs w:val="21"/>
          <w:highlight w:val="none"/>
        </w:rPr>
        <w:t xml:space="preserve">22.2.2 </w:t>
      </w:r>
      <w:r>
        <w:rPr>
          <w:rFonts w:hint="eastAsia" w:ascii="Times New Roman" w:hAnsi="Times New Roman" w:eastAsia="黑体"/>
          <w:color w:val="auto"/>
          <w:szCs w:val="21"/>
          <w:highlight w:val="none"/>
        </w:rPr>
        <w:t>承包人有权暂停施工</w:t>
      </w:r>
    </w:p>
    <w:p w14:paraId="105DBBEF">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发包人发生除第</w:t>
      </w:r>
      <w:r>
        <w:rPr>
          <w:rFonts w:ascii="Times New Roman" w:hAnsi="Times New Roman"/>
          <w:color w:val="auto"/>
          <w:szCs w:val="21"/>
          <w:highlight w:val="none"/>
        </w:rPr>
        <w:t>22.2.1</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）目以外的违约情况时，承包人可向发包人发出通知，要求发包人采取有效措施纠正违约行为。发包人收到承包人通知后的</w:t>
      </w:r>
      <w:r>
        <w:rPr>
          <w:rFonts w:ascii="Times New Roman" w:hAnsi="Times New Roman"/>
          <w:color w:val="auto"/>
          <w:szCs w:val="21"/>
          <w:highlight w:val="none"/>
        </w:rPr>
        <w:t>28</w:t>
      </w:r>
      <w:r>
        <w:rPr>
          <w:rFonts w:hint="eastAsia" w:ascii="Times New Roman" w:hAnsi="Times New Roman"/>
          <w:color w:val="auto"/>
          <w:szCs w:val="21"/>
          <w:highlight w:val="none"/>
        </w:rPr>
        <w:t>天内仍不履行合同义务，承包人有权暂停施工，并通知监理人，发包人应承担由此增加的费用和（或）工期延误，并支付承包人合理利润。</w:t>
      </w:r>
    </w:p>
    <w:p w14:paraId="77EFEE1D">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 xml:space="preserve">22.2.3 </w:t>
      </w:r>
      <w:r>
        <w:rPr>
          <w:rFonts w:hint="eastAsia" w:ascii="Times New Roman" w:hAnsi="Times New Roman" w:eastAsia="黑体"/>
          <w:color w:val="auto"/>
          <w:szCs w:val="21"/>
          <w:highlight w:val="none"/>
        </w:rPr>
        <w:t>发包人违约解除合同</w:t>
      </w:r>
      <w:r>
        <w:rPr>
          <w:rFonts w:ascii="Times New Roman" w:hAnsi="Times New Roman"/>
          <w:color w:val="auto"/>
          <w:szCs w:val="21"/>
          <w:highlight w:val="none"/>
        </w:rPr>
        <w:t xml:space="preserve"> </w:t>
      </w:r>
    </w:p>
    <w:p w14:paraId="263BD42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）发生第</w:t>
      </w:r>
      <w:r>
        <w:rPr>
          <w:rFonts w:ascii="Times New Roman" w:hAnsi="Times New Roman"/>
          <w:color w:val="auto"/>
          <w:szCs w:val="21"/>
          <w:highlight w:val="none"/>
        </w:rPr>
        <w:t>22.2.1</w:t>
      </w: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）目的违约情况时，承包人可书面通知发包人解除合同。</w:t>
      </w:r>
      <w:r>
        <w:rPr>
          <w:rFonts w:ascii="Times New Roman" w:hAnsi="Times New Roman"/>
          <w:color w:val="auto"/>
          <w:szCs w:val="21"/>
          <w:highlight w:val="none"/>
        </w:rPr>
        <w:t xml:space="preserve">   </w:t>
      </w:r>
    </w:p>
    <w:p w14:paraId="458B0236">
      <w:pPr>
        <w:pStyle w:val="54"/>
        <w:tabs>
          <w:tab w:val="left" w:pos="720"/>
          <w:tab w:val="left" w:pos="900"/>
        </w:tabs>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）承包人按第</w:t>
      </w:r>
      <w:r>
        <w:rPr>
          <w:rFonts w:ascii="Times New Roman" w:hAnsi="Times New Roman"/>
          <w:color w:val="auto"/>
          <w:szCs w:val="21"/>
          <w:highlight w:val="none"/>
        </w:rPr>
        <w:t>22.2.2</w:t>
      </w:r>
      <w:r>
        <w:rPr>
          <w:rFonts w:hint="eastAsia" w:ascii="Times New Roman" w:hAnsi="Times New Roman"/>
          <w:color w:val="auto"/>
          <w:szCs w:val="21"/>
          <w:highlight w:val="none"/>
        </w:rPr>
        <w:t>项暂停施工</w:t>
      </w:r>
      <w:r>
        <w:rPr>
          <w:rFonts w:ascii="Times New Roman" w:hAnsi="Times New Roman"/>
          <w:color w:val="auto"/>
          <w:szCs w:val="21"/>
          <w:highlight w:val="none"/>
        </w:rPr>
        <w:t>28</w:t>
      </w:r>
      <w:r>
        <w:rPr>
          <w:rFonts w:hint="eastAsia" w:ascii="Times New Roman" w:hAnsi="Times New Roman"/>
          <w:color w:val="auto"/>
          <w:szCs w:val="21"/>
          <w:highlight w:val="none"/>
        </w:rPr>
        <w:t>天后，发包人仍不纠正违约行为的，承包人可向发包人发出解除合同通知。但承包人的这一行动不免除发包人承担的违约责任，也不影响承包人根据合同约定享有的索赔权利。</w:t>
      </w:r>
    </w:p>
    <w:p w14:paraId="08445E9E">
      <w:pPr>
        <w:pStyle w:val="54"/>
        <w:spacing w:line="400" w:lineRule="atLeast"/>
        <w:ind w:firstLine="411" w:firstLineChars="196"/>
        <w:rPr>
          <w:rFonts w:ascii="Times New Roman" w:hAnsi="Times New Roman"/>
          <w:color w:val="auto"/>
          <w:szCs w:val="21"/>
          <w:highlight w:val="none"/>
        </w:rPr>
      </w:pPr>
      <w:r>
        <w:rPr>
          <w:rFonts w:ascii="Times New Roman" w:hAnsi="Times New Roman"/>
          <w:color w:val="auto"/>
          <w:szCs w:val="21"/>
          <w:highlight w:val="none"/>
        </w:rPr>
        <w:t>22.2.4</w:t>
      </w:r>
      <w:r>
        <w:rPr>
          <w:rFonts w:ascii="Times New Roman" w:hAnsi="Times New Roman" w:eastAsia="黑体"/>
          <w:color w:val="auto"/>
          <w:szCs w:val="21"/>
          <w:highlight w:val="none"/>
        </w:rPr>
        <w:t xml:space="preserve"> </w:t>
      </w:r>
      <w:r>
        <w:rPr>
          <w:rFonts w:hint="eastAsia" w:ascii="Times New Roman" w:hAnsi="Times New Roman" w:eastAsia="黑体"/>
          <w:color w:val="auto"/>
          <w:szCs w:val="21"/>
          <w:highlight w:val="none"/>
        </w:rPr>
        <w:t>解除合同后的付款</w:t>
      </w:r>
    </w:p>
    <w:p w14:paraId="195FF9B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因发包人违约解除合同的，发包人应在解除合同后</w:t>
      </w:r>
      <w:r>
        <w:rPr>
          <w:rFonts w:ascii="Times New Roman" w:hAnsi="Times New Roman"/>
          <w:color w:val="auto"/>
          <w:szCs w:val="21"/>
          <w:highlight w:val="none"/>
        </w:rPr>
        <w:t>28</w:t>
      </w:r>
      <w:r>
        <w:rPr>
          <w:rFonts w:hint="eastAsia" w:ascii="Times New Roman" w:hAnsi="Times New Roman"/>
          <w:color w:val="auto"/>
          <w:szCs w:val="21"/>
          <w:highlight w:val="none"/>
        </w:rPr>
        <w:t>天内向承包人支付下列金额，承包人应在此期限内及时向发包人提交要求支付下列金额的有关资料和凭证：</w:t>
      </w:r>
    </w:p>
    <w:p w14:paraId="0E7766F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）合同解除日以前所完成工作的价款；</w:t>
      </w:r>
    </w:p>
    <w:p w14:paraId="37940316">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）承包人为该工程施工订购并已付款的材料、工程设备和其他物品的金额。发包人付还后，该材料、工程设备和其他物品归发包人所有；</w:t>
      </w:r>
    </w:p>
    <w:p w14:paraId="3BC402D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）承包人为完成工程所发生的，而发包人未支付的金额；</w:t>
      </w:r>
    </w:p>
    <w:p w14:paraId="79CA3348">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）承包人撤离施工场地以及遣散承包人人员的金额；</w:t>
      </w:r>
    </w:p>
    <w:p w14:paraId="4F6A4199">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5</w:t>
      </w:r>
      <w:r>
        <w:rPr>
          <w:rFonts w:hint="eastAsia" w:ascii="Times New Roman" w:hAnsi="Times New Roman"/>
          <w:color w:val="auto"/>
          <w:szCs w:val="21"/>
          <w:highlight w:val="none"/>
        </w:rPr>
        <w:t>）由于解除合同应赔偿的承包人损失；</w:t>
      </w:r>
    </w:p>
    <w:p w14:paraId="5661A60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6</w:t>
      </w:r>
      <w:r>
        <w:rPr>
          <w:rFonts w:hint="eastAsia" w:ascii="Times New Roman" w:hAnsi="Times New Roman"/>
          <w:color w:val="auto"/>
          <w:szCs w:val="21"/>
          <w:highlight w:val="none"/>
        </w:rPr>
        <w:t>）按合同约定在合同解除日前应支付给承包人的其他金额。</w:t>
      </w:r>
    </w:p>
    <w:p w14:paraId="2DFF358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发包人应按本项约定支付上述金额并退还质量保证金和履约担保，但有权要求承包人支付应偿还给发包人的各项金额。</w:t>
      </w:r>
    </w:p>
    <w:p w14:paraId="44CF3E16">
      <w:pPr>
        <w:pStyle w:val="54"/>
        <w:spacing w:line="400" w:lineRule="atLeast"/>
        <w:ind w:firstLine="411" w:firstLineChars="196"/>
        <w:rPr>
          <w:rFonts w:ascii="Times New Roman" w:hAnsi="Times New Roman" w:eastAsia="黑体"/>
          <w:color w:val="auto"/>
          <w:szCs w:val="21"/>
          <w:highlight w:val="none"/>
        </w:rPr>
      </w:pPr>
      <w:r>
        <w:rPr>
          <w:rFonts w:ascii="Times New Roman" w:hAnsi="Times New Roman" w:eastAsia="黑体"/>
          <w:color w:val="auto"/>
          <w:szCs w:val="21"/>
          <w:highlight w:val="none"/>
        </w:rPr>
        <w:t xml:space="preserve">22.2.5 </w:t>
      </w:r>
      <w:r>
        <w:rPr>
          <w:rFonts w:hint="eastAsia" w:ascii="Times New Roman" w:hAnsi="Times New Roman" w:eastAsia="黑体"/>
          <w:color w:val="auto"/>
          <w:szCs w:val="21"/>
          <w:highlight w:val="none"/>
        </w:rPr>
        <w:t>解除合同后的承包人撤离</w:t>
      </w:r>
    </w:p>
    <w:p w14:paraId="0E945C4C">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因发包人违约而解除合同后，承包人应妥善做好已竣工工程和已购材料、设备的保护和移交工作，按发包人要求将承包人设备和人员撤出施工场地。承包人撤出施工场地应遵守第</w:t>
      </w:r>
      <w:r>
        <w:rPr>
          <w:rFonts w:ascii="Times New Roman" w:hAnsi="Times New Roman"/>
          <w:color w:val="auto"/>
          <w:szCs w:val="21"/>
          <w:highlight w:val="none"/>
        </w:rPr>
        <w:t>18.7.1</w:t>
      </w:r>
      <w:r>
        <w:rPr>
          <w:rFonts w:hint="eastAsia" w:ascii="Times New Roman" w:hAnsi="Times New Roman"/>
          <w:color w:val="auto"/>
          <w:szCs w:val="21"/>
          <w:highlight w:val="none"/>
        </w:rPr>
        <w:t>项的约定，发包人应为承包人撤出提供必要条件。</w:t>
      </w:r>
    </w:p>
    <w:p w14:paraId="4C049C31">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22.3</w:t>
      </w:r>
      <w:r>
        <w:rPr>
          <w:rFonts w:hint="eastAsia" w:ascii="Times New Roman" w:hAnsi="Times New Roman" w:eastAsia="黑体"/>
          <w:bCs/>
          <w:color w:val="auto"/>
          <w:kern w:val="44"/>
          <w:szCs w:val="21"/>
          <w:highlight w:val="none"/>
          <w:lang w:val="zh-CN"/>
        </w:rPr>
        <w:t>第三人造成的违约</w:t>
      </w:r>
    </w:p>
    <w:p w14:paraId="0A40E5AE">
      <w:pPr>
        <w:pStyle w:val="54"/>
        <w:spacing w:line="400" w:lineRule="atLeast"/>
        <w:ind w:firstLine="390"/>
        <w:rPr>
          <w:rFonts w:ascii="Times New Roman" w:hAnsi="Times New Roman"/>
          <w:color w:val="auto"/>
          <w:szCs w:val="21"/>
          <w:highlight w:val="none"/>
        </w:rPr>
      </w:pPr>
      <w:r>
        <w:rPr>
          <w:rFonts w:hint="eastAsia" w:ascii="Times New Roman" w:hAnsi="Times New Roman"/>
          <w:color w:val="auto"/>
          <w:szCs w:val="21"/>
          <w:highlight w:val="none"/>
        </w:rPr>
        <w:t>在履行合同过程中，一方当事人因第三人的原因造成违约的，应当向对方当事人承担违约责任。一方当事人和第三人之间的纠纷，依照法律规定或者按照约定解决。</w:t>
      </w:r>
    </w:p>
    <w:p w14:paraId="0CB63596">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29" w:name="_Toc25553"/>
      <w:r>
        <w:rPr>
          <w:rFonts w:ascii="Times New Roman" w:hAnsi="Times New Roman" w:eastAsia="黑体"/>
          <w:bCs/>
          <w:color w:val="auto"/>
          <w:kern w:val="44"/>
          <w:szCs w:val="21"/>
          <w:highlight w:val="none"/>
          <w:lang w:val="zh-CN"/>
        </w:rPr>
        <w:t xml:space="preserve">23. </w:t>
      </w:r>
      <w:r>
        <w:rPr>
          <w:rFonts w:hint="eastAsia" w:ascii="Times New Roman" w:hAnsi="Times New Roman" w:eastAsia="黑体"/>
          <w:bCs/>
          <w:color w:val="auto"/>
          <w:kern w:val="44"/>
          <w:szCs w:val="21"/>
          <w:highlight w:val="none"/>
          <w:lang w:val="zh-CN"/>
        </w:rPr>
        <w:t>索赔</w:t>
      </w:r>
      <w:bookmarkEnd w:id="129"/>
    </w:p>
    <w:p w14:paraId="403DC747">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23.1 </w:t>
      </w:r>
      <w:r>
        <w:rPr>
          <w:rFonts w:hint="eastAsia" w:ascii="Times New Roman" w:hAnsi="Times New Roman" w:eastAsia="黑体"/>
          <w:bCs/>
          <w:color w:val="auto"/>
          <w:kern w:val="44"/>
          <w:szCs w:val="21"/>
          <w:highlight w:val="none"/>
          <w:lang w:val="zh-CN"/>
        </w:rPr>
        <w:t>承包人索赔的提出</w:t>
      </w:r>
    </w:p>
    <w:p w14:paraId="645B73F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根据合同约定，承包人认为有权得到追加付款和（或）延长工期的，应按以下程序向发包人提出索赔：</w:t>
      </w:r>
    </w:p>
    <w:p w14:paraId="75055AE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）承包人应在知道或应当知道索赔事件发生后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天内，向监理人递交索赔意向通知书，并说明发生索赔事件的事由。承包人未在前述</w:t>
      </w:r>
      <w:r>
        <w:rPr>
          <w:rFonts w:ascii="Times New Roman" w:hAnsi="Times New Roman"/>
          <w:color w:val="auto"/>
          <w:szCs w:val="21"/>
          <w:highlight w:val="none"/>
        </w:rPr>
        <w:t>28</w:t>
      </w:r>
      <w:r>
        <w:rPr>
          <w:rFonts w:hint="eastAsia" w:ascii="Times New Roman" w:hAnsi="Times New Roman"/>
          <w:color w:val="auto"/>
          <w:szCs w:val="21"/>
          <w:highlight w:val="none"/>
        </w:rPr>
        <w:t>天内发出索赔意向通知书的，丧失要求追加付款和（或）延长工期的权利；</w:t>
      </w:r>
    </w:p>
    <w:p w14:paraId="77C5F4E7">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）承包人应在发出索赔意向通知书后</w:t>
      </w:r>
      <w:r>
        <w:rPr>
          <w:rFonts w:ascii="Times New Roman" w:hAnsi="Times New Roman"/>
          <w:color w:val="auto"/>
          <w:szCs w:val="21"/>
          <w:highlight w:val="none"/>
        </w:rPr>
        <w:t>28</w:t>
      </w:r>
      <w:r>
        <w:rPr>
          <w:rFonts w:hint="eastAsia" w:ascii="Times New Roman" w:hAnsi="Times New Roman"/>
          <w:color w:val="auto"/>
          <w:szCs w:val="21"/>
          <w:highlight w:val="none"/>
        </w:rPr>
        <w:t>天内，向监理人正式递交索赔通知书。索赔通知书应详细说明索赔理由以及要求追加的付款金额和（或）延长的工期，并附必要的记录和证明材料；</w:t>
      </w:r>
    </w:p>
    <w:p w14:paraId="5054CA7C">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）索赔事件具有连续影响的，承包人应按合理时间间隔继续递交延续索赔通知，说明连续影响的实际情况和记录，列出累计的追加付款金额和（或）工期延长天数；</w:t>
      </w:r>
    </w:p>
    <w:p w14:paraId="293ABF4A">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4</w:t>
      </w:r>
      <w:r>
        <w:rPr>
          <w:rFonts w:hint="eastAsia" w:ascii="Times New Roman" w:hAnsi="Times New Roman"/>
          <w:color w:val="auto"/>
          <w:szCs w:val="21"/>
          <w:highlight w:val="none"/>
        </w:rPr>
        <w:t>）在索赔事件影响结束后的</w:t>
      </w:r>
      <w:r>
        <w:rPr>
          <w:rFonts w:ascii="Times New Roman" w:hAnsi="Times New Roman"/>
          <w:color w:val="auto"/>
          <w:szCs w:val="21"/>
          <w:highlight w:val="none"/>
        </w:rPr>
        <w:t>28</w:t>
      </w:r>
      <w:r>
        <w:rPr>
          <w:rFonts w:hint="eastAsia" w:ascii="Times New Roman" w:hAnsi="Times New Roman"/>
          <w:color w:val="auto"/>
          <w:szCs w:val="21"/>
          <w:highlight w:val="none"/>
        </w:rPr>
        <w:t>天内，承包人应向监理人递交最终索赔通知书，说明最终要求索赔的追加付款金额和延长的工期，并附必要的记录和证明材料。</w:t>
      </w:r>
    </w:p>
    <w:p w14:paraId="3A388C7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23.2 </w:t>
      </w:r>
      <w:r>
        <w:rPr>
          <w:rFonts w:hint="eastAsia" w:ascii="Times New Roman" w:hAnsi="Times New Roman" w:eastAsia="黑体"/>
          <w:bCs/>
          <w:color w:val="auto"/>
          <w:kern w:val="44"/>
          <w:szCs w:val="21"/>
          <w:highlight w:val="none"/>
          <w:lang w:val="zh-CN"/>
        </w:rPr>
        <w:t>承包人索赔处理程序</w:t>
      </w:r>
    </w:p>
    <w:p w14:paraId="3AFC053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）监理人收到承包人提交的索赔通知书后，应及时审查索赔通知书的内容、查验承包人的记录和证明材料，必要时监理人可要求承包人提交全部原始记录副本。</w:t>
      </w:r>
    </w:p>
    <w:p w14:paraId="6AAE1F8B">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）监理人应按第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款商定或确定追加的付款和（或）延长的工期，并在收到上述索赔通知书或有关索赔的进一步证明材料后的</w:t>
      </w:r>
      <w:r>
        <w:rPr>
          <w:rFonts w:ascii="Times New Roman" w:hAnsi="Times New Roman"/>
          <w:color w:val="auto"/>
          <w:szCs w:val="21"/>
          <w:highlight w:val="none"/>
        </w:rPr>
        <w:t>42</w:t>
      </w:r>
      <w:r>
        <w:rPr>
          <w:rFonts w:hint="eastAsia" w:ascii="Times New Roman" w:hAnsi="Times New Roman"/>
          <w:color w:val="auto"/>
          <w:szCs w:val="21"/>
          <w:highlight w:val="none"/>
        </w:rPr>
        <w:t>天内，将索赔处理结果答复承包人。</w:t>
      </w:r>
    </w:p>
    <w:p w14:paraId="3A0BA971">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3</w:t>
      </w:r>
      <w:r>
        <w:rPr>
          <w:rFonts w:hint="eastAsia" w:ascii="Times New Roman" w:hAnsi="Times New Roman"/>
          <w:color w:val="auto"/>
          <w:szCs w:val="21"/>
          <w:highlight w:val="none"/>
        </w:rPr>
        <w:t>）承包人接受索赔处理结果的，发包人应在作出索赔处理结果答复后</w:t>
      </w:r>
      <w:r>
        <w:rPr>
          <w:rFonts w:ascii="Times New Roman" w:hAnsi="Times New Roman"/>
          <w:color w:val="auto"/>
          <w:szCs w:val="21"/>
          <w:highlight w:val="none"/>
        </w:rPr>
        <w:t>28</w:t>
      </w:r>
      <w:r>
        <w:rPr>
          <w:rFonts w:hint="eastAsia" w:ascii="Times New Roman" w:hAnsi="Times New Roman"/>
          <w:color w:val="auto"/>
          <w:szCs w:val="21"/>
          <w:highlight w:val="none"/>
        </w:rPr>
        <w:t>天内完成赔付。承包人不接受索赔处理结果的，按第</w:t>
      </w:r>
      <w:r>
        <w:rPr>
          <w:rFonts w:ascii="Times New Roman" w:hAnsi="Times New Roman"/>
          <w:color w:val="auto"/>
          <w:szCs w:val="21"/>
          <w:highlight w:val="none"/>
        </w:rPr>
        <w:t>24</w:t>
      </w:r>
      <w:r>
        <w:rPr>
          <w:rFonts w:hint="eastAsia" w:ascii="Times New Roman" w:hAnsi="Times New Roman"/>
          <w:color w:val="auto"/>
          <w:szCs w:val="21"/>
          <w:highlight w:val="none"/>
        </w:rPr>
        <w:t>条的约定办理。</w:t>
      </w:r>
    </w:p>
    <w:p w14:paraId="06FB149C">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23.3 </w:t>
      </w:r>
      <w:r>
        <w:rPr>
          <w:rFonts w:hint="eastAsia" w:ascii="Times New Roman" w:hAnsi="Times New Roman" w:eastAsia="黑体"/>
          <w:bCs/>
          <w:color w:val="auto"/>
          <w:kern w:val="44"/>
          <w:szCs w:val="21"/>
          <w:highlight w:val="none"/>
          <w:lang w:val="zh-CN"/>
        </w:rPr>
        <w:t>承包人提出索赔的期限</w:t>
      </w:r>
    </w:p>
    <w:p w14:paraId="189B2AF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23.3.1 </w:t>
      </w:r>
      <w:r>
        <w:rPr>
          <w:rFonts w:hint="eastAsia" w:ascii="Times New Roman" w:hAnsi="Times New Roman"/>
          <w:color w:val="auto"/>
          <w:szCs w:val="21"/>
          <w:highlight w:val="none"/>
        </w:rPr>
        <w:t>承包人按第</w:t>
      </w:r>
      <w:r>
        <w:rPr>
          <w:rFonts w:ascii="Times New Roman" w:hAnsi="Times New Roman"/>
          <w:color w:val="auto"/>
          <w:szCs w:val="21"/>
          <w:highlight w:val="none"/>
        </w:rPr>
        <w:t>17.5</w:t>
      </w:r>
      <w:r>
        <w:rPr>
          <w:rFonts w:hint="eastAsia" w:ascii="Times New Roman" w:hAnsi="Times New Roman"/>
          <w:color w:val="auto"/>
          <w:szCs w:val="21"/>
          <w:highlight w:val="none"/>
        </w:rPr>
        <w:t>款的约定接受了竣工付款证书后，应被认为已无权再提出在合同工程接收证书颁发前所发生的任何索赔。</w:t>
      </w:r>
    </w:p>
    <w:p w14:paraId="59BD41FD">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23.3.2 </w:t>
      </w:r>
      <w:r>
        <w:rPr>
          <w:rFonts w:hint="eastAsia" w:ascii="Times New Roman" w:hAnsi="Times New Roman"/>
          <w:color w:val="auto"/>
          <w:szCs w:val="21"/>
          <w:highlight w:val="none"/>
        </w:rPr>
        <w:t>承包人按第</w:t>
      </w:r>
      <w:r>
        <w:rPr>
          <w:rFonts w:ascii="Times New Roman" w:hAnsi="Times New Roman"/>
          <w:color w:val="auto"/>
          <w:szCs w:val="21"/>
          <w:highlight w:val="none"/>
        </w:rPr>
        <w:t>17.6</w:t>
      </w:r>
      <w:r>
        <w:rPr>
          <w:rFonts w:hint="eastAsia" w:ascii="Times New Roman" w:hAnsi="Times New Roman"/>
          <w:color w:val="auto"/>
          <w:szCs w:val="21"/>
          <w:highlight w:val="none"/>
        </w:rPr>
        <w:t>款的约定提交的最终结清申请单中，只限于提出工程接收证书颁发后发生的索赔。提出索赔的期限自接受最终结清证书时终止。</w:t>
      </w:r>
    </w:p>
    <w:p w14:paraId="6564EBA5">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23.4 </w:t>
      </w:r>
      <w:r>
        <w:rPr>
          <w:rFonts w:hint="eastAsia" w:ascii="Times New Roman" w:hAnsi="Times New Roman" w:eastAsia="黑体"/>
          <w:bCs/>
          <w:color w:val="auto"/>
          <w:kern w:val="44"/>
          <w:szCs w:val="21"/>
          <w:highlight w:val="none"/>
          <w:lang w:val="zh-CN"/>
        </w:rPr>
        <w:t>发包人的索赔</w:t>
      </w:r>
      <w:r>
        <w:rPr>
          <w:rFonts w:ascii="Times New Roman" w:hAnsi="Times New Roman" w:eastAsia="黑体"/>
          <w:bCs/>
          <w:color w:val="auto"/>
          <w:kern w:val="44"/>
          <w:szCs w:val="21"/>
          <w:highlight w:val="none"/>
          <w:lang w:val="zh-CN"/>
        </w:rPr>
        <w:t xml:space="preserve">                            </w:t>
      </w:r>
    </w:p>
    <w:p w14:paraId="249DC73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23.4.1 </w:t>
      </w:r>
      <w:r>
        <w:rPr>
          <w:rFonts w:hint="eastAsia" w:ascii="Times New Roman" w:hAnsi="Times New Roman"/>
          <w:color w:val="auto"/>
          <w:szCs w:val="21"/>
          <w:highlight w:val="none"/>
        </w:rPr>
        <w:t>发生索赔事件后，监理人应及时书面通知承包人，详细说明发包人有权得到的索赔金额和（或）延长缺陷责任期的细节和依据。发包人提出索赔的期限和要求与第</w:t>
      </w:r>
      <w:r>
        <w:rPr>
          <w:rFonts w:ascii="Times New Roman" w:hAnsi="Times New Roman"/>
          <w:color w:val="auto"/>
          <w:szCs w:val="21"/>
          <w:highlight w:val="none"/>
        </w:rPr>
        <w:t>23.3</w:t>
      </w:r>
      <w:r>
        <w:rPr>
          <w:rFonts w:hint="eastAsia" w:ascii="Times New Roman" w:hAnsi="Times New Roman"/>
          <w:color w:val="auto"/>
          <w:szCs w:val="21"/>
          <w:highlight w:val="none"/>
        </w:rPr>
        <w:t>款的约定相同，延长缺陷责任期的通知应在缺陷责任期届满前发出。</w:t>
      </w:r>
    </w:p>
    <w:p w14:paraId="5369091B">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23.4.2 </w:t>
      </w:r>
      <w:r>
        <w:rPr>
          <w:rFonts w:hint="eastAsia" w:ascii="Times New Roman" w:hAnsi="Times New Roman"/>
          <w:color w:val="auto"/>
          <w:szCs w:val="21"/>
          <w:highlight w:val="none"/>
        </w:rPr>
        <w:t>监理人按第</w:t>
      </w:r>
      <w:r>
        <w:rPr>
          <w:rFonts w:ascii="Times New Roman" w:hAnsi="Times New Roman"/>
          <w:color w:val="auto"/>
          <w:szCs w:val="21"/>
          <w:highlight w:val="none"/>
        </w:rPr>
        <w:t>3.5</w:t>
      </w:r>
      <w:r>
        <w:rPr>
          <w:rFonts w:hint="eastAsia" w:ascii="Times New Roman" w:hAnsi="Times New Roman"/>
          <w:color w:val="auto"/>
          <w:szCs w:val="21"/>
          <w:highlight w:val="none"/>
        </w:rPr>
        <w:t>款商定或确定发包人从承包人处得到赔付的金额和（或）缺陷责任期的延长期。承包人应付给发包人的金额可从拟支付给承包人的合同价款中扣除，或由承包人以其他方式支付给发包人。</w:t>
      </w:r>
    </w:p>
    <w:p w14:paraId="50D207DD">
      <w:pPr>
        <w:pStyle w:val="54"/>
        <w:keepNext/>
        <w:keepLines/>
        <w:spacing w:before="480" w:after="240" w:line="380" w:lineRule="atLeast"/>
        <w:outlineLvl w:val="2"/>
        <w:rPr>
          <w:rFonts w:ascii="Times New Roman" w:hAnsi="Times New Roman" w:eastAsia="黑体"/>
          <w:bCs/>
          <w:color w:val="auto"/>
          <w:kern w:val="44"/>
          <w:szCs w:val="21"/>
          <w:highlight w:val="none"/>
          <w:lang w:val="zh-CN"/>
        </w:rPr>
      </w:pPr>
      <w:bookmarkStart w:id="130" w:name="_Toc14616"/>
      <w:r>
        <w:rPr>
          <w:rFonts w:ascii="Times New Roman" w:hAnsi="Times New Roman" w:eastAsia="黑体"/>
          <w:bCs/>
          <w:color w:val="auto"/>
          <w:kern w:val="44"/>
          <w:szCs w:val="21"/>
          <w:highlight w:val="none"/>
          <w:lang w:val="zh-CN"/>
        </w:rPr>
        <w:t xml:space="preserve">24. </w:t>
      </w:r>
      <w:r>
        <w:rPr>
          <w:rFonts w:hint="eastAsia" w:ascii="Times New Roman" w:hAnsi="Times New Roman" w:eastAsia="黑体"/>
          <w:bCs/>
          <w:color w:val="auto"/>
          <w:kern w:val="44"/>
          <w:szCs w:val="21"/>
          <w:highlight w:val="none"/>
          <w:lang w:val="zh-CN"/>
        </w:rPr>
        <w:t>争议的解决</w:t>
      </w:r>
      <w:bookmarkEnd w:id="130"/>
    </w:p>
    <w:p w14:paraId="4E207F93">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24.1 </w:t>
      </w:r>
      <w:r>
        <w:rPr>
          <w:rFonts w:hint="eastAsia" w:ascii="Times New Roman" w:hAnsi="Times New Roman" w:eastAsia="黑体"/>
          <w:bCs/>
          <w:color w:val="auto"/>
          <w:kern w:val="44"/>
          <w:szCs w:val="21"/>
          <w:highlight w:val="none"/>
          <w:lang w:val="zh-CN"/>
        </w:rPr>
        <w:t>争议的解决方式</w:t>
      </w:r>
    </w:p>
    <w:p w14:paraId="02F69F4E">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0C99BFC0">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1</w:t>
      </w:r>
      <w:r>
        <w:rPr>
          <w:rFonts w:hint="eastAsia" w:ascii="Times New Roman" w:hAnsi="Times New Roman"/>
          <w:color w:val="auto"/>
          <w:szCs w:val="21"/>
          <w:highlight w:val="none"/>
        </w:rPr>
        <w:t>）向约定的仲裁委员会申请仲裁；</w:t>
      </w:r>
    </w:p>
    <w:p w14:paraId="491E9834">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w:t>
      </w:r>
      <w:r>
        <w:rPr>
          <w:rFonts w:ascii="Times New Roman" w:hAnsi="Times New Roman"/>
          <w:color w:val="auto"/>
          <w:szCs w:val="21"/>
          <w:highlight w:val="none"/>
        </w:rPr>
        <w:t>2</w:t>
      </w:r>
      <w:r>
        <w:rPr>
          <w:rFonts w:hint="eastAsia" w:ascii="Times New Roman" w:hAnsi="Times New Roman"/>
          <w:color w:val="auto"/>
          <w:szCs w:val="21"/>
          <w:highlight w:val="none"/>
        </w:rPr>
        <w:t>）向有管辖权的人民法院提起诉讼。</w:t>
      </w:r>
    </w:p>
    <w:p w14:paraId="358B6C20">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24.2 </w:t>
      </w:r>
      <w:r>
        <w:rPr>
          <w:rFonts w:hint="eastAsia" w:ascii="Times New Roman" w:hAnsi="Times New Roman" w:eastAsia="黑体"/>
          <w:bCs/>
          <w:color w:val="auto"/>
          <w:kern w:val="44"/>
          <w:szCs w:val="21"/>
          <w:highlight w:val="none"/>
          <w:lang w:val="zh-CN"/>
        </w:rPr>
        <w:t>友好解决</w:t>
      </w:r>
    </w:p>
    <w:p w14:paraId="1A1206F5">
      <w:pPr>
        <w:pStyle w:val="54"/>
        <w:spacing w:line="400" w:lineRule="atLeast"/>
        <w:ind w:firstLine="420" w:firstLineChars="200"/>
        <w:rPr>
          <w:rFonts w:ascii="Times New Roman" w:hAnsi="Times New Roman"/>
          <w:color w:val="auto"/>
          <w:szCs w:val="21"/>
          <w:highlight w:val="none"/>
        </w:rPr>
      </w:pPr>
      <w:r>
        <w:rPr>
          <w:rFonts w:hint="eastAsia" w:ascii="Times New Roman" w:hAnsi="Times New Roman"/>
          <w:color w:val="auto"/>
          <w:szCs w:val="21"/>
          <w:highlight w:val="none"/>
        </w:rPr>
        <w:t>在提请争议评审、仲裁或者诉讼前，以及在争议评审、仲裁或诉讼过程中，发包人和承包人均可共同努力友好协商解决争议。</w:t>
      </w:r>
    </w:p>
    <w:p w14:paraId="7AD2496D">
      <w:pPr>
        <w:pStyle w:val="54"/>
        <w:keepNext/>
        <w:keepLines/>
        <w:spacing w:before="240" w:after="240" w:line="380" w:lineRule="atLeast"/>
        <w:rPr>
          <w:rFonts w:ascii="Times New Roman" w:hAnsi="Times New Roman" w:eastAsia="黑体"/>
          <w:bCs/>
          <w:color w:val="auto"/>
          <w:kern w:val="44"/>
          <w:szCs w:val="21"/>
          <w:highlight w:val="none"/>
          <w:lang w:val="zh-CN"/>
        </w:rPr>
      </w:pPr>
      <w:r>
        <w:rPr>
          <w:rFonts w:ascii="Times New Roman" w:hAnsi="Times New Roman" w:eastAsia="黑体"/>
          <w:bCs/>
          <w:color w:val="auto"/>
          <w:kern w:val="44"/>
          <w:szCs w:val="21"/>
          <w:highlight w:val="none"/>
          <w:lang w:val="zh-CN"/>
        </w:rPr>
        <w:t xml:space="preserve">24.3 </w:t>
      </w:r>
      <w:r>
        <w:rPr>
          <w:rFonts w:hint="eastAsia" w:ascii="Times New Roman" w:hAnsi="Times New Roman" w:eastAsia="黑体"/>
          <w:bCs/>
          <w:color w:val="auto"/>
          <w:kern w:val="44"/>
          <w:szCs w:val="21"/>
          <w:highlight w:val="none"/>
          <w:lang w:val="zh-CN"/>
        </w:rPr>
        <w:t>争议评审</w:t>
      </w:r>
    </w:p>
    <w:p w14:paraId="4CE45A82">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24.3.1</w:t>
      </w:r>
      <w:r>
        <w:rPr>
          <w:rFonts w:hint="eastAsia" w:ascii="Times New Roman" w:hAnsi="Times New Roman"/>
          <w:color w:val="auto"/>
          <w:szCs w:val="21"/>
          <w:highlight w:val="none"/>
        </w:rPr>
        <w:t>采用争议评审的，发包人和承包人应在开工日后的</w:t>
      </w:r>
      <w:r>
        <w:rPr>
          <w:rFonts w:ascii="Times New Roman" w:hAnsi="Times New Roman"/>
          <w:color w:val="auto"/>
          <w:szCs w:val="21"/>
          <w:highlight w:val="none"/>
        </w:rPr>
        <w:t>28</w:t>
      </w:r>
      <w:r>
        <w:rPr>
          <w:rFonts w:hint="eastAsia" w:ascii="Times New Roman" w:hAnsi="Times New Roman"/>
          <w:color w:val="auto"/>
          <w:szCs w:val="21"/>
          <w:highlight w:val="none"/>
        </w:rPr>
        <w:t>天内或在争议发生后，协商成立争议评审组。争议评审组由有合同管理和工程实践经验的专家组成。</w:t>
      </w:r>
    </w:p>
    <w:p w14:paraId="63695648">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24.3.2 </w:t>
      </w:r>
      <w:r>
        <w:rPr>
          <w:rFonts w:hint="eastAsia" w:ascii="Times New Roman" w:hAnsi="Times New Roman"/>
          <w:color w:val="auto"/>
          <w:szCs w:val="21"/>
          <w:highlight w:val="none"/>
        </w:rPr>
        <w:t>合同双方的争议，应首先由申请人向争议评审组提交一份详细的评审申请报告，并附必要的文件、图纸和证明材料，申请人还应将上述报告的副本同时提交给被申请人和监理人。</w:t>
      </w:r>
    </w:p>
    <w:p w14:paraId="336D4E17">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24.3.3 </w:t>
      </w:r>
      <w:r>
        <w:rPr>
          <w:rFonts w:hint="eastAsia" w:ascii="Times New Roman" w:hAnsi="Times New Roman"/>
          <w:color w:val="auto"/>
          <w:szCs w:val="21"/>
          <w:highlight w:val="none"/>
        </w:rPr>
        <w:t>被申请人在收到申请人评审申请报告副本后的</w:t>
      </w:r>
      <w:r>
        <w:rPr>
          <w:rFonts w:ascii="Times New Roman" w:hAnsi="Times New Roman"/>
          <w:color w:val="auto"/>
          <w:szCs w:val="21"/>
          <w:highlight w:val="none"/>
        </w:rPr>
        <w:t>28</w:t>
      </w:r>
      <w:r>
        <w:rPr>
          <w:rFonts w:hint="eastAsia" w:ascii="Times New Roman" w:hAnsi="Times New Roman"/>
          <w:color w:val="auto"/>
          <w:szCs w:val="21"/>
          <w:highlight w:val="none"/>
        </w:rPr>
        <w:t>天内，向争议评审组提交一份答辩报告，并附证明材料。被申请人应将答辩报告的副本同时提交给申请人和监理人。</w:t>
      </w:r>
    </w:p>
    <w:p w14:paraId="48BA3D4A">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24.3.4 </w:t>
      </w:r>
      <w:r>
        <w:rPr>
          <w:rFonts w:hint="eastAsia" w:ascii="Times New Roman" w:hAnsi="Times New Roman"/>
          <w:color w:val="auto"/>
          <w:szCs w:val="21"/>
          <w:highlight w:val="none"/>
        </w:rPr>
        <w:t>除专用合同条款另有约定外，争议评审组在收到合同双方报告后的</w:t>
      </w:r>
      <w:r>
        <w:rPr>
          <w:rFonts w:ascii="Times New Roman" w:hAnsi="Times New Roman"/>
          <w:color w:val="auto"/>
          <w:szCs w:val="21"/>
          <w:highlight w:val="none"/>
        </w:rPr>
        <w:t>14</w:t>
      </w:r>
      <w:r>
        <w:rPr>
          <w:rFonts w:hint="eastAsia" w:ascii="Times New Roman" w:hAnsi="Times New Roman"/>
          <w:color w:val="auto"/>
          <w:szCs w:val="21"/>
          <w:highlight w:val="none"/>
        </w:rPr>
        <w:t>天内，邀请双方代表和有关人员举行调查会，向双方调查争议细节；必要时争议评审组可要求双方进一步提供补充材料。</w:t>
      </w:r>
    </w:p>
    <w:p w14:paraId="65AD0265">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24.3.5 </w:t>
      </w:r>
      <w:r>
        <w:rPr>
          <w:rFonts w:hint="eastAsia" w:ascii="Times New Roman" w:hAnsi="Times New Roman"/>
          <w:color w:val="auto"/>
          <w:szCs w:val="21"/>
          <w:highlight w:val="none"/>
        </w:rPr>
        <w:t>除专用合同条款另有约定外，在调查会结束后的</w:t>
      </w:r>
      <w:r>
        <w:rPr>
          <w:rFonts w:ascii="Times New Roman" w:hAnsi="Times New Roman"/>
          <w:color w:val="auto"/>
          <w:szCs w:val="21"/>
          <w:highlight w:val="none"/>
        </w:rPr>
        <w:t>14</w:t>
      </w:r>
      <w:r>
        <w:rPr>
          <w:rFonts w:hint="eastAsia" w:ascii="Times New Roman" w:hAnsi="Times New Roman"/>
          <w:color w:val="auto"/>
          <w:szCs w:val="21"/>
          <w:highlight w:val="none"/>
        </w:rPr>
        <w:t>天内，争议评审组应在不受任何干扰的情况下进行独立、公正的评审，作出书面评审意见，并说明理由。在争议评审期间，争议双方暂按总监理工程师的确定执行。</w:t>
      </w:r>
    </w:p>
    <w:p w14:paraId="665646EF">
      <w:pPr>
        <w:pStyle w:val="54"/>
        <w:spacing w:line="400" w:lineRule="atLeast"/>
        <w:ind w:firstLine="420" w:firstLineChars="200"/>
        <w:rPr>
          <w:rFonts w:ascii="Times New Roman" w:hAnsi="Times New Roman"/>
          <w:color w:val="auto"/>
          <w:szCs w:val="21"/>
          <w:highlight w:val="none"/>
        </w:rPr>
      </w:pPr>
      <w:r>
        <w:rPr>
          <w:rFonts w:ascii="Times New Roman" w:hAnsi="Times New Roman"/>
          <w:color w:val="auto"/>
          <w:szCs w:val="21"/>
          <w:highlight w:val="none"/>
        </w:rPr>
        <w:t xml:space="preserve">24.3.6 </w:t>
      </w:r>
      <w:r>
        <w:rPr>
          <w:rFonts w:hint="eastAsia" w:ascii="Times New Roman" w:hAnsi="Times New Roman"/>
          <w:color w:val="auto"/>
          <w:szCs w:val="21"/>
          <w:highlight w:val="none"/>
        </w:rPr>
        <w:t>发包人和承包人接受评审意见的，由监理人根据评审意见拟定执行协议，经争议双方签字后作为合同的补充文件，并遵照执行。</w:t>
      </w:r>
    </w:p>
    <w:p w14:paraId="0FEA9858">
      <w:pPr>
        <w:pStyle w:val="54"/>
        <w:spacing w:line="360" w:lineRule="auto"/>
        <w:ind w:firstLine="420" w:firstLineChars="200"/>
        <w:rPr>
          <w:rFonts w:hint="eastAsia" w:ascii="宋体" w:hAnsi="宋体" w:eastAsia="宋体" w:cs="宋体"/>
          <w:color w:val="auto"/>
          <w:sz w:val="44"/>
          <w:szCs w:val="44"/>
          <w:highlight w:val="none"/>
        </w:rPr>
      </w:pPr>
      <w:r>
        <w:rPr>
          <w:rFonts w:ascii="Times New Roman" w:hAnsi="Times New Roman"/>
          <w:color w:val="auto"/>
          <w:szCs w:val="21"/>
          <w:highlight w:val="none"/>
        </w:rPr>
        <w:t xml:space="preserve">24.3.7 </w:t>
      </w:r>
      <w:r>
        <w:rPr>
          <w:rFonts w:hint="eastAsia" w:ascii="Times New Roman" w:hAnsi="Times New Roman"/>
          <w:color w:val="auto"/>
          <w:szCs w:val="21"/>
          <w:highlight w:val="none"/>
        </w:rPr>
        <w:t>发包人或承包人不接受评审意见，并要求提交仲裁或提起诉讼的，应在收到评审意见后的</w:t>
      </w:r>
      <w:r>
        <w:rPr>
          <w:rFonts w:ascii="Times New Roman" w:hAnsi="Times New Roman"/>
          <w:color w:val="auto"/>
          <w:szCs w:val="21"/>
          <w:highlight w:val="none"/>
        </w:rPr>
        <w:t>14</w:t>
      </w:r>
      <w:r>
        <w:rPr>
          <w:rFonts w:hint="eastAsia" w:ascii="Times New Roman" w:hAnsi="Times New Roman"/>
          <w:color w:val="auto"/>
          <w:szCs w:val="21"/>
          <w:highlight w:val="none"/>
        </w:rPr>
        <w:t>天内将仲裁或起诉意向书面通知另一方，并抄送监理人，但在仲裁或诉讼结束前应暂按总监理工程师的确定执行。</w:t>
      </w:r>
      <w:bookmarkEnd w:id="106"/>
      <w:bookmarkStart w:id="131" w:name="_Toc14078"/>
      <w:bookmarkStart w:id="132" w:name="_Toc256000033"/>
      <w:bookmarkStart w:id="133" w:name="_Toc39866685"/>
    </w:p>
    <w:p w14:paraId="79EC2BAC">
      <w:pPr>
        <w:pStyle w:val="3"/>
        <w:spacing w:before="108"/>
        <w:jc w:val="center"/>
        <w:rPr>
          <w:rFonts w:ascii="宋体" w:hAnsi="宋体" w:eastAsia="宋体" w:cs="宋体"/>
          <w:color w:val="auto"/>
          <w:sz w:val="44"/>
          <w:szCs w:val="44"/>
          <w:highlight w:val="none"/>
        </w:rPr>
      </w:pPr>
    </w:p>
    <w:p w14:paraId="14DCF3A8">
      <w:pPr>
        <w:pStyle w:val="3"/>
        <w:spacing w:before="108"/>
        <w:jc w:val="center"/>
        <w:rPr>
          <w:rFonts w:ascii="宋体" w:hAnsi="宋体" w:eastAsia="宋体" w:cs="宋体"/>
          <w:color w:val="auto"/>
          <w:sz w:val="44"/>
          <w:szCs w:val="44"/>
          <w:highlight w:val="none"/>
        </w:rPr>
      </w:pPr>
      <w:r>
        <w:rPr>
          <w:rFonts w:ascii="宋体" w:hAnsi="宋体" w:eastAsia="宋体" w:cs="宋体"/>
          <w:color w:val="auto"/>
          <w:sz w:val="44"/>
          <w:szCs w:val="44"/>
          <w:highlight w:val="none"/>
        </w:rPr>
        <w:t>第二节专用合同条款</w:t>
      </w:r>
      <w:bookmarkEnd w:id="131"/>
      <w:bookmarkEnd w:id="132"/>
      <w:bookmarkEnd w:id="133"/>
    </w:p>
    <w:p w14:paraId="51AF9F5A">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34" w:name="_Toc373478339"/>
      <w:bookmarkStart w:id="135" w:name="_Toc373227692"/>
      <w:bookmarkStart w:id="136" w:name="_Toc3882744"/>
      <w:bookmarkStart w:id="137" w:name="_Toc30061936"/>
      <w:bookmarkStart w:id="138" w:name="_Toc389065258"/>
      <w:bookmarkStart w:id="139" w:name="_Toc351203633"/>
      <w:bookmarkStart w:id="140" w:name="_Toc469010897"/>
      <w:bookmarkStart w:id="141" w:name="_Toc29964"/>
      <w:bookmarkStart w:id="142" w:name="EBcc537ae224c1498fb1393bf426d49d89"/>
      <w:r>
        <w:rPr>
          <w:rFonts w:hint="eastAsia" w:ascii="宋体" w:hAnsi="宋体" w:eastAsia="宋体" w:cs="宋体"/>
          <w:b/>
          <w:sz w:val="21"/>
          <w:szCs w:val="21"/>
        </w:rPr>
        <w:t>1</w:t>
      </w:r>
      <w:bookmarkStart w:id="143" w:name="_Toc292559866"/>
      <w:bookmarkStart w:id="144" w:name="_Toc297048342"/>
      <w:bookmarkStart w:id="145" w:name="_Toc297120456"/>
      <w:bookmarkStart w:id="146" w:name="_Toc292559361"/>
      <w:bookmarkStart w:id="147" w:name="_Toc296347155"/>
      <w:bookmarkStart w:id="148" w:name="_Toc296890984"/>
      <w:bookmarkStart w:id="149" w:name="_Toc296891196"/>
      <w:bookmarkStart w:id="150" w:name="_Toc296944495"/>
      <w:bookmarkStart w:id="151" w:name="_Toc296503156"/>
      <w:bookmarkStart w:id="152" w:name="_Toc296346657"/>
      <w:r>
        <w:rPr>
          <w:rFonts w:hint="eastAsia" w:ascii="宋体" w:hAnsi="宋体" w:eastAsia="宋体" w:cs="宋体"/>
          <w:b/>
          <w:sz w:val="21"/>
          <w:szCs w:val="21"/>
        </w:rPr>
        <w:t>. 一般约定</w:t>
      </w:r>
      <w:bookmarkEnd w:id="134"/>
      <w:bookmarkEnd w:id="135"/>
      <w:bookmarkEnd w:id="136"/>
      <w:bookmarkEnd w:id="137"/>
      <w:bookmarkEnd w:id="138"/>
      <w:bookmarkEnd w:id="139"/>
      <w:bookmarkEnd w:id="140"/>
      <w:bookmarkEnd w:id="141"/>
    </w:p>
    <w:bookmarkEnd w:id="143"/>
    <w:bookmarkEnd w:id="144"/>
    <w:bookmarkEnd w:id="145"/>
    <w:bookmarkEnd w:id="146"/>
    <w:bookmarkEnd w:id="147"/>
    <w:bookmarkEnd w:id="148"/>
    <w:bookmarkEnd w:id="149"/>
    <w:bookmarkEnd w:id="150"/>
    <w:bookmarkEnd w:id="151"/>
    <w:bookmarkEnd w:id="152"/>
    <w:p w14:paraId="058BFE6D">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53" w:name="_Toc26642"/>
      <w:bookmarkStart w:id="154" w:name="_Toc373478340"/>
      <w:bookmarkStart w:id="155" w:name="_Toc389065259"/>
      <w:bookmarkStart w:id="156" w:name="_Toc373227693"/>
      <w:bookmarkStart w:id="157" w:name="_Toc3882745"/>
      <w:bookmarkStart w:id="158" w:name="_Toc30061937"/>
      <w:bookmarkStart w:id="159" w:name="_Toc469010898"/>
      <w:r>
        <w:rPr>
          <w:rFonts w:hint="eastAsia" w:ascii="宋体" w:hAnsi="宋体" w:eastAsia="宋体" w:cs="宋体"/>
          <w:b/>
          <w:kern w:val="0"/>
          <w:sz w:val="21"/>
          <w:szCs w:val="21"/>
        </w:rPr>
        <w:t>1.1 词语定义</w:t>
      </w:r>
      <w:bookmarkEnd w:id="153"/>
      <w:bookmarkEnd w:id="154"/>
      <w:bookmarkEnd w:id="155"/>
      <w:bookmarkEnd w:id="156"/>
      <w:bookmarkEnd w:id="157"/>
      <w:bookmarkEnd w:id="158"/>
      <w:bookmarkEnd w:id="159"/>
    </w:p>
    <w:p w14:paraId="734A06E1">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1.1.1 合同</w:t>
      </w:r>
    </w:p>
    <w:p w14:paraId="06547FC6">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1.1.1.10 其他合同文件包括：</w:t>
      </w:r>
      <w:r>
        <w:rPr>
          <w:rFonts w:hint="eastAsia" w:ascii="宋体" w:hAnsi="宋体" w:eastAsia="宋体" w:cs="宋体"/>
          <w:snapToGrid w:val="0"/>
          <w:color w:val="000000"/>
          <w:kern w:val="28"/>
          <w:sz w:val="21"/>
          <w:szCs w:val="21"/>
          <w:u w:val="single"/>
        </w:rPr>
        <w:t>合同履行中，发包人承包人有关工程的洽商、变更等书面协议或文件视为本合同的组成部分</w:t>
      </w:r>
      <w:r>
        <w:rPr>
          <w:rFonts w:hint="eastAsia" w:ascii="宋体" w:hAnsi="宋体" w:eastAsia="宋体" w:cs="宋体"/>
          <w:color w:val="000000"/>
          <w:kern w:val="0"/>
          <w:sz w:val="21"/>
          <w:szCs w:val="21"/>
        </w:rPr>
        <w:t>。</w:t>
      </w:r>
    </w:p>
    <w:p w14:paraId="77E613E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1.1.2 合同当事人及其他相关方</w:t>
      </w:r>
    </w:p>
    <w:p w14:paraId="645AD5A0">
      <w:pPr>
        <w:pStyle w:val="54"/>
        <w:spacing w:line="360" w:lineRule="auto"/>
        <w:ind w:firstLine="420" w:firstLineChars="200"/>
        <w:outlineLvl w:val="0"/>
        <w:rPr>
          <w:rFonts w:hint="eastAsia" w:ascii="宋体" w:hAnsi="宋体" w:eastAsia="宋体" w:cs="宋体"/>
          <w:sz w:val="21"/>
          <w:szCs w:val="21"/>
        </w:rPr>
      </w:pPr>
      <w:bookmarkStart w:id="160" w:name="_Toc3882746"/>
      <w:bookmarkStart w:id="161" w:name="_Toc30061938"/>
      <w:r>
        <w:rPr>
          <w:rFonts w:hint="eastAsia" w:ascii="宋体" w:hAnsi="宋体" w:eastAsia="宋体" w:cs="宋体"/>
          <w:sz w:val="21"/>
          <w:szCs w:val="21"/>
        </w:rPr>
        <w:t>1.1.2.4 监理人：</w:t>
      </w:r>
      <w:bookmarkEnd w:id="160"/>
      <w:bookmarkEnd w:id="161"/>
    </w:p>
    <w:p w14:paraId="35F2775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2C1F53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6A640D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0A4650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291595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761BF89">
      <w:pPr>
        <w:pStyle w:val="54"/>
        <w:spacing w:line="360" w:lineRule="auto"/>
        <w:ind w:firstLine="420" w:firstLineChars="200"/>
        <w:outlineLvl w:val="0"/>
        <w:rPr>
          <w:rFonts w:hint="eastAsia" w:ascii="宋体" w:hAnsi="宋体" w:eastAsia="宋体" w:cs="宋体"/>
          <w:sz w:val="21"/>
          <w:szCs w:val="21"/>
        </w:rPr>
      </w:pPr>
      <w:bookmarkStart w:id="162" w:name="_Toc3882747"/>
      <w:bookmarkStart w:id="163" w:name="_Toc30061939"/>
      <w:r>
        <w:rPr>
          <w:rFonts w:hint="eastAsia" w:ascii="宋体" w:hAnsi="宋体" w:eastAsia="宋体" w:cs="宋体"/>
          <w:sz w:val="21"/>
          <w:szCs w:val="21"/>
        </w:rPr>
        <w:t>1.1.2.5 设计人：</w:t>
      </w:r>
      <w:bookmarkEnd w:id="162"/>
      <w:bookmarkEnd w:id="163"/>
    </w:p>
    <w:p w14:paraId="5CD5E92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F6E7837">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资质类别和等级：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392D5A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45C773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6D621D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4FA549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1.1.3 工程和设备</w:t>
      </w:r>
    </w:p>
    <w:p w14:paraId="3A64EB0C">
      <w:pPr>
        <w:pStyle w:val="54"/>
        <w:spacing w:line="360" w:lineRule="auto"/>
        <w:ind w:firstLine="420" w:firstLineChars="200"/>
        <w:rPr>
          <w:rFonts w:hint="eastAsia" w:ascii="宋体" w:hAnsi="宋体" w:eastAsia="宋体" w:cs="宋体"/>
          <w:color w:val="000000"/>
          <w:sz w:val="21"/>
          <w:szCs w:val="21"/>
        </w:rPr>
      </w:pPr>
      <w:bookmarkStart w:id="164" w:name="_Toc373478341"/>
      <w:bookmarkStart w:id="165" w:name="_Toc373227694"/>
      <w:bookmarkStart w:id="166" w:name="_Toc469010899"/>
      <w:bookmarkStart w:id="167" w:name="_Toc389065260"/>
      <w:r>
        <w:rPr>
          <w:rFonts w:hint="eastAsia" w:ascii="宋体" w:hAnsi="宋体" w:eastAsia="宋体" w:cs="宋体"/>
          <w:color w:val="000000"/>
          <w:sz w:val="21"/>
          <w:szCs w:val="21"/>
        </w:rPr>
        <w:t>1.1.3.7 作为施工现场组成部分的其他场所包括：</w:t>
      </w:r>
      <w:r>
        <w:rPr>
          <w:rFonts w:hint="eastAsia" w:ascii="宋体" w:hAnsi="宋体" w:eastAsia="宋体" w:cs="宋体"/>
          <w:color w:val="000000"/>
          <w:sz w:val="21"/>
          <w:szCs w:val="21"/>
          <w:u w:val="single"/>
        </w:rPr>
        <w:t>永久及临时占地、施工道路、工棚、施工办公生活区、加工场等</w:t>
      </w:r>
      <w:r>
        <w:rPr>
          <w:rFonts w:hint="eastAsia" w:ascii="宋体" w:hAnsi="宋体" w:eastAsia="宋体" w:cs="宋体"/>
          <w:color w:val="000000"/>
          <w:sz w:val="21"/>
          <w:szCs w:val="21"/>
        </w:rPr>
        <w:t>。</w:t>
      </w:r>
    </w:p>
    <w:p w14:paraId="37416310">
      <w:pPr>
        <w:pStyle w:val="54"/>
        <w:spacing w:line="360" w:lineRule="auto"/>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1.1.3.9 永久占地包括：</w:t>
      </w:r>
      <w:r>
        <w:rPr>
          <w:rFonts w:hint="eastAsia" w:ascii="宋体" w:hAnsi="宋体" w:eastAsia="宋体" w:cs="宋体"/>
          <w:color w:val="000000"/>
          <w:sz w:val="21"/>
          <w:szCs w:val="21"/>
          <w:u w:val="single"/>
        </w:rPr>
        <w:t>施工图所示占地线范围，范围、坐标详见施工图</w:t>
      </w:r>
      <w:r>
        <w:rPr>
          <w:rFonts w:hint="eastAsia" w:ascii="宋体" w:hAnsi="宋体" w:eastAsia="宋体" w:cs="宋体"/>
          <w:color w:val="000000"/>
          <w:kern w:val="0"/>
          <w:sz w:val="21"/>
          <w:szCs w:val="21"/>
        </w:rPr>
        <w:t>。</w:t>
      </w:r>
    </w:p>
    <w:p w14:paraId="393A0A66">
      <w:pPr>
        <w:pStyle w:val="54"/>
        <w:spacing w:line="360" w:lineRule="auto"/>
        <w:ind w:firstLine="420" w:firstLineChars="200"/>
        <w:rPr>
          <w:rFonts w:hint="eastAsia" w:ascii="宋体" w:hAnsi="宋体" w:eastAsia="宋体" w:cs="宋体"/>
          <w:color w:val="000000"/>
          <w:sz w:val="21"/>
          <w:szCs w:val="21"/>
          <w:highlight w:val="magenta"/>
        </w:rPr>
      </w:pPr>
      <w:r>
        <w:rPr>
          <w:rFonts w:hint="eastAsia" w:ascii="宋体" w:hAnsi="宋体" w:eastAsia="宋体" w:cs="宋体"/>
          <w:color w:val="000000"/>
          <w:kern w:val="0"/>
          <w:sz w:val="21"/>
          <w:szCs w:val="21"/>
        </w:rPr>
        <w:t>1.1.3.10 临时占地包括：</w:t>
      </w:r>
      <w:r>
        <w:rPr>
          <w:rFonts w:hint="eastAsia" w:ascii="宋体" w:hAnsi="宋体" w:eastAsia="宋体" w:cs="宋体"/>
          <w:bCs/>
          <w:color w:val="000000"/>
          <w:sz w:val="21"/>
          <w:szCs w:val="21"/>
          <w:u w:val="single"/>
        </w:rPr>
        <w:t>（1）合同签订后3日内提交不少于2份的临时占地资料，在不影响施工的前提下，经发包人、监理单位审批，可免费提供红线范围内的场地作为施工临时占地。（2）发包人不保证红线外临时用地在本工程红线附近，承包人要充分考虑该风险，承包人不能因临时用地与本工程红线之间的距离而提出任何增加费用的要求</w:t>
      </w:r>
      <w:r>
        <w:rPr>
          <w:rFonts w:hint="eastAsia" w:ascii="宋体" w:hAnsi="宋体" w:eastAsia="宋体" w:cs="宋体"/>
          <w:bCs/>
          <w:color w:val="000000"/>
          <w:sz w:val="21"/>
          <w:szCs w:val="21"/>
        </w:rPr>
        <w:t>。</w:t>
      </w:r>
    </w:p>
    <w:p w14:paraId="60593127">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68" w:name="_Toc30061940"/>
      <w:bookmarkStart w:id="169" w:name="_Toc3882748"/>
      <w:bookmarkStart w:id="170" w:name="_Toc24845"/>
      <w:r>
        <w:rPr>
          <w:rFonts w:hint="eastAsia" w:ascii="宋体" w:hAnsi="宋体" w:eastAsia="宋体" w:cs="宋体"/>
          <w:b/>
          <w:kern w:val="0"/>
          <w:sz w:val="21"/>
          <w:szCs w:val="21"/>
        </w:rPr>
        <w:t>1.3 法律</w:t>
      </w:r>
      <w:bookmarkEnd w:id="164"/>
      <w:bookmarkEnd w:id="165"/>
      <w:bookmarkEnd w:id="166"/>
      <w:bookmarkEnd w:id="167"/>
      <w:bookmarkEnd w:id="168"/>
      <w:bookmarkEnd w:id="169"/>
      <w:bookmarkEnd w:id="170"/>
    </w:p>
    <w:p w14:paraId="6FC7E16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适用于合同的其他规范性文件：</w:t>
      </w:r>
      <w:r>
        <w:rPr>
          <w:rFonts w:hint="eastAsia" w:ascii="宋体" w:hAnsi="宋体" w:eastAsia="宋体" w:cs="宋体"/>
          <w:color w:val="000000"/>
          <w:sz w:val="21"/>
          <w:szCs w:val="21"/>
          <w:u w:val="single"/>
        </w:rPr>
        <w:t>包括中华人民共和国法律、行政法规、部门规章，以及工程所在地的地方法规、自治条例、单行条例和地方政府规章</w:t>
      </w:r>
      <w:r>
        <w:rPr>
          <w:rFonts w:hint="eastAsia" w:ascii="宋体" w:hAnsi="宋体" w:eastAsia="宋体" w:cs="宋体"/>
          <w:sz w:val="21"/>
          <w:szCs w:val="21"/>
        </w:rPr>
        <w:t>。</w:t>
      </w:r>
    </w:p>
    <w:p w14:paraId="308E0CDB">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71" w:name="_Toc389065261"/>
      <w:bookmarkStart w:id="172" w:name="_Toc469010900"/>
      <w:bookmarkStart w:id="173" w:name="_Toc373478342"/>
      <w:bookmarkStart w:id="174" w:name="_Toc10923"/>
      <w:bookmarkStart w:id="175" w:name="_Toc30061941"/>
      <w:bookmarkStart w:id="176" w:name="_Toc373227695"/>
      <w:bookmarkStart w:id="177" w:name="_Toc3882749"/>
      <w:r>
        <w:rPr>
          <w:rFonts w:hint="eastAsia" w:ascii="宋体" w:hAnsi="宋体" w:eastAsia="宋体" w:cs="宋体"/>
          <w:b/>
          <w:kern w:val="0"/>
          <w:sz w:val="21"/>
          <w:szCs w:val="21"/>
        </w:rPr>
        <w:t>1.4 标准和规范</w:t>
      </w:r>
      <w:bookmarkEnd w:id="171"/>
      <w:bookmarkEnd w:id="172"/>
      <w:bookmarkEnd w:id="173"/>
      <w:bookmarkEnd w:id="174"/>
      <w:bookmarkEnd w:id="175"/>
      <w:bookmarkEnd w:id="176"/>
      <w:bookmarkEnd w:id="177"/>
    </w:p>
    <w:p w14:paraId="06785C3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1.4.1 适用于工程的标准规范包括：</w:t>
      </w:r>
      <w:r>
        <w:rPr>
          <w:rFonts w:hint="eastAsia" w:ascii="宋体" w:hAnsi="宋体" w:eastAsia="宋体" w:cs="宋体"/>
          <w:color w:val="000000"/>
          <w:sz w:val="21"/>
          <w:szCs w:val="21"/>
          <w:u w:val="single"/>
        </w:rPr>
        <w:t>现行国家、地方、部门有关标准规范</w:t>
      </w:r>
      <w:r>
        <w:rPr>
          <w:rFonts w:hint="eastAsia" w:ascii="宋体" w:hAnsi="宋体" w:eastAsia="宋体" w:cs="宋体"/>
          <w:sz w:val="21"/>
          <w:szCs w:val="21"/>
        </w:rPr>
        <w:t>。</w:t>
      </w:r>
    </w:p>
    <w:p w14:paraId="745A4D23">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1.4.2 发包人提供国外标准、规范的名称：</w:t>
      </w:r>
      <w:r>
        <w:rPr>
          <w:rFonts w:hint="eastAsia" w:ascii="宋体" w:hAnsi="宋体" w:eastAsia="宋体" w:cs="宋体"/>
          <w:sz w:val="21"/>
          <w:szCs w:val="21"/>
          <w:u w:val="single"/>
        </w:rPr>
        <w:t>/</w:t>
      </w:r>
      <w:r>
        <w:rPr>
          <w:rFonts w:hint="eastAsia" w:ascii="宋体" w:hAnsi="宋体" w:eastAsia="宋体" w:cs="宋体"/>
          <w:sz w:val="21"/>
          <w:szCs w:val="21"/>
        </w:rPr>
        <w:t>；</w:t>
      </w:r>
    </w:p>
    <w:p w14:paraId="6A7F1D18">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发包人提供国外标准、规范的份数：</w:t>
      </w:r>
      <w:r>
        <w:rPr>
          <w:rFonts w:hint="eastAsia" w:ascii="宋体" w:hAnsi="宋体" w:eastAsia="宋体" w:cs="宋体"/>
          <w:kern w:val="0"/>
          <w:sz w:val="21"/>
          <w:szCs w:val="21"/>
          <w:u w:val="single"/>
        </w:rPr>
        <w:t>/</w:t>
      </w:r>
      <w:r>
        <w:rPr>
          <w:rFonts w:hint="eastAsia" w:ascii="宋体" w:hAnsi="宋体" w:eastAsia="宋体" w:cs="宋体"/>
          <w:kern w:val="0"/>
          <w:sz w:val="21"/>
          <w:szCs w:val="21"/>
        </w:rPr>
        <w:t>；</w:t>
      </w:r>
    </w:p>
    <w:p w14:paraId="15F997D7">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发包人提供国外标准、规范的名称：</w:t>
      </w:r>
      <w:r>
        <w:rPr>
          <w:rFonts w:hint="eastAsia" w:ascii="宋体" w:hAnsi="宋体" w:eastAsia="宋体" w:cs="宋体"/>
          <w:kern w:val="0"/>
          <w:sz w:val="21"/>
          <w:szCs w:val="21"/>
          <w:u w:val="single"/>
        </w:rPr>
        <w:t>/</w:t>
      </w:r>
      <w:r>
        <w:rPr>
          <w:rFonts w:hint="eastAsia" w:ascii="宋体" w:hAnsi="宋体" w:eastAsia="宋体" w:cs="宋体"/>
          <w:kern w:val="0"/>
          <w:sz w:val="21"/>
          <w:szCs w:val="21"/>
        </w:rPr>
        <w:t>。</w:t>
      </w:r>
    </w:p>
    <w:p w14:paraId="74C293A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1.4.3 发包人对工程的技术标准和功能要求的特殊要求：</w:t>
      </w:r>
      <w:r>
        <w:rPr>
          <w:rFonts w:hint="eastAsia" w:ascii="宋体" w:hAnsi="宋体" w:eastAsia="宋体" w:cs="宋体"/>
          <w:color w:val="000000"/>
          <w:sz w:val="21"/>
          <w:szCs w:val="21"/>
          <w:u w:val="single"/>
        </w:rPr>
        <w:t xml:space="preserve">  /  </w:t>
      </w:r>
      <w:r>
        <w:rPr>
          <w:rFonts w:hint="eastAsia" w:ascii="宋体" w:hAnsi="宋体" w:eastAsia="宋体" w:cs="宋体"/>
          <w:sz w:val="21"/>
          <w:szCs w:val="21"/>
        </w:rPr>
        <w:t>。</w:t>
      </w:r>
    </w:p>
    <w:p w14:paraId="7BDC05B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78" w:name="_Toc28691"/>
      <w:bookmarkStart w:id="179" w:name="_Toc373478343"/>
      <w:bookmarkStart w:id="180" w:name="_Toc469010901"/>
      <w:bookmarkStart w:id="181" w:name="_Toc3882750"/>
      <w:bookmarkStart w:id="182" w:name="_Toc373227696"/>
      <w:bookmarkStart w:id="183" w:name="_Toc30061942"/>
      <w:bookmarkStart w:id="184" w:name="_Toc389065262"/>
      <w:r>
        <w:rPr>
          <w:rFonts w:hint="eastAsia" w:ascii="宋体" w:hAnsi="宋体" w:eastAsia="宋体" w:cs="宋体"/>
          <w:b/>
          <w:kern w:val="0"/>
          <w:sz w:val="21"/>
          <w:szCs w:val="21"/>
        </w:rPr>
        <w:t>1.5 合同文件的优先顺序</w:t>
      </w:r>
      <w:bookmarkEnd w:id="178"/>
      <w:bookmarkEnd w:id="179"/>
      <w:bookmarkEnd w:id="180"/>
      <w:bookmarkEnd w:id="181"/>
      <w:bookmarkEnd w:id="182"/>
      <w:bookmarkEnd w:id="183"/>
      <w:bookmarkEnd w:id="184"/>
    </w:p>
    <w:p w14:paraId="402BE21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合同文件组成及优先顺序为：</w:t>
      </w:r>
    </w:p>
    <w:p w14:paraId="3DAEF0CA">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（1）合同协议书；</w:t>
      </w:r>
    </w:p>
    <w:p w14:paraId="61B4E7CB">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（2）中标通知书（如果有）；</w:t>
      </w:r>
    </w:p>
    <w:p w14:paraId="022C4B1B">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（3）投标函及其附录（如果有）；</w:t>
      </w:r>
    </w:p>
    <w:p w14:paraId="0D9425A0">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（4）专用合同条款及其附件；</w:t>
      </w:r>
    </w:p>
    <w:p w14:paraId="019CA6A3">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（5）通用合同条款；</w:t>
      </w:r>
    </w:p>
    <w:p w14:paraId="794730B7">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（6）标准、规范及有关技术文件；</w:t>
      </w:r>
    </w:p>
    <w:p w14:paraId="26D03483">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（7）已标价工程量清单或预算书；</w:t>
      </w:r>
    </w:p>
    <w:p w14:paraId="3A5501EC">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（8）图纸；</w:t>
      </w:r>
    </w:p>
    <w:p w14:paraId="2B4F11A9">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（9）其他合同文件。</w:t>
      </w:r>
    </w:p>
    <w:p w14:paraId="48B638B7">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10）《建设工程工程量清单计价规范（GB50500-2013）》及其广西实施细则及《关于建筑业实施营业税改征增值税后广西壮族自治区建设工程计价依据调整的通知》（桂建标〔2016〕17号）、《建设工程工程量清单计算规范（GB5854~50862-2013）》及其广西实施细则（修订本）。</w:t>
      </w:r>
    </w:p>
    <w:p w14:paraId="77B4B030">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85" w:name="_Toc3882751"/>
      <w:bookmarkStart w:id="186" w:name="_Toc389065263"/>
      <w:bookmarkStart w:id="187" w:name="_Toc373227697"/>
      <w:bookmarkStart w:id="188" w:name="_Toc14661"/>
      <w:bookmarkStart w:id="189" w:name="_Toc373478344"/>
      <w:bookmarkStart w:id="190" w:name="_Toc469010902"/>
      <w:bookmarkStart w:id="191" w:name="_Toc30061943"/>
      <w:r>
        <w:rPr>
          <w:rFonts w:hint="eastAsia" w:ascii="宋体" w:hAnsi="宋体" w:eastAsia="宋体" w:cs="宋体"/>
          <w:b/>
          <w:kern w:val="0"/>
          <w:sz w:val="21"/>
          <w:szCs w:val="21"/>
        </w:rPr>
        <w:t>1.6 图纸和承包人文件</w:t>
      </w:r>
      <w:bookmarkEnd w:id="185"/>
      <w:bookmarkEnd w:id="186"/>
      <w:bookmarkEnd w:id="187"/>
      <w:bookmarkEnd w:id="188"/>
      <w:bookmarkEnd w:id="189"/>
      <w:bookmarkEnd w:id="190"/>
      <w:bookmarkEnd w:id="191"/>
      <w:r>
        <w:rPr>
          <w:rFonts w:hint="eastAsia" w:ascii="宋体" w:hAnsi="宋体" w:eastAsia="宋体" w:cs="宋体"/>
          <w:b/>
          <w:kern w:val="0"/>
          <w:sz w:val="21"/>
          <w:szCs w:val="21"/>
        </w:rPr>
        <w:tab/>
      </w:r>
    </w:p>
    <w:p w14:paraId="6C12ED9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1.6.1 图纸的提供</w:t>
      </w:r>
    </w:p>
    <w:p w14:paraId="00EAE24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发包人向承包人提供图纸的期限：</w:t>
      </w:r>
      <w:r>
        <w:rPr>
          <w:rFonts w:hint="eastAsia" w:ascii="宋体" w:hAnsi="宋体" w:eastAsia="宋体" w:cs="宋体"/>
          <w:color w:val="000000"/>
          <w:sz w:val="21"/>
          <w:szCs w:val="21"/>
          <w:u w:val="single"/>
        </w:rPr>
        <w:t>合同生效后7天内</w:t>
      </w:r>
      <w:r>
        <w:rPr>
          <w:rFonts w:hint="eastAsia" w:ascii="宋体" w:hAnsi="宋体" w:eastAsia="宋体" w:cs="宋体"/>
          <w:sz w:val="21"/>
          <w:szCs w:val="21"/>
        </w:rPr>
        <w:t>；</w:t>
      </w:r>
    </w:p>
    <w:p w14:paraId="2DF4A32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发包人向承包人提供图纸的数量：</w:t>
      </w:r>
      <w:r>
        <w:rPr>
          <w:rFonts w:hint="eastAsia" w:ascii="宋体" w:hAnsi="宋体" w:eastAsia="宋体" w:cs="宋体"/>
          <w:sz w:val="21"/>
          <w:szCs w:val="21"/>
          <w:u w:val="single"/>
        </w:rPr>
        <w:t>两</w:t>
      </w:r>
      <w:r>
        <w:rPr>
          <w:rFonts w:hint="eastAsia" w:ascii="宋体" w:hAnsi="宋体" w:eastAsia="宋体" w:cs="宋体"/>
          <w:color w:val="000000"/>
          <w:sz w:val="21"/>
          <w:szCs w:val="21"/>
          <w:u w:val="single"/>
        </w:rPr>
        <w:t>套，承包人需要增加图纸套数的，发包人应代为复制，复制费用由承包人承担</w:t>
      </w:r>
      <w:r>
        <w:rPr>
          <w:rFonts w:hint="eastAsia" w:ascii="宋体" w:hAnsi="宋体" w:eastAsia="宋体" w:cs="宋体"/>
          <w:sz w:val="21"/>
          <w:szCs w:val="21"/>
        </w:rPr>
        <w:t>；</w:t>
      </w:r>
    </w:p>
    <w:p w14:paraId="0762576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发包人向承包人提供图纸的内容：</w:t>
      </w:r>
      <w:r>
        <w:rPr>
          <w:rFonts w:hint="eastAsia" w:ascii="宋体" w:hAnsi="宋体" w:eastAsia="宋体" w:cs="宋体"/>
          <w:color w:val="000000"/>
          <w:sz w:val="21"/>
          <w:szCs w:val="21"/>
          <w:u w:val="single"/>
        </w:rPr>
        <w:t>建筑（若有）、道路（若有）、绿化（若有）、结构（若有）、给排水（若有）、电气（若有）、地质勘察报告及发包内容中的全部图纸。</w:t>
      </w:r>
    </w:p>
    <w:p w14:paraId="76F29A6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1.6.4 承包人文件</w:t>
      </w:r>
    </w:p>
    <w:p w14:paraId="403E9457">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需要由承包人提供的文件，包括：</w:t>
      </w:r>
      <w:r>
        <w:rPr>
          <w:rFonts w:hint="eastAsia" w:ascii="宋体" w:hAnsi="宋体" w:eastAsia="宋体" w:cs="宋体"/>
          <w:color w:val="000000"/>
          <w:sz w:val="21"/>
          <w:szCs w:val="21"/>
        </w:rPr>
        <w:t>包括必要的加工图和大样图，均不是合同计量与支付的依据文件。施工组织设计、专项施工方案、安全应急方案、进度报表、次月进度计划等</w:t>
      </w:r>
      <w:r>
        <w:rPr>
          <w:rFonts w:hint="eastAsia" w:ascii="宋体" w:hAnsi="宋体" w:eastAsia="宋体" w:cs="宋体"/>
          <w:sz w:val="21"/>
          <w:szCs w:val="21"/>
        </w:rPr>
        <w:t>；</w:t>
      </w:r>
    </w:p>
    <w:p w14:paraId="5C00F9B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承包人提供的文件的期限为：开工前7日；</w:t>
      </w:r>
    </w:p>
    <w:p w14:paraId="25DAEA7C">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承包人提供的文件的数量为：提供施工组织设计和安全应急方案一式三份,专项工程实施前1个月提供专项施工方案一式三份,每月25日提供本月完成进度报表和次月进度计划一式三份；</w:t>
      </w:r>
    </w:p>
    <w:p w14:paraId="3908101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承包人提供的文件的形式为：书面及电子文件；</w:t>
      </w:r>
    </w:p>
    <w:p w14:paraId="1007400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发包人审批承包人文件的期限：收到提供的文件后7天内，逾期不确认也不提出书面意见的，视为同意。</w:t>
      </w:r>
    </w:p>
    <w:p w14:paraId="64E660C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1.6.5 现场图纸准备</w:t>
      </w:r>
    </w:p>
    <w:p w14:paraId="26F0940B">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关于现场图纸准备的约定：</w:t>
      </w:r>
      <w:r>
        <w:rPr>
          <w:rFonts w:hint="eastAsia" w:ascii="宋体" w:hAnsi="宋体" w:eastAsia="宋体" w:cs="宋体"/>
          <w:sz w:val="21"/>
          <w:szCs w:val="21"/>
          <w:u w:val="single"/>
        </w:rPr>
        <w:t>由承包方准备</w:t>
      </w:r>
      <w:r>
        <w:rPr>
          <w:rFonts w:hint="eastAsia" w:ascii="宋体" w:hAnsi="宋体" w:eastAsia="宋体" w:cs="宋体"/>
          <w:sz w:val="21"/>
          <w:szCs w:val="21"/>
        </w:rPr>
        <w:t>。</w:t>
      </w:r>
    </w:p>
    <w:p w14:paraId="68485BB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92" w:name="_Toc389065264"/>
      <w:bookmarkStart w:id="193" w:name="_Toc373227698"/>
      <w:bookmarkStart w:id="194" w:name="_Toc469010903"/>
      <w:bookmarkStart w:id="195" w:name="_Toc3882752"/>
      <w:bookmarkStart w:id="196" w:name="_Toc373478345"/>
      <w:bookmarkStart w:id="197" w:name="_Toc20707"/>
      <w:bookmarkStart w:id="198" w:name="_Toc30061944"/>
      <w:r>
        <w:rPr>
          <w:rFonts w:hint="eastAsia" w:ascii="宋体" w:hAnsi="宋体" w:eastAsia="宋体" w:cs="宋体"/>
          <w:b/>
          <w:kern w:val="0"/>
          <w:sz w:val="21"/>
          <w:szCs w:val="21"/>
        </w:rPr>
        <w:t>1.7 联络</w:t>
      </w:r>
      <w:bookmarkEnd w:id="192"/>
      <w:bookmarkEnd w:id="193"/>
      <w:bookmarkEnd w:id="194"/>
      <w:bookmarkEnd w:id="195"/>
      <w:bookmarkEnd w:id="196"/>
      <w:bookmarkEnd w:id="197"/>
      <w:bookmarkEnd w:id="198"/>
    </w:p>
    <w:p w14:paraId="44BF6EF2">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1.7.1发包人和承包人应当在</w:t>
      </w:r>
      <w:r>
        <w:rPr>
          <w:rFonts w:hint="eastAsia" w:ascii="宋体" w:hAnsi="宋体" w:eastAsia="宋体" w:cs="宋体"/>
          <w:sz w:val="21"/>
          <w:szCs w:val="21"/>
          <w:u w:val="single"/>
        </w:rPr>
        <w:t>7</w:t>
      </w:r>
      <w:r>
        <w:rPr>
          <w:rFonts w:hint="eastAsia" w:ascii="宋体" w:hAnsi="宋体" w:eastAsia="宋体" w:cs="宋体"/>
          <w:kern w:val="0"/>
          <w:sz w:val="21"/>
          <w:szCs w:val="21"/>
        </w:rPr>
        <w:t>天内将与合同有关的通知、批准、证明、证书、指示、指令、要求、请求、同意、意见、确定和决定等书面函件送达对方当事人。</w:t>
      </w:r>
    </w:p>
    <w:p w14:paraId="4A0F6FDB">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1.7.2 发包人接收文件的地点：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w:t>
      </w:r>
    </w:p>
    <w:p w14:paraId="192318AE">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发包人指定的接收人为：</w:t>
      </w:r>
      <w:r>
        <w:rPr>
          <w:rFonts w:hint="eastAsia" w:ascii="宋体" w:hAnsi="宋体" w:eastAsia="宋体" w:cs="宋体"/>
          <w:sz w:val="21"/>
          <w:szCs w:val="21"/>
          <w:u w:val="single"/>
        </w:rPr>
        <w:t>业主派驻现场代表</w:t>
      </w:r>
      <w:r>
        <w:rPr>
          <w:rFonts w:hint="eastAsia" w:ascii="宋体" w:hAnsi="宋体" w:eastAsia="宋体" w:cs="宋体"/>
          <w:kern w:val="0"/>
          <w:sz w:val="21"/>
          <w:szCs w:val="21"/>
        </w:rPr>
        <w:t>。</w:t>
      </w:r>
    </w:p>
    <w:p w14:paraId="7E072657">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承包人接收文件的地点：</w:t>
      </w:r>
      <w:r>
        <w:rPr>
          <w:rFonts w:hint="eastAsia" w:ascii="宋体" w:hAnsi="宋体" w:eastAsia="宋体" w:cs="宋体"/>
          <w:sz w:val="21"/>
          <w:szCs w:val="21"/>
          <w:u w:val="single"/>
        </w:rPr>
        <w:t>承包人施工现场项目部</w:t>
      </w:r>
      <w:r>
        <w:rPr>
          <w:rFonts w:hint="eastAsia" w:ascii="宋体" w:hAnsi="宋体" w:eastAsia="宋体" w:cs="宋体"/>
          <w:kern w:val="0"/>
          <w:sz w:val="21"/>
          <w:szCs w:val="21"/>
        </w:rPr>
        <w:t>。</w:t>
      </w:r>
    </w:p>
    <w:p w14:paraId="04B40D06">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承包人指定的接收人为：</w:t>
      </w:r>
      <w:r>
        <w:rPr>
          <w:rFonts w:hint="eastAsia" w:ascii="宋体" w:hAnsi="宋体" w:eastAsia="宋体" w:cs="宋体"/>
          <w:sz w:val="21"/>
          <w:szCs w:val="21"/>
          <w:u w:val="single"/>
        </w:rPr>
        <w:t>项目经理或委托代理人</w:t>
      </w:r>
      <w:r>
        <w:rPr>
          <w:rFonts w:hint="eastAsia" w:ascii="宋体" w:hAnsi="宋体" w:eastAsia="宋体" w:cs="宋体"/>
          <w:kern w:val="0"/>
          <w:sz w:val="21"/>
          <w:szCs w:val="21"/>
        </w:rPr>
        <w:t>。</w:t>
      </w:r>
    </w:p>
    <w:p w14:paraId="0FFDB33B">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承包人文件送达的形式：</w:t>
      </w:r>
      <w:r>
        <w:rPr>
          <w:rFonts w:hint="eastAsia" w:ascii="宋体" w:hAnsi="宋体" w:eastAsia="宋体" w:cs="宋体"/>
          <w:kern w:val="0"/>
          <w:sz w:val="21"/>
          <w:szCs w:val="21"/>
          <w:u w:val="single"/>
        </w:rPr>
        <w:t xml:space="preserve">书面文件、电子文件、公证送达 </w:t>
      </w:r>
      <w:r>
        <w:rPr>
          <w:rFonts w:hint="eastAsia" w:ascii="宋体" w:hAnsi="宋体" w:eastAsia="宋体" w:cs="宋体"/>
          <w:kern w:val="0"/>
          <w:sz w:val="21"/>
          <w:szCs w:val="21"/>
        </w:rPr>
        <w:t>。</w:t>
      </w:r>
    </w:p>
    <w:p w14:paraId="7AA8BBC1">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监理人接收文件的地点：</w:t>
      </w:r>
      <w:r>
        <w:rPr>
          <w:rFonts w:hint="eastAsia" w:ascii="宋体" w:hAnsi="宋体" w:eastAsia="宋体" w:cs="宋体"/>
          <w:sz w:val="21"/>
          <w:szCs w:val="21"/>
          <w:u w:val="single"/>
        </w:rPr>
        <w:t>监理人施工现场监理办公室</w:t>
      </w:r>
      <w:r>
        <w:rPr>
          <w:rFonts w:hint="eastAsia" w:ascii="宋体" w:hAnsi="宋体" w:eastAsia="宋体" w:cs="宋体"/>
          <w:kern w:val="0"/>
          <w:sz w:val="21"/>
          <w:szCs w:val="21"/>
        </w:rPr>
        <w:t>。</w:t>
      </w:r>
    </w:p>
    <w:p w14:paraId="56284113">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监理人指定的接收人为：</w:t>
      </w:r>
      <w:r>
        <w:rPr>
          <w:rFonts w:hint="eastAsia" w:ascii="宋体" w:hAnsi="宋体" w:eastAsia="宋体" w:cs="宋体"/>
          <w:sz w:val="21"/>
          <w:szCs w:val="21"/>
          <w:u w:val="single"/>
        </w:rPr>
        <w:t>总监理工程师</w:t>
      </w:r>
    </w:p>
    <w:p w14:paraId="7DBF050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99" w:name="_Toc389065265"/>
      <w:bookmarkStart w:id="200" w:name="_Toc469010904"/>
      <w:bookmarkStart w:id="201" w:name="_Toc373227699"/>
      <w:bookmarkStart w:id="202" w:name="_Toc30061945"/>
      <w:bookmarkStart w:id="203" w:name="_Toc373478346"/>
      <w:bookmarkStart w:id="204" w:name="_Toc12826"/>
      <w:bookmarkStart w:id="205" w:name="_Toc3882753"/>
      <w:r>
        <w:rPr>
          <w:rFonts w:hint="eastAsia" w:ascii="宋体" w:hAnsi="宋体" w:eastAsia="宋体" w:cs="宋体"/>
          <w:b/>
          <w:kern w:val="0"/>
          <w:sz w:val="21"/>
          <w:szCs w:val="21"/>
        </w:rPr>
        <w:t>1.10 交通运输</w:t>
      </w:r>
      <w:bookmarkEnd w:id="199"/>
      <w:bookmarkEnd w:id="200"/>
      <w:bookmarkEnd w:id="201"/>
      <w:bookmarkEnd w:id="202"/>
      <w:bookmarkEnd w:id="203"/>
      <w:bookmarkEnd w:id="204"/>
      <w:bookmarkEnd w:id="205"/>
    </w:p>
    <w:p w14:paraId="3685ACF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bookmarkStart w:id="206" w:name="_Toc303539100"/>
      <w:bookmarkStart w:id="207" w:name="_Toc318581155"/>
      <w:bookmarkStart w:id="208" w:name="_Toc312677986"/>
      <w:bookmarkStart w:id="209" w:name="_Toc300934943"/>
      <w:bookmarkStart w:id="210" w:name="_Toc304295521"/>
      <w:r>
        <w:rPr>
          <w:rFonts w:hint="eastAsia" w:ascii="宋体" w:hAnsi="宋体" w:eastAsia="宋体" w:cs="宋体"/>
          <w:sz w:val="21"/>
          <w:szCs w:val="21"/>
        </w:rPr>
        <w:t>.10.1 出入现场的权利</w:t>
      </w:r>
    </w:p>
    <w:p w14:paraId="20CEDDAC">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关于出入现场的权利的约定：</w:t>
      </w:r>
      <w:r>
        <w:rPr>
          <w:rFonts w:hint="eastAsia" w:ascii="宋体" w:hAnsi="宋体" w:eastAsia="宋体" w:cs="宋体"/>
          <w:sz w:val="21"/>
          <w:szCs w:val="21"/>
          <w:u w:val="single"/>
        </w:rPr>
        <w:t>与施工无关的人员出入现场须经承发包双方同意。</w:t>
      </w:r>
    </w:p>
    <w:bookmarkEnd w:id="206"/>
    <w:bookmarkEnd w:id="207"/>
    <w:bookmarkEnd w:id="208"/>
    <w:bookmarkEnd w:id="209"/>
    <w:bookmarkEnd w:id="210"/>
    <w:p w14:paraId="4AA051E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bookmarkStart w:id="211" w:name="_Toc300934944"/>
      <w:bookmarkStart w:id="212" w:name="_Toc318581156"/>
      <w:bookmarkStart w:id="213" w:name="_Toc304295522"/>
      <w:bookmarkStart w:id="214" w:name="_Toc303539101"/>
      <w:bookmarkStart w:id="215" w:name="_Toc312677987"/>
      <w:r>
        <w:rPr>
          <w:rFonts w:hint="eastAsia" w:ascii="宋体" w:hAnsi="宋体" w:eastAsia="宋体" w:cs="宋体"/>
          <w:sz w:val="21"/>
          <w:szCs w:val="21"/>
        </w:rPr>
        <w:t>.10.3 场内交通</w:t>
      </w:r>
    </w:p>
    <w:p w14:paraId="6C262396">
      <w:pPr>
        <w:pStyle w:val="54"/>
        <w:spacing w:line="360" w:lineRule="auto"/>
        <w:ind w:firstLine="420" w:firstLineChars="200"/>
        <w:jc w:val="left"/>
        <w:rPr>
          <w:rFonts w:hint="eastAsia" w:ascii="宋体" w:hAnsi="宋体" w:eastAsia="宋体" w:cs="宋体"/>
          <w:kern w:val="0"/>
          <w:sz w:val="21"/>
          <w:szCs w:val="21"/>
          <w:highlight w:val="red"/>
        </w:rPr>
      </w:pPr>
      <w:r>
        <w:rPr>
          <w:rFonts w:hint="eastAsia" w:ascii="宋体" w:hAnsi="宋体" w:eastAsia="宋体" w:cs="宋体"/>
          <w:kern w:val="0"/>
          <w:sz w:val="21"/>
          <w:szCs w:val="21"/>
        </w:rPr>
        <w:t>关于场外交通和场内交通的边界的约定：以征地红线为界限。</w:t>
      </w:r>
    </w:p>
    <w:p w14:paraId="544AC88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关于发包人向承包人免费提供满足工程施工需要的场内道路和交通设施的约定：按经批准的施工组织设计规定，工程竣工后承包人须恢复</w:t>
      </w:r>
      <w:bookmarkEnd w:id="211"/>
      <w:bookmarkEnd w:id="212"/>
      <w:bookmarkEnd w:id="213"/>
      <w:bookmarkEnd w:id="214"/>
      <w:bookmarkEnd w:id="215"/>
      <w:bookmarkStart w:id="216" w:name="_Toc318581157"/>
      <w:r>
        <w:rPr>
          <w:rFonts w:hint="eastAsia" w:ascii="宋体" w:hAnsi="宋体" w:eastAsia="宋体" w:cs="宋体"/>
          <w:sz w:val="21"/>
          <w:szCs w:val="21"/>
        </w:rPr>
        <w:t>，施工现场内临时道路由承包人负责建设并承担相关费用。</w:t>
      </w:r>
    </w:p>
    <w:p w14:paraId="7CCF650A">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1.10.4 超大件和超重件的运输</w:t>
      </w:r>
    </w:p>
    <w:p w14:paraId="148E92F9">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运输超大件或超重件所需的道路和桥梁临时加固改造费用和其他有关费用由</w:t>
      </w:r>
      <w:r>
        <w:rPr>
          <w:rFonts w:hint="eastAsia" w:ascii="宋体" w:hAnsi="宋体" w:eastAsia="宋体" w:cs="宋体"/>
          <w:sz w:val="21"/>
          <w:szCs w:val="21"/>
          <w:u w:val="single"/>
        </w:rPr>
        <w:t>承包人</w:t>
      </w:r>
      <w:r>
        <w:rPr>
          <w:rFonts w:hint="eastAsia" w:ascii="宋体" w:hAnsi="宋体" w:eastAsia="宋体" w:cs="宋体"/>
          <w:sz w:val="21"/>
          <w:szCs w:val="21"/>
        </w:rPr>
        <w:t>承担。</w:t>
      </w:r>
    </w:p>
    <w:bookmarkEnd w:id="216"/>
    <w:p w14:paraId="077266B9">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17" w:name="_Toc389065266"/>
      <w:bookmarkStart w:id="218" w:name="_Toc3882754"/>
      <w:bookmarkStart w:id="219" w:name="_Toc469010905"/>
      <w:bookmarkStart w:id="220" w:name="_Toc373227700"/>
      <w:bookmarkStart w:id="221" w:name="_Toc30061946"/>
      <w:bookmarkStart w:id="222" w:name="_Toc20784"/>
      <w:bookmarkStart w:id="223" w:name="_Toc373478347"/>
      <w:r>
        <w:rPr>
          <w:rFonts w:hint="eastAsia" w:ascii="宋体" w:hAnsi="宋体" w:eastAsia="宋体" w:cs="宋体"/>
          <w:b/>
          <w:kern w:val="0"/>
          <w:sz w:val="21"/>
          <w:szCs w:val="21"/>
        </w:rPr>
        <w:t>1.11 知识产权</w:t>
      </w:r>
      <w:bookmarkEnd w:id="217"/>
      <w:bookmarkEnd w:id="218"/>
      <w:bookmarkEnd w:id="219"/>
      <w:bookmarkEnd w:id="220"/>
      <w:bookmarkEnd w:id="221"/>
      <w:bookmarkEnd w:id="222"/>
      <w:bookmarkEnd w:id="223"/>
    </w:p>
    <w:p w14:paraId="4286631D">
      <w:pPr>
        <w:pStyle w:val="54"/>
        <w:spacing w:line="360" w:lineRule="auto"/>
        <w:ind w:firstLine="420" w:firstLineChars="200"/>
        <w:outlineLvl w:val="0"/>
        <w:rPr>
          <w:rFonts w:hint="eastAsia" w:ascii="宋体" w:hAnsi="宋体" w:eastAsia="宋体" w:cs="宋体"/>
          <w:sz w:val="21"/>
          <w:szCs w:val="21"/>
        </w:rPr>
      </w:pPr>
      <w:bookmarkStart w:id="224" w:name="_Toc3882755"/>
      <w:bookmarkStart w:id="225" w:name="_Toc30061947"/>
      <w:r>
        <w:rPr>
          <w:rFonts w:hint="eastAsia" w:ascii="宋体" w:hAnsi="宋体" w:eastAsia="宋体" w:cs="宋体"/>
          <w:sz w:val="21"/>
          <w:szCs w:val="21"/>
        </w:rPr>
        <w:t>1.11.1 关于发包人提供给承包人的图纸、发包人为实施工程自行编制或委托编制的技术规范以及反映发包人关于合同要求或其他类似性质的文件的著作权的归属：发包人。</w:t>
      </w:r>
      <w:bookmarkEnd w:id="224"/>
      <w:bookmarkEnd w:id="225"/>
    </w:p>
    <w:p w14:paraId="2F0419E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关于发包人提供的上述文件的使用限制的要求：只能用于本工地，未经发包人同意不得向第三方提供图纸。</w:t>
      </w:r>
    </w:p>
    <w:p w14:paraId="2750DAC1">
      <w:pPr>
        <w:pStyle w:val="54"/>
        <w:spacing w:line="360" w:lineRule="auto"/>
        <w:ind w:firstLine="420" w:firstLineChars="200"/>
        <w:outlineLvl w:val="0"/>
        <w:rPr>
          <w:rFonts w:hint="eastAsia" w:ascii="宋体" w:hAnsi="宋体" w:eastAsia="宋体" w:cs="宋体"/>
          <w:sz w:val="21"/>
          <w:szCs w:val="21"/>
        </w:rPr>
      </w:pPr>
      <w:bookmarkStart w:id="226" w:name="_Toc3882756"/>
      <w:bookmarkStart w:id="227" w:name="_Toc30061948"/>
      <w:r>
        <w:rPr>
          <w:rFonts w:hint="eastAsia" w:ascii="宋体" w:hAnsi="宋体" w:eastAsia="宋体" w:cs="宋体"/>
          <w:sz w:val="21"/>
          <w:szCs w:val="21"/>
        </w:rPr>
        <w:t>1.11.2 关于承包人为实施工程所编制文件的著作权的归属：承包人、发包人。</w:t>
      </w:r>
      <w:bookmarkEnd w:id="226"/>
      <w:bookmarkEnd w:id="227"/>
    </w:p>
    <w:p w14:paraId="392E9932">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关于承包人提供的上述文件的使用限制的要求：只能用于本工地施工、保修，未经承包人同意不得向第三方提供。</w:t>
      </w:r>
    </w:p>
    <w:p w14:paraId="7E4B443D">
      <w:pPr>
        <w:pStyle w:val="54"/>
        <w:spacing w:line="360" w:lineRule="auto"/>
        <w:ind w:firstLine="420" w:firstLineChars="200"/>
        <w:outlineLvl w:val="0"/>
        <w:rPr>
          <w:rFonts w:hint="eastAsia" w:ascii="宋体" w:hAnsi="宋体" w:eastAsia="宋体" w:cs="宋体"/>
          <w:kern w:val="0"/>
          <w:sz w:val="21"/>
          <w:szCs w:val="21"/>
        </w:rPr>
      </w:pPr>
      <w:bookmarkStart w:id="228" w:name="_Toc3882757"/>
      <w:bookmarkStart w:id="229" w:name="_Toc30061949"/>
      <w:r>
        <w:rPr>
          <w:rFonts w:hint="eastAsia" w:ascii="宋体" w:hAnsi="宋体" w:eastAsia="宋体" w:cs="宋体"/>
          <w:sz w:val="21"/>
          <w:szCs w:val="21"/>
        </w:rPr>
        <w:t>1.11.4 承包人在施工过程中所采用的专利、专有技术、技术秘密的使用费的承担方式：承包人负责</w:t>
      </w:r>
      <w:r>
        <w:rPr>
          <w:rFonts w:hint="eastAsia" w:ascii="宋体" w:hAnsi="宋体" w:eastAsia="宋体" w:cs="宋体"/>
          <w:kern w:val="0"/>
          <w:sz w:val="21"/>
          <w:szCs w:val="21"/>
        </w:rPr>
        <w:t>。</w:t>
      </w:r>
      <w:bookmarkEnd w:id="228"/>
      <w:bookmarkEnd w:id="229"/>
    </w:p>
    <w:p w14:paraId="28ED9BD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30" w:name="_Toc373227701"/>
      <w:bookmarkStart w:id="231" w:name="_Toc30061950"/>
      <w:bookmarkStart w:id="232" w:name="_Toc373478348"/>
      <w:bookmarkStart w:id="233" w:name="_Toc3882758"/>
      <w:bookmarkStart w:id="234" w:name="_Toc389065267"/>
      <w:bookmarkStart w:id="235" w:name="_Toc469010906"/>
      <w:bookmarkStart w:id="236" w:name="_Toc15086"/>
      <w:r>
        <w:rPr>
          <w:rFonts w:hint="eastAsia" w:ascii="宋体" w:hAnsi="宋体" w:eastAsia="宋体" w:cs="宋体"/>
          <w:b/>
          <w:kern w:val="0"/>
          <w:sz w:val="21"/>
          <w:szCs w:val="21"/>
        </w:rPr>
        <w:t>1.13工程量清单错误的修正</w:t>
      </w:r>
      <w:bookmarkEnd w:id="230"/>
      <w:bookmarkEnd w:id="231"/>
      <w:bookmarkEnd w:id="232"/>
      <w:bookmarkEnd w:id="233"/>
      <w:bookmarkEnd w:id="234"/>
      <w:bookmarkEnd w:id="235"/>
      <w:bookmarkEnd w:id="236"/>
    </w:p>
    <w:p w14:paraId="5B4EA21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出现工程量清单工程量偏差时，是否调整合同价格：☑是  □否</w:t>
      </w:r>
    </w:p>
    <w:p w14:paraId="70A163D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允许调整合同价格的工程量偏差范围及其调整办法：</w:t>
      </w:r>
    </w:p>
    <w:p w14:paraId="04D83EF1">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按《建设工程工程量清单计价规范（GB50500-2013）》及其广西实施细则、《建设工程工程量清单计算规范（GB5854~50862-2013）》（修订本）及其广西实施细则等规定</w:t>
      </w:r>
      <w:r>
        <w:rPr>
          <w:rFonts w:hint="eastAsia" w:ascii="宋体" w:hAnsi="宋体" w:eastAsia="宋体" w:cs="宋体"/>
          <w:kern w:val="0"/>
          <w:sz w:val="21"/>
          <w:szCs w:val="21"/>
        </w:rPr>
        <w:t>。</w:t>
      </w:r>
    </w:p>
    <w:p w14:paraId="2DEC40B8">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237" w:name="_Toc469010907"/>
      <w:bookmarkStart w:id="238" w:name="_Toc373227702"/>
      <w:bookmarkStart w:id="239" w:name="_Toc351203634"/>
      <w:bookmarkStart w:id="240" w:name="_Toc15136"/>
      <w:bookmarkStart w:id="241" w:name="_Toc3882759"/>
      <w:bookmarkStart w:id="242" w:name="_Toc30061951"/>
      <w:bookmarkStart w:id="243" w:name="_Toc389065268"/>
      <w:bookmarkStart w:id="244" w:name="_Toc373478349"/>
      <w:r>
        <w:rPr>
          <w:rFonts w:hint="eastAsia" w:ascii="宋体" w:hAnsi="宋体" w:eastAsia="宋体" w:cs="宋体"/>
          <w:b/>
          <w:sz w:val="21"/>
          <w:szCs w:val="21"/>
        </w:rPr>
        <w:t>2</w:t>
      </w:r>
      <w:bookmarkStart w:id="245" w:name="_Toc296944496"/>
      <w:bookmarkStart w:id="246" w:name="_Toc296890985"/>
      <w:bookmarkStart w:id="247" w:name="_Toc296347156"/>
      <w:bookmarkStart w:id="248" w:name="_Toc296503157"/>
      <w:bookmarkStart w:id="249" w:name="_Toc296891197"/>
      <w:bookmarkStart w:id="250" w:name="_Toc292559362"/>
      <w:bookmarkStart w:id="251" w:name="_Toc297048343"/>
      <w:bookmarkStart w:id="252" w:name="_Toc292559867"/>
      <w:bookmarkStart w:id="253" w:name="_Toc296346658"/>
      <w:bookmarkStart w:id="254" w:name="_Toc297120457"/>
      <w:r>
        <w:rPr>
          <w:rFonts w:hint="eastAsia" w:ascii="宋体" w:hAnsi="宋体" w:eastAsia="宋体" w:cs="宋体"/>
          <w:b/>
          <w:sz w:val="21"/>
          <w:szCs w:val="21"/>
        </w:rPr>
        <w:t>. 发包人</w:t>
      </w:r>
      <w:bookmarkEnd w:id="237"/>
      <w:bookmarkEnd w:id="238"/>
      <w:bookmarkEnd w:id="239"/>
      <w:bookmarkEnd w:id="240"/>
      <w:bookmarkEnd w:id="241"/>
      <w:bookmarkEnd w:id="242"/>
      <w:bookmarkEnd w:id="243"/>
      <w:bookmarkEnd w:id="244"/>
    </w:p>
    <w:bookmarkEnd w:id="245"/>
    <w:bookmarkEnd w:id="246"/>
    <w:bookmarkEnd w:id="247"/>
    <w:bookmarkEnd w:id="248"/>
    <w:bookmarkEnd w:id="249"/>
    <w:bookmarkEnd w:id="250"/>
    <w:bookmarkEnd w:id="251"/>
    <w:bookmarkEnd w:id="252"/>
    <w:bookmarkEnd w:id="253"/>
    <w:bookmarkEnd w:id="254"/>
    <w:p w14:paraId="1740BC7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55" w:name="_Toc373227703"/>
      <w:bookmarkStart w:id="256" w:name="_Toc389065269"/>
      <w:bookmarkStart w:id="257" w:name="_Toc469010908"/>
      <w:bookmarkStart w:id="258" w:name="_Toc30061952"/>
      <w:bookmarkStart w:id="259" w:name="_Toc2812"/>
      <w:bookmarkStart w:id="260" w:name="_Toc373478350"/>
      <w:bookmarkStart w:id="261" w:name="_Toc3882760"/>
      <w:r>
        <w:rPr>
          <w:rFonts w:hint="eastAsia" w:ascii="宋体" w:hAnsi="宋体" w:eastAsia="宋体" w:cs="宋体"/>
          <w:b/>
          <w:kern w:val="0"/>
          <w:sz w:val="21"/>
          <w:szCs w:val="21"/>
        </w:rPr>
        <w:t>2.2 发包人代表</w:t>
      </w:r>
      <w:bookmarkEnd w:id="255"/>
      <w:bookmarkEnd w:id="256"/>
      <w:bookmarkEnd w:id="257"/>
      <w:bookmarkEnd w:id="258"/>
      <w:bookmarkEnd w:id="259"/>
      <w:bookmarkEnd w:id="260"/>
      <w:bookmarkEnd w:id="261"/>
    </w:p>
    <w:p w14:paraId="44E1CC64">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发包人代表：</w:t>
      </w:r>
    </w:p>
    <w:p w14:paraId="57E0F05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55341A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B51A8FC">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5FDF0EF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72347D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D1D1767">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CF95B51">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发包人对发包人代表的授权范围如下：</w:t>
      </w:r>
      <w:r>
        <w:rPr>
          <w:rFonts w:hint="eastAsia" w:ascii="宋体" w:hAnsi="宋体" w:eastAsia="宋体" w:cs="宋体"/>
          <w:sz w:val="21"/>
          <w:szCs w:val="21"/>
          <w:u w:val="single"/>
        </w:rPr>
        <w:t>对工程进度、质量进行监督，办理中间交工工程验收手续，负责现场签证，解决由发包人授权处理的事宜</w:t>
      </w:r>
      <w:r>
        <w:rPr>
          <w:rFonts w:hint="eastAsia" w:ascii="宋体" w:hAnsi="宋体" w:eastAsia="宋体" w:cs="宋体"/>
          <w:sz w:val="21"/>
          <w:szCs w:val="21"/>
        </w:rPr>
        <w:t>。</w:t>
      </w:r>
    </w:p>
    <w:p w14:paraId="07A12B39">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62" w:name="_Toc469010909"/>
      <w:bookmarkStart w:id="263" w:name="_Toc373227704"/>
      <w:bookmarkStart w:id="264" w:name="_Toc30061953"/>
      <w:bookmarkStart w:id="265" w:name="_Toc373478351"/>
      <w:bookmarkStart w:id="266" w:name="_Toc20485"/>
      <w:bookmarkStart w:id="267" w:name="_Toc389065270"/>
      <w:bookmarkStart w:id="268" w:name="_Toc3882761"/>
      <w:r>
        <w:rPr>
          <w:rFonts w:hint="eastAsia" w:ascii="宋体" w:hAnsi="宋体" w:eastAsia="宋体" w:cs="宋体"/>
          <w:b/>
          <w:kern w:val="0"/>
          <w:sz w:val="21"/>
          <w:szCs w:val="21"/>
        </w:rPr>
        <w:t>2.4 施工现场、施工条件和基础资料的提供</w:t>
      </w:r>
      <w:bookmarkEnd w:id="262"/>
      <w:bookmarkEnd w:id="263"/>
      <w:bookmarkEnd w:id="264"/>
      <w:bookmarkEnd w:id="265"/>
      <w:bookmarkEnd w:id="266"/>
      <w:bookmarkEnd w:id="267"/>
      <w:bookmarkEnd w:id="268"/>
    </w:p>
    <w:p w14:paraId="54EDD55A">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2.4.1 提供施工现场</w:t>
      </w:r>
    </w:p>
    <w:p w14:paraId="536452C2">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关于发包人移交施工现场的期限要求：施工场地应当在监理人发出的开工通知中载明的开工日期前 7 天具备施工条件并移交给承包人。</w:t>
      </w:r>
    </w:p>
    <w:p w14:paraId="7FA917B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2.4.2 提供施工条件</w:t>
      </w:r>
    </w:p>
    <w:p w14:paraId="46A8FDF7">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关于发包人应负责提供施工所需要的条件，包括：</w:t>
      </w:r>
    </w:p>
    <w:p w14:paraId="1E24A322">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⑴ 施工场地具备施工条件的要求及完成的时间：开工3日前完成。</w:t>
      </w:r>
    </w:p>
    <w:p w14:paraId="59DCF2E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⑵ 将施工所需的水、电线路接接至施工现场的时间、地点和供应要求：发包人按承包人的施工现场总平面布置图的要求于开工3日前将水、电接至施工现场。电讯线路的接通由承包人自费解决。水、电、通讯费用由承包人支付。若供电部门的原因造成停电，承包人必须自行解决施工用电，费用自理。</w:t>
      </w:r>
    </w:p>
    <w:p w14:paraId="3F050E27">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⑶ 施工场地与公共道路的通道开通时间和要求：本工程施工现场周围道路通畅。</w:t>
      </w:r>
    </w:p>
    <w:p w14:paraId="6FD292F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⑷ 工程地质和地下管线资料的提供时间： 开工3日前提供，并保证资料的真实、准确和完整。</w:t>
      </w:r>
    </w:p>
    <w:p w14:paraId="25D0EFB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⑸ 由发包人办理的施工所需证件、批件的名称：发包人办好施工许可证。</w:t>
      </w:r>
    </w:p>
    <w:p w14:paraId="0A6CB91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⑹ 水准点和坐标控制点交验要求：开工3日前以书面形式交验，并于交付施工现场时，在现场实际交验，同时做交验记录，并保证资料的真实、准确和完整。</w:t>
      </w:r>
    </w:p>
    <w:p w14:paraId="5B2D253A">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⑺ 图纸会审和设计交底时间：开工3日前。</w:t>
      </w:r>
    </w:p>
    <w:p w14:paraId="3557AE5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⑻ 协调处理施工场地周围地下管线和邻近建筑物、构筑物（含文物保护建筑）、古树名木的保护工作：</w:t>
      </w:r>
    </w:p>
    <w:p w14:paraId="09F385D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 施工中发现古墓、古建筑遗址等文物及化石或其他有考古、地质研究等价值的物品时，承包人应立即保护好现场并于4小时内以书面形式通知发包人，发包人应于收到书面通知后24小时内报告当地文物管理部门，发包人、承包人按文物管理部门的要求采取妥善保护措施。发包人承担由此发生的费用，顺延延误的工期。</w:t>
      </w:r>
    </w:p>
    <w:p w14:paraId="18187DB1">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② 施工中发现影响施工的地下障碍物时，承包人应于8小时内以书面形式通知发包人，同时提出处置方案，发包人收到处置方案后24小时内予以认可或提出修正方案。发包人承担由此发生的费用，顺延延误的工期 。</w:t>
      </w:r>
    </w:p>
    <w:p w14:paraId="4A5A445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69" w:name="_Toc469010910"/>
      <w:bookmarkStart w:id="270" w:name="_Toc3882762"/>
      <w:bookmarkStart w:id="271" w:name="_Toc373227705"/>
      <w:bookmarkStart w:id="272" w:name="_Toc30061954"/>
      <w:bookmarkStart w:id="273" w:name="_Toc373478352"/>
      <w:bookmarkStart w:id="274" w:name="_Toc12607"/>
      <w:bookmarkStart w:id="275" w:name="_Toc389065271"/>
      <w:r>
        <w:rPr>
          <w:rFonts w:hint="eastAsia" w:ascii="宋体" w:hAnsi="宋体" w:eastAsia="宋体" w:cs="宋体"/>
          <w:b/>
          <w:kern w:val="0"/>
          <w:sz w:val="21"/>
          <w:szCs w:val="21"/>
        </w:rPr>
        <w:t>2.5 资金来源证明及支付担保</w:t>
      </w:r>
      <w:bookmarkEnd w:id="269"/>
      <w:bookmarkEnd w:id="270"/>
      <w:bookmarkEnd w:id="271"/>
      <w:bookmarkEnd w:id="272"/>
      <w:bookmarkEnd w:id="273"/>
      <w:bookmarkEnd w:id="274"/>
      <w:bookmarkEnd w:id="275"/>
    </w:p>
    <w:p w14:paraId="5584D1E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发包人提供资金来源证明的期限要求：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2A3C835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发包人是否提供支付担保：否。</w:t>
      </w:r>
    </w:p>
    <w:p w14:paraId="3710C55C">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发包人提供支付担保的形式：/  。</w:t>
      </w:r>
    </w:p>
    <w:p w14:paraId="541AFF75">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发包人提供的支付担保格式见合同附件2。</w:t>
      </w:r>
    </w:p>
    <w:p w14:paraId="6A999DF1">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276" w:name="_Toc30061955"/>
      <w:bookmarkStart w:id="277" w:name="_Toc351203635"/>
      <w:bookmarkStart w:id="278" w:name="_Toc3882763"/>
      <w:bookmarkStart w:id="279" w:name="_Toc373227706"/>
      <w:bookmarkStart w:id="280" w:name="_Toc469010911"/>
      <w:bookmarkStart w:id="281" w:name="_Toc20989"/>
      <w:bookmarkStart w:id="282" w:name="_Toc389065272"/>
      <w:bookmarkStart w:id="283" w:name="_Toc373478353"/>
      <w:r>
        <w:rPr>
          <w:rFonts w:hint="eastAsia" w:ascii="宋体" w:hAnsi="宋体" w:eastAsia="宋体" w:cs="宋体"/>
          <w:b/>
          <w:sz w:val="21"/>
          <w:szCs w:val="21"/>
        </w:rPr>
        <w:t>3</w:t>
      </w:r>
      <w:bookmarkStart w:id="284" w:name="_Toc292559868"/>
      <w:bookmarkStart w:id="285" w:name="_Toc292559363"/>
      <w:bookmarkStart w:id="286" w:name="_Toc296347157"/>
      <w:bookmarkStart w:id="287" w:name="_Toc296944497"/>
      <w:bookmarkStart w:id="288" w:name="_Toc296503158"/>
      <w:bookmarkStart w:id="289" w:name="_Toc296891198"/>
      <w:bookmarkStart w:id="290" w:name="_Toc297048344"/>
      <w:bookmarkStart w:id="291" w:name="_Toc296346659"/>
      <w:bookmarkStart w:id="292" w:name="_Toc296890986"/>
      <w:bookmarkStart w:id="293" w:name="_Toc297120458"/>
      <w:r>
        <w:rPr>
          <w:rFonts w:hint="eastAsia" w:ascii="宋体" w:hAnsi="宋体" w:eastAsia="宋体" w:cs="宋体"/>
          <w:b/>
          <w:sz w:val="21"/>
          <w:szCs w:val="21"/>
        </w:rPr>
        <w:t>. 承包人</w:t>
      </w:r>
      <w:bookmarkEnd w:id="276"/>
      <w:bookmarkEnd w:id="277"/>
      <w:bookmarkEnd w:id="278"/>
      <w:bookmarkEnd w:id="279"/>
      <w:bookmarkEnd w:id="280"/>
      <w:bookmarkEnd w:id="281"/>
      <w:bookmarkEnd w:id="282"/>
      <w:bookmarkEnd w:id="283"/>
    </w:p>
    <w:bookmarkEnd w:id="284"/>
    <w:bookmarkEnd w:id="285"/>
    <w:bookmarkEnd w:id="286"/>
    <w:bookmarkEnd w:id="287"/>
    <w:bookmarkEnd w:id="288"/>
    <w:bookmarkEnd w:id="289"/>
    <w:bookmarkEnd w:id="290"/>
    <w:bookmarkEnd w:id="291"/>
    <w:bookmarkEnd w:id="292"/>
    <w:bookmarkEnd w:id="293"/>
    <w:p w14:paraId="6BF6A061">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294" w:name="_Toc389065273"/>
      <w:bookmarkStart w:id="295" w:name="_Toc3882764"/>
      <w:bookmarkStart w:id="296" w:name="_Toc373478354"/>
      <w:bookmarkStart w:id="297" w:name="_Toc30061956"/>
      <w:bookmarkStart w:id="298" w:name="_Toc469010912"/>
      <w:bookmarkStart w:id="299" w:name="_Toc25134"/>
      <w:bookmarkStart w:id="300" w:name="_Toc373227707"/>
      <w:r>
        <w:rPr>
          <w:rFonts w:hint="eastAsia" w:ascii="宋体" w:hAnsi="宋体" w:eastAsia="宋体" w:cs="宋体"/>
          <w:b/>
          <w:kern w:val="0"/>
          <w:sz w:val="21"/>
          <w:szCs w:val="21"/>
        </w:rPr>
        <w:t>3.1 承包人的一般义务</w:t>
      </w:r>
      <w:bookmarkEnd w:id="294"/>
      <w:bookmarkEnd w:id="295"/>
      <w:bookmarkEnd w:id="296"/>
      <w:bookmarkEnd w:id="297"/>
      <w:bookmarkEnd w:id="298"/>
      <w:bookmarkEnd w:id="299"/>
      <w:bookmarkEnd w:id="300"/>
    </w:p>
    <w:p w14:paraId="5E914416">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（9）承包人提交的竣工资料的内容：按照法律规定和合同约定编制竣工资料，完成竣工资料立卷及归档，并按如下约定的竣工资料的套数、内容、时间等要求移交发包人；</w:t>
      </w:r>
    </w:p>
    <w:p w14:paraId="2182A72E">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承包人提交的竣工资料的内容：按竣工资料移交的有关规定办理。</w:t>
      </w:r>
    </w:p>
    <w:p w14:paraId="4ECB9F38">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承包人提交竣工资料份数：陆份。</w:t>
      </w:r>
    </w:p>
    <w:p w14:paraId="30B86B7A">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承包人提交的竣工资料的费用承担：由承包人承担。</w:t>
      </w:r>
    </w:p>
    <w:p w14:paraId="790BA43D">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承包人提交的竣工资料移交时间：竣工验收正式通过后15天内。</w:t>
      </w:r>
    </w:p>
    <w:p w14:paraId="65378691">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承包人提交的竣工资料形式要求：按竣工资料移交的有关规定办理。</w:t>
      </w:r>
    </w:p>
    <w:p w14:paraId="06776697">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（10）承包人应履行的其他义务：</w:t>
      </w:r>
    </w:p>
    <w:p w14:paraId="60893413">
      <w:pPr>
        <w:pStyle w:val="54"/>
        <w:spacing w:line="360" w:lineRule="auto"/>
        <w:ind w:firstLine="420" w:firstLineChars="200"/>
        <w:rPr>
          <w:rFonts w:hint="eastAsia" w:ascii="宋体" w:hAnsi="宋体" w:eastAsia="宋体" w:cs="宋体"/>
          <w:kern w:val="0"/>
          <w:sz w:val="21"/>
          <w:szCs w:val="21"/>
          <w:shd w:val="clear" w:color="FFFFFF" w:fill="D9D9D9"/>
        </w:rPr>
      </w:pPr>
      <w:r>
        <w:rPr>
          <w:rFonts w:hint="eastAsia" w:ascii="宋体" w:hAnsi="宋体" w:eastAsia="宋体" w:cs="宋体"/>
          <w:kern w:val="0"/>
          <w:sz w:val="21"/>
          <w:szCs w:val="21"/>
        </w:rPr>
        <w:t> ①取土场及弃土场由承包人自行解决，但不得违反相关管理规定，并承担相关费用。</w:t>
      </w:r>
    </w:p>
    <w:p w14:paraId="4C17B22A">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②全面完成合同约定的有关承包人的义务。</w:t>
      </w:r>
    </w:p>
    <w:p w14:paraId="23ECA6A6">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01" w:name="_Toc30061957"/>
      <w:bookmarkStart w:id="302" w:name="_Toc373478355"/>
      <w:bookmarkStart w:id="303" w:name="_Toc373227708"/>
      <w:bookmarkStart w:id="304" w:name="_Toc469010913"/>
      <w:bookmarkStart w:id="305" w:name="_Toc3882765"/>
      <w:bookmarkStart w:id="306" w:name="_Toc389065274"/>
      <w:bookmarkStart w:id="307" w:name="_Toc23370"/>
      <w:r>
        <w:rPr>
          <w:rFonts w:hint="eastAsia" w:ascii="宋体" w:hAnsi="宋体" w:eastAsia="宋体" w:cs="宋体"/>
          <w:b/>
          <w:kern w:val="0"/>
          <w:sz w:val="21"/>
          <w:szCs w:val="21"/>
        </w:rPr>
        <w:t>3.2 项目经理</w:t>
      </w:r>
      <w:bookmarkEnd w:id="301"/>
      <w:bookmarkEnd w:id="302"/>
      <w:bookmarkEnd w:id="303"/>
      <w:bookmarkEnd w:id="304"/>
      <w:bookmarkEnd w:id="305"/>
      <w:bookmarkEnd w:id="306"/>
      <w:bookmarkEnd w:id="307"/>
    </w:p>
    <w:p w14:paraId="4990B04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kern w:val="0"/>
          <w:sz w:val="21"/>
          <w:szCs w:val="21"/>
        </w:rPr>
        <w:t xml:space="preserve">3.2.1 </w:t>
      </w:r>
      <w:r>
        <w:rPr>
          <w:rFonts w:hint="eastAsia" w:ascii="宋体" w:hAnsi="宋体" w:eastAsia="宋体" w:cs="宋体"/>
          <w:sz w:val="21"/>
          <w:szCs w:val="21"/>
        </w:rPr>
        <w:t>项目经理：</w:t>
      </w:r>
    </w:p>
    <w:p w14:paraId="22D3D0E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67B643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75DA48B">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身份证号：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C4474B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建造师执业资格等级：</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DF4FE3B">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建造师注册证书号：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6B6A9AB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建造师执业印章号：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95A35C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安全生产考核合格证书号：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A99AB3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342AE25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03558A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73E0BB0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承包人对项目经理的授权范围如下：</w:t>
      </w:r>
      <w:r>
        <w:rPr>
          <w:rFonts w:hint="eastAsia" w:ascii="宋体" w:hAnsi="宋体" w:eastAsia="宋体" w:cs="宋体"/>
          <w:sz w:val="21"/>
          <w:szCs w:val="21"/>
          <w:u w:val="single"/>
        </w:rPr>
        <w:t>1.对施工现场的日常施工管理，如需具体授权以授权委托书为准；2.因本工程施工必须签订其他合同或产生债权债务文书的，合同应加盖承包人在公安及工商部门登记备案的法人公章，不可由项目经理或他人私自签订</w:t>
      </w:r>
      <w:r>
        <w:rPr>
          <w:rFonts w:hint="eastAsia" w:ascii="宋体" w:hAnsi="宋体" w:eastAsia="宋体" w:cs="宋体"/>
          <w:sz w:val="21"/>
          <w:szCs w:val="21"/>
        </w:rPr>
        <w:t>。</w:t>
      </w:r>
    </w:p>
    <w:p w14:paraId="1D09C934">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关于项目经理每月在施工现场的时间要求：</w:t>
      </w:r>
      <w:r>
        <w:rPr>
          <w:rFonts w:hint="eastAsia" w:ascii="宋体" w:hAnsi="宋体" w:eastAsia="宋体" w:cs="宋体"/>
          <w:sz w:val="21"/>
          <w:szCs w:val="21"/>
          <w:u w:val="single"/>
        </w:rPr>
        <w:t>项目经理每月在现场时间不得少于22日历天</w:t>
      </w:r>
      <w:r>
        <w:rPr>
          <w:rFonts w:hint="eastAsia" w:ascii="宋体" w:hAnsi="宋体" w:eastAsia="宋体" w:cs="宋体"/>
          <w:sz w:val="21"/>
          <w:szCs w:val="21"/>
        </w:rPr>
        <w:t>。</w:t>
      </w:r>
    </w:p>
    <w:p w14:paraId="36D9EF78">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承包人未提交劳动合同，以及没有为项目经理缴纳社会保险证明的违约责任：</w:t>
      </w:r>
      <w:r>
        <w:rPr>
          <w:rFonts w:hint="eastAsia" w:ascii="宋体" w:hAnsi="宋体" w:eastAsia="宋体" w:cs="宋体"/>
          <w:color w:val="000000"/>
          <w:sz w:val="21"/>
          <w:szCs w:val="21"/>
          <w:u w:val="single"/>
        </w:rPr>
        <w:t>项目经理无权履行职责，由此影响工程进度或发生其它问题的，由承包人承担责任</w:t>
      </w:r>
      <w:r>
        <w:rPr>
          <w:rFonts w:hint="eastAsia" w:ascii="宋体" w:hAnsi="宋体" w:eastAsia="宋体" w:cs="宋体"/>
          <w:sz w:val="21"/>
          <w:szCs w:val="21"/>
        </w:rPr>
        <w:t>。</w:t>
      </w:r>
    </w:p>
    <w:p w14:paraId="0F95F4D0">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kern w:val="0"/>
          <w:sz w:val="21"/>
          <w:szCs w:val="21"/>
        </w:rPr>
        <w:t>项目经理未经批准，擅自离开施工现场的违约责任：</w:t>
      </w:r>
      <w:r>
        <w:rPr>
          <w:rFonts w:hint="eastAsia" w:ascii="宋体" w:hAnsi="宋体" w:eastAsia="宋体" w:cs="宋体"/>
          <w:sz w:val="21"/>
          <w:szCs w:val="21"/>
          <w:u w:val="single"/>
        </w:rPr>
        <w:t>项目经理每月在岗带班时间不得少于当月施工时间的80%。未经发包人同意或正当理由，项目经理每月在岗带班时间少于当月施工时间80%的，少在岗带班一天，发包人有权处违约金</w:t>
      </w:r>
      <w:r>
        <w:rPr>
          <w:rFonts w:hint="eastAsia" w:ascii="宋体" w:hAnsi="宋体" w:eastAsia="宋体" w:cs="宋体"/>
          <w:color w:val="000000"/>
          <w:sz w:val="21"/>
          <w:szCs w:val="21"/>
          <w:u w:val="single"/>
        </w:rPr>
        <w:t>5000元/</w:t>
      </w:r>
      <w:r>
        <w:rPr>
          <w:rFonts w:hint="eastAsia" w:ascii="宋体" w:hAnsi="宋体" w:eastAsia="宋体" w:cs="宋体"/>
          <w:sz w:val="21"/>
          <w:szCs w:val="21"/>
          <w:u w:val="single"/>
        </w:rPr>
        <w:t>日（人民币）。</w:t>
      </w:r>
    </w:p>
    <w:p w14:paraId="6D49283B">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3.2.3 承包人擅自更换项目经理的违约责任：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50000元/人•次（人民币）。</w:t>
      </w:r>
    </w:p>
    <w:p w14:paraId="068EB83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u w:val="single"/>
        </w:rPr>
        <w:t>3.2.4 承包人无正当理由拒绝更换项目经理的违约责任：因承包人项目经理不称职，发包人要求调换而未及时调换的，视为承包人违约，必须向发包人交纳处罚金50000元/人•次（人民币）</w:t>
      </w:r>
      <w:r>
        <w:rPr>
          <w:rFonts w:hint="eastAsia" w:ascii="宋体" w:hAnsi="宋体" w:eastAsia="宋体" w:cs="宋体"/>
          <w:sz w:val="21"/>
          <w:szCs w:val="21"/>
        </w:rPr>
        <w:t>。</w:t>
      </w:r>
    </w:p>
    <w:p w14:paraId="7EE4161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08" w:name="_Toc389065275"/>
      <w:bookmarkStart w:id="309" w:name="_Toc30061958"/>
      <w:bookmarkStart w:id="310" w:name="_Toc12318"/>
      <w:bookmarkStart w:id="311" w:name="_Toc373227709"/>
      <w:bookmarkStart w:id="312" w:name="_Toc469010914"/>
      <w:bookmarkStart w:id="313" w:name="_Toc3882766"/>
      <w:bookmarkStart w:id="314" w:name="_Toc373478356"/>
      <w:r>
        <w:rPr>
          <w:rFonts w:hint="eastAsia" w:ascii="宋体" w:hAnsi="宋体" w:eastAsia="宋体" w:cs="宋体"/>
          <w:b/>
          <w:kern w:val="0"/>
          <w:sz w:val="21"/>
          <w:szCs w:val="21"/>
        </w:rPr>
        <w:t>3.3 承包人人员</w:t>
      </w:r>
      <w:bookmarkEnd w:id="308"/>
      <w:bookmarkEnd w:id="309"/>
      <w:bookmarkEnd w:id="310"/>
      <w:bookmarkEnd w:id="311"/>
      <w:bookmarkEnd w:id="312"/>
      <w:bookmarkEnd w:id="313"/>
      <w:bookmarkEnd w:id="314"/>
    </w:p>
    <w:p w14:paraId="0C1BA9AA">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3.3.1 承包人提交项目管理机构及施工现场管理人员安排报告（格式见合同附件3）的期限：</w:t>
      </w:r>
      <w:r>
        <w:rPr>
          <w:rFonts w:hint="eastAsia" w:ascii="宋体" w:hAnsi="宋体" w:eastAsia="宋体" w:cs="宋体"/>
          <w:sz w:val="21"/>
          <w:szCs w:val="21"/>
          <w:u w:val="single"/>
        </w:rPr>
        <w:t>合同签订后14天内</w:t>
      </w:r>
      <w:r>
        <w:rPr>
          <w:rFonts w:hint="eastAsia" w:ascii="宋体" w:hAnsi="宋体" w:eastAsia="宋体" w:cs="宋体"/>
          <w:sz w:val="21"/>
          <w:szCs w:val="21"/>
        </w:rPr>
        <w:t>。</w:t>
      </w:r>
    </w:p>
    <w:p w14:paraId="1A984F5E">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3.3.3 承包人无正当理由拒绝撤换主要施工管理人员的违约责任：</w:t>
      </w:r>
      <w:bookmarkStart w:id="315" w:name="_Toc373478357"/>
      <w:bookmarkStart w:id="316" w:name="_Toc389065276"/>
      <w:bookmarkStart w:id="317" w:name="_Toc373227710"/>
      <w:bookmarkStart w:id="318" w:name="_Toc469010915"/>
      <w:r>
        <w:rPr>
          <w:rFonts w:hint="eastAsia" w:ascii="宋体" w:hAnsi="宋体" w:eastAsia="宋体" w:cs="宋体"/>
          <w:sz w:val="21"/>
          <w:szCs w:val="21"/>
          <w:u w:val="single"/>
        </w:rPr>
        <w:t>因承包人主要施工管理人员不称职，发包人要求调换而无正当理由拒绝撤换或未能及时调换完毕的，视为承包人违约，必须向发包人交纳处罚金，处罚标准：技术负责人30000元/人•次（人民币）；专业工程师20000元/人•次（人民币）。</w:t>
      </w:r>
    </w:p>
    <w:p w14:paraId="767E6E35">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3.3.4 承包人主要施工管理人员离开施工现场的批准要求：应经发包人和监理工程师批准。</w:t>
      </w:r>
    </w:p>
    <w:p w14:paraId="78C5EFE7">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3.3.5 承包人擅自更换主要施工管理人员的违约责任：项目技术负责人、专职安全员及其承诺的其它在场管理人员未经发包人书面同意不准擅自更换，擅自更换项目技术负责人处30000元/人•次（人民币）违约金；擅自更换专职安全员处20000元/人•次（人民币）违约金；擅自更换其它在场管理人员处10000 元/人•次（人民币）违约金。</w:t>
      </w:r>
    </w:p>
    <w:p w14:paraId="446FDC98">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承包人主要施工管理人员擅自离开施工现场的违约责任：未经发包人同意，项目技术负责人擅自离岗的，视为承包人违约，发包人有权处违约金30000元/人•次（人民币）；未经发包人同意，专职安全员擅自离岗的，视为承包人违约，发包人有权处违约金20000 元/人•次（人民币）；其它在场管理人员擅自离岗的，视为承包人违约，发包人有权处违约金10000 元/人•次（人民币）。</w:t>
      </w:r>
    </w:p>
    <w:p w14:paraId="68F972C1">
      <w:pPr>
        <w:pStyle w:val="54"/>
        <w:spacing w:line="360" w:lineRule="auto"/>
        <w:ind w:firstLine="420" w:firstLineChars="200"/>
        <w:outlineLvl w:val="0"/>
        <w:rPr>
          <w:rFonts w:hint="eastAsia" w:ascii="宋体" w:hAnsi="宋体" w:eastAsia="宋体" w:cs="宋体"/>
          <w:sz w:val="21"/>
          <w:szCs w:val="21"/>
        </w:rPr>
      </w:pPr>
      <w:bookmarkStart w:id="319" w:name="_Toc30061959"/>
      <w:bookmarkStart w:id="320" w:name="_Toc3882767"/>
      <w:r>
        <w:rPr>
          <w:rFonts w:hint="eastAsia" w:ascii="宋体" w:hAnsi="宋体" w:eastAsia="宋体" w:cs="宋体"/>
          <w:sz w:val="21"/>
          <w:szCs w:val="21"/>
        </w:rPr>
        <w:t>3</w:t>
      </w:r>
      <w:bookmarkStart w:id="321" w:name="_Toc292559364"/>
      <w:bookmarkStart w:id="322" w:name="_Toc303539102"/>
      <w:bookmarkStart w:id="323" w:name="_Toc304295523"/>
      <w:bookmarkStart w:id="324" w:name="_Toc300934945"/>
      <w:bookmarkStart w:id="325" w:name="_Toc312677988"/>
      <w:bookmarkStart w:id="326" w:name="_Toc296891199"/>
      <w:bookmarkStart w:id="327" w:name="_Toc296944498"/>
      <w:bookmarkStart w:id="328" w:name="_Toc297216151"/>
      <w:bookmarkStart w:id="329" w:name="_Toc296347158"/>
      <w:bookmarkStart w:id="330" w:name="_Toc297120459"/>
      <w:bookmarkStart w:id="331" w:name="_Toc296346660"/>
      <w:bookmarkStart w:id="332" w:name="_Toc296890987"/>
      <w:bookmarkStart w:id="333" w:name="_Toc297123492"/>
      <w:bookmarkStart w:id="334" w:name="_Toc297048345"/>
      <w:bookmarkStart w:id="335" w:name="_Toc292559869"/>
      <w:bookmarkStart w:id="336" w:name="_Toc296503159"/>
      <w:r>
        <w:rPr>
          <w:rFonts w:hint="eastAsia" w:ascii="宋体" w:hAnsi="宋体" w:eastAsia="宋体" w:cs="宋体"/>
          <w:sz w:val="21"/>
          <w:szCs w:val="21"/>
        </w:rPr>
        <w:t>.5 分包</w:t>
      </w:r>
      <w:bookmarkEnd w:id="315"/>
      <w:bookmarkEnd w:id="316"/>
      <w:bookmarkEnd w:id="317"/>
      <w:bookmarkEnd w:id="318"/>
      <w:bookmarkEnd w:id="319"/>
      <w:bookmarkEnd w:id="320"/>
    </w:p>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14:paraId="315BC82D">
      <w:pPr>
        <w:pStyle w:val="54"/>
        <w:spacing w:line="360" w:lineRule="auto"/>
        <w:ind w:firstLine="420" w:firstLineChars="200"/>
        <w:rPr>
          <w:rFonts w:hint="eastAsia" w:ascii="宋体" w:hAnsi="宋体" w:eastAsia="宋体" w:cs="宋体"/>
          <w:sz w:val="21"/>
          <w:szCs w:val="21"/>
        </w:rPr>
      </w:pPr>
      <w:bookmarkStart w:id="337" w:name="_Toc389065277"/>
      <w:bookmarkStart w:id="338" w:name="_Toc373227711"/>
      <w:bookmarkStart w:id="339" w:name="_Toc373478358"/>
      <w:r>
        <w:rPr>
          <w:rFonts w:hint="eastAsia" w:ascii="宋体" w:hAnsi="宋体" w:eastAsia="宋体" w:cs="宋体"/>
          <w:sz w:val="21"/>
          <w:szCs w:val="21"/>
        </w:rPr>
        <w:t>3.5.1 分包的一般约定</w:t>
      </w:r>
    </w:p>
    <w:p w14:paraId="5A73448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禁止分包的工程包括：本工程不得分包。</w:t>
      </w:r>
    </w:p>
    <w:p w14:paraId="4AC770D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主体结构、关键性工作的范围：/  。</w:t>
      </w:r>
    </w:p>
    <w:p w14:paraId="55486EE2">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3.5.2 分包的确定</w:t>
      </w:r>
    </w:p>
    <w:p w14:paraId="6A6B01E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允许分包的专业工程包括：/  。</w:t>
      </w:r>
    </w:p>
    <w:p w14:paraId="4636F95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其他关于分包的约定：</w:t>
      </w:r>
    </w:p>
    <w:p w14:paraId="3B4C877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4。</w:t>
      </w:r>
    </w:p>
    <w:p w14:paraId="0605DC64">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（2）在相关分包合同签订并报送有关建设行政主管部门备案后7天内，承包人应当将一份副本提交给监理人，承包人应保障分包工作不得再次分包。</w:t>
      </w:r>
    </w:p>
    <w:p w14:paraId="047D690A">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（3）未经承包人和监理人审批同意的分包工程和分包人，承包人有权拒绝验收分包工程和支付相应款项，由此引起的发包人费用增加和(或)延误的工期由发包人承担。</w:t>
      </w:r>
    </w:p>
    <w:p w14:paraId="001C267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（4）承包人有以下情况之一者，发包人有权解除合同，并视情况扣除其履约保证金：</w:t>
      </w:r>
    </w:p>
    <w:p w14:paraId="2EC04BB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①个人承包工程，包括本人单位及外单位人员承包，发包人不承认其个人拥有任何资质等级及营业许可资格。没收全部履约保证金。</w:t>
      </w:r>
    </w:p>
    <w:p w14:paraId="75137EFB">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②几个人联合承包工程，就地组织暗分包队伍，不具备完成本工程的技术、机械能力，被发包人判定为没有能力履行的承包人。没收全部履约保证金。</w:t>
      </w:r>
    </w:p>
    <w:p w14:paraId="2D4B74E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③就地转包全部的工程，以谋取高额转让费、管理费的承包人。没收全部履约保证金。</w:t>
      </w:r>
    </w:p>
    <w:p w14:paraId="77B4E70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④承包人有部分分包现象（其中包括冒充承包人下属单位的挂勾单位，凭口头协议参与施工的分包人及其他暗分包个体户），一经发现核实，发包人将采取驱逐该暗分包人措施。没收全部履约保证金。</w:t>
      </w:r>
    </w:p>
    <w:p w14:paraId="1DBDF6C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3.5.4 分包合同价款</w:t>
      </w:r>
    </w:p>
    <w:p w14:paraId="5358EDF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分包合同价款支付的约定：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14:paraId="31C5FCF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40" w:name="_Toc469010916"/>
      <w:bookmarkStart w:id="341" w:name="_Toc31132"/>
      <w:bookmarkStart w:id="342" w:name="_Toc30061960"/>
      <w:bookmarkStart w:id="343" w:name="_Toc3882768"/>
      <w:r>
        <w:rPr>
          <w:rFonts w:hint="eastAsia" w:ascii="宋体" w:hAnsi="宋体" w:eastAsia="宋体" w:cs="宋体"/>
          <w:b/>
          <w:kern w:val="0"/>
          <w:sz w:val="21"/>
          <w:szCs w:val="21"/>
        </w:rPr>
        <w:t>3.6 工程照管与成品、半成品保护</w:t>
      </w:r>
      <w:bookmarkEnd w:id="337"/>
      <w:bookmarkEnd w:id="338"/>
      <w:bookmarkEnd w:id="339"/>
      <w:bookmarkEnd w:id="340"/>
      <w:bookmarkEnd w:id="341"/>
      <w:bookmarkEnd w:id="342"/>
      <w:bookmarkEnd w:id="343"/>
    </w:p>
    <w:p w14:paraId="1B0CEED3">
      <w:pPr>
        <w:pStyle w:val="54"/>
        <w:spacing w:line="360" w:lineRule="auto"/>
        <w:ind w:firstLine="420" w:firstLineChars="200"/>
        <w:rPr>
          <w:rFonts w:hint="eastAsia" w:ascii="宋体" w:hAnsi="宋体" w:eastAsia="宋体" w:cs="宋体"/>
          <w:kern w:val="0"/>
          <w:sz w:val="21"/>
          <w:szCs w:val="21"/>
          <w:u w:val="single"/>
        </w:rPr>
      </w:pPr>
      <w:r>
        <w:rPr>
          <w:rFonts w:hint="eastAsia" w:ascii="宋体" w:hAnsi="宋体" w:eastAsia="宋体" w:cs="宋体"/>
          <w:kern w:val="0"/>
          <w:sz w:val="21"/>
          <w:szCs w:val="21"/>
        </w:rPr>
        <w:t>承包人负责照管工程及工程相关的材料、工程设备的起始时间：</w:t>
      </w:r>
      <w:r>
        <w:rPr>
          <w:rFonts w:hint="eastAsia" w:ascii="宋体" w:hAnsi="宋体" w:eastAsia="宋体" w:cs="宋体"/>
          <w:kern w:val="0"/>
          <w:sz w:val="21"/>
          <w:szCs w:val="21"/>
          <w:u w:val="single"/>
        </w:rPr>
        <w:t>从承包人进场到工程竣工验收合格并交付发包人后</w:t>
      </w:r>
      <w:r>
        <w:rPr>
          <w:rFonts w:hint="eastAsia" w:ascii="宋体" w:hAnsi="宋体" w:eastAsia="宋体" w:cs="宋体"/>
          <w:kern w:val="0"/>
          <w:sz w:val="21"/>
          <w:szCs w:val="21"/>
        </w:rPr>
        <w:t>。</w:t>
      </w:r>
    </w:p>
    <w:p w14:paraId="1CCC05CA">
      <w:pPr>
        <w:pStyle w:val="54"/>
        <w:keepNext/>
        <w:keepLines/>
        <w:spacing w:before="260" w:after="260" w:line="360" w:lineRule="auto"/>
        <w:ind w:firstLine="422" w:firstLineChars="200"/>
        <w:outlineLvl w:val="2"/>
        <w:rPr>
          <w:rFonts w:hint="eastAsia" w:ascii="宋体" w:hAnsi="宋体" w:eastAsia="宋体" w:cs="宋体"/>
          <w:b/>
          <w:bCs/>
          <w:kern w:val="0"/>
          <w:sz w:val="21"/>
          <w:szCs w:val="21"/>
          <w:highlight w:val="yellow"/>
        </w:rPr>
      </w:pPr>
      <w:bookmarkStart w:id="344" w:name="_Toc389065278"/>
      <w:bookmarkStart w:id="345" w:name="_Toc373478359"/>
      <w:bookmarkStart w:id="346" w:name="_Toc373227712"/>
      <w:bookmarkStart w:id="347" w:name="_Toc469010917"/>
      <w:bookmarkStart w:id="348" w:name="_Toc3882769"/>
      <w:bookmarkStart w:id="349" w:name="_Toc27620"/>
      <w:bookmarkStart w:id="350" w:name="_Toc30061961"/>
      <w:r>
        <w:rPr>
          <w:rFonts w:hint="eastAsia" w:ascii="宋体" w:hAnsi="宋体" w:eastAsia="宋体" w:cs="宋体"/>
          <w:b/>
          <w:bCs/>
          <w:kern w:val="0"/>
          <w:sz w:val="21"/>
          <w:szCs w:val="21"/>
        </w:rPr>
        <w:t>3.7 履约</w:t>
      </w:r>
      <w:bookmarkEnd w:id="344"/>
      <w:bookmarkEnd w:id="345"/>
      <w:bookmarkEnd w:id="346"/>
      <w:r>
        <w:rPr>
          <w:rFonts w:hint="eastAsia" w:ascii="宋体" w:hAnsi="宋体" w:eastAsia="宋体" w:cs="宋体"/>
          <w:b/>
          <w:bCs/>
          <w:kern w:val="0"/>
          <w:sz w:val="21"/>
          <w:szCs w:val="21"/>
        </w:rPr>
        <w:t>保证金</w:t>
      </w:r>
      <w:bookmarkEnd w:id="347"/>
      <w:bookmarkEnd w:id="348"/>
      <w:bookmarkEnd w:id="349"/>
      <w:bookmarkEnd w:id="350"/>
    </w:p>
    <w:p w14:paraId="67359F51">
      <w:pPr>
        <w:pStyle w:val="54"/>
        <w:spacing w:line="360" w:lineRule="auto"/>
        <w:ind w:firstLine="420" w:firstLineChars="200"/>
        <w:rPr>
          <w:rFonts w:hint="eastAsia" w:ascii="宋体" w:hAnsi="宋体" w:eastAsia="宋体" w:cs="宋体"/>
          <w:kern w:val="0"/>
          <w:sz w:val="21"/>
          <w:szCs w:val="21"/>
          <w:highlight w:val="red"/>
          <w:u w:val="single"/>
        </w:rPr>
      </w:pPr>
      <w:bookmarkStart w:id="351" w:name="_Toc30061962"/>
      <w:bookmarkStart w:id="352" w:name="_Toc373227713"/>
      <w:bookmarkStart w:id="353" w:name="_Toc373478360"/>
      <w:bookmarkStart w:id="354" w:name="_Toc351203636"/>
      <w:bookmarkStart w:id="355" w:name="_Toc29876"/>
      <w:bookmarkStart w:id="356" w:name="_Toc3882770"/>
      <w:bookmarkStart w:id="357" w:name="_Toc469010918"/>
      <w:bookmarkStart w:id="358" w:name="_Toc389065279"/>
      <w:r>
        <w:rPr>
          <w:rFonts w:hint="eastAsia" w:ascii="宋体" w:hAnsi="宋体" w:eastAsia="宋体" w:cs="宋体"/>
          <w:kern w:val="0"/>
          <w:sz w:val="21"/>
          <w:szCs w:val="21"/>
        </w:rPr>
        <w:t>承包人是否提供履约担保：</w:t>
      </w:r>
      <w:r>
        <w:rPr>
          <w:rFonts w:hint="eastAsia" w:ascii="宋体" w:hAnsi="宋体" w:eastAsia="宋体" w:cs="宋体"/>
          <w:kern w:val="0"/>
          <w:sz w:val="21"/>
          <w:szCs w:val="21"/>
          <w:u w:val="single"/>
        </w:rPr>
        <w:t xml:space="preserve">  否  </w:t>
      </w:r>
    </w:p>
    <w:p w14:paraId="62F364A2">
      <w:pPr>
        <w:pStyle w:val="54"/>
        <w:keepNext/>
        <w:keepLines/>
        <w:spacing w:before="60" w:after="60" w:line="360" w:lineRule="auto"/>
        <w:ind w:firstLine="422" w:firstLineChars="200"/>
        <w:outlineLvl w:val="1"/>
        <w:rPr>
          <w:rFonts w:hint="eastAsia" w:ascii="宋体" w:hAnsi="宋体" w:eastAsia="宋体" w:cs="宋体"/>
          <w:b/>
          <w:sz w:val="21"/>
          <w:szCs w:val="21"/>
        </w:rPr>
      </w:pPr>
      <w:r>
        <w:rPr>
          <w:rFonts w:hint="eastAsia" w:ascii="宋体" w:hAnsi="宋体" w:eastAsia="宋体" w:cs="宋体"/>
          <w:b/>
          <w:sz w:val="21"/>
          <w:szCs w:val="21"/>
        </w:rPr>
        <w:t>4</w:t>
      </w:r>
      <w:bookmarkStart w:id="359" w:name="_Toc296347161"/>
      <w:bookmarkStart w:id="360" w:name="_Toc292559871"/>
      <w:bookmarkStart w:id="361" w:name="_Toc296503162"/>
      <w:bookmarkStart w:id="362" w:name="_Toc297048348"/>
      <w:bookmarkStart w:id="363" w:name="_Toc296346663"/>
      <w:bookmarkStart w:id="364" w:name="_Toc267251413"/>
      <w:bookmarkStart w:id="365" w:name="_Toc297120462"/>
      <w:bookmarkStart w:id="366" w:name="_Toc292559366"/>
      <w:bookmarkStart w:id="367" w:name="_Toc296891202"/>
      <w:bookmarkStart w:id="368" w:name="_Toc296944501"/>
      <w:bookmarkStart w:id="369" w:name="_Toc296890990"/>
      <w:r>
        <w:rPr>
          <w:rFonts w:hint="eastAsia" w:ascii="宋体" w:hAnsi="宋体" w:eastAsia="宋体" w:cs="宋体"/>
          <w:b/>
          <w:sz w:val="21"/>
          <w:szCs w:val="21"/>
        </w:rPr>
        <w:t>. 监</w:t>
      </w:r>
      <w:bookmarkEnd w:id="359"/>
      <w:bookmarkEnd w:id="360"/>
      <w:bookmarkEnd w:id="361"/>
      <w:bookmarkEnd w:id="362"/>
      <w:bookmarkEnd w:id="363"/>
      <w:bookmarkEnd w:id="364"/>
      <w:bookmarkEnd w:id="365"/>
      <w:bookmarkEnd w:id="366"/>
      <w:bookmarkEnd w:id="367"/>
      <w:bookmarkEnd w:id="368"/>
      <w:bookmarkEnd w:id="369"/>
      <w:r>
        <w:rPr>
          <w:rFonts w:hint="eastAsia" w:ascii="宋体" w:hAnsi="宋体" w:eastAsia="宋体" w:cs="宋体"/>
          <w:b/>
          <w:sz w:val="21"/>
          <w:szCs w:val="21"/>
        </w:rPr>
        <w:t>理人</w:t>
      </w:r>
      <w:bookmarkEnd w:id="351"/>
      <w:bookmarkEnd w:id="352"/>
      <w:bookmarkEnd w:id="353"/>
      <w:bookmarkEnd w:id="354"/>
      <w:bookmarkEnd w:id="355"/>
      <w:bookmarkEnd w:id="356"/>
      <w:bookmarkEnd w:id="357"/>
      <w:bookmarkEnd w:id="358"/>
    </w:p>
    <w:p w14:paraId="7D9C7FE7">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70" w:name="_Toc373478361"/>
      <w:bookmarkStart w:id="371" w:name="_Toc373227714"/>
      <w:bookmarkStart w:id="372" w:name="_Toc469010919"/>
      <w:bookmarkStart w:id="373" w:name="_Toc30061963"/>
      <w:bookmarkStart w:id="374" w:name="_Toc3882771"/>
      <w:bookmarkStart w:id="375" w:name="_Toc6008"/>
      <w:bookmarkStart w:id="376" w:name="_Toc389065280"/>
      <w:r>
        <w:rPr>
          <w:rFonts w:hint="eastAsia" w:ascii="宋体" w:hAnsi="宋体" w:eastAsia="宋体" w:cs="宋体"/>
          <w:b/>
          <w:kern w:val="0"/>
          <w:sz w:val="21"/>
          <w:szCs w:val="21"/>
        </w:rPr>
        <w:t>4.1 监理人的一般规定</w:t>
      </w:r>
      <w:bookmarkEnd w:id="370"/>
      <w:bookmarkEnd w:id="371"/>
      <w:bookmarkEnd w:id="372"/>
      <w:bookmarkEnd w:id="373"/>
      <w:bookmarkEnd w:id="374"/>
      <w:bookmarkEnd w:id="375"/>
      <w:bookmarkEnd w:id="376"/>
    </w:p>
    <w:p w14:paraId="0F5BAD45">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关于监理人的监理内容：详见监理合同。</w:t>
      </w:r>
    </w:p>
    <w:p w14:paraId="1F26B71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关于监理人的监理权限：详见监理合同。 </w:t>
      </w:r>
    </w:p>
    <w:p w14:paraId="3A1A284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关于监理人在施工现场的办公场所、生活场所的提供和费用承担的约定：详见监理合同，由承包人提供。</w:t>
      </w:r>
    </w:p>
    <w:p w14:paraId="4BF11115">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77" w:name="_Toc373227715"/>
      <w:bookmarkStart w:id="378" w:name="_Toc3882772"/>
      <w:bookmarkStart w:id="379" w:name="_Toc8961"/>
      <w:bookmarkStart w:id="380" w:name="_Toc469010920"/>
      <w:bookmarkStart w:id="381" w:name="_Toc389065281"/>
      <w:bookmarkStart w:id="382" w:name="_Toc30061964"/>
      <w:bookmarkStart w:id="383" w:name="_Toc373478362"/>
      <w:r>
        <w:rPr>
          <w:rFonts w:hint="eastAsia" w:ascii="宋体" w:hAnsi="宋体" w:eastAsia="宋体" w:cs="宋体"/>
          <w:b/>
          <w:kern w:val="0"/>
          <w:sz w:val="21"/>
          <w:szCs w:val="21"/>
        </w:rPr>
        <w:t>4.2 监理人员</w:t>
      </w:r>
      <w:bookmarkEnd w:id="377"/>
      <w:bookmarkEnd w:id="378"/>
      <w:bookmarkEnd w:id="379"/>
      <w:bookmarkEnd w:id="380"/>
      <w:bookmarkEnd w:id="381"/>
      <w:bookmarkEnd w:id="382"/>
      <w:bookmarkEnd w:id="383"/>
    </w:p>
    <w:p w14:paraId="16ED0FC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总监理工程师：</w:t>
      </w:r>
    </w:p>
    <w:p w14:paraId="51F74624">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姓    名：</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56DD3AD">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职    务：</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47B6BD34">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监理工程师执业资格证书号：</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1DDFDC84">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9285B49">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7084ED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通信地址：</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269A930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关于监理人的其他约定：</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14:paraId="03FFF76B">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384" w:name="_Toc389065282"/>
      <w:bookmarkStart w:id="385" w:name="_Toc30061965"/>
      <w:bookmarkStart w:id="386" w:name="_Toc3882773"/>
      <w:bookmarkStart w:id="387" w:name="_Toc373478363"/>
      <w:bookmarkStart w:id="388" w:name="_Toc469010921"/>
      <w:bookmarkStart w:id="389" w:name="_Toc373227716"/>
      <w:bookmarkStart w:id="390" w:name="_Toc25244"/>
      <w:r>
        <w:rPr>
          <w:rFonts w:hint="eastAsia" w:ascii="宋体" w:hAnsi="宋体" w:eastAsia="宋体" w:cs="宋体"/>
          <w:b/>
          <w:kern w:val="0"/>
          <w:sz w:val="21"/>
          <w:szCs w:val="21"/>
        </w:rPr>
        <w:t>4.4 商定或确定</w:t>
      </w:r>
      <w:bookmarkEnd w:id="384"/>
      <w:bookmarkEnd w:id="385"/>
      <w:bookmarkEnd w:id="386"/>
      <w:bookmarkEnd w:id="387"/>
      <w:bookmarkEnd w:id="388"/>
      <w:bookmarkEnd w:id="389"/>
      <w:bookmarkEnd w:id="390"/>
    </w:p>
    <w:p w14:paraId="561553A7">
      <w:pPr>
        <w:pStyle w:val="54"/>
        <w:spacing w:line="360" w:lineRule="auto"/>
        <w:ind w:firstLine="420" w:firstLineChars="200"/>
        <w:rPr>
          <w:rFonts w:hint="eastAsia" w:ascii="宋体" w:hAnsi="宋体" w:eastAsia="宋体" w:cs="宋体"/>
          <w:sz w:val="21"/>
          <w:szCs w:val="21"/>
        </w:rPr>
      </w:pPr>
      <w:bookmarkStart w:id="391" w:name="_Toc267251418"/>
      <w:r>
        <w:rPr>
          <w:rFonts w:hint="eastAsia" w:ascii="宋体" w:hAnsi="宋体" w:eastAsia="宋体" w:cs="宋体"/>
          <w:sz w:val="21"/>
          <w:szCs w:val="21"/>
        </w:rPr>
        <w:t>在发包人和承包人不能通过协商达成一致意见时，发包人授权监理人对以下事项进行确定：</w:t>
      </w:r>
    </w:p>
    <w:p w14:paraId="40848CF9">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（1）工程质量的鉴定、验收；</w:t>
      </w:r>
    </w:p>
    <w:p w14:paraId="72E9CD9B">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（2）中间验收</w:t>
      </w:r>
      <w:r>
        <w:rPr>
          <w:rFonts w:hint="eastAsia" w:ascii="宋体" w:hAnsi="宋体" w:eastAsia="宋体" w:cs="宋体"/>
          <w:sz w:val="21"/>
          <w:szCs w:val="21"/>
        </w:rPr>
        <w:t>。</w:t>
      </w:r>
    </w:p>
    <w:p w14:paraId="3956971E">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392" w:name="_Toc389065283"/>
      <w:bookmarkStart w:id="393" w:name="_Toc30061966"/>
      <w:bookmarkStart w:id="394" w:name="_Toc469010922"/>
      <w:bookmarkStart w:id="395" w:name="_Toc373478364"/>
      <w:bookmarkStart w:id="396" w:name="_Toc1052"/>
      <w:bookmarkStart w:id="397" w:name="_Toc351203637"/>
      <w:bookmarkStart w:id="398" w:name="_Toc373227717"/>
      <w:bookmarkStart w:id="399" w:name="_Toc3882774"/>
      <w:r>
        <w:rPr>
          <w:rFonts w:hint="eastAsia" w:ascii="宋体" w:hAnsi="宋体" w:eastAsia="宋体" w:cs="宋体"/>
          <w:b/>
          <w:sz w:val="21"/>
          <w:szCs w:val="21"/>
        </w:rPr>
        <w:t>5</w:t>
      </w:r>
      <w:bookmarkEnd w:id="391"/>
      <w:bookmarkStart w:id="400" w:name="_Toc296346664"/>
      <w:bookmarkStart w:id="401" w:name="_Toc297120463"/>
      <w:bookmarkStart w:id="402" w:name="_Toc292559367"/>
      <w:bookmarkStart w:id="403" w:name="_Toc296890991"/>
      <w:bookmarkStart w:id="404" w:name="_Toc296347162"/>
      <w:bookmarkStart w:id="405" w:name="_Toc297048349"/>
      <w:bookmarkStart w:id="406" w:name="_Toc296944502"/>
      <w:bookmarkStart w:id="407" w:name="_Toc292559872"/>
      <w:bookmarkStart w:id="408" w:name="_Toc296891203"/>
      <w:bookmarkStart w:id="409" w:name="_Toc296503163"/>
      <w:r>
        <w:rPr>
          <w:rFonts w:hint="eastAsia" w:ascii="宋体" w:hAnsi="宋体" w:eastAsia="宋体" w:cs="宋体"/>
          <w:b/>
          <w:sz w:val="21"/>
          <w:szCs w:val="21"/>
        </w:rPr>
        <w:t>. 工程质量</w:t>
      </w:r>
      <w:bookmarkEnd w:id="392"/>
      <w:bookmarkEnd w:id="393"/>
      <w:bookmarkEnd w:id="394"/>
      <w:bookmarkEnd w:id="395"/>
      <w:bookmarkEnd w:id="396"/>
      <w:bookmarkEnd w:id="397"/>
      <w:bookmarkEnd w:id="398"/>
      <w:bookmarkEnd w:id="399"/>
    </w:p>
    <w:p w14:paraId="293A00A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10" w:name="_Toc30061967"/>
      <w:bookmarkStart w:id="411" w:name="_Toc469010923"/>
      <w:bookmarkStart w:id="412" w:name="_Toc10712"/>
      <w:bookmarkStart w:id="413" w:name="_Toc373478365"/>
      <w:bookmarkStart w:id="414" w:name="_Toc389065284"/>
      <w:bookmarkStart w:id="415" w:name="_Toc3882775"/>
      <w:bookmarkStart w:id="416" w:name="_Toc373227718"/>
      <w:r>
        <w:rPr>
          <w:rFonts w:hint="eastAsia" w:ascii="宋体" w:hAnsi="宋体" w:eastAsia="宋体" w:cs="宋体"/>
          <w:b/>
          <w:kern w:val="0"/>
          <w:sz w:val="21"/>
          <w:szCs w:val="21"/>
        </w:rPr>
        <w:t>5.1 质量要求</w:t>
      </w:r>
      <w:bookmarkEnd w:id="410"/>
      <w:bookmarkEnd w:id="411"/>
      <w:bookmarkEnd w:id="412"/>
      <w:bookmarkEnd w:id="413"/>
      <w:bookmarkEnd w:id="414"/>
      <w:bookmarkEnd w:id="415"/>
      <w:bookmarkEnd w:id="416"/>
    </w:p>
    <w:p w14:paraId="0E4A3CCF">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5</w:t>
      </w:r>
      <w:bookmarkStart w:id="417" w:name="_Toc312677997"/>
      <w:bookmarkStart w:id="418" w:name="_Toc303539106"/>
      <w:bookmarkStart w:id="419" w:name="_Toc297123496"/>
      <w:bookmarkStart w:id="420" w:name="_Toc300934949"/>
      <w:bookmarkStart w:id="421" w:name="_Toc318581164"/>
      <w:bookmarkStart w:id="422" w:name="_Toc297216155"/>
      <w:bookmarkStart w:id="423" w:name="_Toc304295527"/>
      <w:r>
        <w:rPr>
          <w:rFonts w:hint="eastAsia" w:ascii="宋体" w:hAnsi="宋体" w:eastAsia="宋体" w:cs="宋体"/>
          <w:sz w:val="21"/>
          <w:szCs w:val="21"/>
        </w:rPr>
        <w:t>.1.1 特殊质量标准和要求：</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41D4D7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关于工程奖项的约定：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679E7D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5.3 隐蔽工程检查</w:t>
      </w:r>
    </w:p>
    <w:p w14:paraId="311A354D">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5.3.2承包人提前通知监理人隐蔽工程检查的期限的约定：</w:t>
      </w:r>
      <w:r>
        <w:rPr>
          <w:rFonts w:hint="eastAsia" w:ascii="宋体" w:hAnsi="宋体" w:eastAsia="宋体" w:cs="宋体"/>
          <w:bCs/>
          <w:sz w:val="21"/>
          <w:szCs w:val="21"/>
        </w:rPr>
        <w:t>工程隐蔽或中间验收前48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3C2AD3CA">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监理人不能按时进行检查时，应提前</w:t>
      </w:r>
      <w:r>
        <w:rPr>
          <w:rFonts w:hint="eastAsia" w:ascii="宋体" w:hAnsi="宋体" w:eastAsia="宋体" w:cs="宋体"/>
          <w:sz w:val="21"/>
          <w:szCs w:val="21"/>
          <w:u w:val="single"/>
        </w:rPr>
        <w:t xml:space="preserve"> 24</w:t>
      </w:r>
      <w:r>
        <w:rPr>
          <w:rFonts w:hint="eastAsia" w:ascii="宋体" w:hAnsi="宋体" w:eastAsia="宋体" w:cs="宋体"/>
          <w:sz w:val="21"/>
          <w:szCs w:val="21"/>
        </w:rPr>
        <w:t>小时提交书面延期要求。</w:t>
      </w:r>
    </w:p>
    <w:p w14:paraId="23AE3FB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48 </w:t>
      </w:r>
      <w:r>
        <w:rPr>
          <w:rFonts w:hint="eastAsia" w:ascii="宋体" w:hAnsi="宋体" w:eastAsia="宋体" w:cs="宋体"/>
          <w:sz w:val="21"/>
          <w:szCs w:val="21"/>
        </w:rPr>
        <w:t>小时。</w:t>
      </w:r>
    </w:p>
    <w:p w14:paraId="3661E92F">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424" w:name="_Toc22622"/>
      <w:bookmarkStart w:id="425" w:name="_Toc373227719"/>
      <w:bookmarkStart w:id="426" w:name="_Toc30061968"/>
      <w:bookmarkStart w:id="427" w:name="_Toc3882776"/>
      <w:bookmarkStart w:id="428" w:name="_Toc469010924"/>
      <w:bookmarkStart w:id="429" w:name="_Toc389065285"/>
      <w:bookmarkStart w:id="430" w:name="_Toc351203638"/>
      <w:bookmarkStart w:id="431" w:name="_Toc373478366"/>
      <w:r>
        <w:rPr>
          <w:rFonts w:hint="eastAsia" w:ascii="宋体" w:hAnsi="宋体" w:eastAsia="宋体" w:cs="宋体"/>
          <w:b/>
          <w:sz w:val="21"/>
          <w:szCs w:val="21"/>
        </w:rPr>
        <w:t>6. 安全文明施工与环境保护</w:t>
      </w:r>
      <w:bookmarkEnd w:id="424"/>
      <w:bookmarkEnd w:id="425"/>
      <w:bookmarkEnd w:id="426"/>
      <w:bookmarkEnd w:id="427"/>
      <w:bookmarkEnd w:id="428"/>
      <w:bookmarkEnd w:id="429"/>
      <w:bookmarkEnd w:id="430"/>
      <w:bookmarkEnd w:id="431"/>
    </w:p>
    <w:p w14:paraId="6687AFF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32" w:name="_Toc373227720"/>
      <w:bookmarkStart w:id="433" w:name="_Toc389065286"/>
      <w:bookmarkStart w:id="434" w:name="_Toc469010925"/>
      <w:bookmarkStart w:id="435" w:name="_Toc3882777"/>
      <w:bookmarkStart w:id="436" w:name="_Toc30061969"/>
      <w:bookmarkStart w:id="437" w:name="_Toc373478367"/>
      <w:bookmarkStart w:id="438" w:name="_Toc29264"/>
      <w:r>
        <w:rPr>
          <w:rFonts w:hint="eastAsia" w:ascii="宋体" w:hAnsi="宋体" w:eastAsia="宋体" w:cs="宋体"/>
          <w:b/>
          <w:kern w:val="0"/>
          <w:sz w:val="21"/>
          <w:szCs w:val="21"/>
        </w:rPr>
        <w:t>6.1 安全文明施工</w:t>
      </w:r>
      <w:bookmarkEnd w:id="432"/>
      <w:bookmarkEnd w:id="433"/>
      <w:bookmarkEnd w:id="434"/>
      <w:bookmarkEnd w:id="435"/>
      <w:bookmarkEnd w:id="436"/>
      <w:bookmarkEnd w:id="437"/>
      <w:bookmarkEnd w:id="438"/>
    </w:p>
    <w:p w14:paraId="5CFD01C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6.1.1 项目安全生产的达标目标及相应事项的约定：要求达到《建筑施工安全检查标准》（JGJ59-2011）的标准和符合《广西壮族自治区建设工程安全文明施工费使用管理细则》（桂建质〔2015〕16号）的要求；</w:t>
      </w:r>
    </w:p>
    <w:p w14:paraId="60E40F29">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关于安全文明施工奖项的约定： / 。</w:t>
      </w:r>
    </w:p>
    <w:p w14:paraId="49584E89">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6.1.4 关于治安保卫的特别约定：承包人应承担施工安全保卫工作及非夜间施工照明的责任，承包人应采取一切合理的预防措施，防止人员伤亡、财产损失事故，费用由承包人承担。承包人生活设施及施工场应自费配备消防设备，防止火灾发生。</w:t>
      </w:r>
    </w:p>
    <w:p w14:paraId="7DBAEE1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关于编制施工场地治安管理计划的约定：执行通用条款6.1.4。</w:t>
      </w:r>
    </w:p>
    <w:p w14:paraId="3B88B21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6.1.5 文明施工</w:t>
      </w:r>
    </w:p>
    <w:p w14:paraId="480D02EB">
      <w:pPr>
        <w:pStyle w:val="54"/>
        <w:snapToGrid w:val="0"/>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合同当事人对文明施工的要求：</w:t>
      </w:r>
      <w:r>
        <w:rPr>
          <w:rFonts w:hint="eastAsia" w:ascii="宋体" w:hAnsi="宋体" w:eastAsia="宋体" w:cs="宋体"/>
          <w:color w:val="000000"/>
          <w:sz w:val="21"/>
          <w:szCs w:val="21"/>
          <w:u w:val="single"/>
        </w:rPr>
        <w:t>要求达到《建筑施工安全检查标准》（JGJ59-2011）的标准和符合</w:t>
      </w:r>
      <w:r>
        <w:rPr>
          <w:rFonts w:hint="eastAsia" w:ascii="宋体" w:hAnsi="宋体" w:eastAsia="宋体" w:cs="宋体"/>
          <w:color w:val="000000"/>
          <w:kern w:val="0"/>
          <w:sz w:val="21"/>
          <w:szCs w:val="21"/>
          <w:u w:val="single"/>
        </w:rPr>
        <w:t>《广西壮族自治区建设工程安全文明施工费使用管理细则》（桂建质〔2015〕16号）</w:t>
      </w:r>
      <w:r>
        <w:rPr>
          <w:rFonts w:hint="eastAsia" w:ascii="宋体" w:hAnsi="宋体" w:eastAsia="宋体" w:cs="宋体"/>
          <w:color w:val="000000"/>
          <w:sz w:val="21"/>
          <w:szCs w:val="21"/>
          <w:u w:val="single"/>
        </w:rPr>
        <w:t>的要求</w:t>
      </w:r>
      <w:r>
        <w:rPr>
          <w:rFonts w:hint="eastAsia" w:ascii="宋体" w:hAnsi="宋体" w:eastAsia="宋体" w:cs="宋体"/>
          <w:color w:val="000000"/>
          <w:sz w:val="21"/>
          <w:szCs w:val="21"/>
        </w:rPr>
        <w:t>。</w:t>
      </w:r>
    </w:p>
    <w:p w14:paraId="67B1A07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6.1.6 关于安全文明施工费支付比例和支付期限的约定：</w:t>
      </w:r>
    </w:p>
    <w:p w14:paraId="182DF1FA">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（1）本合同价款已包含安全文明施工费</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元。</w:t>
      </w:r>
    </w:p>
    <w:p w14:paraId="3D50E02B">
      <w:pPr>
        <w:pStyle w:val="54"/>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（2）使用要求：专款专用。具体按《广西壮族自治区建设工程安全文明施工费使用管理细则》（桂建质〔2015〕16号）和贺州市相关规定执行。</w:t>
      </w:r>
    </w:p>
    <w:p w14:paraId="1A9D9A4B">
      <w:pPr>
        <w:pStyle w:val="54"/>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（3）支付约定：按《关于印发&lt;贺州市建设工程安全文明施工费使用管理规定&gt;的通知》（贺住建发〔2016〕196号）文件执行</w:t>
      </w:r>
    </w:p>
    <w:p w14:paraId="74705AA1">
      <w:pPr>
        <w:pStyle w:val="54"/>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（4）工程施工完成后安全生产费用尚有结余的，结余部分由建设单位收回。</w:t>
      </w:r>
    </w:p>
    <w:p w14:paraId="75848309">
      <w:pPr>
        <w:pStyle w:val="54"/>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（5）施工单位将安全生产费用使用情况定期报告建设单位和监理单位，并提供相应的材料接受建设行政主管部门对此事项监管。    </w:t>
      </w:r>
      <w:bookmarkStart w:id="439" w:name="_Toc373227721"/>
      <w:bookmarkStart w:id="440" w:name="_Toc373478368"/>
      <w:bookmarkStart w:id="441" w:name="_Toc389065287"/>
    </w:p>
    <w:p w14:paraId="42A4979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r>
        <w:rPr>
          <w:rFonts w:hint="eastAsia" w:ascii="宋体" w:hAnsi="宋体" w:eastAsia="宋体" w:cs="宋体"/>
          <w:b/>
          <w:kern w:val="0"/>
          <w:sz w:val="21"/>
          <w:szCs w:val="21"/>
        </w:rPr>
        <w:t>6.3 环境保护</w:t>
      </w:r>
      <w:bookmarkEnd w:id="439"/>
      <w:bookmarkEnd w:id="440"/>
      <w:bookmarkEnd w:id="441"/>
    </w:p>
    <w:p w14:paraId="46605E9F">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因施工需要，经发包人批准，由承包人办理有关施工场地交通、环卫和施工噪音管理等手续，费用由承包人负责。</w:t>
      </w:r>
    </w:p>
    <w:p w14:paraId="017CB750">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经过城市道路的施工车辆，必须按交警、城管、运输等部门相关规定执行。由于施工车辆造成的道路、环境等污染，其责任和费用均由承包人承担。</w:t>
      </w:r>
    </w:p>
    <w:bookmarkEnd w:id="417"/>
    <w:bookmarkEnd w:id="418"/>
    <w:bookmarkEnd w:id="419"/>
    <w:bookmarkEnd w:id="420"/>
    <w:bookmarkEnd w:id="421"/>
    <w:bookmarkEnd w:id="422"/>
    <w:bookmarkEnd w:id="423"/>
    <w:p w14:paraId="74BD50E1">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442" w:name="_Toc373478369"/>
      <w:bookmarkStart w:id="443" w:name="_Toc389065288"/>
      <w:bookmarkStart w:id="444" w:name="_Toc373227722"/>
      <w:bookmarkStart w:id="445" w:name="_Toc3882778"/>
      <w:bookmarkStart w:id="446" w:name="_Toc26077"/>
      <w:bookmarkStart w:id="447" w:name="_Toc351203639"/>
      <w:bookmarkStart w:id="448" w:name="_Toc469010926"/>
      <w:bookmarkStart w:id="449" w:name="_Toc30061970"/>
      <w:r>
        <w:rPr>
          <w:rFonts w:hint="eastAsia" w:ascii="宋体" w:hAnsi="宋体" w:eastAsia="宋体" w:cs="宋体"/>
          <w:b/>
          <w:sz w:val="21"/>
          <w:szCs w:val="21"/>
        </w:rPr>
        <w:t>7. 工期和进度</w:t>
      </w:r>
      <w:bookmarkEnd w:id="442"/>
      <w:bookmarkEnd w:id="443"/>
      <w:bookmarkEnd w:id="444"/>
      <w:bookmarkEnd w:id="445"/>
      <w:bookmarkEnd w:id="446"/>
      <w:bookmarkEnd w:id="447"/>
      <w:bookmarkEnd w:id="448"/>
      <w:bookmarkEnd w:id="449"/>
    </w:p>
    <w:p w14:paraId="4043BF84">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50" w:name="_Toc469010927"/>
      <w:bookmarkStart w:id="451" w:name="_Toc28984"/>
      <w:bookmarkStart w:id="452" w:name="_Toc373227723"/>
      <w:bookmarkStart w:id="453" w:name="_Toc373478370"/>
      <w:bookmarkStart w:id="454" w:name="_Toc30061971"/>
      <w:bookmarkStart w:id="455" w:name="_Toc389065289"/>
      <w:bookmarkStart w:id="456" w:name="_Toc3882779"/>
      <w:r>
        <w:rPr>
          <w:rFonts w:hint="eastAsia" w:ascii="宋体" w:hAnsi="宋体" w:eastAsia="宋体" w:cs="宋体"/>
          <w:b/>
          <w:kern w:val="0"/>
          <w:sz w:val="21"/>
          <w:szCs w:val="21"/>
        </w:rPr>
        <w:t>7.1 施工组织设计</w:t>
      </w:r>
      <w:bookmarkEnd w:id="450"/>
      <w:bookmarkEnd w:id="451"/>
      <w:bookmarkEnd w:id="452"/>
      <w:bookmarkEnd w:id="453"/>
      <w:bookmarkEnd w:id="454"/>
      <w:bookmarkEnd w:id="455"/>
      <w:bookmarkEnd w:id="456"/>
    </w:p>
    <w:p w14:paraId="2E784BC2">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7.1.1 合</w:t>
      </w:r>
      <w:r>
        <w:rPr>
          <w:rFonts w:hint="eastAsia" w:ascii="宋体" w:hAnsi="宋体" w:eastAsia="宋体" w:cs="宋体"/>
          <w:kern w:val="0"/>
          <w:sz w:val="21"/>
          <w:szCs w:val="21"/>
        </w:rPr>
        <w:t>同当事人约定的施工组织设计应包括的其他内容：</w:t>
      </w:r>
      <w:r>
        <w:rPr>
          <w:rFonts w:hint="eastAsia" w:ascii="宋体" w:hAnsi="宋体" w:eastAsia="宋体" w:cs="宋体"/>
          <w:sz w:val="21"/>
          <w:szCs w:val="21"/>
          <w:u w:val="single"/>
        </w:rPr>
        <w:t>按行业管理有关要求</w:t>
      </w:r>
      <w:r>
        <w:rPr>
          <w:rFonts w:hint="eastAsia" w:ascii="宋体" w:hAnsi="宋体" w:eastAsia="宋体" w:cs="宋体"/>
          <w:sz w:val="21"/>
          <w:szCs w:val="21"/>
        </w:rPr>
        <w:t>。</w:t>
      </w:r>
    </w:p>
    <w:p w14:paraId="7C4F7A5D">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 xml:space="preserve">7.1.2 </w:t>
      </w:r>
      <w:r>
        <w:rPr>
          <w:rFonts w:hint="eastAsia" w:ascii="宋体" w:hAnsi="宋体" w:eastAsia="宋体" w:cs="宋体"/>
          <w:kern w:val="0"/>
          <w:sz w:val="21"/>
          <w:szCs w:val="21"/>
        </w:rPr>
        <w:t>施工组织设计的提交和修改</w:t>
      </w:r>
    </w:p>
    <w:p w14:paraId="68080BAD">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承包人提交详细施工组织设计的期限的约定：</w:t>
      </w:r>
      <w:r>
        <w:rPr>
          <w:rFonts w:hint="eastAsia" w:ascii="宋体" w:hAnsi="宋体" w:eastAsia="宋体" w:cs="宋体"/>
          <w:sz w:val="21"/>
          <w:szCs w:val="21"/>
          <w:u w:val="single"/>
        </w:rPr>
        <w:t>承包人在图纸会审和设计交底之日起14天内报送</w:t>
      </w:r>
      <w:r>
        <w:rPr>
          <w:rFonts w:hint="eastAsia" w:ascii="宋体" w:hAnsi="宋体" w:eastAsia="宋体" w:cs="宋体"/>
          <w:sz w:val="21"/>
          <w:szCs w:val="21"/>
        </w:rPr>
        <w:t>。</w:t>
      </w:r>
    </w:p>
    <w:p w14:paraId="72633D5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发包人和监理人在收到详细的施工组织设计后确认或提出修改意见的期限：</w:t>
      </w:r>
      <w:r>
        <w:rPr>
          <w:rFonts w:hint="eastAsia" w:ascii="宋体" w:hAnsi="宋体" w:eastAsia="宋体" w:cs="宋体"/>
          <w:sz w:val="21"/>
          <w:szCs w:val="21"/>
          <w:u w:val="single"/>
        </w:rPr>
        <w:t>收到之日起14天内，逾期不确认也不提出书面意见的，视为同意</w:t>
      </w:r>
      <w:r>
        <w:rPr>
          <w:rFonts w:hint="eastAsia" w:ascii="宋体" w:hAnsi="宋体" w:eastAsia="宋体" w:cs="宋体"/>
          <w:sz w:val="21"/>
          <w:szCs w:val="21"/>
        </w:rPr>
        <w:t>。</w:t>
      </w:r>
    </w:p>
    <w:p w14:paraId="78F0523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57" w:name="_Toc469010928"/>
      <w:bookmarkStart w:id="458" w:name="_Toc24211"/>
      <w:bookmarkStart w:id="459" w:name="_Toc373227724"/>
      <w:bookmarkStart w:id="460" w:name="_Toc389065290"/>
      <w:bookmarkStart w:id="461" w:name="_Toc30061972"/>
      <w:bookmarkStart w:id="462" w:name="_Toc3882780"/>
      <w:bookmarkStart w:id="463" w:name="_Toc373478371"/>
      <w:r>
        <w:rPr>
          <w:rFonts w:hint="eastAsia" w:ascii="宋体" w:hAnsi="宋体" w:eastAsia="宋体" w:cs="宋体"/>
          <w:b/>
          <w:kern w:val="0"/>
          <w:sz w:val="21"/>
          <w:szCs w:val="21"/>
        </w:rPr>
        <w:t>7</w:t>
      </w:r>
      <w:bookmarkStart w:id="464" w:name="_Toc312677479"/>
      <w:bookmarkStart w:id="465" w:name="_Toc312678005"/>
      <w:bookmarkStart w:id="466" w:name="_Toc297123514"/>
      <w:bookmarkStart w:id="467" w:name="_Toc303539123"/>
      <w:bookmarkStart w:id="468" w:name="_Toc297216173"/>
      <w:bookmarkStart w:id="469" w:name="_Toc304295541"/>
      <w:bookmarkStart w:id="470" w:name="_Toc300934966"/>
      <w:r>
        <w:rPr>
          <w:rFonts w:hint="eastAsia" w:ascii="宋体" w:hAnsi="宋体" w:eastAsia="宋体" w:cs="宋体"/>
          <w:b/>
          <w:kern w:val="0"/>
          <w:sz w:val="21"/>
          <w:szCs w:val="21"/>
        </w:rPr>
        <w:t>.2 施工进度计划</w:t>
      </w:r>
      <w:bookmarkEnd w:id="457"/>
      <w:bookmarkEnd w:id="458"/>
      <w:bookmarkEnd w:id="459"/>
      <w:bookmarkEnd w:id="460"/>
      <w:bookmarkEnd w:id="461"/>
      <w:bookmarkEnd w:id="462"/>
      <w:bookmarkEnd w:id="463"/>
    </w:p>
    <w:p w14:paraId="50C8C9C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7.2.2 施工进度计划的修订</w:t>
      </w:r>
    </w:p>
    <w:p w14:paraId="6506E91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发包人和监理人在收到修订的施工进度计划后确认或提出修改意见的期限：</w:t>
      </w:r>
      <w:r>
        <w:rPr>
          <w:rFonts w:hint="eastAsia" w:ascii="宋体" w:hAnsi="宋体" w:eastAsia="宋体" w:cs="宋体"/>
          <w:sz w:val="21"/>
          <w:szCs w:val="21"/>
          <w:u w:val="single"/>
        </w:rPr>
        <w:t>收到之日起14天内，逾期不确认也不提出书面意见的，视为同意</w:t>
      </w:r>
      <w:r>
        <w:rPr>
          <w:rFonts w:hint="eastAsia" w:ascii="宋体" w:hAnsi="宋体" w:eastAsia="宋体" w:cs="宋体"/>
          <w:sz w:val="21"/>
          <w:szCs w:val="21"/>
        </w:rPr>
        <w:t>。</w:t>
      </w:r>
    </w:p>
    <w:p w14:paraId="3831BA9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71" w:name="_Toc373478372"/>
      <w:bookmarkStart w:id="472" w:name="_Toc30061973"/>
      <w:bookmarkStart w:id="473" w:name="_Toc3882781"/>
      <w:bookmarkStart w:id="474" w:name="_Toc469010929"/>
      <w:bookmarkStart w:id="475" w:name="_Toc389065291"/>
      <w:bookmarkStart w:id="476" w:name="_Toc25584"/>
      <w:bookmarkStart w:id="477" w:name="_Toc373227725"/>
      <w:r>
        <w:rPr>
          <w:rFonts w:hint="eastAsia" w:ascii="宋体" w:hAnsi="宋体" w:eastAsia="宋体" w:cs="宋体"/>
          <w:b/>
          <w:kern w:val="0"/>
          <w:sz w:val="21"/>
          <w:szCs w:val="21"/>
        </w:rPr>
        <w:t>7.3 开工</w:t>
      </w:r>
      <w:bookmarkEnd w:id="471"/>
      <w:bookmarkEnd w:id="472"/>
      <w:bookmarkEnd w:id="473"/>
      <w:bookmarkEnd w:id="474"/>
      <w:bookmarkEnd w:id="475"/>
      <w:bookmarkEnd w:id="476"/>
      <w:bookmarkEnd w:id="477"/>
    </w:p>
    <w:p w14:paraId="1C42F85A">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7.3.1 开工准备</w:t>
      </w:r>
    </w:p>
    <w:p w14:paraId="7AFE391D">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关于承包人提交</w:t>
      </w:r>
      <w:r>
        <w:rPr>
          <w:rFonts w:hint="eastAsia" w:ascii="宋体" w:hAnsi="宋体" w:eastAsia="宋体" w:cs="宋体"/>
          <w:kern w:val="0"/>
          <w:sz w:val="21"/>
          <w:szCs w:val="21"/>
        </w:rPr>
        <w:t>工程开工报审表的期限：</w:t>
      </w:r>
      <w:r>
        <w:rPr>
          <w:rFonts w:hint="eastAsia" w:ascii="宋体" w:hAnsi="宋体" w:eastAsia="宋体" w:cs="宋体"/>
          <w:sz w:val="21"/>
          <w:szCs w:val="21"/>
          <w:u w:val="single"/>
        </w:rPr>
        <w:t>承包人在图纸会审和设计交底之日起14天内报送</w:t>
      </w:r>
      <w:r>
        <w:rPr>
          <w:rFonts w:hint="eastAsia" w:ascii="宋体" w:hAnsi="宋体" w:eastAsia="宋体" w:cs="宋体"/>
          <w:sz w:val="21"/>
          <w:szCs w:val="21"/>
        </w:rPr>
        <w:t>。</w:t>
      </w:r>
    </w:p>
    <w:p w14:paraId="53CD2BCB">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关于发包人应完成的其他开工准备工作及期限：</w:t>
      </w:r>
      <w:r>
        <w:rPr>
          <w:rFonts w:hint="eastAsia" w:ascii="宋体" w:hAnsi="宋体" w:eastAsia="宋体" w:cs="宋体"/>
          <w:sz w:val="21"/>
          <w:szCs w:val="21"/>
          <w:u w:val="single"/>
        </w:rPr>
        <w:t>开工许可证发出前</w:t>
      </w:r>
      <w:r>
        <w:rPr>
          <w:rFonts w:hint="eastAsia" w:ascii="宋体" w:hAnsi="宋体" w:eastAsia="宋体" w:cs="宋体"/>
          <w:sz w:val="21"/>
          <w:szCs w:val="21"/>
        </w:rPr>
        <w:t>。</w:t>
      </w:r>
    </w:p>
    <w:p w14:paraId="6F549DC3">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关于承包人应完成的其他开工准备工作及期限：</w:t>
      </w:r>
      <w:r>
        <w:rPr>
          <w:rFonts w:hint="eastAsia" w:ascii="宋体" w:hAnsi="宋体" w:eastAsia="宋体" w:cs="宋体"/>
          <w:sz w:val="21"/>
          <w:szCs w:val="21"/>
          <w:u w:val="single"/>
        </w:rPr>
        <w:t>开工许可证发出14天内</w:t>
      </w:r>
      <w:r>
        <w:rPr>
          <w:rFonts w:hint="eastAsia" w:ascii="宋体" w:hAnsi="宋体" w:eastAsia="宋体" w:cs="宋体"/>
          <w:sz w:val="21"/>
          <w:szCs w:val="21"/>
        </w:rPr>
        <w:t>。</w:t>
      </w:r>
    </w:p>
    <w:p w14:paraId="45BCC59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7.3.2 开工通知</w:t>
      </w:r>
    </w:p>
    <w:p w14:paraId="37DA4029">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因发包人原因造成监理人未能在计划开工日期之日起</w:t>
      </w:r>
      <w:r>
        <w:rPr>
          <w:rFonts w:hint="eastAsia" w:ascii="宋体" w:hAnsi="宋体" w:eastAsia="宋体" w:cs="宋体"/>
          <w:sz w:val="21"/>
          <w:szCs w:val="21"/>
          <w:u w:val="single"/>
        </w:rPr>
        <w:t>90</w:t>
      </w:r>
      <w:r>
        <w:rPr>
          <w:rFonts w:hint="eastAsia" w:ascii="宋体" w:hAnsi="宋体" w:eastAsia="宋体" w:cs="宋体"/>
          <w:sz w:val="21"/>
          <w:szCs w:val="21"/>
        </w:rPr>
        <w:t>天内发出开工通知的，承包人有权提出价格调整要求，或者解除合同。</w:t>
      </w:r>
    </w:p>
    <w:bookmarkEnd w:id="464"/>
    <w:bookmarkEnd w:id="465"/>
    <w:bookmarkEnd w:id="466"/>
    <w:bookmarkEnd w:id="467"/>
    <w:bookmarkEnd w:id="468"/>
    <w:bookmarkEnd w:id="469"/>
    <w:bookmarkEnd w:id="470"/>
    <w:p w14:paraId="6602379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78" w:name="_Toc30061974"/>
      <w:bookmarkStart w:id="479" w:name="_Toc3882782"/>
      <w:bookmarkStart w:id="480" w:name="_Toc373227726"/>
      <w:bookmarkStart w:id="481" w:name="_Toc469010930"/>
      <w:bookmarkStart w:id="482" w:name="_Toc373478373"/>
      <w:bookmarkStart w:id="483" w:name="_Toc14462"/>
      <w:bookmarkStart w:id="484" w:name="_Toc389065292"/>
      <w:r>
        <w:rPr>
          <w:rFonts w:hint="eastAsia" w:ascii="宋体" w:hAnsi="宋体" w:eastAsia="宋体" w:cs="宋体"/>
          <w:b/>
          <w:kern w:val="0"/>
          <w:sz w:val="21"/>
          <w:szCs w:val="21"/>
        </w:rPr>
        <w:t>7.4 测量放线</w:t>
      </w:r>
      <w:bookmarkEnd w:id="478"/>
      <w:bookmarkEnd w:id="479"/>
      <w:bookmarkEnd w:id="480"/>
      <w:bookmarkEnd w:id="481"/>
      <w:bookmarkEnd w:id="482"/>
      <w:bookmarkEnd w:id="483"/>
      <w:bookmarkEnd w:id="484"/>
    </w:p>
    <w:p w14:paraId="2243719D">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7.4.1发包人通过监理人向承包人提供测量基准点、基准线和水准点及其书面资料的期限：</w:t>
      </w:r>
      <w:r>
        <w:rPr>
          <w:rFonts w:hint="eastAsia" w:ascii="宋体" w:hAnsi="宋体" w:eastAsia="宋体" w:cs="宋体"/>
          <w:sz w:val="21"/>
          <w:szCs w:val="21"/>
          <w:u w:val="single"/>
        </w:rPr>
        <w:t>开工许可证发出后3天内</w:t>
      </w:r>
      <w:r>
        <w:rPr>
          <w:rFonts w:hint="eastAsia" w:ascii="宋体" w:hAnsi="宋体" w:eastAsia="宋体" w:cs="宋体"/>
          <w:sz w:val="21"/>
          <w:szCs w:val="21"/>
        </w:rPr>
        <w:t>。</w:t>
      </w:r>
    </w:p>
    <w:p w14:paraId="1D73DAEF">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485" w:name="_Toc373478374"/>
      <w:bookmarkStart w:id="486" w:name="_Toc30061975"/>
      <w:bookmarkStart w:id="487" w:name="_Toc373227727"/>
      <w:bookmarkStart w:id="488" w:name="_Toc469010931"/>
      <w:bookmarkStart w:id="489" w:name="_Toc389065293"/>
      <w:bookmarkStart w:id="490" w:name="_Toc26135"/>
      <w:bookmarkStart w:id="491" w:name="_Toc3882783"/>
      <w:r>
        <w:rPr>
          <w:rFonts w:hint="eastAsia" w:ascii="宋体" w:hAnsi="宋体" w:eastAsia="宋体" w:cs="宋体"/>
          <w:b/>
          <w:kern w:val="0"/>
          <w:sz w:val="21"/>
          <w:szCs w:val="21"/>
        </w:rPr>
        <w:t>7</w:t>
      </w:r>
      <w:bookmarkStart w:id="492" w:name="_Toc312677484"/>
      <w:bookmarkStart w:id="493" w:name="_Toc312678010"/>
      <w:bookmarkStart w:id="494" w:name="_Toc297216175"/>
      <w:bookmarkStart w:id="495" w:name="_Toc304295546"/>
      <w:bookmarkStart w:id="496" w:name="_Toc297123516"/>
      <w:bookmarkStart w:id="497" w:name="_Toc300934968"/>
      <w:bookmarkStart w:id="498" w:name="_Toc303539125"/>
      <w:r>
        <w:rPr>
          <w:rFonts w:hint="eastAsia" w:ascii="宋体" w:hAnsi="宋体" w:eastAsia="宋体" w:cs="宋体"/>
          <w:b/>
          <w:kern w:val="0"/>
          <w:sz w:val="21"/>
          <w:szCs w:val="21"/>
        </w:rPr>
        <w:t>.5 工期延误</w:t>
      </w:r>
      <w:bookmarkEnd w:id="485"/>
      <w:bookmarkEnd w:id="486"/>
      <w:bookmarkEnd w:id="487"/>
      <w:bookmarkEnd w:id="488"/>
      <w:bookmarkEnd w:id="489"/>
      <w:bookmarkEnd w:id="490"/>
      <w:bookmarkEnd w:id="491"/>
    </w:p>
    <w:bookmarkEnd w:id="492"/>
    <w:bookmarkEnd w:id="493"/>
    <w:bookmarkEnd w:id="494"/>
    <w:bookmarkEnd w:id="495"/>
    <w:bookmarkEnd w:id="496"/>
    <w:bookmarkEnd w:id="497"/>
    <w:bookmarkEnd w:id="498"/>
    <w:p w14:paraId="44C4596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7.5.1 因发包人原因导致工期延误</w:t>
      </w:r>
    </w:p>
    <w:p w14:paraId="117DFF0C">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（7）因发包人原因导致工期延误的其他情形：</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rPr>
        <w:t>①未按合同约定期限提供施工场地的，工期顺延。②由于设计变更导致工程量增加的，工期顺延，顺延时间按现场签证确定。③由于征地拆迁的影响，致使施工不能正常进行的，工期顺延。④不可抗力等延误承包人关键线路工作的情况工期按时顺延。⑤施工期间如因停电、停水连续8小时以上或一周内间歇性停水、停电累计8小时（含8小时）影响正常施工的。⑥政府指令性停工。⑦在施工过程中遇到地下障碍物、溶洞、岩石、文物或地下管线的。</w:t>
      </w:r>
      <w:r>
        <w:rPr>
          <w:rFonts w:hint="eastAsia" w:ascii="宋体" w:hAnsi="宋体" w:eastAsia="宋体" w:cs="宋体"/>
          <w:color w:val="000000"/>
          <w:sz w:val="21"/>
          <w:szCs w:val="21"/>
          <w:u w:val="single"/>
        </w:rPr>
        <w:fldChar w:fldCharType="begin"/>
      </w:r>
      <w:r>
        <w:rPr>
          <w:rFonts w:hint="eastAsia" w:ascii="宋体" w:hAnsi="宋体" w:eastAsia="宋体" w:cs="宋体"/>
          <w:color w:val="000000"/>
          <w:sz w:val="21"/>
          <w:szCs w:val="21"/>
          <w:u w:val="single"/>
        </w:rPr>
        <w:instrText xml:space="preserve"> = 8 \* GB3 </w:instrText>
      </w:r>
      <w:r>
        <w:rPr>
          <w:rFonts w:hint="eastAsia" w:ascii="宋体" w:hAnsi="宋体" w:eastAsia="宋体" w:cs="宋体"/>
          <w:color w:val="000000"/>
          <w:sz w:val="21"/>
          <w:szCs w:val="21"/>
          <w:u w:val="single"/>
        </w:rPr>
        <w:fldChar w:fldCharType="separate"/>
      </w:r>
      <w:r>
        <w:rPr>
          <w:rFonts w:hint="eastAsia" w:ascii="宋体" w:hAnsi="宋体" w:eastAsia="宋体" w:cs="宋体"/>
          <w:color w:val="000000"/>
          <w:sz w:val="21"/>
          <w:szCs w:val="21"/>
          <w:u w:val="single"/>
        </w:rPr>
        <w:t>8</w:t>
      </w:r>
      <w:r>
        <w:rPr>
          <w:rFonts w:hint="eastAsia" w:ascii="宋体" w:hAnsi="宋体" w:eastAsia="宋体" w:cs="宋体"/>
          <w:color w:val="000000"/>
          <w:sz w:val="21"/>
          <w:szCs w:val="21"/>
          <w:u w:val="single"/>
        </w:rPr>
        <w:fldChar w:fldCharType="end"/>
      </w:r>
      <w:r>
        <w:rPr>
          <w:rFonts w:hint="eastAsia" w:ascii="宋体" w:hAnsi="宋体" w:eastAsia="宋体" w:cs="宋体"/>
          <w:color w:val="000000"/>
          <w:sz w:val="21"/>
          <w:szCs w:val="21"/>
          <w:u w:val="single"/>
        </w:rPr>
        <w:t>因发包人未能及时确认变更价格或甲供材料提供延误的。⑨发包人未能按约定日期支付工程预付款、进度款，致使施工不能正常进行。⑩非承包人的责任造成的工期延误其他情形</w:t>
      </w:r>
      <w:r>
        <w:rPr>
          <w:rFonts w:hint="eastAsia" w:ascii="宋体" w:hAnsi="宋体" w:eastAsia="宋体" w:cs="宋体"/>
          <w:color w:val="000000"/>
          <w:sz w:val="21"/>
          <w:szCs w:val="21"/>
        </w:rPr>
        <w:t>。</w:t>
      </w:r>
      <w:r>
        <w:rPr>
          <w:rFonts w:hint="eastAsia" w:ascii="宋体" w:hAnsi="宋体" w:eastAsia="宋体" w:cs="宋体"/>
          <w:sz w:val="21"/>
          <w:szCs w:val="21"/>
        </w:rPr>
        <w:t xml:space="preserve">                                        </w:t>
      </w:r>
    </w:p>
    <w:p w14:paraId="083BBFC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w:t>
      </w:r>
      <w:bookmarkStart w:id="499" w:name="_Toc318581169"/>
      <w:bookmarkStart w:id="500" w:name="_Toc312678012"/>
      <w:bookmarkStart w:id="501" w:name="_Toc312677486"/>
      <w:bookmarkStart w:id="502" w:name="_Toc304295548"/>
      <w:bookmarkStart w:id="503" w:name="_Toc297123518"/>
      <w:bookmarkStart w:id="504" w:name="_Toc297216177"/>
      <w:bookmarkStart w:id="505" w:name="_Toc303539127"/>
      <w:bookmarkStart w:id="506" w:name="_Toc300934970"/>
      <w:r>
        <w:rPr>
          <w:rFonts w:hint="eastAsia" w:ascii="宋体" w:hAnsi="宋体" w:eastAsia="宋体" w:cs="宋体"/>
          <w:sz w:val="21"/>
          <w:szCs w:val="21"/>
        </w:rPr>
        <w:t>.5.2 因承包人原因导致工期延误</w:t>
      </w:r>
    </w:p>
    <w:bookmarkEnd w:id="499"/>
    <w:bookmarkEnd w:id="500"/>
    <w:bookmarkEnd w:id="501"/>
    <w:p w14:paraId="2C07CDF8">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双方约定经监理工程师确认，工期相应顺延的情况：</w:t>
      </w:r>
      <w:r>
        <w:rPr>
          <w:rFonts w:hint="eastAsia" w:ascii="宋体" w:hAnsi="宋体" w:eastAsia="宋体" w:cs="宋体"/>
          <w:sz w:val="21"/>
          <w:szCs w:val="21"/>
          <w:u w:val="single"/>
        </w:rPr>
        <w:t>当地政策变化引起的延误；建设项目停、缓建；不可预见的地下障碍物和地下文物的处理；属不可抗拒的自然灾害；因发包人原因造成的延误。</w:t>
      </w:r>
    </w:p>
    <w:p w14:paraId="07CD610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u w:val="single"/>
        </w:rPr>
        <w:t>由于承包人原因引起的过失或违约造成的延误，责任在承包人，由承包人承担费用，不顺延工期</w:t>
      </w:r>
      <w:r>
        <w:rPr>
          <w:rFonts w:hint="eastAsia" w:ascii="宋体" w:hAnsi="宋体" w:eastAsia="宋体" w:cs="宋体"/>
          <w:sz w:val="21"/>
          <w:szCs w:val="21"/>
        </w:rPr>
        <w:t>。</w:t>
      </w:r>
    </w:p>
    <w:p w14:paraId="177FBD05">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因</w:t>
      </w:r>
      <w:bookmarkStart w:id="507" w:name="_Toc318581170"/>
      <w:bookmarkStart w:id="508" w:name="_Toc312677487"/>
      <w:bookmarkStart w:id="509" w:name="_Toc312678013"/>
      <w:r>
        <w:rPr>
          <w:rFonts w:hint="eastAsia" w:ascii="宋体" w:hAnsi="宋体" w:eastAsia="宋体" w:cs="宋体"/>
          <w:sz w:val="21"/>
          <w:szCs w:val="21"/>
        </w:rPr>
        <w:t>承包人原因造成工期延误，逾期竣工违约金的计算方法为：</w:t>
      </w:r>
      <w:r>
        <w:rPr>
          <w:rFonts w:hint="eastAsia" w:ascii="宋体" w:hAnsi="宋体" w:eastAsia="宋体" w:cs="宋体"/>
          <w:color w:val="000000"/>
          <w:sz w:val="21"/>
          <w:szCs w:val="21"/>
          <w:u w:val="single"/>
        </w:rPr>
        <w:t>承包人不能按合同约定的时间竣工，承包人应承担违约责任。应向发包人支付误期赔偿费（每天赔偿金</w:t>
      </w:r>
      <w:r>
        <w:rPr>
          <w:rFonts w:hint="eastAsia" w:ascii="宋体" w:hAnsi="宋体" w:eastAsia="宋体" w:cs="宋体"/>
          <w:sz w:val="21"/>
          <w:szCs w:val="21"/>
          <w:u w:val="single"/>
        </w:rPr>
        <w:t>额为合同价款的万分之三），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w:t>
      </w:r>
      <w:r>
        <w:rPr>
          <w:rFonts w:hint="eastAsia" w:ascii="宋体" w:hAnsi="宋体" w:eastAsia="宋体" w:cs="宋体"/>
          <w:sz w:val="21"/>
          <w:szCs w:val="21"/>
        </w:rPr>
        <w:t>。</w:t>
      </w:r>
    </w:p>
    <w:bookmarkEnd w:id="502"/>
    <w:bookmarkEnd w:id="503"/>
    <w:bookmarkEnd w:id="504"/>
    <w:bookmarkEnd w:id="505"/>
    <w:bookmarkEnd w:id="506"/>
    <w:bookmarkEnd w:id="507"/>
    <w:bookmarkEnd w:id="508"/>
    <w:bookmarkEnd w:id="509"/>
    <w:p w14:paraId="369BCC4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因承包人原因造成工期延误，逾</w:t>
      </w:r>
      <w:bookmarkStart w:id="510" w:name="_Toc318581171"/>
      <w:bookmarkStart w:id="511" w:name="_Toc312678014"/>
      <w:r>
        <w:rPr>
          <w:rFonts w:hint="eastAsia" w:ascii="宋体" w:hAnsi="宋体" w:eastAsia="宋体" w:cs="宋体"/>
          <w:sz w:val="21"/>
          <w:szCs w:val="21"/>
        </w:rPr>
        <w:t>期竣工违约金的上限：</w:t>
      </w:r>
      <w:r>
        <w:rPr>
          <w:rFonts w:hint="eastAsia" w:ascii="宋体" w:hAnsi="宋体" w:eastAsia="宋体" w:cs="宋体"/>
          <w:sz w:val="21"/>
          <w:szCs w:val="21"/>
          <w:u w:val="single"/>
        </w:rPr>
        <w:t>合同价款的2%</w:t>
      </w:r>
      <w:r>
        <w:rPr>
          <w:rFonts w:hint="eastAsia" w:ascii="宋体" w:hAnsi="宋体" w:eastAsia="宋体" w:cs="宋体"/>
          <w:sz w:val="21"/>
          <w:szCs w:val="21"/>
        </w:rPr>
        <w:t>。</w:t>
      </w:r>
    </w:p>
    <w:bookmarkEnd w:id="510"/>
    <w:bookmarkEnd w:id="511"/>
    <w:p w14:paraId="3C355958">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512" w:name="_Toc389065294"/>
      <w:bookmarkStart w:id="513" w:name="_Toc373478375"/>
      <w:bookmarkStart w:id="514" w:name="_Toc30061976"/>
      <w:bookmarkStart w:id="515" w:name="_Toc373227728"/>
      <w:bookmarkStart w:id="516" w:name="_Toc3882784"/>
      <w:r>
        <w:rPr>
          <w:rFonts w:hint="eastAsia" w:ascii="宋体" w:hAnsi="宋体" w:eastAsia="宋体" w:cs="宋体"/>
          <w:b/>
          <w:kern w:val="0"/>
          <w:sz w:val="21"/>
          <w:szCs w:val="21"/>
        </w:rPr>
        <w:t>7</w:t>
      </w:r>
      <w:bookmarkStart w:id="517" w:name="_Toc303539128"/>
      <w:bookmarkStart w:id="518" w:name="_Toc300934971"/>
      <w:bookmarkStart w:id="519" w:name="_Toc297216178"/>
      <w:bookmarkStart w:id="520" w:name="_Toc304295549"/>
      <w:bookmarkStart w:id="521" w:name="_Toc297123519"/>
      <w:bookmarkStart w:id="522" w:name="_Toc312678015"/>
      <w:r>
        <w:rPr>
          <w:rFonts w:hint="eastAsia" w:ascii="宋体" w:hAnsi="宋体" w:eastAsia="宋体" w:cs="宋体"/>
          <w:b/>
          <w:kern w:val="0"/>
          <w:sz w:val="21"/>
          <w:szCs w:val="21"/>
        </w:rPr>
        <w:t>.6 不</w:t>
      </w:r>
      <w:bookmarkEnd w:id="517"/>
      <w:bookmarkEnd w:id="518"/>
      <w:bookmarkEnd w:id="519"/>
      <w:bookmarkEnd w:id="520"/>
      <w:bookmarkEnd w:id="521"/>
      <w:bookmarkEnd w:id="522"/>
      <w:r>
        <w:rPr>
          <w:rFonts w:hint="eastAsia" w:ascii="宋体" w:hAnsi="宋体" w:eastAsia="宋体" w:cs="宋体"/>
          <w:b/>
          <w:kern w:val="0"/>
          <w:sz w:val="21"/>
          <w:szCs w:val="21"/>
        </w:rPr>
        <w:t>利物质条件</w:t>
      </w:r>
      <w:bookmarkEnd w:id="512"/>
      <w:bookmarkEnd w:id="513"/>
      <w:bookmarkEnd w:id="514"/>
      <w:bookmarkEnd w:id="515"/>
      <w:bookmarkEnd w:id="516"/>
    </w:p>
    <w:p w14:paraId="0C7F11BD">
      <w:pPr>
        <w:pStyle w:val="54"/>
        <w:spacing w:line="360" w:lineRule="auto"/>
        <w:ind w:firstLine="420" w:firstLineChars="200"/>
        <w:jc w:val="left"/>
        <w:rPr>
          <w:rFonts w:hint="eastAsia" w:ascii="宋体" w:hAnsi="宋体" w:eastAsia="宋体" w:cs="宋体"/>
          <w:sz w:val="21"/>
          <w:szCs w:val="21"/>
          <w:u w:val="single"/>
        </w:rPr>
      </w:pPr>
      <w:bookmarkStart w:id="523" w:name="_Toc303539129"/>
      <w:bookmarkStart w:id="524" w:name="_Toc318581172"/>
      <w:bookmarkStart w:id="525" w:name="_Toc300934972"/>
      <w:bookmarkStart w:id="526" w:name="_Toc304295550"/>
      <w:bookmarkStart w:id="527" w:name="_Toc297216179"/>
      <w:bookmarkStart w:id="528" w:name="_Toc297123520"/>
      <w:bookmarkStart w:id="529" w:name="_Toc312678016"/>
      <w:r>
        <w:rPr>
          <w:rFonts w:hint="eastAsia" w:ascii="宋体" w:hAnsi="宋体" w:eastAsia="宋体" w:cs="宋体"/>
          <w:sz w:val="21"/>
          <w:szCs w:val="21"/>
        </w:rPr>
        <w:t>不利物质条件的其他情形和有关约定：</w:t>
      </w:r>
      <w:r>
        <w:rPr>
          <w:rFonts w:hint="eastAsia" w:ascii="宋体" w:hAnsi="宋体" w:eastAsia="宋体" w:cs="宋体"/>
          <w:sz w:val="21"/>
          <w:szCs w:val="21"/>
          <w:u w:val="single"/>
        </w:rPr>
        <w:t>气象台发布的黄色预警及以上天气、恶劣的霜冻与冰冻天气</w:t>
      </w:r>
      <w:r>
        <w:rPr>
          <w:rFonts w:hint="eastAsia" w:ascii="宋体" w:hAnsi="宋体" w:eastAsia="宋体" w:cs="宋体"/>
          <w:sz w:val="21"/>
          <w:szCs w:val="21"/>
        </w:rPr>
        <w:t>。</w:t>
      </w:r>
    </w:p>
    <w:bookmarkEnd w:id="523"/>
    <w:bookmarkEnd w:id="524"/>
    <w:bookmarkEnd w:id="525"/>
    <w:bookmarkEnd w:id="526"/>
    <w:bookmarkEnd w:id="527"/>
    <w:bookmarkEnd w:id="528"/>
    <w:bookmarkEnd w:id="529"/>
    <w:p w14:paraId="6788BE82">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530" w:name="_Toc30061977"/>
      <w:bookmarkStart w:id="531" w:name="_Toc3882785"/>
      <w:bookmarkStart w:id="532" w:name="_Toc373227729"/>
      <w:bookmarkStart w:id="533" w:name="_Toc389065295"/>
      <w:bookmarkStart w:id="534" w:name="_Toc373478376"/>
      <w:bookmarkStart w:id="535" w:name="_Toc469010932"/>
      <w:bookmarkStart w:id="536" w:name="_Toc4085"/>
      <w:r>
        <w:rPr>
          <w:rFonts w:hint="eastAsia" w:ascii="宋体" w:hAnsi="宋体" w:eastAsia="宋体" w:cs="宋体"/>
          <w:b/>
          <w:kern w:val="0"/>
          <w:sz w:val="21"/>
          <w:szCs w:val="21"/>
        </w:rPr>
        <w:t>7</w:t>
      </w:r>
      <w:bookmarkStart w:id="537" w:name="_Toc303539130"/>
      <w:bookmarkStart w:id="538" w:name="_Toc300934973"/>
      <w:bookmarkStart w:id="539" w:name="_Toc304295551"/>
      <w:bookmarkStart w:id="540" w:name="_Toc297216180"/>
      <w:bookmarkStart w:id="541" w:name="_Toc297123521"/>
      <w:bookmarkStart w:id="542" w:name="_Toc312678017"/>
      <w:r>
        <w:rPr>
          <w:rFonts w:hint="eastAsia" w:ascii="宋体" w:hAnsi="宋体" w:eastAsia="宋体" w:cs="宋体"/>
          <w:b/>
          <w:kern w:val="0"/>
          <w:sz w:val="21"/>
          <w:szCs w:val="21"/>
        </w:rPr>
        <w:t>.7 异常恶劣的气候条件</w:t>
      </w:r>
      <w:bookmarkEnd w:id="530"/>
      <w:bookmarkEnd w:id="531"/>
      <w:bookmarkEnd w:id="532"/>
      <w:bookmarkEnd w:id="533"/>
      <w:bookmarkEnd w:id="534"/>
      <w:bookmarkEnd w:id="535"/>
      <w:bookmarkEnd w:id="536"/>
    </w:p>
    <w:bookmarkEnd w:id="537"/>
    <w:bookmarkEnd w:id="538"/>
    <w:bookmarkEnd w:id="539"/>
    <w:bookmarkEnd w:id="540"/>
    <w:bookmarkEnd w:id="541"/>
    <w:bookmarkEnd w:id="542"/>
    <w:p w14:paraId="7AF1BE09">
      <w:pPr>
        <w:pStyle w:val="54"/>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发包人和承包人同意以下情形视为异常恶劣的气候条件：</w:t>
      </w:r>
    </w:p>
    <w:p w14:paraId="0EF53CA6">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u w:val="single"/>
        </w:rPr>
        <w:t>中雨级及以上的雨天；持续2天38度的高温天气；持续2天零度以下的低温天气；25年以上未发生过的洪水； 8级及以上的地震；8级及以上的大风</w:t>
      </w:r>
      <w:r>
        <w:rPr>
          <w:rFonts w:hint="eastAsia" w:ascii="宋体" w:hAnsi="宋体" w:eastAsia="宋体" w:cs="宋体"/>
          <w:sz w:val="21"/>
          <w:szCs w:val="21"/>
        </w:rPr>
        <w:t>。</w:t>
      </w:r>
    </w:p>
    <w:p w14:paraId="3AD90D87">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543" w:name="_Toc3882786"/>
      <w:bookmarkStart w:id="544" w:name="_Toc373227730"/>
      <w:bookmarkStart w:id="545" w:name="_Toc469010933"/>
      <w:bookmarkStart w:id="546" w:name="_Toc30061978"/>
      <w:bookmarkStart w:id="547" w:name="_Toc373478377"/>
      <w:bookmarkStart w:id="548" w:name="_Toc389065296"/>
      <w:bookmarkStart w:id="549" w:name="_Toc7439"/>
      <w:r>
        <w:rPr>
          <w:rFonts w:hint="eastAsia" w:ascii="宋体" w:hAnsi="宋体" w:eastAsia="宋体" w:cs="宋体"/>
          <w:b/>
          <w:kern w:val="0"/>
          <w:sz w:val="21"/>
          <w:szCs w:val="21"/>
        </w:rPr>
        <w:t>7.9 提前竣工</w:t>
      </w:r>
      <w:bookmarkEnd w:id="543"/>
      <w:bookmarkEnd w:id="544"/>
      <w:bookmarkEnd w:id="545"/>
      <w:bookmarkEnd w:id="546"/>
      <w:bookmarkEnd w:id="547"/>
      <w:bookmarkEnd w:id="548"/>
      <w:bookmarkEnd w:id="549"/>
    </w:p>
    <w:p w14:paraId="23A74864">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7.9.2提前竣工（赶工）增加费的计算方法：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326029CB">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550" w:name="_Toc3882787"/>
      <w:bookmarkStart w:id="551" w:name="_Toc469010934"/>
      <w:bookmarkStart w:id="552" w:name="_Toc351203640"/>
      <w:bookmarkStart w:id="553" w:name="_Toc373227731"/>
      <w:bookmarkStart w:id="554" w:name="_Toc373478378"/>
      <w:bookmarkStart w:id="555" w:name="_Toc11665"/>
      <w:bookmarkStart w:id="556" w:name="_Toc30061979"/>
      <w:bookmarkStart w:id="557" w:name="_Toc389065297"/>
      <w:r>
        <w:rPr>
          <w:rFonts w:hint="eastAsia" w:ascii="宋体" w:hAnsi="宋体" w:eastAsia="宋体" w:cs="宋体"/>
          <w:b/>
          <w:sz w:val="21"/>
          <w:szCs w:val="21"/>
        </w:rPr>
        <w:t>8. 材料与设备</w:t>
      </w:r>
      <w:bookmarkEnd w:id="550"/>
      <w:bookmarkEnd w:id="551"/>
      <w:bookmarkEnd w:id="552"/>
      <w:bookmarkEnd w:id="553"/>
      <w:bookmarkEnd w:id="554"/>
      <w:bookmarkEnd w:id="555"/>
      <w:bookmarkEnd w:id="556"/>
      <w:bookmarkEnd w:id="557"/>
    </w:p>
    <w:bookmarkEnd w:id="400"/>
    <w:bookmarkEnd w:id="401"/>
    <w:bookmarkEnd w:id="402"/>
    <w:bookmarkEnd w:id="403"/>
    <w:bookmarkEnd w:id="404"/>
    <w:bookmarkEnd w:id="405"/>
    <w:bookmarkEnd w:id="406"/>
    <w:bookmarkEnd w:id="407"/>
    <w:bookmarkEnd w:id="408"/>
    <w:bookmarkEnd w:id="409"/>
    <w:p w14:paraId="7CC49F8D">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558" w:name="_Toc3882788"/>
      <w:bookmarkStart w:id="559" w:name="_Toc469010935"/>
      <w:bookmarkStart w:id="560" w:name="_Toc30061980"/>
      <w:bookmarkStart w:id="561" w:name="_Toc373478379"/>
      <w:bookmarkStart w:id="562" w:name="_Toc373227732"/>
      <w:bookmarkStart w:id="563" w:name="_Toc3275"/>
      <w:bookmarkStart w:id="564" w:name="_Toc389065298"/>
      <w:r>
        <w:rPr>
          <w:rFonts w:hint="eastAsia" w:ascii="宋体" w:hAnsi="宋体" w:eastAsia="宋体" w:cs="宋体"/>
          <w:b/>
          <w:kern w:val="0"/>
          <w:sz w:val="21"/>
          <w:szCs w:val="21"/>
        </w:rPr>
        <w:t>8.2 承包人采购材料与工程设备</w:t>
      </w:r>
      <w:bookmarkEnd w:id="558"/>
      <w:bookmarkEnd w:id="559"/>
      <w:bookmarkEnd w:id="560"/>
      <w:bookmarkEnd w:id="561"/>
      <w:bookmarkEnd w:id="562"/>
      <w:bookmarkEnd w:id="563"/>
      <w:bookmarkEnd w:id="564"/>
    </w:p>
    <w:p w14:paraId="46D7FBBC">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除已标价工程量清单《发包人提供主要材料和工程设备一览表》（表-21）中明确的材料、工程设备外，由承包人负责材料和工程设备的采购、运输和保管。《</w:t>
      </w:r>
      <w:r>
        <w:rPr>
          <w:rFonts w:hint="eastAsia" w:ascii="宋体" w:hAnsi="宋体" w:eastAsia="宋体" w:cs="宋体"/>
          <w:sz w:val="21"/>
          <w:szCs w:val="21"/>
        </w:rPr>
        <w:t>承包人提供主要材料和工程设备一览表》</w:t>
      </w:r>
      <w:r>
        <w:rPr>
          <w:rFonts w:hint="eastAsia" w:ascii="宋体" w:hAnsi="宋体" w:eastAsia="宋体" w:cs="宋体"/>
          <w:kern w:val="0"/>
          <w:sz w:val="21"/>
          <w:szCs w:val="21"/>
        </w:rPr>
        <w:t>（表-22）见已标价工程量清单。如发包人招标时提供的《承包人提供主要材料和设备一览表》中的主要按材料和设备缺项、漏项，经发包人及相关部门审核确认后予以调整。</w:t>
      </w:r>
    </w:p>
    <w:p w14:paraId="76C07C08">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发包人在招标时有“参照或相当于**品牌、级别”约定的材料或设备，承包人采购时必须按类似于或优于所约定品牌、等级进行采购，施工期间该部分材料或设备如未超过招标约定的风险幅度的，结算时按投标单价支付，不得调整。</w:t>
      </w:r>
    </w:p>
    <w:p w14:paraId="289ABF4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565" w:name="_Toc30061981"/>
      <w:bookmarkStart w:id="566" w:name="_Toc389065299"/>
      <w:bookmarkStart w:id="567" w:name="_Toc3882789"/>
      <w:bookmarkStart w:id="568" w:name="_Toc21582"/>
      <w:bookmarkStart w:id="569" w:name="_Toc373227733"/>
      <w:bookmarkStart w:id="570" w:name="_Toc373478380"/>
      <w:bookmarkStart w:id="571" w:name="_Toc469010936"/>
      <w:r>
        <w:rPr>
          <w:rFonts w:hint="eastAsia" w:ascii="宋体" w:hAnsi="宋体" w:eastAsia="宋体" w:cs="宋体"/>
          <w:b/>
          <w:kern w:val="0"/>
          <w:sz w:val="21"/>
          <w:szCs w:val="21"/>
        </w:rPr>
        <w:t>8</w:t>
      </w:r>
      <w:bookmarkStart w:id="572" w:name="_Toc312677493"/>
      <w:bookmarkStart w:id="573" w:name="_Toc280868654"/>
      <w:bookmarkStart w:id="574" w:name="_Toc312678019"/>
      <w:bookmarkStart w:id="575" w:name="_Toc297120467"/>
      <w:bookmarkStart w:id="576" w:name="_Toc296503167"/>
      <w:bookmarkStart w:id="577" w:name="_Toc292559372"/>
      <w:bookmarkStart w:id="578" w:name="_Toc296346668"/>
      <w:bookmarkStart w:id="579" w:name="_Toc303539136"/>
      <w:bookmarkStart w:id="580" w:name="_Toc297216186"/>
      <w:bookmarkStart w:id="581" w:name="_Toc300934979"/>
      <w:bookmarkStart w:id="582" w:name="_Toc297048353"/>
      <w:bookmarkStart w:id="583" w:name="_Toc296347166"/>
      <w:bookmarkStart w:id="584" w:name="_Toc297123527"/>
      <w:bookmarkStart w:id="585" w:name="_Toc292559877"/>
      <w:bookmarkStart w:id="586" w:name="_Toc296944506"/>
      <w:bookmarkStart w:id="587" w:name="_Toc296891207"/>
      <w:bookmarkStart w:id="588" w:name="_Toc304295556"/>
      <w:bookmarkStart w:id="589" w:name="_Toc296890995"/>
      <w:bookmarkStart w:id="590" w:name="_Toc280868655"/>
      <w:bookmarkStart w:id="591" w:name="_Toc280868656"/>
      <w:bookmarkStart w:id="592" w:name="_Toc267251424"/>
      <w:r>
        <w:rPr>
          <w:rFonts w:hint="eastAsia" w:ascii="宋体" w:hAnsi="宋体" w:eastAsia="宋体" w:cs="宋体"/>
          <w:b/>
          <w:kern w:val="0"/>
          <w:sz w:val="21"/>
          <w:szCs w:val="21"/>
        </w:rPr>
        <w:t>.4 材料与工程设备的保管与使用</w:t>
      </w:r>
      <w:bookmarkEnd w:id="565"/>
      <w:bookmarkEnd w:id="566"/>
      <w:bookmarkEnd w:id="567"/>
      <w:bookmarkEnd w:id="568"/>
      <w:bookmarkEnd w:id="569"/>
      <w:bookmarkEnd w:id="570"/>
      <w:bookmarkEnd w:id="571"/>
    </w:p>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14:paraId="73143D54">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8</w:t>
      </w:r>
      <w:bookmarkStart w:id="593" w:name="_Toc292559373"/>
      <w:bookmarkStart w:id="594" w:name="_Toc292559878"/>
      <w:bookmarkStart w:id="595" w:name="_Toc297216187"/>
      <w:bookmarkStart w:id="596" w:name="_Toc297048354"/>
      <w:bookmarkStart w:id="597" w:name="_Toc296503168"/>
      <w:bookmarkStart w:id="598" w:name="_Toc296347167"/>
      <w:bookmarkStart w:id="599" w:name="_Toc296891208"/>
      <w:bookmarkStart w:id="600" w:name="_Toc297123528"/>
      <w:bookmarkStart w:id="601" w:name="_Toc318581173"/>
      <w:bookmarkStart w:id="602" w:name="_Toc300934980"/>
      <w:bookmarkStart w:id="603" w:name="_Toc297120468"/>
      <w:bookmarkStart w:id="604" w:name="_Toc296944507"/>
      <w:bookmarkStart w:id="605" w:name="_Toc312678020"/>
      <w:bookmarkStart w:id="606" w:name="_Toc312677494"/>
      <w:bookmarkStart w:id="607" w:name="_Toc303539137"/>
      <w:bookmarkStart w:id="608" w:name="_Toc304295557"/>
      <w:bookmarkStart w:id="609" w:name="_Toc296890996"/>
      <w:bookmarkStart w:id="610" w:name="_Toc296346669"/>
      <w:r>
        <w:rPr>
          <w:rFonts w:hint="eastAsia" w:ascii="宋体" w:hAnsi="宋体" w:eastAsia="宋体" w:cs="宋体"/>
          <w:sz w:val="21"/>
          <w:szCs w:val="21"/>
        </w:rPr>
        <w:t>.4.1发包人供应的材料设备的保管费用的承担：</w:t>
      </w:r>
      <w:r>
        <w:rPr>
          <w:rFonts w:hint="eastAsia" w:ascii="宋体" w:hAnsi="宋体" w:eastAsia="宋体" w:cs="宋体"/>
          <w:sz w:val="21"/>
          <w:szCs w:val="21"/>
          <w:u w:val="single"/>
        </w:rPr>
        <w:t>承包人负责</w:t>
      </w:r>
      <w:r>
        <w:rPr>
          <w:rFonts w:hint="eastAsia" w:ascii="宋体" w:hAnsi="宋体" w:eastAsia="宋体" w:cs="宋体"/>
          <w:sz w:val="21"/>
          <w:szCs w:val="21"/>
        </w:rPr>
        <w:t>。</w:t>
      </w:r>
    </w:p>
    <w:bookmarkEnd w:id="593"/>
    <w:bookmarkEnd w:id="594"/>
    <w:p w14:paraId="1921A7C1">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611" w:name="_Toc373478381"/>
      <w:bookmarkStart w:id="612" w:name="_Toc373227734"/>
      <w:bookmarkStart w:id="613" w:name="_Toc389065300"/>
      <w:bookmarkStart w:id="614" w:name="_Toc3882790"/>
      <w:bookmarkStart w:id="615" w:name="_Toc30061982"/>
      <w:bookmarkStart w:id="616" w:name="_Toc469010937"/>
      <w:bookmarkStart w:id="617" w:name="_Toc18397"/>
      <w:r>
        <w:rPr>
          <w:rFonts w:hint="eastAsia" w:ascii="宋体" w:hAnsi="宋体" w:eastAsia="宋体" w:cs="宋体"/>
          <w:b/>
          <w:kern w:val="0"/>
          <w:sz w:val="21"/>
          <w:szCs w:val="21"/>
        </w:rPr>
        <w:t>8.6 样品</w:t>
      </w:r>
      <w:bookmarkEnd w:id="611"/>
      <w:bookmarkEnd w:id="612"/>
      <w:bookmarkEnd w:id="613"/>
      <w:bookmarkEnd w:id="614"/>
      <w:bookmarkEnd w:id="615"/>
      <w:bookmarkEnd w:id="616"/>
      <w:bookmarkEnd w:id="617"/>
    </w:p>
    <w:p w14:paraId="0FC78F15">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8.6.1 样品的报送与封存</w:t>
      </w:r>
    </w:p>
    <w:p w14:paraId="0198C91E">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需要承包人报送样品的材料或工程设备，样品的种类、名称、规格、数量要求：</w:t>
      </w:r>
      <w:r>
        <w:rPr>
          <w:rFonts w:hint="eastAsia" w:ascii="宋体" w:hAnsi="宋体" w:eastAsia="宋体" w:cs="宋体"/>
          <w:sz w:val="21"/>
          <w:szCs w:val="21"/>
          <w:u w:val="single"/>
        </w:rPr>
        <w:t>主要材料涉及品种、款式、颜色等方面内容的，承包人应提交准备合格的材料样品送发包人选定。</w:t>
      </w:r>
    </w:p>
    <w:p w14:paraId="2A5A203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618" w:name="_Toc25050"/>
      <w:bookmarkStart w:id="619" w:name="_Toc469010938"/>
      <w:bookmarkStart w:id="620" w:name="_Toc389065301"/>
      <w:bookmarkStart w:id="621" w:name="_Toc3882791"/>
      <w:bookmarkStart w:id="622" w:name="_Toc373227735"/>
      <w:bookmarkStart w:id="623" w:name="_Toc30061983"/>
      <w:bookmarkStart w:id="624" w:name="_Toc373478382"/>
      <w:r>
        <w:rPr>
          <w:rFonts w:hint="eastAsia" w:ascii="宋体" w:hAnsi="宋体" w:eastAsia="宋体" w:cs="宋体"/>
          <w:b/>
          <w:kern w:val="0"/>
          <w:sz w:val="21"/>
          <w:szCs w:val="21"/>
        </w:rPr>
        <w:t>8.8 施工设备和临时设施</w:t>
      </w:r>
      <w:bookmarkEnd w:id="618"/>
      <w:bookmarkEnd w:id="619"/>
      <w:bookmarkEnd w:id="620"/>
      <w:bookmarkEnd w:id="621"/>
      <w:bookmarkEnd w:id="622"/>
      <w:bookmarkEnd w:id="623"/>
      <w:bookmarkEnd w:id="624"/>
    </w:p>
    <w:p w14:paraId="72BF0D73">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8.8.1 承包人提供的施工设备和临时设施</w:t>
      </w:r>
    </w:p>
    <w:p w14:paraId="748E2908">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6。</w:t>
      </w:r>
    </w:p>
    <w:p w14:paraId="0E79AF9B">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关于修建临时设施费用承担的约定：</w:t>
      </w:r>
    </w:p>
    <w:p w14:paraId="5F566986">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①承包人的临时用地（含项目部驻地等）租用费、临时用地的环保、恢复、临时用地的青苗补偿及地面附着物拆除等费用均由承包人负责，以上费用在投标报价中综合考虑。</w:t>
      </w:r>
    </w:p>
    <w:p w14:paraId="7032772F">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②承包人负责合同实施期间其合同段内临时交通道路和交通设施的修建、维修、养护和交通管理工作，并承担一切费用。</w:t>
      </w:r>
    </w:p>
    <w:p w14:paraId="7DBA503C">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30C40444">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8.8.2 发包人提供的施工设备和临时设施</w:t>
      </w:r>
    </w:p>
    <w:p w14:paraId="7C701706">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发包人提供的施工设备和临时设施：</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A87D05F">
      <w:pPr>
        <w:pStyle w:val="54"/>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发包人提供的施工设备和临时设施的运行、维护、拆除、清运费用的承担人：</w:t>
      </w:r>
      <w:r>
        <w:rPr>
          <w:rFonts w:hint="eastAsia" w:ascii="宋体" w:hAnsi="宋体" w:eastAsia="宋体" w:cs="宋体"/>
          <w:sz w:val="21"/>
          <w:szCs w:val="21"/>
          <w:u w:val="single"/>
        </w:rPr>
        <w:t>承包人</w:t>
      </w:r>
      <w:r>
        <w:rPr>
          <w:rFonts w:hint="eastAsia" w:ascii="宋体" w:hAnsi="宋体" w:eastAsia="宋体" w:cs="宋体"/>
          <w:sz w:val="21"/>
          <w:szCs w:val="21"/>
        </w:rPr>
        <w:t>。</w:t>
      </w:r>
    </w:p>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14:paraId="66DE642F">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625" w:name="_Toc389065302"/>
      <w:bookmarkStart w:id="626" w:name="_Toc32025"/>
      <w:bookmarkStart w:id="627" w:name="_Toc469010939"/>
      <w:bookmarkStart w:id="628" w:name="_Toc30061984"/>
      <w:bookmarkStart w:id="629" w:name="_Toc351203641"/>
      <w:bookmarkStart w:id="630" w:name="_Toc373227736"/>
      <w:bookmarkStart w:id="631" w:name="_Toc3882792"/>
      <w:bookmarkStart w:id="632" w:name="_Toc373478383"/>
      <w:r>
        <w:rPr>
          <w:rFonts w:hint="eastAsia" w:ascii="宋体" w:hAnsi="宋体" w:eastAsia="宋体" w:cs="宋体"/>
          <w:b/>
          <w:sz w:val="21"/>
          <w:szCs w:val="21"/>
        </w:rPr>
        <w:t>9</w:t>
      </w:r>
      <w:bookmarkEnd w:id="590"/>
      <w:bookmarkEnd w:id="591"/>
      <w:bookmarkEnd w:id="592"/>
      <w:bookmarkStart w:id="633" w:name="_Toc297123533"/>
      <w:bookmarkStart w:id="634" w:name="_Toc300934982"/>
      <w:bookmarkStart w:id="635" w:name="_Toc303539139"/>
      <w:bookmarkStart w:id="636" w:name="_Toc297216192"/>
      <w:bookmarkStart w:id="637" w:name="_Toc312677495"/>
      <w:bookmarkStart w:id="638" w:name="_Toc304295559"/>
      <w:bookmarkStart w:id="639" w:name="_Toc312678021"/>
      <w:bookmarkStart w:id="640" w:name="_Toc296503173"/>
      <w:bookmarkStart w:id="641" w:name="_Toc296944512"/>
      <w:bookmarkStart w:id="642" w:name="_Toc267251427"/>
      <w:bookmarkStart w:id="643" w:name="_Toc292559378"/>
      <w:bookmarkStart w:id="644" w:name="_Toc296346674"/>
      <w:bookmarkStart w:id="645" w:name="_Toc292559883"/>
      <w:bookmarkStart w:id="646" w:name="_Toc296347172"/>
      <w:bookmarkStart w:id="647" w:name="_Toc267251428"/>
      <w:bookmarkStart w:id="648" w:name="_Toc297120473"/>
      <w:bookmarkStart w:id="649" w:name="_Toc297048359"/>
      <w:bookmarkStart w:id="650" w:name="_Toc296891213"/>
      <w:bookmarkStart w:id="651" w:name="_Toc296891001"/>
      <w:r>
        <w:rPr>
          <w:rFonts w:hint="eastAsia" w:ascii="宋体" w:hAnsi="宋体" w:eastAsia="宋体" w:cs="宋体"/>
          <w:b/>
          <w:sz w:val="21"/>
          <w:szCs w:val="21"/>
        </w:rPr>
        <w:t>. 试验与检验</w:t>
      </w:r>
      <w:bookmarkEnd w:id="625"/>
      <w:bookmarkEnd w:id="626"/>
      <w:bookmarkEnd w:id="627"/>
      <w:bookmarkEnd w:id="628"/>
      <w:bookmarkEnd w:id="629"/>
      <w:bookmarkEnd w:id="630"/>
      <w:bookmarkEnd w:id="631"/>
      <w:bookmarkEnd w:id="632"/>
    </w:p>
    <w:bookmarkEnd w:id="633"/>
    <w:bookmarkEnd w:id="634"/>
    <w:bookmarkEnd w:id="635"/>
    <w:bookmarkEnd w:id="636"/>
    <w:bookmarkEnd w:id="637"/>
    <w:bookmarkEnd w:id="638"/>
    <w:bookmarkEnd w:id="639"/>
    <w:p w14:paraId="72579E38">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652" w:name="_Toc373227737"/>
      <w:bookmarkStart w:id="653" w:name="_Toc30061985"/>
      <w:bookmarkStart w:id="654" w:name="_Toc23078"/>
      <w:bookmarkStart w:id="655" w:name="_Toc469010940"/>
      <w:bookmarkStart w:id="656" w:name="_Toc389065303"/>
      <w:bookmarkStart w:id="657" w:name="_Toc373478384"/>
      <w:bookmarkStart w:id="658" w:name="_Toc3882793"/>
      <w:r>
        <w:rPr>
          <w:rFonts w:hint="eastAsia" w:ascii="宋体" w:hAnsi="宋体" w:eastAsia="宋体" w:cs="宋体"/>
          <w:b/>
          <w:kern w:val="0"/>
          <w:sz w:val="21"/>
          <w:szCs w:val="21"/>
        </w:rPr>
        <w:t>9</w:t>
      </w:r>
      <w:bookmarkStart w:id="659" w:name="_Toc297216193"/>
      <w:bookmarkStart w:id="660" w:name="_Toc312677496"/>
      <w:bookmarkStart w:id="661" w:name="_Toc297123534"/>
      <w:bookmarkStart w:id="662" w:name="_Toc300934983"/>
      <w:bookmarkStart w:id="663" w:name="_Toc312678022"/>
      <w:bookmarkStart w:id="664" w:name="_Toc303539140"/>
      <w:bookmarkStart w:id="665" w:name="_Toc304295560"/>
      <w:r>
        <w:rPr>
          <w:rFonts w:hint="eastAsia" w:ascii="宋体" w:hAnsi="宋体" w:eastAsia="宋体" w:cs="宋体"/>
          <w:b/>
          <w:kern w:val="0"/>
          <w:sz w:val="21"/>
          <w:szCs w:val="21"/>
        </w:rPr>
        <w:t>.1 试验设备与试验人员</w:t>
      </w:r>
      <w:bookmarkEnd w:id="652"/>
      <w:bookmarkEnd w:id="653"/>
      <w:bookmarkEnd w:id="654"/>
      <w:bookmarkEnd w:id="655"/>
      <w:bookmarkEnd w:id="656"/>
      <w:bookmarkEnd w:id="657"/>
      <w:bookmarkEnd w:id="658"/>
    </w:p>
    <w:bookmarkEnd w:id="659"/>
    <w:bookmarkEnd w:id="660"/>
    <w:bookmarkEnd w:id="661"/>
    <w:bookmarkEnd w:id="662"/>
    <w:bookmarkEnd w:id="663"/>
    <w:bookmarkEnd w:id="664"/>
    <w:bookmarkEnd w:id="665"/>
    <w:p w14:paraId="430FBEC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w:t>
      </w:r>
      <w:bookmarkStart w:id="666" w:name="_Toc297123535"/>
      <w:bookmarkStart w:id="667" w:name="_Toc304295561"/>
      <w:bookmarkStart w:id="668" w:name="_Toc300934984"/>
      <w:bookmarkStart w:id="669" w:name="_Toc312678023"/>
      <w:bookmarkStart w:id="670" w:name="_Toc312677497"/>
      <w:bookmarkStart w:id="671" w:name="_Toc303539141"/>
      <w:bookmarkStart w:id="672" w:name="_Toc297216194"/>
      <w:bookmarkStart w:id="673" w:name="_Toc318581174"/>
      <w:r>
        <w:rPr>
          <w:rFonts w:hint="eastAsia" w:ascii="宋体" w:hAnsi="宋体" w:eastAsia="宋体" w:cs="宋体"/>
          <w:sz w:val="21"/>
          <w:szCs w:val="21"/>
        </w:rPr>
        <w:t>.1.2 试验设备</w:t>
      </w:r>
    </w:p>
    <w:p w14:paraId="567DBCE3">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施工现场需要配置的试验场所：</w:t>
      </w:r>
      <w:bookmarkEnd w:id="666"/>
      <w:bookmarkEnd w:id="667"/>
      <w:bookmarkEnd w:id="668"/>
      <w:bookmarkEnd w:id="669"/>
      <w:bookmarkEnd w:id="670"/>
      <w:bookmarkEnd w:id="671"/>
      <w:bookmarkEnd w:id="672"/>
      <w:bookmarkStart w:id="674" w:name="_Toc297216195"/>
      <w:bookmarkStart w:id="675" w:name="_Toc312678024"/>
      <w:bookmarkStart w:id="676" w:name="_Toc303539142"/>
      <w:bookmarkStart w:id="677" w:name="_Toc312677498"/>
      <w:bookmarkStart w:id="678" w:name="_Toc304295562"/>
      <w:bookmarkStart w:id="679" w:name="_Toc297123536"/>
      <w:bookmarkStart w:id="680" w:name="_Toc300934985"/>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92EF5E7">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施工现场需要配备的试验设备：</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9A408D6">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施工现场需要具备的其他试验条件：</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04D71B25">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681" w:name="_Toc469010941"/>
      <w:bookmarkStart w:id="682" w:name="_Toc373478385"/>
      <w:bookmarkStart w:id="683" w:name="_Toc373227738"/>
      <w:bookmarkStart w:id="684" w:name="_Toc3882794"/>
      <w:bookmarkStart w:id="685" w:name="_Toc30061986"/>
      <w:bookmarkStart w:id="686" w:name="_Toc14165"/>
      <w:bookmarkStart w:id="687" w:name="_Toc389065304"/>
      <w:r>
        <w:rPr>
          <w:rFonts w:hint="eastAsia" w:ascii="宋体" w:hAnsi="宋体" w:eastAsia="宋体" w:cs="宋体"/>
          <w:b/>
          <w:kern w:val="0"/>
          <w:sz w:val="21"/>
          <w:szCs w:val="21"/>
        </w:rPr>
        <w:t>9.4 现场工艺试验</w:t>
      </w:r>
      <w:bookmarkEnd w:id="681"/>
      <w:bookmarkEnd w:id="682"/>
      <w:bookmarkEnd w:id="683"/>
      <w:bookmarkEnd w:id="684"/>
      <w:bookmarkEnd w:id="685"/>
      <w:bookmarkEnd w:id="686"/>
      <w:bookmarkEnd w:id="687"/>
      <w:r>
        <w:rPr>
          <w:rFonts w:hint="eastAsia" w:ascii="宋体" w:hAnsi="宋体" w:eastAsia="宋体" w:cs="宋体"/>
          <w:b/>
          <w:kern w:val="0"/>
          <w:sz w:val="21"/>
          <w:szCs w:val="21"/>
        </w:rPr>
        <w:t xml:space="preserve"> </w:t>
      </w:r>
    </w:p>
    <w:p w14:paraId="21FD4C9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现场工艺试验的有关约定：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5FC14A9">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688" w:name="_Toc30061987"/>
      <w:bookmarkStart w:id="689" w:name="_Toc469010942"/>
      <w:bookmarkStart w:id="690" w:name="_Toc180"/>
      <w:bookmarkStart w:id="691" w:name="_Toc3882795"/>
      <w:r>
        <w:rPr>
          <w:rFonts w:hint="eastAsia" w:ascii="宋体" w:hAnsi="宋体" w:eastAsia="宋体" w:cs="宋体"/>
          <w:b/>
          <w:kern w:val="0"/>
          <w:sz w:val="21"/>
          <w:szCs w:val="21"/>
        </w:rPr>
        <w:t>9.5 检验费用</w:t>
      </w:r>
      <w:bookmarkEnd w:id="688"/>
      <w:bookmarkEnd w:id="689"/>
      <w:bookmarkEnd w:id="690"/>
      <w:bookmarkEnd w:id="691"/>
    </w:p>
    <w:p w14:paraId="1A4F6A0C">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根据《建设工程质量检测管理办法》（建设部令第141号）以及</w:t>
      </w:r>
      <w:r>
        <w:rPr>
          <w:rFonts w:hint="eastAsia" w:ascii="宋体" w:hAnsi="宋体" w:eastAsia="宋体" w:cs="宋体"/>
          <w:bCs/>
          <w:sz w:val="21"/>
          <w:szCs w:val="21"/>
        </w:rPr>
        <w:t>《广西壮族自治区建设工程质量检测管理规定》（桂建管〔2013〕11号）</w:t>
      </w:r>
      <w:r>
        <w:rPr>
          <w:rFonts w:hint="eastAsia" w:ascii="宋体" w:hAnsi="宋体" w:eastAsia="宋体" w:cs="宋体"/>
          <w:sz w:val="21"/>
          <w:szCs w:val="21"/>
        </w:rPr>
        <w:t>规定，工程质量检测业务由发包人委托有相应资质的检测机构检测。费用由发包人直接支付给检测机构，不计入合同价款内。检验试验配合费按费用定额规定计取，计入本合同价款内。</w:t>
      </w:r>
    </w:p>
    <w:bookmarkEnd w:id="673"/>
    <w:bookmarkEnd w:id="674"/>
    <w:bookmarkEnd w:id="675"/>
    <w:bookmarkEnd w:id="676"/>
    <w:bookmarkEnd w:id="677"/>
    <w:bookmarkEnd w:id="678"/>
    <w:bookmarkEnd w:id="679"/>
    <w:bookmarkEnd w:id="680"/>
    <w:p w14:paraId="06202F46">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692" w:name="_Toc351203642"/>
      <w:bookmarkStart w:id="693" w:name="_Toc469010943"/>
      <w:bookmarkStart w:id="694" w:name="_Toc3882796"/>
      <w:bookmarkStart w:id="695" w:name="_Toc373227739"/>
      <w:bookmarkStart w:id="696" w:name="_Toc2051"/>
      <w:bookmarkStart w:id="697" w:name="_Toc30061988"/>
      <w:bookmarkStart w:id="698" w:name="_Toc373478386"/>
      <w:bookmarkStart w:id="699" w:name="_Toc389065305"/>
      <w:r>
        <w:rPr>
          <w:rFonts w:hint="eastAsia" w:ascii="宋体" w:hAnsi="宋体" w:eastAsia="宋体" w:cs="宋体"/>
          <w:b/>
          <w:sz w:val="21"/>
          <w:szCs w:val="21"/>
        </w:rPr>
        <w:t>1</w:t>
      </w:r>
      <w:bookmarkEnd w:id="640"/>
      <w:bookmarkEnd w:id="641"/>
      <w:bookmarkEnd w:id="642"/>
      <w:bookmarkEnd w:id="643"/>
      <w:bookmarkEnd w:id="644"/>
      <w:bookmarkEnd w:id="645"/>
      <w:bookmarkEnd w:id="646"/>
      <w:bookmarkEnd w:id="647"/>
      <w:bookmarkEnd w:id="648"/>
      <w:bookmarkEnd w:id="649"/>
      <w:bookmarkEnd w:id="650"/>
      <w:bookmarkEnd w:id="651"/>
      <w:bookmarkStart w:id="700" w:name="_Toc297123540"/>
      <w:bookmarkStart w:id="701" w:name="_Toc297120493"/>
      <w:bookmarkStart w:id="702" w:name="_Toc297048379"/>
      <w:bookmarkStart w:id="703" w:name="_Toc303539146"/>
      <w:bookmarkStart w:id="704" w:name="_Toc292559903"/>
      <w:bookmarkStart w:id="705" w:name="_Toc296891021"/>
      <w:bookmarkStart w:id="706" w:name="_Toc297216199"/>
      <w:bookmarkStart w:id="707" w:name="_Toc296891233"/>
      <w:bookmarkStart w:id="708" w:name="_Toc296347192"/>
      <w:bookmarkStart w:id="709" w:name="_Toc304295566"/>
      <w:bookmarkStart w:id="710" w:name="_Toc296346694"/>
      <w:bookmarkStart w:id="711" w:name="_Toc296503193"/>
      <w:bookmarkStart w:id="712" w:name="_Toc292559398"/>
      <w:bookmarkStart w:id="713" w:name="_Toc296944532"/>
      <w:bookmarkStart w:id="714" w:name="_Toc300934989"/>
      <w:bookmarkStart w:id="715" w:name="_Toc312678025"/>
      <w:bookmarkStart w:id="716" w:name="_Toc312677499"/>
      <w:bookmarkStart w:id="717" w:name="_Toc267251437"/>
      <w:bookmarkStart w:id="718" w:name="_Toc267251441"/>
      <w:bookmarkStart w:id="719" w:name="_Toc267251439"/>
      <w:bookmarkStart w:id="720" w:name="_Toc267251433"/>
      <w:bookmarkStart w:id="721" w:name="_Toc267251435"/>
      <w:bookmarkStart w:id="722" w:name="_Toc267251440"/>
      <w:bookmarkStart w:id="723" w:name="_Toc267251442"/>
      <w:r>
        <w:rPr>
          <w:rFonts w:hint="eastAsia" w:ascii="宋体" w:hAnsi="宋体" w:eastAsia="宋体" w:cs="宋体"/>
          <w:b/>
          <w:sz w:val="21"/>
          <w:szCs w:val="21"/>
        </w:rPr>
        <w:t>0. 变更</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p>
    <w:bookmarkEnd w:id="715"/>
    <w:bookmarkEnd w:id="716"/>
    <w:p w14:paraId="6CAA4AD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724" w:name="_Toc373478387"/>
      <w:bookmarkStart w:id="725" w:name="_Toc469010944"/>
      <w:bookmarkStart w:id="726" w:name="_Toc3882797"/>
      <w:bookmarkStart w:id="727" w:name="_Toc373227740"/>
      <w:bookmarkStart w:id="728" w:name="_Toc389065306"/>
      <w:bookmarkStart w:id="729" w:name="_Toc30061989"/>
      <w:bookmarkStart w:id="730" w:name="_Toc30017"/>
      <w:r>
        <w:rPr>
          <w:rFonts w:hint="eastAsia" w:ascii="宋体" w:hAnsi="宋体" w:eastAsia="宋体" w:cs="宋体"/>
          <w:b/>
          <w:kern w:val="0"/>
          <w:sz w:val="21"/>
          <w:szCs w:val="21"/>
        </w:rPr>
        <w:t>1</w:t>
      </w:r>
      <w:bookmarkStart w:id="731" w:name="_Toc296944533"/>
      <w:bookmarkStart w:id="732" w:name="_Toc300934990"/>
      <w:bookmarkStart w:id="733" w:name="_Toc292559399"/>
      <w:bookmarkStart w:id="734" w:name="_Toc297216200"/>
      <w:bookmarkStart w:id="735" w:name="_Toc296347193"/>
      <w:bookmarkStart w:id="736" w:name="_Toc296891022"/>
      <w:bookmarkStart w:id="737" w:name="_Toc304295567"/>
      <w:bookmarkStart w:id="738" w:name="_Toc312678026"/>
      <w:bookmarkStart w:id="739" w:name="_Toc297120494"/>
      <w:bookmarkStart w:id="740" w:name="_Toc296891234"/>
      <w:bookmarkStart w:id="741" w:name="_Toc303539147"/>
      <w:bookmarkStart w:id="742" w:name="_Toc296346695"/>
      <w:bookmarkStart w:id="743" w:name="_Toc312677500"/>
      <w:bookmarkStart w:id="744" w:name="_Toc296503194"/>
      <w:bookmarkStart w:id="745" w:name="_Toc297123541"/>
      <w:bookmarkStart w:id="746" w:name="_Toc292559904"/>
      <w:bookmarkStart w:id="747" w:name="_Toc297048380"/>
      <w:r>
        <w:rPr>
          <w:rFonts w:hint="eastAsia" w:ascii="宋体" w:hAnsi="宋体" w:eastAsia="宋体" w:cs="宋体"/>
          <w:b/>
          <w:kern w:val="0"/>
          <w:sz w:val="21"/>
          <w:szCs w:val="21"/>
        </w:rPr>
        <w:t>0.1 变更的范围</w:t>
      </w:r>
      <w:bookmarkEnd w:id="724"/>
      <w:bookmarkEnd w:id="725"/>
      <w:bookmarkEnd w:id="726"/>
      <w:bookmarkEnd w:id="727"/>
      <w:bookmarkEnd w:id="728"/>
      <w:bookmarkEnd w:id="729"/>
      <w:bookmarkEnd w:id="730"/>
    </w:p>
    <w:p w14:paraId="24785A9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关于变更的范围的约定：</w:t>
      </w:r>
      <w:r>
        <w:rPr>
          <w:rFonts w:hint="eastAsia" w:ascii="宋体" w:hAnsi="宋体" w:eastAsia="宋体" w:cs="宋体"/>
          <w:sz w:val="21"/>
          <w:szCs w:val="21"/>
          <w:u w:val="single"/>
        </w:rPr>
        <w:t>设计变更、施工变更或施工过程中出现新增项目等均属工程变更（所有工程变更须经设计及监理审核确认，最后经发包人书面批准后方能有效）</w:t>
      </w:r>
      <w:r>
        <w:rPr>
          <w:rFonts w:hint="eastAsia" w:ascii="宋体" w:hAnsi="宋体" w:eastAsia="宋体" w:cs="宋体"/>
          <w:sz w:val="21"/>
          <w:szCs w:val="21"/>
        </w:rPr>
        <w:t>。</w:t>
      </w:r>
    </w:p>
    <w:p w14:paraId="384258AD">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748" w:name="_Toc30061990"/>
      <w:bookmarkStart w:id="749" w:name="_Toc373478388"/>
      <w:bookmarkStart w:id="750" w:name="_Toc373227741"/>
      <w:bookmarkStart w:id="751" w:name="_Toc389065307"/>
      <w:bookmarkStart w:id="752" w:name="_Toc3882798"/>
      <w:bookmarkStart w:id="753" w:name="_Toc23479"/>
      <w:bookmarkStart w:id="754" w:name="_Toc469010945"/>
      <w:r>
        <w:rPr>
          <w:rFonts w:hint="eastAsia" w:ascii="宋体" w:hAnsi="宋体" w:eastAsia="宋体" w:cs="宋体"/>
          <w:b/>
          <w:kern w:val="0"/>
          <w:sz w:val="21"/>
          <w:szCs w:val="21"/>
        </w:rPr>
        <w:t>10.3 变更程序</w:t>
      </w:r>
      <w:bookmarkEnd w:id="748"/>
      <w:bookmarkEnd w:id="749"/>
      <w:bookmarkEnd w:id="750"/>
      <w:bookmarkEnd w:id="751"/>
      <w:bookmarkEnd w:id="752"/>
      <w:bookmarkEnd w:id="753"/>
      <w:bookmarkEnd w:id="754"/>
    </w:p>
    <w:p w14:paraId="0370B42A">
      <w:pPr>
        <w:pStyle w:val="54"/>
        <w:spacing w:line="360" w:lineRule="auto"/>
        <w:ind w:firstLine="420" w:firstLineChars="200"/>
        <w:rPr>
          <w:rFonts w:hint="eastAsia" w:ascii="宋体" w:hAnsi="宋体" w:eastAsia="宋体" w:cs="宋体"/>
          <w:sz w:val="21"/>
          <w:szCs w:val="21"/>
        </w:rPr>
      </w:pPr>
      <w:bookmarkStart w:id="755" w:name="_Toc30061991"/>
      <w:bookmarkStart w:id="756" w:name="_Toc3882799"/>
      <w:r>
        <w:rPr>
          <w:rFonts w:hint="eastAsia" w:ascii="宋体" w:hAnsi="宋体" w:eastAsia="宋体" w:cs="宋体"/>
          <w:sz w:val="21"/>
          <w:szCs w:val="21"/>
        </w:rPr>
        <w:t>10.3.1 国有投资项目：</w:t>
      </w:r>
      <w:bookmarkEnd w:id="755"/>
      <w:bookmarkEnd w:id="756"/>
    </w:p>
    <w:p w14:paraId="2BFE89A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⑴设计变更和工程签证，按各市政府或相关部门的规定办理。属不可抗力（自然灾害、突发事件等）造成变更的，按特事特办原则予以办理。</w:t>
      </w:r>
    </w:p>
    <w:p w14:paraId="5A5A1DA8">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⑵建设单位在实施项目过程中，若发生单价变动，由建设单位、监理单位、施工单位及其他相关单位共同商定并签字确认。</w:t>
      </w:r>
    </w:p>
    <w:p w14:paraId="27626F67">
      <w:pPr>
        <w:pStyle w:val="54"/>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⑶ 当合同规定的合同价款调整情况发生后，承包人未在规定时间内通知发包人，或者未在规定时间内提出调整报告，发包人可以根据有关资料，决定是否调整和调整的金额，并书面通知承包人。</w:t>
      </w:r>
    </w:p>
    <w:p w14:paraId="6D7B6B00">
      <w:pPr>
        <w:pStyle w:val="54"/>
        <w:spacing w:line="360"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rPr>
        <w:t>10.3.2 非国有投资项目：</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14:paraId="5E60703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757" w:name="_Toc469010946"/>
      <w:bookmarkStart w:id="758" w:name="_Toc373478389"/>
      <w:bookmarkStart w:id="759" w:name="_Toc373227742"/>
      <w:bookmarkStart w:id="760" w:name="_Toc30061992"/>
      <w:bookmarkStart w:id="761" w:name="_Toc3882800"/>
      <w:bookmarkStart w:id="762" w:name="_Toc14001"/>
      <w:bookmarkStart w:id="763" w:name="_Toc389065308"/>
      <w:r>
        <w:rPr>
          <w:rFonts w:hint="eastAsia" w:ascii="宋体" w:hAnsi="宋体" w:eastAsia="宋体" w:cs="宋体"/>
          <w:b/>
          <w:kern w:val="0"/>
          <w:sz w:val="21"/>
          <w:szCs w:val="21"/>
        </w:rPr>
        <w:t>10.4 变更估价</w:t>
      </w:r>
      <w:bookmarkEnd w:id="757"/>
      <w:bookmarkEnd w:id="758"/>
      <w:bookmarkEnd w:id="759"/>
      <w:bookmarkEnd w:id="760"/>
      <w:bookmarkEnd w:id="761"/>
      <w:bookmarkEnd w:id="762"/>
      <w:bookmarkEnd w:id="763"/>
    </w:p>
    <w:p w14:paraId="1541422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10.4.1 变更估价原则</w:t>
      </w:r>
    </w:p>
    <w:p w14:paraId="58CEC016">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 xml:space="preserve">关于变更估价的约定: </w:t>
      </w:r>
      <w:bookmarkStart w:id="764" w:name="_Toc251051742"/>
      <w:bookmarkStart w:id="765" w:name="_Toc373227743"/>
      <w:bookmarkStart w:id="766" w:name="_Toc389065309"/>
      <w:bookmarkStart w:id="767" w:name="_Toc373478390"/>
      <w:r>
        <w:rPr>
          <w:rFonts w:hint="eastAsia" w:ascii="宋体" w:hAnsi="宋体" w:eastAsia="宋体" w:cs="宋体"/>
          <w:bCs/>
          <w:color w:val="000000"/>
          <w:sz w:val="21"/>
          <w:szCs w:val="21"/>
          <w:u w:val="single"/>
        </w:rPr>
        <w:t>因设计变更、相关签证引起工程项目、工程量任何变化的，变更合同价款按下列方法进行：（1）合同中已有相同清单项目的，按合同该清单项目价格进行计算；（2）合同中只有类似清单项目的，参照该类似清单项目价格进行计算；（3）合同中没有适用或类似清单项目的价格计算方法：有定额的套定额，并乘以系数</w:t>
      </w:r>
      <w:r>
        <w:rPr>
          <w:rFonts w:hint="eastAsia" w:ascii="宋体" w:hAnsi="宋体" w:cs="宋体"/>
          <w:bCs/>
          <w:color w:val="000000"/>
          <w:sz w:val="21"/>
          <w:szCs w:val="21"/>
          <w:u w:val="single"/>
          <w:lang w:val="en-US" w:eastAsia="zh-CN"/>
        </w:rPr>
        <w:t xml:space="preserve"> </w:t>
      </w:r>
      <w:r>
        <w:rPr>
          <w:rFonts w:hint="eastAsia" w:ascii="宋体" w:hAnsi="宋体" w:eastAsia="宋体" w:cs="宋体"/>
          <w:bCs/>
          <w:color w:val="000000"/>
          <w:sz w:val="21"/>
          <w:szCs w:val="21"/>
          <w:u w:val="single"/>
        </w:rPr>
        <w:t>%(按中标价/招标控制价的下浮比例)计算，其中材料价格按施工期间的《贺州市建设工程造价信息》相应价格信息进行计算《贺州市建设工程造价信息》没有相应价格信息的按市场价计算；无定额可套的，由发包人、承包人、监理三方共同协商确定且不在下浮范围之内。对于国有资产投资的项目，新增项目的单价必须经财政或审计有关部门审定</w:t>
      </w:r>
      <w:bookmarkEnd w:id="764"/>
      <w:r>
        <w:rPr>
          <w:rFonts w:hint="eastAsia" w:ascii="宋体" w:hAnsi="宋体" w:eastAsia="宋体" w:cs="宋体"/>
          <w:color w:val="000000"/>
          <w:sz w:val="21"/>
          <w:szCs w:val="21"/>
        </w:rPr>
        <w:t>。</w:t>
      </w:r>
    </w:p>
    <w:p w14:paraId="459BC401">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768" w:name="_Toc28641"/>
      <w:bookmarkStart w:id="769" w:name="_Toc469010947"/>
      <w:bookmarkStart w:id="770" w:name="_Toc30061993"/>
      <w:bookmarkStart w:id="771" w:name="_Toc3882801"/>
      <w:r>
        <w:rPr>
          <w:rFonts w:hint="eastAsia" w:ascii="宋体" w:hAnsi="宋体" w:eastAsia="宋体" w:cs="宋体"/>
          <w:b/>
          <w:kern w:val="0"/>
          <w:sz w:val="21"/>
          <w:szCs w:val="21"/>
        </w:rPr>
        <w:t>1</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Start w:id="772" w:name="_Toc296347196"/>
      <w:bookmarkStart w:id="773" w:name="_Toc300934993"/>
      <w:bookmarkStart w:id="774" w:name="_Toc297120497"/>
      <w:bookmarkStart w:id="775" w:name="_Toc303539150"/>
      <w:bookmarkStart w:id="776" w:name="_Toc292559907"/>
      <w:bookmarkStart w:id="777" w:name="_Toc292559402"/>
      <w:bookmarkStart w:id="778" w:name="_Toc297123544"/>
      <w:bookmarkStart w:id="779" w:name="_Toc296944536"/>
      <w:bookmarkStart w:id="780" w:name="_Toc296891237"/>
      <w:bookmarkStart w:id="781" w:name="_Toc297048383"/>
      <w:bookmarkStart w:id="782" w:name="_Toc297216203"/>
      <w:bookmarkStart w:id="783" w:name="_Toc296503197"/>
      <w:bookmarkStart w:id="784" w:name="_Toc296891025"/>
      <w:bookmarkStart w:id="785" w:name="_Toc296346698"/>
      <w:bookmarkStart w:id="786" w:name="_Toc304295570"/>
      <w:bookmarkStart w:id="787" w:name="_Toc312677503"/>
      <w:bookmarkStart w:id="788" w:name="_Toc312678029"/>
      <w:r>
        <w:rPr>
          <w:rFonts w:hint="eastAsia" w:ascii="宋体" w:hAnsi="宋体" w:eastAsia="宋体" w:cs="宋体"/>
          <w:b/>
          <w:kern w:val="0"/>
          <w:sz w:val="21"/>
          <w:szCs w:val="21"/>
        </w:rPr>
        <w:t>0.5 承</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Start w:id="789" w:name="_Toc297123545"/>
      <w:bookmarkStart w:id="790" w:name="_Toc300934994"/>
      <w:bookmarkStart w:id="791" w:name="_Toc303539151"/>
      <w:bookmarkStart w:id="792" w:name="_Toc296503203"/>
      <w:bookmarkStart w:id="793" w:name="_Toc296891031"/>
      <w:bookmarkStart w:id="794" w:name="_Toc296891243"/>
      <w:bookmarkStart w:id="795" w:name="_Toc297048389"/>
      <w:bookmarkStart w:id="796" w:name="_Toc296346704"/>
      <w:bookmarkStart w:id="797" w:name="_Toc297120503"/>
      <w:bookmarkStart w:id="798" w:name="_Toc292559408"/>
      <w:bookmarkStart w:id="799" w:name="_Toc292559913"/>
      <w:bookmarkStart w:id="800" w:name="_Toc297216204"/>
      <w:bookmarkStart w:id="801" w:name="_Toc296347202"/>
      <w:bookmarkStart w:id="802" w:name="_Toc296944542"/>
      <w:r>
        <w:rPr>
          <w:rFonts w:hint="eastAsia" w:ascii="宋体" w:hAnsi="宋体" w:eastAsia="宋体" w:cs="宋体"/>
          <w:b/>
          <w:kern w:val="0"/>
          <w:sz w:val="21"/>
          <w:szCs w:val="21"/>
        </w:rPr>
        <w:t>包人的合理化建议</w:t>
      </w:r>
      <w:bookmarkEnd w:id="765"/>
      <w:bookmarkEnd w:id="766"/>
      <w:bookmarkEnd w:id="767"/>
      <w:bookmarkEnd w:id="768"/>
      <w:bookmarkEnd w:id="769"/>
      <w:bookmarkEnd w:id="770"/>
      <w:bookmarkEnd w:id="771"/>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14:paraId="06F145E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监理人审查承包人合理化建议的期限：</w:t>
      </w:r>
      <w:r>
        <w:rPr>
          <w:rFonts w:hint="eastAsia" w:ascii="宋体" w:hAnsi="宋体" w:eastAsia="宋体" w:cs="宋体"/>
          <w:color w:val="000000"/>
          <w:sz w:val="21"/>
          <w:szCs w:val="21"/>
          <w:u w:val="single"/>
        </w:rPr>
        <w:t>提交合理化建议后14天内</w:t>
      </w:r>
      <w:r>
        <w:rPr>
          <w:rFonts w:hint="eastAsia" w:ascii="宋体" w:hAnsi="宋体" w:eastAsia="宋体" w:cs="宋体"/>
          <w:sz w:val="21"/>
          <w:szCs w:val="21"/>
        </w:rPr>
        <w:t>。</w:t>
      </w:r>
    </w:p>
    <w:p w14:paraId="08BFC4B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Cs/>
          <w:color w:val="000000"/>
          <w:sz w:val="21"/>
          <w:szCs w:val="21"/>
          <w:u w:val="single"/>
        </w:rPr>
        <w:t>审批完毕并报送发包人，发现其中存在技术上的缺陷，应通知承包人修改，逾期视为已确认 。</w:t>
      </w:r>
    </w:p>
    <w:p w14:paraId="4F9E3F4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发包人审批承包人合理化建议的期限：</w:t>
      </w:r>
      <w:r>
        <w:rPr>
          <w:rFonts w:hint="eastAsia" w:ascii="宋体" w:hAnsi="宋体" w:eastAsia="宋体" w:cs="宋体"/>
          <w:color w:val="000000"/>
          <w:sz w:val="21"/>
          <w:szCs w:val="21"/>
          <w:u w:val="single"/>
        </w:rPr>
        <w:t>提交合理化建议后14天内审批完毕，逾期视为已确认。</w:t>
      </w:r>
    </w:p>
    <w:p w14:paraId="7990D943">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承</w:t>
      </w:r>
      <w:bookmarkStart w:id="803" w:name="_Toc312677504"/>
      <w:bookmarkStart w:id="804" w:name="_Toc296944543"/>
      <w:bookmarkStart w:id="805" w:name="_Toc303539152"/>
      <w:bookmarkStart w:id="806" w:name="_Toc292559409"/>
      <w:bookmarkStart w:id="807" w:name="_Toc297123546"/>
      <w:bookmarkStart w:id="808" w:name="_Toc297216205"/>
      <w:bookmarkStart w:id="809" w:name="_Toc296346705"/>
      <w:bookmarkStart w:id="810" w:name="_Toc304295571"/>
      <w:bookmarkStart w:id="811" w:name="_Toc296347203"/>
      <w:bookmarkStart w:id="812" w:name="_Toc318581175"/>
      <w:bookmarkStart w:id="813" w:name="_Toc296503204"/>
      <w:bookmarkStart w:id="814" w:name="_Toc296891244"/>
      <w:bookmarkStart w:id="815" w:name="_Toc312678030"/>
      <w:bookmarkStart w:id="816" w:name="_Toc297048390"/>
      <w:bookmarkStart w:id="817" w:name="_Toc297120504"/>
      <w:bookmarkStart w:id="818" w:name="_Toc300934995"/>
      <w:bookmarkStart w:id="819" w:name="_Toc292559914"/>
      <w:bookmarkStart w:id="820" w:name="_Toc296891032"/>
      <w:r>
        <w:rPr>
          <w:rFonts w:hint="eastAsia" w:ascii="宋体" w:hAnsi="宋体" w:eastAsia="宋体" w:cs="宋体"/>
          <w:sz w:val="21"/>
          <w:szCs w:val="21"/>
        </w:rPr>
        <w:t>包人提出的合理化建议降低了合同价格或者提高了工程经济效益的奖励的方法和金额为：</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14:paraId="2719A51B">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821" w:name="_Toc469010948"/>
      <w:bookmarkStart w:id="822" w:name="_Toc373227744"/>
      <w:bookmarkStart w:id="823" w:name="_Toc373478391"/>
      <w:bookmarkStart w:id="824" w:name="_Toc3882802"/>
      <w:bookmarkStart w:id="825" w:name="_Toc30061994"/>
      <w:bookmarkStart w:id="826" w:name="_Toc389065310"/>
      <w:bookmarkStart w:id="827" w:name="_Toc18025"/>
      <w:r>
        <w:rPr>
          <w:rFonts w:hint="eastAsia" w:ascii="宋体" w:hAnsi="宋体" w:eastAsia="宋体" w:cs="宋体"/>
          <w:b/>
          <w:kern w:val="0"/>
          <w:sz w:val="21"/>
          <w:szCs w:val="21"/>
        </w:rPr>
        <w:t>1</w:t>
      </w:r>
      <w:bookmarkStart w:id="828" w:name="_Toc296347198"/>
      <w:bookmarkStart w:id="829" w:name="_Toc296503199"/>
      <w:bookmarkStart w:id="830" w:name="_Toc296944538"/>
      <w:bookmarkStart w:id="831" w:name="_Toc297216207"/>
      <w:bookmarkStart w:id="832" w:name="_Toc297120499"/>
      <w:bookmarkStart w:id="833" w:name="_Toc296891239"/>
      <w:bookmarkStart w:id="834" w:name="_Toc300934997"/>
      <w:bookmarkStart w:id="835" w:name="_Toc312678033"/>
      <w:bookmarkStart w:id="836" w:name="_Toc296891027"/>
      <w:bookmarkStart w:id="837" w:name="_Toc297048385"/>
      <w:bookmarkStart w:id="838" w:name="_Toc312677507"/>
      <w:bookmarkStart w:id="839" w:name="_Toc292559404"/>
      <w:bookmarkStart w:id="840" w:name="_Toc297123548"/>
      <w:bookmarkStart w:id="841" w:name="_Toc304295574"/>
      <w:bookmarkStart w:id="842" w:name="_Toc296346700"/>
      <w:bookmarkStart w:id="843" w:name="_Toc303539154"/>
      <w:bookmarkStart w:id="844" w:name="_Toc292559909"/>
      <w:r>
        <w:rPr>
          <w:rFonts w:hint="eastAsia" w:ascii="宋体" w:hAnsi="宋体" w:eastAsia="宋体" w:cs="宋体"/>
          <w:b/>
          <w:kern w:val="0"/>
          <w:sz w:val="21"/>
          <w:szCs w:val="21"/>
        </w:rPr>
        <w:t>0.7 暂估价</w:t>
      </w:r>
      <w:bookmarkEnd w:id="821"/>
      <w:bookmarkEnd w:id="822"/>
      <w:bookmarkEnd w:id="823"/>
      <w:bookmarkEnd w:id="824"/>
      <w:bookmarkEnd w:id="825"/>
      <w:bookmarkEnd w:id="826"/>
      <w:bookmarkEnd w:id="827"/>
    </w:p>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14:paraId="4EDF8E0C">
      <w:pPr>
        <w:pStyle w:val="54"/>
        <w:spacing w:line="360" w:lineRule="auto"/>
        <w:ind w:firstLine="420" w:firstLineChars="200"/>
        <w:jc w:val="left"/>
        <w:rPr>
          <w:rFonts w:hint="eastAsia" w:ascii="宋体" w:hAnsi="宋体" w:eastAsia="宋体" w:cs="宋体"/>
          <w:sz w:val="21"/>
          <w:szCs w:val="21"/>
        </w:rPr>
      </w:pPr>
      <w:bookmarkStart w:id="845" w:name="_Toc469010949"/>
      <w:bookmarkStart w:id="846" w:name="_Toc373478392"/>
      <w:bookmarkStart w:id="847" w:name="_Toc373227745"/>
      <w:bookmarkStart w:id="848" w:name="_Toc389065311"/>
      <w:r>
        <w:rPr>
          <w:rFonts w:hint="eastAsia" w:ascii="宋体" w:hAnsi="宋体" w:eastAsia="宋体" w:cs="宋体"/>
          <w:kern w:val="0"/>
          <w:sz w:val="21"/>
          <w:szCs w:val="21"/>
        </w:rPr>
        <w:t>暂</w:t>
      </w:r>
      <w:bookmarkStart w:id="849" w:name="_Toc318581176"/>
      <w:bookmarkStart w:id="850" w:name="_Toc312677508"/>
      <w:bookmarkStart w:id="851" w:name="_Toc312678034"/>
      <w:r>
        <w:rPr>
          <w:rFonts w:hint="eastAsia" w:ascii="宋体" w:hAnsi="宋体" w:eastAsia="宋体" w:cs="宋体"/>
          <w:kern w:val="0"/>
          <w:sz w:val="21"/>
          <w:szCs w:val="21"/>
        </w:rPr>
        <w:t>估价材料和工程设备的明细详见已标价工程量清单《</w:t>
      </w:r>
      <w:r>
        <w:rPr>
          <w:rFonts w:hint="eastAsia" w:ascii="宋体" w:hAnsi="宋体" w:eastAsia="宋体" w:cs="宋体"/>
          <w:sz w:val="21"/>
          <w:szCs w:val="21"/>
        </w:rPr>
        <w:t>材料（工程设备）暂估价格及调整表》</w:t>
      </w:r>
      <w:r>
        <w:rPr>
          <w:rFonts w:hint="eastAsia" w:ascii="宋体" w:hAnsi="宋体" w:eastAsia="宋体" w:cs="宋体"/>
          <w:kern w:val="0"/>
          <w:sz w:val="21"/>
          <w:szCs w:val="21"/>
        </w:rPr>
        <w:t>（表12-2）和《</w:t>
      </w:r>
      <w:r>
        <w:rPr>
          <w:rFonts w:hint="eastAsia" w:ascii="宋体" w:hAnsi="宋体" w:eastAsia="宋体" w:cs="宋体"/>
          <w:sz w:val="21"/>
          <w:szCs w:val="21"/>
        </w:rPr>
        <w:t>专业工程暂估价表》（</w:t>
      </w:r>
      <w:r>
        <w:rPr>
          <w:rFonts w:hint="eastAsia" w:ascii="宋体" w:hAnsi="宋体" w:eastAsia="宋体" w:cs="宋体"/>
          <w:kern w:val="0"/>
          <w:sz w:val="21"/>
          <w:szCs w:val="21"/>
        </w:rPr>
        <w:t>表12-3）。</w:t>
      </w:r>
    </w:p>
    <w:bookmarkEnd w:id="849"/>
    <w:bookmarkEnd w:id="850"/>
    <w:bookmarkEnd w:id="851"/>
    <w:p w14:paraId="25292226">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bookmarkStart w:id="852" w:name="_Toc318581177"/>
      <w:bookmarkStart w:id="853" w:name="_Toc312678035"/>
      <w:bookmarkStart w:id="854" w:name="_Toc312677509"/>
      <w:r>
        <w:rPr>
          <w:rFonts w:hint="eastAsia" w:ascii="宋体" w:hAnsi="宋体" w:eastAsia="宋体" w:cs="宋体"/>
          <w:sz w:val="21"/>
          <w:szCs w:val="21"/>
        </w:rPr>
        <w:t>0.7.1 依法必须招标的暂估价项目</w:t>
      </w:r>
    </w:p>
    <w:bookmarkEnd w:id="852"/>
    <w:bookmarkEnd w:id="853"/>
    <w:bookmarkEnd w:id="854"/>
    <w:p w14:paraId="1BE0CDC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对于依法必须招标的暂估价项目的确认和批准采取第</w:t>
      </w:r>
      <w:r>
        <w:rPr>
          <w:rFonts w:hint="eastAsia" w:ascii="宋体" w:hAnsi="宋体" w:eastAsia="宋体" w:cs="宋体"/>
          <w:sz w:val="21"/>
          <w:szCs w:val="21"/>
          <w:u w:val="single"/>
        </w:rPr>
        <w:t xml:space="preserve">2 </w:t>
      </w:r>
      <w:r>
        <w:rPr>
          <w:rFonts w:hint="eastAsia" w:ascii="宋体" w:hAnsi="宋体" w:eastAsia="宋体" w:cs="宋体"/>
          <w:sz w:val="21"/>
          <w:szCs w:val="21"/>
        </w:rPr>
        <w:t>种方式确定。</w:t>
      </w:r>
    </w:p>
    <w:p w14:paraId="08B65EAA">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第1种方式：对于依法必须招标的暂估价项目，由承包人招标，对该暂估价项目的确认和批准按照以下约定执行：</w:t>
      </w:r>
    </w:p>
    <w:p w14:paraId="7C745A2A">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125DE2E6">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承包人应当根据施工进度计划，提前14天将招标文件通过监理人报送发包人审批，发包人应当在收到承包人报送的相关文件后7天内完成审批或提出修改意见；发包人有权确定招标控制价并委派评标委员会成员；</w:t>
      </w:r>
    </w:p>
    <w:p w14:paraId="33E390A5">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2E47F16E">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D6821B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10.7.2 不属于依法必须招标的暂估价项目</w:t>
      </w:r>
    </w:p>
    <w:p w14:paraId="05CDBB74">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对于不属于依法必须招标的暂估价项目的确认和批准采取第</w:t>
      </w:r>
      <w:r>
        <w:rPr>
          <w:rFonts w:hint="eastAsia" w:ascii="宋体" w:hAnsi="宋体" w:eastAsia="宋体" w:cs="宋体"/>
          <w:sz w:val="21"/>
          <w:szCs w:val="21"/>
          <w:u w:val="single"/>
        </w:rPr>
        <w:t xml:space="preserve"> 1</w:t>
      </w:r>
      <w:r>
        <w:rPr>
          <w:rFonts w:hint="eastAsia" w:ascii="宋体" w:hAnsi="宋体" w:eastAsia="宋体" w:cs="宋体"/>
          <w:sz w:val="21"/>
          <w:szCs w:val="21"/>
        </w:rPr>
        <w:t xml:space="preserve"> 种方式确定。</w:t>
      </w:r>
      <w:r>
        <w:rPr>
          <w:rFonts w:hint="eastAsia" w:ascii="宋体" w:hAnsi="宋体" w:eastAsia="宋体" w:cs="宋体"/>
          <w:kern w:val="0"/>
          <w:sz w:val="21"/>
          <w:szCs w:val="21"/>
        </w:rPr>
        <w:t>第1种方式：对于不属于依法必须招标的暂估价项目，按本项约定确认和批准：</w:t>
      </w:r>
    </w:p>
    <w:p w14:paraId="6B7127BE">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1D5E3EBE">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发包人认为承包人确定的供应商、分包人无法满足工程质量或合同要求的，发包人可以要求承包人重新确定暂估价项目的供应商、分包人；（3）承包人应当在签订暂估价合同后7天内，将暂估价合同副本报送发包人留存。</w:t>
      </w:r>
    </w:p>
    <w:p w14:paraId="340AE47C">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第2种方式：承包人按照第10.7.1项【依法必须招标的暂估价项目】约定的第1种方式确定暂估价项目。</w:t>
      </w:r>
    </w:p>
    <w:p w14:paraId="0FAEA09C">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第3种方式：</w:t>
      </w:r>
      <w:r>
        <w:rPr>
          <w:rFonts w:hint="eastAsia" w:ascii="宋体" w:hAnsi="宋体" w:eastAsia="宋体" w:cs="宋体"/>
          <w:kern w:val="0"/>
          <w:sz w:val="21"/>
          <w:szCs w:val="21"/>
        </w:rPr>
        <w:t>承包人直接实施的暂估价项目</w:t>
      </w:r>
    </w:p>
    <w:p w14:paraId="429144DB">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承包人直接实施的暂估价项目的约定：</w:t>
      </w:r>
      <w:r>
        <w:rPr>
          <w:rFonts w:hint="eastAsia" w:ascii="宋体" w:hAnsi="宋体" w:eastAsia="宋体" w:cs="宋体"/>
          <w:kern w:val="0"/>
          <w:sz w:val="21"/>
          <w:szCs w:val="21"/>
          <w:u w:val="single"/>
        </w:rPr>
        <w:t>承包人具备实施暂估价项目的资格和条件的，经发包人和承包人协商一致后，可由承包人自行实施暂估价项目，合同当事人可以在合同条款约定具体事项</w:t>
      </w:r>
      <w:r>
        <w:rPr>
          <w:rFonts w:hint="eastAsia" w:ascii="宋体" w:hAnsi="宋体" w:eastAsia="宋体" w:cs="宋体"/>
          <w:sz w:val="21"/>
          <w:szCs w:val="21"/>
        </w:rPr>
        <w:t>。</w:t>
      </w:r>
    </w:p>
    <w:p w14:paraId="287287A6">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855" w:name="_Toc23353"/>
      <w:bookmarkStart w:id="856" w:name="_Toc30061995"/>
      <w:bookmarkStart w:id="857" w:name="_Toc3882803"/>
      <w:r>
        <w:rPr>
          <w:rFonts w:hint="eastAsia" w:ascii="宋体" w:hAnsi="宋体" w:eastAsia="宋体" w:cs="宋体"/>
          <w:b/>
          <w:kern w:val="0"/>
          <w:sz w:val="21"/>
          <w:szCs w:val="21"/>
        </w:rPr>
        <w:t>10.8 暂列金额</w:t>
      </w:r>
      <w:bookmarkEnd w:id="845"/>
      <w:bookmarkEnd w:id="846"/>
      <w:bookmarkEnd w:id="847"/>
      <w:bookmarkEnd w:id="848"/>
      <w:bookmarkEnd w:id="855"/>
      <w:bookmarkEnd w:id="856"/>
      <w:bookmarkEnd w:id="857"/>
    </w:p>
    <w:p w14:paraId="5B22662D">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合同当事人关于暂列金额使用的约定：</w:t>
      </w:r>
      <w:r>
        <w:rPr>
          <w:rFonts w:hint="eastAsia" w:ascii="宋体" w:hAnsi="宋体" w:eastAsia="宋体" w:cs="宋体"/>
          <w:sz w:val="21"/>
          <w:szCs w:val="21"/>
          <w:u w:val="single"/>
        </w:rPr>
        <w:t xml:space="preserve">（1）已签约合同价中的暂列金额由发包人掌握使用。 </w:t>
      </w:r>
    </w:p>
    <w:p w14:paraId="01FC9DEC">
      <w:pPr>
        <w:pStyle w:val="54"/>
        <w:autoSpaceDE w:val="0"/>
        <w:autoSpaceDN w:val="0"/>
        <w:adjustRightInd w:val="0"/>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u w:val="single"/>
        </w:rPr>
        <w:t>（2）发包人按照规定所作支付后，暂列金额如有余额归发包人</w:t>
      </w:r>
      <w:r>
        <w:rPr>
          <w:rFonts w:hint="eastAsia" w:ascii="宋体" w:hAnsi="宋体" w:eastAsia="宋体" w:cs="宋体"/>
          <w:kern w:val="0"/>
          <w:sz w:val="21"/>
          <w:szCs w:val="21"/>
        </w:rPr>
        <w:t>。</w:t>
      </w:r>
    </w:p>
    <w:p w14:paraId="0D253CDC">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858" w:name="_Toc351203643"/>
      <w:bookmarkStart w:id="859" w:name="_Toc373227746"/>
      <w:bookmarkStart w:id="860" w:name="_Toc389065312"/>
      <w:bookmarkStart w:id="861" w:name="_Toc14209"/>
      <w:bookmarkStart w:id="862" w:name="_Toc373478393"/>
      <w:bookmarkStart w:id="863" w:name="_Toc3882804"/>
      <w:bookmarkStart w:id="864" w:name="_Toc469010950"/>
      <w:bookmarkStart w:id="865" w:name="_Toc30061996"/>
      <w:r>
        <w:rPr>
          <w:rFonts w:hint="eastAsia" w:ascii="宋体" w:hAnsi="宋体" w:eastAsia="宋体" w:cs="宋体"/>
          <w:b/>
          <w:sz w:val="21"/>
          <w:szCs w:val="21"/>
        </w:rPr>
        <w:t>11. 价格调整</w:t>
      </w:r>
      <w:bookmarkEnd w:id="858"/>
      <w:bookmarkEnd w:id="859"/>
      <w:bookmarkEnd w:id="860"/>
      <w:bookmarkEnd w:id="861"/>
      <w:bookmarkEnd w:id="862"/>
      <w:bookmarkEnd w:id="863"/>
      <w:bookmarkEnd w:id="864"/>
      <w:bookmarkEnd w:id="865"/>
    </w:p>
    <w:p w14:paraId="2488D1C7">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866" w:name="_Toc26291"/>
      <w:bookmarkStart w:id="867" w:name="_Toc3882805"/>
      <w:bookmarkStart w:id="868" w:name="_Toc373227747"/>
      <w:bookmarkStart w:id="869" w:name="_Toc373478394"/>
      <w:bookmarkStart w:id="870" w:name="_Toc30061997"/>
      <w:bookmarkStart w:id="871" w:name="_Toc469010951"/>
      <w:bookmarkStart w:id="872" w:name="_Toc389065313"/>
      <w:bookmarkStart w:id="873" w:name="_Toc312678039"/>
      <w:bookmarkStart w:id="874" w:name="_Toc296503201"/>
      <w:bookmarkStart w:id="875" w:name="_Toc297120501"/>
      <w:bookmarkStart w:id="876" w:name="_Toc303539157"/>
      <w:bookmarkStart w:id="877" w:name="_Toc296944540"/>
      <w:bookmarkStart w:id="878" w:name="_Toc297048387"/>
      <w:bookmarkStart w:id="879" w:name="_Toc300935000"/>
      <w:bookmarkStart w:id="880" w:name="_Toc292559406"/>
      <w:bookmarkStart w:id="881" w:name="_Toc297123550"/>
      <w:bookmarkStart w:id="882" w:name="_Toc296891241"/>
      <w:bookmarkStart w:id="883" w:name="_Toc304295577"/>
      <w:bookmarkStart w:id="884" w:name="_Toc296891029"/>
      <w:bookmarkStart w:id="885" w:name="_Toc297216209"/>
      <w:bookmarkStart w:id="886" w:name="_Toc296346702"/>
      <w:bookmarkStart w:id="887" w:name="_Toc292559911"/>
      <w:bookmarkStart w:id="888" w:name="_Toc296347200"/>
      <w:r>
        <w:rPr>
          <w:rFonts w:hint="eastAsia" w:ascii="宋体" w:hAnsi="宋体" w:eastAsia="宋体" w:cs="宋体"/>
          <w:b/>
          <w:kern w:val="0"/>
          <w:sz w:val="21"/>
          <w:szCs w:val="21"/>
        </w:rPr>
        <w:t>11.1 市场价格波动引起的调整</w:t>
      </w:r>
      <w:bookmarkEnd w:id="866"/>
      <w:bookmarkEnd w:id="867"/>
      <w:bookmarkEnd w:id="868"/>
      <w:bookmarkEnd w:id="869"/>
      <w:bookmarkEnd w:id="870"/>
      <w:bookmarkEnd w:id="871"/>
      <w:bookmarkEnd w:id="872"/>
    </w:p>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14:paraId="09F90C8B">
      <w:pPr>
        <w:pStyle w:val="54"/>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kern w:val="0"/>
          <w:sz w:val="21"/>
          <w:szCs w:val="21"/>
        </w:rPr>
        <w:t>市场价格波动是否调整合同价格的约定：</w:t>
      </w:r>
      <w:r>
        <w:rPr>
          <w:rFonts w:hint="eastAsia" w:ascii="宋体" w:hAnsi="宋体" w:eastAsia="宋体" w:cs="宋体"/>
          <w:color w:val="000000"/>
          <w:sz w:val="21"/>
          <w:szCs w:val="21"/>
        </w:rPr>
        <w:t>物价波动引起合同价格变化的。合同履行期间材料单价涨幅以基准价格为基础超过5%时，或材料单价跌幅以在已标价工程量清单或预算书中载明的主要材料、工程设备单价为基础超过5%时，其超过部分据实调整；关于基准价格的约定：</w:t>
      </w:r>
      <w:r>
        <w:rPr>
          <w:rFonts w:hint="eastAsia" w:ascii="宋体" w:hAnsi="宋体" w:eastAsia="宋体" w:cs="宋体"/>
          <w:color w:val="000000"/>
          <w:kern w:val="0"/>
          <w:sz w:val="21"/>
          <w:szCs w:val="21"/>
          <w:u w:val="single"/>
        </w:rPr>
        <w:t>招标的工程以招标控制价确定的市场价格确定为基期材料价格</w:t>
      </w:r>
      <w:r>
        <w:rPr>
          <w:rFonts w:hint="eastAsia" w:ascii="宋体" w:hAnsi="宋体" w:eastAsia="宋体" w:cs="宋体"/>
          <w:color w:val="000000"/>
          <w:sz w:val="21"/>
          <w:szCs w:val="21"/>
          <w:u w:val="single"/>
        </w:rPr>
        <w:t>；人工、机械费按照我区建设行政主管部门或其授权的工程造价管理机构发布的人工费、机械台班单价或机械使用费系数进行调整；新增项目和工程量变化造成措施费增加取费部分按原中标措施费比例调整，施工方案部分按业主、监理批准的方案套取相关定额计取，造成规费、税金变化按有关规定作相应调整</w:t>
      </w:r>
      <w:r>
        <w:rPr>
          <w:rFonts w:hint="eastAsia" w:ascii="宋体" w:hAnsi="宋体" w:eastAsia="宋体" w:cs="宋体"/>
          <w:color w:val="000000"/>
          <w:sz w:val="21"/>
          <w:szCs w:val="21"/>
        </w:rPr>
        <w:t>。</w:t>
      </w:r>
    </w:p>
    <w:p w14:paraId="4BAB0A6A">
      <w:pPr>
        <w:pStyle w:val="54"/>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因市场价格波动调整合同价格，采用以下</w:t>
      </w:r>
      <w:r>
        <w:rPr>
          <w:rFonts w:hint="eastAsia" w:ascii="宋体" w:hAnsi="宋体" w:eastAsia="宋体" w:cs="宋体"/>
          <w:sz w:val="21"/>
          <w:szCs w:val="21"/>
        </w:rPr>
        <w:t>第</w:t>
      </w:r>
      <w:r>
        <w:rPr>
          <w:rFonts w:hint="eastAsia" w:ascii="宋体" w:hAnsi="宋体" w:eastAsia="宋体" w:cs="宋体"/>
          <w:sz w:val="21"/>
          <w:szCs w:val="21"/>
          <w:u w:val="single"/>
        </w:rPr>
        <w:t xml:space="preserve">  2  </w:t>
      </w:r>
      <w:r>
        <w:rPr>
          <w:rFonts w:hint="eastAsia" w:ascii="宋体" w:hAnsi="宋体" w:eastAsia="宋体" w:cs="宋体"/>
          <w:sz w:val="21"/>
          <w:szCs w:val="21"/>
        </w:rPr>
        <w:t xml:space="preserve"> 种</w:t>
      </w:r>
      <w:r>
        <w:rPr>
          <w:rFonts w:hint="eastAsia" w:ascii="宋体" w:hAnsi="宋体" w:eastAsia="宋体" w:cs="宋体"/>
          <w:color w:val="000000"/>
          <w:sz w:val="21"/>
          <w:szCs w:val="21"/>
        </w:rPr>
        <w:t>方式对合同价格进行调整：</w:t>
      </w:r>
    </w:p>
    <w:p w14:paraId="69AAD62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第1种方式：采用价格指数进行价格调整。</w:t>
      </w:r>
    </w:p>
    <w:p w14:paraId="243598F1">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关于各可调因子、定值和变值权重，以及基本价格指数及其来源的约定：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14:paraId="1778124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第2种方式：采用造价信息进行价格调整。</w:t>
      </w:r>
    </w:p>
    <w:p w14:paraId="7ABF4B4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允许调整的主要材料和设备、基期价格、风险系数、投标报价：详见《承包人提供主要材料和设备一览表》，如发包人招标时提供的《承包人提供主要材料和设备一览表》中的主要按材料和设备缺项、漏项，经发包人及相关部门审核确认后予以调整。</w:t>
      </w:r>
    </w:p>
    <w:p w14:paraId="0F0A303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（2）主要材料和设备确认价：</w:t>
      </w:r>
    </w:p>
    <w:p w14:paraId="5CE31DF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按施工期间《</w:t>
      </w:r>
      <w:r>
        <w:rPr>
          <w:rFonts w:hint="eastAsia" w:ascii="宋体" w:hAnsi="宋体" w:eastAsia="宋体" w:cs="宋体"/>
          <w:sz w:val="21"/>
          <w:szCs w:val="21"/>
          <w:u w:val="single"/>
        </w:rPr>
        <w:t>贺州</w:t>
      </w:r>
      <w:r>
        <w:rPr>
          <w:rFonts w:hint="eastAsia" w:ascii="宋体" w:hAnsi="宋体" w:eastAsia="宋体" w:cs="宋体"/>
          <w:sz w:val="21"/>
          <w:szCs w:val="21"/>
        </w:rPr>
        <w:t>市建设工程造价信息》加权平均计算，信息价没有的按通用条款规定确定。</w:t>
      </w:r>
    </w:p>
    <w:p w14:paraId="17F1902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（3）价差计算方法：</w:t>
      </w:r>
    </w:p>
    <w:p w14:paraId="212E92E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①《承包人提供主要材料和设备一览表》中载明的材料投标报价低于基准价格的：合同履行期间材料和设备单价涨幅以基准价格为基础超过约定的风险范围时，或材料和设备单价跌幅以投标报价为基础超过约定的风险范围时，其超过部分据实调整。</w:t>
      </w:r>
    </w:p>
    <w:p w14:paraId="5913CC5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②承包人在《承包人提供主要材料和设备一览表》中载明的材料和设备投标报价高于基准价格的：专用合同条款合同履行期间材料和设备单价跌幅以基准价格为基础超过约定的风险范围时，材料和设备单价涨幅以投标报价为基础超过约定的风险范围时，其超过部分据实调整。</w:t>
      </w:r>
    </w:p>
    <w:p w14:paraId="3D2AE7F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③承包人在《承包人提供主要材料和设备一览表》中载明的材料和设备单价等于基准单价的：合同履行期间材料和设备单价涨跌幅以基准单价为基础超过约定的风险范围时，其超过部分据实调整。</w:t>
      </w:r>
    </w:p>
    <w:p w14:paraId="17BD08F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第3种方式：</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bookmarkEnd w:id="717"/>
    <w:bookmarkEnd w:id="718"/>
    <w:bookmarkEnd w:id="719"/>
    <w:bookmarkEnd w:id="720"/>
    <w:bookmarkEnd w:id="721"/>
    <w:bookmarkEnd w:id="722"/>
    <w:p w14:paraId="0D9C9373">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889" w:name="_Toc296891033"/>
      <w:bookmarkStart w:id="890" w:name="_Toc296891245"/>
      <w:bookmarkStart w:id="891" w:name="_Toc297048391"/>
      <w:bookmarkStart w:id="892" w:name="_Toc296944544"/>
      <w:bookmarkStart w:id="893" w:name="_Toc296347204"/>
      <w:bookmarkStart w:id="894" w:name="_Toc297120505"/>
      <w:bookmarkStart w:id="895" w:name="_Toc292559410"/>
      <w:bookmarkStart w:id="896" w:name="_Toc292559915"/>
      <w:bookmarkStart w:id="897" w:name="_Toc296346706"/>
      <w:bookmarkStart w:id="898" w:name="_Toc296503205"/>
      <w:bookmarkStart w:id="899" w:name="_Toc30061998"/>
      <w:bookmarkStart w:id="900" w:name="_Toc3882806"/>
      <w:bookmarkStart w:id="901" w:name="_Toc469010952"/>
      <w:bookmarkStart w:id="902" w:name="_Toc373227748"/>
      <w:bookmarkStart w:id="903" w:name="_Toc373478395"/>
      <w:bookmarkStart w:id="904" w:name="_Toc4206"/>
      <w:bookmarkStart w:id="905" w:name="_Toc351203644"/>
      <w:bookmarkStart w:id="906" w:name="_Toc300935002"/>
      <w:bookmarkStart w:id="907" w:name="_Toc312678040"/>
      <w:bookmarkStart w:id="908" w:name="_Toc303539159"/>
      <w:bookmarkStart w:id="909" w:name="_Toc304295579"/>
      <w:bookmarkStart w:id="910" w:name="_Toc297216211"/>
      <w:bookmarkStart w:id="911" w:name="_Toc297123552"/>
      <w:r>
        <w:rPr>
          <w:rFonts w:hint="eastAsia" w:ascii="宋体" w:hAnsi="宋体" w:eastAsia="宋体" w:cs="宋体"/>
          <w:b/>
          <w:sz w:val="21"/>
          <w:szCs w:val="21"/>
        </w:rPr>
        <w:t xml:space="preserve">12. </w:t>
      </w:r>
      <w:bookmarkEnd w:id="889"/>
      <w:bookmarkEnd w:id="890"/>
      <w:bookmarkEnd w:id="891"/>
      <w:bookmarkEnd w:id="892"/>
      <w:bookmarkEnd w:id="893"/>
      <w:bookmarkEnd w:id="894"/>
      <w:bookmarkEnd w:id="895"/>
      <w:bookmarkEnd w:id="896"/>
      <w:bookmarkEnd w:id="897"/>
      <w:bookmarkEnd w:id="898"/>
      <w:r>
        <w:rPr>
          <w:rFonts w:hint="eastAsia" w:ascii="宋体" w:hAnsi="宋体" w:eastAsia="宋体" w:cs="宋体"/>
          <w:b/>
          <w:sz w:val="21"/>
          <w:szCs w:val="21"/>
        </w:rPr>
        <w:t>合同价格、计量与支付</w:t>
      </w:r>
      <w:bookmarkEnd w:id="899"/>
      <w:bookmarkEnd w:id="900"/>
      <w:bookmarkEnd w:id="901"/>
      <w:bookmarkEnd w:id="902"/>
      <w:bookmarkEnd w:id="903"/>
      <w:bookmarkEnd w:id="904"/>
      <w:bookmarkEnd w:id="905"/>
    </w:p>
    <w:bookmarkEnd w:id="906"/>
    <w:bookmarkEnd w:id="907"/>
    <w:bookmarkEnd w:id="908"/>
    <w:bookmarkEnd w:id="909"/>
    <w:bookmarkEnd w:id="910"/>
    <w:bookmarkEnd w:id="911"/>
    <w:p w14:paraId="52CCAE51">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912" w:name="_Toc267251461"/>
      <w:bookmarkStart w:id="913" w:name="_Toc292559916"/>
      <w:bookmarkStart w:id="914" w:name="_Toc292559411"/>
      <w:bookmarkStart w:id="915" w:name="_Toc296503206"/>
      <w:bookmarkStart w:id="916" w:name="_Toc296347205"/>
      <w:bookmarkStart w:id="917" w:name="_Toc296891246"/>
      <w:bookmarkStart w:id="918" w:name="_Toc297120506"/>
      <w:bookmarkStart w:id="919" w:name="_Toc296346707"/>
      <w:bookmarkStart w:id="920" w:name="_Toc296891034"/>
      <w:bookmarkStart w:id="921" w:name="_Toc297048392"/>
      <w:bookmarkStart w:id="922" w:name="_Toc296944545"/>
      <w:bookmarkStart w:id="923" w:name="_Toc3882807"/>
      <w:bookmarkStart w:id="924" w:name="_Toc389065314"/>
      <w:bookmarkStart w:id="925" w:name="_Toc8953"/>
      <w:bookmarkStart w:id="926" w:name="_Toc373227749"/>
      <w:bookmarkStart w:id="927" w:name="_Toc373478396"/>
      <w:bookmarkStart w:id="928" w:name="_Toc469010953"/>
      <w:bookmarkStart w:id="929" w:name="_Toc30061999"/>
      <w:bookmarkStart w:id="930" w:name="_Toc297123553"/>
      <w:bookmarkStart w:id="931" w:name="_Toc300935003"/>
      <w:bookmarkStart w:id="932" w:name="_Toc304295580"/>
      <w:bookmarkStart w:id="933" w:name="_Toc297216212"/>
      <w:bookmarkStart w:id="934" w:name="_Toc303539160"/>
      <w:bookmarkStart w:id="935" w:name="_Toc312678041"/>
      <w:r>
        <w:rPr>
          <w:rFonts w:hint="eastAsia" w:ascii="宋体" w:hAnsi="宋体" w:eastAsia="宋体" w:cs="宋体"/>
          <w:b/>
          <w:kern w:val="0"/>
          <w:sz w:val="21"/>
          <w:szCs w:val="21"/>
        </w:rPr>
        <w:t>12.1 合</w:t>
      </w:r>
      <w:bookmarkEnd w:id="912"/>
      <w:bookmarkEnd w:id="913"/>
      <w:bookmarkEnd w:id="914"/>
      <w:r>
        <w:rPr>
          <w:rFonts w:hint="eastAsia" w:ascii="宋体" w:hAnsi="宋体" w:eastAsia="宋体" w:cs="宋体"/>
          <w:b/>
          <w:kern w:val="0"/>
          <w:sz w:val="21"/>
          <w:szCs w:val="21"/>
        </w:rPr>
        <w:t>同价</w:t>
      </w:r>
      <w:bookmarkEnd w:id="915"/>
      <w:bookmarkEnd w:id="916"/>
      <w:bookmarkEnd w:id="917"/>
      <w:bookmarkEnd w:id="918"/>
      <w:bookmarkEnd w:id="919"/>
      <w:bookmarkEnd w:id="920"/>
      <w:bookmarkEnd w:id="921"/>
      <w:bookmarkEnd w:id="922"/>
      <w:r>
        <w:rPr>
          <w:rFonts w:hint="eastAsia" w:ascii="宋体" w:hAnsi="宋体" w:eastAsia="宋体" w:cs="宋体"/>
          <w:b/>
          <w:kern w:val="0"/>
          <w:sz w:val="21"/>
          <w:szCs w:val="21"/>
        </w:rPr>
        <w:t>格形式</w:t>
      </w:r>
      <w:bookmarkEnd w:id="923"/>
      <w:bookmarkEnd w:id="924"/>
      <w:bookmarkEnd w:id="925"/>
      <w:bookmarkEnd w:id="926"/>
      <w:bookmarkEnd w:id="927"/>
      <w:bookmarkEnd w:id="928"/>
      <w:bookmarkEnd w:id="929"/>
    </w:p>
    <w:bookmarkEnd w:id="930"/>
    <w:bookmarkEnd w:id="931"/>
    <w:bookmarkEnd w:id="932"/>
    <w:bookmarkEnd w:id="933"/>
    <w:bookmarkEnd w:id="934"/>
    <w:bookmarkEnd w:id="935"/>
    <w:p w14:paraId="5939060E">
      <w:pPr>
        <w:pStyle w:val="54"/>
        <w:spacing w:line="360" w:lineRule="auto"/>
        <w:ind w:firstLine="420" w:firstLineChars="200"/>
        <w:jc w:val="left"/>
        <w:rPr>
          <w:rFonts w:hint="eastAsia" w:ascii="宋体" w:hAnsi="宋体" w:eastAsia="宋体" w:cs="宋体"/>
          <w:color w:val="auto"/>
          <w:sz w:val="21"/>
          <w:szCs w:val="21"/>
        </w:rPr>
      </w:pPr>
      <w:bookmarkStart w:id="936" w:name="_Toc373478397"/>
      <w:bookmarkStart w:id="937" w:name="_Toc389065315"/>
      <w:bookmarkStart w:id="938" w:name="_Toc373227750"/>
      <w:bookmarkStart w:id="939" w:name="_Toc297123554"/>
      <w:bookmarkStart w:id="940" w:name="_Toc296891035"/>
      <w:bookmarkStart w:id="941" w:name="_Toc304295581"/>
      <w:bookmarkStart w:id="942" w:name="_Toc297216213"/>
      <w:bookmarkStart w:id="943" w:name="_Toc296503207"/>
      <w:bookmarkStart w:id="944" w:name="_Toc303539161"/>
      <w:bookmarkStart w:id="945" w:name="_Toc296944546"/>
      <w:bookmarkStart w:id="946" w:name="_Toc296347206"/>
      <w:bookmarkStart w:id="947" w:name="_Toc296346708"/>
      <w:bookmarkStart w:id="948" w:name="_Toc312678042"/>
      <w:bookmarkStart w:id="949" w:name="_Toc292559412"/>
      <w:bookmarkStart w:id="950" w:name="_Toc297048393"/>
      <w:bookmarkStart w:id="951" w:name="_Toc300935004"/>
      <w:bookmarkStart w:id="952" w:name="_Toc297120507"/>
      <w:bookmarkStart w:id="953" w:name="_Toc296891247"/>
      <w:bookmarkStart w:id="954" w:name="_Toc292559917"/>
      <w:r>
        <w:rPr>
          <w:rFonts w:hint="eastAsia" w:ascii="宋体" w:hAnsi="宋体" w:eastAsia="宋体" w:cs="宋体"/>
          <w:sz w:val="21"/>
          <w:szCs w:val="21"/>
        </w:rPr>
        <w:t>本工程采用固定综合单价合同价格形式。合同价格包含增值税，</w:t>
      </w:r>
      <w:r>
        <w:rPr>
          <w:rFonts w:hint="eastAsia" w:ascii="宋体" w:hAnsi="宋体" w:eastAsia="宋体" w:cs="宋体"/>
          <w:color w:val="auto"/>
          <w:sz w:val="21"/>
          <w:szCs w:val="21"/>
        </w:rPr>
        <w:t>本工程计价时采用的增值税计税方法为：</w:t>
      </w:r>
      <w:r>
        <w:rPr>
          <w:rFonts w:hint="eastAsia" w:ascii="宋体" w:hAnsi="宋体" w:cs="宋体"/>
          <w:color w:val="auto"/>
          <w:sz w:val="21"/>
          <w:szCs w:val="21"/>
          <w:lang w:eastAsia="zh-CN"/>
        </w:rPr>
        <w:t>☑</w:t>
      </w:r>
      <w:r>
        <w:rPr>
          <w:rFonts w:hint="eastAsia" w:ascii="宋体" w:hAnsi="宋体" w:eastAsia="宋体" w:cs="宋体"/>
          <w:color w:val="auto"/>
          <w:sz w:val="21"/>
          <w:szCs w:val="21"/>
        </w:rPr>
        <w:t xml:space="preserve">一般计税法   </w:t>
      </w:r>
      <w:r>
        <w:rPr>
          <w:rFonts w:hint="eastAsia" w:ascii="宋体" w:hAnsi="宋体" w:cs="宋体"/>
          <w:color w:val="auto"/>
          <w:sz w:val="21"/>
          <w:szCs w:val="21"/>
          <w:lang w:eastAsia="zh-CN"/>
        </w:rPr>
        <w:t>□</w:t>
      </w:r>
      <w:r>
        <w:rPr>
          <w:rFonts w:hint="eastAsia" w:ascii="宋体" w:hAnsi="宋体" w:eastAsia="宋体" w:cs="宋体"/>
          <w:color w:val="auto"/>
          <w:sz w:val="21"/>
          <w:szCs w:val="21"/>
        </w:rPr>
        <w:t>简易计税法。</w:t>
      </w:r>
    </w:p>
    <w:p w14:paraId="33B82DF6">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（1）单价合同。</w:t>
      </w:r>
    </w:p>
    <w:p w14:paraId="622183E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采用综合单价合同方式时，工程量按建设单位、监理单位、施工单位三方确认的竣工图结算。</w:t>
      </w:r>
    </w:p>
    <w:p w14:paraId="75017B8F">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综合单价包含的风险范围：</w:t>
      </w:r>
      <w:r>
        <w:rPr>
          <w:rFonts w:hint="eastAsia" w:ascii="宋体" w:hAnsi="宋体" w:eastAsia="宋体" w:cs="宋体"/>
          <w:sz w:val="21"/>
          <w:szCs w:val="21"/>
          <w:u w:val="single"/>
        </w:rPr>
        <w:t>除工程变更、项目特征不符、工程量清单缺项漏项、政策性调整、工程量偏差、价格变动风险以外的其他风险因素</w:t>
      </w:r>
      <w:r>
        <w:rPr>
          <w:rFonts w:hint="eastAsia" w:ascii="宋体" w:hAnsi="宋体" w:eastAsia="宋体" w:cs="宋体"/>
          <w:sz w:val="21"/>
          <w:szCs w:val="21"/>
        </w:rPr>
        <w:t>。</w:t>
      </w:r>
    </w:p>
    <w:p w14:paraId="721D4D54">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风险范围以外合同价格的调整方法：</w:t>
      </w:r>
    </w:p>
    <w:p w14:paraId="7A47C23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①工程变更：按10.4.1变更估价原则的约定调整。</w:t>
      </w:r>
    </w:p>
    <w:p w14:paraId="7BD3C2B6">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②政策性调整：按自治区建设行政主管部门颁布的文件执行。</w:t>
      </w:r>
    </w:p>
    <w:p w14:paraId="41E759F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③材料价格风险：按11.1的约定调整。</w:t>
      </w:r>
    </w:p>
    <w:p w14:paraId="5CCD6A7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④其它：</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65AC92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（2）总价合同。</w:t>
      </w:r>
    </w:p>
    <w:p w14:paraId="5C8B3C8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总价包含的风险范围：</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AF490E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风险范围以外合同价格的调整方法：</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5B4C2026">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（3）其他价格方式：</w:t>
      </w:r>
      <w:r>
        <w:rPr>
          <w:rFonts w:hint="eastAsia" w:ascii="宋体" w:hAnsi="宋体" w:eastAsia="宋体" w:cs="宋体"/>
          <w:sz w:val="21"/>
          <w:szCs w:val="21"/>
          <w:u w:val="single"/>
        </w:rPr>
        <w:t xml:space="preserve">  /  </w:t>
      </w:r>
      <w:r>
        <w:rPr>
          <w:rFonts w:hint="eastAsia" w:ascii="宋体" w:hAnsi="宋体" w:eastAsia="宋体" w:cs="宋体"/>
          <w:sz w:val="21"/>
          <w:szCs w:val="21"/>
        </w:rPr>
        <w:t xml:space="preserve"> 。</w:t>
      </w:r>
    </w:p>
    <w:p w14:paraId="093C7F41">
      <w:pPr>
        <w:pStyle w:val="54"/>
        <w:keepNext/>
        <w:keepLines/>
        <w:spacing w:before="260" w:after="260" w:line="360" w:lineRule="auto"/>
        <w:ind w:firstLine="422" w:firstLineChars="200"/>
        <w:outlineLvl w:val="2"/>
        <w:rPr>
          <w:rFonts w:hint="eastAsia" w:ascii="宋体" w:hAnsi="宋体" w:eastAsia="宋体" w:cs="宋体"/>
          <w:color w:val="FF0000"/>
          <w:sz w:val="21"/>
          <w:szCs w:val="21"/>
        </w:rPr>
      </w:pPr>
      <w:bookmarkStart w:id="955" w:name="_Toc23317"/>
      <w:bookmarkStart w:id="956" w:name="_Toc3882808"/>
      <w:bookmarkStart w:id="957" w:name="_Toc469010954"/>
      <w:bookmarkStart w:id="958" w:name="_Toc30062000"/>
      <w:r>
        <w:rPr>
          <w:rFonts w:hint="eastAsia" w:ascii="宋体" w:hAnsi="宋体" w:eastAsia="宋体" w:cs="宋体"/>
          <w:b/>
          <w:color w:val="FF0000"/>
          <w:kern w:val="0"/>
          <w:sz w:val="21"/>
          <w:szCs w:val="21"/>
        </w:rPr>
        <w:t>12.2 预付款</w:t>
      </w:r>
      <w:bookmarkEnd w:id="936"/>
      <w:bookmarkEnd w:id="937"/>
      <w:bookmarkEnd w:id="938"/>
      <w:bookmarkEnd w:id="955"/>
      <w:bookmarkEnd w:id="956"/>
      <w:bookmarkEnd w:id="957"/>
      <w:bookmarkEnd w:id="958"/>
    </w:p>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14:paraId="17099897">
      <w:pPr>
        <w:pStyle w:val="54"/>
        <w:spacing w:line="360" w:lineRule="auto"/>
        <w:ind w:firstLine="420" w:firstLineChars="200"/>
        <w:rPr>
          <w:rFonts w:hint="eastAsia" w:ascii="宋体" w:hAnsi="宋体" w:eastAsia="宋体" w:cs="宋体"/>
          <w:color w:val="FF0000"/>
          <w:sz w:val="21"/>
          <w:szCs w:val="21"/>
        </w:rPr>
      </w:pPr>
      <w:bookmarkStart w:id="959" w:name="_Toc373478398"/>
      <w:bookmarkStart w:id="960" w:name="_Toc18102"/>
      <w:bookmarkStart w:id="961" w:name="_Toc389065316"/>
      <w:bookmarkStart w:id="962" w:name="_Toc469010955"/>
      <w:bookmarkStart w:id="963" w:name="_Toc30062001"/>
      <w:bookmarkStart w:id="964" w:name="_Toc373227751"/>
      <w:bookmarkStart w:id="965" w:name="_Toc3882809"/>
      <w:r>
        <w:rPr>
          <w:rFonts w:hint="eastAsia" w:ascii="宋体" w:hAnsi="宋体" w:eastAsia="宋体" w:cs="宋体"/>
          <w:color w:val="FF0000"/>
          <w:sz w:val="21"/>
          <w:szCs w:val="21"/>
        </w:rPr>
        <w:t>12.2.1 预付款的支付</w:t>
      </w:r>
    </w:p>
    <w:p w14:paraId="0BE9ADF0">
      <w:pPr>
        <w:pStyle w:val="54"/>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预付款支付比例或金额：合同价款的30%。</w:t>
      </w:r>
      <w:bookmarkStart w:id="1302" w:name="_GoBack"/>
      <w:bookmarkEnd w:id="1302"/>
    </w:p>
    <w:p w14:paraId="280A5461">
      <w:pPr>
        <w:pStyle w:val="54"/>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预付款支付期限：</w:t>
      </w:r>
      <w:r>
        <w:rPr>
          <w:rFonts w:hint="eastAsia" w:ascii="宋体" w:hAnsi="宋体" w:cs="宋体"/>
          <w:color w:val="FF0000"/>
          <w:sz w:val="21"/>
          <w:szCs w:val="21"/>
          <w:lang w:val="en-US" w:eastAsia="zh-CN"/>
        </w:rPr>
        <w:t>合同签订</w:t>
      </w:r>
      <w:r>
        <w:rPr>
          <w:rFonts w:hint="eastAsia" w:ascii="宋体" w:hAnsi="宋体" w:eastAsia="宋体" w:cs="宋体"/>
          <w:color w:val="FF0000"/>
          <w:sz w:val="21"/>
          <w:szCs w:val="21"/>
        </w:rPr>
        <w:t>后</w:t>
      </w:r>
      <w:r>
        <w:rPr>
          <w:rFonts w:hint="eastAsia" w:ascii="宋体" w:hAnsi="宋体" w:cs="宋体"/>
          <w:color w:val="FF0000"/>
          <w:sz w:val="21"/>
          <w:szCs w:val="21"/>
          <w:lang w:val="en-US" w:eastAsia="zh-CN"/>
        </w:rPr>
        <w:t>10个工作日内</w:t>
      </w:r>
      <w:r>
        <w:rPr>
          <w:rFonts w:hint="eastAsia" w:ascii="宋体" w:hAnsi="宋体" w:eastAsia="宋体" w:cs="宋体"/>
          <w:color w:val="FF0000"/>
          <w:sz w:val="21"/>
          <w:szCs w:val="21"/>
        </w:rPr>
        <w:t>。</w:t>
      </w:r>
    </w:p>
    <w:p w14:paraId="5CA04E08">
      <w:pPr>
        <w:pStyle w:val="54"/>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预付款扣回的方式：工程预付款应从每期支付给承包人的工程进度款中按预付款同比例扣回，直至合同累计完成金额达到签约合同价的80%时全部扣完。</w:t>
      </w:r>
    </w:p>
    <w:p w14:paraId="561D0CB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r>
        <w:rPr>
          <w:rFonts w:hint="eastAsia" w:ascii="宋体" w:hAnsi="宋体" w:eastAsia="宋体" w:cs="宋体"/>
          <w:b/>
          <w:kern w:val="0"/>
          <w:sz w:val="21"/>
          <w:szCs w:val="21"/>
        </w:rPr>
        <w:t>12.3 计量</w:t>
      </w:r>
      <w:bookmarkEnd w:id="959"/>
      <w:bookmarkEnd w:id="960"/>
      <w:bookmarkEnd w:id="961"/>
      <w:bookmarkEnd w:id="962"/>
      <w:bookmarkEnd w:id="963"/>
      <w:bookmarkEnd w:id="964"/>
      <w:bookmarkEnd w:id="965"/>
    </w:p>
    <w:p w14:paraId="7E62875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12.3.1 计量原则</w:t>
      </w:r>
    </w:p>
    <w:p w14:paraId="7C53038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工程量计算规则：</w:t>
      </w:r>
      <w:r>
        <w:rPr>
          <w:rFonts w:hint="eastAsia" w:ascii="宋体" w:hAnsi="宋体" w:eastAsia="宋体" w:cs="宋体"/>
          <w:sz w:val="21"/>
          <w:szCs w:val="21"/>
          <w:u w:val="single"/>
        </w:rPr>
        <w:t>工程的计量均以《建设工程工程量清单计价规范》（GB50500－2013）和及其广西壮族自治区实施细则、《建设工程工程量清单计算规范》（GB50854~50862－2013）及其广西实施细则（修订本）、本工程补充项目清单为准。</w:t>
      </w:r>
    </w:p>
    <w:p w14:paraId="37F131A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12.3.2 计量周期</w:t>
      </w:r>
    </w:p>
    <w:p w14:paraId="758D69B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关于计量周期的约定：</w:t>
      </w:r>
      <w:r>
        <w:rPr>
          <w:rFonts w:hint="eastAsia" w:ascii="宋体" w:hAnsi="宋体" w:eastAsia="宋体" w:cs="宋体"/>
          <w:sz w:val="21"/>
          <w:szCs w:val="21"/>
          <w:u w:val="single"/>
        </w:rPr>
        <w:t>每月25日前，承包人需提供施工月报。</w:t>
      </w:r>
    </w:p>
    <w:p w14:paraId="6443A86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12.3.3 单价合同的计量</w:t>
      </w:r>
    </w:p>
    <w:p w14:paraId="4AE8419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关于单价合同计量的约定：</w:t>
      </w:r>
    </w:p>
    <w:p w14:paraId="5C53F23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 工程量清单所列的工程量，不能作为承包人按合同履行其责任依据，实际施工中发生的工程量增加或减少并不影响承包人履行合同的责任，工程结算以完成的实际工程量为准。</w:t>
      </w:r>
    </w:p>
    <w:p w14:paraId="1AC91270">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除另有规定外，工程师应按照合同通过计量来核实确定已完成的工程量和价款，承包人应得到该价款扣除保留金后的金额。当工程师要对已完工的工程量进行计量时，应适时地通知承包人参加。</w:t>
      </w:r>
    </w:p>
    <w:p w14:paraId="06C4F6F0">
      <w:pPr>
        <w:pStyle w:val="54"/>
        <w:keepNext/>
        <w:keepLines/>
        <w:spacing w:before="260" w:after="260" w:line="360" w:lineRule="auto"/>
        <w:ind w:firstLine="422" w:firstLineChars="200"/>
        <w:outlineLvl w:val="2"/>
        <w:rPr>
          <w:rFonts w:hint="eastAsia" w:ascii="宋体" w:hAnsi="宋体" w:eastAsia="宋体" w:cs="宋体"/>
          <w:b/>
          <w:color w:val="FF0000"/>
          <w:kern w:val="0"/>
          <w:sz w:val="21"/>
          <w:szCs w:val="21"/>
        </w:rPr>
      </w:pPr>
      <w:bookmarkStart w:id="966" w:name="_Toc373478399"/>
      <w:bookmarkStart w:id="967" w:name="_Toc30062002"/>
      <w:bookmarkStart w:id="968" w:name="_Toc469010956"/>
      <w:bookmarkStart w:id="969" w:name="_Toc24170"/>
      <w:bookmarkStart w:id="970" w:name="_Toc3882810"/>
      <w:bookmarkStart w:id="971" w:name="_Toc373227752"/>
      <w:bookmarkStart w:id="972" w:name="_Toc389065317"/>
      <w:r>
        <w:rPr>
          <w:rFonts w:hint="eastAsia" w:ascii="宋体" w:hAnsi="宋体" w:eastAsia="宋体" w:cs="宋体"/>
          <w:b/>
          <w:color w:val="FF0000"/>
          <w:kern w:val="0"/>
          <w:sz w:val="21"/>
          <w:szCs w:val="21"/>
        </w:rPr>
        <w:t>12.4 工程进度款支付</w:t>
      </w:r>
      <w:bookmarkEnd w:id="966"/>
      <w:bookmarkEnd w:id="967"/>
      <w:bookmarkEnd w:id="968"/>
      <w:bookmarkEnd w:id="969"/>
      <w:bookmarkEnd w:id="970"/>
      <w:bookmarkEnd w:id="971"/>
      <w:bookmarkEnd w:id="972"/>
    </w:p>
    <w:p w14:paraId="1AD2297B">
      <w:pPr>
        <w:pStyle w:val="54"/>
        <w:spacing w:line="360" w:lineRule="auto"/>
        <w:ind w:firstLine="420" w:firstLineChars="200"/>
        <w:jc w:val="left"/>
        <w:rPr>
          <w:rFonts w:hint="eastAsia" w:ascii="宋体" w:hAnsi="宋体" w:eastAsia="宋体" w:cs="宋体"/>
          <w:color w:val="FF0000"/>
          <w:sz w:val="21"/>
          <w:szCs w:val="21"/>
        </w:rPr>
      </w:pPr>
      <w:bookmarkStart w:id="973" w:name="_Toc296891039"/>
      <w:bookmarkStart w:id="974" w:name="_Toc296347210"/>
      <w:bookmarkStart w:id="975" w:name="_Toc296346712"/>
      <w:bookmarkStart w:id="976" w:name="_Toc292559921"/>
      <w:bookmarkStart w:id="977" w:name="_Toc297048397"/>
      <w:bookmarkStart w:id="978" w:name="_Toc292559416"/>
      <w:bookmarkStart w:id="979" w:name="_Toc296944550"/>
      <w:bookmarkStart w:id="980" w:name="_Toc297216215"/>
      <w:bookmarkStart w:id="981" w:name="_Toc303539163"/>
      <w:bookmarkStart w:id="982" w:name="_Toc297123556"/>
      <w:bookmarkStart w:id="983" w:name="_Toc300935006"/>
      <w:bookmarkStart w:id="984" w:name="_Toc297120511"/>
      <w:bookmarkStart w:id="985" w:name="_Toc296503211"/>
      <w:bookmarkStart w:id="986" w:name="_Toc296891251"/>
      <w:r>
        <w:rPr>
          <w:rFonts w:hint="eastAsia" w:ascii="宋体" w:hAnsi="宋体" w:eastAsia="宋体" w:cs="宋体"/>
          <w:color w:val="FF0000"/>
          <w:sz w:val="21"/>
          <w:szCs w:val="21"/>
        </w:rPr>
        <w:t>12.4.1 付款周期</w:t>
      </w:r>
    </w:p>
    <w:p w14:paraId="5FF5ABE9">
      <w:pPr>
        <w:pStyle w:val="54"/>
        <w:spacing w:line="360" w:lineRule="auto"/>
        <w:ind w:firstLine="420" w:firstLineChars="200"/>
        <w:rPr>
          <w:rFonts w:hint="eastAsia" w:ascii="宋体" w:hAnsi="宋体" w:eastAsia="宋体" w:cs="宋体"/>
          <w:color w:val="FF0000"/>
          <w:sz w:val="21"/>
          <w:szCs w:val="21"/>
        </w:rPr>
      </w:pPr>
      <w:r>
        <w:rPr>
          <w:rFonts w:hint="eastAsia" w:ascii="宋体" w:hAnsi="宋体" w:eastAsia="宋体" w:cs="宋体"/>
          <w:color w:val="FF0000"/>
          <w:sz w:val="21"/>
          <w:szCs w:val="21"/>
        </w:rPr>
        <w:t>关于付款周期的约定：</w:t>
      </w:r>
      <w:r>
        <w:rPr>
          <w:rFonts w:hint="eastAsia" w:ascii="宋体" w:hAnsi="宋体" w:eastAsia="宋体" w:cs="宋体"/>
          <w:bCs/>
          <w:color w:val="FF0000"/>
          <w:sz w:val="21"/>
          <w:szCs w:val="21"/>
          <w:u w:val="single"/>
        </w:rPr>
        <w:t>工程付进度款支付方式：合同内进度款支付限额为已完成工程量的85%，工程变更部分进度款支付限额为已完成工程量的75%。</w:t>
      </w:r>
    </w:p>
    <w:p w14:paraId="4898637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12.4.2 进度付款申请单的编制</w:t>
      </w:r>
    </w:p>
    <w:p w14:paraId="3FF33889">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关于进度付款申请单编制的约定：</w:t>
      </w:r>
      <w:r>
        <w:rPr>
          <w:rFonts w:hint="eastAsia" w:ascii="宋体" w:hAnsi="宋体" w:eastAsia="宋体" w:cs="宋体"/>
          <w:sz w:val="21"/>
          <w:szCs w:val="21"/>
          <w:u w:val="single"/>
        </w:rPr>
        <w:t>承包人应在每个计量周期到期后的7天内向发包人提交已完工程进度款支付申请一式陆份，详细说明此周期自己认为有权得到的款额，包括分包人已完工程的价款，按有关规定编制</w:t>
      </w:r>
      <w:r>
        <w:rPr>
          <w:rFonts w:hint="eastAsia" w:ascii="宋体" w:hAnsi="宋体" w:eastAsia="宋体" w:cs="宋体"/>
          <w:sz w:val="21"/>
          <w:szCs w:val="21"/>
        </w:rPr>
        <w:t>。</w:t>
      </w:r>
    </w:p>
    <w:p w14:paraId="4232FAD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r>
        <w:rPr>
          <w:rFonts w:hint="eastAsia" w:ascii="宋体" w:hAnsi="宋体" w:eastAsia="宋体" w:cs="宋体"/>
          <w:sz w:val="21"/>
          <w:szCs w:val="21"/>
        </w:rPr>
        <w:t>2.4.3 进度付款申请单的提交</w:t>
      </w:r>
    </w:p>
    <w:p w14:paraId="15012879">
      <w:pPr>
        <w:pStyle w:val="54"/>
        <w:spacing w:line="360" w:lineRule="auto"/>
        <w:ind w:firstLine="420" w:firstLineChars="200"/>
        <w:jc w:val="left"/>
        <w:rPr>
          <w:rFonts w:hint="eastAsia" w:ascii="宋体" w:hAnsi="宋体" w:eastAsia="宋体" w:cs="宋体"/>
          <w:b/>
          <w:bCs/>
          <w:sz w:val="21"/>
          <w:szCs w:val="21"/>
          <w:u w:val="single"/>
        </w:rPr>
      </w:pPr>
      <w:r>
        <w:rPr>
          <w:rFonts w:hint="eastAsia" w:ascii="宋体" w:hAnsi="宋体" w:eastAsia="宋体" w:cs="宋体"/>
          <w:sz w:val="21"/>
          <w:szCs w:val="21"/>
        </w:rPr>
        <w:t>（1）单价合同进度付款申请单提交的约定：</w:t>
      </w:r>
      <w:r>
        <w:rPr>
          <w:rFonts w:hint="eastAsia" w:ascii="宋体" w:hAnsi="宋体" w:eastAsia="宋体" w:cs="宋体"/>
          <w:bCs/>
          <w:sz w:val="21"/>
          <w:szCs w:val="21"/>
          <w:u w:val="single"/>
        </w:rPr>
        <w:t>承包人应在每个计量周期到期后的7天内向发包人提交已完工程进度款支付申请一式陆份，详细说明此周期自己认为有权得到的款额，包括分包人已完工程的价款，按有关规定编制，同时提供经监理审核批准的施工过程中的相关资料。</w:t>
      </w:r>
    </w:p>
    <w:p w14:paraId="7F30D38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（2）总价合同进度付款申请单提交的约定：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1BCF5D9C">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（3）其他价格形式合同进度付款申请单提交的约定：</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42D56C1A">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12.4.4 进度款审核和支付</w:t>
      </w:r>
    </w:p>
    <w:p w14:paraId="06239F9D">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（1）监理人审查并报送发包人的期限：</w:t>
      </w:r>
      <w:r>
        <w:rPr>
          <w:rFonts w:hint="eastAsia" w:ascii="宋体" w:hAnsi="宋体" w:eastAsia="宋体" w:cs="宋体"/>
          <w:sz w:val="21"/>
          <w:szCs w:val="21"/>
          <w:u w:val="single"/>
        </w:rPr>
        <w:t xml:space="preserve">收到申请7天内完成审核并报送发包人， 如未在收到相关资料后的5个天内进行审批或提出异议的，视为对承包人提交审批进度款的认可 </w:t>
      </w:r>
      <w:r>
        <w:rPr>
          <w:rFonts w:hint="eastAsia" w:ascii="宋体" w:hAnsi="宋体" w:eastAsia="宋体" w:cs="宋体"/>
          <w:sz w:val="21"/>
          <w:szCs w:val="21"/>
        </w:rPr>
        <w:t>。</w:t>
      </w:r>
    </w:p>
    <w:p w14:paraId="35DE9223">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发包人完成审批并签发进度款支付证书的期限：</w:t>
      </w:r>
      <w:r>
        <w:rPr>
          <w:rFonts w:hint="eastAsia" w:ascii="宋体" w:hAnsi="宋体" w:eastAsia="宋体" w:cs="宋体"/>
          <w:sz w:val="21"/>
          <w:szCs w:val="21"/>
          <w:u w:val="single"/>
        </w:rPr>
        <w:t>收到监理审查并确认后报送7天内完成审批并签发进度款支付证书</w:t>
      </w:r>
      <w:r>
        <w:rPr>
          <w:rFonts w:hint="eastAsia" w:ascii="宋体" w:hAnsi="宋体" w:eastAsia="宋体" w:cs="宋体"/>
          <w:sz w:val="21"/>
          <w:szCs w:val="21"/>
        </w:rPr>
        <w:t>。</w:t>
      </w:r>
    </w:p>
    <w:p w14:paraId="03874BE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（2）发包人支付进度款的期限：</w:t>
      </w:r>
      <w:r>
        <w:rPr>
          <w:rFonts w:hint="eastAsia" w:ascii="宋体" w:hAnsi="宋体" w:eastAsia="宋体" w:cs="宋体"/>
          <w:sz w:val="21"/>
          <w:szCs w:val="21"/>
          <w:u w:val="single"/>
        </w:rPr>
        <w:t>审查并确认后14天内</w:t>
      </w:r>
      <w:r>
        <w:rPr>
          <w:rFonts w:hint="eastAsia" w:ascii="宋体" w:hAnsi="宋体" w:eastAsia="宋体" w:cs="宋体"/>
          <w:sz w:val="21"/>
          <w:szCs w:val="21"/>
        </w:rPr>
        <w:t>。</w:t>
      </w:r>
    </w:p>
    <w:p w14:paraId="006C650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发包人逾期支付进度款的违约金的计算方式：</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7249D270">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进度款支付方式：</w:t>
      </w:r>
      <w:r>
        <w:rPr>
          <w:rFonts w:hint="eastAsia" w:ascii="宋体" w:hAnsi="宋体" w:eastAsia="宋体" w:cs="宋体"/>
          <w:sz w:val="21"/>
          <w:szCs w:val="21"/>
          <w:u w:val="single"/>
        </w:rPr>
        <w:t>银行转账</w:t>
      </w:r>
    </w:p>
    <w:p w14:paraId="66C966C1">
      <w:pPr>
        <w:pStyle w:val="54"/>
        <w:spacing w:line="360" w:lineRule="auto"/>
        <w:ind w:firstLine="420" w:firstLineChars="200"/>
        <w:rPr>
          <w:rFonts w:hint="eastAsia" w:ascii="宋体" w:hAnsi="宋体" w:eastAsia="宋体" w:cs="宋体"/>
          <w:strike/>
          <w:sz w:val="21"/>
          <w:szCs w:val="21"/>
        </w:rPr>
      </w:pPr>
      <w:r>
        <w:rPr>
          <w:rFonts w:hint="eastAsia" w:ascii="宋体" w:hAnsi="宋体" w:eastAsia="宋体" w:cs="宋体"/>
          <w:kern w:val="0"/>
          <w:sz w:val="21"/>
          <w:szCs w:val="21"/>
          <w:u w:val="single"/>
        </w:rPr>
        <w:t>支付至承包人指定账户，其他付款方式承包人均不予认可</w:t>
      </w:r>
      <w:r>
        <w:rPr>
          <w:rFonts w:hint="eastAsia" w:ascii="宋体" w:hAnsi="宋体" w:eastAsia="宋体" w:cs="宋体"/>
          <w:sz w:val="21"/>
          <w:szCs w:val="21"/>
        </w:rPr>
        <w:t>。</w:t>
      </w:r>
    </w:p>
    <w:p w14:paraId="6A9B4DC1">
      <w:pPr>
        <w:pStyle w:val="54"/>
        <w:tabs>
          <w:tab w:val="center" w:pos="4153"/>
          <w:tab w:val="right" w:pos="8306"/>
        </w:tabs>
        <w:snapToGri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工程款支付账户：</w:t>
      </w:r>
    </w:p>
    <w:p w14:paraId="4A1CBAF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单位名称：</w:t>
      </w:r>
      <w:r>
        <w:rPr>
          <w:rFonts w:hint="eastAsia" w:ascii="宋体" w:hAnsi="宋体" w:eastAsia="宋体" w:cs="宋体"/>
          <w:sz w:val="21"/>
          <w:szCs w:val="21"/>
          <w:u w:val="single"/>
        </w:rPr>
        <w:t xml:space="preserve">          </w:t>
      </w:r>
    </w:p>
    <w:p w14:paraId="55E70F56">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p w14:paraId="589C29BB">
      <w:pPr>
        <w:pStyle w:val="54"/>
        <w:adjustRightInd w:val="0"/>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p>
    <w:p w14:paraId="1D4D1DF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 农民工工资支付</w:t>
      </w:r>
    </w:p>
    <w:p w14:paraId="5D4D8ED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农民工工资应与其它工程进度款分帐管理。承包人向发包人申请工程进度款时必须把工人工资部分单独列明，如果未单独列明，监理单位不得签支付证书等支付工程款的手续，发包人单位不得审批和支付工程款。发包人必须把工程款分帐出来的农民工工资转入承包人工人工资支付专用账户专户，转入专户环节必须有银行流水凭证。</w:t>
      </w:r>
    </w:p>
    <w:p w14:paraId="54EB1423">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发包人依据工程进度，按与承包人约定的农民工支付比例，将工程人工费分账支付到承包人的农民工工资专户，工程完工时发包人向承包人农民工工资专户支付的完工工程量的人工费支付比例不低于100%，其余工程进度款项由发包人支付到承包人的单位基本户。</w:t>
      </w:r>
    </w:p>
    <w:p w14:paraId="65640CAF">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3）凡未向付款单位提供农民工工资专户的，或者请款单位在申请工程进度款时未将人工费单列的，付款单位有权拒绝支付工程进度款。</w:t>
      </w:r>
    </w:p>
    <w:p w14:paraId="7135CAA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4）农民工工资使用要求：专款专用，除发放工人工资外，不得用于其他用途。</w:t>
      </w:r>
    </w:p>
    <w:p w14:paraId="62554967">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5）承包人将农民工工资支付情况定期报告发包人和监理单位，并提供相应的材料接受建设行政主管部门和劳动保障行政主管部门对此事项监管。</w:t>
      </w:r>
    </w:p>
    <w:p w14:paraId="605C974C">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6）农民工工资支付专用账户：</w:t>
      </w:r>
    </w:p>
    <w:p w14:paraId="054F3D1E">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专用账户名称：</w:t>
      </w:r>
      <w:r>
        <w:rPr>
          <w:rFonts w:hint="eastAsia" w:ascii="宋体" w:hAnsi="宋体" w:eastAsia="宋体" w:cs="宋体"/>
          <w:sz w:val="21"/>
          <w:szCs w:val="21"/>
          <w:u w:val="single"/>
        </w:rPr>
        <w:t xml:space="preserve">                  </w:t>
      </w:r>
    </w:p>
    <w:p w14:paraId="3B3CCE86">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专用账号：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14:paraId="673B2978">
      <w:pPr>
        <w:pStyle w:val="54"/>
        <w:spacing w:line="360" w:lineRule="auto"/>
        <w:ind w:firstLine="420" w:firstLineChars="200"/>
        <w:rPr>
          <w:rFonts w:hint="eastAsia" w:ascii="宋体" w:hAnsi="宋体" w:eastAsia="宋体" w:cs="宋体"/>
          <w:sz w:val="21"/>
          <w:szCs w:val="21"/>
          <w:u w:val="single"/>
        </w:rPr>
      </w:pPr>
      <w:r>
        <w:rPr>
          <w:rFonts w:hint="eastAsia" w:ascii="宋体" w:hAnsi="宋体" w:eastAsia="宋体" w:cs="宋体"/>
          <w:sz w:val="21"/>
          <w:szCs w:val="21"/>
        </w:rPr>
        <w:t>专用账户开户银行名称：</w:t>
      </w:r>
      <w:r>
        <w:rPr>
          <w:rFonts w:hint="eastAsia" w:ascii="宋体" w:hAnsi="宋体" w:eastAsia="宋体" w:cs="宋体"/>
          <w:sz w:val="21"/>
          <w:szCs w:val="21"/>
          <w:u w:val="single"/>
        </w:rPr>
        <w:t xml:space="preserve">         </w:t>
      </w:r>
    </w:p>
    <w:p w14:paraId="7F13393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7）双方约定工程款中农民工工资比例为</w:t>
      </w:r>
      <w:r>
        <w:rPr>
          <w:rFonts w:hint="eastAsia" w:ascii="宋体" w:hAnsi="宋体" w:cs="宋体"/>
          <w:sz w:val="21"/>
          <w:szCs w:val="21"/>
          <w:u w:val="single"/>
          <w:lang w:val="en-US" w:eastAsia="zh-CN"/>
        </w:rPr>
        <w:t>10</w:t>
      </w:r>
      <w:r>
        <w:rPr>
          <w:rFonts w:hint="eastAsia" w:ascii="宋体" w:hAnsi="宋体" w:eastAsia="宋体" w:cs="宋体"/>
          <w:sz w:val="21"/>
          <w:szCs w:val="21"/>
          <w:u w:val="single"/>
        </w:rPr>
        <w:t>%</w:t>
      </w:r>
      <w:r>
        <w:rPr>
          <w:rFonts w:hint="eastAsia" w:ascii="宋体" w:hAnsi="宋体" w:eastAsia="宋体" w:cs="宋体"/>
          <w:sz w:val="21"/>
          <w:szCs w:val="21"/>
        </w:rPr>
        <w:t>，甲方支付工程进度款时，按照上述比例将农民工资转至乙方农民工工资专用账户，乙方按月足额支付农民工工资，同时承诺不得将农民工工资专用款挪做其它用途，否则将承担后果及法律责任。</w:t>
      </w:r>
    </w:p>
    <w:p w14:paraId="795852B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12.4.6 支付分解表的编制</w:t>
      </w:r>
    </w:p>
    <w:p w14:paraId="25AB224A">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2. 总价合同支付分解表的编制与审批：</w:t>
      </w:r>
      <w:r>
        <w:rPr>
          <w:rFonts w:hint="eastAsia" w:ascii="宋体" w:hAnsi="宋体" w:eastAsia="宋体" w:cs="宋体"/>
          <w:sz w:val="21"/>
          <w:szCs w:val="21"/>
          <w:u w:val="single"/>
        </w:rPr>
        <w:t xml:space="preserve">   /  </w:t>
      </w:r>
      <w:r>
        <w:rPr>
          <w:rFonts w:hint="eastAsia" w:ascii="宋体" w:hAnsi="宋体" w:eastAsia="宋体" w:cs="宋体"/>
          <w:sz w:val="21"/>
          <w:szCs w:val="21"/>
        </w:rPr>
        <w:t>。</w:t>
      </w:r>
    </w:p>
    <w:p w14:paraId="62151F19">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3. 单价合同的总价项目支付分解表的编制与审批：总价项目不采用支付分解表的方式计算，而按《建设工程工程量清单计价规范（GB50500-2013）广西壮族自治区实施细则》的规定执行。</w:t>
      </w:r>
    </w:p>
    <w:bookmarkEnd w:id="723"/>
    <w:p w14:paraId="015D067F">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987" w:name="_Toc373227753"/>
      <w:bookmarkStart w:id="988" w:name="_Toc3882811"/>
      <w:bookmarkStart w:id="989" w:name="_Toc373478400"/>
      <w:bookmarkStart w:id="990" w:name="_Toc30062003"/>
      <w:bookmarkStart w:id="991" w:name="_Toc389065318"/>
      <w:bookmarkStart w:id="992" w:name="_Toc351203645"/>
      <w:bookmarkStart w:id="993" w:name="_Toc469010957"/>
      <w:bookmarkStart w:id="994" w:name="_Toc303539172"/>
      <w:bookmarkStart w:id="995" w:name="_Toc296346720"/>
      <w:bookmarkStart w:id="996" w:name="_Toc297123564"/>
      <w:bookmarkStart w:id="997" w:name="_Toc296944558"/>
      <w:bookmarkStart w:id="998" w:name="_Toc300935015"/>
      <w:bookmarkStart w:id="999" w:name="_Toc297216223"/>
      <w:bookmarkStart w:id="1000" w:name="_Toc296891259"/>
      <w:bookmarkStart w:id="1001" w:name="_Toc296347218"/>
      <w:bookmarkStart w:id="1002" w:name="_Toc304295593"/>
      <w:bookmarkStart w:id="1003" w:name="_Toc296891047"/>
      <w:bookmarkStart w:id="1004" w:name="_Toc292559929"/>
      <w:bookmarkStart w:id="1005" w:name="_Toc297048405"/>
      <w:bookmarkStart w:id="1006" w:name="_Toc297120519"/>
      <w:bookmarkStart w:id="1007" w:name="_Toc312678053"/>
      <w:bookmarkStart w:id="1008" w:name="_Toc292559424"/>
      <w:bookmarkStart w:id="1009" w:name="_Toc296503219"/>
      <w:r>
        <w:rPr>
          <w:rFonts w:hint="eastAsia" w:ascii="宋体" w:hAnsi="宋体" w:eastAsia="宋体" w:cs="宋体"/>
          <w:b/>
          <w:sz w:val="21"/>
          <w:szCs w:val="21"/>
        </w:rPr>
        <w:t>13. 验收和工程试车</w:t>
      </w:r>
      <w:bookmarkEnd w:id="987"/>
      <w:bookmarkEnd w:id="988"/>
      <w:bookmarkEnd w:id="989"/>
      <w:bookmarkEnd w:id="990"/>
      <w:bookmarkEnd w:id="991"/>
      <w:bookmarkEnd w:id="992"/>
      <w:bookmarkEnd w:id="993"/>
    </w:p>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14:paraId="52DF0A5D">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10" w:name="_Toc3882812"/>
      <w:bookmarkStart w:id="1011" w:name="_Toc389065319"/>
      <w:bookmarkStart w:id="1012" w:name="_Toc373478401"/>
      <w:bookmarkStart w:id="1013" w:name="_Toc373227754"/>
      <w:bookmarkStart w:id="1014" w:name="_Toc30062004"/>
      <w:bookmarkStart w:id="1015" w:name="_Toc469010958"/>
      <w:bookmarkStart w:id="1016" w:name="_Toc5635"/>
      <w:r>
        <w:rPr>
          <w:rFonts w:hint="eastAsia" w:ascii="宋体" w:hAnsi="宋体" w:eastAsia="宋体" w:cs="宋体"/>
          <w:b/>
          <w:kern w:val="0"/>
          <w:sz w:val="21"/>
          <w:szCs w:val="21"/>
        </w:rPr>
        <w:t>13.1 分部分项工程验收</w:t>
      </w:r>
      <w:bookmarkEnd w:id="1010"/>
      <w:bookmarkEnd w:id="1011"/>
      <w:bookmarkEnd w:id="1012"/>
      <w:bookmarkEnd w:id="1013"/>
      <w:bookmarkEnd w:id="1014"/>
      <w:bookmarkEnd w:id="1015"/>
      <w:bookmarkEnd w:id="1016"/>
    </w:p>
    <w:p w14:paraId="1C5195C3">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13.1.2监理人不能按时进行验收时，应提前</w:t>
      </w:r>
      <w:r>
        <w:rPr>
          <w:rFonts w:hint="eastAsia" w:ascii="宋体" w:hAnsi="宋体" w:eastAsia="宋体" w:cs="宋体"/>
          <w:sz w:val="21"/>
          <w:szCs w:val="21"/>
          <w:u w:val="single"/>
        </w:rPr>
        <w:t xml:space="preserve"> 24 </w:t>
      </w:r>
      <w:r>
        <w:rPr>
          <w:rFonts w:hint="eastAsia" w:ascii="宋体" w:hAnsi="宋体" w:eastAsia="宋体" w:cs="宋体"/>
          <w:sz w:val="21"/>
          <w:szCs w:val="21"/>
        </w:rPr>
        <w:t>小时提交书面延期要求。</w:t>
      </w:r>
    </w:p>
    <w:p w14:paraId="7FAA55BA">
      <w:pPr>
        <w:pStyle w:val="54"/>
        <w:spacing w:line="360" w:lineRule="auto"/>
        <w:ind w:firstLine="420" w:firstLineChars="200"/>
        <w:jc w:val="left"/>
        <w:rPr>
          <w:rFonts w:hint="eastAsia" w:ascii="宋体" w:hAnsi="宋体" w:eastAsia="宋体" w:cs="宋体"/>
          <w:b/>
          <w:sz w:val="21"/>
          <w:szCs w:val="21"/>
        </w:rPr>
      </w:pPr>
      <w:r>
        <w:rPr>
          <w:rFonts w:hint="eastAsia" w:ascii="宋体" w:hAnsi="宋体" w:eastAsia="宋体" w:cs="宋体"/>
          <w:sz w:val="21"/>
          <w:szCs w:val="21"/>
        </w:rPr>
        <w:t>关于延期最长不得超过：</w:t>
      </w:r>
      <w:r>
        <w:rPr>
          <w:rFonts w:hint="eastAsia" w:ascii="宋体" w:hAnsi="宋体" w:eastAsia="宋体" w:cs="宋体"/>
          <w:sz w:val="21"/>
          <w:szCs w:val="21"/>
          <w:u w:val="single"/>
        </w:rPr>
        <w:t xml:space="preserve"> 48 </w:t>
      </w:r>
      <w:r>
        <w:rPr>
          <w:rFonts w:hint="eastAsia" w:ascii="宋体" w:hAnsi="宋体" w:eastAsia="宋体" w:cs="宋体"/>
          <w:sz w:val="21"/>
          <w:szCs w:val="21"/>
        </w:rPr>
        <w:t>小时。</w:t>
      </w:r>
    </w:p>
    <w:p w14:paraId="3D68F50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17" w:name="_Toc469010959"/>
      <w:bookmarkStart w:id="1018" w:name="_Toc3882813"/>
      <w:bookmarkStart w:id="1019" w:name="_Toc389065320"/>
      <w:bookmarkStart w:id="1020" w:name="_Toc373227755"/>
      <w:bookmarkStart w:id="1021" w:name="_Toc373478402"/>
      <w:bookmarkStart w:id="1022" w:name="_Toc30062005"/>
      <w:bookmarkStart w:id="1023" w:name="_Toc14645"/>
      <w:bookmarkStart w:id="1024" w:name="_Toc297216224"/>
      <w:bookmarkStart w:id="1025" w:name="_Toc303539173"/>
      <w:bookmarkStart w:id="1026" w:name="_Toc297123565"/>
      <w:bookmarkStart w:id="1027" w:name="_Toc292559933"/>
      <w:bookmarkStart w:id="1028" w:name="_Toc296503223"/>
      <w:bookmarkStart w:id="1029" w:name="_Toc304295596"/>
      <w:bookmarkStart w:id="1030" w:name="_Toc292559428"/>
      <w:bookmarkStart w:id="1031" w:name="_Toc312678056"/>
      <w:bookmarkStart w:id="1032" w:name="_Toc297048409"/>
      <w:bookmarkStart w:id="1033" w:name="_Toc296944562"/>
      <w:bookmarkStart w:id="1034" w:name="_Toc297120523"/>
      <w:bookmarkStart w:id="1035" w:name="_Toc296347222"/>
      <w:bookmarkStart w:id="1036" w:name="_Toc300935016"/>
      <w:bookmarkStart w:id="1037" w:name="_Toc296346724"/>
      <w:bookmarkStart w:id="1038" w:name="_Toc296891263"/>
      <w:bookmarkStart w:id="1039" w:name="_Toc296891051"/>
      <w:bookmarkStart w:id="1040" w:name="_Toc267251474"/>
      <w:bookmarkStart w:id="1041" w:name="_Toc267251472"/>
      <w:bookmarkStart w:id="1042" w:name="_Toc267251470"/>
      <w:bookmarkStart w:id="1043" w:name="_Toc267251471"/>
      <w:bookmarkStart w:id="1044" w:name="_Toc267251476"/>
      <w:bookmarkStart w:id="1045" w:name="_Toc267251473"/>
      <w:bookmarkStart w:id="1046" w:name="_Toc267251475"/>
      <w:r>
        <w:rPr>
          <w:rFonts w:hint="eastAsia" w:ascii="宋体" w:hAnsi="宋体" w:eastAsia="宋体" w:cs="宋体"/>
          <w:b/>
          <w:kern w:val="0"/>
          <w:sz w:val="21"/>
          <w:szCs w:val="21"/>
        </w:rPr>
        <w:t>13.2 竣工验收</w:t>
      </w:r>
      <w:bookmarkEnd w:id="1017"/>
      <w:bookmarkEnd w:id="1018"/>
      <w:bookmarkEnd w:id="1019"/>
      <w:bookmarkEnd w:id="1020"/>
      <w:bookmarkEnd w:id="1021"/>
      <w:bookmarkEnd w:id="1022"/>
      <w:bookmarkEnd w:id="1023"/>
    </w:p>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14:paraId="60DCA7A9">
      <w:pPr>
        <w:pStyle w:val="54"/>
        <w:spacing w:line="360" w:lineRule="auto"/>
        <w:ind w:firstLine="420" w:firstLineChars="200"/>
        <w:jc w:val="left"/>
        <w:rPr>
          <w:rFonts w:hint="eastAsia" w:ascii="宋体" w:hAnsi="宋体" w:eastAsia="宋体" w:cs="宋体"/>
          <w:sz w:val="21"/>
          <w:szCs w:val="21"/>
        </w:rPr>
      </w:pPr>
      <w:bookmarkStart w:id="1047" w:name="_Toc280868704"/>
      <w:bookmarkStart w:id="1048" w:name="_Toc280868705"/>
      <w:bookmarkStart w:id="1049" w:name="_Toc280868706"/>
      <w:bookmarkStart w:id="1050" w:name="_Toc280868707"/>
      <w:bookmarkStart w:id="1051" w:name="_Toc280868708"/>
      <w:bookmarkStart w:id="1052" w:name="_Toc280868709"/>
      <w:r>
        <w:rPr>
          <w:rFonts w:hint="eastAsia" w:ascii="宋体" w:hAnsi="宋体" w:eastAsia="宋体" w:cs="宋体"/>
          <w:sz w:val="21"/>
          <w:szCs w:val="21"/>
        </w:rPr>
        <w:t>13.2.1竣工验收条件</w:t>
      </w:r>
    </w:p>
    <w:p w14:paraId="033BA8F2">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sz w:val="21"/>
          <w:szCs w:val="21"/>
          <w:u w:val="single"/>
        </w:rPr>
        <w:t>按工程所在地建设行政主管部门（或）城市建设档案管理机构有关施工资料的要求</w:t>
      </w:r>
      <w:r>
        <w:rPr>
          <w:rFonts w:hint="eastAsia" w:ascii="宋体" w:hAnsi="宋体" w:eastAsia="宋体" w:cs="宋体"/>
          <w:sz w:val="21"/>
          <w:szCs w:val="21"/>
        </w:rPr>
        <w:t>。</w:t>
      </w:r>
    </w:p>
    <w:p w14:paraId="25ABB061">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竣工验收资料的份数：</w:t>
      </w:r>
      <w:r>
        <w:rPr>
          <w:rFonts w:hint="eastAsia" w:ascii="宋体" w:hAnsi="宋体" w:eastAsia="宋体" w:cs="宋体"/>
          <w:sz w:val="21"/>
          <w:szCs w:val="21"/>
          <w:u w:val="single"/>
        </w:rPr>
        <w:t>承包人应在竣工后30天内按照建设行政主管部门及发包人的要求提供有关竣工资料，其套数除满足各政府部门存档案需要外还需另提供两套原件由发包人存档备用</w:t>
      </w:r>
      <w:r>
        <w:rPr>
          <w:rFonts w:hint="eastAsia" w:ascii="宋体" w:hAnsi="宋体" w:eastAsia="宋体" w:cs="宋体"/>
          <w:sz w:val="21"/>
          <w:szCs w:val="21"/>
        </w:rPr>
        <w:t>。</w:t>
      </w:r>
    </w:p>
    <w:p w14:paraId="175A3C5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bCs/>
          <w:sz w:val="21"/>
          <w:szCs w:val="21"/>
        </w:rPr>
        <w:t>承包人提供竣工图的约定：</w:t>
      </w:r>
      <w:r>
        <w:rPr>
          <w:rFonts w:hint="eastAsia" w:ascii="宋体" w:hAnsi="宋体" w:eastAsia="宋体" w:cs="宋体"/>
          <w:bCs/>
          <w:sz w:val="21"/>
          <w:szCs w:val="21"/>
          <w:u w:val="single"/>
        </w:rPr>
        <w:t>竣工验收正式通过后5天（工程造价在500万元以下含500万元）、10天（工程造价在500万元至1000万元之间含1000万元）、15天（工程造价在1000万元以上），提供竣工图的数量分别为2套、4套、6套。</w:t>
      </w:r>
    </w:p>
    <w:p w14:paraId="336CA48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13.2.2竣工验收程序</w:t>
      </w:r>
    </w:p>
    <w:bookmarkEnd w:id="1047"/>
    <w:p w14:paraId="419CEA22">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关于竣工验收程序的约定：</w:t>
      </w:r>
      <w:r>
        <w:rPr>
          <w:rFonts w:hint="eastAsia" w:ascii="宋体" w:hAnsi="宋体" w:eastAsia="宋体" w:cs="宋体"/>
          <w:sz w:val="21"/>
          <w:szCs w:val="21"/>
          <w:u w:val="single"/>
        </w:rPr>
        <w:t>按工程所在地建设行政主管部门的规定，经验收合格的工程，实际竣工日期为承包人按照提交竣工验收申请报告或按照本款重新提交竣工验收申请报告的日期（以两者中时间在后者为准）</w:t>
      </w:r>
      <w:r>
        <w:rPr>
          <w:rFonts w:hint="eastAsia" w:ascii="宋体" w:hAnsi="宋体" w:eastAsia="宋体" w:cs="宋体"/>
          <w:sz w:val="21"/>
          <w:szCs w:val="21"/>
        </w:rPr>
        <w:t>。</w:t>
      </w:r>
    </w:p>
    <w:p w14:paraId="79B39DC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发包人不按照本项约定组织竣工验收、颁发工程接收证书的违约金的计算方法：</w:t>
      </w:r>
      <w:r>
        <w:rPr>
          <w:rFonts w:hint="eastAsia" w:ascii="宋体" w:hAnsi="宋体" w:eastAsia="宋体" w:cs="宋体"/>
          <w:sz w:val="21"/>
          <w:szCs w:val="21"/>
          <w:u w:val="single"/>
        </w:rPr>
        <w:t>合同价款的万分之三/天</w:t>
      </w:r>
      <w:r>
        <w:rPr>
          <w:rFonts w:hint="eastAsia" w:ascii="宋体" w:hAnsi="宋体" w:eastAsia="宋体" w:cs="宋体"/>
          <w:sz w:val="21"/>
          <w:szCs w:val="21"/>
        </w:rPr>
        <w:t>。</w:t>
      </w:r>
    </w:p>
    <w:bookmarkEnd w:id="1048"/>
    <w:p w14:paraId="0FBEB5E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13.2.5移交、接收全部与部分工程</w:t>
      </w:r>
    </w:p>
    <w:bookmarkEnd w:id="1049"/>
    <w:p w14:paraId="0DBB3DF4">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承包人向发包人移交工程的期限：</w:t>
      </w:r>
      <w:r>
        <w:rPr>
          <w:rFonts w:hint="eastAsia" w:ascii="宋体" w:hAnsi="宋体" w:eastAsia="宋体" w:cs="宋体"/>
          <w:sz w:val="21"/>
          <w:szCs w:val="21"/>
          <w:u w:val="single"/>
        </w:rPr>
        <w:t>竣工验收合格之日起14天内</w:t>
      </w:r>
      <w:r>
        <w:rPr>
          <w:rFonts w:hint="eastAsia" w:ascii="宋体" w:hAnsi="宋体" w:eastAsia="宋体" w:cs="宋体"/>
          <w:sz w:val="21"/>
          <w:szCs w:val="21"/>
        </w:rPr>
        <w:t>。</w:t>
      </w:r>
    </w:p>
    <w:p w14:paraId="5B953A8E">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发包人未按本合同约定接收全部或部分工程的，违约金的计算方法为：</w:t>
      </w:r>
      <w:r>
        <w:rPr>
          <w:rFonts w:hint="eastAsia" w:ascii="宋体" w:hAnsi="宋体" w:eastAsia="宋体" w:cs="宋体"/>
          <w:sz w:val="21"/>
          <w:szCs w:val="21"/>
          <w:u w:val="single"/>
        </w:rPr>
        <w:t>合同价款的万分之三/天</w:t>
      </w:r>
      <w:r>
        <w:rPr>
          <w:rFonts w:hint="eastAsia" w:ascii="宋体" w:hAnsi="宋体" w:eastAsia="宋体" w:cs="宋体"/>
          <w:sz w:val="21"/>
          <w:szCs w:val="21"/>
        </w:rPr>
        <w:t>。</w:t>
      </w:r>
      <w:bookmarkEnd w:id="1050"/>
    </w:p>
    <w:p w14:paraId="5B6CE83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承包人未按时移交工程的，违约金的计算方法为：</w:t>
      </w:r>
      <w:r>
        <w:rPr>
          <w:rFonts w:hint="eastAsia" w:ascii="宋体" w:hAnsi="宋体" w:eastAsia="宋体" w:cs="宋体"/>
          <w:sz w:val="21"/>
          <w:szCs w:val="21"/>
          <w:u w:val="single"/>
        </w:rPr>
        <w:t>合同价款的万分之三/天</w:t>
      </w:r>
      <w:r>
        <w:rPr>
          <w:rFonts w:hint="eastAsia" w:ascii="宋体" w:hAnsi="宋体" w:eastAsia="宋体" w:cs="宋体"/>
          <w:sz w:val="21"/>
          <w:szCs w:val="21"/>
        </w:rPr>
        <w:t>。</w:t>
      </w:r>
      <w:bookmarkStart w:id="1053" w:name="_Toc30062006"/>
      <w:bookmarkStart w:id="1054" w:name="_Toc3882814"/>
      <w:bookmarkStart w:id="1055" w:name="_Toc389065321"/>
      <w:bookmarkStart w:id="1056" w:name="_Toc24393"/>
      <w:bookmarkStart w:id="1057" w:name="_Toc373478403"/>
      <w:bookmarkStart w:id="1058" w:name="_Toc373227756"/>
      <w:bookmarkStart w:id="1059" w:name="_Toc469010960"/>
    </w:p>
    <w:p w14:paraId="6D2BF8C0">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r>
        <w:rPr>
          <w:rFonts w:hint="eastAsia" w:ascii="宋体" w:hAnsi="宋体" w:eastAsia="宋体" w:cs="宋体"/>
          <w:b/>
          <w:kern w:val="0"/>
          <w:sz w:val="21"/>
          <w:szCs w:val="21"/>
        </w:rPr>
        <w:t>13.3 工程试车</w:t>
      </w:r>
      <w:bookmarkEnd w:id="1053"/>
      <w:bookmarkEnd w:id="1054"/>
      <w:bookmarkEnd w:id="1055"/>
      <w:bookmarkEnd w:id="1056"/>
      <w:bookmarkEnd w:id="1057"/>
      <w:bookmarkEnd w:id="1058"/>
      <w:bookmarkEnd w:id="1059"/>
    </w:p>
    <w:bookmarkEnd w:id="1051"/>
    <w:p w14:paraId="0ED8964F">
      <w:pPr>
        <w:pStyle w:val="54"/>
        <w:spacing w:line="360" w:lineRule="auto"/>
        <w:ind w:firstLine="420" w:firstLineChars="200"/>
        <w:jc w:val="left"/>
        <w:outlineLvl w:val="0"/>
        <w:rPr>
          <w:rFonts w:hint="eastAsia" w:ascii="宋体" w:hAnsi="宋体" w:eastAsia="宋体" w:cs="宋体"/>
          <w:kern w:val="0"/>
          <w:sz w:val="21"/>
          <w:szCs w:val="21"/>
        </w:rPr>
      </w:pPr>
      <w:bookmarkStart w:id="1060" w:name="_Toc3882815"/>
      <w:bookmarkStart w:id="1061" w:name="_Toc30062007"/>
      <w:r>
        <w:rPr>
          <w:rFonts w:hint="eastAsia" w:ascii="宋体" w:hAnsi="宋体" w:eastAsia="宋体" w:cs="宋体"/>
          <w:kern w:val="0"/>
          <w:sz w:val="21"/>
          <w:szCs w:val="21"/>
        </w:rPr>
        <w:t>13.3.1 试车程序</w:t>
      </w:r>
      <w:bookmarkEnd w:id="1060"/>
      <w:bookmarkEnd w:id="1061"/>
    </w:p>
    <w:p w14:paraId="1BB69796">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工程试车内容：</w:t>
      </w:r>
    </w:p>
    <w:p w14:paraId="68E317D7">
      <w:pPr>
        <w:pStyle w:val="54"/>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（1）工程设备安装具备单机无负荷试运行条件，由承包人组织试运行，费用由承包人承担。</w:t>
      </w:r>
    </w:p>
    <w:p w14:paraId="40201863">
      <w:pPr>
        <w:pStyle w:val="54"/>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（2）工程设备安装具备无负荷联动试运行条件，由发包人组织试运行，费用由发包人承担。</w:t>
      </w:r>
    </w:p>
    <w:p w14:paraId="6FBDF41A">
      <w:pPr>
        <w:pStyle w:val="54"/>
        <w:spacing w:line="360" w:lineRule="auto"/>
        <w:ind w:firstLine="420" w:firstLineChars="200"/>
        <w:rPr>
          <w:rFonts w:hint="eastAsia" w:ascii="宋体" w:hAnsi="宋体" w:eastAsia="宋体" w:cs="宋体"/>
          <w:color w:val="000000"/>
          <w:sz w:val="21"/>
          <w:szCs w:val="21"/>
          <w:u w:val="single"/>
        </w:rPr>
      </w:pPr>
      <w:r>
        <w:rPr>
          <w:rFonts w:hint="eastAsia" w:ascii="宋体" w:hAnsi="宋体" w:eastAsia="宋体" w:cs="宋体"/>
          <w:color w:val="000000"/>
          <w:sz w:val="21"/>
          <w:szCs w:val="21"/>
        </w:rPr>
        <w:t>（3）投料试运行应在工程竣工验收后由发包人负责，如发包人要求在工程竣工验收前进行或需要承包人配合时，应征得承包人同意，另行签订补充协议。</w:t>
      </w:r>
    </w:p>
    <w:p w14:paraId="79AD547E">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62" w:name="_Toc12737"/>
      <w:bookmarkStart w:id="1063" w:name="_Toc30062008"/>
      <w:bookmarkStart w:id="1064" w:name="_Toc3882816"/>
      <w:bookmarkStart w:id="1065" w:name="_Toc373227757"/>
      <w:bookmarkStart w:id="1066" w:name="_Toc373478404"/>
      <w:bookmarkStart w:id="1067" w:name="_Toc469010961"/>
      <w:bookmarkStart w:id="1068" w:name="_Toc389065322"/>
      <w:r>
        <w:rPr>
          <w:rFonts w:hint="eastAsia" w:ascii="宋体" w:hAnsi="宋体" w:eastAsia="宋体" w:cs="宋体"/>
          <w:b/>
          <w:kern w:val="0"/>
          <w:sz w:val="21"/>
          <w:szCs w:val="21"/>
        </w:rPr>
        <w:t>13.6 竣工退场</w:t>
      </w:r>
      <w:bookmarkEnd w:id="1062"/>
      <w:bookmarkEnd w:id="1063"/>
      <w:bookmarkEnd w:id="1064"/>
      <w:bookmarkEnd w:id="1065"/>
      <w:bookmarkEnd w:id="1066"/>
      <w:bookmarkEnd w:id="1067"/>
      <w:bookmarkEnd w:id="1068"/>
    </w:p>
    <w:p w14:paraId="1719491D">
      <w:pPr>
        <w:pStyle w:val="54"/>
        <w:spacing w:line="360" w:lineRule="auto"/>
        <w:ind w:firstLine="420" w:firstLineChars="200"/>
        <w:jc w:val="left"/>
        <w:outlineLvl w:val="0"/>
        <w:rPr>
          <w:rFonts w:hint="eastAsia" w:ascii="宋体" w:hAnsi="宋体" w:eastAsia="宋体" w:cs="宋体"/>
          <w:kern w:val="0"/>
          <w:sz w:val="21"/>
          <w:szCs w:val="21"/>
        </w:rPr>
      </w:pPr>
      <w:bookmarkStart w:id="1069" w:name="_Toc30062009"/>
      <w:bookmarkStart w:id="1070" w:name="_Toc3882817"/>
      <w:r>
        <w:rPr>
          <w:rFonts w:hint="eastAsia" w:ascii="宋体" w:hAnsi="宋体" w:eastAsia="宋体" w:cs="宋体"/>
          <w:kern w:val="0"/>
          <w:sz w:val="21"/>
          <w:szCs w:val="21"/>
        </w:rPr>
        <w:t>13.6.1 竣工退场</w:t>
      </w:r>
      <w:bookmarkEnd w:id="1069"/>
      <w:bookmarkEnd w:id="1070"/>
    </w:p>
    <w:p w14:paraId="699BACD5">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承包人完成竣工退场的期限：</w:t>
      </w:r>
      <w:r>
        <w:rPr>
          <w:rFonts w:hint="eastAsia" w:ascii="宋体" w:hAnsi="宋体" w:eastAsia="宋体" w:cs="宋体"/>
          <w:sz w:val="21"/>
          <w:szCs w:val="21"/>
          <w:u w:val="single"/>
        </w:rPr>
        <w:t>在竣工验收合格或合同解除之日起15天内，承包人应将除为安全需要以外的所有其它物资、机具、设备和设施，全部撤离现场</w:t>
      </w:r>
      <w:r>
        <w:rPr>
          <w:rFonts w:hint="eastAsia" w:ascii="宋体" w:hAnsi="宋体" w:eastAsia="宋体" w:cs="宋体"/>
          <w:kern w:val="0"/>
          <w:sz w:val="21"/>
          <w:szCs w:val="21"/>
        </w:rPr>
        <w:t>。</w:t>
      </w:r>
    </w:p>
    <w:p w14:paraId="2C6BF057">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071" w:name="_Toc30062010"/>
      <w:bookmarkStart w:id="1072" w:name="_Toc389065323"/>
      <w:bookmarkStart w:id="1073" w:name="_Toc469010962"/>
      <w:bookmarkStart w:id="1074" w:name="_Toc351203646"/>
      <w:bookmarkStart w:id="1075" w:name="_Toc20781"/>
      <w:bookmarkStart w:id="1076" w:name="_Toc373478405"/>
      <w:bookmarkStart w:id="1077" w:name="_Toc373227758"/>
      <w:bookmarkStart w:id="1078" w:name="_Toc3882818"/>
      <w:r>
        <w:rPr>
          <w:rFonts w:hint="eastAsia" w:ascii="宋体" w:hAnsi="宋体" w:eastAsia="宋体" w:cs="宋体"/>
          <w:b/>
          <w:sz w:val="21"/>
          <w:szCs w:val="21"/>
        </w:rPr>
        <w:t>14. 竣工结算</w:t>
      </w:r>
      <w:bookmarkEnd w:id="1071"/>
      <w:bookmarkEnd w:id="1072"/>
      <w:bookmarkEnd w:id="1073"/>
      <w:bookmarkEnd w:id="1074"/>
      <w:bookmarkEnd w:id="1075"/>
      <w:bookmarkEnd w:id="1076"/>
      <w:bookmarkEnd w:id="1077"/>
      <w:bookmarkEnd w:id="1078"/>
    </w:p>
    <w:p w14:paraId="31AC1EB7">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79" w:name="_Toc373478406"/>
      <w:bookmarkStart w:id="1080" w:name="_Toc389065324"/>
      <w:bookmarkStart w:id="1081" w:name="_Toc3882819"/>
      <w:bookmarkStart w:id="1082" w:name="_Toc469010963"/>
      <w:bookmarkStart w:id="1083" w:name="_Toc373227759"/>
      <w:bookmarkStart w:id="1084" w:name="_Toc30062011"/>
      <w:bookmarkStart w:id="1085" w:name="_Toc16290"/>
      <w:r>
        <w:rPr>
          <w:rFonts w:hint="eastAsia" w:ascii="宋体" w:hAnsi="宋体" w:eastAsia="宋体" w:cs="宋体"/>
          <w:b/>
          <w:kern w:val="0"/>
          <w:sz w:val="21"/>
          <w:szCs w:val="21"/>
        </w:rPr>
        <w:t>14.1 竣工付款申请</w:t>
      </w:r>
      <w:bookmarkEnd w:id="1079"/>
      <w:bookmarkEnd w:id="1080"/>
      <w:bookmarkEnd w:id="1081"/>
      <w:bookmarkEnd w:id="1082"/>
      <w:bookmarkEnd w:id="1083"/>
      <w:bookmarkEnd w:id="1084"/>
      <w:bookmarkEnd w:id="1085"/>
    </w:p>
    <w:p w14:paraId="2B958711">
      <w:pPr>
        <w:pStyle w:val="54"/>
        <w:spacing w:line="360" w:lineRule="auto"/>
        <w:ind w:firstLine="420" w:firstLineChars="200"/>
        <w:jc w:val="left"/>
        <w:rPr>
          <w:rFonts w:hint="eastAsia" w:ascii="宋体" w:hAnsi="宋体" w:eastAsia="宋体" w:cs="宋体"/>
          <w:color w:val="FF0000"/>
          <w:sz w:val="21"/>
          <w:szCs w:val="21"/>
          <w:u w:val="single"/>
        </w:rPr>
      </w:pPr>
      <w:r>
        <w:rPr>
          <w:rFonts w:hint="eastAsia" w:ascii="宋体" w:hAnsi="宋体" w:eastAsia="宋体" w:cs="宋体"/>
          <w:sz w:val="21"/>
          <w:szCs w:val="21"/>
        </w:rPr>
        <w:t>承包人提交竣工付款申请单的期限：</w:t>
      </w:r>
      <w:r>
        <w:rPr>
          <w:rFonts w:hint="eastAsia" w:ascii="宋体" w:hAnsi="宋体" w:eastAsia="宋体" w:cs="宋体"/>
          <w:sz w:val="21"/>
          <w:szCs w:val="21"/>
          <w:u w:val="single"/>
        </w:rPr>
        <w:t>审计报告发出后14天内提交6份竣工付款申请单。</w:t>
      </w:r>
    </w:p>
    <w:p w14:paraId="4E1BA422">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竣工付款申请单应包括的内容：</w:t>
      </w:r>
      <w:r>
        <w:rPr>
          <w:rFonts w:hint="eastAsia" w:ascii="宋体" w:hAnsi="宋体" w:eastAsia="宋体" w:cs="宋体"/>
          <w:sz w:val="21"/>
          <w:szCs w:val="21"/>
          <w:u w:val="single"/>
        </w:rPr>
        <w:t>竣工结算审计总价、已支付工程价款、应扣留质量保修金、应支付的竣工付款金额等</w:t>
      </w:r>
      <w:r>
        <w:rPr>
          <w:rFonts w:hint="eastAsia" w:ascii="宋体" w:hAnsi="宋体" w:eastAsia="宋体" w:cs="宋体"/>
          <w:sz w:val="21"/>
          <w:szCs w:val="21"/>
        </w:rPr>
        <w:t>。</w:t>
      </w:r>
    </w:p>
    <w:p w14:paraId="324652B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86" w:name="_Toc389065325"/>
      <w:bookmarkStart w:id="1087" w:name="_Toc3882820"/>
      <w:bookmarkStart w:id="1088" w:name="_Toc373227760"/>
      <w:bookmarkStart w:id="1089" w:name="_Toc6793"/>
      <w:bookmarkStart w:id="1090" w:name="_Toc469010964"/>
      <w:bookmarkStart w:id="1091" w:name="_Toc30062012"/>
      <w:bookmarkStart w:id="1092" w:name="_Toc373478407"/>
      <w:r>
        <w:rPr>
          <w:rFonts w:hint="eastAsia" w:ascii="宋体" w:hAnsi="宋体" w:eastAsia="宋体" w:cs="宋体"/>
          <w:b/>
          <w:kern w:val="0"/>
          <w:sz w:val="21"/>
          <w:szCs w:val="21"/>
        </w:rPr>
        <w:t>14.2 竣工结算审核</w:t>
      </w:r>
      <w:bookmarkEnd w:id="1086"/>
      <w:bookmarkEnd w:id="1087"/>
      <w:bookmarkEnd w:id="1088"/>
      <w:bookmarkEnd w:id="1089"/>
      <w:bookmarkEnd w:id="1090"/>
      <w:bookmarkEnd w:id="1091"/>
      <w:bookmarkEnd w:id="1092"/>
    </w:p>
    <w:p w14:paraId="65249FD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发包人审批竣工付款申请单的期限：</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466"/>
        <w:gridCol w:w="5967"/>
      </w:tblGrid>
      <w:tr w14:paraId="39DA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4408400">
            <w:pPr>
              <w:pStyle w:val="54"/>
              <w:spacing w:line="360" w:lineRule="auto"/>
              <w:rPr>
                <w:rFonts w:hint="eastAsia" w:ascii="宋体" w:hAnsi="宋体" w:eastAsia="宋体" w:cs="宋体"/>
                <w:bCs/>
                <w:sz w:val="21"/>
                <w:szCs w:val="21"/>
              </w:rPr>
            </w:pPr>
            <w:r>
              <w:rPr>
                <w:rFonts w:hint="eastAsia" w:ascii="宋体" w:hAnsi="宋体" w:eastAsia="宋体" w:cs="宋体"/>
                <w:bCs/>
                <w:sz w:val="21"/>
                <w:szCs w:val="21"/>
              </w:rPr>
              <w:t>序号</w:t>
            </w:r>
          </w:p>
        </w:tc>
        <w:tc>
          <w:tcPr>
            <w:tcW w:w="2466" w:type="dxa"/>
            <w:noWrap w:val="0"/>
            <w:vAlign w:val="center"/>
          </w:tcPr>
          <w:p w14:paraId="1657AC9F">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工程竣工结算报告金额</w:t>
            </w:r>
          </w:p>
        </w:tc>
        <w:tc>
          <w:tcPr>
            <w:tcW w:w="5967" w:type="dxa"/>
            <w:noWrap w:val="0"/>
            <w:vAlign w:val="center"/>
          </w:tcPr>
          <w:p w14:paraId="3715E874">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发包人审查时间</w:t>
            </w:r>
          </w:p>
        </w:tc>
      </w:tr>
      <w:tr w14:paraId="7A526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E6CE7B2">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2466" w:type="dxa"/>
            <w:noWrap w:val="0"/>
            <w:vAlign w:val="center"/>
          </w:tcPr>
          <w:p w14:paraId="558C054E">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500万元以下</w:t>
            </w:r>
          </w:p>
        </w:tc>
        <w:tc>
          <w:tcPr>
            <w:tcW w:w="5967" w:type="dxa"/>
            <w:noWrap w:val="0"/>
            <w:vAlign w:val="center"/>
          </w:tcPr>
          <w:p w14:paraId="45A86448">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从接到竣工结算报告和完整的竣工结算资料之日起20天</w:t>
            </w:r>
          </w:p>
        </w:tc>
      </w:tr>
      <w:tr w14:paraId="02BE8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7CB73663">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2466" w:type="dxa"/>
            <w:noWrap w:val="0"/>
            <w:vAlign w:val="center"/>
          </w:tcPr>
          <w:p w14:paraId="0A53C9F0">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500万元-2000万元</w:t>
            </w:r>
          </w:p>
        </w:tc>
        <w:tc>
          <w:tcPr>
            <w:tcW w:w="5967" w:type="dxa"/>
            <w:noWrap w:val="0"/>
            <w:vAlign w:val="center"/>
          </w:tcPr>
          <w:p w14:paraId="18380BBD">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从接到竣工结算报告和完整的竣工结算资料之日起30天</w:t>
            </w:r>
          </w:p>
        </w:tc>
      </w:tr>
      <w:tr w14:paraId="3672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2A815BFC">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3</w:t>
            </w:r>
          </w:p>
        </w:tc>
        <w:tc>
          <w:tcPr>
            <w:tcW w:w="2466" w:type="dxa"/>
            <w:noWrap w:val="0"/>
            <w:vAlign w:val="center"/>
          </w:tcPr>
          <w:p w14:paraId="0CAA975F">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2000万元-5000万元</w:t>
            </w:r>
          </w:p>
        </w:tc>
        <w:tc>
          <w:tcPr>
            <w:tcW w:w="5967" w:type="dxa"/>
            <w:noWrap w:val="0"/>
            <w:vAlign w:val="center"/>
          </w:tcPr>
          <w:p w14:paraId="290DE4A9">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从接到竣工结算报告和完整的竣工结算资料之日起45天</w:t>
            </w:r>
          </w:p>
        </w:tc>
      </w:tr>
      <w:tr w14:paraId="7700B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noWrap w:val="0"/>
            <w:vAlign w:val="center"/>
          </w:tcPr>
          <w:p w14:paraId="58412B53">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2466" w:type="dxa"/>
            <w:noWrap w:val="0"/>
            <w:vAlign w:val="center"/>
          </w:tcPr>
          <w:p w14:paraId="6AE98F14">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5000万元以上</w:t>
            </w:r>
          </w:p>
        </w:tc>
        <w:tc>
          <w:tcPr>
            <w:tcW w:w="5967" w:type="dxa"/>
            <w:noWrap w:val="0"/>
            <w:vAlign w:val="center"/>
          </w:tcPr>
          <w:p w14:paraId="4C3DD62C">
            <w:pPr>
              <w:pStyle w:val="54"/>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从接到竣工结算报告和完整的竣工结算资料之日起60天</w:t>
            </w:r>
          </w:p>
        </w:tc>
      </w:tr>
    </w:tbl>
    <w:p w14:paraId="68062B94">
      <w:pPr>
        <w:pStyle w:val="54"/>
        <w:spacing w:line="360" w:lineRule="auto"/>
        <w:ind w:firstLine="420" w:firstLineChars="200"/>
        <w:jc w:val="left"/>
        <w:rPr>
          <w:rFonts w:hint="eastAsia" w:ascii="宋体" w:hAnsi="宋体" w:eastAsia="宋体" w:cs="宋体"/>
          <w:sz w:val="21"/>
          <w:szCs w:val="21"/>
        </w:rPr>
      </w:pPr>
      <w:bookmarkStart w:id="1093" w:name="_Toc469010965"/>
      <w:bookmarkStart w:id="1094" w:name="_Toc389065326"/>
      <w:bookmarkStart w:id="1095" w:name="_Toc373478408"/>
      <w:bookmarkStart w:id="1096" w:name="_Toc373227761"/>
      <w:r>
        <w:rPr>
          <w:rFonts w:hint="eastAsia" w:ascii="宋体" w:hAnsi="宋体" w:eastAsia="宋体" w:cs="宋体"/>
          <w:bCs/>
          <w:sz w:val="21"/>
          <w:szCs w:val="21"/>
        </w:rPr>
        <w:t>发包人不按时对账耽误时间时，审查时间应相应顺延</w:t>
      </w:r>
      <w:r>
        <w:rPr>
          <w:rFonts w:hint="eastAsia" w:ascii="宋体" w:hAnsi="宋体" w:eastAsia="宋体" w:cs="宋体"/>
          <w:sz w:val="21"/>
          <w:szCs w:val="21"/>
        </w:rPr>
        <w:t>。</w:t>
      </w:r>
    </w:p>
    <w:p w14:paraId="6381D98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发包人完成竣工付款的期限：</w:t>
      </w:r>
      <w:r>
        <w:rPr>
          <w:rFonts w:hint="eastAsia" w:ascii="宋体" w:hAnsi="宋体" w:eastAsia="宋体" w:cs="宋体"/>
          <w:sz w:val="21"/>
          <w:szCs w:val="21"/>
          <w:u w:val="single"/>
        </w:rPr>
        <w:t>缺陷责任期终止证书颁发后28天内</w:t>
      </w:r>
      <w:r>
        <w:rPr>
          <w:rFonts w:hint="eastAsia" w:ascii="宋体" w:hAnsi="宋体" w:eastAsia="宋体" w:cs="宋体"/>
          <w:sz w:val="21"/>
          <w:szCs w:val="21"/>
        </w:rPr>
        <w:t>。</w:t>
      </w:r>
    </w:p>
    <w:p w14:paraId="70BC8344">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关于竣工付款证书异议部分复核的方式和程序：</w:t>
      </w:r>
      <w:r>
        <w:rPr>
          <w:rFonts w:hint="eastAsia" w:ascii="宋体" w:hAnsi="宋体" w:eastAsia="宋体" w:cs="宋体"/>
          <w:sz w:val="21"/>
          <w:szCs w:val="21"/>
          <w:u w:val="single"/>
        </w:rPr>
        <w:t>先由监理复核，报发包人审核，最后由有关部门审定</w:t>
      </w:r>
      <w:r>
        <w:rPr>
          <w:rFonts w:hint="eastAsia" w:ascii="宋体" w:hAnsi="宋体" w:eastAsia="宋体" w:cs="宋体"/>
          <w:sz w:val="21"/>
          <w:szCs w:val="21"/>
        </w:rPr>
        <w:t>。</w:t>
      </w:r>
    </w:p>
    <w:p w14:paraId="59D6E104">
      <w:pPr>
        <w:pStyle w:val="54"/>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1、在项目审计时，承包人送审总价与审定总价相比，工程造价审减或审增小于5%(含5%)，由发包人承担全部审计费用{含基本编制费和</w:t>
      </w:r>
      <w:r>
        <w:rPr>
          <w:rFonts w:hint="eastAsia" w:ascii="宋体" w:hAnsi="宋体" w:eastAsia="宋体" w:cs="宋体"/>
          <w:sz w:val="21"/>
          <w:szCs w:val="21"/>
        </w:rPr>
        <w:t>审减</w:t>
      </w:r>
      <w:r>
        <w:rPr>
          <w:rFonts w:hint="eastAsia" w:ascii="宋体" w:hAnsi="宋体" w:eastAsia="宋体" w:cs="宋体"/>
          <w:sz w:val="21"/>
          <w:szCs w:val="21"/>
          <w:lang w:val="en-US" w:eastAsia="zh-CN"/>
        </w:rPr>
        <w:t>(</w:t>
      </w:r>
      <w:r>
        <w:rPr>
          <w:rFonts w:hint="eastAsia" w:ascii="宋体" w:hAnsi="宋体" w:eastAsia="宋体" w:cs="宋体"/>
          <w:sz w:val="21"/>
          <w:szCs w:val="21"/>
        </w:rPr>
        <w:t>增</w:t>
      </w:r>
      <w:r>
        <w:rPr>
          <w:rFonts w:hint="eastAsia" w:ascii="宋体" w:hAnsi="宋体" w:eastAsia="宋体" w:cs="宋体"/>
          <w:sz w:val="21"/>
          <w:szCs w:val="21"/>
          <w:lang w:val="en-US" w:eastAsia="zh-CN"/>
        </w:rPr>
        <w:t>)</w:t>
      </w:r>
      <w:r>
        <w:rPr>
          <w:rFonts w:hint="eastAsia" w:ascii="宋体" w:hAnsi="宋体" w:eastAsia="宋体" w:cs="宋体"/>
          <w:sz w:val="21"/>
          <w:szCs w:val="21"/>
        </w:rPr>
        <w:t>费</w:t>
      </w:r>
      <w:r>
        <w:rPr>
          <w:rFonts w:hint="eastAsia" w:ascii="宋体" w:hAnsi="宋体" w:eastAsia="宋体" w:cs="宋体"/>
          <w:sz w:val="21"/>
          <w:szCs w:val="21"/>
          <w:lang w:val="en-US" w:eastAsia="zh-CN"/>
        </w:rPr>
        <w:t>}。</w:t>
      </w:r>
    </w:p>
    <w:p w14:paraId="3CBFCCC7">
      <w:pPr>
        <w:pStyle w:val="54"/>
        <w:spacing w:line="360" w:lineRule="auto"/>
        <w:ind w:firstLine="420" w:firstLineChars="200"/>
        <w:rPr>
          <w:rFonts w:hint="eastAsia" w:ascii="宋体" w:hAnsi="宋体" w:eastAsia="宋体" w:cs="宋体"/>
          <w:sz w:val="21"/>
          <w:szCs w:val="21"/>
          <w:shd w:val="clear" w:color="FFFFFF" w:fill="D9D9D9"/>
        </w:rPr>
      </w:pPr>
      <w:r>
        <w:rPr>
          <w:rFonts w:hint="eastAsia" w:ascii="宋体" w:hAnsi="宋体" w:eastAsia="宋体" w:cs="宋体"/>
          <w:sz w:val="21"/>
          <w:szCs w:val="21"/>
          <w:lang w:val="en-US" w:eastAsia="zh-CN"/>
        </w:rPr>
        <w:t>2、在项目审计时，承包人送审总价与审定总价相比，工程造价审减或审增大于5%(不含5%)，由承包人承担超出部分审计费用{含基本编制费和</w:t>
      </w:r>
      <w:r>
        <w:rPr>
          <w:rFonts w:hint="eastAsia" w:ascii="宋体" w:hAnsi="宋体" w:eastAsia="宋体" w:cs="宋体"/>
          <w:sz w:val="21"/>
          <w:szCs w:val="21"/>
        </w:rPr>
        <w:t>审减</w:t>
      </w:r>
      <w:r>
        <w:rPr>
          <w:rFonts w:hint="eastAsia" w:ascii="宋体" w:hAnsi="宋体" w:eastAsia="宋体" w:cs="宋体"/>
          <w:sz w:val="21"/>
          <w:szCs w:val="21"/>
          <w:lang w:val="en-US" w:eastAsia="zh-CN"/>
        </w:rPr>
        <w:t>(</w:t>
      </w:r>
      <w:r>
        <w:rPr>
          <w:rFonts w:hint="eastAsia" w:ascii="宋体" w:hAnsi="宋体" w:eastAsia="宋体" w:cs="宋体"/>
          <w:sz w:val="21"/>
          <w:szCs w:val="21"/>
        </w:rPr>
        <w:t>增</w:t>
      </w:r>
      <w:r>
        <w:rPr>
          <w:rFonts w:hint="eastAsia" w:ascii="宋体" w:hAnsi="宋体" w:eastAsia="宋体" w:cs="宋体"/>
          <w:sz w:val="21"/>
          <w:szCs w:val="21"/>
          <w:lang w:val="en-US" w:eastAsia="zh-CN"/>
        </w:rPr>
        <w:t>)</w:t>
      </w:r>
      <w:r>
        <w:rPr>
          <w:rFonts w:hint="eastAsia" w:ascii="宋体" w:hAnsi="宋体" w:eastAsia="宋体" w:cs="宋体"/>
          <w:sz w:val="21"/>
          <w:szCs w:val="21"/>
        </w:rPr>
        <w:t>费</w:t>
      </w:r>
      <w:r>
        <w:rPr>
          <w:rFonts w:hint="eastAsia" w:ascii="宋体" w:hAnsi="宋体" w:eastAsia="宋体" w:cs="宋体"/>
          <w:sz w:val="21"/>
          <w:szCs w:val="21"/>
          <w:lang w:val="en-US" w:eastAsia="zh-CN"/>
        </w:rPr>
        <w:t>}</w:t>
      </w:r>
      <w:r>
        <w:rPr>
          <w:rFonts w:hint="eastAsia" w:ascii="宋体" w:hAnsi="宋体" w:eastAsia="宋体" w:cs="宋体"/>
          <w:sz w:val="21"/>
          <w:szCs w:val="21"/>
        </w:rPr>
        <w:t>。</w:t>
      </w:r>
    </w:p>
    <w:p w14:paraId="57AFFD96">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097" w:name="_Toc12718"/>
      <w:bookmarkStart w:id="1098" w:name="_Toc3882821"/>
      <w:bookmarkStart w:id="1099" w:name="_Toc30062013"/>
      <w:r>
        <w:rPr>
          <w:rFonts w:hint="eastAsia" w:ascii="宋体" w:hAnsi="宋体" w:eastAsia="宋体" w:cs="宋体"/>
          <w:b/>
          <w:kern w:val="0"/>
          <w:sz w:val="21"/>
          <w:szCs w:val="21"/>
        </w:rPr>
        <w:t>14.4 最终结清</w:t>
      </w:r>
      <w:bookmarkEnd w:id="1093"/>
      <w:bookmarkEnd w:id="1094"/>
      <w:bookmarkEnd w:id="1095"/>
      <w:bookmarkEnd w:id="1096"/>
      <w:bookmarkEnd w:id="1097"/>
      <w:bookmarkEnd w:id="1098"/>
      <w:bookmarkEnd w:id="1099"/>
    </w:p>
    <w:p w14:paraId="3B27507C">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14.4.1 最终结清申请单</w:t>
      </w:r>
    </w:p>
    <w:p w14:paraId="01D7D5B8">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承包人提交最终结清申请单的份数：</w:t>
      </w:r>
      <w:r>
        <w:rPr>
          <w:rFonts w:hint="eastAsia" w:ascii="宋体" w:hAnsi="宋体" w:eastAsia="宋体" w:cs="宋体"/>
          <w:sz w:val="21"/>
          <w:szCs w:val="21"/>
          <w:u w:val="single"/>
        </w:rPr>
        <w:t>10份</w:t>
      </w:r>
      <w:r>
        <w:rPr>
          <w:rFonts w:hint="eastAsia" w:ascii="宋体" w:hAnsi="宋体" w:eastAsia="宋体" w:cs="宋体"/>
          <w:sz w:val="21"/>
          <w:szCs w:val="21"/>
        </w:rPr>
        <w:t>。</w:t>
      </w:r>
    </w:p>
    <w:p w14:paraId="18AC9C71">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kern w:val="0"/>
          <w:sz w:val="21"/>
          <w:szCs w:val="21"/>
        </w:rPr>
        <w:t>承包人提交最终结算申请单的期限：</w:t>
      </w:r>
      <w:r>
        <w:rPr>
          <w:rFonts w:hint="eastAsia" w:ascii="宋体" w:hAnsi="宋体" w:eastAsia="宋体" w:cs="宋体"/>
          <w:sz w:val="21"/>
          <w:szCs w:val="21"/>
          <w:u w:val="single"/>
        </w:rPr>
        <w:t>缺陷责任期终止证书颁发后7天内</w:t>
      </w:r>
      <w:r>
        <w:rPr>
          <w:rFonts w:hint="eastAsia" w:ascii="宋体" w:hAnsi="宋体" w:eastAsia="宋体" w:cs="宋体"/>
          <w:sz w:val="21"/>
          <w:szCs w:val="21"/>
        </w:rPr>
        <w:t xml:space="preserve">。 </w:t>
      </w:r>
    </w:p>
    <w:p w14:paraId="705F2B5B">
      <w:pPr>
        <w:pStyle w:val="54"/>
        <w:spacing w:line="360" w:lineRule="auto"/>
        <w:ind w:firstLine="420" w:firstLineChars="200"/>
        <w:jc w:val="left"/>
        <w:outlineLvl w:val="0"/>
        <w:rPr>
          <w:rFonts w:hint="eastAsia" w:ascii="宋体" w:hAnsi="宋体" w:eastAsia="宋体" w:cs="宋体"/>
          <w:sz w:val="21"/>
          <w:szCs w:val="21"/>
        </w:rPr>
      </w:pPr>
      <w:bookmarkStart w:id="1100" w:name="_Toc30062014"/>
      <w:bookmarkStart w:id="1101" w:name="_Toc3882822"/>
      <w:r>
        <w:rPr>
          <w:rFonts w:hint="eastAsia" w:ascii="宋体" w:hAnsi="宋体" w:eastAsia="宋体" w:cs="宋体"/>
          <w:sz w:val="21"/>
          <w:szCs w:val="21"/>
        </w:rPr>
        <w:t>14.4.2 最终结清证书和支付</w:t>
      </w:r>
      <w:bookmarkEnd w:id="1100"/>
      <w:bookmarkEnd w:id="1101"/>
    </w:p>
    <w:p w14:paraId="66542F0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（1）发包人完成最终结清申请单的审批并颁发最终结清证书的期限：</w:t>
      </w:r>
      <w:r>
        <w:rPr>
          <w:rFonts w:hint="eastAsia" w:ascii="宋体" w:hAnsi="宋体" w:eastAsia="宋体" w:cs="宋体"/>
          <w:sz w:val="21"/>
          <w:szCs w:val="21"/>
          <w:u w:val="single"/>
        </w:rPr>
        <w:t>收到最终结清申请单30天内</w:t>
      </w:r>
      <w:r>
        <w:rPr>
          <w:rFonts w:hint="eastAsia" w:ascii="宋体" w:hAnsi="宋体" w:eastAsia="宋体" w:cs="宋体"/>
          <w:sz w:val="21"/>
          <w:szCs w:val="21"/>
        </w:rPr>
        <w:t>。</w:t>
      </w:r>
    </w:p>
    <w:p w14:paraId="1D8FA59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（2）发包人完成支付的期限：</w:t>
      </w:r>
      <w:r>
        <w:rPr>
          <w:rFonts w:hint="eastAsia" w:ascii="宋体" w:hAnsi="宋体" w:eastAsia="宋体" w:cs="宋体"/>
          <w:sz w:val="21"/>
          <w:szCs w:val="21"/>
          <w:u w:val="single"/>
        </w:rPr>
        <w:t>审批后30天内</w:t>
      </w:r>
      <w:r>
        <w:rPr>
          <w:rFonts w:hint="eastAsia" w:ascii="宋体" w:hAnsi="宋体" w:eastAsia="宋体" w:cs="宋体"/>
          <w:sz w:val="21"/>
          <w:szCs w:val="21"/>
        </w:rPr>
        <w:t>。</w:t>
      </w:r>
    </w:p>
    <w:bookmarkEnd w:id="1040"/>
    <w:bookmarkEnd w:id="1041"/>
    <w:bookmarkEnd w:id="1042"/>
    <w:bookmarkEnd w:id="1043"/>
    <w:bookmarkEnd w:id="1044"/>
    <w:bookmarkEnd w:id="1045"/>
    <w:bookmarkEnd w:id="1046"/>
    <w:bookmarkEnd w:id="1052"/>
    <w:p w14:paraId="36454DE9">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102" w:name="_Toc3882823"/>
      <w:bookmarkStart w:id="1103" w:name="_Toc373227762"/>
      <w:bookmarkStart w:id="1104" w:name="_Toc351203647"/>
      <w:bookmarkStart w:id="1105" w:name="_Toc469010966"/>
      <w:bookmarkStart w:id="1106" w:name="_Toc30062015"/>
      <w:bookmarkStart w:id="1107" w:name="_Toc389065327"/>
      <w:bookmarkStart w:id="1108" w:name="_Toc25758"/>
      <w:bookmarkStart w:id="1109" w:name="_Toc373478409"/>
      <w:bookmarkStart w:id="1110" w:name="_Toc267251483"/>
      <w:bookmarkStart w:id="1111" w:name="_Toc267251482"/>
      <w:bookmarkStart w:id="1112" w:name="_Toc267251484"/>
      <w:bookmarkStart w:id="1113" w:name="_Toc267251485"/>
      <w:bookmarkStart w:id="1114" w:name="_Toc267251490"/>
      <w:bookmarkStart w:id="1115" w:name="_Toc267251486"/>
      <w:bookmarkStart w:id="1116" w:name="_Toc267251489"/>
      <w:bookmarkStart w:id="1117" w:name="_Toc267251488"/>
      <w:bookmarkStart w:id="1118" w:name="_Toc267251502"/>
      <w:bookmarkStart w:id="1119" w:name="_Toc267251497"/>
      <w:bookmarkStart w:id="1120" w:name="_Toc267251503"/>
      <w:bookmarkStart w:id="1121" w:name="_Toc267251496"/>
      <w:bookmarkStart w:id="1122" w:name="_Toc267251492"/>
      <w:bookmarkStart w:id="1123" w:name="_Toc267251499"/>
      <w:bookmarkStart w:id="1124" w:name="_Toc267251491"/>
      <w:bookmarkStart w:id="1125" w:name="_Toc267251498"/>
      <w:bookmarkStart w:id="1126" w:name="_Toc267251495"/>
      <w:bookmarkStart w:id="1127" w:name="_Toc267251494"/>
      <w:bookmarkStart w:id="1128" w:name="_Toc267251501"/>
      <w:bookmarkStart w:id="1129" w:name="_Toc267251493"/>
      <w:bookmarkStart w:id="1130" w:name="_Toc267251504"/>
      <w:bookmarkStart w:id="1131" w:name="_Toc267251506"/>
      <w:bookmarkStart w:id="1132" w:name="_Toc267251507"/>
      <w:bookmarkStart w:id="1133" w:name="_Toc267251508"/>
      <w:bookmarkStart w:id="1134" w:name="_Toc267251514"/>
      <w:bookmarkStart w:id="1135" w:name="_Toc267251511"/>
      <w:bookmarkStart w:id="1136" w:name="_Toc267251509"/>
      <w:bookmarkStart w:id="1137" w:name="_Toc267251510"/>
      <w:bookmarkStart w:id="1138" w:name="_Toc267251513"/>
      <w:bookmarkStart w:id="1139" w:name="_Toc267251515"/>
      <w:r>
        <w:rPr>
          <w:rFonts w:hint="eastAsia" w:ascii="宋体" w:hAnsi="宋体" w:eastAsia="宋体" w:cs="宋体"/>
          <w:b/>
          <w:sz w:val="21"/>
          <w:szCs w:val="21"/>
        </w:rPr>
        <w:t>15. 缺陷责任期与保修</w:t>
      </w:r>
      <w:bookmarkEnd w:id="1102"/>
      <w:bookmarkEnd w:id="1103"/>
      <w:bookmarkEnd w:id="1104"/>
      <w:bookmarkEnd w:id="1105"/>
      <w:bookmarkEnd w:id="1106"/>
      <w:bookmarkEnd w:id="1107"/>
      <w:bookmarkEnd w:id="1108"/>
      <w:bookmarkEnd w:id="1109"/>
    </w:p>
    <w:p w14:paraId="17C731D0">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140" w:name="_Toc30062016"/>
      <w:bookmarkStart w:id="1141" w:name="_Toc469010967"/>
      <w:bookmarkStart w:id="1142" w:name="_Toc373227763"/>
      <w:bookmarkStart w:id="1143" w:name="_Toc21221"/>
      <w:bookmarkStart w:id="1144" w:name="_Toc389065328"/>
      <w:bookmarkStart w:id="1145" w:name="_Toc373478410"/>
      <w:bookmarkStart w:id="1146" w:name="_Toc3882824"/>
      <w:r>
        <w:rPr>
          <w:rFonts w:hint="eastAsia" w:ascii="宋体" w:hAnsi="宋体" w:eastAsia="宋体" w:cs="宋体"/>
          <w:b/>
          <w:kern w:val="0"/>
          <w:sz w:val="21"/>
          <w:szCs w:val="21"/>
        </w:rPr>
        <w:t>15.2 缺陷责任期</w:t>
      </w:r>
      <w:bookmarkEnd w:id="1110"/>
      <w:bookmarkEnd w:id="1140"/>
      <w:bookmarkEnd w:id="1141"/>
      <w:bookmarkEnd w:id="1142"/>
      <w:bookmarkEnd w:id="1143"/>
      <w:bookmarkEnd w:id="1144"/>
      <w:bookmarkEnd w:id="1145"/>
      <w:bookmarkEnd w:id="1146"/>
    </w:p>
    <w:p w14:paraId="29B48C03">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缺陷责任期的具体期限：</w:t>
      </w:r>
      <w:r>
        <w:rPr>
          <w:rFonts w:hint="eastAsia" w:ascii="宋体" w:hAnsi="宋体" w:eastAsia="宋体" w:cs="宋体"/>
          <w:sz w:val="21"/>
          <w:szCs w:val="21"/>
          <w:u w:val="single"/>
        </w:rPr>
        <w:t>工程缺陷责任期为24个月，缺陷责任期自工程竣工验收合格之日起计算。单位工程先于全部工程进行验收，单位工程缺陷责任期自单位工程验收合格之日起算</w:t>
      </w:r>
      <w:r>
        <w:rPr>
          <w:rFonts w:hint="eastAsia" w:ascii="宋体" w:hAnsi="宋体" w:eastAsia="宋体" w:cs="宋体"/>
          <w:sz w:val="21"/>
          <w:szCs w:val="21"/>
        </w:rPr>
        <w:t>。</w:t>
      </w:r>
    </w:p>
    <w:p w14:paraId="0581E7A3">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147" w:name="_Toc389065329"/>
      <w:bookmarkStart w:id="1148" w:name="_Toc373227764"/>
      <w:bookmarkStart w:id="1149" w:name="_Toc25151"/>
      <w:bookmarkStart w:id="1150" w:name="_Toc3882825"/>
      <w:bookmarkStart w:id="1151" w:name="_Toc373478411"/>
      <w:bookmarkStart w:id="1152" w:name="_Toc30062017"/>
      <w:bookmarkStart w:id="1153" w:name="_Toc469010968"/>
      <w:r>
        <w:rPr>
          <w:rFonts w:hint="eastAsia" w:ascii="宋体" w:hAnsi="宋体" w:eastAsia="宋体" w:cs="宋体"/>
          <w:b/>
          <w:kern w:val="0"/>
          <w:sz w:val="21"/>
          <w:szCs w:val="21"/>
        </w:rPr>
        <w:t>15.3 质量保证金</w:t>
      </w:r>
      <w:bookmarkEnd w:id="1147"/>
      <w:bookmarkEnd w:id="1148"/>
      <w:bookmarkEnd w:id="1149"/>
      <w:bookmarkEnd w:id="1150"/>
      <w:bookmarkEnd w:id="1151"/>
      <w:bookmarkEnd w:id="1152"/>
      <w:bookmarkEnd w:id="1153"/>
    </w:p>
    <w:p w14:paraId="425CEC9A">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sz w:val="21"/>
          <w:szCs w:val="21"/>
        </w:rPr>
        <w:t>关于是否扣留质量保证金的约定：</w:t>
      </w:r>
      <w:r>
        <w:rPr>
          <w:rFonts w:hint="eastAsia" w:ascii="宋体" w:hAnsi="宋体" w:eastAsia="宋体" w:cs="宋体"/>
          <w:sz w:val="21"/>
          <w:szCs w:val="21"/>
          <w:u w:val="single"/>
        </w:rPr>
        <w:t>保修金金额为工程结算价的3%，保修金金额的暂扣方式：由发包人在工程结算款里扣除</w:t>
      </w:r>
      <w:r>
        <w:rPr>
          <w:rFonts w:hint="eastAsia" w:ascii="宋体" w:hAnsi="宋体" w:eastAsia="宋体" w:cs="宋体"/>
          <w:sz w:val="21"/>
          <w:szCs w:val="21"/>
        </w:rPr>
        <w:t>。</w:t>
      </w:r>
    </w:p>
    <w:p w14:paraId="234A463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15.3.1 承包人提供质量保证金的方式</w:t>
      </w:r>
    </w:p>
    <w:p w14:paraId="4F3D09EC">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质量保证金采用以下第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w:t>
      </w:r>
    </w:p>
    <w:p w14:paraId="69DF216E">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（1）质量保证金保函，保证金额为：</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019846EC">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w:t>
      </w:r>
      <w:r>
        <w:rPr>
          <w:rFonts w:hint="eastAsia" w:ascii="宋体" w:hAnsi="宋体" w:eastAsia="宋体" w:cs="宋体"/>
          <w:bCs/>
          <w:sz w:val="21"/>
          <w:szCs w:val="21"/>
        </w:rPr>
        <w:t>发包人按工程价款结算总额的</w:t>
      </w:r>
      <w:r>
        <w:rPr>
          <w:rFonts w:hint="eastAsia" w:ascii="宋体" w:hAnsi="宋体" w:eastAsia="宋体" w:cs="宋体"/>
          <w:bCs/>
          <w:sz w:val="21"/>
          <w:szCs w:val="21"/>
          <w:u w:val="single"/>
        </w:rPr>
        <w:t xml:space="preserve">3 </w:t>
      </w:r>
      <w:r>
        <w:rPr>
          <w:rFonts w:hint="eastAsia" w:ascii="宋体" w:hAnsi="宋体" w:eastAsia="宋体" w:cs="宋体"/>
          <w:bCs/>
          <w:sz w:val="21"/>
          <w:szCs w:val="21"/>
        </w:rPr>
        <w:t>%预留工程质量保修金，待缺陷责任期满后申请核退</w:t>
      </w:r>
      <w:r>
        <w:rPr>
          <w:rFonts w:hint="eastAsia" w:ascii="宋体" w:hAnsi="宋体" w:eastAsia="宋体" w:cs="宋体"/>
          <w:kern w:val="0"/>
          <w:sz w:val="21"/>
          <w:szCs w:val="21"/>
        </w:rPr>
        <w:t>；</w:t>
      </w:r>
    </w:p>
    <w:p w14:paraId="0CA315AA">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（3）其他方式：</w:t>
      </w:r>
      <w:r>
        <w:rPr>
          <w:rFonts w:hint="eastAsia" w:ascii="宋体" w:hAnsi="宋体" w:eastAsia="宋体" w:cs="宋体"/>
          <w:bCs/>
          <w:sz w:val="21"/>
          <w:szCs w:val="21"/>
          <w:u w:val="single"/>
        </w:rPr>
        <w:t xml:space="preserve">   /  </w:t>
      </w:r>
      <w:r>
        <w:rPr>
          <w:rFonts w:hint="eastAsia" w:ascii="宋体" w:hAnsi="宋体" w:eastAsia="宋体" w:cs="宋体"/>
          <w:bCs/>
          <w:sz w:val="21"/>
          <w:szCs w:val="21"/>
        </w:rPr>
        <w:t>。</w:t>
      </w:r>
    </w:p>
    <w:p w14:paraId="34218F00">
      <w:pPr>
        <w:pStyle w:val="54"/>
        <w:spacing w:line="360" w:lineRule="auto"/>
        <w:ind w:firstLine="420" w:firstLineChars="200"/>
        <w:jc w:val="left"/>
        <w:outlineLvl w:val="0"/>
        <w:rPr>
          <w:rFonts w:hint="eastAsia" w:ascii="宋体" w:hAnsi="宋体" w:eastAsia="宋体" w:cs="宋体"/>
          <w:sz w:val="21"/>
          <w:szCs w:val="21"/>
        </w:rPr>
      </w:pPr>
      <w:bookmarkStart w:id="1154" w:name="_Toc30062018"/>
      <w:bookmarkStart w:id="1155" w:name="_Toc3882826"/>
      <w:r>
        <w:rPr>
          <w:rFonts w:hint="eastAsia" w:ascii="宋体" w:hAnsi="宋体" w:eastAsia="宋体" w:cs="宋体"/>
          <w:sz w:val="21"/>
          <w:szCs w:val="21"/>
        </w:rPr>
        <w:t>15.3.2 质量保证金的扣留</w:t>
      </w:r>
      <w:bookmarkEnd w:id="1154"/>
      <w:bookmarkEnd w:id="1155"/>
    </w:p>
    <w:p w14:paraId="739587D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质量保证金的扣留采取以下第</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2</w:t>
      </w:r>
      <w:r>
        <w:rPr>
          <w:rFonts w:hint="eastAsia" w:ascii="宋体" w:hAnsi="宋体" w:eastAsia="宋体" w:cs="宋体"/>
          <w:sz w:val="21"/>
          <w:szCs w:val="21"/>
          <w:u w:val="single"/>
          <w:lang w:eastAsia="zh-CN"/>
        </w:rPr>
        <w:t>）</w:t>
      </w:r>
      <w:r>
        <w:rPr>
          <w:rFonts w:hint="eastAsia" w:ascii="宋体" w:hAnsi="宋体" w:eastAsia="宋体" w:cs="宋体"/>
          <w:sz w:val="21"/>
          <w:szCs w:val="21"/>
          <w:u w:val="single"/>
        </w:rPr>
        <w:t xml:space="preserve"> </w:t>
      </w:r>
      <w:r>
        <w:rPr>
          <w:rFonts w:hint="eastAsia" w:ascii="宋体" w:hAnsi="宋体" w:eastAsia="宋体" w:cs="宋体"/>
          <w:sz w:val="21"/>
          <w:szCs w:val="21"/>
        </w:rPr>
        <w:t>种方式：</w:t>
      </w:r>
    </w:p>
    <w:p w14:paraId="5244B336">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（1）在支付工程进度款时逐次扣留，在此情形下，质量保证金的计算基数不包括预付款的支付、扣回以及价格调整的金额；</w:t>
      </w:r>
    </w:p>
    <w:p w14:paraId="7AE811E3">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（2）工程竣工结算时一次性扣留质量保证金；</w:t>
      </w:r>
    </w:p>
    <w:p w14:paraId="4FE095A4">
      <w:pPr>
        <w:pStyle w:val="54"/>
        <w:autoSpaceDE w:val="0"/>
        <w:autoSpaceDN w:val="0"/>
        <w:adjustRightInd w:val="0"/>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（3）其他扣留方式:</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3FBAC2E4">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sz w:val="21"/>
          <w:szCs w:val="21"/>
        </w:rPr>
        <w:t>关于质量保证金的补充约定：：</w:t>
      </w:r>
      <w:r>
        <w:rPr>
          <w:rFonts w:hint="eastAsia" w:ascii="宋体" w:hAnsi="宋体" w:eastAsia="宋体" w:cs="宋体"/>
          <w:sz w:val="21"/>
          <w:szCs w:val="21"/>
          <w:u w:val="single"/>
        </w:rPr>
        <w:t>发包人在竣工验收合格之日起二年（</w:t>
      </w:r>
      <w:r>
        <w:rPr>
          <w:rFonts w:hint="eastAsia" w:ascii="宋体" w:hAnsi="宋体" w:eastAsia="宋体" w:cs="宋体"/>
          <w:bCs/>
          <w:sz w:val="21"/>
          <w:szCs w:val="21"/>
          <w:u w:val="single"/>
        </w:rPr>
        <w:t>缺陷责任</w:t>
      </w:r>
      <w:r>
        <w:rPr>
          <w:rFonts w:hint="eastAsia" w:ascii="宋体" w:hAnsi="宋体" w:eastAsia="宋体" w:cs="宋体"/>
          <w:sz w:val="21"/>
          <w:szCs w:val="21"/>
          <w:u w:val="single"/>
        </w:rPr>
        <w:t>期满）后14天内一次性返还承包人（无息）。质量保修金的返还，并不能免除承包人按照合同约定应承担的质量保修责任和应履行的质量保修义务</w:t>
      </w:r>
      <w:r>
        <w:rPr>
          <w:rFonts w:hint="eastAsia" w:ascii="宋体" w:hAnsi="宋体" w:eastAsia="宋体" w:cs="宋体"/>
          <w:sz w:val="21"/>
          <w:szCs w:val="21"/>
        </w:rPr>
        <w:t>。</w:t>
      </w:r>
    </w:p>
    <w:bookmarkEnd w:id="1111"/>
    <w:bookmarkEnd w:id="1112"/>
    <w:p w14:paraId="65B2FA5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156" w:name="_Toc5967"/>
      <w:bookmarkStart w:id="1157" w:name="_Toc30062019"/>
      <w:bookmarkStart w:id="1158" w:name="_Toc389065330"/>
      <w:bookmarkStart w:id="1159" w:name="_Toc373227765"/>
      <w:bookmarkStart w:id="1160" w:name="_Toc469010969"/>
      <w:bookmarkStart w:id="1161" w:name="_Toc373478412"/>
      <w:bookmarkStart w:id="1162" w:name="_Toc3882827"/>
      <w:r>
        <w:rPr>
          <w:rFonts w:hint="eastAsia" w:ascii="宋体" w:hAnsi="宋体" w:eastAsia="宋体" w:cs="宋体"/>
          <w:b/>
          <w:kern w:val="0"/>
          <w:sz w:val="21"/>
          <w:szCs w:val="21"/>
        </w:rPr>
        <w:t>15.4 保修</w:t>
      </w:r>
      <w:bookmarkEnd w:id="1156"/>
      <w:bookmarkEnd w:id="1157"/>
      <w:bookmarkEnd w:id="1158"/>
      <w:bookmarkEnd w:id="1159"/>
      <w:bookmarkEnd w:id="1160"/>
      <w:bookmarkEnd w:id="1161"/>
      <w:bookmarkEnd w:id="1162"/>
    </w:p>
    <w:bookmarkEnd w:id="1113"/>
    <w:p w14:paraId="44B6A482">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15.4.1 保修责任</w:t>
      </w:r>
    </w:p>
    <w:p w14:paraId="4FA9A1E7">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工程保修期为：</w:t>
      </w:r>
      <w:r>
        <w:rPr>
          <w:rFonts w:hint="eastAsia" w:ascii="宋体" w:hAnsi="宋体" w:eastAsia="宋体" w:cs="宋体"/>
          <w:kern w:val="0"/>
          <w:sz w:val="21"/>
          <w:szCs w:val="21"/>
          <w:u w:val="single"/>
        </w:rPr>
        <w:t>按国家有关规定</w:t>
      </w:r>
      <w:r>
        <w:rPr>
          <w:rFonts w:hint="eastAsia" w:ascii="宋体" w:hAnsi="宋体" w:eastAsia="宋体" w:cs="宋体"/>
          <w:kern w:val="0"/>
          <w:sz w:val="21"/>
          <w:szCs w:val="21"/>
        </w:rPr>
        <w:t>。</w:t>
      </w:r>
    </w:p>
    <w:p w14:paraId="63AAC551">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sz w:val="21"/>
          <w:szCs w:val="21"/>
        </w:rPr>
        <w:t>工程保修书具体内容见合同附件8。</w:t>
      </w:r>
    </w:p>
    <w:p w14:paraId="79255522">
      <w:pPr>
        <w:pStyle w:val="54"/>
        <w:spacing w:line="360" w:lineRule="auto"/>
        <w:ind w:firstLine="420" w:firstLineChars="200"/>
        <w:jc w:val="left"/>
        <w:outlineLvl w:val="0"/>
        <w:rPr>
          <w:rFonts w:hint="eastAsia" w:ascii="宋体" w:hAnsi="宋体" w:eastAsia="宋体" w:cs="宋体"/>
          <w:sz w:val="21"/>
          <w:szCs w:val="21"/>
        </w:rPr>
      </w:pPr>
      <w:bookmarkStart w:id="1163" w:name="_Toc30062020"/>
      <w:bookmarkStart w:id="1164" w:name="_Toc3882828"/>
      <w:r>
        <w:rPr>
          <w:rFonts w:hint="eastAsia" w:ascii="宋体" w:hAnsi="宋体" w:eastAsia="宋体" w:cs="宋体"/>
          <w:sz w:val="21"/>
          <w:szCs w:val="21"/>
        </w:rPr>
        <w:t>15.4.3 修复通知</w:t>
      </w:r>
      <w:bookmarkEnd w:id="1163"/>
      <w:bookmarkEnd w:id="1164"/>
    </w:p>
    <w:p w14:paraId="2B58A0C0">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承包人收到保修通知并到达工程现场的合理时间：</w:t>
      </w:r>
      <w:r>
        <w:rPr>
          <w:rFonts w:hint="eastAsia" w:ascii="宋体" w:hAnsi="宋体" w:eastAsia="宋体" w:cs="宋体"/>
          <w:kern w:val="0"/>
          <w:sz w:val="21"/>
          <w:szCs w:val="21"/>
          <w:u w:val="single"/>
        </w:rPr>
        <w:t>48小时内</w:t>
      </w:r>
      <w:r>
        <w:rPr>
          <w:rFonts w:hint="eastAsia" w:ascii="宋体" w:hAnsi="宋体" w:eastAsia="宋体" w:cs="宋体"/>
          <w:kern w:val="0"/>
          <w:sz w:val="21"/>
          <w:szCs w:val="21"/>
        </w:rPr>
        <w:t>。</w:t>
      </w:r>
    </w:p>
    <w:bookmarkEnd w:id="1114"/>
    <w:bookmarkEnd w:id="1115"/>
    <w:bookmarkEnd w:id="1116"/>
    <w:bookmarkEnd w:id="1117"/>
    <w:p w14:paraId="7C6EE8B1">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165" w:name="_Toc373478413"/>
      <w:bookmarkStart w:id="1166" w:name="_Toc30062021"/>
      <w:bookmarkStart w:id="1167" w:name="_Toc389065331"/>
      <w:bookmarkStart w:id="1168" w:name="_Toc14772"/>
      <w:bookmarkStart w:id="1169" w:name="_Toc469010970"/>
      <w:bookmarkStart w:id="1170" w:name="_Toc373227766"/>
      <w:bookmarkStart w:id="1171" w:name="_Toc351203648"/>
      <w:bookmarkStart w:id="1172" w:name="_Toc3882829"/>
      <w:bookmarkStart w:id="1173" w:name="_Toc280868717"/>
      <w:bookmarkStart w:id="1174" w:name="_Toc280868718"/>
      <w:r>
        <w:rPr>
          <w:rFonts w:hint="eastAsia" w:ascii="宋体" w:hAnsi="宋体" w:eastAsia="宋体" w:cs="宋体"/>
          <w:b/>
          <w:sz w:val="21"/>
          <w:szCs w:val="21"/>
        </w:rPr>
        <w:t>16. 违约</w:t>
      </w:r>
      <w:bookmarkEnd w:id="1165"/>
      <w:bookmarkEnd w:id="1166"/>
      <w:bookmarkEnd w:id="1167"/>
      <w:bookmarkEnd w:id="1168"/>
      <w:bookmarkEnd w:id="1169"/>
      <w:bookmarkEnd w:id="1170"/>
      <w:bookmarkEnd w:id="1171"/>
      <w:bookmarkEnd w:id="1172"/>
    </w:p>
    <w:p w14:paraId="356362B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175" w:name="_Toc373227767"/>
      <w:bookmarkStart w:id="1176" w:name="_Toc469010971"/>
      <w:bookmarkStart w:id="1177" w:name="_Toc373478414"/>
      <w:bookmarkStart w:id="1178" w:name="_Toc30062022"/>
      <w:bookmarkStart w:id="1179" w:name="_Toc3316"/>
      <w:bookmarkStart w:id="1180" w:name="_Toc3882830"/>
      <w:bookmarkStart w:id="1181" w:name="_Toc389065332"/>
      <w:r>
        <w:rPr>
          <w:rFonts w:hint="eastAsia" w:ascii="宋体" w:hAnsi="宋体" w:eastAsia="宋体" w:cs="宋体"/>
          <w:b/>
          <w:kern w:val="0"/>
          <w:sz w:val="21"/>
          <w:szCs w:val="21"/>
        </w:rPr>
        <w:t>16.1 发包人违约</w:t>
      </w:r>
      <w:bookmarkEnd w:id="1175"/>
      <w:bookmarkEnd w:id="1176"/>
      <w:bookmarkEnd w:id="1177"/>
      <w:bookmarkEnd w:id="1178"/>
      <w:bookmarkEnd w:id="1179"/>
      <w:bookmarkEnd w:id="1180"/>
      <w:bookmarkEnd w:id="1181"/>
    </w:p>
    <w:p w14:paraId="16756E9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16.1.1发包人违约的情形</w:t>
      </w:r>
    </w:p>
    <w:p w14:paraId="2BD8B443">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发包人违约的其他情形：</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2D6D5E53">
      <w:pPr>
        <w:pStyle w:val="54"/>
        <w:spacing w:line="360" w:lineRule="auto"/>
        <w:ind w:firstLine="420" w:firstLineChars="200"/>
        <w:jc w:val="left"/>
        <w:outlineLvl w:val="0"/>
        <w:rPr>
          <w:rFonts w:hint="eastAsia" w:ascii="宋体" w:hAnsi="宋体" w:eastAsia="宋体" w:cs="宋体"/>
          <w:kern w:val="0"/>
          <w:sz w:val="21"/>
          <w:szCs w:val="21"/>
        </w:rPr>
      </w:pPr>
      <w:bookmarkStart w:id="1182" w:name="_Toc3882831"/>
      <w:bookmarkStart w:id="1183" w:name="_Toc30062023"/>
      <w:r>
        <w:rPr>
          <w:rFonts w:hint="eastAsia" w:ascii="宋体" w:hAnsi="宋体" w:eastAsia="宋体" w:cs="宋体"/>
          <w:kern w:val="0"/>
          <w:sz w:val="21"/>
          <w:szCs w:val="21"/>
        </w:rPr>
        <w:t>16.1.2 发包人违约的责任</w:t>
      </w:r>
      <w:bookmarkEnd w:id="1182"/>
      <w:bookmarkEnd w:id="1183"/>
    </w:p>
    <w:p w14:paraId="0B6BB01B">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发包人违约责任的承担方式和计算方法：</w:t>
      </w:r>
    </w:p>
    <w:p w14:paraId="612506AE">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（1）因发包人原因未能在计划开工日期前7天内下达开工通知的违约责任：</w:t>
      </w:r>
      <w:r>
        <w:rPr>
          <w:rFonts w:hint="eastAsia" w:ascii="宋体" w:hAnsi="宋体" w:eastAsia="宋体" w:cs="宋体"/>
          <w:kern w:val="0"/>
          <w:sz w:val="21"/>
          <w:szCs w:val="21"/>
          <w:u w:val="single"/>
        </w:rPr>
        <w:t>工期顺延</w:t>
      </w:r>
      <w:r>
        <w:rPr>
          <w:rFonts w:hint="eastAsia" w:ascii="宋体" w:hAnsi="宋体" w:eastAsia="宋体" w:cs="宋体"/>
          <w:kern w:val="0"/>
          <w:sz w:val="21"/>
          <w:szCs w:val="21"/>
        </w:rPr>
        <w:t>。</w:t>
      </w:r>
    </w:p>
    <w:p w14:paraId="70D5AACC">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（2）因发包人原因未能按合同约定支付合同价款的违约责任：</w:t>
      </w:r>
      <w:r>
        <w:rPr>
          <w:rFonts w:hint="eastAsia" w:ascii="宋体" w:hAnsi="宋体" w:eastAsia="宋体" w:cs="宋体"/>
          <w:kern w:val="0"/>
          <w:sz w:val="21"/>
          <w:szCs w:val="21"/>
          <w:u w:val="single"/>
        </w:rPr>
        <w:t>按银行同期基准利率赔偿</w:t>
      </w:r>
      <w:r>
        <w:rPr>
          <w:rFonts w:hint="eastAsia" w:ascii="宋体" w:hAnsi="宋体" w:eastAsia="宋体" w:cs="宋体"/>
          <w:kern w:val="0"/>
          <w:sz w:val="21"/>
          <w:szCs w:val="21"/>
        </w:rPr>
        <w:t>。</w:t>
      </w:r>
    </w:p>
    <w:p w14:paraId="24CF6D1D">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（3）发包人违反第10.1款〔变更的范围〕第（2）项约定，自行实施被取消的工作或转由他人实施的违约责任：</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17327AF0">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6D1A7693">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（5）因发包人违反合同约定造成暂停施工的违约责任：</w:t>
      </w:r>
      <w:r>
        <w:rPr>
          <w:rFonts w:hint="eastAsia" w:ascii="宋体" w:hAnsi="宋体" w:eastAsia="宋体" w:cs="宋体"/>
          <w:kern w:val="0"/>
          <w:sz w:val="21"/>
          <w:szCs w:val="21"/>
          <w:u w:val="single"/>
        </w:rPr>
        <w:t>工期顺延</w:t>
      </w:r>
      <w:r>
        <w:rPr>
          <w:rFonts w:hint="eastAsia" w:ascii="宋体" w:hAnsi="宋体" w:eastAsia="宋体" w:cs="宋体"/>
          <w:kern w:val="0"/>
          <w:sz w:val="21"/>
          <w:szCs w:val="21"/>
        </w:rPr>
        <w:t>。</w:t>
      </w:r>
    </w:p>
    <w:p w14:paraId="38CB2CE1">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（6）发包人无正当理由没有在约定期限内发出复工指示，导致承包人无法复工的违约责任：</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05C9B292">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（7）其他：</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51CA8C0F">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184" w:name="_Toc389065333"/>
      <w:bookmarkStart w:id="1185" w:name="_Toc9819"/>
      <w:bookmarkStart w:id="1186" w:name="_Toc30062024"/>
      <w:bookmarkStart w:id="1187" w:name="_Toc373227768"/>
      <w:bookmarkStart w:id="1188" w:name="_Toc469010972"/>
      <w:bookmarkStart w:id="1189" w:name="_Toc373478415"/>
      <w:bookmarkStart w:id="1190" w:name="_Toc3882832"/>
      <w:r>
        <w:rPr>
          <w:rFonts w:hint="eastAsia" w:ascii="宋体" w:hAnsi="宋体" w:eastAsia="宋体" w:cs="宋体"/>
          <w:b/>
          <w:kern w:val="0"/>
          <w:sz w:val="21"/>
          <w:szCs w:val="21"/>
        </w:rPr>
        <w:t>16.2 承包人违约</w:t>
      </w:r>
      <w:bookmarkEnd w:id="1184"/>
      <w:bookmarkEnd w:id="1185"/>
      <w:bookmarkEnd w:id="1186"/>
      <w:bookmarkEnd w:id="1187"/>
      <w:bookmarkEnd w:id="1188"/>
      <w:bookmarkEnd w:id="1189"/>
      <w:bookmarkEnd w:id="1190"/>
    </w:p>
    <w:p w14:paraId="0B1A02BC">
      <w:pPr>
        <w:pStyle w:val="54"/>
        <w:spacing w:line="360" w:lineRule="auto"/>
        <w:ind w:firstLine="420" w:firstLineChars="200"/>
        <w:jc w:val="left"/>
        <w:outlineLvl w:val="0"/>
        <w:rPr>
          <w:rFonts w:hint="eastAsia" w:ascii="宋体" w:hAnsi="宋体" w:eastAsia="宋体" w:cs="宋体"/>
          <w:kern w:val="0"/>
          <w:sz w:val="21"/>
          <w:szCs w:val="21"/>
        </w:rPr>
      </w:pPr>
      <w:bookmarkStart w:id="1191" w:name="_Toc3882833"/>
      <w:bookmarkStart w:id="1192" w:name="_Toc30062025"/>
      <w:r>
        <w:rPr>
          <w:rFonts w:hint="eastAsia" w:ascii="宋体" w:hAnsi="宋体" w:eastAsia="宋体" w:cs="宋体"/>
          <w:kern w:val="0"/>
          <w:sz w:val="21"/>
          <w:szCs w:val="21"/>
        </w:rPr>
        <w:t>16.2.1 承包人违约的情形</w:t>
      </w:r>
      <w:bookmarkEnd w:id="1191"/>
      <w:bookmarkEnd w:id="1192"/>
    </w:p>
    <w:p w14:paraId="2AC70695">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kern w:val="0"/>
          <w:sz w:val="21"/>
          <w:szCs w:val="21"/>
        </w:rPr>
        <w:t>承包人违约的其他情形：</w:t>
      </w:r>
      <w:r>
        <w:rPr>
          <w:rFonts w:hint="eastAsia" w:ascii="宋体" w:hAnsi="宋体" w:eastAsia="宋体" w:cs="宋体"/>
          <w:kern w:val="0"/>
          <w:sz w:val="21"/>
          <w:szCs w:val="21"/>
          <w:u w:val="single"/>
        </w:rPr>
        <w:t xml:space="preserve">   /  </w:t>
      </w:r>
      <w:r>
        <w:rPr>
          <w:rFonts w:hint="eastAsia" w:ascii="宋体" w:hAnsi="宋体" w:eastAsia="宋体" w:cs="宋体"/>
          <w:kern w:val="0"/>
          <w:sz w:val="21"/>
          <w:szCs w:val="21"/>
        </w:rPr>
        <w:t>。</w:t>
      </w:r>
    </w:p>
    <w:p w14:paraId="2F076A9B">
      <w:pPr>
        <w:pStyle w:val="54"/>
        <w:spacing w:line="360" w:lineRule="auto"/>
        <w:ind w:firstLine="420" w:firstLineChars="200"/>
        <w:jc w:val="left"/>
        <w:outlineLvl w:val="0"/>
        <w:rPr>
          <w:rFonts w:hint="eastAsia" w:ascii="宋体" w:hAnsi="宋体" w:eastAsia="宋体" w:cs="宋体"/>
          <w:kern w:val="0"/>
          <w:sz w:val="21"/>
          <w:szCs w:val="21"/>
        </w:rPr>
      </w:pPr>
      <w:bookmarkStart w:id="1193" w:name="_Toc3882834"/>
      <w:bookmarkStart w:id="1194" w:name="_Toc30062026"/>
      <w:r>
        <w:rPr>
          <w:rFonts w:hint="eastAsia" w:ascii="宋体" w:hAnsi="宋体" w:eastAsia="宋体" w:cs="宋体"/>
          <w:kern w:val="0"/>
          <w:sz w:val="21"/>
          <w:szCs w:val="21"/>
        </w:rPr>
        <w:t>16.2.2承包人违约的责任</w:t>
      </w:r>
      <w:bookmarkEnd w:id="1193"/>
      <w:bookmarkEnd w:id="1194"/>
    </w:p>
    <w:p w14:paraId="274B2F41">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承包人违约责任的承担方式和计算方法：</w:t>
      </w:r>
    </w:p>
    <w:p w14:paraId="609285A8">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承包人未按本合同通用条款第16.2.1（2）、（3）条内容完成的，承包人无条件返工处理，修复至工程质量要求并承担相关费用，并在发包人规定的时间内完成返工，否则发包人有权扣罚该分项工程10%的工程款作为处罚。</w:t>
      </w:r>
    </w:p>
    <w:p w14:paraId="6D6AD44E">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（2）承包人有本合同通用条款第16.2.1（6）条情形的，或经监理人检验认为修复质量不合格而承包人拒绝再进行修补的，发包人将扣除承包人全部质量保修金。</w:t>
      </w:r>
    </w:p>
    <w:p w14:paraId="060557A0">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w:t>
      </w:r>
    </w:p>
    <w:p w14:paraId="684EFB5B">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承包人应按国家有关劳动法规定按时支付农民工工资，并在施工现场张贴发放民工工资的告示三天。民工工资发放后，应提请监理单位及业主现场代表核实，然后提交《关于已支付民工工资的承诺书》给发包人，作为下期工程进度款支付的必备材料。按自治区住房城乡建设厅・人力资源社会保障厅《关于印发广西壮族自治区建筑工人实名制管理办法实施细则(试行)》的通知(桂建发(2019)9号)文件精神，将实施实名制管理所产生的费用列入安全文明施工费和管理费，每月按照工程进度将建筑工人工资按时足额支付至施工企业在银行开设的工资专用账户，对农民工工资保障金的使用做出承诺。如发包人发现承包人有拖欠民工工资的现象，发包人在承包人兑现民工工资前暂停支付工程进度款，发包人有权从承包人申请的工程进度款中直接支付拖欠的农民工工资。同时由于承包人不及时支付民工工资引起上访、纠纷等事件，给发包方造成不良影响或导致声誉受损或受到有关部门处罚的，造成经济损失由承包方承担。</w:t>
      </w:r>
    </w:p>
    <w:p w14:paraId="417E7A03">
      <w:pPr>
        <w:pStyle w:val="54"/>
        <w:spacing w:line="360" w:lineRule="auto"/>
        <w:ind w:firstLine="420" w:firstLineChars="200"/>
        <w:jc w:val="left"/>
        <w:outlineLvl w:val="0"/>
        <w:rPr>
          <w:rFonts w:hint="eastAsia" w:ascii="宋体" w:hAnsi="宋体" w:eastAsia="宋体" w:cs="宋体"/>
          <w:sz w:val="21"/>
          <w:szCs w:val="21"/>
        </w:rPr>
      </w:pPr>
      <w:bookmarkStart w:id="1195" w:name="_Toc30062027"/>
      <w:bookmarkStart w:id="1196" w:name="_Toc3882835"/>
      <w:r>
        <w:rPr>
          <w:rFonts w:hint="eastAsia" w:ascii="宋体" w:hAnsi="宋体" w:eastAsia="宋体" w:cs="宋体"/>
          <w:sz w:val="21"/>
          <w:szCs w:val="21"/>
        </w:rPr>
        <w:t>16.2.3 因承包人违约解除合同</w:t>
      </w:r>
      <w:bookmarkEnd w:id="1195"/>
      <w:bookmarkEnd w:id="1196"/>
    </w:p>
    <w:p w14:paraId="551CBD8F">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关于承包人违约解除合同的特别约定：</w:t>
      </w:r>
      <w:r>
        <w:rPr>
          <w:rFonts w:hint="eastAsia" w:ascii="宋体" w:hAnsi="宋体" w:eastAsia="宋体" w:cs="宋体"/>
          <w:kern w:val="0"/>
          <w:sz w:val="21"/>
          <w:szCs w:val="21"/>
          <w:u w:val="single"/>
        </w:rPr>
        <w:t>承包人有违反以下情况之一的，发包人有权解除合同，并没收其全部履约保证金</w:t>
      </w:r>
      <w:r>
        <w:rPr>
          <w:rFonts w:hint="eastAsia" w:ascii="宋体" w:hAnsi="宋体" w:eastAsia="宋体" w:cs="宋体"/>
          <w:kern w:val="0"/>
          <w:sz w:val="21"/>
          <w:szCs w:val="21"/>
        </w:rPr>
        <w:t>。</w:t>
      </w:r>
    </w:p>
    <w:p w14:paraId="6E672FC8">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(1)承包人无正当理由不按开工通知的要求及时进场组织施工和不按签订协议书时商定的进度计划有效地开展施工准备，造成工期延误的；</w:t>
      </w:r>
    </w:p>
    <w:p w14:paraId="141EEB6C">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(2)承包人违反本合同通用条款第3.5条规定私自将合同或合同的任何部分或任何权利转让给其他人，或私自将工程或工程的一部分分包出去的；</w:t>
      </w:r>
    </w:p>
    <w:p w14:paraId="57BFDDF0">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(3)未经监理人批准，承包人私自将已按投标文件承诺进入工地的工程设备、施工设备、临时工程或材料撤离工地的；</w:t>
      </w:r>
    </w:p>
    <w:p w14:paraId="6D6780B6">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kern w:val="0"/>
          <w:sz w:val="21"/>
          <w:szCs w:val="21"/>
        </w:rPr>
        <w:t>(4)由于承包人原因拒绝按合同进度计划及时完成合同规定的工程，而又未采取有效措施赶上进度，造成工期严重延误的；</w:t>
      </w:r>
    </w:p>
    <w:p w14:paraId="4501C842">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(5)承包人否认合同有效或拒绝履行合同规定的承包人义务，或由于法律、财务等原因导致承包人无法继续履行或实质上已停止履行合同的义务的；</w:t>
      </w:r>
    </w:p>
    <w:p w14:paraId="2A3185FA">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(6)合同签订之日起十五日内，承包人无法按合同规定及投标文件的承诺进场经监理工程师认可的全部人员和机械的。</w:t>
      </w:r>
    </w:p>
    <w:p w14:paraId="1DF70CB9">
      <w:pPr>
        <w:pStyle w:val="54"/>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s="宋体"/>
          <w:kern w:val="0"/>
          <w:sz w:val="21"/>
          <w:szCs w:val="21"/>
          <w:u w:val="single"/>
        </w:rPr>
        <w:t>双方协商</w:t>
      </w:r>
      <w:r>
        <w:rPr>
          <w:rFonts w:hint="eastAsia" w:ascii="宋体" w:hAnsi="宋体" w:eastAsia="宋体" w:cs="宋体"/>
          <w:kern w:val="0"/>
          <w:sz w:val="21"/>
          <w:szCs w:val="21"/>
        </w:rPr>
        <w:t>。</w:t>
      </w:r>
    </w:p>
    <w:p w14:paraId="75E63451">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197" w:name="_Toc3882836"/>
      <w:bookmarkStart w:id="1198" w:name="_Toc30062028"/>
      <w:bookmarkStart w:id="1199" w:name="_Toc6499"/>
      <w:bookmarkStart w:id="1200" w:name="_Toc469010973"/>
      <w:bookmarkStart w:id="1201" w:name="_Toc373478416"/>
      <w:bookmarkStart w:id="1202" w:name="_Toc351203649"/>
      <w:bookmarkStart w:id="1203" w:name="_Toc373227769"/>
      <w:bookmarkStart w:id="1204" w:name="_Toc389065334"/>
      <w:r>
        <w:rPr>
          <w:rFonts w:hint="eastAsia" w:ascii="宋体" w:hAnsi="宋体" w:eastAsia="宋体" w:cs="宋体"/>
          <w:b/>
          <w:sz w:val="21"/>
          <w:szCs w:val="21"/>
        </w:rPr>
        <w:t>17. 不可抗力</w:t>
      </w:r>
      <w:bookmarkEnd w:id="1197"/>
      <w:bookmarkEnd w:id="1198"/>
      <w:bookmarkEnd w:id="1199"/>
      <w:bookmarkEnd w:id="1200"/>
      <w:bookmarkEnd w:id="1201"/>
      <w:bookmarkEnd w:id="1202"/>
      <w:bookmarkEnd w:id="1203"/>
      <w:bookmarkEnd w:id="1204"/>
      <w:r>
        <w:rPr>
          <w:rFonts w:hint="eastAsia" w:ascii="宋体" w:hAnsi="宋体" w:eastAsia="宋体" w:cs="宋体"/>
          <w:b/>
          <w:sz w:val="21"/>
          <w:szCs w:val="21"/>
        </w:rPr>
        <w:t xml:space="preserve"> </w:t>
      </w:r>
      <w:bookmarkEnd w:id="1173"/>
    </w:p>
    <w:p w14:paraId="2C06C535">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05" w:name="_Toc469010974"/>
      <w:bookmarkStart w:id="1206" w:name="_Toc373478417"/>
      <w:bookmarkStart w:id="1207" w:name="_Toc3882837"/>
      <w:bookmarkStart w:id="1208" w:name="_Toc30062029"/>
      <w:bookmarkStart w:id="1209" w:name="_Toc389065335"/>
      <w:bookmarkStart w:id="1210" w:name="_Toc373227770"/>
      <w:bookmarkStart w:id="1211" w:name="_Toc22660"/>
      <w:r>
        <w:rPr>
          <w:rFonts w:hint="eastAsia" w:ascii="宋体" w:hAnsi="宋体" w:eastAsia="宋体" w:cs="宋体"/>
          <w:b/>
          <w:kern w:val="0"/>
          <w:sz w:val="21"/>
          <w:szCs w:val="21"/>
        </w:rPr>
        <w:t>17.1 不可抗力的确认</w:t>
      </w:r>
      <w:bookmarkEnd w:id="1205"/>
      <w:bookmarkEnd w:id="1206"/>
      <w:bookmarkEnd w:id="1207"/>
      <w:bookmarkEnd w:id="1208"/>
      <w:bookmarkEnd w:id="1209"/>
      <w:bookmarkEnd w:id="1210"/>
      <w:bookmarkEnd w:id="1211"/>
    </w:p>
    <w:p w14:paraId="0F8BA132">
      <w:pPr>
        <w:pStyle w:val="54"/>
        <w:spacing w:line="360" w:lineRule="auto"/>
        <w:ind w:firstLine="420" w:firstLineChars="200"/>
        <w:jc w:val="left"/>
        <w:rPr>
          <w:rFonts w:hint="eastAsia" w:ascii="宋体" w:hAnsi="宋体" w:eastAsia="宋体" w:cs="宋体"/>
          <w:kern w:val="0"/>
          <w:sz w:val="21"/>
          <w:szCs w:val="21"/>
          <w:u w:val="single"/>
        </w:rPr>
      </w:pPr>
      <w:r>
        <w:rPr>
          <w:rFonts w:hint="eastAsia" w:ascii="宋体" w:hAnsi="宋体" w:eastAsia="宋体" w:cs="宋体"/>
          <w:sz w:val="21"/>
          <w:szCs w:val="21"/>
        </w:rPr>
        <w:t>除通用合同条款约定的不可抗力事件之外，视为不可抗力的其他情形：</w:t>
      </w:r>
      <w:r>
        <w:rPr>
          <w:rFonts w:hint="eastAsia" w:ascii="宋体" w:hAnsi="宋体" w:eastAsia="宋体" w:cs="宋体"/>
          <w:kern w:val="0"/>
          <w:sz w:val="21"/>
          <w:szCs w:val="21"/>
          <w:u w:val="single"/>
        </w:rPr>
        <w:t>包括战争、恐怖活动、动乱、瘟疫、空中飞行物体坠落或其他非发包人承包人责任造成的爆炸、火灾，以及地震、洪涝等自然灾害</w:t>
      </w:r>
      <w:r>
        <w:rPr>
          <w:rFonts w:hint="eastAsia" w:ascii="宋体" w:hAnsi="宋体" w:eastAsia="宋体" w:cs="宋体"/>
          <w:kern w:val="0"/>
          <w:sz w:val="21"/>
          <w:szCs w:val="21"/>
        </w:rPr>
        <w:t>。</w:t>
      </w:r>
    </w:p>
    <w:p w14:paraId="7426DFD5">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12" w:name="_Toc4260"/>
      <w:bookmarkStart w:id="1213" w:name="_Toc30062030"/>
      <w:bookmarkStart w:id="1214" w:name="_Toc3882838"/>
      <w:bookmarkStart w:id="1215" w:name="_Toc389065336"/>
      <w:bookmarkStart w:id="1216" w:name="_Toc373478418"/>
      <w:bookmarkStart w:id="1217" w:name="_Toc469010975"/>
      <w:bookmarkStart w:id="1218" w:name="_Toc373227771"/>
      <w:r>
        <w:rPr>
          <w:rFonts w:hint="eastAsia" w:ascii="宋体" w:hAnsi="宋体" w:eastAsia="宋体" w:cs="宋体"/>
          <w:b/>
          <w:kern w:val="0"/>
          <w:sz w:val="21"/>
          <w:szCs w:val="21"/>
        </w:rPr>
        <w:t>17.4 因不可抗力解除合同</w:t>
      </w:r>
      <w:bookmarkEnd w:id="1212"/>
      <w:bookmarkEnd w:id="1213"/>
      <w:bookmarkEnd w:id="1214"/>
      <w:bookmarkEnd w:id="1215"/>
      <w:bookmarkEnd w:id="1216"/>
      <w:bookmarkEnd w:id="1217"/>
      <w:bookmarkEnd w:id="1218"/>
    </w:p>
    <w:p w14:paraId="088D24A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合同解除后，发包人应在商定或确定发包人应支付款项后</w:t>
      </w:r>
      <w:r>
        <w:rPr>
          <w:rFonts w:hint="eastAsia" w:ascii="宋体" w:hAnsi="宋体" w:eastAsia="宋体" w:cs="宋体"/>
          <w:sz w:val="21"/>
          <w:szCs w:val="21"/>
          <w:u w:val="single"/>
        </w:rPr>
        <w:t xml:space="preserve"> 90</w:t>
      </w:r>
      <w:r>
        <w:rPr>
          <w:rFonts w:hint="eastAsia" w:ascii="宋体" w:hAnsi="宋体" w:eastAsia="宋体" w:cs="宋体"/>
          <w:sz w:val="21"/>
          <w:szCs w:val="21"/>
        </w:rPr>
        <w:t>天内完成款项的支付。</w:t>
      </w:r>
    </w:p>
    <w:p w14:paraId="137DF532">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219" w:name="_Toc3882839"/>
      <w:bookmarkStart w:id="1220" w:name="_Toc30062031"/>
      <w:bookmarkStart w:id="1221" w:name="_Toc351203650"/>
      <w:bookmarkStart w:id="1222" w:name="_Toc469010976"/>
      <w:bookmarkStart w:id="1223" w:name="_Toc3372"/>
      <w:bookmarkStart w:id="1224" w:name="_Toc373478419"/>
      <w:bookmarkStart w:id="1225" w:name="_Toc389065337"/>
      <w:bookmarkStart w:id="1226" w:name="_Toc373227772"/>
      <w:r>
        <w:rPr>
          <w:rFonts w:hint="eastAsia" w:ascii="宋体" w:hAnsi="宋体" w:eastAsia="宋体" w:cs="宋体"/>
          <w:b/>
          <w:sz w:val="21"/>
          <w:szCs w:val="21"/>
        </w:rPr>
        <w:t>18. 保险</w:t>
      </w:r>
      <w:bookmarkEnd w:id="1219"/>
      <w:bookmarkEnd w:id="1220"/>
      <w:bookmarkEnd w:id="1221"/>
      <w:bookmarkEnd w:id="1222"/>
      <w:bookmarkEnd w:id="1223"/>
      <w:bookmarkEnd w:id="1224"/>
      <w:bookmarkEnd w:id="1225"/>
      <w:bookmarkEnd w:id="1226"/>
    </w:p>
    <w:bookmarkEnd w:id="1174"/>
    <w:p w14:paraId="2E4D19A2">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27" w:name="_Toc22666"/>
      <w:bookmarkStart w:id="1228" w:name="_Toc373227773"/>
      <w:bookmarkStart w:id="1229" w:name="_Toc389065338"/>
      <w:bookmarkStart w:id="1230" w:name="_Toc3882840"/>
      <w:bookmarkStart w:id="1231" w:name="_Toc373478420"/>
      <w:bookmarkStart w:id="1232" w:name="_Toc30062032"/>
      <w:bookmarkStart w:id="1233" w:name="_Toc469010977"/>
      <w:r>
        <w:rPr>
          <w:rFonts w:hint="eastAsia" w:ascii="宋体" w:hAnsi="宋体" w:eastAsia="宋体" w:cs="宋体"/>
          <w:b/>
          <w:kern w:val="0"/>
          <w:sz w:val="21"/>
          <w:szCs w:val="21"/>
        </w:rPr>
        <w:t>18.1 工程保险</w:t>
      </w:r>
      <w:bookmarkEnd w:id="1227"/>
      <w:bookmarkEnd w:id="1228"/>
      <w:bookmarkEnd w:id="1229"/>
      <w:bookmarkEnd w:id="1230"/>
      <w:bookmarkEnd w:id="1231"/>
      <w:bookmarkEnd w:id="1232"/>
      <w:bookmarkEnd w:id="1233"/>
    </w:p>
    <w:p w14:paraId="38255821">
      <w:pPr>
        <w:pStyle w:val="54"/>
        <w:spacing w:line="360" w:lineRule="auto"/>
        <w:ind w:firstLine="420" w:firstLineChars="200"/>
        <w:jc w:val="left"/>
        <w:rPr>
          <w:rFonts w:hint="eastAsia" w:ascii="宋体" w:hAnsi="宋体" w:eastAsia="宋体" w:cs="宋体"/>
          <w:kern w:val="0"/>
          <w:sz w:val="21"/>
          <w:szCs w:val="21"/>
        </w:rPr>
      </w:pPr>
      <w:r>
        <w:rPr>
          <w:rFonts w:hint="eastAsia" w:ascii="宋体" w:hAnsi="宋体" w:eastAsia="宋体" w:cs="宋体"/>
          <w:sz w:val="21"/>
          <w:szCs w:val="21"/>
        </w:rPr>
        <w:t>关于工程保险的特别约定：</w:t>
      </w:r>
      <w:r>
        <w:rPr>
          <w:rFonts w:hint="eastAsia" w:ascii="宋体" w:hAnsi="宋体" w:eastAsia="宋体" w:cs="宋体"/>
          <w:color w:val="000000"/>
          <w:sz w:val="21"/>
          <w:szCs w:val="21"/>
          <w:u w:val="single"/>
        </w:rPr>
        <w:t>建设工程</w:t>
      </w:r>
      <w:r>
        <w:rPr>
          <w:rFonts w:hint="eastAsia" w:ascii="宋体" w:hAnsi="宋体" w:eastAsia="宋体" w:cs="宋体"/>
          <w:bCs/>
          <w:color w:val="000000"/>
          <w:sz w:val="21"/>
          <w:szCs w:val="21"/>
          <w:u w:val="single"/>
        </w:rPr>
        <w:t>一切险和第三方责任险</w:t>
      </w:r>
      <w:r>
        <w:rPr>
          <w:rFonts w:hint="eastAsia" w:ascii="宋体" w:hAnsi="宋体" w:eastAsia="宋体" w:cs="宋体"/>
          <w:kern w:val="0"/>
          <w:sz w:val="21"/>
          <w:szCs w:val="21"/>
        </w:rPr>
        <w:t>。</w:t>
      </w:r>
    </w:p>
    <w:p w14:paraId="2822BA8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18.1.1投保</w:t>
      </w:r>
    </w:p>
    <w:p w14:paraId="22D7A798">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（1）投保人：承包人。</w:t>
      </w:r>
    </w:p>
    <w:p w14:paraId="3CD0F43A">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投保内容：承包人必须为从事危险作业的职工办理意外伤害保险，并为施工场地内承包人的自有人员生命财产及施工机械设备办理保险，支付保险费用。保险合同约定的保险责任范围应当包括工地范围内的全部财产的物质损坏或灭失以及所产生的费用、因发生与所承保工程直接相关的意外事故引起工地内及邻近区域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该支付的损失赔偿费、抚恤费和承担法律责任，发包人不承担该等责任。</w:t>
      </w:r>
    </w:p>
    <w:p w14:paraId="65E50CE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（3）保险费率：由投保人与合同双方同意的保险人商定。</w:t>
      </w:r>
    </w:p>
    <w:p w14:paraId="3AF5E8F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（4）保险金额：由投保人与合同双方同意的保险人商定。</w:t>
      </w:r>
    </w:p>
    <w:p w14:paraId="1282EA2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（5）保险期限：保险种类包括一切险和第三方责任险，保险期从工程开工之日起到工程竣工验收之日，如若项目延期，投标单位必须无条件办理延期手续并承担一切费用, 如故意或疏忽而没有投保、少投保或漏投保，造成的后果由承包人负全部责任。</w:t>
      </w:r>
    </w:p>
    <w:p w14:paraId="37014B30">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18.1.2第三者责任险</w:t>
      </w:r>
    </w:p>
    <w:p w14:paraId="503C59BB">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保险金额：承包人必须为从事危险作业的职工办理意外伤害保险，并为施工场地内承包人的自有人员生命财产，支付保险费用。保险合同约定的保险责任范围应当包括因发生与所承保工程直接相关的意外事故引起工地内及邻近区域的第三者（包括发包人的人员）人身伤亡、财产损失以及所产生的费用、承包人施工人员因发生与所承保工程直接相关的意外事故引起的人身伤亡、疾病或财产损失以及所产生的费用。无论是否获得保险机构的赔偿，凡施工中发生的一切安全事故，均由承包人负责所发生事故的依法应该支付的损失赔偿费、抚恤费和承担法律责任，发包人不承担该等责任。保险费率由承包人与发包人同意的保险人商定，相关保险费由承包人承担。</w:t>
      </w:r>
    </w:p>
    <w:p w14:paraId="0494ADB2">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34" w:name="_Toc469010978"/>
      <w:bookmarkStart w:id="1235" w:name="_Toc389065339"/>
      <w:bookmarkStart w:id="1236" w:name="_Toc3882841"/>
      <w:bookmarkStart w:id="1237" w:name="_Toc373478421"/>
      <w:bookmarkStart w:id="1238" w:name="_Toc25722"/>
      <w:bookmarkStart w:id="1239" w:name="_Toc30062033"/>
      <w:bookmarkStart w:id="1240" w:name="_Toc373227774"/>
      <w:r>
        <w:rPr>
          <w:rFonts w:hint="eastAsia" w:ascii="宋体" w:hAnsi="宋体" w:eastAsia="宋体" w:cs="宋体"/>
          <w:b/>
          <w:kern w:val="0"/>
          <w:sz w:val="21"/>
          <w:szCs w:val="21"/>
        </w:rPr>
        <w:t>18.3 其他保险</w:t>
      </w:r>
      <w:bookmarkEnd w:id="1234"/>
      <w:bookmarkEnd w:id="1235"/>
      <w:bookmarkEnd w:id="1236"/>
      <w:bookmarkEnd w:id="1237"/>
      <w:bookmarkEnd w:id="1238"/>
      <w:bookmarkEnd w:id="1239"/>
      <w:bookmarkEnd w:id="1240"/>
    </w:p>
    <w:p w14:paraId="13FBC5FA">
      <w:pPr>
        <w:pStyle w:val="54"/>
        <w:spacing w:line="360" w:lineRule="auto"/>
        <w:ind w:firstLine="420" w:firstLineChars="200"/>
        <w:jc w:val="left"/>
        <w:rPr>
          <w:rFonts w:hint="eastAsia" w:ascii="宋体" w:hAnsi="宋体" w:eastAsia="宋体" w:cs="宋体"/>
          <w:bCs/>
          <w:sz w:val="21"/>
          <w:szCs w:val="21"/>
          <w:u w:val="single"/>
        </w:rPr>
      </w:pPr>
      <w:r>
        <w:rPr>
          <w:rFonts w:hint="eastAsia" w:ascii="宋体" w:hAnsi="宋体" w:eastAsia="宋体" w:cs="宋体"/>
          <w:sz w:val="21"/>
          <w:szCs w:val="21"/>
        </w:rPr>
        <w:t>关于其他保险的约定：</w:t>
      </w:r>
      <w:r>
        <w:rPr>
          <w:rFonts w:hint="eastAsia" w:ascii="宋体" w:hAnsi="宋体" w:eastAsia="宋体" w:cs="宋体"/>
          <w:bCs/>
          <w:sz w:val="21"/>
          <w:szCs w:val="21"/>
          <w:u w:val="single"/>
        </w:rPr>
        <w:t>按工程所在地建设行政主管部门有关规定。</w:t>
      </w:r>
    </w:p>
    <w:p w14:paraId="7B4FC7FF">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bCs/>
          <w:sz w:val="21"/>
          <w:szCs w:val="21"/>
          <w:u w:val="single"/>
        </w:rPr>
        <w:t>承包人是否应为其施工设备等办理财产保险： 承包人必须为其施工设备、进场材料和工程设备等办理的保险，支付保险费用。保险合同约定的保险责任范围应当包括工地范围内的全部财产的物质损坏或灭失以及所产生的费用，无论是否获得保险机构的赔偿，凡施工中发生的一切安全事故，均由承包人负责所发生事故的依法应该支付的损失赔偿费和承担法律责任，发包人不承担该等责任。保险费率由承包人与发包人同意的保险人商定，相关保险费由承包人承担</w:t>
      </w:r>
      <w:r>
        <w:rPr>
          <w:rFonts w:hint="eastAsia" w:ascii="宋体" w:hAnsi="宋体" w:eastAsia="宋体" w:cs="宋体"/>
          <w:sz w:val="21"/>
          <w:szCs w:val="21"/>
        </w:rPr>
        <w:t>。</w:t>
      </w:r>
    </w:p>
    <w:p w14:paraId="6CA8CC1C">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41" w:name="_Toc389065340"/>
      <w:bookmarkStart w:id="1242" w:name="_Toc373478422"/>
      <w:bookmarkStart w:id="1243" w:name="_Toc373227775"/>
      <w:bookmarkStart w:id="1244" w:name="_Toc3882842"/>
      <w:bookmarkStart w:id="1245" w:name="_Toc9151"/>
      <w:bookmarkStart w:id="1246" w:name="_Toc30062034"/>
      <w:bookmarkStart w:id="1247" w:name="_Toc469010979"/>
      <w:r>
        <w:rPr>
          <w:rFonts w:hint="eastAsia" w:ascii="宋体" w:hAnsi="宋体" w:eastAsia="宋体" w:cs="宋体"/>
          <w:b/>
          <w:kern w:val="0"/>
          <w:sz w:val="21"/>
          <w:szCs w:val="21"/>
        </w:rPr>
        <w:t>18.7 通知义务</w:t>
      </w:r>
      <w:bookmarkEnd w:id="1241"/>
      <w:bookmarkEnd w:id="1242"/>
      <w:bookmarkEnd w:id="1243"/>
      <w:bookmarkEnd w:id="1244"/>
      <w:bookmarkEnd w:id="1245"/>
      <w:bookmarkEnd w:id="1246"/>
      <w:bookmarkEnd w:id="1247"/>
    </w:p>
    <w:p w14:paraId="0A4C8A19">
      <w:pPr>
        <w:pStyle w:val="54"/>
        <w:spacing w:line="360" w:lineRule="auto"/>
        <w:ind w:firstLine="420" w:firstLineChars="200"/>
        <w:jc w:val="left"/>
        <w:rPr>
          <w:rFonts w:hint="eastAsia" w:ascii="宋体" w:hAnsi="宋体" w:eastAsia="宋体" w:cs="宋体"/>
          <w:sz w:val="21"/>
          <w:szCs w:val="21"/>
          <w:u w:val="single"/>
        </w:rPr>
      </w:pPr>
      <w:r>
        <w:rPr>
          <w:rFonts w:hint="eastAsia" w:ascii="宋体" w:hAnsi="宋体" w:eastAsia="宋体" w:cs="宋体"/>
          <w:kern w:val="0"/>
          <w:sz w:val="21"/>
          <w:szCs w:val="21"/>
        </w:rPr>
        <w:t>关于变更保险合同时的通知义务的约定：</w:t>
      </w:r>
      <w:r>
        <w:rPr>
          <w:rFonts w:hint="eastAsia" w:ascii="宋体" w:hAnsi="宋体" w:eastAsia="宋体" w:cs="宋体"/>
          <w:sz w:val="21"/>
          <w:szCs w:val="21"/>
          <w:u w:val="single"/>
        </w:rPr>
        <w:t>承包人向发包人提交各项保险生效的证据和保险单副本的期限：各项保险生效 3天内</w:t>
      </w:r>
      <w:r>
        <w:rPr>
          <w:rFonts w:hint="eastAsia" w:ascii="宋体" w:hAnsi="宋体" w:eastAsia="宋体" w:cs="宋体"/>
          <w:sz w:val="21"/>
          <w:szCs w:val="21"/>
        </w:rPr>
        <w:t>。</w:t>
      </w:r>
    </w:p>
    <w:bookmarkEnd w:id="1118"/>
    <w:bookmarkEnd w:id="1119"/>
    <w:bookmarkEnd w:id="1120"/>
    <w:bookmarkEnd w:id="1121"/>
    <w:bookmarkEnd w:id="1122"/>
    <w:bookmarkEnd w:id="1123"/>
    <w:bookmarkEnd w:id="1124"/>
    <w:bookmarkEnd w:id="1125"/>
    <w:bookmarkEnd w:id="1126"/>
    <w:bookmarkEnd w:id="1127"/>
    <w:bookmarkEnd w:id="1128"/>
    <w:bookmarkEnd w:id="1129"/>
    <w:p w14:paraId="3C42C151">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248" w:name="_Toc373227776"/>
      <w:bookmarkStart w:id="1249" w:name="_Toc29991"/>
      <w:bookmarkStart w:id="1250" w:name="_Toc373478423"/>
      <w:bookmarkStart w:id="1251" w:name="_Toc389065341"/>
      <w:bookmarkStart w:id="1252" w:name="_Toc3882843"/>
      <w:bookmarkStart w:id="1253" w:name="_Toc30062035"/>
      <w:bookmarkStart w:id="1254" w:name="_Toc351203651"/>
      <w:bookmarkStart w:id="1255" w:name="_Toc469010980"/>
      <w:r>
        <w:rPr>
          <w:rFonts w:hint="eastAsia" w:ascii="宋体" w:hAnsi="宋体" w:eastAsia="宋体" w:cs="宋体"/>
          <w:b/>
          <w:sz w:val="21"/>
          <w:szCs w:val="21"/>
        </w:rPr>
        <w:t>20. 争议解决</w:t>
      </w:r>
      <w:bookmarkEnd w:id="1130"/>
      <w:bookmarkEnd w:id="1131"/>
      <w:bookmarkEnd w:id="1132"/>
      <w:bookmarkEnd w:id="1248"/>
      <w:bookmarkEnd w:id="1249"/>
      <w:bookmarkEnd w:id="1250"/>
      <w:bookmarkEnd w:id="1251"/>
      <w:bookmarkEnd w:id="1252"/>
      <w:bookmarkEnd w:id="1253"/>
      <w:bookmarkEnd w:id="1254"/>
      <w:bookmarkEnd w:id="1255"/>
    </w:p>
    <w:p w14:paraId="251452EA">
      <w:pPr>
        <w:pStyle w:val="54"/>
        <w:keepNext/>
        <w:keepLines/>
        <w:spacing w:before="260" w:after="260" w:line="360" w:lineRule="auto"/>
        <w:ind w:firstLine="422" w:firstLineChars="200"/>
        <w:outlineLvl w:val="2"/>
        <w:rPr>
          <w:rFonts w:hint="eastAsia" w:ascii="宋体" w:hAnsi="宋体" w:eastAsia="宋体" w:cs="宋体"/>
          <w:b/>
          <w:kern w:val="0"/>
          <w:sz w:val="21"/>
          <w:szCs w:val="21"/>
        </w:rPr>
      </w:pPr>
      <w:bookmarkStart w:id="1256" w:name="_Toc3882844"/>
      <w:bookmarkStart w:id="1257" w:name="_Toc30062036"/>
      <w:bookmarkStart w:id="1258" w:name="_Toc27133"/>
      <w:bookmarkStart w:id="1259" w:name="_Toc469010982"/>
      <w:bookmarkStart w:id="1260" w:name="_Toc389065343"/>
      <w:bookmarkStart w:id="1261" w:name="_Toc373478425"/>
      <w:bookmarkStart w:id="1262" w:name="_Toc373227778"/>
      <w:r>
        <w:rPr>
          <w:rFonts w:hint="eastAsia" w:ascii="宋体" w:hAnsi="宋体" w:eastAsia="宋体" w:cs="宋体"/>
          <w:b/>
          <w:kern w:val="0"/>
          <w:sz w:val="21"/>
          <w:szCs w:val="21"/>
        </w:rPr>
        <w:t>20.4 仲裁或诉讼</w:t>
      </w:r>
      <w:bookmarkEnd w:id="1133"/>
      <w:bookmarkEnd w:id="1256"/>
      <w:bookmarkEnd w:id="1257"/>
      <w:bookmarkEnd w:id="1258"/>
      <w:bookmarkEnd w:id="1259"/>
      <w:bookmarkEnd w:id="1260"/>
      <w:bookmarkEnd w:id="1261"/>
      <w:bookmarkEnd w:id="1262"/>
    </w:p>
    <w:p w14:paraId="2E49AF4E">
      <w:pPr>
        <w:pStyle w:val="54"/>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因合同及合同有关事项发生的争议，按下列第</w:t>
      </w:r>
      <w:r>
        <w:rPr>
          <w:rFonts w:hint="eastAsia" w:ascii="宋体" w:hAnsi="宋体" w:eastAsia="宋体" w:cs="宋体"/>
          <w:sz w:val="21"/>
          <w:szCs w:val="21"/>
          <w:u w:val="single"/>
        </w:rPr>
        <w:t xml:space="preserve"> 2 </w:t>
      </w:r>
      <w:r>
        <w:rPr>
          <w:rFonts w:hint="eastAsia" w:ascii="宋体" w:hAnsi="宋体" w:eastAsia="宋体" w:cs="宋体"/>
          <w:sz w:val="21"/>
          <w:szCs w:val="21"/>
        </w:rPr>
        <w:t>种方式解决：</w:t>
      </w:r>
    </w:p>
    <w:p w14:paraId="2E17AA95">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（1）提请</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仲裁委员会按照该会仲裁规则进行仲裁，仲裁裁决是终局的，对合同双方均有约束力。</w:t>
      </w:r>
    </w:p>
    <w:p w14:paraId="7136F94D">
      <w:pPr>
        <w:pStyle w:val="54"/>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（2）向</w:t>
      </w:r>
      <w:r>
        <w:rPr>
          <w:rFonts w:hint="eastAsia" w:ascii="宋体" w:hAnsi="宋体" w:eastAsia="宋体" w:cs="宋体"/>
          <w:sz w:val="21"/>
          <w:szCs w:val="21"/>
          <w:u w:val="single"/>
        </w:rPr>
        <w:t>昭平县</w:t>
      </w:r>
      <w:r>
        <w:rPr>
          <w:rFonts w:hint="eastAsia" w:ascii="宋体" w:hAnsi="宋体" w:eastAsia="宋体" w:cs="宋体"/>
          <w:sz w:val="21"/>
          <w:szCs w:val="21"/>
        </w:rPr>
        <w:t>人民法院起诉。</w:t>
      </w:r>
      <w:bookmarkEnd w:id="1134"/>
      <w:bookmarkEnd w:id="1135"/>
      <w:bookmarkEnd w:id="1136"/>
      <w:bookmarkEnd w:id="1137"/>
      <w:bookmarkEnd w:id="1138"/>
      <w:bookmarkEnd w:id="1139"/>
    </w:p>
    <w:p w14:paraId="12280806">
      <w:pPr>
        <w:pStyle w:val="54"/>
        <w:keepNext/>
        <w:keepLines/>
        <w:spacing w:before="60" w:after="60" w:line="360" w:lineRule="auto"/>
        <w:ind w:firstLine="422" w:firstLineChars="200"/>
        <w:outlineLvl w:val="1"/>
        <w:rPr>
          <w:rFonts w:hint="eastAsia" w:ascii="宋体" w:hAnsi="宋体" w:eastAsia="宋体" w:cs="宋体"/>
          <w:b/>
          <w:sz w:val="21"/>
          <w:szCs w:val="21"/>
        </w:rPr>
      </w:pPr>
      <w:bookmarkStart w:id="1263" w:name="_Toc19520"/>
      <w:bookmarkStart w:id="1264" w:name="_Toc389065344"/>
      <w:bookmarkStart w:id="1265" w:name="_Toc469010983"/>
      <w:bookmarkStart w:id="1266" w:name="_Toc373227779"/>
      <w:bookmarkStart w:id="1267" w:name="_Toc30062037"/>
      <w:bookmarkStart w:id="1268" w:name="_Toc373478426"/>
      <w:bookmarkStart w:id="1269" w:name="_Toc3882845"/>
      <w:r>
        <w:rPr>
          <w:rFonts w:hint="eastAsia" w:ascii="宋体" w:hAnsi="宋体" w:eastAsia="宋体" w:cs="宋体"/>
          <w:b/>
          <w:sz w:val="21"/>
          <w:szCs w:val="21"/>
        </w:rPr>
        <w:t>21. 补充条款</w:t>
      </w:r>
      <w:bookmarkEnd w:id="1263"/>
      <w:bookmarkEnd w:id="1264"/>
      <w:bookmarkEnd w:id="1265"/>
      <w:bookmarkEnd w:id="1266"/>
      <w:bookmarkEnd w:id="1267"/>
      <w:bookmarkEnd w:id="1268"/>
      <w:bookmarkEnd w:id="1269"/>
    </w:p>
    <w:p w14:paraId="18505EAF">
      <w:pPr>
        <w:pStyle w:val="54"/>
        <w:spacing w:line="360" w:lineRule="auto"/>
        <w:ind w:firstLine="420" w:firstLineChars="200"/>
        <w:rPr>
          <w:rStyle w:val="21"/>
          <w:rFonts w:hint="eastAsia" w:ascii="宋体" w:hAnsi="宋体" w:eastAsia="宋体" w:cs="宋体"/>
          <w:spacing w:val="5"/>
          <w:sz w:val="21"/>
          <w:szCs w:val="21"/>
        </w:rPr>
      </w:pPr>
      <w:r>
        <w:rPr>
          <w:rFonts w:hint="eastAsia" w:ascii="宋体" w:hAnsi="宋体" w:eastAsia="宋体" w:cs="宋体"/>
          <w:sz w:val="21"/>
          <w:szCs w:val="21"/>
        </w:rPr>
        <w:t>21.1 承包人必须及时支付农民工工资，若有拖欠，按相关法律法规规定处理。禁止使用童工。</w:t>
      </w:r>
    </w:p>
    <w:p w14:paraId="1E7694CE">
      <w:pPr>
        <w:pStyle w:val="54"/>
        <w:spacing w:before="156" w:line="224" w:lineRule="auto"/>
        <w:ind w:left="41"/>
        <w:rPr>
          <w:rStyle w:val="21"/>
          <w:rFonts w:ascii="黑体" w:hAnsi="黑体" w:eastAsia="黑体" w:cs="黑体"/>
          <w:sz w:val="27"/>
          <w:szCs w:val="27"/>
        </w:rPr>
      </w:pPr>
      <w:r>
        <w:rPr>
          <w:rStyle w:val="21"/>
          <w:rFonts w:ascii="黑体" w:hAnsi="黑体" w:eastAsia="黑体" w:cs="黑体"/>
          <w:spacing w:val="5"/>
          <w:sz w:val="27"/>
          <w:szCs w:val="27"/>
        </w:rPr>
        <w:t>附件</w:t>
      </w:r>
    </w:p>
    <w:p w14:paraId="2B4EF5CE">
      <w:pPr>
        <w:pStyle w:val="54"/>
        <w:spacing w:before="148" w:line="224" w:lineRule="auto"/>
        <w:ind w:left="40"/>
        <w:rPr>
          <w:rStyle w:val="21"/>
          <w:rFonts w:ascii="宋体" w:hAnsi="宋体" w:eastAsia="宋体" w:cs="宋体"/>
          <w:szCs w:val="21"/>
        </w:rPr>
      </w:pPr>
      <w:r>
        <w:rPr>
          <w:rStyle w:val="21"/>
          <w:rFonts w:ascii="宋体" w:hAnsi="宋体" w:eastAsia="宋体" w:cs="宋体"/>
          <w:spacing w:val="-2"/>
          <w:szCs w:val="21"/>
        </w:rPr>
        <w:t xml:space="preserve">附件 </w:t>
      </w:r>
      <w:r>
        <w:rPr>
          <w:rStyle w:val="21"/>
          <w:rFonts w:hint="eastAsia" w:ascii="宋体" w:hAnsi="宋体" w:cs="宋体"/>
          <w:spacing w:val="-2"/>
          <w:szCs w:val="21"/>
          <w:lang w:val="en-US" w:eastAsia="zh-CN"/>
        </w:rPr>
        <w:t>1</w:t>
      </w:r>
      <w:r>
        <w:rPr>
          <w:rStyle w:val="21"/>
          <w:rFonts w:ascii="宋体" w:hAnsi="宋体" w:eastAsia="宋体" w:cs="宋体"/>
          <w:spacing w:val="-2"/>
          <w:szCs w:val="21"/>
        </w:rPr>
        <w:t>：承包人主要施工管理人员表</w:t>
      </w:r>
    </w:p>
    <w:p w14:paraId="3DB175D1">
      <w:pPr>
        <w:pStyle w:val="54"/>
        <w:spacing w:before="164" w:line="224" w:lineRule="auto"/>
        <w:ind w:left="40"/>
        <w:rPr>
          <w:rStyle w:val="21"/>
          <w:rFonts w:ascii="宋体" w:hAnsi="宋体" w:eastAsia="宋体" w:cs="宋体"/>
          <w:szCs w:val="21"/>
        </w:rPr>
      </w:pPr>
      <w:r>
        <w:rPr>
          <w:rStyle w:val="21"/>
          <w:rFonts w:ascii="宋体" w:hAnsi="宋体" w:eastAsia="宋体" w:cs="宋体"/>
          <w:spacing w:val="-2"/>
          <w:szCs w:val="21"/>
        </w:rPr>
        <w:t>附</w:t>
      </w:r>
      <w:r>
        <w:rPr>
          <w:rStyle w:val="21"/>
          <w:rFonts w:ascii="宋体" w:hAnsi="宋体" w:eastAsia="宋体" w:cs="宋体"/>
          <w:spacing w:val="-1"/>
          <w:szCs w:val="21"/>
        </w:rPr>
        <w:t xml:space="preserve">件 </w:t>
      </w:r>
      <w:r>
        <w:rPr>
          <w:rStyle w:val="21"/>
          <w:rFonts w:hint="eastAsia" w:ascii="宋体" w:hAnsi="宋体" w:cs="宋体"/>
          <w:spacing w:val="-1"/>
          <w:szCs w:val="21"/>
          <w:lang w:val="en-US" w:eastAsia="zh-CN"/>
        </w:rPr>
        <w:t>2</w:t>
      </w:r>
      <w:r>
        <w:rPr>
          <w:rStyle w:val="21"/>
          <w:rFonts w:ascii="宋体" w:hAnsi="宋体" w:eastAsia="宋体" w:cs="宋体"/>
          <w:spacing w:val="-1"/>
          <w:szCs w:val="21"/>
        </w:rPr>
        <w:t>：承包人用于本工程施工的机械设备表</w:t>
      </w:r>
    </w:p>
    <w:p w14:paraId="6574D3A7">
      <w:pPr>
        <w:pStyle w:val="54"/>
        <w:spacing w:before="226" w:line="224" w:lineRule="auto"/>
        <w:ind w:left="40"/>
        <w:rPr>
          <w:rStyle w:val="21"/>
          <w:rFonts w:hint="eastAsia" w:ascii="宋体" w:hAnsi="宋体" w:eastAsia="宋体" w:cs="宋体"/>
          <w:spacing w:val="-2"/>
          <w:szCs w:val="21"/>
        </w:rPr>
      </w:pPr>
      <w:r>
        <w:rPr>
          <w:rStyle w:val="21"/>
          <w:rFonts w:ascii="宋体" w:hAnsi="宋体" w:eastAsia="宋体" w:cs="宋体"/>
          <w:spacing w:val="-2"/>
          <w:szCs w:val="21"/>
        </w:rPr>
        <w:t xml:space="preserve">附件 </w:t>
      </w:r>
      <w:r>
        <w:rPr>
          <w:rStyle w:val="21"/>
          <w:rFonts w:hint="eastAsia" w:ascii="宋体" w:hAnsi="宋体" w:eastAsia="宋体" w:cs="宋体"/>
          <w:spacing w:val="-2"/>
          <w:szCs w:val="21"/>
          <w:lang w:val="en-US" w:eastAsia="zh-CN"/>
        </w:rPr>
        <w:t>3</w:t>
      </w:r>
      <w:r>
        <w:rPr>
          <w:rStyle w:val="21"/>
          <w:rFonts w:ascii="宋体" w:hAnsi="宋体" w:eastAsia="宋体" w:cs="宋体"/>
          <w:spacing w:val="-2"/>
          <w:szCs w:val="21"/>
        </w:rPr>
        <w:t>：工程质</w:t>
      </w:r>
      <w:r>
        <w:rPr>
          <w:rStyle w:val="21"/>
          <w:rFonts w:ascii="宋体" w:hAnsi="宋体" w:eastAsia="宋体" w:cs="宋体"/>
          <w:spacing w:val="-1"/>
          <w:szCs w:val="21"/>
        </w:rPr>
        <w:t>量保修书</w:t>
      </w:r>
    </w:p>
    <w:p w14:paraId="29C39E83">
      <w:pPr>
        <w:pStyle w:val="54"/>
        <w:spacing w:before="148" w:line="224" w:lineRule="auto"/>
        <w:ind w:left="40"/>
        <w:rPr>
          <w:rStyle w:val="21"/>
          <w:rFonts w:hint="eastAsia" w:ascii="宋体" w:hAnsi="宋体" w:eastAsia="宋体" w:cs="宋体"/>
          <w:spacing w:val="-2"/>
          <w:szCs w:val="21"/>
        </w:rPr>
      </w:pPr>
      <w:r>
        <w:rPr>
          <w:rStyle w:val="21"/>
          <w:rFonts w:hint="eastAsia" w:ascii="宋体" w:hAnsi="宋体" w:eastAsia="宋体" w:cs="宋体"/>
          <w:spacing w:val="-2"/>
          <w:szCs w:val="21"/>
        </w:rPr>
        <w:t>附件</w:t>
      </w:r>
      <w:r>
        <w:rPr>
          <w:rStyle w:val="21"/>
          <w:rFonts w:hint="eastAsia" w:ascii="宋体" w:hAnsi="宋体" w:eastAsia="宋体" w:cs="宋体"/>
          <w:spacing w:val="-2"/>
          <w:szCs w:val="21"/>
          <w:lang w:val="en-US" w:eastAsia="zh-CN"/>
        </w:rPr>
        <w:t xml:space="preserve"> 4</w:t>
      </w:r>
      <w:r>
        <w:rPr>
          <w:rStyle w:val="21"/>
          <w:rFonts w:hint="eastAsia" w:ascii="宋体" w:hAnsi="宋体" w:eastAsia="宋体" w:cs="宋体"/>
          <w:spacing w:val="-2"/>
          <w:szCs w:val="21"/>
        </w:rPr>
        <w:t>：廉政合同</w:t>
      </w:r>
    </w:p>
    <w:p w14:paraId="22CD03EB">
      <w:pPr>
        <w:pStyle w:val="54"/>
        <w:spacing w:before="226" w:line="224" w:lineRule="auto"/>
        <w:ind w:left="40"/>
        <w:rPr>
          <w:rStyle w:val="21"/>
          <w:rFonts w:hint="eastAsia" w:ascii="宋体" w:hAnsi="宋体" w:eastAsia="宋体" w:cs="宋体"/>
          <w:spacing w:val="-2"/>
          <w:szCs w:val="21"/>
        </w:rPr>
      </w:pPr>
    </w:p>
    <w:p w14:paraId="716358D5">
      <w:pPr>
        <w:pStyle w:val="54"/>
        <w:spacing w:before="226" w:line="224" w:lineRule="auto"/>
        <w:ind w:left="40"/>
        <w:rPr>
          <w:rStyle w:val="21"/>
          <w:rFonts w:hint="eastAsia" w:ascii="宋体" w:hAnsi="宋体" w:eastAsia="宋体" w:cs="宋体"/>
          <w:spacing w:val="-2"/>
          <w:szCs w:val="21"/>
        </w:rPr>
      </w:pPr>
    </w:p>
    <w:p w14:paraId="07862E7B">
      <w:pPr>
        <w:pStyle w:val="54"/>
        <w:spacing w:line="246" w:lineRule="auto"/>
        <w:rPr>
          <w:rStyle w:val="21"/>
          <w:rFonts w:ascii="Arial" w:hAnsi="Calibri" w:eastAsia="宋体" w:cs="Times New Roman"/>
        </w:rPr>
      </w:pPr>
    </w:p>
    <w:p w14:paraId="05A5B52D">
      <w:pPr>
        <w:pStyle w:val="54"/>
        <w:spacing w:line="246" w:lineRule="auto"/>
        <w:rPr>
          <w:rStyle w:val="21"/>
          <w:rFonts w:ascii="Arial" w:hAnsi="Calibri" w:eastAsia="宋体" w:cs="Times New Roman"/>
        </w:rPr>
      </w:pPr>
    </w:p>
    <w:p w14:paraId="6BCBEE90">
      <w:pPr>
        <w:pStyle w:val="54"/>
        <w:spacing w:line="246" w:lineRule="auto"/>
        <w:rPr>
          <w:rStyle w:val="21"/>
          <w:rFonts w:ascii="Arial" w:hAnsi="Calibri" w:eastAsia="宋体" w:cs="Times New Roman"/>
        </w:rPr>
      </w:pPr>
    </w:p>
    <w:p w14:paraId="4F65C3E4">
      <w:pPr>
        <w:pStyle w:val="54"/>
        <w:spacing w:line="246" w:lineRule="auto"/>
        <w:rPr>
          <w:rStyle w:val="21"/>
          <w:rFonts w:ascii="Arial" w:hAnsi="Calibri" w:eastAsia="宋体" w:cs="Times New Roman"/>
        </w:rPr>
      </w:pPr>
    </w:p>
    <w:p w14:paraId="1E3A8D6C">
      <w:pPr>
        <w:pStyle w:val="54"/>
        <w:spacing w:line="246" w:lineRule="auto"/>
        <w:rPr>
          <w:rStyle w:val="21"/>
          <w:rFonts w:ascii="Arial" w:hAnsi="Calibri" w:eastAsia="宋体" w:cs="Times New Roman"/>
        </w:rPr>
      </w:pPr>
    </w:p>
    <w:p w14:paraId="75185D2C">
      <w:pPr>
        <w:pStyle w:val="54"/>
        <w:spacing w:line="246" w:lineRule="auto"/>
        <w:rPr>
          <w:rStyle w:val="21"/>
          <w:rFonts w:ascii="Arial" w:hAnsi="Calibri" w:eastAsia="宋体" w:cs="Times New Roman"/>
        </w:rPr>
      </w:pPr>
    </w:p>
    <w:p w14:paraId="49917CFA">
      <w:pPr>
        <w:pStyle w:val="54"/>
        <w:spacing w:before="98" w:line="220" w:lineRule="auto"/>
        <w:ind w:left="76"/>
        <w:rPr>
          <w:rStyle w:val="21"/>
          <w:rFonts w:ascii="仿宋" w:hAnsi="仿宋" w:eastAsia="仿宋" w:cs="仿宋"/>
          <w:spacing w:val="-15"/>
          <w:sz w:val="30"/>
          <w:szCs w:val="30"/>
        </w:rPr>
      </w:pPr>
    </w:p>
    <w:p w14:paraId="194334C1">
      <w:pPr>
        <w:pStyle w:val="54"/>
        <w:spacing w:before="98" w:line="220" w:lineRule="auto"/>
        <w:ind w:left="76"/>
        <w:rPr>
          <w:rStyle w:val="21"/>
          <w:rFonts w:ascii="仿宋" w:hAnsi="仿宋" w:eastAsia="仿宋" w:cs="仿宋"/>
          <w:spacing w:val="-15"/>
          <w:sz w:val="30"/>
          <w:szCs w:val="30"/>
        </w:rPr>
      </w:pPr>
    </w:p>
    <w:p w14:paraId="3E522658">
      <w:pPr>
        <w:pStyle w:val="54"/>
        <w:spacing w:before="98" w:line="220" w:lineRule="auto"/>
        <w:ind w:left="76"/>
        <w:rPr>
          <w:rStyle w:val="21"/>
          <w:rFonts w:ascii="仿宋" w:hAnsi="仿宋" w:eastAsia="仿宋" w:cs="仿宋"/>
          <w:spacing w:val="-15"/>
          <w:sz w:val="30"/>
          <w:szCs w:val="30"/>
        </w:rPr>
      </w:pPr>
    </w:p>
    <w:p w14:paraId="33A808A3">
      <w:pPr>
        <w:pStyle w:val="54"/>
        <w:spacing w:before="98" w:line="220" w:lineRule="auto"/>
        <w:ind w:left="76"/>
        <w:rPr>
          <w:rStyle w:val="21"/>
          <w:rFonts w:ascii="仿宋" w:hAnsi="仿宋" w:eastAsia="仿宋" w:cs="仿宋"/>
          <w:spacing w:val="-15"/>
          <w:sz w:val="30"/>
          <w:szCs w:val="30"/>
        </w:rPr>
      </w:pPr>
    </w:p>
    <w:p w14:paraId="15A048ED">
      <w:pPr>
        <w:pStyle w:val="54"/>
        <w:spacing w:before="98" w:line="220" w:lineRule="auto"/>
        <w:ind w:left="76"/>
        <w:rPr>
          <w:rStyle w:val="21"/>
          <w:rFonts w:ascii="仿宋" w:hAnsi="仿宋" w:eastAsia="仿宋" w:cs="仿宋"/>
          <w:spacing w:val="-15"/>
          <w:sz w:val="30"/>
          <w:szCs w:val="30"/>
        </w:rPr>
      </w:pPr>
    </w:p>
    <w:p w14:paraId="4F1E7E06">
      <w:pPr>
        <w:pStyle w:val="54"/>
        <w:spacing w:before="98" w:line="220" w:lineRule="auto"/>
        <w:ind w:left="76"/>
        <w:rPr>
          <w:rStyle w:val="21"/>
          <w:rFonts w:ascii="仿宋" w:hAnsi="仿宋" w:eastAsia="仿宋" w:cs="仿宋"/>
          <w:spacing w:val="-15"/>
          <w:sz w:val="30"/>
          <w:szCs w:val="30"/>
        </w:rPr>
      </w:pPr>
    </w:p>
    <w:p w14:paraId="4FDE16ED">
      <w:pPr>
        <w:pStyle w:val="54"/>
        <w:spacing w:before="98" w:line="220" w:lineRule="auto"/>
        <w:ind w:left="76"/>
        <w:rPr>
          <w:rStyle w:val="21"/>
          <w:rFonts w:ascii="仿宋" w:hAnsi="仿宋" w:eastAsia="仿宋" w:cs="仿宋"/>
          <w:spacing w:val="-15"/>
          <w:sz w:val="30"/>
          <w:szCs w:val="30"/>
        </w:rPr>
      </w:pPr>
    </w:p>
    <w:p w14:paraId="55EF2D9E">
      <w:pPr>
        <w:pStyle w:val="54"/>
        <w:spacing w:before="98" w:line="220" w:lineRule="auto"/>
        <w:rPr>
          <w:rStyle w:val="21"/>
          <w:rFonts w:ascii="仿宋" w:hAnsi="仿宋" w:eastAsia="仿宋" w:cs="仿宋"/>
          <w:spacing w:val="-15"/>
          <w:sz w:val="30"/>
          <w:szCs w:val="30"/>
        </w:rPr>
      </w:pPr>
    </w:p>
    <w:p w14:paraId="27CFE345">
      <w:pPr>
        <w:pStyle w:val="54"/>
        <w:spacing w:before="98" w:line="220" w:lineRule="auto"/>
        <w:ind w:left="76"/>
        <w:rPr>
          <w:rStyle w:val="21"/>
          <w:rFonts w:ascii="仿宋" w:hAnsi="仿宋" w:eastAsia="仿宋" w:cs="仿宋"/>
          <w:spacing w:val="-15"/>
          <w:sz w:val="30"/>
          <w:szCs w:val="30"/>
        </w:rPr>
      </w:pPr>
    </w:p>
    <w:p w14:paraId="388EE3EC">
      <w:pPr>
        <w:pStyle w:val="54"/>
        <w:spacing w:before="98" w:line="220" w:lineRule="auto"/>
        <w:ind w:left="76"/>
        <w:rPr>
          <w:rStyle w:val="21"/>
          <w:rFonts w:hint="default" w:ascii="宋体" w:hAnsi="宋体" w:eastAsia="宋体" w:cs="宋体"/>
          <w:spacing w:val="-23"/>
          <w:sz w:val="28"/>
          <w:szCs w:val="28"/>
          <w:lang w:val="en-US" w:eastAsia="zh-CN"/>
        </w:rPr>
      </w:pPr>
      <w:r>
        <w:rPr>
          <w:rStyle w:val="21"/>
          <w:rFonts w:ascii="仿宋" w:hAnsi="仿宋" w:eastAsia="仿宋" w:cs="仿宋"/>
          <w:spacing w:val="-15"/>
          <w:sz w:val="30"/>
          <w:szCs w:val="30"/>
        </w:rPr>
        <w:t>附件 1：</w:t>
      </w:r>
      <w:r>
        <w:rPr>
          <w:rStyle w:val="21"/>
          <w:rFonts w:ascii="黑体" w:hAnsi="黑体" w:eastAsia="黑体" w:cs="黑体"/>
          <w:spacing w:val="17"/>
          <w:sz w:val="28"/>
          <w:szCs w:val="28"/>
        </w:rPr>
        <w:t>承</w:t>
      </w:r>
      <w:r>
        <w:rPr>
          <w:rStyle w:val="21"/>
          <w:rFonts w:ascii="黑体" w:hAnsi="黑体" w:eastAsia="黑体" w:cs="黑体"/>
          <w:spacing w:val="15"/>
          <w:sz w:val="28"/>
          <w:szCs w:val="28"/>
        </w:rPr>
        <w:t>包人主要施工管理人员表</w:t>
      </w:r>
    </w:p>
    <w:p w14:paraId="7E44D376">
      <w:pPr>
        <w:pStyle w:val="54"/>
        <w:spacing w:line="104" w:lineRule="exact"/>
        <w:rPr>
          <w:rStyle w:val="21"/>
          <w:rFonts w:ascii="Calibri" w:hAnsi="Calibri" w:eastAsia="宋体" w:cs="Times New Roman"/>
        </w:rPr>
      </w:pPr>
    </w:p>
    <w:p w14:paraId="5557C82E">
      <w:pPr>
        <w:pStyle w:val="54"/>
        <w:spacing w:line="256" w:lineRule="auto"/>
        <w:rPr>
          <w:rStyle w:val="21"/>
          <w:rFonts w:ascii="Arial" w:hAnsi="Calibri" w:eastAsia="宋体" w:cs="Times New Roman"/>
        </w:rPr>
      </w:pPr>
    </w:p>
    <w:p w14:paraId="50B7A14D">
      <w:pPr>
        <w:pStyle w:val="54"/>
        <w:spacing w:line="256" w:lineRule="auto"/>
        <w:rPr>
          <w:rStyle w:val="21"/>
          <w:rFonts w:ascii="Arial" w:hAnsi="Calibri" w:eastAsia="宋体" w:cs="Times New Roman"/>
        </w:rPr>
      </w:pPr>
    </w:p>
    <w:p w14:paraId="313CE7DA">
      <w:pPr>
        <w:pStyle w:val="54"/>
        <w:spacing w:line="256" w:lineRule="auto"/>
        <w:rPr>
          <w:rStyle w:val="21"/>
          <w:rFonts w:ascii="Arial" w:hAnsi="Calibri" w:eastAsia="宋体" w:cs="Times New Roman"/>
        </w:rPr>
      </w:pPr>
    </w:p>
    <w:tbl>
      <w:tblPr>
        <w:tblStyle w:val="19"/>
        <w:tblpPr w:leftFromText="180" w:rightFromText="180" w:vertAnchor="text" w:horzAnchor="page" w:tblpX="1307" w:tblpY="214"/>
        <w:tblOverlap w:val="never"/>
        <w:tblW w:w="9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80"/>
        <w:gridCol w:w="1426"/>
        <w:gridCol w:w="1138"/>
        <w:gridCol w:w="1123"/>
        <w:gridCol w:w="4270"/>
      </w:tblGrid>
      <w:tr w14:paraId="290E5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80" w:type="dxa"/>
            <w:tcBorders>
              <w:top w:val="single" w:color="000000" w:sz="2" w:space="0"/>
              <w:bottom w:val="single" w:color="000000" w:sz="2" w:space="0"/>
            </w:tcBorders>
            <w:noWrap w:val="0"/>
            <w:vAlign w:val="top"/>
          </w:tcPr>
          <w:p w14:paraId="2E9C71C0">
            <w:pPr>
              <w:pStyle w:val="54"/>
              <w:spacing w:before="120" w:line="219" w:lineRule="auto"/>
              <w:ind w:left="384"/>
              <w:rPr>
                <w:rStyle w:val="21"/>
                <w:rFonts w:ascii="仿宋" w:hAnsi="仿宋" w:eastAsia="仿宋" w:cs="仿宋"/>
                <w:sz w:val="24"/>
                <w:szCs w:val="24"/>
              </w:rPr>
            </w:pPr>
            <w:r>
              <w:rPr>
                <w:rStyle w:val="21"/>
                <w:rFonts w:ascii="仿宋" w:hAnsi="仿宋" w:eastAsia="仿宋" w:cs="仿宋"/>
                <w:spacing w:val="9"/>
                <w:sz w:val="24"/>
                <w:szCs w:val="24"/>
              </w:rPr>
              <w:t xml:space="preserve">名    </w:t>
            </w:r>
            <w:r>
              <w:rPr>
                <w:rStyle w:val="21"/>
                <w:rFonts w:ascii="仿宋" w:hAnsi="仿宋" w:eastAsia="仿宋" w:cs="仿宋"/>
                <w:spacing w:val="8"/>
                <w:sz w:val="24"/>
                <w:szCs w:val="24"/>
              </w:rPr>
              <w:t>称</w:t>
            </w:r>
          </w:p>
        </w:tc>
        <w:tc>
          <w:tcPr>
            <w:tcW w:w="1426" w:type="dxa"/>
            <w:tcBorders>
              <w:top w:val="single" w:color="000000" w:sz="2" w:space="0"/>
              <w:bottom w:val="single" w:color="000000" w:sz="2" w:space="0"/>
            </w:tcBorders>
            <w:noWrap w:val="0"/>
            <w:vAlign w:val="top"/>
          </w:tcPr>
          <w:p w14:paraId="617130A7">
            <w:pPr>
              <w:pStyle w:val="54"/>
              <w:spacing w:before="120" w:line="223" w:lineRule="auto"/>
              <w:ind w:left="434"/>
              <w:rPr>
                <w:rStyle w:val="21"/>
                <w:rFonts w:ascii="仿宋" w:hAnsi="仿宋" w:eastAsia="仿宋" w:cs="仿宋"/>
                <w:sz w:val="24"/>
                <w:szCs w:val="24"/>
              </w:rPr>
            </w:pPr>
            <w:r>
              <w:rPr>
                <w:rStyle w:val="21"/>
                <w:rFonts w:ascii="仿宋" w:hAnsi="仿宋" w:eastAsia="仿宋" w:cs="仿宋"/>
                <w:spacing w:val="2"/>
                <w:sz w:val="24"/>
                <w:szCs w:val="24"/>
              </w:rPr>
              <w:t>姓名</w:t>
            </w:r>
          </w:p>
        </w:tc>
        <w:tc>
          <w:tcPr>
            <w:tcW w:w="1138" w:type="dxa"/>
            <w:tcBorders>
              <w:top w:val="single" w:color="000000" w:sz="2" w:space="0"/>
              <w:bottom w:val="single" w:color="000000" w:sz="2" w:space="0"/>
            </w:tcBorders>
            <w:noWrap w:val="0"/>
            <w:vAlign w:val="top"/>
          </w:tcPr>
          <w:p w14:paraId="367CE6FA">
            <w:pPr>
              <w:pStyle w:val="54"/>
              <w:spacing w:before="94" w:line="218" w:lineRule="auto"/>
              <w:ind w:left="264"/>
              <w:rPr>
                <w:rStyle w:val="21"/>
                <w:rFonts w:ascii="仿宋" w:hAnsi="仿宋" w:eastAsia="仿宋" w:cs="仿宋"/>
                <w:sz w:val="28"/>
                <w:szCs w:val="28"/>
              </w:rPr>
            </w:pPr>
            <w:r>
              <w:rPr>
                <w:rStyle w:val="21"/>
                <w:rFonts w:ascii="仿宋" w:hAnsi="仿宋" w:eastAsia="仿宋" w:cs="仿宋"/>
                <w:spacing w:val="1"/>
                <w:sz w:val="28"/>
                <w:szCs w:val="28"/>
              </w:rPr>
              <w:t>职</w:t>
            </w:r>
            <w:r>
              <w:rPr>
                <w:rStyle w:val="21"/>
                <w:rFonts w:ascii="仿宋" w:hAnsi="仿宋" w:eastAsia="仿宋" w:cs="仿宋"/>
                <w:sz w:val="28"/>
                <w:szCs w:val="28"/>
              </w:rPr>
              <w:t>务</w:t>
            </w:r>
          </w:p>
        </w:tc>
        <w:tc>
          <w:tcPr>
            <w:tcW w:w="1123" w:type="dxa"/>
            <w:tcBorders>
              <w:top w:val="single" w:color="000000" w:sz="2" w:space="0"/>
              <w:bottom w:val="single" w:color="000000" w:sz="2" w:space="0"/>
            </w:tcBorders>
            <w:noWrap w:val="0"/>
            <w:vAlign w:val="top"/>
          </w:tcPr>
          <w:p w14:paraId="11C69036">
            <w:pPr>
              <w:pStyle w:val="54"/>
              <w:spacing w:before="94" w:line="218" w:lineRule="auto"/>
              <w:ind w:left="250"/>
              <w:rPr>
                <w:rStyle w:val="21"/>
                <w:rFonts w:ascii="仿宋" w:hAnsi="仿宋" w:eastAsia="仿宋" w:cs="仿宋"/>
                <w:sz w:val="28"/>
                <w:szCs w:val="28"/>
              </w:rPr>
            </w:pPr>
            <w:r>
              <w:rPr>
                <w:rStyle w:val="21"/>
                <w:rFonts w:ascii="仿宋" w:hAnsi="仿宋" w:eastAsia="仿宋" w:cs="仿宋"/>
                <w:spacing w:val="1"/>
                <w:sz w:val="28"/>
                <w:szCs w:val="28"/>
              </w:rPr>
              <w:t>职</w:t>
            </w:r>
            <w:r>
              <w:rPr>
                <w:rStyle w:val="21"/>
                <w:rFonts w:ascii="仿宋" w:hAnsi="仿宋" w:eastAsia="仿宋" w:cs="仿宋"/>
                <w:sz w:val="28"/>
                <w:szCs w:val="28"/>
              </w:rPr>
              <w:t>称</w:t>
            </w:r>
          </w:p>
        </w:tc>
        <w:tc>
          <w:tcPr>
            <w:tcW w:w="4270" w:type="dxa"/>
            <w:tcBorders>
              <w:top w:val="single" w:color="000000" w:sz="2" w:space="0"/>
              <w:bottom w:val="single" w:color="000000" w:sz="2" w:space="0"/>
            </w:tcBorders>
            <w:noWrap w:val="0"/>
            <w:vAlign w:val="top"/>
          </w:tcPr>
          <w:p w14:paraId="1F3ED848">
            <w:pPr>
              <w:pStyle w:val="54"/>
              <w:spacing w:before="94" w:line="218" w:lineRule="auto"/>
              <w:ind w:left="1161"/>
              <w:rPr>
                <w:rStyle w:val="21"/>
                <w:rFonts w:ascii="仿宋" w:hAnsi="仿宋" w:eastAsia="仿宋" w:cs="仿宋"/>
                <w:sz w:val="28"/>
                <w:szCs w:val="28"/>
              </w:rPr>
            </w:pPr>
            <w:r>
              <w:rPr>
                <w:rStyle w:val="21"/>
                <w:rFonts w:ascii="仿宋" w:hAnsi="仿宋" w:eastAsia="仿宋" w:cs="仿宋"/>
                <w:spacing w:val="14"/>
                <w:sz w:val="28"/>
                <w:szCs w:val="28"/>
              </w:rPr>
              <w:t>计</w:t>
            </w:r>
            <w:r>
              <w:rPr>
                <w:rStyle w:val="21"/>
                <w:rFonts w:ascii="仿宋" w:hAnsi="仿宋" w:eastAsia="仿宋" w:cs="仿宋"/>
                <w:spacing w:val="11"/>
                <w:sz w:val="28"/>
                <w:szCs w:val="28"/>
              </w:rPr>
              <w:t>划进场时间</w:t>
            </w:r>
          </w:p>
        </w:tc>
      </w:tr>
      <w:tr w14:paraId="530151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837" w:type="dxa"/>
            <w:gridSpan w:val="5"/>
            <w:tcBorders>
              <w:top w:val="single" w:color="000000" w:sz="2" w:space="0"/>
              <w:bottom w:val="single" w:color="000000" w:sz="2" w:space="0"/>
            </w:tcBorders>
            <w:noWrap w:val="0"/>
            <w:vAlign w:val="top"/>
          </w:tcPr>
          <w:p w14:paraId="6FBF9E66">
            <w:pPr>
              <w:pStyle w:val="54"/>
              <w:spacing w:before="112" w:line="221" w:lineRule="auto"/>
              <w:ind w:left="4063"/>
              <w:rPr>
                <w:rStyle w:val="21"/>
                <w:rFonts w:ascii="仿宋" w:hAnsi="仿宋" w:eastAsia="仿宋" w:cs="仿宋"/>
                <w:sz w:val="24"/>
                <w:szCs w:val="24"/>
              </w:rPr>
            </w:pPr>
            <w:r>
              <w:rPr>
                <w:rStyle w:val="21"/>
                <w:rFonts w:ascii="仿宋" w:hAnsi="仿宋" w:eastAsia="仿宋" w:cs="仿宋"/>
                <w:spacing w:val="13"/>
                <w:sz w:val="24"/>
                <w:szCs w:val="24"/>
              </w:rPr>
              <w:t>一</w:t>
            </w:r>
            <w:r>
              <w:rPr>
                <w:rStyle w:val="21"/>
                <w:rFonts w:ascii="仿宋" w:hAnsi="仿宋" w:eastAsia="仿宋" w:cs="仿宋"/>
                <w:spacing w:val="12"/>
                <w:sz w:val="24"/>
                <w:szCs w:val="24"/>
              </w:rPr>
              <w:t>、总部人员</w:t>
            </w:r>
          </w:p>
        </w:tc>
      </w:tr>
      <w:tr w14:paraId="3B29B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880" w:type="dxa"/>
            <w:tcBorders>
              <w:top w:val="single" w:color="000000" w:sz="2" w:space="0"/>
              <w:bottom w:val="single" w:color="000000" w:sz="2" w:space="0"/>
            </w:tcBorders>
            <w:noWrap w:val="0"/>
            <w:vAlign w:val="top"/>
          </w:tcPr>
          <w:p w14:paraId="7C24B650">
            <w:pPr>
              <w:pStyle w:val="54"/>
              <w:spacing w:before="113" w:line="222" w:lineRule="auto"/>
              <w:ind w:left="384"/>
              <w:rPr>
                <w:rStyle w:val="21"/>
                <w:rFonts w:ascii="仿宋" w:hAnsi="仿宋" w:eastAsia="仿宋" w:cs="仿宋"/>
                <w:sz w:val="24"/>
                <w:szCs w:val="24"/>
              </w:rPr>
            </w:pPr>
            <w:r>
              <w:rPr>
                <w:rStyle w:val="21"/>
                <w:rFonts w:ascii="仿宋" w:hAnsi="仿宋" w:eastAsia="仿宋" w:cs="仿宋"/>
                <w:spacing w:val="10"/>
                <w:sz w:val="24"/>
                <w:szCs w:val="24"/>
              </w:rPr>
              <w:t>项目主</w:t>
            </w:r>
            <w:r>
              <w:rPr>
                <w:rStyle w:val="21"/>
                <w:rFonts w:ascii="仿宋" w:hAnsi="仿宋" w:eastAsia="仿宋" w:cs="仿宋"/>
                <w:spacing w:val="9"/>
                <w:sz w:val="24"/>
                <w:szCs w:val="24"/>
              </w:rPr>
              <w:t>管</w:t>
            </w:r>
          </w:p>
        </w:tc>
        <w:tc>
          <w:tcPr>
            <w:tcW w:w="1426" w:type="dxa"/>
            <w:tcBorders>
              <w:top w:val="single" w:color="000000" w:sz="2" w:space="0"/>
              <w:bottom w:val="single" w:color="000000" w:sz="2" w:space="0"/>
            </w:tcBorders>
            <w:noWrap w:val="0"/>
            <w:vAlign w:val="top"/>
          </w:tcPr>
          <w:p w14:paraId="5B3C36E8">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05DB3760">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3EFD7DBD">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2B278CAC">
            <w:pPr>
              <w:pStyle w:val="54"/>
              <w:rPr>
                <w:rStyle w:val="21"/>
                <w:rFonts w:ascii="Arial" w:hAnsi="Calibri" w:eastAsia="宋体" w:cs="Times New Roman"/>
                <w:sz w:val="20"/>
                <w:szCs w:val="21"/>
              </w:rPr>
            </w:pPr>
          </w:p>
        </w:tc>
      </w:tr>
      <w:tr w14:paraId="0BF81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14:paraId="4CA4120F">
            <w:pPr>
              <w:pStyle w:val="54"/>
              <w:spacing w:line="440" w:lineRule="auto"/>
              <w:rPr>
                <w:rStyle w:val="21"/>
                <w:rFonts w:ascii="Arial" w:hAnsi="Calibri" w:eastAsia="宋体" w:cs="Times New Roman"/>
                <w:sz w:val="20"/>
                <w:szCs w:val="21"/>
              </w:rPr>
            </w:pPr>
          </w:p>
          <w:p w14:paraId="691F52EB">
            <w:pPr>
              <w:pStyle w:val="54"/>
              <w:spacing w:before="88" w:line="220" w:lineRule="auto"/>
              <w:ind w:left="385"/>
              <w:rPr>
                <w:rStyle w:val="21"/>
                <w:rFonts w:ascii="仿宋" w:hAnsi="仿宋" w:eastAsia="仿宋" w:cs="仿宋"/>
                <w:sz w:val="24"/>
                <w:szCs w:val="24"/>
              </w:rPr>
            </w:pPr>
            <w:r>
              <w:rPr>
                <w:rStyle w:val="21"/>
                <w:rFonts w:ascii="仿宋" w:hAnsi="仿宋" w:eastAsia="仿宋" w:cs="仿宋"/>
                <w:spacing w:val="11"/>
                <w:sz w:val="24"/>
                <w:szCs w:val="24"/>
              </w:rPr>
              <w:t>其</w:t>
            </w:r>
            <w:r>
              <w:rPr>
                <w:rStyle w:val="21"/>
                <w:rFonts w:ascii="仿宋" w:hAnsi="仿宋" w:eastAsia="仿宋" w:cs="仿宋"/>
                <w:spacing w:val="9"/>
                <w:sz w:val="24"/>
                <w:szCs w:val="24"/>
              </w:rPr>
              <w:t>他人员</w:t>
            </w:r>
          </w:p>
        </w:tc>
        <w:tc>
          <w:tcPr>
            <w:tcW w:w="1426" w:type="dxa"/>
            <w:tcBorders>
              <w:top w:val="single" w:color="000000" w:sz="2" w:space="0"/>
              <w:bottom w:val="single" w:color="000000" w:sz="2" w:space="0"/>
            </w:tcBorders>
            <w:noWrap w:val="0"/>
            <w:vAlign w:val="top"/>
          </w:tcPr>
          <w:p w14:paraId="5FEBA2DD">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176A918D">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01E2D3D4">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982F8BF">
            <w:pPr>
              <w:pStyle w:val="54"/>
              <w:rPr>
                <w:rStyle w:val="21"/>
                <w:rFonts w:ascii="Arial" w:hAnsi="Calibri" w:eastAsia="宋体" w:cs="Times New Roman"/>
                <w:sz w:val="20"/>
                <w:szCs w:val="21"/>
              </w:rPr>
            </w:pPr>
          </w:p>
        </w:tc>
      </w:tr>
      <w:tr w14:paraId="76544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noWrap w:val="0"/>
            <w:vAlign w:val="top"/>
          </w:tcPr>
          <w:p w14:paraId="3529AD79">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37317756">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0FBF274B">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5C43D447">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563B4D17">
            <w:pPr>
              <w:pStyle w:val="54"/>
              <w:rPr>
                <w:rStyle w:val="21"/>
                <w:rFonts w:ascii="Arial" w:hAnsi="Calibri" w:eastAsia="宋体" w:cs="Times New Roman"/>
                <w:sz w:val="20"/>
                <w:szCs w:val="21"/>
              </w:rPr>
            </w:pPr>
          </w:p>
        </w:tc>
      </w:tr>
      <w:tr w14:paraId="4DF1C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tcBorders>
              <w:bottom w:val="single" w:color="000000" w:sz="2" w:space="0"/>
            </w:tcBorders>
            <w:noWrap w:val="0"/>
            <w:vAlign w:val="top"/>
          </w:tcPr>
          <w:p w14:paraId="1B400271">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1B5959AD">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46E1F5C2">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2FDD8819">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7EE0DA78">
            <w:pPr>
              <w:pStyle w:val="54"/>
              <w:rPr>
                <w:rStyle w:val="21"/>
                <w:rFonts w:ascii="Arial" w:hAnsi="Calibri" w:eastAsia="宋体" w:cs="Times New Roman"/>
                <w:sz w:val="20"/>
                <w:szCs w:val="21"/>
              </w:rPr>
            </w:pPr>
          </w:p>
        </w:tc>
      </w:tr>
      <w:tr w14:paraId="3C04C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837" w:type="dxa"/>
            <w:gridSpan w:val="5"/>
            <w:tcBorders>
              <w:top w:val="single" w:color="000000" w:sz="2" w:space="0"/>
              <w:bottom w:val="single" w:color="000000" w:sz="2" w:space="0"/>
            </w:tcBorders>
            <w:noWrap w:val="0"/>
            <w:vAlign w:val="top"/>
          </w:tcPr>
          <w:p w14:paraId="3514A7E2">
            <w:pPr>
              <w:pStyle w:val="54"/>
              <w:spacing w:before="114" w:line="221" w:lineRule="auto"/>
              <w:ind w:left="4068"/>
              <w:rPr>
                <w:rStyle w:val="21"/>
                <w:rFonts w:ascii="仿宋" w:hAnsi="仿宋" w:eastAsia="仿宋" w:cs="仿宋"/>
                <w:sz w:val="24"/>
                <w:szCs w:val="24"/>
              </w:rPr>
            </w:pPr>
            <w:r>
              <w:rPr>
                <w:rStyle w:val="21"/>
                <w:rFonts w:ascii="仿宋" w:hAnsi="仿宋" w:eastAsia="仿宋" w:cs="仿宋"/>
                <w:spacing w:val="14"/>
                <w:sz w:val="24"/>
                <w:szCs w:val="24"/>
              </w:rPr>
              <w:t>二</w:t>
            </w:r>
            <w:r>
              <w:rPr>
                <w:rStyle w:val="21"/>
                <w:rFonts w:ascii="仿宋" w:hAnsi="仿宋" w:eastAsia="仿宋" w:cs="仿宋"/>
                <w:spacing w:val="11"/>
                <w:sz w:val="24"/>
                <w:szCs w:val="24"/>
              </w:rPr>
              <w:t>、现场人员</w:t>
            </w:r>
          </w:p>
        </w:tc>
      </w:tr>
      <w:tr w14:paraId="737DB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tcBorders>
              <w:top w:val="single" w:color="000000" w:sz="2" w:space="0"/>
              <w:bottom w:val="single" w:color="000000" w:sz="2" w:space="0"/>
            </w:tcBorders>
            <w:noWrap w:val="0"/>
            <w:vAlign w:val="top"/>
          </w:tcPr>
          <w:p w14:paraId="19CDBFFD">
            <w:pPr>
              <w:pStyle w:val="54"/>
              <w:spacing w:before="99" w:line="222" w:lineRule="auto"/>
              <w:ind w:left="384"/>
              <w:rPr>
                <w:rStyle w:val="21"/>
                <w:rFonts w:ascii="仿宋" w:hAnsi="仿宋" w:eastAsia="仿宋" w:cs="仿宋"/>
                <w:sz w:val="24"/>
                <w:szCs w:val="24"/>
              </w:rPr>
            </w:pPr>
            <w:r>
              <w:rPr>
                <w:rStyle w:val="21"/>
                <w:rFonts w:ascii="仿宋" w:hAnsi="仿宋" w:eastAsia="仿宋" w:cs="仿宋"/>
                <w:spacing w:val="10"/>
                <w:sz w:val="24"/>
                <w:szCs w:val="24"/>
              </w:rPr>
              <w:t>项目经</w:t>
            </w:r>
            <w:r>
              <w:rPr>
                <w:rStyle w:val="21"/>
                <w:rFonts w:ascii="仿宋" w:hAnsi="仿宋" w:eastAsia="仿宋" w:cs="仿宋"/>
                <w:spacing w:val="9"/>
                <w:sz w:val="24"/>
                <w:szCs w:val="24"/>
              </w:rPr>
              <w:t>理</w:t>
            </w:r>
          </w:p>
        </w:tc>
        <w:tc>
          <w:tcPr>
            <w:tcW w:w="1426" w:type="dxa"/>
            <w:tcBorders>
              <w:top w:val="single" w:color="000000" w:sz="2" w:space="0"/>
              <w:bottom w:val="single" w:color="000000" w:sz="2" w:space="0"/>
            </w:tcBorders>
            <w:noWrap w:val="0"/>
            <w:vAlign w:val="top"/>
          </w:tcPr>
          <w:p w14:paraId="01B73CE7">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5DE64E35">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099E4EB8">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2890CD1A">
            <w:pPr>
              <w:pStyle w:val="54"/>
              <w:rPr>
                <w:rStyle w:val="21"/>
                <w:rFonts w:ascii="Arial" w:hAnsi="Calibri" w:eastAsia="宋体" w:cs="Times New Roman"/>
                <w:sz w:val="20"/>
                <w:szCs w:val="21"/>
              </w:rPr>
            </w:pPr>
          </w:p>
        </w:tc>
      </w:tr>
      <w:tr w14:paraId="49DA7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tcBorders>
              <w:top w:val="single" w:color="000000" w:sz="2" w:space="0"/>
              <w:bottom w:val="single" w:color="000000" w:sz="2" w:space="0"/>
            </w:tcBorders>
            <w:noWrap w:val="0"/>
            <w:vAlign w:val="top"/>
          </w:tcPr>
          <w:p w14:paraId="127A3C08">
            <w:pPr>
              <w:pStyle w:val="54"/>
              <w:spacing w:before="113" w:line="222" w:lineRule="auto"/>
              <w:ind w:left="240"/>
              <w:rPr>
                <w:rStyle w:val="21"/>
                <w:rFonts w:ascii="仿宋" w:hAnsi="仿宋" w:eastAsia="仿宋" w:cs="仿宋"/>
                <w:sz w:val="24"/>
                <w:szCs w:val="24"/>
              </w:rPr>
            </w:pPr>
            <w:r>
              <w:rPr>
                <w:rStyle w:val="21"/>
                <w:rFonts w:ascii="仿宋" w:hAnsi="仿宋" w:eastAsia="仿宋" w:cs="仿宋"/>
                <w:spacing w:val="14"/>
                <w:sz w:val="24"/>
                <w:szCs w:val="24"/>
              </w:rPr>
              <w:t>项</w:t>
            </w:r>
            <w:r>
              <w:rPr>
                <w:rStyle w:val="21"/>
                <w:rFonts w:ascii="仿宋" w:hAnsi="仿宋" w:eastAsia="仿宋" w:cs="仿宋"/>
                <w:spacing w:val="11"/>
                <w:sz w:val="24"/>
                <w:szCs w:val="24"/>
              </w:rPr>
              <w:t>目副经理</w:t>
            </w:r>
          </w:p>
        </w:tc>
        <w:tc>
          <w:tcPr>
            <w:tcW w:w="1426" w:type="dxa"/>
            <w:tcBorders>
              <w:top w:val="single" w:color="000000" w:sz="2" w:space="0"/>
              <w:bottom w:val="single" w:color="000000" w:sz="2" w:space="0"/>
            </w:tcBorders>
            <w:noWrap w:val="0"/>
            <w:vAlign w:val="top"/>
          </w:tcPr>
          <w:p w14:paraId="4368AA76">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329E35C5">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DA35F63">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34D5B241">
            <w:pPr>
              <w:pStyle w:val="54"/>
              <w:rPr>
                <w:rStyle w:val="21"/>
                <w:rFonts w:ascii="Arial" w:hAnsi="Calibri" w:eastAsia="宋体" w:cs="Times New Roman"/>
                <w:sz w:val="20"/>
                <w:szCs w:val="21"/>
              </w:rPr>
            </w:pPr>
          </w:p>
        </w:tc>
      </w:tr>
      <w:tr w14:paraId="75E22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tcBorders>
              <w:top w:val="single" w:color="000000" w:sz="2" w:space="0"/>
              <w:bottom w:val="single" w:color="000000" w:sz="2" w:space="0"/>
            </w:tcBorders>
            <w:noWrap w:val="0"/>
            <w:vAlign w:val="top"/>
          </w:tcPr>
          <w:p w14:paraId="31555B81">
            <w:pPr>
              <w:pStyle w:val="54"/>
              <w:spacing w:before="113" w:line="221" w:lineRule="auto"/>
              <w:ind w:left="240"/>
              <w:rPr>
                <w:rStyle w:val="21"/>
                <w:rFonts w:ascii="仿宋" w:hAnsi="仿宋" w:eastAsia="仿宋" w:cs="仿宋"/>
                <w:sz w:val="24"/>
                <w:szCs w:val="24"/>
              </w:rPr>
            </w:pPr>
            <w:r>
              <w:rPr>
                <w:rStyle w:val="21"/>
                <w:rFonts w:ascii="仿宋" w:hAnsi="仿宋" w:eastAsia="仿宋" w:cs="仿宋"/>
                <w:spacing w:val="14"/>
                <w:sz w:val="24"/>
                <w:szCs w:val="24"/>
              </w:rPr>
              <w:t>技</w:t>
            </w:r>
            <w:r>
              <w:rPr>
                <w:rStyle w:val="21"/>
                <w:rFonts w:ascii="仿宋" w:hAnsi="仿宋" w:eastAsia="仿宋" w:cs="仿宋"/>
                <w:spacing w:val="11"/>
                <w:sz w:val="24"/>
                <w:szCs w:val="24"/>
              </w:rPr>
              <w:t>术负责人</w:t>
            </w:r>
          </w:p>
        </w:tc>
        <w:tc>
          <w:tcPr>
            <w:tcW w:w="1426" w:type="dxa"/>
            <w:tcBorders>
              <w:top w:val="single" w:color="000000" w:sz="2" w:space="0"/>
              <w:bottom w:val="single" w:color="000000" w:sz="2" w:space="0"/>
            </w:tcBorders>
            <w:noWrap w:val="0"/>
            <w:vAlign w:val="top"/>
          </w:tcPr>
          <w:p w14:paraId="2725C508">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394E4A2">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E06C06A">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4514519F">
            <w:pPr>
              <w:pStyle w:val="54"/>
              <w:rPr>
                <w:rStyle w:val="21"/>
                <w:rFonts w:ascii="Arial" w:hAnsi="Calibri" w:eastAsia="宋体" w:cs="Times New Roman"/>
                <w:sz w:val="20"/>
                <w:szCs w:val="21"/>
              </w:rPr>
            </w:pPr>
          </w:p>
        </w:tc>
      </w:tr>
      <w:tr w14:paraId="2D7A9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880" w:type="dxa"/>
            <w:tcBorders>
              <w:top w:val="single" w:color="000000" w:sz="2" w:space="0"/>
              <w:bottom w:val="single" w:color="000000" w:sz="2" w:space="0"/>
            </w:tcBorders>
            <w:noWrap w:val="0"/>
            <w:vAlign w:val="top"/>
          </w:tcPr>
          <w:p w14:paraId="1FC20C92">
            <w:pPr>
              <w:pStyle w:val="54"/>
              <w:spacing w:before="114" w:line="221" w:lineRule="auto"/>
              <w:ind w:left="382"/>
              <w:rPr>
                <w:rStyle w:val="21"/>
                <w:rFonts w:ascii="仿宋" w:hAnsi="仿宋" w:eastAsia="仿宋" w:cs="仿宋"/>
                <w:sz w:val="24"/>
                <w:szCs w:val="24"/>
              </w:rPr>
            </w:pPr>
            <w:r>
              <w:rPr>
                <w:rStyle w:val="21"/>
                <w:rFonts w:ascii="仿宋" w:hAnsi="仿宋" w:eastAsia="仿宋" w:cs="仿宋"/>
                <w:spacing w:val="11"/>
                <w:sz w:val="24"/>
                <w:szCs w:val="24"/>
              </w:rPr>
              <w:t>造</w:t>
            </w:r>
            <w:r>
              <w:rPr>
                <w:rStyle w:val="21"/>
                <w:rFonts w:ascii="仿宋" w:hAnsi="仿宋" w:eastAsia="仿宋" w:cs="仿宋"/>
                <w:spacing w:val="10"/>
                <w:sz w:val="24"/>
                <w:szCs w:val="24"/>
              </w:rPr>
              <w:t>价管理</w:t>
            </w:r>
          </w:p>
        </w:tc>
        <w:tc>
          <w:tcPr>
            <w:tcW w:w="1426" w:type="dxa"/>
            <w:tcBorders>
              <w:top w:val="single" w:color="000000" w:sz="2" w:space="0"/>
              <w:bottom w:val="single" w:color="000000" w:sz="2" w:space="0"/>
            </w:tcBorders>
            <w:noWrap w:val="0"/>
            <w:vAlign w:val="top"/>
          </w:tcPr>
          <w:p w14:paraId="3D3E38BC">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0097D43">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6DECDD4B">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7273334B">
            <w:pPr>
              <w:pStyle w:val="54"/>
              <w:rPr>
                <w:rStyle w:val="21"/>
                <w:rFonts w:ascii="Arial" w:hAnsi="Calibri" w:eastAsia="宋体" w:cs="Times New Roman"/>
                <w:sz w:val="20"/>
                <w:szCs w:val="21"/>
              </w:rPr>
            </w:pPr>
          </w:p>
        </w:tc>
      </w:tr>
      <w:tr w14:paraId="6FA9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14:paraId="318E87D4">
            <w:pPr>
              <w:pStyle w:val="54"/>
              <w:spacing w:line="442" w:lineRule="auto"/>
              <w:rPr>
                <w:rStyle w:val="21"/>
                <w:rFonts w:ascii="Arial" w:hAnsi="Calibri" w:eastAsia="宋体" w:cs="Times New Roman"/>
                <w:sz w:val="20"/>
                <w:szCs w:val="21"/>
              </w:rPr>
            </w:pPr>
          </w:p>
          <w:p w14:paraId="013F60D4">
            <w:pPr>
              <w:pStyle w:val="54"/>
              <w:spacing w:before="88" w:line="222" w:lineRule="auto"/>
              <w:ind w:left="389"/>
              <w:rPr>
                <w:rStyle w:val="21"/>
                <w:rFonts w:ascii="仿宋" w:hAnsi="仿宋" w:eastAsia="仿宋" w:cs="仿宋"/>
                <w:sz w:val="24"/>
                <w:szCs w:val="24"/>
              </w:rPr>
            </w:pPr>
            <w:r>
              <w:rPr>
                <w:rStyle w:val="21"/>
                <w:rFonts w:ascii="仿宋" w:hAnsi="仿宋" w:eastAsia="仿宋" w:cs="仿宋"/>
                <w:spacing w:val="10"/>
                <w:sz w:val="24"/>
                <w:szCs w:val="24"/>
              </w:rPr>
              <w:t>质</w:t>
            </w:r>
            <w:r>
              <w:rPr>
                <w:rStyle w:val="21"/>
                <w:rFonts w:ascii="仿宋" w:hAnsi="仿宋" w:eastAsia="仿宋" w:cs="仿宋"/>
                <w:spacing w:val="8"/>
                <w:sz w:val="24"/>
                <w:szCs w:val="24"/>
              </w:rPr>
              <w:t>量管理</w:t>
            </w:r>
          </w:p>
        </w:tc>
        <w:tc>
          <w:tcPr>
            <w:tcW w:w="1426" w:type="dxa"/>
            <w:tcBorders>
              <w:top w:val="single" w:color="000000" w:sz="2" w:space="0"/>
              <w:bottom w:val="single" w:color="000000" w:sz="2" w:space="0"/>
            </w:tcBorders>
            <w:noWrap w:val="0"/>
            <w:vAlign w:val="top"/>
          </w:tcPr>
          <w:p w14:paraId="566AE50A">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2EB2085">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4AD0B28E">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28A90DAB">
            <w:pPr>
              <w:pStyle w:val="54"/>
              <w:rPr>
                <w:rStyle w:val="21"/>
                <w:rFonts w:ascii="Arial" w:hAnsi="Calibri" w:eastAsia="宋体" w:cs="Times New Roman"/>
                <w:sz w:val="20"/>
                <w:szCs w:val="21"/>
              </w:rPr>
            </w:pPr>
          </w:p>
        </w:tc>
      </w:tr>
      <w:tr w14:paraId="2CCD0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continue"/>
            <w:noWrap w:val="0"/>
            <w:vAlign w:val="top"/>
          </w:tcPr>
          <w:p w14:paraId="32055717">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4C8B368F">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AF83482">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61FFDAA4">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4E15FA1">
            <w:pPr>
              <w:pStyle w:val="54"/>
              <w:rPr>
                <w:rStyle w:val="21"/>
                <w:rFonts w:ascii="Arial" w:hAnsi="Calibri" w:eastAsia="宋体" w:cs="Times New Roman"/>
                <w:sz w:val="20"/>
                <w:szCs w:val="21"/>
              </w:rPr>
            </w:pPr>
          </w:p>
        </w:tc>
      </w:tr>
      <w:tr w14:paraId="234709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tcBorders>
              <w:bottom w:val="single" w:color="000000" w:sz="2" w:space="0"/>
            </w:tcBorders>
            <w:noWrap w:val="0"/>
            <w:vAlign w:val="top"/>
          </w:tcPr>
          <w:p w14:paraId="74128027">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1C35A16E">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37E600DF">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570F5408">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7D149C4">
            <w:pPr>
              <w:pStyle w:val="54"/>
              <w:rPr>
                <w:rStyle w:val="21"/>
                <w:rFonts w:ascii="Arial" w:hAnsi="Calibri" w:eastAsia="宋体" w:cs="Times New Roman"/>
                <w:sz w:val="20"/>
                <w:szCs w:val="21"/>
              </w:rPr>
            </w:pPr>
          </w:p>
        </w:tc>
      </w:tr>
      <w:tr w14:paraId="59DD5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880" w:type="dxa"/>
            <w:tcBorders>
              <w:top w:val="single" w:color="000000" w:sz="2" w:space="0"/>
              <w:bottom w:val="single" w:color="000000" w:sz="2" w:space="0"/>
            </w:tcBorders>
            <w:noWrap w:val="0"/>
            <w:vAlign w:val="top"/>
          </w:tcPr>
          <w:p w14:paraId="142FE491">
            <w:pPr>
              <w:pStyle w:val="54"/>
              <w:spacing w:before="117" w:line="218" w:lineRule="auto"/>
              <w:ind w:left="382"/>
              <w:rPr>
                <w:rStyle w:val="21"/>
                <w:rFonts w:ascii="仿宋" w:hAnsi="仿宋" w:eastAsia="仿宋" w:cs="仿宋"/>
                <w:sz w:val="24"/>
                <w:szCs w:val="24"/>
              </w:rPr>
            </w:pPr>
            <w:r>
              <w:rPr>
                <w:rStyle w:val="21"/>
                <w:rFonts w:ascii="仿宋" w:hAnsi="仿宋" w:eastAsia="仿宋" w:cs="仿宋"/>
                <w:spacing w:val="11"/>
                <w:sz w:val="24"/>
                <w:szCs w:val="24"/>
              </w:rPr>
              <w:t>材</w:t>
            </w:r>
            <w:r>
              <w:rPr>
                <w:rStyle w:val="21"/>
                <w:rFonts w:ascii="仿宋" w:hAnsi="仿宋" w:eastAsia="仿宋" w:cs="仿宋"/>
                <w:spacing w:val="10"/>
                <w:sz w:val="24"/>
                <w:szCs w:val="24"/>
              </w:rPr>
              <w:t>料管理</w:t>
            </w:r>
          </w:p>
        </w:tc>
        <w:tc>
          <w:tcPr>
            <w:tcW w:w="1426" w:type="dxa"/>
            <w:tcBorders>
              <w:top w:val="single" w:color="000000" w:sz="2" w:space="0"/>
              <w:bottom w:val="single" w:color="000000" w:sz="2" w:space="0"/>
            </w:tcBorders>
            <w:noWrap w:val="0"/>
            <w:vAlign w:val="top"/>
          </w:tcPr>
          <w:p w14:paraId="1AC1EF16">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07ED136E">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A6687BD">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46BDDD33">
            <w:pPr>
              <w:pStyle w:val="54"/>
              <w:rPr>
                <w:rStyle w:val="21"/>
                <w:rFonts w:ascii="Arial" w:hAnsi="Calibri" w:eastAsia="宋体" w:cs="Times New Roman"/>
                <w:sz w:val="20"/>
                <w:szCs w:val="21"/>
              </w:rPr>
            </w:pPr>
          </w:p>
        </w:tc>
      </w:tr>
      <w:tr w14:paraId="695BD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tcBorders>
              <w:top w:val="single" w:color="000000" w:sz="2" w:space="0"/>
              <w:bottom w:val="single" w:color="000000" w:sz="2" w:space="0"/>
            </w:tcBorders>
            <w:noWrap w:val="0"/>
            <w:vAlign w:val="top"/>
          </w:tcPr>
          <w:p w14:paraId="6F8499D2">
            <w:pPr>
              <w:pStyle w:val="54"/>
              <w:spacing w:before="101" w:line="221" w:lineRule="auto"/>
              <w:ind w:left="382"/>
              <w:rPr>
                <w:rStyle w:val="21"/>
                <w:rFonts w:ascii="仿宋" w:hAnsi="仿宋" w:eastAsia="仿宋" w:cs="仿宋"/>
                <w:sz w:val="24"/>
                <w:szCs w:val="24"/>
              </w:rPr>
            </w:pPr>
            <w:r>
              <w:rPr>
                <w:rStyle w:val="21"/>
                <w:rFonts w:ascii="仿宋" w:hAnsi="仿宋" w:eastAsia="仿宋" w:cs="仿宋"/>
                <w:spacing w:val="11"/>
                <w:sz w:val="24"/>
                <w:szCs w:val="24"/>
              </w:rPr>
              <w:t>计</w:t>
            </w:r>
            <w:r>
              <w:rPr>
                <w:rStyle w:val="21"/>
                <w:rFonts w:ascii="仿宋" w:hAnsi="仿宋" w:eastAsia="仿宋" w:cs="仿宋"/>
                <w:spacing w:val="10"/>
                <w:sz w:val="24"/>
                <w:szCs w:val="24"/>
              </w:rPr>
              <w:t>划管理</w:t>
            </w:r>
          </w:p>
        </w:tc>
        <w:tc>
          <w:tcPr>
            <w:tcW w:w="1426" w:type="dxa"/>
            <w:tcBorders>
              <w:top w:val="single" w:color="000000" w:sz="2" w:space="0"/>
              <w:bottom w:val="single" w:color="000000" w:sz="2" w:space="0"/>
            </w:tcBorders>
            <w:noWrap w:val="0"/>
            <w:vAlign w:val="top"/>
          </w:tcPr>
          <w:p w14:paraId="586AB83B">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12020DC">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367FEA2F">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6BDBA18B">
            <w:pPr>
              <w:pStyle w:val="54"/>
              <w:rPr>
                <w:rStyle w:val="21"/>
                <w:rFonts w:ascii="Arial" w:hAnsi="Calibri" w:eastAsia="宋体" w:cs="Times New Roman"/>
                <w:sz w:val="20"/>
                <w:szCs w:val="21"/>
              </w:rPr>
            </w:pPr>
          </w:p>
        </w:tc>
      </w:tr>
      <w:tr w14:paraId="53284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14:paraId="7E1C6744">
            <w:pPr>
              <w:pStyle w:val="54"/>
              <w:spacing w:line="444" w:lineRule="auto"/>
              <w:rPr>
                <w:rStyle w:val="21"/>
                <w:rFonts w:ascii="Arial" w:hAnsi="Calibri" w:eastAsia="宋体" w:cs="Times New Roman"/>
                <w:sz w:val="20"/>
                <w:szCs w:val="21"/>
              </w:rPr>
            </w:pPr>
          </w:p>
          <w:p w14:paraId="1228674A">
            <w:pPr>
              <w:pStyle w:val="54"/>
              <w:spacing w:before="87" w:line="222" w:lineRule="auto"/>
              <w:ind w:left="386"/>
              <w:rPr>
                <w:rStyle w:val="21"/>
                <w:rFonts w:ascii="仿宋" w:hAnsi="仿宋" w:eastAsia="仿宋" w:cs="仿宋"/>
                <w:sz w:val="24"/>
                <w:szCs w:val="24"/>
              </w:rPr>
            </w:pPr>
            <w:r>
              <w:rPr>
                <w:rStyle w:val="21"/>
                <w:rFonts w:ascii="仿宋" w:hAnsi="仿宋" w:eastAsia="仿宋" w:cs="仿宋"/>
                <w:spacing w:val="10"/>
                <w:sz w:val="24"/>
                <w:szCs w:val="24"/>
              </w:rPr>
              <w:t>安</w:t>
            </w:r>
            <w:r>
              <w:rPr>
                <w:rStyle w:val="21"/>
                <w:rFonts w:ascii="仿宋" w:hAnsi="仿宋" w:eastAsia="仿宋" w:cs="仿宋"/>
                <w:spacing w:val="9"/>
                <w:sz w:val="24"/>
                <w:szCs w:val="24"/>
              </w:rPr>
              <w:t>全管理</w:t>
            </w:r>
          </w:p>
        </w:tc>
        <w:tc>
          <w:tcPr>
            <w:tcW w:w="1426" w:type="dxa"/>
            <w:tcBorders>
              <w:top w:val="single" w:color="000000" w:sz="2" w:space="0"/>
              <w:bottom w:val="single" w:color="000000" w:sz="2" w:space="0"/>
            </w:tcBorders>
            <w:noWrap w:val="0"/>
            <w:vAlign w:val="top"/>
          </w:tcPr>
          <w:p w14:paraId="0BD20238">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424C29D1">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7167A15D">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6D06CEB">
            <w:pPr>
              <w:pStyle w:val="54"/>
              <w:rPr>
                <w:rStyle w:val="21"/>
                <w:rFonts w:ascii="Arial" w:hAnsi="Calibri" w:eastAsia="宋体" w:cs="Times New Roman"/>
                <w:sz w:val="20"/>
                <w:szCs w:val="21"/>
              </w:rPr>
            </w:pPr>
          </w:p>
        </w:tc>
      </w:tr>
      <w:tr w14:paraId="355D6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noWrap w:val="0"/>
            <w:vAlign w:val="top"/>
          </w:tcPr>
          <w:p w14:paraId="2420A9DC">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68F84A6E">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4CF04EAA">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306E8B9">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E087F56">
            <w:pPr>
              <w:pStyle w:val="54"/>
              <w:rPr>
                <w:rStyle w:val="21"/>
                <w:rFonts w:ascii="Arial" w:hAnsi="Calibri" w:eastAsia="宋体" w:cs="Times New Roman"/>
                <w:sz w:val="20"/>
                <w:szCs w:val="21"/>
              </w:rPr>
            </w:pPr>
          </w:p>
        </w:tc>
      </w:tr>
      <w:tr w14:paraId="5AF23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880" w:type="dxa"/>
            <w:vMerge w:val="continue"/>
            <w:tcBorders>
              <w:bottom w:val="single" w:color="000000" w:sz="2" w:space="0"/>
            </w:tcBorders>
            <w:noWrap w:val="0"/>
            <w:vAlign w:val="top"/>
          </w:tcPr>
          <w:p w14:paraId="78785C6B">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2A8486EE">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13152A81">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4F11A252">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03EFAD9D">
            <w:pPr>
              <w:pStyle w:val="54"/>
              <w:rPr>
                <w:rStyle w:val="21"/>
                <w:rFonts w:ascii="Arial" w:hAnsi="Calibri" w:eastAsia="宋体" w:cs="Times New Roman"/>
                <w:sz w:val="20"/>
                <w:szCs w:val="21"/>
              </w:rPr>
            </w:pPr>
          </w:p>
        </w:tc>
      </w:tr>
      <w:tr w14:paraId="54FA6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restart"/>
            <w:tcBorders>
              <w:top w:val="single" w:color="000000" w:sz="2" w:space="0"/>
            </w:tcBorders>
            <w:noWrap w:val="0"/>
            <w:vAlign w:val="top"/>
          </w:tcPr>
          <w:p w14:paraId="7C602B1D">
            <w:pPr>
              <w:pStyle w:val="54"/>
              <w:spacing w:line="282" w:lineRule="auto"/>
              <w:rPr>
                <w:rStyle w:val="21"/>
                <w:rFonts w:ascii="Arial" w:hAnsi="Calibri" w:eastAsia="宋体" w:cs="Times New Roman"/>
                <w:sz w:val="20"/>
                <w:szCs w:val="21"/>
              </w:rPr>
            </w:pPr>
          </w:p>
          <w:p w14:paraId="5C6F8971">
            <w:pPr>
              <w:pStyle w:val="54"/>
              <w:spacing w:line="283" w:lineRule="auto"/>
              <w:rPr>
                <w:rStyle w:val="21"/>
                <w:rFonts w:ascii="Arial" w:hAnsi="Calibri" w:eastAsia="宋体" w:cs="Times New Roman"/>
                <w:sz w:val="20"/>
                <w:szCs w:val="21"/>
              </w:rPr>
            </w:pPr>
          </w:p>
          <w:p w14:paraId="6738A538">
            <w:pPr>
              <w:pStyle w:val="54"/>
              <w:spacing w:line="283" w:lineRule="auto"/>
              <w:rPr>
                <w:rStyle w:val="21"/>
                <w:rFonts w:ascii="Arial" w:hAnsi="Calibri" w:eastAsia="宋体" w:cs="Times New Roman"/>
                <w:sz w:val="20"/>
                <w:szCs w:val="21"/>
              </w:rPr>
            </w:pPr>
          </w:p>
          <w:p w14:paraId="2B466A3D">
            <w:pPr>
              <w:pStyle w:val="54"/>
              <w:spacing w:line="283" w:lineRule="auto"/>
              <w:rPr>
                <w:rStyle w:val="21"/>
                <w:rFonts w:ascii="Arial" w:hAnsi="Calibri" w:eastAsia="宋体" w:cs="Times New Roman"/>
                <w:sz w:val="20"/>
                <w:szCs w:val="21"/>
              </w:rPr>
            </w:pPr>
          </w:p>
          <w:p w14:paraId="681C9E53">
            <w:pPr>
              <w:pStyle w:val="54"/>
              <w:spacing w:before="88" w:line="220" w:lineRule="auto"/>
              <w:ind w:left="385"/>
              <w:rPr>
                <w:rStyle w:val="21"/>
                <w:rFonts w:ascii="仿宋" w:hAnsi="仿宋" w:eastAsia="仿宋" w:cs="仿宋"/>
                <w:sz w:val="24"/>
                <w:szCs w:val="24"/>
              </w:rPr>
            </w:pPr>
            <w:r>
              <w:rPr>
                <w:rStyle w:val="21"/>
                <w:rFonts w:ascii="仿宋" w:hAnsi="仿宋" w:eastAsia="仿宋" w:cs="仿宋"/>
                <w:spacing w:val="11"/>
                <w:sz w:val="24"/>
                <w:szCs w:val="24"/>
              </w:rPr>
              <w:t>其</w:t>
            </w:r>
            <w:r>
              <w:rPr>
                <w:rStyle w:val="21"/>
                <w:rFonts w:ascii="仿宋" w:hAnsi="仿宋" w:eastAsia="仿宋" w:cs="仿宋"/>
                <w:spacing w:val="9"/>
                <w:sz w:val="24"/>
                <w:szCs w:val="24"/>
              </w:rPr>
              <w:t>他人员</w:t>
            </w:r>
          </w:p>
        </w:tc>
        <w:tc>
          <w:tcPr>
            <w:tcW w:w="1426" w:type="dxa"/>
            <w:tcBorders>
              <w:top w:val="single" w:color="000000" w:sz="2" w:space="0"/>
              <w:bottom w:val="single" w:color="000000" w:sz="2" w:space="0"/>
            </w:tcBorders>
            <w:noWrap w:val="0"/>
            <w:vAlign w:val="top"/>
          </w:tcPr>
          <w:p w14:paraId="6464057D">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0F13F341">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663AF984">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DF5DAD6">
            <w:pPr>
              <w:pStyle w:val="54"/>
              <w:rPr>
                <w:rStyle w:val="21"/>
                <w:rFonts w:ascii="Arial" w:hAnsi="Calibri" w:eastAsia="宋体" w:cs="Times New Roman"/>
                <w:sz w:val="20"/>
                <w:szCs w:val="21"/>
              </w:rPr>
            </w:pPr>
          </w:p>
        </w:tc>
      </w:tr>
      <w:tr w14:paraId="414FB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880" w:type="dxa"/>
            <w:vMerge w:val="continue"/>
            <w:noWrap w:val="0"/>
            <w:vAlign w:val="top"/>
          </w:tcPr>
          <w:p w14:paraId="0CA1639A">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01903E0D">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473C1EED">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5DA33B77">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5AE38467">
            <w:pPr>
              <w:pStyle w:val="54"/>
              <w:rPr>
                <w:rStyle w:val="21"/>
                <w:rFonts w:ascii="Arial" w:hAnsi="Calibri" w:eastAsia="宋体" w:cs="Times New Roman"/>
                <w:sz w:val="20"/>
                <w:szCs w:val="21"/>
              </w:rPr>
            </w:pPr>
          </w:p>
        </w:tc>
      </w:tr>
      <w:tr w14:paraId="19038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noWrap w:val="0"/>
            <w:vAlign w:val="top"/>
          </w:tcPr>
          <w:p w14:paraId="075A2F46">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578D3F10">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5258C444">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C5DA07D">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1E8FE1C8">
            <w:pPr>
              <w:pStyle w:val="54"/>
              <w:rPr>
                <w:rStyle w:val="21"/>
                <w:rFonts w:ascii="Arial" w:hAnsi="Calibri" w:eastAsia="宋体" w:cs="Times New Roman"/>
                <w:sz w:val="20"/>
                <w:szCs w:val="21"/>
              </w:rPr>
            </w:pPr>
          </w:p>
        </w:tc>
      </w:tr>
      <w:tr w14:paraId="3374B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880" w:type="dxa"/>
            <w:vMerge w:val="continue"/>
            <w:noWrap w:val="0"/>
            <w:vAlign w:val="top"/>
          </w:tcPr>
          <w:p w14:paraId="0B0DC40F">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76BF70C7">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717E4703">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1AFF607A">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456AA70A">
            <w:pPr>
              <w:pStyle w:val="54"/>
              <w:rPr>
                <w:rStyle w:val="21"/>
                <w:rFonts w:ascii="Arial" w:hAnsi="Calibri" w:eastAsia="宋体" w:cs="Times New Roman"/>
                <w:sz w:val="20"/>
                <w:szCs w:val="21"/>
              </w:rPr>
            </w:pPr>
          </w:p>
        </w:tc>
      </w:tr>
      <w:tr w14:paraId="7D82B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1880" w:type="dxa"/>
            <w:vMerge w:val="continue"/>
            <w:noWrap w:val="0"/>
            <w:vAlign w:val="top"/>
          </w:tcPr>
          <w:p w14:paraId="7941D7E0">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11712A07">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1D4658AB">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2E71A433">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22E0288E">
            <w:pPr>
              <w:pStyle w:val="54"/>
              <w:rPr>
                <w:rStyle w:val="21"/>
                <w:rFonts w:ascii="Arial" w:hAnsi="Calibri" w:eastAsia="宋体" w:cs="Times New Roman"/>
                <w:sz w:val="20"/>
                <w:szCs w:val="21"/>
              </w:rPr>
            </w:pPr>
          </w:p>
        </w:tc>
      </w:tr>
      <w:tr w14:paraId="30E9D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880" w:type="dxa"/>
            <w:vMerge w:val="continue"/>
            <w:tcBorders>
              <w:bottom w:val="single" w:color="000000" w:sz="2" w:space="0"/>
            </w:tcBorders>
            <w:noWrap w:val="0"/>
            <w:vAlign w:val="top"/>
          </w:tcPr>
          <w:p w14:paraId="4FBBC4B0">
            <w:pPr>
              <w:pStyle w:val="54"/>
              <w:rPr>
                <w:rStyle w:val="21"/>
                <w:rFonts w:ascii="Arial" w:hAnsi="Calibri" w:eastAsia="宋体" w:cs="Times New Roman"/>
                <w:sz w:val="20"/>
                <w:szCs w:val="21"/>
              </w:rPr>
            </w:pPr>
          </w:p>
        </w:tc>
        <w:tc>
          <w:tcPr>
            <w:tcW w:w="1426" w:type="dxa"/>
            <w:tcBorders>
              <w:top w:val="single" w:color="000000" w:sz="2" w:space="0"/>
              <w:bottom w:val="single" w:color="000000" w:sz="2" w:space="0"/>
            </w:tcBorders>
            <w:noWrap w:val="0"/>
            <w:vAlign w:val="top"/>
          </w:tcPr>
          <w:p w14:paraId="1BF1EE12">
            <w:pPr>
              <w:pStyle w:val="54"/>
              <w:rPr>
                <w:rStyle w:val="21"/>
                <w:rFonts w:ascii="Arial" w:hAnsi="Calibri" w:eastAsia="宋体" w:cs="Times New Roman"/>
                <w:sz w:val="20"/>
                <w:szCs w:val="21"/>
              </w:rPr>
            </w:pPr>
          </w:p>
        </w:tc>
        <w:tc>
          <w:tcPr>
            <w:tcW w:w="1138" w:type="dxa"/>
            <w:tcBorders>
              <w:top w:val="single" w:color="000000" w:sz="2" w:space="0"/>
              <w:bottom w:val="single" w:color="000000" w:sz="2" w:space="0"/>
            </w:tcBorders>
            <w:noWrap w:val="0"/>
            <w:vAlign w:val="top"/>
          </w:tcPr>
          <w:p w14:paraId="5B4C9D52">
            <w:pPr>
              <w:pStyle w:val="54"/>
              <w:rPr>
                <w:rStyle w:val="21"/>
                <w:rFonts w:ascii="Arial" w:hAnsi="Calibri" w:eastAsia="宋体" w:cs="Times New Roman"/>
                <w:sz w:val="20"/>
                <w:szCs w:val="21"/>
              </w:rPr>
            </w:pPr>
          </w:p>
        </w:tc>
        <w:tc>
          <w:tcPr>
            <w:tcW w:w="1123" w:type="dxa"/>
            <w:tcBorders>
              <w:top w:val="single" w:color="000000" w:sz="2" w:space="0"/>
              <w:bottom w:val="single" w:color="000000" w:sz="2" w:space="0"/>
            </w:tcBorders>
            <w:noWrap w:val="0"/>
            <w:vAlign w:val="top"/>
          </w:tcPr>
          <w:p w14:paraId="664E3588">
            <w:pPr>
              <w:pStyle w:val="54"/>
              <w:rPr>
                <w:rStyle w:val="21"/>
                <w:rFonts w:ascii="Arial" w:hAnsi="Calibri" w:eastAsia="宋体" w:cs="Times New Roman"/>
                <w:sz w:val="20"/>
                <w:szCs w:val="21"/>
              </w:rPr>
            </w:pPr>
          </w:p>
        </w:tc>
        <w:tc>
          <w:tcPr>
            <w:tcW w:w="4270" w:type="dxa"/>
            <w:tcBorders>
              <w:top w:val="single" w:color="000000" w:sz="2" w:space="0"/>
              <w:bottom w:val="single" w:color="000000" w:sz="2" w:space="0"/>
            </w:tcBorders>
            <w:noWrap w:val="0"/>
            <w:vAlign w:val="top"/>
          </w:tcPr>
          <w:p w14:paraId="5C7F392C">
            <w:pPr>
              <w:pStyle w:val="54"/>
              <w:rPr>
                <w:rStyle w:val="21"/>
                <w:rFonts w:ascii="Arial" w:hAnsi="Calibri" w:eastAsia="宋体" w:cs="Times New Roman"/>
                <w:sz w:val="20"/>
                <w:szCs w:val="21"/>
              </w:rPr>
            </w:pPr>
          </w:p>
        </w:tc>
      </w:tr>
    </w:tbl>
    <w:p w14:paraId="660301A6">
      <w:pPr>
        <w:pStyle w:val="54"/>
        <w:spacing w:before="98" w:line="220" w:lineRule="auto"/>
        <w:rPr>
          <w:rStyle w:val="21"/>
          <w:rFonts w:ascii="仿宋" w:hAnsi="仿宋" w:eastAsia="仿宋" w:cs="仿宋"/>
          <w:spacing w:val="-15"/>
          <w:sz w:val="30"/>
          <w:szCs w:val="30"/>
        </w:rPr>
      </w:pPr>
    </w:p>
    <w:p w14:paraId="42E73F07">
      <w:pPr>
        <w:pStyle w:val="54"/>
        <w:spacing w:before="98" w:line="220" w:lineRule="auto"/>
        <w:rPr>
          <w:rStyle w:val="21"/>
          <w:rFonts w:ascii="仿宋" w:hAnsi="仿宋" w:eastAsia="仿宋" w:cs="仿宋"/>
          <w:spacing w:val="-15"/>
          <w:sz w:val="30"/>
          <w:szCs w:val="30"/>
        </w:rPr>
      </w:pPr>
    </w:p>
    <w:p w14:paraId="61C69FF6">
      <w:pPr>
        <w:pStyle w:val="54"/>
        <w:spacing w:before="98" w:line="220" w:lineRule="auto"/>
        <w:rPr>
          <w:rStyle w:val="21"/>
          <w:rFonts w:ascii="仿宋" w:hAnsi="仿宋" w:eastAsia="仿宋" w:cs="仿宋"/>
          <w:spacing w:val="-15"/>
          <w:sz w:val="30"/>
          <w:szCs w:val="30"/>
        </w:rPr>
      </w:pPr>
    </w:p>
    <w:p w14:paraId="27C10F8F">
      <w:pPr>
        <w:pStyle w:val="54"/>
        <w:spacing w:before="98" w:line="220" w:lineRule="auto"/>
        <w:rPr>
          <w:rStyle w:val="21"/>
          <w:rFonts w:ascii="仿宋" w:hAnsi="仿宋" w:eastAsia="仿宋" w:cs="仿宋"/>
          <w:spacing w:val="-15"/>
          <w:sz w:val="30"/>
          <w:szCs w:val="30"/>
        </w:rPr>
      </w:pPr>
    </w:p>
    <w:p w14:paraId="41D38B84">
      <w:pPr>
        <w:pStyle w:val="54"/>
        <w:spacing w:before="98" w:line="220" w:lineRule="auto"/>
        <w:rPr>
          <w:rStyle w:val="21"/>
          <w:rFonts w:ascii="仿宋" w:hAnsi="仿宋" w:eastAsia="仿宋" w:cs="仿宋"/>
          <w:spacing w:val="-15"/>
          <w:sz w:val="30"/>
          <w:szCs w:val="30"/>
        </w:rPr>
      </w:pPr>
    </w:p>
    <w:p w14:paraId="56A5D12F">
      <w:pPr>
        <w:pStyle w:val="54"/>
        <w:spacing w:before="98" w:line="220" w:lineRule="auto"/>
        <w:rPr>
          <w:rStyle w:val="21"/>
          <w:rFonts w:ascii="黑体" w:hAnsi="黑体" w:eastAsia="黑体" w:cs="黑体"/>
          <w:sz w:val="30"/>
          <w:szCs w:val="30"/>
        </w:rPr>
      </w:pPr>
      <w:r>
        <w:rPr>
          <w:rStyle w:val="21"/>
          <w:rFonts w:ascii="仿宋" w:hAnsi="仿宋" w:eastAsia="仿宋" w:cs="仿宋"/>
          <w:spacing w:val="-15"/>
          <w:sz w:val="30"/>
          <w:szCs w:val="30"/>
        </w:rPr>
        <w:t xml:space="preserve">附件 </w:t>
      </w:r>
      <w:r>
        <w:rPr>
          <w:rStyle w:val="21"/>
          <w:rFonts w:hint="eastAsia" w:ascii="Times New Roman" w:hAnsi="Times New Roman" w:cs="Times New Roman"/>
          <w:spacing w:val="-15"/>
          <w:sz w:val="30"/>
          <w:szCs w:val="30"/>
          <w:lang w:val="en-US" w:eastAsia="zh-CN"/>
        </w:rPr>
        <w:t>2</w:t>
      </w:r>
      <w:r>
        <w:rPr>
          <w:rStyle w:val="21"/>
          <w:rFonts w:ascii="仿宋" w:hAnsi="仿宋" w:eastAsia="仿宋" w:cs="仿宋"/>
          <w:spacing w:val="-15"/>
          <w:sz w:val="30"/>
          <w:szCs w:val="30"/>
        </w:rPr>
        <w:t>：</w:t>
      </w:r>
      <w:r>
        <w:rPr>
          <w:rStyle w:val="21"/>
          <w:rFonts w:ascii="黑体" w:hAnsi="黑体" w:eastAsia="黑体" w:cs="黑体"/>
          <w:spacing w:val="26"/>
          <w:sz w:val="28"/>
          <w:szCs w:val="28"/>
        </w:rPr>
        <w:t>承</w:t>
      </w:r>
      <w:r>
        <w:rPr>
          <w:rStyle w:val="21"/>
          <w:rFonts w:ascii="黑体" w:hAnsi="黑体" w:eastAsia="黑体" w:cs="黑体"/>
          <w:spacing w:val="15"/>
          <w:sz w:val="28"/>
          <w:szCs w:val="28"/>
        </w:rPr>
        <w:t>包人用于本工程施工的机械设备表</w:t>
      </w:r>
    </w:p>
    <w:tbl>
      <w:tblPr>
        <w:tblStyle w:val="19"/>
        <w:tblpPr w:leftFromText="180" w:rightFromText="180" w:vertAnchor="text" w:horzAnchor="page" w:tblpX="1217" w:tblpY="99"/>
        <w:tblOverlap w:val="never"/>
        <w:tblW w:w="98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4"/>
        <w:gridCol w:w="1425"/>
        <w:gridCol w:w="850"/>
        <w:gridCol w:w="1052"/>
        <w:gridCol w:w="878"/>
        <w:gridCol w:w="1023"/>
        <w:gridCol w:w="1483"/>
        <w:gridCol w:w="1023"/>
        <w:gridCol w:w="929"/>
      </w:tblGrid>
      <w:tr w14:paraId="012BA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 w:hRule="atLeast"/>
        </w:trPr>
        <w:tc>
          <w:tcPr>
            <w:tcW w:w="1174" w:type="dxa"/>
            <w:tcBorders>
              <w:top w:val="single" w:color="000000" w:sz="2" w:space="0"/>
              <w:bottom w:val="single" w:color="000000" w:sz="2" w:space="0"/>
            </w:tcBorders>
            <w:noWrap w:val="0"/>
            <w:vAlign w:val="top"/>
          </w:tcPr>
          <w:p w14:paraId="4BB4D1CC">
            <w:pPr>
              <w:pStyle w:val="54"/>
              <w:spacing w:line="246" w:lineRule="auto"/>
              <w:rPr>
                <w:rStyle w:val="21"/>
                <w:rFonts w:ascii="Arial" w:hAnsi="Calibri" w:eastAsia="宋体" w:cs="Times New Roman"/>
              </w:rPr>
            </w:pPr>
          </w:p>
          <w:p w14:paraId="6B23E3B0">
            <w:pPr>
              <w:pStyle w:val="54"/>
              <w:spacing w:before="88" w:line="221" w:lineRule="auto"/>
              <w:ind w:left="310"/>
              <w:rPr>
                <w:rStyle w:val="21"/>
                <w:rFonts w:ascii="仿宋" w:hAnsi="仿宋" w:eastAsia="仿宋" w:cs="仿宋"/>
                <w:sz w:val="27"/>
                <w:szCs w:val="27"/>
              </w:rPr>
            </w:pPr>
            <w:r>
              <w:rPr>
                <w:rStyle w:val="21"/>
                <w:rFonts w:ascii="仿宋" w:hAnsi="仿宋" w:eastAsia="仿宋" w:cs="仿宋"/>
                <w:spacing w:val="2"/>
                <w:sz w:val="27"/>
                <w:szCs w:val="27"/>
              </w:rPr>
              <w:t>序号</w:t>
            </w:r>
          </w:p>
        </w:tc>
        <w:tc>
          <w:tcPr>
            <w:tcW w:w="1425" w:type="dxa"/>
            <w:tcBorders>
              <w:top w:val="single" w:color="000000" w:sz="2" w:space="0"/>
              <w:bottom w:val="single" w:color="000000" w:sz="2" w:space="0"/>
            </w:tcBorders>
            <w:noWrap w:val="0"/>
            <w:vAlign w:val="top"/>
          </w:tcPr>
          <w:p w14:paraId="7BD8C75B">
            <w:pPr>
              <w:pStyle w:val="54"/>
              <w:spacing w:before="105" w:line="447" w:lineRule="exact"/>
              <w:ind w:left="145"/>
              <w:rPr>
                <w:rStyle w:val="21"/>
                <w:rFonts w:ascii="仿宋" w:hAnsi="仿宋" w:eastAsia="仿宋" w:cs="仿宋"/>
                <w:sz w:val="27"/>
                <w:szCs w:val="27"/>
              </w:rPr>
            </w:pPr>
            <w:r>
              <w:rPr>
                <w:rStyle w:val="21"/>
                <w:rFonts w:ascii="仿宋" w:hAnsi="仿宋" w:eastAsia="仿宋" w:cs="仿宋"/>
                <w:spacing w:val="11"/>
                <w:position w:val="13"/>
                <w:sz w:val="27"/>
                <w:szCs w:val="27"/>
              </w:rPr>
              <w:t>机</w:t>
            </w:r>
            <w:r>
              <w:rPr>
                <w:rStyle w:val="21"/>
                <w:rFonts w:ascii="仿宋" w:hAnsi="仿宋" w:eastAsia="仿宋" w:cs="仿宋"/>
                <w:spacing w:val="10"/>
                <w:position w:val="13"/>
                <w:sz w:val="27"/>
                <w:szCs w:val="27"/>
              </w:rPr>
              <w:t>械或设</w:t>
            </w:r>
          </w:p>
          <w:p w14:paraId="1F88AA77">
            <w:pPr>
              <w:pStyle w:val="54"/>
              <w:spacing w:line="219" w:lineRule="auto"/>
              <w:ind w:left="292"/>
              <w:rPr>
                <w:rStyle w:val="21"/>
                <w:rFonts w:ascii="仿宋" w:hAnsi="仿宋" w:eastAsia="仿宋" w:cs="仿宋"/>
                <w:sz w:val="27"/>
                <w:szCs w:val="27"/>
              </w:rPr>
            </w:pPr>
            <w:r>
              <w:rPr>
                <w:rStyle w:val="21"/>
                <w:rFonts w:ascii="仿宋" w:hAnsi="仿宋" w:eastAsia="仿宋" w:cs="仿宋"/>
                <w:spacing w:val="8"/>
                <w:sz w:val="27"/>
                <w:szCs w:val="27"/>
              </w:rPr>
              <w:t>备</w:t>
            </w:r>
            <w:r>
              <w:rPr>
                <w:rStyle w:val="21"/>
                <w:rFonts w:ascii="仿宋" w:hAnsi="仿宋" w:eastAsia="仿宋" w:cs="仿宋"/>
                <w:spacing w:val="6"/>
                <w:sz w:val="27"/>
                <w:szCs w:val="27"/>
              </w:rPr>
              <w:t>名称</w:t>
            </w:r>
          </w:p>
        </w:tc>
        <w:tc>
          <w:tcPr>
            <w:tcW w:w="850" w:type="dxa"/>
            <w:tcBorders>
              <w:top w:val="single" w:color="000000" w:sz="2" w:space="0"/>
              <w:bottom w:val="single" w:color="000000" w:sz="2" w:space="0"/>
            </w:tcBorders>
            <w:noWrap w:val="0"/>
            <w:vAlign w:val="top"/>
          </w:tcPr>
          <w:p w14:paraId="1C30E5A5">
            <w:pPr>
              <w:pStyle w:val="54"/>
              <w:spacing w:before="105" w:line="447" w:lineRule="exact"/>
              <w:ind w:left="133"/>
              <w:rPr>
                <w:rStyle w:val="21"/>
                <w:rFonts w:ascii="仿宋" w:hAnsi="仿宋" w:eastAsia="仿宋" w:cs="仿宋"/>
                <w:sz w:val="27"/>
                <w:szCs w:val="27"/>
              </w:rPr>
            </w:pPr>
            <w:r>
              <w:rPr>
                <w:rStyle w:val="21"/>
                <w:rFonts w:ascii="仿宋" w:hAnsi="仿宋" w:eastAsia="仿宋" w:cs="仿宋"/>
                <w:spacing w:val="2"/>
                <w:position w:val="13"/>
                <w:sz w:val="27"/>
                <w:szCs w:val="27"/>
              </w:rPr>
              <w:t>规格</w:t>
            </w:r>
          </w:p>
          <w:p w14:paraId="122BAFC7">
            <w:pPr>
              <w:pStyle w:val="54"/>
              <w:spacing w:before="1" w:line="221" w:lineRule="auto"/>
              <w:ind w:left="147"/>
              <w:rPr>
                <w:rStyle w:val="21"/>
                <w:rFonts w:ascii="仿宋" w:hAnsi="仿宋" w:eastAsia="仿宋" w:cs="仿宋"/>
                <w:sz w:val="27"/>
                <w:szCs w:val="27"/>
              </w:rPr>
            </w:pPr>
            <w:r>
              <w:rPr>
                <w:rStyle w:val="21"/>
                <w:rFonts w:ascii="仿宋" w:hAnsi="仿宋" w:eastAsia="仿宋" w:cs="仿宋"/>
                <w:spacing w:val="-3"/>
                <w:sz w:val="27"/>
                <w:szCs w:val="27"/>
              </w:rPr>
              <w:t>型</w:t>
            </w:r>
            <w:r>
              <w:rPr>
                <w:rStyle w:val="21"/>
                <w:rFonts w:ascii="仿宋" w:hAnsi="仿宋" w:eastAsia="仿宋" w:cs="仿宋"/>
                <w:spacing w:val="-2"/>
                <w:sz w:val="27"/>
                <w:szCs w:val="27"/>
              </w:rPr>
              <w:t>号</w:t>
            </w:r>
          </w:p>
        </w:tc>
        <w:tc>
          <w:tcPr>
            <w:tcW w:w="1052" w:type="dxa"/>
            <w:tcBorders>
              <w:top w:val="single" w:color="000000" w:sz="2" w:space="0"/>
              <w:bottom w:val="single" w:color="000000" w:sz="2" w:space="0"/>
            </w:tcBorders>
            <w:noWrap w:val="0"/>
            <w:vAlign w:val="top"/>
          </w:tcPr>
          <w:p w14:paraId="2838C57A">
            <w:pPr>
              <w:pStyle w:val="54"/>
              <w:spacing w:line="247" w:lineRule="auto"/>
              <w:rPr>
                <w:rStyle w:val="21"/>
                <w:rFonts w:ascii="Arial" w:hAnsi="Calibri" w:eastAsia="宋体" w:cs="Times New Roman"/>
              </w:rPr>
            </w:pPr>
          </w:p>
          <w:p w14:paraId="00BB3AF9">
            <w:pPr>
              <w:pStyle w:val="54"/>
              <w:spacing w:before="88" w:line="221" w:lineRule="auto"/>
              <w:ind w:left="234"/>
              <w:rPr>
                <w:rStyle w:val="21"/>
                <w:rFonts w:ascii="仿宋" w:hAnsi="仿宋" w:eastAsia="仿宋" w:cs="仿宋"/>
                <w:sz w:val="27"/>
                <w:szCs w:val="27"/>
              </w:rPr>
            </w:pPr>
            <w:r>
              <w:rPr>
                <w:rStyle w:val="21"/>
                <w:rFonts w:ascii="仿宋" w:hAnsi="仿宋" w:eastAsia="仿宋" w:cs="仿宋"/>
                <w:spacing w:val="2"/>
                <w:sz w:val="27"/>
                <w:szCs w:val="27"/>
              </w:rPr>
              <w:t>数量</w:t>
            </w:r>
          </w:p>
        </w:tc>
        <w:tc>
          <w:tcPr>
            <w:tcW w:w="878" w:type="dxa"/>
            <w:tcBorders>
              <w:top w:val="single" w:color="000000" w:sz="2" w:space="0"/>
              <w:bottom w:val="single" w:color="000000" w:sz="2" w:space="0"/>
            </w:tcBorders>
            <w:noWrap w:val="0"/>
            <w:vAlign w:val="top"/>
          </w:tcPr>
          <w:p w14:paraId="1D39A590">
            <w:pPr>
              <w:pStyle w:val="54"/>
              <w:spacing w:line="247" w:lineRule="auto"/>
              <w:rPr>
                <w:rStyle w:val="21"/>
                <w:rFonts w:ascii="Arial" w:hAnsi="Calibri" w:eastAsia="宋体" w:cs="Times New Roman"/>
              </w:rPr>
            </w:pPr>
          </w:p>
          <w:p w14:paraId="7C735127">
            <w:pPr>
              <w:pStyle w:val="54"/>
              <w:spacing w:before="87" w:line="222" w:lineRule="auto"/>
              <w:ind w:left="165"/>
              <w:rPr>
                <w:rStyle w:val="21"/>
                <w:rFonts w:ascii="仿宋" w:hAnsi="仿宋" w:eastAsia="仿宋" w:cs="仿宋"/>
                <w:sz w:val="27"/>
                <w:szCs w:val="27"/>
              </w:rPr>
            </w:pPr>
            <w:r>
              <w:rPr>
                <w:rStyle w:val="21"/>
                <w:rFonts w:ascii="仿宋" w:hAnsi="仿宋" w:eastAsia="仿宋" w:cs="仿宋"/>
                <w:spacing w:val="1"/>
                <w:sz w:val="27"/>
                <w:szCs w:val="27"/>
              </w:rPr>
              <w:t>产</w:t>
            </w:r>
            <w:r>
              <w:rPr>
                <w:rStyle w:val="21"/>
                <w:rFonts w:ascii="仿宋" w:hAnsi="仿宋" w:eastAsia="仿宋" w:cs="仿宋"/>
                <w:sz w:val="27"/>
                <w:szCs w:val="27"/>
              </w:rPr>
              <w:t>地</w:t>
            </w:r>
          </w:p>
        </w:tc>
        <w:tc>
          <w:tcPr>
            <w:tcW w:w="1023" w:type="dxa"/>
            <w:tcBorders>
              <w:top w:val="single" w:color="000000" w:sz="2" w:space="0"/>
              <w:bottom w:val="single" w:color="000000" w:sz="2" w:space="0"/>
            </w:tcBorders>
            <w:noWrap w:val="0"/>
            <w:vAlign w:val="top"/>
          </w:tcPr>
          <w:p w14:paraId="61E9CE58">
            <w:pPr>
              <w:pStyle w:val="54"/>
              <w:spacing w:before="105" w:line="447" w:lineRule="exact"/>
              <w:ind w:left="238"/>
              <w:rPr>
                <w:rStyle w:val="21"/>
                <w:rFonts w:ascii="仿宋" w:hAnsi="仿宋" w:eastAsia="仿宋" w:cs="仿宋"/>
                <w:sz w:val="27"/>
                <w:szCs w:val="27"/>
              </w:rPr>
            </w:pPr>
            <w:r>
              <w:rPr>
                <w:rStyle w:val="21"/>
                <w:rFonts w:ascii="仿宋" w:hAnsi="仿宋" w:eastAsia="仿宋" w:cs="仿宋"/>
                <w:spacing w:val="1"/>
                <w:position w:val="13"/>
                <w:sz w:val="27"/>
                <w:szCs w:val="27"/>
              </w:rPr>
              <w:t>制造</w:t>
            </w:r>
          </w:p>
          <w:p w14:paraId="20CD256B">
            <w:pPr>
              <w:pStyle w:val="54"/>
              <w:spacing w:line="220" w:lineRule="auto"/>
              <w:ind w:left="243"/>
              <w:rPr>
                <w:rStyle w:val="21"/>
                <w:rFonts w:ascii="仿宋" w:hAnsi="仿宋" w:eastAsia="仿宋" w:cs="仿宋"/>
                <w:sz w:val="27"/>
                <w:szCs w:val="27"/>
              </w:rPr>
            </w:pPr>
            <w:r>
              <w:rPr>
                <w:rStyle w:val="21"/>
                <w:rFonts w:ascii="仿宋" w:hAnsi="仿宋" w:eastAsia="仿宋" w:cs="仿宋"/>
                <w:spacing w:val="-1"/>
                <w:sz w:val="27"/>
                <w:szCs w:val="27"/>
              </w:rPr>
              <w:t>年</w:t>
            </w:r>
            <w:r>
              <w:rPr>
                <w:rStyle w:val="21"/>
                <w:rFonts w:ascii="仿宋" w:hAnsi="仿宋" w:eastAsia="仿宋" w:cs="仿宋"/>
                <w:sz w:val="27"/>
                <w:szCs w:val="27"/>
              </w:rPr>
              <w:t>份</w:t>
            </w:r>
          </w:p>
        </w:tc>
        <w:tc>
          <w:tcPr>
            <w:tcW w:w="1483" w:type="dxa"/>
            <w:tcBorders>
              <w:top w:val="single" w:color="000000" w:sz="2" w:space="0"/>
              <w:bottom w:val="single" w:color="000000" w:sz="2" w:space="0"/>
            </w:tcBorders>
            <w:noWrap w:val="0"/>
            <w:vAlign w:val="top"/>
          </w:tcPr>
          <w:p w14:paraId="4B8F3EBB">
            <w:pPr>
              <w:pStyle w:val="54"/>
              <w:spacing w:before="106" w:line="221" w:lineRule="auto"/>
              <w:ind w:left="179"/>
              <w:rPr>
                <w:rStyle w:val="21"/>
                <w:rFonts w:ascii="仿宋" w:hAnsi="仿宋" w:eastAsia="仿宋" w:cs="仿宋"/>
                <w:sz w:val="27"/>
                <w:szCs w:val="27"/>
              </w:rPr>
            </w:pPr>
            <w:r>
              <w:rPr>
                <w:rStyle w:val="21"/>
                <w:rFonts w:ascii="仿宋" w:hAnsi="仿宋" w:eastAsia="仿宋" w:cs="仿宋"/>
                <w:spacing w:val="11"/>
                <w:sz w:val="27"/>
                <w:szCs w:val="27"/>
              </w:rPr>
              <w:t>额</w:t>
            </w:r>
            <w:r>
              <w:rPr>
                <w:rStyle w:val="21"/>
                <w:rFonts w:ascii="仿宋" w:hAnsi="仿宋" w:eastAsia="仿宋" w:cs="仿宋"/>
                <w:spacing w:val="10"/>
                <w:sz w:val="27"/>
                <w:szCs w:val="27"/>
              </w:rPr>
              <w:t>定功率</w:t>
            </w:r>
          </w:p>
          <w:p w14:paraId="5F794B5A">
            <w:pPr>
              <w:pStyle w:val="54"/>
              <w:spacing w:before="123" w:line="222" w:lineRule="auto"/>
              <w:ind w:left="282"/>
              <w:rPr>
                <w:rStyle w:val="21"/>
                <w:rFonts w:ascii="仿宋" w:hAnsi="仿宋" w:eastAsia="仿宋" w:cs="仿宋"/>
                <w:sz w:val="27"/>
                <w:szCs w:val="27"/>
              </w:rPr>
            </w:pPr>
            <w:r>
              <w:rPr>
                <w:rStyle w:val="21"/>
                <w:rFonts w:ascii="仿宋" w:hAnsi="仿宋" w:eastAsia="仿宋" w:cs="仿宋"/>
                <w:spacing w:val="66"/>
                <w:sz w:val="27"/>
                <w:szCs w:val="27"/>
              </w:rPr>
              <w:t>(</w:t>
            </w:r>
            <w:r>
              <w:rPr>
                <w:rStyle w:val="21"/>
                <w:rFonts w:ascii="Times New Roman" w:hAnsi="Times New Roman" w:eastAsia="Times New Roman" w:cs="Times New Roman"/>
                <w:sz w:val="27"/>
                <w:szCs w:val="27"/>
              </w:rPr>
              <w:t>kW</w:t>
            </w:r>
            <w:r>
              <w:rPr>
                <w:rStyle w:val="21"/>
                <w:rFonts w:ascii="仿宋" w:hAnsi="仿宋" w:eastAsia="仿宋" w:cs="仿宋"/>
                <w:spacing w:val="65"/>
                <w:sz w:val="27"/>
                <w:szCs w:val="27"/>
              </w:rPr>
              <w:t>)</w:t>
            </w:r>
          </w:p>
        </w:tc>
        <w:tc>
          <w:tcPr>
            <w:tcW w:w="1023" w:type="dxa"/>
            <w:tcBorders>
              <w:top w:val="single" w:color="000000" w:sz="2" w:space="0"/>
              <w:bottom w:val="single" w:color="000000" w:sz="2" w:space="0"/>
            </w:tcBorders>
            <w:noWrap w:val="0"/>
            <w:vAlign w:val="top"/>
          </w:tcPr>
          <w:p w14:paraId="430AC912">
            <w:pPr>
              <w:pStyle w:val="54"/>
              <w:spacing w:before="105" w:line="447" w:lineRule="exact"/>
              <w:ind w:left="256"/>
              <w:rPr>
                <w:rStyle w:val="21"/>
                <w:rFonts w:ascii="仿宋" w:hAnsi="仿宋" w:eastAsia="仿宋" w:cs="仿宋"/>
                <w:sz w:val="27"/>
                <w:szCs w:val="27"/>
              </w:rPr>
            </w:pPr>
            <w:r>
              <w:rPr>
                <w:rStyle w:val="21"/>
                <w:rFonts w:ascii="仿宋" w:hAnsi="仿宋" w:eastAsia="仿宋" w:cs="仿宋"/>
                <w:spacing w:val="-4"/>
                <w:position w:val="12"/>
                <w:sz w:val="27"/>
                <w:szCs w:val="27"/>
              </w:rPr>
              <w:t>生</w:t>
            </w:r>
            <w:r>
              <w:rPr>
                <w:rStyle w:val="21"/>
                <w:rFonts w:ascii="仿宋" w:hAnsi="仿宋" w:eastAsia="仿宋" w:cs="仿宋"/>
                <w:spacing w:val="-3"/>
                <w:position w:val="12"/>
                <w:sz w:val="27"/>
                <w:szCs w:val="27"/>
              </w:rPr>
              <w:t>产</w:t>
            </w:r>
          </w:p>
          <w:p w14:paraId="6A414F4E">
            <w:pPr>
              <w:pStyle w:val="54"/>
              <w:spacing w:before="1" w:line="219" w:lineRule="auto"/>
              <w:ind w:left="256"/>
              <w:rPr>
                <w:rStyle w:val="21"/>
                <w:rFonts w:ascii="仿宋" w:hAnsi="仿宋" w:eastAsia="仿宋" w:cs="仿宋"/>
                <w:sz w:val="27"/>
                <w:szCs w:val="27"/>
              </w:rPr>
            </w:pPr>
            <w:r>
              <w:rPr>
                <w:rStyle w:val="21"/>
                <w:rFonts w:ascii="仿宋" w:hAnsi="仿宋" w:eastAsia="仿宋" w:cs="仿宋"/>
                <w:spacing w:val="-4"/>
                <w:sz w:val="27"/>
                <w:szCs w:val="27"/>
              </w:rPr>
              <w:t>能</w:t>
            </w:r>
            <w:r>
              <w:rPr>
                <w:rStyle w:val="21"/>
                <w:rFonts w:ascii="仿宋" w:hAnsi="仿宋" w:eastAsia="仿宋" w:cs="仿宋"/>
                <w:spacing w:val="-3"/>
                <w:sz w:val="27"/>
                <w:szCs w:val="27"/>
              </w:rPr>
              <w:t>力</w:t>
            </w:r>
          </w:p>
        </w:tc>
        <w:tc>
          <w:tcPr>
            <w:tcW w:w="929" w:type="dxa"/>
            <w:tcBorders>
              <w:top w:val="single" w:color="000000" w:sz="2" w:space="0"/>
              <w:bottom w:val="single" w:color="000000" w:sz="2" w:space="0"/>
            </w:tcBorders>
            <w:noWrap w:val="0"/>
            <w:vAlign w:val="top"/>
          </w:tcPr>
          <w:p w14:paraId="5FFBE5A9">
            <w:pPr>
              <w:pStyle w:val="54"/>
              <w:spacing w:line="246" w:lineRule="auto"/>
              <w:rPr>
                <w:rStyle w:val="21"/>
                <w:rFonts w:ascii="Arial" w:hAnsi="Calibri" w:eastAsia="宋体" w:cs="Times New Roman"/>
              </w:rPr>
            </w:pPr>
          </w:p>
          <w:p w14:paraId="4D39B687">
            <w:pPr>
              <w:pStyle w:val="54"/>
              <w:spacing w:before="88" w:line="223" w:lineRule="auto"/>
              <w:ind w:left="185"/>
              <w:rPr>
                <w:rStyle w:val="21"/>
                <w:rFonts w:ascii="仿宋" w:hAnsi="仿宋" w:eastAsia="仿宋" w:cs="仿宋"/>
                <w:sz w:val="27"/>
                <w:szCs w:val="27"/>
              </w:rPr>
            </w:pPr>
            <w:r>
              <w:rPr>
                <w:rStyle w:val="21"/>
                <w:rFonts w:ascii="仿宋" w:hAnsi="仿宋" w:eastAsia="仿宋" w:cs="仿宋"/>
                <w:spacing w:val="1"/>
                <w:sz w:val="27"/>
                <w:szCs w:val="27"/>
              </w:rPr>
              <w:t>备</w:t>
            </w:r>
            <w:r>
              <w:rPr>
                <w:rStyle w:val="21"/>
                <w:rFonts w:ascii="仿宋" w:hAnsi="仿宋" w:eastAsia="仿宋" w:cs="仿宋"/>
                <w:sz w:val="27"/>
                <w:szCs w:val="27"/>
              </w:rPr>
              <w:t>注</w:t>
            </w:r>
          </w:p>
        </w:tc>
      </w:tr>
      <w:tr w14:paraId="63E5C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45B6A226">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01D64386">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62C681B2">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03C3C0B0">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3AB84837">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54440585">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308A15BD">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3642B471">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796258E6">
            <w:pPr>
              <w:pStyle w:val="54"/>
              <w:rPr>
                <w:rStyle w:val="21"/>
                <w:rFonts w:ascii="Arial" w:hAnsi="Calibri" w:eastAsia="宋体" w:cs="Times New Roman"/>
              </w:rPr>
            </w:pPr>
          </w:p>
        </w:tc>
      </w:tr>
      <w:tr w14:paraId="240AC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top w:val="single" w:color="000000" w:sz="2" w:space="0"/>
              <w:bottom w:val="single" w:color="000000" w:sz="2" w:space="0"/>
            </w:tcBorders>
            <w:noWrap w:val="0"/>
            <w:vAlign w:val="top"/>
          </w:tcPr>
          <w:p w14:paraId="314A61EC">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65CEDF43">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394B6AA2">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23EBCEAE">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1B67B510">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241AD57E">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2885222C">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A1CDE96">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3D007617">
            <w:pPr>
              <w:pStyle w:val="54"/>
              <w:rPr>
                <w:rStyle w:val="21"/>
                <w:rFonts w:ascii="Arial" w:hAnsi="Calibri" w:eastAsia="宋体" w:cs="Times New Roman"/>
              </w:rPr>
            </w:pPr>
          </w:p>
        </w:tc>
      </w:tr>
      <w:tr w14:paraId="48FD0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13E8BF70">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7CF83B0D">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53F12CE5">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4E7432B0">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0FFD3C9F">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5534840">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0E25BA52">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67C58B48">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25CD2764">
            <w:pPr>
              <w:pStyle w:val="54"/>
              <w:rPr>
                <w:rStyle w:val="21"/>
                <w:rFonts w:ascii="Arial" w:hAnsi="Calibri" w:eastAsia="宋体" w:cs="Times New Roman"/>
              </w:rPr>
            </w:pPr>
          </w:p>
        </w:tc>
      </w:tr>
      <w:tr w14:paraId="1AC63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4BD9B1DD">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656E5712">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2E761816">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50F04FFF">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17DBAA30">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30664B98">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3BB6D0F3">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79CC19CF">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5A41BF82">
            <w:pPr>
              <w:pStyle w:val="54"/>
              <w:rPr>
                <w:rStyle w:val="21"/>
                <w:rFonts w:ascii="Arial" w:hAnsi="Calibri" w:eastAsia="宋体" w:cs="Times New Roman"/>
              </w:rPr>
            </w:pPr>
          </w:p>
        </w:tc>
      </w:tr>
      <w:tr w14:paraId="7B3CB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6B600A5A">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4E092DEA">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3C2A8394">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447022CF">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6D4F6AAE">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414298AC">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0970603B">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7B07B87A">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66082982">
            <w:pPr>
              <w:pStyle w:val="54"/>
              <w:rPr>
                <w:rStyle w:val="21"/>
                <w:rFonts w:ascii="Arial" w:hAnsi="Calibri" w:eastAsia="宋体" w:cs="Times New Roman"/>
              </w:rPr>
            </w:pPr>
          </w:p>
        </w:tc>
      </w:tr>
      <w:tr w14:paraId="52D3C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73576895">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6DAA6337">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09B7FBB9">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3314D536">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587F8108">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47934FFB">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38354751">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151AA432">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1E05371B">
            <w:pPr>
              <w:pStyle w:val="54"/>
              <w:rPr>
                <w:rStyle w:val="21"/>
                <w:rFonts w:ascii="Arial" w:hAnsi="Calibri" w:eastAsia="宋体" w:cs="Times New Roman"/>
              </w:rPr>
            </w:pPr>
          </w:p>
        </w:tc>
      </w:tr>
      <w:tr w14:paraId="63858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35377B04">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628811B0">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6CB2E934">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1F1CE8E3">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32CAD2CC">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6C65C485">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718CBDA1">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7EFD4FA7">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54064363">
            <w:pPr>
              <w:pStyle w:val="54"/>
              <w:rPr>
                <w:rStyle w:val="21"/>
                <w:rFonts w:ascii="Arial" w:hAnsi="Calibri" w:eastAsia="宋体" w:cs="Times New Roman"/>
              </w:rPr>
            </w:pPr>
          </w:p>
        </w:tc>
      </w:tr>
      <w:tr w14:paraId="3E28D2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345B47F2">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0F7CFE12">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0D9357C3">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5B9E2A64">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178E4E33">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267AB0A2">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54E047A3">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75D68B09">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6DC2AB13">
            <w:pPr>
              <w:pStyle w:val="54"/>
              <w:rPr>
                <w:rStyle w:val="21"/>
                <w:rFonts w:ascii="Arial" w:hAnsi="Calibri" w:eastAsia="宋体" w:cs="Times New Roman"/>
              </w:rPr>
            </w:pPr>
          </w:p>
        </w:tc>
      </w:tr>
      <w:tr w14:paraId="0BD28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0B286663">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7B5C8DF5">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62D8233B">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33202A67">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4F765759">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6BB4F992">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70C901B5">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719862D">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2679092E">
            <w:pPr>
              <w:pStyle w:val="54"/>
              <w:rPr>
                <w:rStyle w:val="21"/>
                <w:rFonts w:ascii="Arial" w:hAnsi="Calibri" w:eastAsia="宋体" w:cs="Times New Roman"/>
              </w:rPr>
            </w:pPr>
          </w:p>
        </w:tc>
      </w:tr>
      <w:tr w14:paraId="7643B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1174" w:type="dxa"/>
            <w:tcBorders>
              <w:top w:val="single" w:color="000000" w:sz="2" w:space="0"/>
              <w:bottom w:val="single" w:color="000000" w:sz="2" w:space="0"/>
            </w:tcBorders>
            <w:noWrap w:val="0"/>
            <w:vAlign w:val="top"/>
          </w:tcPr>
          <w:p w14:paraId="76E6E115">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0B23AB9F">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03F3EA23">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3A5443BF">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32F3A8D6">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569DAAF4">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36DB2EDB">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421F5741">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6A55114A">
            <w:pPr>
              <w:pStyle w:val="54"/>
              <w:rPr>
                <w:rStyle w:val="21"/>
                <w:rFonts w:ascii="Arial" w:hAnsi="Calibri" w:eastAsia="宋体" w:cs="Times New Roman"/>
              </w:rPr>
            </w:pPr>
          </w:p>
        </w:tc>
      </w:tr>
      <w:tr w14:paraId="1AF34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3C5FCCE5">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171011B1">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250904A9">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18C36A37">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691C7C4F">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42D1CDA">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462C188B">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3D62A1C">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07DFDC46">
            <w:pPr>
              <w:pStyle w:val="54"/>
              <w:rPr>
                <w:rStyle w:val="21"/>
                <w:rFonts w:ascii="Arial" w:hAnsi="Calibri" w:eastAsia="宋体" w:cs="Times New Roman"/>
              </w:rPr>
            </w:pPr>
          </w:p>
        </w:tc>
      </w:tr>
      <w:tr w14:paraId="5CE38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79B00084">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38A3B512">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4EFA5E5E">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65F70B10">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480D57BA">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4BAA871F">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0D8431D1">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4E9A86DF">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1153387C">
            <w:pPr>
              <w:pStyle w:val="54"/>
              <w:rPr>
                <w:rStyle w:val="21"/>
                <w:rFonts w:ascii="Arial" w:hAnsi="Calibri" w:eastAsia="宋体" w:cs="Times New Roman"/>
              </w:rPr>
            </w:pPr>
          </w:p>
        </w:tc>
      </w:tr>
      <w:tr w14:paraId="47ED8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174" w:type="dxa"/>
            <w:tcBorders>
              <w:top w:val="single" w:color="000000" w:sz="2" w:space="0"/>
              <w:bottom w:val="single" w:color="000000" w:sz="2" w:space="0"/>
            </w:tcBorders>
            <w:noWrap w:val="0"/>
            <w:vAlign w:val="top"/>
          </w:tcPr>
          <w:p w14:paraId="336D6A48">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4B381552">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620CF36B">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24315CFD">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2BF944D5">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1C38C20D">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202C96A8">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13208DD7">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6DB41B9F">
            <w:pPr>
              <w:pStyle w:val="54"/>
              <w:rPr>
                <w:rStyle w:val="21"/>
                <w:rFonts w:ascii="Arial" w:hAnsi="Calibri" w:eastAsia="宋体" w:cs="Times New Roman"/>
              </w:rPr>
            </w:pPr>
          </w:p>
        </w:tc>
      </w:tr>
      <w:tr w14:paraId="72F40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174" w:type="dxa"/>
            <w:tcBorders>
              <w:top w:val="single" w:color="000000" w:sz="2" w:space="0"/>
              <w:bottom w:val="single" w:color="000000" w:sz="2" w:space="0"/>
            </w:tcBorders>
            <w:noWrap w:val="0"/>
            <w:vAlign w:val="top"/>
          </w:tcPr>
          <w:p w14:paraId="1AF419AB">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2425294D">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10262C4A">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1FEA4CD3">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31411E90">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7EF1CEB9">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48E09B06">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03A60DBB">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6A8624BC">
            <w:pPr>
              <w:pStyle w:val="54"/>
              <w:rPr>
                <w:rStyle w:val="21"/>
                <w:rFonts w:ascii="Arial" w:hAnsi="Calibri" w:eastAsia="宋体" w:cs="Times New Roman"/>
              </w:rPr>
            </w:pPr>
          </w:p>
        </w:tc>
      </w:tr>
      <w:tr w14:paraId="06858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74" w:type="dxa"/>
            <w:tcBorders>
              <w:top w:val="single" w:color="000000" w:sz="2" w:space="0"/>
              <w:bottom w:val="single" w:color="000000" w:sz="2" w:space="0"/>
            </w:tcBorders>
            <w:noWrap w:val="0"/>
            <w:vAlign w:val="top"/>
          </w:tcPr>
          <w:p w14:paraId="5F7C63B2">
            <w:pPr>
              <w:pStyle w:val="54"/>
              <w:rPr>
                <w:rStyle w:val="21"/>
                <w:rFonts w:ascii="Arial" w:hAnsi="Calibri" w:eastAsia="宋体" w:cs="Times New Roman"/>
              </w:rPr>
            </w:pPr>
          </w:p>
        </w:tc>
        <w:tc>
          <w:tcPr>
            <w:tcW w:w="1425" w:type="dxa"/>
            <w:tcBorders>
              <w:top w:val="single" w:color="000000" w:sz="2" w:space="0"/>
              <w:bottom w:val="single" w:color="000000" w:sz="2" w:space="0"/>
            </w:tcBorders>
            <w:noWrap w:val="0"/>
            <w:vAlign w:val="top"/>
          </w:tcPr>
          <w:p w14:paraId="39B5C72D">
            <w:pPr>
              <w:pStyle w:val="54"/>
              <w:rPr>
                <w:rStyle w:val="21"/>
                <w:rFonts w:ascii="Arial" w:hAnsi="Calibri" w:eastAsia="宋体" w:cs="Times New Roman"/>
              </w:rPr>
            </w:pPr>
          </w:p>
        </w:tc>
        <w:tc>
          <w:tcPr>
            <w:tcW w:w="850" w:type="dxa"/>
            <w:tcBorders>
              <w:top w:val="single" w:color="000000" w:sz="2" w:space="0"/>
              <w:bottom w:val="single" w:color="000000" w:sz="2" w:space="0"/>
            </w:tcBorders>
            <w:noWrap w:val="0"/>
            <w:vAlign w:val="top"/>
          </w:tcPr>
          <w:p w14:paraId="781DEE3C">
            <w:pPr>
              <w:pStyle w:val="54"/>
              <w:rPr>
                <w:rStyle w:val="21"/>
                <w:rFonts w:ascii="Arial" w:hAnsi="Calibri" w:eastAsia="宋体" w:cs="Times New Roman"/>
              </w:rPr>
            </w:pPr>
          </w:p>
        </w:tc>
        <w:tc>
          <w:tcPr>
            <w:tcW w:w="1052" w:type="dxa"/>
            <w:tcBorders>
              <w:top w:val="single" w:color="000000" w:sz="2" w:space="0"/>
              <w:bottom w:val="single" w:color="000000" w:sz="2" w:space="0"/>
            </w:tcBorders>
            <w:noWrap w:val="0"/>
            <w:vAlign w:val="top"/>
          </w:tcPr>
          <w:p w14:paraId="03174A6D">
            <w:pPr>
              <w:pStyle w:val="54"/>
              <w:rPr>
                <w:rStyle w:val="21"/>
                <w:rFonts w:ascii="Arial" w:hAnsi="Calibri" w:eastAsia="宋体" w:cs="Times New Roman"/>
              </w:rPr>
            </w:pPr>
          </w:p>
        </w:tc>
        <w:tc>
          <w:tcPr>
            <w:tcW w:w="878" w:type="dxa"/>
            <w:tcBorders>
              <w:top w:val="single" w:color="000000" w:sz="2" w:space="0"/>
              <w:bottom w:val="single" w:color="000000" w:sz="2" w:space="0"/>
            </w:tcBorders>
            <w:noWrap w:val="0"/>
            <w:vAlign w:val="top"/>
          </w:tcPr>
          <w:p w14:paraId="11C51046">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2C7857CA">
            <w:pPr>
              <w:pStyle w:val="54"/>
              <w:rPr>
                <w:rStyle w:val="21"/>
                <w:rFonts w:ascii="Arial" w:hAnsi="Calibri" w:eastAsia="宋体" w:cs="Times New Roman"/>
              </w:rPr>
            </w:pPr>
          </w:p>
        </w:tc>
        <w:tc>
          <w:tcPr>
            <w:tcW w:w="1483" w:type="dxa"/>
            <w:tcBorders>
              <w:top w:val="single" w:color="000000" w:sz="2" w:space="0"/>
              <w:bottom w:val="single" w:color="000000" w:sz="2" w:space="0"/>
            </w:tcBorders>
            <w:noWrap w:val="0"/>
            <w:vAlign w:val="top"/>
          </w:tcPr>
          <w:p w14:paraId="7313DF51">
            <w:pPr>
              <w:pStyle w:val="54"/>
              <w:rPr>
                <w:rStyle w:val="21"/>
                <w:rFonts w:ascii="Arial" w:hAnsi="Calibri" w:eastAsia="宋体" w:cs="Times New Roman"/>
              </w:rPr>
            </w:pPr>
          </w:p>
        </w:tc>
        <w:tc>
          <w:tcPr>
            <w:tcW w:w="1023" w:type="dxa"/>
            <w:tcBorders>
              <w:top w:val="single" w:color="000000" w:sz="2" w:space="0"/>
              <w:bottom w:val="single" w:color="000000" w:sz="2" w:space="0"/>
            </w:tcBorders>
            <w:noWrap w:val="0"/>
            <w:vAlign w:val="top"/>
          </w:tcPr>
          <w:p w14:paraId="22F78A65">
            <w:pPr>
              <w:pStyle w:val="54"/>
              <w:rPr>
                <w:rStyle w:val="21"/>
                <w:rFonts w:ascii="Arial" w:hAnsi="Calibri" w:eastAsia="宋体" w:cs="Times New Roman"/>
              </w:rPr>
            </w:pPr>
          </w:p>
        </w:tc>
        <w:tc>
          <w:tcPr>
            <w:tcW w:w="929" w:type="dxa"/>
            <w:tcBorders>
              <w:top w:val="single" w:color="000000" w:sz="2" w:space="0"/>
              <w:bottom w:val="single" w:color="000000" w:sz="2" w:space="0"/>
            </w:tcBorders>
            <w:noWrap w:val="0"/>
            <w:vAlign w:val="top"/>
          </w:tcPr>
          <w:p w14:paraId="57DBA68F">
            <w:pPr>
              <w:pStyle w:val="54"/>
              <w:rPr>
                <w:rStyle w:val="21"/>
                <w:rFonts w:ascii="Arial" w:hAnsi="Calibri" w:eastAsia="宋体" w:cs="Times New Roman"/>
              </w:rPr>
            </w:pPr>
          </w:p>
        </w:tc>
      </w:tr>
    </w:tbl>
    <w:p w14:paraId="758B136C">
      <w:pPr>
        <w:pStyle w:val="54"/>
        <w:spacing w:line="103" w:lineRule="exact"/>
        <w:rPr>
          <w:rStyle w:val="21"/>
          <w:rFonts w:ascii="Calibri" w:hAnsi="Calibri" w:eastAsia="宋体" w:cs="Times New Roman"/>
        </w:rPr>
      </w:pPr>
    </w:p>
    <w:p w14:paraId="38C42B57">
      <w:pPr>
        <w:pStyle w:val="54"/>
        <w:spacing w:before="85" w:line="220" w:lineRule="auto"/>
        <w:rPr>
          <w:rStyle w:val="21"/>
          <w:rFonts w:ascii="仿宋" w:hAnsi="仿宋" w:eastAsia="仿宋" w:cs="仿宋"/>
          <w:spacing w:val="-15"/>
          <w:sz w:val="30"/>
          <w:szCs w:val="30"/>
        </w:rPr>
      </w:pPr>
    </w:p>
    <w:p w14:paraId="000A6AAC">
      <w:pPr>
        <w:pStyle w:val="54"/>
        <w:spacing w:line="259" w:lineRule="auto"/>
        <w:rPr>
          <w:rStyle w:val="21"/>
          <w:rFonts w:ascii="仿宋" w:hAnsi="仿宋" w:eastAsia="仿宋" w:cs="仿宋"/>
          <w:spacing w:val="-15"/>
          <w:sz w:val="30"/>
          <w:szCs w:val="30"/>
        </w:rPr>
      </w:pPr>
    </w:p>
    <w:p w14:paraId="710B2124">
      <w:pPr>
        <w:pStyle w:val="54"/>
        <w:spacing w:line="259" w:lineRule="auto"/>
        <w:rPr>
          <w:rStyle w:val="21"/>
          <w:rFonts w:ascii="仿宋" w:hAnsi="仿宋" w:eastAsia="仿宋" w:cs="仿宋"/>
          <w:spacing w:val="-15"/>
          <w:sz w:val="30"/>
          <w:szCs w:val="30"/>
        </w:rPr>
      </w:pPr>
    </w:p>
    <w:p w14:paraId="22C33AF5">
      <w:pPr>
        <w:pStyle w:val="54"/>
        <w:spacing w:line="259" w:lineRule="auto"/>
        <w:rPr>
          <w:rStyle w:val="21"/>
          <w:rFonts w:ascii="仿宋" w:hAnsi="仿宋" w:eastAsia="仿宋" w:cs="仿宋"/>
          <w:spacing w:val="-15"/>
          <w:sz w:val="30"/>
          <w:szCs w:val="30"/>
        </w:rPr>
      </w:pPr>
    </w:p>
    <w:p w14:paraId="5F7EB177">
      <w:pPr>
        <w:pStyle w:val="54"/>
        <w:spacing w:line="259" w:lineRule="auto"/>
        <w:rPr>
          <w:rStyle w:val="21"/>
          <w:rFonts w:ascii="仿宋" w:hAnsi="仿宋" w:eastAsia="仿宋" w:cs="仿宋"/>
          <w:spacing w:val="-15"/>
          <w:sz w:val="30"/>
          <w:szCs w:val="30"/>
        </w:rPr>
      </w:pPr>
    </w:p>
    <w:p w14:paraId="1FCFA234">
      <w:pPr>
        <w:pStyle w:val="54"/>
        <w:spacing w:line="259" w:lineRule="auto"/>
        <w:rPr>
          <w:rStyle w:val="21"/>
          <w:rFonts w:ascii="仿宋" w:hAnsi="仿宋" w:eastAsia="仿宋" w:cs="仿宋"/>
          <w:spacing w:val="-15"/>
          <w:sz w:val="30"/>
          <w:szCs w:val="30"/>
        </w:rPr>
      </w:pPr>
    </w:p>
    <w:p w14:paraId="0547C7E6">
      <w:pPr>
        <w:pStyle w:val="54"/>
        <w:spacing w:line="259" w:lineRule="auto"/>
        <w:rPr>
          <w:rStyle w:val="21"/>
          <w:rFonts w:ascii="仿宋" w:hAnsi="仿宋" w:eastAsia="仿宋" w:cs="仿宋"/>
          <w:spacing w:val="-15"/>
          <w:sz w:val="30"/>
          <w:szCs w:val="30"/>
        </w:rPr>
      </w:pPr>
    </w:p>
    <w:p w14:paraId="4FBF493B">
      <w:pPr>
        <w:pStyle w:val="54"/>
        <w:spacing w:line="259" w:lineRule="auto"/>
        <w:rPr>
          <w:rStyle w:val="21"/>
          <w:rFonts w:ascii="仿宋" w:hAnsi="仿宋" w:eastAsia="仿宋" w:cs="仿宋"/>
          <w:spacing w:val="-15"/>
          <w:sz w:val="30"/>
          <w:szCs w:val="30"/>
        </w:rPr>
      </w:pPr>
    </w:p>
    <w:p w14:paraId="3A9C6148">
      <w:pPr>
        <w:pStyle w:val="54"/>
        <w:spacing w:line="259" w:lineRule="auto"/>
        <w:rPr>
          <w:rStyle w:val="21"/>
          <w:rFonts w:ascii="仿宋" w:hAnsi="仿宋" w:eastAsia="仿宋" w:cs="仿宋"/>
          <w:spacing w:val="-15"/>
          <w:sz w:val="30"/>
          <w:szCs w:val="30"/>
        </w:rPr>
      </w:pPr>
    </w:p>
    <w:p w14:paraId="05B2EF16">
      <w:pPr>
        <w:pStyle w:val="54"/>
        <w:spacing w:line="259" w:lineRule="auto"/>
        <w:rPr>
          <w:rStyle w:val="21"/>
          <w:rFonts w:ascii="仿宋" w:hAnsi="仿宋" w:eastAsia="仿宋" w:cs="仿宋"/>
          <w:spacing w:val="-15"/>
          <w:sz w:val="30"/>
          <w:szCs w:val="30"/>
        </w:rPr>
      </w:pPr>
    </w:p>
    <w:p w14:paraId="67B92F8D">
      <w:pPr>
        <w:pStyle w:val="54"/>
        <w:spacing w:line="259" w:lineRule="auto"/>
        <w:rPr>
          <w:rStyle w:val="21"/>
          <w:rFonts w:ascii="Arial" w:hAnsi="Calibri" w:eastAsia="宋体" w:cs="Times New Roman"/>
        </w:rPr>
      </w:pPr>
      <w:r>
        <w:rPr>
          <w:rStyle w:val="21"/>
          <w:rFonts w:ascii="仿宋" w:hAnsi="仿宋" w:eastAsia="仿宋" w:cs="仿宋"/>
          <w:spacing w:val="-15"/>
          <w:sz w:val="30"/>
          <w:szCs w:val="30"/>
        </w:rPr>
        <w:t xml:space="preserve">附件 </w:t>
      </w:r>
      <w:r>
        <w:rPr>
          <w:rStyle w:val="21"/>
          <w:rFonts w:hint="eastAsia" w:ascii="Times New Roman" w:hAnsi="Times New Roman" w:cs="Times New Roman"/>
          <w:spacing w:val="-15"/>
          <w:sz w:val="30"/>
          <w:szCs w:val="30"/>
          <w:lang w:val="en-US" w:eastAsia="zh-CN"/>
        </w:rPr>
        <w:t>3</w:t>
      </w:r>
      <w:r>
        <w:rPr>
          <w:rStyle w:val="21"/>
          <w:rFonts w:ascii="仿宋" w:hAnsi="仿宋" w:eastAsia="仿宋" w:cs="仿宋"/>
          <w:spacing w:val="-15"/>
          <w:sz w:val="30"/>
          <w:szCs w:val="30"/>
        </w:rPr>
        <w:t>：</w:t>
      </w:r>
    </w:p>
    <w:p w14:paraId="3490A5CE">
      <w:pPr>
        <w:pStyle w:val="52"/>
        <w:spacing w:before="120" w:beforeLines="50" w:after="120" w:afterLines="50" w:line="440" w:lineRule="exact"/>
        <w:jc w:val="center"/>
        <w:rPr>
          <w:rFonts w:hint="eastAsia" w:ascii="宋体" w:hAnsi="宋体"/>
          <w:sz w:val="28"/>
          <w:szCs w:val="28"/>
        </w:rPr>
      </w:pPr>
      <w:r>
        <w:rPr>
          <w:rFonts w:hint="eastAsia" w:ascii="宋体" w:hAnsi="宋体"/>
          <w:sz w:val="28"/>
          <w:szCs w:val="28"/>
        </w:rPr>
        <w:t>工程质量保修书</w:t>
      </w:r>
    </w:p>
    <w:p w14:paraId="5AF31746">
      <w:pPr>
        <w:pStyle w:val="52"/>
        <w:spacing w:before="120" w:beforeLines="50" w:after="120" w:afterLines="50" w:line="440" w:lineRule="exact"/>
        <w:jc w:val="center"/>
        <w:rPr>
          <w:rFonts w:hint="eastAsia" w:ascii="宋体" w:hAnsi="宋体"/>
          <w:sz w:val="32"/>
          <w:szCs w:val="32"/>
        </w:rPr>
      </w:pPr>
      <w:r>
        <w:rPr>
          <w:rFonts w:hint="eastAsia" w:ascii="宋体" w:hAnsi="宋体"/>
          <w:sz w:val="32"/>
          <w:szCs w:val="32"/>
        </w:rPr>
        <w:t xml:space="preserve"> </w:t>
      </w:r>
    </w:p>
    <w:p w14:paraId="7FB01698">
      <w:pPr>
        <w:pStyle w:val="52"/>
        <w:spacing w:line="440" w:lineRule="exact"/>
        <w:ind w:firstLine="420" w:firstLineChars="200"/>
        <w:rPr>
          <w:rFonts w:hint="eastAsia" w:ascii="宋体" w:hAnsi="宋体"/>
          <w:szCs w:val="21"/>
        </w:rPr>
      </w:pPr>
      <w:r>
        <w:rPr>
          <w:rFonts w:hint="eastAsia" w:ascii="宋体" w:hAnsi="宋体"/>
        </w:rPr>
        <w:t>发包人（全称）：</w:t>
      </w:r>
      <w:r>
        <w:rPr>
          <w:rFonts w:hint="eastAsia" w:ascii="宋体" w:hAnsi="宋体"/>
          <w:u w:val="single"/>
        </w:rPr>
        <w:t xml:space="preserve">         </w:t>
      </w:r>
      <w:r>
        <w:rPr>
          <w:rFonts w:hint="eastAsia" w:ascii="宋体" w:hAnsi="宋体"/>
        </w:rPr>
        <w:t xml:space="preserve"> </w:t>
      </w:r>
    </w:p>
    <w:p w14:paraId="63A2CD6F">
      <w:pPr>
        <w:pStyle w:val="52"/>
        <w:spacing w:line="440" w:lineRule="exact"/>
        <w:ind w:firstLine="420" w:firstLineChars="200"/>
        <w:rPr>
          <w:rFonts w:hint="eastAsia" w:ascii="宋体" w:hAnsi="宋体"/>
        </w:rPr>
      </w:pPr>
      <w:r>
        <w:rPr>
          <w:rFonts w:hint="eastAsia" w:ascii="宋体" w:hAnsi="宋体"/>
        </w:rPr>
        <w:t>承包人（全称）：</w:t>
      </w:r>
      <w:r>
        <w:rPr>
          <w:rFonts w:hint="eastAsia" w:ascii="宋体" w:hAnsi="宋体"/>
          <w:u w:val="single"/>
        </w:rPr>
        <w:t xml:space="preserve">               </w:t>
      </w:r>
      <w:r>
        <w:rPr>
          <w:rFonts w:hint="eastAsia" w:ascii="宋体" w:hAnsi="宋体"/>
        </w:rPr>
        <w:t xml:space="preserve"> </w:t>
      </w:r>
    </w:p>
    <w:p w14:paraId="65DF6F48">
      <w:pPr>
        <w:pStyle w:val="52"/>
        <w:spacing w:line="440" w:lineRule="exact"/>
        <w:rPr>
          <w:rFonts w:hint="eastAsia" w:ascii="宋体" w:hAnsi="宋体"/>
        </w:rPr>
      </w:pPr>
      <w:r>
        <w:rPr>
          <w:rFonts w:hint="eastAsia" w:ascii="宋体" w:hAnsi="宋体"/>
        </w:rPr>
        <w:t xml:space="preserve"> </w:t>
      </w:r>
    </w:p>
    <w:p w14:paraId="2F091868">
      <w:pPr>
        <w:pStyle w:val="52"/>
        <w:spacing w:line="360" w:lineRule="auto"/>
        <w:ind w:firstLine="420" w:firstLineChars="200"/>
        <w:rPr>
          <w:rFonts w:hint="eastAsia" w:ascii="宋体" w:hAnsi="宋体"/>
        </w:rPr>
      </w:pPr>
      <w:r>
        <w:rPr>
          <w:rFonts w:hint="eastAsia" w:ascii="宋体" w:hAnsi="宋体"/>
        </w:rPr>
        <w:t>发包人和承包人根据《中华人民共和国建筑法》和《建设工程质量管理条例》，经协商一致就</w:t>
      </w:r>
      <w:r>
        <w:rPr>
          <w:rFonts w:hint="eastAsia" w:ascii="宋体" w:hAnsi="宋体"/>
          <w:u w:val="single"/>
        </w:rPr>
        <w:t xml:space="preserve">             </w:t>
      </w:r>
      <w:r>
        <w:rPr>
          <w:rFonts w:hint="eastAsia" w:ascii="宋体" w:hAnsi="宋体"/>
        </w:rPr>
        <w:t>（工程全称）签订工程质量保修书。</w:t>
      </w:r>
    </w:p>
    <w:p w14:paraId="7DAB7123">
      <w:pPr>
        <w:pStyle w:val="52"/>
        <w:spacing w:line="360" w:lineRule="auto"/>
        <w:ind w:firstLine="420" w:firstLineChars="200"/>
        <w:rPr>
          <w:rFonts w:hint="eastAsia" w:ascii="宋体" w:hAnsi="宋体"/>
        </w:rPr>
      </w:pPr>
      <w:r>
        <w:rPr>
          <w:rFonts w:hint="eastAsia" w:ascii="宋体" w:hAnsi="宋体"/>
        </w:rPr>
        <w:t>一、工程质量保修范围和内容</w:t>
      </w:r>
    </w:p>
    <w:p w14:paraId="2A614358">
      <w:pPr>
        <w:pStyle w:val="52"/>
        <w:spacing w:line="360" w:lineRule="auto"/>
        <w:ind w:firstLine="420" w:firstLineChars="200"/>
        <w:rPr>
          <w:rFonts w:hint="eastAsia" w:ascii="宋体" w:hAnsi="宋体"/>
        </w:rPr>
      </w:pPr>
      <w:r>
        <w:rPr>
          <w:rFonts w:hint="eastAsia" w:ascii="宋体" w:hAnsi="宋体"/>
        </w:rPr>
        <w:t>承包人在质量保修期内，按照有关法律规定和合同约定，承担工程质量保修责任。</w:t>
      </w:r>
    </w:p>
    <w:p w14:paraId="54838B8E">
      <w:pPr>
        <w:pStyle w:val="52"/>
        <w:spacing w:line="360" w:lineRule="auto"/>
        <w:ind w:firstLine="420"/>
        <w:rPr>
          <w:rFonts w:hint="eastAsia" w:ascii="宋体" w:hAnsi="宋体"/>
        </w:rPr>
      </w:pPr>
      <w:r>
        <w:rPr>
          <w:rFonts w:hint="eastAsia" w:ascii="宋体" w:hAnsi="宋体"/>
        </w:rPr>
        <w:t>质量保修范围包括地基基础工程、主体结构工程，屋面防水工程、有防水要求的卫生间、房间和外墙面的防渗漏，供热与供冷系统，电气管线、给排水管道、设备安装和装修工程，以及双方约定的其他项目。具体保修的内</w:t>
      </w:r>
      <w:r>
        <w:rPr>
          <w:rFonts w:hint="eastAsia" w:ascii="宋体" w:hAnsi="宋体"/>
          <w:color w:val="auto"/>
        </w:rPr>
        <w:t>容，双方约定如下：</w:t>
      </w:r>
      <w:r>
        <w:rPr>
          <w:rFonts w:hint="eastAsia" w:ascii="宋体" w:hAnsi="宋体"/>
          <w:color w:val="auto"/>
          <w:u w:val="single"/>
          <w:lang w:val="en-US" w:eastAsia="zh-CN"/>
        </w:rPr>
        <w:t xml:space="preserve">                        </w:t>
      </w:r>
      <w:r>
        <w:rPr>
          <w:rFonts w:hint="eastAsia" w:ascii="宋体" w:hAnsi="宋体"/>
          <w:color w:val="auto"/>
        </w:rPr>
        <w:t>。</w:t>
      </w:r>
    </w:p>
    <w:p w14:paraId="7960BF24">
      <w:pPr>
        <w:pStyle w:val="52"/>
        <w:spacing w:line="360" w:lineRule="auto"/>
        <w:ind w:firstLine="420"/>
        <w:rPr>
          <w:rFonts w:hint="eastAsia" w:ascii="宋体" w:hAnsi="宋体"/>
        </w:rPr>
      </w:pPr>
      <w:r>
        <w:rPr>
          <w:rFonts w:hint="eastAsia" w:ascii="宋体" w:hAnsi="宋体"/>
        </w:rPr>
        <w:t>二、质量保修期</w:t>
      </w:r>
    </w:p>
    <w:p w14:paraId="29064185">
      <w:pPr>
        <w:pStyle w:val="52"/>
        <w:spacing w:line="360" w:lineRule="auto"/>
        <w:ind w:firstLine="420"/>
        <w:rPr>
          <w:rFonts w:hint="eastAsia" w:ascii="宋体" w:hAnsi="宋体"/>
        </w:rPr>
      </w:pPr>
      <w:r>
        <w:rPr>
          <w:rFonts w:hint="eastAsia" w:ascii="宋体" w:hAnsi="宋体"/>
        </w:rPr>
        <w:t>根据《建设工程质量管理条例》及有关规定，工程的质量保修期如下：</w:t>
      </w:r>
    </w:p>
    <w:p w14:paraId="78628B6E">
      <w:pPr>
        <w:pStyle w:val="52"/>
        <w:spacing w:line="360" w:lineRule="auto"/>
        <w:ind w:firstLine="420"/>
        <w:rPr>
          <w:rFonts w:hint="eastAsia" w:ascii="宋体" w:hAnsi="宋体"/>
        </w:rPr>
      </w:pPr>
      <w:r>
        <w:rPr>
          <w:rFonts w:hint="eastAsia" w:ascii="宋体" w:hAnsi="宋体"/>
        </w:rPr>
        <w:t>1．地基基础工程和主体结构工程为设计文件规定的工程合理使用年限；</w:t>
      </w:r>
    </w:p>
    <w:p w14:paraId="6F8687E5">
      <w:pPr>
        <w:pStyle w:val="52"/>
        <w:spacing w:line="360" w:lineRule="auto"/>
        <w:ind w:firstLine="420"/>
        <w:rPr>
          <w:rFonts w:hint="eastAsia" w:ascii="宋体" w:hAnsi="宋体"/>
        </w:rPr>
      </w:pPr>
      <w:r>
        <w:rPr>
          <w:rFonts w:hint="eastAsia" w:ascii="宋体" w:hAnsi="宋体"/>
        </w:rPr>
        <w:t>2．屋面防水工程、有防水要求的卫生间、房间和外墙面的防渗为</w:t>
      </w:r>
      <w:r>
        <w:rPr>
          <w:rFonts w:hint="eastAsia" w:ascii="宋体" w:hAnsi="宋体"/>
          <w:u w:val="single"/>
        </w:rPr>
        <w:t xml:space="preserve">    </w:t>
      </w:r>
      <w:r>
        <w:rPr>
          <w:rFonts w:hint="eastAsia" w:ascii="宋体" w:hAnsi="宋体"/>
        </w:rPr>
        <w:t>年；</w:t>
      </w:r>
    </w:p>
    <w:p w14:paraId="3D18D996">
      <w:pPr>
        <w:pStyle w:val="52"/>
        <w:spacing w:line="360" w:lineRule="auto"/>
        <w:ind w:firstLine="420"/>
        <w:rPr>
          <w:rFonts w:hint="eastAsia" w:ascii="宋体" w:hAnsi="宋体"/>
        </w:rPr>
      </w:pPr>
      <w:r>
        <w:rPr>
          <w:rFonts w:hint="eastAsia" w:ascii="宋体" w:hAnsi="宋体"/>
        </w:rPr>
        <w:t>3．装修工程为</w:t>
      </w:r>
      <w:r>
        <w:rPr>
          <w:rFonts w:hint="eastAsia" w:ascii="宋体" w:hAnsi="宋体"/>
          <w:u w:val="single"/>
        </w:rPr>
        <w:t xml:space="preserve">    </w:t>
      </w:r>
      <w:r>
        <w:rPr>
          <w:rFonts w:hint="eastAsia" w:ascii="宋体" w:hAnsi="宋体"/>
        </w:rPr>
        <w:t>年；</w:t>
      </w:r>
    </w:p>
    <w:p w14:paraId="1135854F">
      <w:pPr>
        <w:pStyle w:val="52"/>
        <w:spacing w:line="360" w:lineRule="auto"/>
        <w:ind w:firstLine="420"/>
        <w:rPr>
          <w:rFonts w:hint="eastAsia" w:ascii="宋体" w:hAnsi="宋体"/>
        </w:rPr>
      </w:pPr>
      <w:r>
        <w:rPr>
          <w:rFonts w:hint="eastAsia" w:ascii="宋体" w:hAnsi="宋体"/>
        </w:rPr>
        <w:t>4．电气管线、给排水管道、设备安装工程为</w:t>
      </w:r>
      <w:r>
        <w:rPr>
          <w:rFonts w:hint="eastAsia" w:ascii="宋体" w:hAnsi="宋体"/>
          <w:u w:val="single"/>
        </w:rPr>
        <w:t xml:space="preserve">    </w:t>
      </w:r>
      <w:r>
        <w:rPr>
          <w:rFonts w:hint="eastAsia" w:ascii="宋体" w:hAnsi="宋体"/>
        </w:rPr>
        <w:t>年；</w:t>
      </w:r>
    </w:p>
    <w:p w14:paraId="5FAD777D">
      <w:pPr>
        <w:pStyle w:val="52"/>
        <w:spacing w:line="360" w:lineRule="auto"/>
        <w:ind w:firstLine="420"/>
        <w:rPr>
          <w:rFonts w:hint="eastAsia" w:ascii="宋体" w:hAnsi="宋体"/>
        </w:rPr>
      </w:pPr>
      <w:r>
        <w:rPr>
          <w:rFonts w:hint="eastAsia" w:ascii="宋体" w:hAnsi="宋体"/>
        </w:rPr>
        <w:t>5．供热与供冷系统为</w:t>
      </w:r>
      <w:r>
        <w:rPr>
          <w:rFonts w:hint="eastAsia" w:ascii="宋体" w:hAnsi="宋体"/>
          <w:u w:val="single"/>
        </w:rPr>
        <w:t xml:space="preserve">     </w:t>
      </w:r>
      <w:r>
        <w:rPr>
          <w:rFonts w:hint="eastAsia" w:ascii="宋体" w:hAnsi="宋体"/>
        </w:rPr>
        <w:t>个采暖期、供冷期；</w:t>
      </w:r>
    </w:p>
    <w:p w14:paraId="30DA13AF">
      <w:pPr>
        <w:pStyle w:val="52"/>
        <w:spacing w:line="360" w:lineRule="auto"/>
        <w:ind w:firstLine="420"/>
        <w:rPr>
          <w:rFonts w:hint="eastAsia" w:ascii="宋体" w:hAnsi="宋体"/>
        </w:rPr>
      </w:pPr>
      <w:r>
        <w:rPr>
          <w:rFonts w:hint="eastAsia" w:ascii="宋体" w:hAnsi="宋体"/>
        </w:rPr>
        <w:t>6．住宅小区内的给排水设施、道路等配套工程为</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年；</w:t>
      </w:r>
    </w:p>
    <w:p w14:paraId="44837D83">
      <w:pPr>
        <w:pStyle w:val="52"/>
        <w:spacing w:line="360" w:lineRule="auto"/>
        <w:ind w:firstLine="420"/>
        <w:rPr>
          <w:rFonts w:hint="eastAsia" w:ascii="宋体" w:hAnsi="宋体"/>
        </w:rPr>
      </w:pPr>
      <w:r>
        <w:rPr>
          <w:rFonts w:hint="eastAsia" w:ascii="宋体" w:hAnsi="宋体"/>
        </w:rPr>
        <w:t>7．其他项目保修期限约定如下：</w:t>
      </w:r>
    </w:p>
    <w:p w14:paraId="33F236D1">
      <w:pPr>
        <w:pStyle w:val="52"/>
        <w:spacing w:line="360" w:lineRule="auto"/>
        <w:ind w:firstLine="420"/>
        <w:rPr>
          <w:rFonts w:hint="eastAsia" w:ascii="宋体" w:hAnsi="宋体"/>
        </w:rPr>
      </w:pPr>
      <w:r>
        <w:rPr>
          <w:rFonts w:hint="eastAsia" w:ascii="宋体" w:hAnsi="宋体"/>
          <w:u w:val="single"/>
        </w:rPr>
        <w:t xml:space="preserve">                                                                    </w:t>
      </w:r>
      <w:r>
        <w:rPr>
          <w:rFonts w:hint="eastAsia" w:ascii="宋体" w:hAnsi="宋体"/>
        </w:rPr>
        <w:t>。</w:t>
      </w:r>
    </w:p>
    <w:p w14:paraId="325D27CC">
      <w:pPr>
        <w:pStyle w:val="52"/>
        <w:spacing w:line="360" w:lineRule="auto"/>
        <w:ind w:firstLine="420"/>
        <w:rPr>
          <w:rFonts w:hint="eastAsia" w:ascii="宋体" w:hAnsi="宋体"/>
        </w:rPr>
      </w:pPr>
      <w:r>
        <w:rPr>
          <w:rFonts w:hint="eastAsia" w:ascii="宋体" w:hAnsi="宋体"/>
        </w:rPr>
        <w:t>质量保修期自工程竣工验收合格之日起计算。</w:t>
      </w:r>
    </w:p>
    <w:p w14:paraId="5D5B57EB">
      <w:pPr>
        <w:pStyle w:val="52"/>
        <w:spacing w:line="360" w:lineRule="auto"/>
        <w:ind w:firstLine="420"/>
        <w:rPr>
          <w:rFonts w:hint="eastAsia" w:ascii="宋体" w:hAnsi="宋体"/>
        </w:rPr>
      </w:pPr>
      <w:r>
        <w:rPr>
          <w:rFonts w:hint="eastAsia" w:ascii="宋体" w:hAnsi="宋体"/>
        </w:rPr>
        <w:t>三、缺陷责任期</w:t>
      </w:r>
    </w:p>
    <w:p w14:paraId="383C0470">
      <w:pPr>
        <w:pStyle w:val="52"/>
        <w:spacing w:line="360" w:lineRule="auto"/>
        <w:ind w:firstLine="420"/>
        <w:rPr>
          <w:rFonts w:hint="eastAsia" w:ascii="宋体" w:hAnsi="宋体"/>
        </w:rPr>
      </w:pPr>
      <w:r>
        <w:rPr>
          <w:rFonts w:hint="eastAsia" w:ascii="宋体" w:hAnsi="宋体"/>
        </w:rPr>
        <w:t>工程缺陷责任期为</w:t>
      </w:r>
      <w:r>
        <w:rPr>
          <w:rFonts w:hint="eastAsia" w:ascii="宋体" w:hAnsi="宋体"/>
          <w:u w:val="single"/>
        </w:rPr>
        <w:t xml:space="preserve"> 24 </w:t>
      </w:r>
      <w:r>
        <w:rPr>
          <w:rFonts w:hint="eastAsia" w:ascii="宋体" w:hAnsi="宋体"/>
        </w:rPr>
        <w:t>个月（最长不超过24个月），缺陷责任期自工程竣工验收合格之日起计算。单位工程先于全部工程进行验收，单位工程缺陷责任期自单位工程验收合格之日起算。</w:t>
      </w:r>
    </w:p>
    <w:p w14:paraId="018C6144">
      <w:pPr>
        <w:pStyle w:val="52"/>
        <w:spacing w:line="360" w:lineRule="auto"/>
        <w:ind w:firstLine="420"/>
        <w:rPr>
          <w:rFonts w:hint="eastAsia" w:ascii="宋体" w:hAnsi="宋体"/>
        </w:rPr>
      </w:pPr>
      <w:r>
        <w:rPr>
          <w:rFonts w:hint="eastAsia" w:ascii="宋体" w:hAnsi="宋体"/>
        </w:rPr>
        <w:t>缺陷责任期终止后，发包人应退还剩余的质量保证金。</w:t>
      </w:r>
    </w:p>
    <w:p w14:paraId="22B51EA4">
      <w:pPr>
        <w:pStyle w:val="52"/>
        <w:spacing w:line="360" w:lineRule="auto"/>
        <w:ind w:firstLine="420"/>
        <w:rPr>
          <w:rFonts w:hint="eastAsia" w:ascii="宋体" w:hAnsi="宋体"/>
        </w:rPr>
      </w:pPr>
      <w:r>
        <w:rPr>
          <w:rFonts w:hint="eastAsia" w:ascii="宋体" w:hAnsi="宋体"/>
        </w:rPr>
        <w:t>四、质量保修责任</w:t>
      </w:r>
    </w:p>
    <w:p w14:paraId="5F32EAD4">
      <w:pPr>
        <w:pStyle w:val="52"/>
        <w:spacing w:line="360" w:lineRule="auto"/>
        <w:ind w:left="105" w:leftChars="50" w:firstLine="430" w:firstLineChars="205"/>
        <w:rPr>
          <w:rFonts w:hint="eastAsia" w:ascii="宋体" w:hAnsi="宋体"/>
        </w:rPr>
      </w:pPr>
      <w:r>
        <w:rPr>
          <w:rFonts w:hint="eastAsia" w:ascii="宋体" w:hAnsi="宋体"/>
        </w:rPr>
        <w:t>1．属于保修范围、内容的项目，承包人应当在接到保修通知之日起</w:t>
      </w:r>
      <w:r>
        <w:rPr>
          <w:rFonts w:hint="eastAsia" w:ascii="宋体" w:hAnsi="宋体"/>
          <w:u w:val="single"/>
        </w:rPr>
        <w:t xml:space="preserve">   7   </w:t>
      </w:r>
      <w:r>
        <w:rPr>
          <w:rFonts w:hint="eastAsia" w:ascii="宋体" w:hAnsi="宋体"/>
        </w:rPr>
        <w:t>天内派人保修。承包人不在约定期限内派人保修的，发包人可以委托他人修理，修理费用从质量保修金内扣除。</w:t>
      </w:r>
    </w:p>
    <w:p w14:paraId="295ED056">
      <w:pPr>
        <w:pStyle w:val="52"/>
        <w:spacing w:line="360" w:lineRule="auto"/>
        <w:ind w:firstLine="420"/>
        <w:rPr>
          <w:rFonts w:hint="eastAsia" w:ascii="宋体" w:hAnsi="宋体"/>
        </w:rPr>
      </w:pPr>
      <w:r>
        <w:rPr>
          <w:rFonts w:hint="eastAsia" w:ascii="宋体" w:hAnsi="宋体"/>
        </w:rPr>
        <w:t>2．发生紧急事故需抢修的，承包人在接到事故通知后，应当立即到达事故现场抢修。</w:t>
      </w:r>
    </w:p>
    <w:p w14:paraId="125DB03D">
      <w:pPr>
        <w:pStyle w:val="52"/>
        <w:spacing w:line="360" w:lineRule="auto"/>
        <w:ind w:firstLine="420"/>
        <w:rPr>
          <w:rFonts w:hint="eastAsia" w:ascii="宋体" w:hAnsi="宋体"/>
        </w:rPr>
      </w:pPr>
      <w:r>
        <w:rPr>
          <w:rFonts w:hint="eastAsia" w:ascii="宋体" w:hAnsi="宋体"/>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1287C4EF">
      <w:pPr>
        <w:pStyle w:val="52"/>
        <w:spacing w:line="360" w:lineRule="auto"/>
        <w:ind w:firstLine="420"/>
        <w:rPr>
          <w:rFonts w:hint="eastAsia" w:ascii="宋体" w:hAnsi="宋体"/>
        </w:rPr>
      </w:pPr>
      <w:r>
        <w:rPr>
          <w:rFonts w:hint="eastAsia" w:ascii="宋体" w:hAnsi="宋体"/>
        </w:rPr>
        <w:t>4．质量保修完成后，由发包人组织验收。</w:t>
      </w:r>
    </w:p>
    <w:p w14:paraId="5E0060D6">
      <w:pPr>
        <w:pStyle w:val="52"/>
        <w:spacing w:line="360" w:lineRule="auto"/>
        <w:ind w:firstLine="420"/>
        <w:rPr>
          <w:rFonts w:hint="eastAsia" w:ascii="宋体" w:hAnsi="宋体"/>
        </w:rPr>
      </w:pPr>
      <w:r>
        <w:rPr>
          <w:rFonts w:hint="eastAsia" w:ascii="宋体" w:hAnsi="宋体"/>
        </w:rPr>
        <w:t>五、保修费用</w:t>
      </w:r>
    </w:p>
    <w:p w14:paraId="7BD1B5C2">
      <w:pPr>
        <w:pStyle w:val="52"/>
        <w:spacing w:line="360" w:lineRule="auto"/>
        <w:ind w:firstLine="420"/>
        <w:rPr>
          <w:rFonts w:hint="eastAsia" w:ascii="宋体" w:hAnsi="宋体"/>
        </w:rPr>
      </w:pPr>
      <w:r>
        <w:rPr>
          <w:rFonts w:hint="eastAsia" w:ascii="宋体" w:hAnsi="宋体"/>
        </w:rPr>
        <w:t>保修费用由造成质量缺陷的责任方承担。</w:t>
      </w:r>
    </w:p>
    <w:p w14:paraId="4D298FCA">
      <w:pPr>
        <w:pStyle w:val="52"/>
        <w:spacing w:line="360" w:lineRule="auto"/>
        <w:ind w:firstLine="420"/>
        <w:rPr>
          <w:rFonts w:hint="eastAsia" w:ascii="宋体" w:hAnsi="宋体"/>
        </w:rPr>
      </w:pPr>
      <w:r>
        <w:rPr>
          <w:rFonts w:hint="eastAsia" w:ascii="宋体" w:hAnsi="宋体"/>
        </w:rPr>
        <w:t xml:space="preserve">六、双方约定的其他工程质量保修事项： </w:t>
      </w:r>
    </w:p>
    <w:p w14:paraId="2DB58A03">
      <w:pPr>
        <w:pStyle w:val="52"/>
        <w:spacing w:line="360" w:lineRule="auto"/>
        <w:ind w:firstLine="420" w:firstLineChars="200"/>
        <w:jc w:val="left"/>
        <w:rPr>
          <w:rFonts w:hint="eastAsia" w:ascii="宋体" w:hAnsi="宋体"/>
        </w:rPr>
      </w:pPr>
      <w:r>
        <w:rPr>
          <w:rFonts w:hint="eastAsia" w:ascii="宋体" w:hAnsi="宋体"/>
          <w:u w:val="single"/>
        </w:rPr>
        <w:t xml:space="preserve">                                                                          </w:t>
      </w:r>
      <w:r>
        <w:rPr>
          <w:rFonts w:hint="eastAsia" w:ascii="宋体" w:hAnsi="宋体"/>
        </w:rPr>
        <w:t>。</w:t>
      </w:r>
    </w:p>
    <w:p w14:paraId="745ECAF4">
      <w:pPr>
        <w:pStyle w:val="52"/>
        <w:spacing w:line="360" w:lineRule="auto"/>
        <w:ind w:firstLine="399" w:firstLineChars="190"/>
        <w:rPr>
          <w:rFonts w:hint="eastAsia" w:ascii="宋体" w:hAnsi="宋体"/>
        </w:rPr>
      </w:pPr>
      <w:r>
        <w:rPr>
          <w:rFonts w:hint="eastAsia" w:ascii="宋体" w:hAnsi="宋体"/>
        </w:rPr>
        <w:t>工程质量保修书由发包人、承包人在工程竣工验收前共同签署，作为施工合同附件，其有效期限至保修期满。</w:t>
      </w:r>
    </w:p>
    <w:p w14:paraId="44FBD518">
      <w:pPr>
        <w:pStyle w:val="52"/>
        <w:spacing w:line="360" w:lineRule="auto"/>
        <w:ind w:firstLine="420"/>
        <w:rPr>
          <w:rFonts w:hint="eastAsia" w:ascii="宋体" w:hAnsi="宋体"/>
        </w:rPr>
      </w:pPr>
      <w:r>
        <w:rPr>
          <w:rFonts w:hint="eastAsia" w:ascii="宋体" w:hAnsi="宋体"/>
        </w:rPr>
        <w:t xml:space="preserve"> </w:t>
      </w:r>
    </w:p>
    <w:p w14:paraId="6F0899C2">
      <w:pPr>
        <w:pStyle w:val="59"/>
        <w:rPr>
          <w:rFonts w:hint="eastAsia" w:ascii="Calibri" w:hAnsi="Calibri"/>
        </w:rPr>
      </w:pPr>
      <w:r>
        <w:t xml:space="preserve"> </w:t>
      </w:r>
    </w:p>
    <w:p w14:paraId="0E377B4D">
      <w:pPr>
        <w:pStyle w:val="52"/>
        <w:spacing w:before="240" w:beforeLines="100" w:line="360" w:lineRule="auto"/>
        <w:ind w:left="-850" w:leftChars="-405" w:right="-1331" w:rightChars="-634" w:firstLine="840" w:firstLineChars="400"/>
        <w:rPr>
          <w:rFonts w:ascii="宋体" w:hAnsi="宋体"/>
        </w:rPr>
      </w:pPr>
      <w:r>
        <w:rPr>
          <w:rFonts w:hint="eastAsia" w:ascii="宋体" w:hAnsi="宋体"/>
        </w:rPr>
        <w:t>发包人：  （盖章）                              承包人：  （盖章）</w:t>
      </w:r>
    </w:p>
    <w:p w14:paraId="17D8341A">
      <w:pPr>
        <w:pStyle w:val="52"/>
        <w:spacing w:line="360" w:lineRule="auto"/>
        <w:ind w:left="-850" w:leftChars="-405" w:right="-1331" w:rightChars="-634" w:firstLine="840" w:firstLineChars="400"/>
        <w:rPr>
          <w:rFonts w:hint="eastAsia" w:ascii="宋体" w:hAnsi="宋体"/>
          <w:u w:val="single"/>
        </w:rPr>
      </w:pPr>
      <w:r>
        <w:rPr>
          <w:rFonts w:hint="eastAsia" w:ascii="宋体" w:hAnsi="宋体"/>
        </w:rPr>
        <w:t>地  址：</w:t>
      </w:r>
      <w:r>
        <w:rPr>
          <w:rFonts w:hint="eastAsia" w:ascii="宋体" w:hAnsi="宋体"/>
          <w:u w:val="single"/>
        </w:rPr>
        <w:t xml:space="preserve">                    </w:t>
      </w:r>
      <w:r>
        <w:rPr>
          <w:rFonts w:hint="eastAsia" w:ascii="宋体" w:hAnsi="宋体"/>
        </w:rPr>
        <w:t xml:space="preserve">                    地  址：</w:t>
      </w:r>
      <w:r>
        <w:rPr>
          <w:rFonts w:hint="eastAsia" w:ascii="宋体" w:hAnsi="宋体"/>
          <w:u w:val="single"/>
        </w:rPr>
        <w:t xml:space="preserve">                      </w:t>
      </w:r>
    </w:p>
    <w:p w14:paraId="514AE017">
      <w:pPr>
        <w:pStyle w:val="52"/>
        <w:spacing w:line="360" w:lineRule="auto"/>
        <w:ind w:left="-850" w:leftChars="-405" w:right="-1331" w:rightChars="-634" w:firstLine="1680" w:firstLineChars="800"/>
        <w:rPr>
          <w:rFonts w:hint="eastAsia" w:ascii="宋体" w:hAnsi="宋体"/>
          <w:u w:val="single"/>
        </w:rPr>
      </w:pPr>
      <w:r>
        <w:rPr>
          <w:rFonts w:hint="eastAsia" w:ascii="宋体" w:hAnsi="宋体"/>
        </w:rPr>
        <w:t xml:space="preserve">           </w:t>
      </w:r>
    </w:p>
    <w:p w14:paraId="146F5920">
      <w:pPr>
        <w:pStyle w:val="52"/>
        <w:spacing w:line="360" w:lineRule="auto"/>
        <w:ind w:left="-850" w:leftChars="-405" w:right="-1331" w:rightChars="-634" w:firstLine="840" w:firstLineChars="400"/>
        <w:rPr>
          <w:rFonts w:hint="eastAsia" w:ascii="宋体" w:hAnsi="宋体"/>
        </w:rPr>
      </w:pPr>
      <w:r>
        <w:rPr>
          <w:rFonts w:hint="eastAsia" w:ascii="宋体" w:hAnsi="宋体"/>
        </w:rPr>
        <w:t>法定代表人或其委托代理人：                      法定代表人或其委托代理人：</w:t>
      </w:r>
    </w:p>
    <w:p w14:paraId="25B6096E">
      <w:pPr>
        <w:pStyle w:val="52"/>
        <w:spacing w:line="360" w:lineRule="auto"/>
        <w:ind w:right="-1331" w:rightChars="-634" w:firstLine="1155" w:firstLineChars="550"/>
        <w:rPr>
          <w:rFonts w:hint="eastAsia" w:ascii="宋体" w:hAnsi="宋体"/>
        </w:rPr>
      </w:pPr>
      <w:r>
        <w:rPr>
          <w:rFonts w:hint="eastAsia" w:ascii="宋体" w:hAnsi="宋体"/>
        </w:rPr>
        <w:t>（签字或盖章）                                  （签字或盖章）</w:t>
      </w:r>
    </w:p>
    <w:p w14:paraId="58BA1F1A">
      <w:pPr>
        <w:pStyle w:val="52"/>
        <w:spacing w:line="360" w:lineRule="auto"/>
        <w:ind w:left="-850" w:leftChars="-405" w:right="-1331" w:rightChars="-634" w:firstLine="840" w:firstLineChars="400"/>
        <w:rPr>
          <w:rFonts w:hint="eastAsia" w:ascii="宋体" w:hAnsi="宋体"/>
        </w:rPr>
      </w:pPr>
      <w:r>
        <w:rPr>
          <w:rFonts w:hint="eastAsia" w:ascii="宋体" w:hAnsi="宋体"/>
        </w:rPr>
        <w:t>电  话：</w:t>
      </w:r>
      <w:r>
        <w:rPr>
          <w:rFonts w:hint="eastAsia" w:ascii="宋体" w:hAnsi="宋体"/>
          <w:u w:val="single"/>
        </w:rPr>
        <w:t xml:space="preserve">                  </w:t>
      </w:r>
      <w:r>
        <w:rPr>
          <w:rFonts w:hint="eastAsia" w:ascii="宋体" w:hAnsi="宋体"/>
        </w:rPr>
        <w:t xml:space="preserve">                     电  话：</w:t>
      </w:r>
      <w:r>
        <w:rPr>
          <w:rFonts w:hint="eastAsia" w:ascii="宋体" w:hAnsi="宋体"/>
          <w:u w:val="single"/>
        </w:rPr>
        <w:t xml:space="preserve">                            </w:t>
      </w:r>
    </w:p>
    <w:p w14:paraId="01A3C57E">
      <w:pPr>
        <w:pStyle w:val="52"/>
        <w:spacing w:line="360" w:lineRule="auto"/>
        <w:ind w:left="-850" w:leftChars="-405" w:right="-1331" w:rightChars="-634" w:firstLine="840" w:firstLineChars="400"/>
        <w:rPr>
          <w:rFonts w:hint="eastAsia" w:ascii="宋体" w:hAnsi="宋体"/>
        </w:rPr>
      </w:pPr>
      <w:r>
        <w:rPr>
          <w:rFonts w:hint="eastAsia" w:ascii="宋体" w:hAnsi="宋体"/>
        </w:rPr>
        <w:t>传  真：</w:t>
      </w:r>
      <w:r>
        <w:rPr>
          <w:rFonts w:hint="eastAsia" w:ascii="宋体" w:hAnsi="宋体"/>
          <w:u w:val="single"/>
        </w:rPr>
        <w:t xml:space="preserve">                  </w:t>
      </w:r>
      <w:r>
        <w:rPr>
          <w:rFonts w:hint="eastAsia" w:ascii="宋体" w:hAnsi="宋体"/>
        </w:rPr>
        <w:t xml:space="preserve">                     传  真：</w:t>
      </w:r>
      <w:r>
        <w:rPr>
          <w:rFonts w:hint="eastAsia" w:ascii="宋体" w:hAnsi="宋体"/>
          <w:u w:val="single"/>
        </w:rPr>
        <w:t xml:space="preserve">                            </w:t>
      </w:r>
    </w:p>
    <w:p w14:paraId="0F674077">
      <w:pPr>
        <w:pStyle w:val="52"/>
        <w:spacing w:line="360" w:lineRule="auto"/>
        <w:ind w:left="-141" w:leftChars="-67" w:right="-1331" w:rightChars="-634" w:firstLine="105" w:firstLineChars="50"/>
        <w:rPr>
          <w:rFonts w:hint="eastAsia" w:ascii="宋体" w:hAnsi="宋体"/>
        </w:rPr>
      </w:pPr>
      <w:r>
        <w:rPr>
          <w:rFonts w:hint="eastAsia" w:ascii="宋体" w:hAnsi="宋体"/>
        </w:rPr>
        <w:t>开户银行：</w:t>
      </w:r>
      <w:r>
        <w:rPr>
          <w:rFonts w:hint="eastAsia" w:ascii="宋体" w:hAnsi="宋体"/>
          <w:u w:val="single"/>
        </w:rPr>
        <w:t xml:space="preserve">                </w:t>
      </w:r>
      <w:r>
        <w:rPr>
          <w:rFonts w:hint="eastAsia" w:ascii="宋体" w:hAnsi="宋体"/>
        </w:rPr>
        <w:t xml:space="preserve">                     开户银行：</w:t>
      </w:r>
      <w:r>
        <w:rPr>
          <w:rFonts w:hint="eastAsia" w:ascii="宋体" w:hAnsi="宋体"/>
          <w:u w:val="single"/>
        </w:rPr>
        <w:t xml:space="preserve">                           </w:t>
      </w:r>
    </w:p>
    <w:p w14:paraId="1DE2B646">
      <w:pPr>
        <w:pStyle w:val="52"/>
        <w:spacing w:line="360" w:lineRule="auto"/>
        <w:ind w:left="-850" w:leftChars="-405" w:right="-1331" w:rightChars="-634" w:firstLine="840" w:firstLineChars="400"/>
        <w:rPr>
          <w:rFonts w:hint="eastAsia" w:ascii="宋体" w:hAnsi="宋体"/>
          <w:bCs/>
          <w:sz w:val="18"/>
          <w:szCs w:val="18"/>
        </w:rPr>
      </w:pPr>
      <w:r>
        <w:rPr>
          <w:rFonts w:hint="eastAsia" w:ascii="宋体" w:hAnsi="宋体"/>
        </w:rPr>
        <w:t>账  号：</w:t>
      </w:r>
      <w:r>
        <w:rPr>
          <w:rFonts w:hint="eastAsia" w:ascii="宋体" w:hAnsi="宋体"/>
          <w:u w:val="single"/>
        </w:rPr>
        <w:t xml:space="preserve">                 </w:t>
      </w:r>
      <w:r>
        <w:rPr>
          <w:rFonts w:hint="eastAsia" w:ascii="宋体" w:hAnsi="宋体"/>
        </w:rPr>
        <w:t xml:space="preserve">                      账  号：</w:t>
      </w:r>
      <w:r>
        <w:rPr>
          <w:rFonts w:hint="eastAsia" w:ascii="宋体" w:hAnsi="宋体"/>
          <w:u w:val="single"/>
        </w:rPr>
        <w:t xml:space="preserve">                             </w:t>
      </w:r>
    </w:p>
    <w:p w14:paraId="247EF499">
      <w:pPr>
        <w:pStyle w:val="52"/>
        <w:spacing w:line="360" w:lineRule="auto"/>
        <w:ind w:left="-850" w:leftChars="-405" w:right="-1331" w:rightChars="-634" w:firstLine="840" w:firstLineChars="400"/>
        <w:rPr>
          <w:rFonts w:hint="eastAsia" w:ascii="宋体" w:hAnsi="宋体"/>
          <w:szCs w:val="21"/>
          <w:u w:val="single"/>
        </w:rPr>
      </w:pPr>
      <w:r>
        <w:rPr>
          <w:rFonts w:hint="eastAsia" w:ascii="宋体" w:hAnsi="宋体"/>
        </w:rPr>
        <w:t>邮政编码：</w:t>
      </w:r>
      <w:r>
        <w:rPr>
          <w:rFonts w:hint="eastAsia" w:ascii="宋体" w:hAnsi="宋体"/>
          <w:u w:val="single"/>
        </w:rPr>
        <w:t xml:space="preserve">               </w:t>
      </w:r>
      <w:r>
        <w:rPr>
          <w:rFonts w:hint="eastAsia" w:ascii="宋体" w:hAnsi="宋体"/>
        </w:rPr>
        <w:t xml:space="preserve">                       邮政编码：</w:t>
      </w:r>
      <w:r>
        <w:rPr>
          <w:rFonts w:hint="eastAsia" w:ascii="宋体" w:hAnsi="宋体"/>
          <w:u w:val="single"/>
        </w:rPr>
        <w:t xml:space="preserve">                          </w:t>
      </w:r>
    </w:p>
    <w:p w14:paraId="77101BF4">
      <w:pPr>
        <w:pStyle w:val="54"/>
        <w:spacing w:line="260" w:lineRule="auto"/>
        <w:rPr>
          <w:rStyle w:val="21"/>
          <w:rFonts w:ascii="Arial" w:hAnsi="Calibri" w:eastAsia="宋体" w:cs="Times New Roman"/>
          <w:b/>
          <w:bCs/>
        </w:rPr>
      </w:pPr>
    </w:p>
    <w:p w14:paraId="0BA57654">
      <w:pPr>
        <w:pStyle w:val="54"/>
        <w:rPr>
          <w:rStyle w:val="21"/>
          <w:rFonts w:ascii="Arial" w:hAnsi="Calibri" w:eastAsia="宋体" w:cs="Times New Roman"/>
        </w:rPr>
      </w:pPr>
    </w:p>
    <w:p w14:paraId="28301FCA">
      <w:pPr>
        <w:pStyle w:val="54"/>
        <w:spacing w:line="255" w:lineRule="auto"/>
        <w:rPr>
          <w:rStyle w:val="21"/>
          <w:rFonts w:ascii="Arial" w:hAnsi="Calibri" w:eastAsia="宋体" w:cs="Times New Roman"/>
        </w:rPr>
      </w:pPr>
    </w:p>
    <w:p w14:paraId="5FC9248D">
      <w:pPr>
        <w:pStyle w:val="54"/>
        <w:spacing w:line="255" w:lineRule="auto"/>
        <w:rPr>
          <w:rStyle w:val="21"/>
          <w:rFonts w:ascii="Arial" w:hAnsi="Calibri" w:eastAsia="宋体" w:cs="Times New Roman"/>
        </w:rPr>
      </w:pPr>
    </w:p>
    <w:p w14:paraId="5E958BB3">
      <w:pPr>
        <w:pStyle w:val="54"/>
        <w:spacing w:line="255" w:lineRule="auto"/>
        <w:rPr>
          <w:rStyle w:val="21"/>
          <w:rFonts w:ascii="Arial" w:hAnsi="Calibri" w:eastAsia="宋体" w:cs="Times New Roman"/>
        </w:rPr>
      </w:pPr>
    </w:p>
    <w:p w14:paraId="73AB5EAB">
      <w:pPr>
        <w:pStyle w:val="54"/>
        <w:spacing w:line="255" w:lineRule="auto"/>
        <w:rPr>
          <w:rStyle w:val="21"/>
          <w:rFonts w:ascii="Arial" w:hAnsi="Calibri" w:eastAsia="宋体" w:cs="Times New Roman"/>
        </w:rPr>
      </w:pPr>
    </w:p>
    <w:p w14:paraId="72044909">
      <w:pPr>
        <w:pStyle w:val="54"/>
        <w:spacing w:line="255" w:lineRule="auto"/>
        <w:rPr>
          <w:rStyle w:val="21"/>
          <w:rFonts w:ascii="Arial" w:hAnsi="Calibri" w:eastAsia="宋体" w:cs="Times New Roman"/>
        </w:rPr>
      </w:pPr>
    </w:p>
    <w:p w14:paraId="195A7BA7">
      <w:pPr>
        <w:pStyle w:val="54"/>
        <w:spacing w:line="255" w:lineRule="auto"/>
        <w:rPr>
          <w:rStyle w:val="21"/>
          <w:rFonts w:ascii="Arial" w:hAnsi="Calibri" w:eastAsia="宋体" w:cs="Times New Roman"/>
        </w:rPr>
      </w:pPr>
    </w:p>
    <w:p w14:paraId="34AFD155">
      <w:pPr>
        <w:pStyle w:val="54"/>
        <w:spacing w:line="255" w:lineRule="auto"/>
        <w:rPr>
          <w:rStyle w:val="21"/>
          <w:rFonts w:ascii="Arial" w:hAnsi="Calibri" w:eastAsia="宋体" w:cs="Times New Roman"/>
        </w:rPr>
      </w:pPr>
    </w:p>
    <w:p w14:paraId="392472C2">
      <w:pPr>
        <w:pStyle w:val="54"/>
        <w:spacing w:line="255" w:lineRule="auto"/>
        <w:rPr>
          <w:rStyle w:val="21"/>
          <w:rFonts w:ascii="Arial" w:hAnsi="Calibri" w:eastAsia="宋体" w:cs="Times New Roman"/>
        </w:rPr>
      </w:pPr>
    </w:p>
    <w:p w14:paraId="736FB04E">
      <w:pPr>
        <w:pStyle w:val="54"/>
        <w:spacing w:line="255" w:lineRule="auto"/>
        <w:rPr>
          <w:rStyle w:val="21"/>
          <w:rFonts w:ascii="Arial" w:hAnsi="Calibri" w:eastAsia="宋体" w:cs="Times New Roman"/>
        </w:rPr>
      </w:pPr>
    </w:p>
    <w:p w14:paraId="268862A9">
      <w:pPr>
        <w:pStyle w:val="54"/>
        <w:spacing w:line="255" w:lineRule="auto"/>
        <w:rPr>
          <w:rStyle w:val="21"/>
          <w:rFonts w:ascii="Arial" w:hAnsi="Calibri" w:eastAsia="宋体" w:cs="Times New Roman"/>
        </w:rPr>
      </w:pPr>
    </w:p>
    <w:p w14:paraId="438BE9E7">
      <w:pPr>
        <w:pStyle w:val="54"/>
        <w:spacing w:line="255" w:lineRule="auto"/>
        <w:rPr>
          <w:rStyle w:val="21"/>
          <w:rFonts w:ascii="Arial" w:hAnsi="Calibri" w:eastAsia="宋体" w:cs="Times New Roman"/>
        </w:rPr>
      </w:pPr>
    </w:p>
    <w:p w14:paraId="5E5CCE59">
      <w:pPr>
        <w:pStyle w:val="54"/>
        <w:spacing w:line="255" w:lineRule="auto"/>
        <w:rPr>
          <w:rStyle w:val="21"/>
          <w:rFonts w:ascii="Arial" w:hAnsi="Calibri" w:eastAsia="宋体" w:cs="Times New Roman"/>
        </w:rPr>
      </w:pPr>
    </w:p>
    <w:p w14:paraId="76B2BB27">
      <w:pPr>
        <w:pStyle w:val="54"/>
        <w:spacing w:line="255" w:lineRule="auto"/>
        <w:rPr>
          <w:rStyle w:val="21"/>
          <w:rFonts w:ascii="Arial" w:hAnsi="Calibri" w:eastAsia="宋体" w:cs="Times New Roman"/>
        </w:rPr>
      </w:pPr>
    </w:p>
    <w:p w14:paraId="3B7168F5">
      <w:pPr>
        <w:pStyle w:val="54"/>
        <w:spacing w:line="255" w:lineRule="auto"/>
        <w:rPr>
          <w:rStyle w:val="21"/>
          <w:rFonts w:ascii="Arial" w:hAnsi="Calibri" w:eastAsia="宋体" w:cs="Times New Roman"/>
        </w:rPr>
      </w:pPr>
    </w:p>
    <w:p w14:paraId="6B11D8FF">
      <w:pPr>
        <w:pStyle w:val="54"/>
        <w:spacing w:line="255" w:lineRule="auto"/>
        <w:rPr>
          <w:rStyle w:val="21"/>
          <w:rFonts w:ascii="Arial" w:hAnsi="Calibri" w:eastAsia="宋体" w:cs="Times New Roman"/>
        </w:rPr>
      </w:pPr>
    </w:p>
    <w:p w14:paraId="60CFD847">
      <w:pPr>
        <w:pStyle w:val="54"/>
        <w:spacing w:line="255" w:lineRule="auto"/>
        <w:rPr>
          <w:rStyle w:val="21"/>
          <w:rFonts w:ascii="Arial" w:hAnsi="Calibri" w:eastAsia="宋体" w:cs="Times New Roman"/>
        </w:rPr>
      </w:pPr>
    </w:p>
    <w:p w14:paraId="3CD0AA5E">
      <w:pPr>
        <w:pStyle w:val="54"/>
        <w:spacing w:line="255" w:lineRule="auto"/>
        <w:rPr>
          <w:rStyle w:val="21"/>
          <w:rFonts w:ascii="Arial" w:hAnsi="Calibri" w:eastAsia="宋体" w:cs="Times New Roman"/>
        </w:rPr>
      </w:pPr>
    </w:p>
    <w:p w14:paraId="748940DA">
      <w:pPr>
        <w:pStyle w:val="54"/>
        <w:spacing w:line="255" w:lineRule="auto"/>
        <w:rPr>
          <w:rStyle w:val="21"/>
          <w:rFonts w:ascii="Arial" w:hAnsi="Calibri" w:eastAsia="宋体" w:cs="Times New Roman"/>
        </w:rPr>
      </w:pPr>
    </w:p>
    <w:p w14:paraId="3C757190">
      <w:pPr>
        <w:pStyle w:val="54"/>
        <w:spacing w:line="255" w:lineRule="auto"/>
        <w:rPr>
          <w:rStyle w:val="21"/>
          <w:rFonts w:ascii="Arial" w:hAnsi="Calibri" w:eastAsia="宋体" w:cs="Times New Roman"/>
        </w:rPr>
      </w:pPr>
    </w:p>
    <w:p w14:paraId="24A7EEFC">
      <w:pPr>
        <w:pStyle w:val="54"/>
        <w:spacing w:line="255" w:lineRule="auto"/>
        <w:rPr>
          <w:rStyle w:val="21"/>
          <w:rFonts w:ascii="Arial" w:hAnsi="Calibri" w:eastAsia="宋体" w:cs="Times New Roman"/>
        </w:rPr>
      </w:pPr>
    </w:p>
    <w:p w14:paraId="27124A14">
      <w:pPr>
        <w:pStyle w:val="54"/>
        <w:spacing w:line="255" w:lineRule="auto"/>
        <w:rPr>
          <w:rStyle w:val="21"/>
          <w:rFonts w:ascii="Arial" w:hAnsi="Calibri" w:eastAsia="宋体" w:cs="Times New Roman"/>
        </w:rPr>
      </w:pPr>
    </w:p>
    <w:p w14:paraId="45B0E2BA">
      <w:pPr>
        <w:pStyle w:val="54"/>
        <w:spacing w:line="255" w:lineRule="auto"/>
        <w:rPr>
          <w:rStyle w:val="21"/>
          <w:rFonts w:ascii="Arial" w:hAnsi="Calibri" w:eastAsia="宋体" w:cs="Times New Roman"/>
        </w:rPr>
      </w:pPr>
    </w:p>
    <w:p w14:paraId="66A6D632">
      <w:pPr>
        <w:pStyle w:val="54"/>
        <w:spacing w:line="256" w:lineRule="auto"/>
        <w:rPr>
          <w:rStyle w:val="21"/>
          <w:rFonts w:ascii="Arial" w:hAnsi="Calibri" w:eastAsia="宋体" w:cs="Times New Roman"/>
        </w:rPr>
      </w:pPr>
    </w:p>
    <w:p w14:paraId="1E51A167">
      <w:pPr>
        <w:pStyle w:val="54"/>
        <w:spacing w:before="98" w:line="220" w:lineRule="auto"/>
        <w:rPr>
          <w:rStyle w:val="21"/>
          <w:rFonts w:ascii="仿宋" w:hAnsi="仿宋" w:eastAsia="仿宋" w:cs="仿宋"/>
          <w:sz w:val="30"/>
          <w:szCs w:val="30"/>
        </w:rPr>
      </w:pPr>
      <w:r>
        <w:rPr>
          <w:rStyle w:val="21"/>
          <w:rFonts w:ascii="仿宋" w:hAnsi="仿宋" w:eastAsia="仿宋" w:cs="仿宋"/>
          <w:spacing w:val="-15"/>
          <w:sz w:val="30"/>
          <w:szCs w:val="30"/>
        </w:rPr>
        <w:t xml:space="preserve">附件 </w:t>
      </w:r>
      <w:r>
        <w:rPr>
          <w:rStyle w:val="21"/>
          <w:rFonts w:hint="eastAsia" w:ascii="Times New Roman" w:hAnsi="Times New Roman" w:cs="Times New Roman"/>
          <w:spacing w:val="-15"/>
          <w:sz w:val="30"/>
          <w:szCs w:val="30"/>
          <w:lang w:val="en-US" w:eastAsia="zh-CN"/>
        </w:rPr>
        <w:t>4</w:t>
      </w:r>
      <w:r>
        <w:rPr>
          <w:rStyle w:val="21"/>
          <w:rFonts w:ascii="仿宋" w:hAnsi="仿宋" w:eastAsia="仿宋" w:cs="仿宋"/>
          <w:spacing w:val="-15"/>
          <w:sz w:val="30"/>
          <w:szCs w:val="30"/>
        </w:rPr>
        <w:t>：</w:t>
      </w:r>
    </w:p>
    <w:p w14:paraId="25DBF4EB">
      <w:pPr>
        <w:pStyle w:val="60"/>
        <w:spacing w:line="360" w:lineRule="auto"/>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廉政合同</w:t>
      </w:r>
    </w:p>
    <w:p w14:paraId="65EDA1A0">
      <w:pPr>
        <w:pStyle w:val="60"/>
        <w:spacing w:line="360" w:lineRule="auto"/>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根据国家有关工程建设、廉政建设的规定，为做好工程建设中的党风廉政建设，保证工程建设高效优质，保证建设资金的安全和有效使用以及投资效益，建设工程的项目法人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（以下简称“甲方”）与施工单位</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（以下简称“乙方”），特订立如下合同。</w:t>
      </w:r>
      <w:bookmarkStart w:id="1270" w:name="_Toc419363880"/>
    </w:p>
    <w:p w14:paraId="30E88A39">
      <w:pPr>
        <w:pStyle w:val="60"/>
        <w:snapToGrid w:val="0"/>
        <w:spacing w:line="360" w:lineRule="auto"/>
        <w:ind w:firstLine="420" w:firstLineChars="200"/>
        <w:rPr>
          <w:rFonts w:hint="eastAsia" w:asciiTheme="minorEastAsia" w:hAnsiTheme="minorEastAsia" w:eastAsiaTheme="minorEastAsia" w:cstheme="minorEastAsia"/>
          <w:color w:val="auto"/>
          <w:sz w:val="21"/>
          <w:szCs w:val="21"/>
          <w:u w:val="single"/>
        </w:rPr>
      </w:pPr>
      <w:r>
        <w:rPr>
          <w:rFonts w:hint="eastAsia" w:asciiTheme="minorEastAsia" w:hAnsiTheme="minorEastAsia" w:eastAsiaTheme="minorEastAsia" w:cstheme="minorEastAsia"/>
          <w:color w:val="auto"/>
          <w:sz w:val="21"/>
          <w:szCs w:val="21"/>
        </w:rPr>
        <w:t>1.甲乙双方的权利和义务</w:t>
      </w:r>
      <w:bookmarkEnd w:id="1270"/>
    </w:p>
    <w:p w14:paraId="5ECE225C">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（1）严格遵守党和国家的有关法律法规及中纪委监察部的有关规定。</w:t>
      </w:r>
    </w:p>
    <w:p w14:paraId="332A38B4">
      <w:pPr>
        <w:pStyle w:val="60"/>
        <w:snapToGrid w:val="0"/>
        <w:spacing w:line="360" w:lineRule="auto"/>
        <w:ind w:firstLine="41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w w:val="98"/>
          <w:sz w:val="21"/>
          <w:szCs w:val="21"/>
        </w:rPr>
        <w:t>（2）</w:t>
      </w:r>
      <w:r>
        <w:rPr>
          <w:rFonts w:hint="eastAsia" w:asciiTheme="minorEastAsia" w:hAnsiTheme="minorEastAsia" w:eastAsiaTheme="minorEastAsia" w:cstheme="minorEastAsia"/>
          <w:color w:val="auto"/>
          <w:sz w:val="21"/>
          <w:szCs w:val="21"/>
        </w:rPr>
        <w:t>严格执行</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工程的合同文件，自觉按合同办事。</w:t>
      </w:r>
    </w:p>
    <w:p w14:paraId="1560CF3D">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（3）双方的业务活动坚持公开、公正、诚信、透明的原则（法律认定的商业秘密和合同文件另有规定除外），不得损害国家和集体利益，违反工程建设管理规章制度。</w:t>
      </w:r>
    </w:p>
    <w:p w14:paraId="2E28A059">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（4）建立健全廉政制度，开展廉政教育，设立廉政告示牌，公布举报电话，监督并认真查处违法违纪行为。</w:t>
      </w:r>
    </w:p>
    <w:p w14:paraId="32FA2B62">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（5）发现对方在业务活动中有违反廉政规定的行为，有及时提醒对方纠正的权利及义务。</w:t>
      </w:r>
    </w:p>
    <w:p w14:paraId="5E3F186A">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（6）发现对方严重违反本合同义务条款的行为，有向其上级有关部门举报、建议给予处理并要求告知处理结果的权利。</w:t>
      </w:r>
      <w:bookmarkStart w:id="1271" w:name="_Toc419363881"/>
    </w:p>
    <w:p w14:paraId="1D38751A">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2.甲方的义务</w:t>
      </w:r>
      <w:bookmarkEnd w:id="1271"/>
    </w:p>
    <w:p w14:paraId="148AB046">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（1）甲方及其工作人员不得索要或接受乙方的礼金、有价证券和贵重物品，不得在乙方报销任何应由甲方或甲方工作人员个人支付的费用等。</w:t>
      </w:r>
    </w:p>
    <w:p w14:paraId="55D3EF5D">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（2）甲方工作人员不得参加乙方安排的超标准宴请和娱乐活动；不得接受乙方提供的通讯工具、交通工具和高档办公用品等。</w:t>
      </w:r>
    </w:p>
    <w:p w14:paraId="5D608282">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（3）甲方及其工作人员不得要求或者接受乙方为其住房装修、婚丧嫁娶活动、配偶子女的工作安排以及出国出境、旅游等提供方便等。</w:t>
      </w:r>
    </w:p>
    <w:p w14:paraId="0465E649">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（4）甲方工作人及其配偶、子女不得从事与甲方工程有关的材料设备供应、工程分包、劳务等经济活动等。</w:t>
      </w:r>
    </w:p>
    <w:p w14:paraId="7F745A53">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（5）甲方及其工作人员不得以任何理由向乙方推荐分包单位或推销材料，不得要求乙方购买合同规定外的材料和设备。</w:t>
      </w:r>
    </w:p>
    <w:p w14:paraId="4DDA7B83">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（6）甲方工作人员要秉公办事，不准营私舞弊，不准利用职权从事各种个人有偿中介活动和安排个人施工队伍。</w:t>
      </w:r>
      <w:bookmarkStart w:id="1272" w:name="_Toc419363882"/>
    </w:p>
    <w:p w14:paraId="6CED04D6">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3.乙方义务</w:t>
      </w:r>
      <w:bookmarkEnd w:id="1272"/>
    </w:p>
    <w:p w14:paraId="7CD55E94">
      <w:pPr>
        <w:pStyle w:val="60"/>
        <w:snapToGrid w:val="0"/>
        <w:spacing w:line="360" w:lineRule="auto"/>
        <w:ind w:firstLine="630" w:firstLineChars="3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（1）乙方不得以任何理由向甲方及其工作人员行贿或馈赠礼金、有价证券、贵重礼品。</w:t>
      </w:r>
    </w:p>
    <w:p w14:paraId="27D96693">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（2）乙方不得以任何名义为甲方及其工作人员报销应由甲方单位或个人支付的任何费用。</w:t>
      </w:r>
    </w:p>
    <w:p w14:paraId="3EB3740F">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（3）乙方不得以任何理由安排甲方工作人员参加超标准宴请及娱乐活动。</w:t>
      </w:r>
    </w:p>
    <w:p w14:paraId="25150619">
      <w:pPr>
        <w:pStyle w:val="60"/>
        <w:snapToGrid w:val="0"/>
        <w:spacing w:line="360" w:lineRule="auto"/>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（4）乙方不得为甲方单位和个人购置或提供通讯工具、交通工具和高档办公用品等。</w:t>
      </w:r>
    </w:p>
    <w:p w14:paraId="155FEBF0">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4.违约责任</w:t>
      </w:r>
    </w:p>
    <w:p w14:paraId="709B2983">
      <w:pPr>
        <w:pStyle w:val="60"/>
        <w:spacing w:line="360" w:lineRule="auto"/>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（1）甲方及其工作人员违反本合同第一、二条，按管理权限，依据有关规定给予党纪、政纪或组织处理；涉嫌犯罪的，移交司法机关追究刑事责任；给乙方单位造成经济损失的，应予以赔偿。</w:t>
      </w:r>
    </w:p>
    <w:p w14:paraId="691C839E">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2）乙方及其工作人员违反本合同第一、三条，按管理权限，依据有关规定给予党纪、政纪或组织处理；给甲方单位造成经济损失的，应予以赔偿；情节严重的，甲方建议工程建设主管部门给予乙方一至三年内不得进入其主管的工程建设市场的处罚。</w:t>
      </w:r>
    </w:p>
    <w:p w14:paraId="7B3E4FCD">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14:paraId="72A2F982">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6.本合同有效期为甲乙双签署之日起至该工程项目竣工验收后止。</w:t>
      </w:r>
    </w:p>
    <w:p w14:paraId="0D2A0D3E">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7.本合同作为</w:t>
      </w:r>
      <w:r>
        <w:rPr>
          <w:rFonts w:hint="eastAsia" w:asciiTheme="minorEastAsia" w:hAnsiTheme="minorEastAsia" w:eastAsiaTheme="minorEastAsia" w:cstheme="minorEastAsia"/>
          <w:color w:val="auto"/>
          <w:sz w:val="21"/>
          <w:szCs w:val="21"/>
          <w:u w:val="single"/>
        </w:rPr>
        <w:t xml:space="preserve">                        </w:t>
      </w:r>
      <w:r>
        <w:rPr>
          <w:rFonts w:hint="eastAsia" w:asciiTheme="minorEastAsia" w:hAnsiTheme="minorEastAsia" w:eastAsiaTheme="minorEastAsia" w:cstheme="minorEastAsia"/>
          <w:color w:val="auto"/>
          <w:sz w:val="21"/>
          <w:szCs w:val="21"/>
        </w:rPr>
        <w:t>工程施工合同的附件，与工程施工合同具有同等的法律效力。</w:t>
      </w:r>
    </w:p>
    <w:p w14:paraId="4B35DBF6">
      <w:pPr>
        <w:pStyle w:val="60"/>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    8.本合同作为主合同附件。由双方法定代表人或其授权的代理人签署与加盖公章后生效，全部工程竣工验收后失效。</w:t>
      </w:r>
    </w:p>
    <w:p w14:paraId="368BEAAA">
      <w:pPr>
        <w:pStyle w:val="60"/>
        <w:spacing w:line="360" w:lineRule="auto"/>
        <w:rPr>
          <w:rFonts w:hint="eastAsia" w:asciiTheme="minorEastAsia" w:hAnsiTheme="minorEastAsia" w:eastAsiaTheme="minorEastAsia" w:cstheme="minorEastAsia"/>
          <w:color w:val="auto"/>
          <w:sz w:val="21"/>
          <w:szCs w:val="21"/>
        </w:rPr>
      </w:pPr>
    </w:p>
    <w:tbl>
      <w:tblPr>
        <w:tblStyle w:val="19"/>
        <w:tblW w:w="0" w:type="auto"/>
        <w:tblInd w:w="0" w:type="dxa"/>
        <w:tblLayout w:type="fixed"/>
        <w:tblCellMar>
          <w:top w:w="0" w:type="dxa"/>
          <w:left w:w="108" w:type="dxa"/>
          <w:bottom w:w="0" w:type="dxa"/>
          <w:right w:w="108" w:type="dxa"/>
        </w:tblCellMar>
      </w:tblPr>
      <w:tblGrid>
        <w:gridCol w:w="4443"/>
        <w:gridCol w:w="4443"/>
      </w:tblGrid>
      <w:tr w14:paraId="02FA1768">
        <w:tblPrEx>
          <w:tblCellMar>
            <w:top w:w="0" w:type="dxa"/>
            <w:left w:w="108" w:type="dxa"/>
            <w:bottom w:w="0" w:type="dxa"/>
            <w:right w:w="108" w:type="dxa"/>
          </w:tblCellMar>
        </w:tblPrEx>
        <w:trPr>
          <w:trHeight w:val="716" w:hRule="atLeast"/>
        </w:trPr>
        <w:tc>
          <w:tcPr>
            <w:tcW w:w="4443" w:type="dxa"/>
            <w:noWrap w:val="0"/>
            <w:vAlign w:val="center"/>
          </w:tcPr>
          <w:p w14:paraId="2173C1B7">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发包人（公章）：  </w:t>
            </w:r>
          </w:p>
        </w:tc>
        <w:tc>
          <w:tcPr>
            <w:tcW w:w="4443" w:type="dxa"/>
            <w:noWrap w:val="0"/>
            <w:vAlign w:val="center"/>
          </w:tcPr>
          <w:p w14:paraId="27B026E4">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承包人（公章）：  </w:t>
            </w:r>
          </w:p>
        </w:tc>
      </w:tr>
      <w:tr w14:paraId="0461F010">
        <w:tblPrEx>
          <w:tblCellMar>
            <w:top w:w="0" w:type="dxa"/>
            <w:left w:w="108" w:type="dxa"/>
            <w:bottom w:w="0" w:type="dxa"/>
            <w:right w:w="108" w:type="dxa"/>
          </w:tblCellMar>
        </w:tblPrEx>
        <w:tc>
          <w:tcPr>
            <w:tcW w:w="4443" w:type="dxa"/>
            <w:noWrap w:val="0"/>
            <w:vAlign w:val="center"/>
          </w:tcPr>
          <w:p w14:paraId="2609046A">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w:t>
            </w:r>
          </w:p>
          <w:p w14:paraId="5C89BDA1">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其委托代理人：</w:t>
            </w:r>
          </w:p>
        </w:tc>
        <w:tc>
          <w:tcPr>
            <w:tcW w:w="4443" w:type="dxa"/>
            <w:noWrap w:val="0"/>
            <w:vAlign w:val="center"/>
          </w:tcPr>
          <w:p w14:paraId="0F969BFA">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法定代表人或</w:t>
            </w:r>
          </w:p>
          <w:p w14:paraId="1B32F556">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其委托代理人：</w:t>
            </w:r>
          </w:p>
        </w:tc>
      </w:tr>
      <w:tr w14:paraId="0628DF99">
        <w:tblPrEx>
          <w:tblCellMar>
            <w:top w:w="0" w:type="dxa"/>
            <w:left w:w="108" w:type="dxa"/>
            <w:bottom w:w="0" w:type="dxa"/>
            <w:right w:w="108" w:type="dxa"/>
          </w:tblCellMar>
        </w:tblPrEx>
        <w:tc>
          <w:tcPr>
            <w:tcW w:w="4443" w:type="dxa"/>
            <w:noWrap w:val="0"/>
            <w:vAlign w:val="center"/>
          </w:tcPr>
          <w:p w14:paraId="60C37A29">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 系 人：</w:t>
            </w:r>
          </w:p>
        </w:tc>
        <w:tc>
          <w:tcPr>
            <w:tcW w:w="4443" w:type="dxa"/>
            <w:noWrap w:val="0"/>
            <w:vAlign w:val="center"/>
          </w:tcPr>
          <w:p w14:paraId="02276B0D">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 系 人：</w:t>
            </w:r>
          </w:p>
        </w:tc>
      </w:tr>
      <w:tr w14:paraId="7D238190">
        <w:tblPrEx>
          <w:tblCellMar>
            <w:top w:w="0" w:type="dxa"/>
            <w:left w:w="108" w:type="dxa"/>
            <w:bottom w:w="0" w:type="dxa"/>
            <w:right w:w="108" w:type="dxa"/>
          </w:tblCellMar>
        </w:tblPrEx>
        <w:tc>
          <w:tcPr>
            <w:tcW w:w="4443" w:type="dxa"/>
            <w:noWrap w:val="0"/>
            <w:vAlign w:val="center"/>
          </w:tcPr>
          <w:p w14:paraId="04C308CF">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固定电话：</w:t>
            </w:r>
          </w:p>
        </w:tc>
        <w:tc>
          <w:tcPr>
            <w:tcW w:w="4443" w:type="dxa"/>
            <w:noWrap w:val="0"/>
            <w:vAlign w:val="center"/>
          </w:tcPr>
          <w:p w14:paraId="67CE2453">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移动电话： </w:t>
            </w:r>
          </w:p>
        </w:tc>
      </w:tr>
      <w:tr w14:paraId="43CD3DDF">
        <w:tblPrEx>
          <w:tblCellMar>
            <w:top w:w="0" w:type="dxa"/>
            <w:left w:w="108" w:type="dxa"/>
            <w:bottom w:w="0" w:type="dxa"/>
            <w:right w:w="108" w:type="dxa"/>
          </w:tblCellMar>
        </w:tblPrEx>
        <w:tc>
          <w:tcPr>
            <w:tcW w:w="4443" w:type="dxa"/>
            <w:noWrap w:val="0"/>
            <w:vAlign w:val="center"/>
          </w:tcPr>
          <w:p w14:paraId="1B1134ED">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w:t>
            </w:r>
          </w:p>
        </w:tc>
        <w:tc>
          <w:tcPr>
            <w:tcW w:w="4443" w:type="dxa"/>
            <w:noWrap w:val="0"/>
            <w:vAlign w:val="center"/>
          </w:tcPr>
          <w:p w14:paraId="727C784B">
            <w:pPr>
              <w:pStyle w:val="62"/>
              <w:spacing w:line="360" w:lineRule="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w:t>
            </w:r>
          </w:p>
        </w:tc>
      </w:tr>
    </w:tbl>
    <w:p w14:paraId="1E413060">
      <w:pPr>
        <w:pStyle w:val="52"/>
        <w:autoSpaceDE w:val="0"/>
        <w:autoSpaceDN w:val="0"/>
        <w:spacing w:line="326" w:lineRule="auto"/>
        <w:ind w:left="1084" w:right="389" w:hanging="660"/>
        <w:rPr>
          <w:rFonts w:ascii="宋体" w:hAnsi="宋体" w:cs="宋体"/>
          <w:color w:val="auto"/>
          <w:kern w:val="0"/>
          <w:sz w:val="24"/>
          <w:szCs w:val="24"/>
          <w:highlight w:val="none"/>
          <w:lang w:bidi="zh-CN"/>
        </w:rPr>
      </w:pPr>
    </w:p>
    <w:bookmarkEnd w:id="142"/>
    <w:p w14:paraId="06278B6F">
      <w:pPr>
        <w:rPr>
          <w:rFonts w:hint="eastAsia"/>
          <w:color w:val="auto"/>
          <w:sz w:val="20"/>
          <w:highlight w:val="none"/>
        </w:rPr>
      </w:pPr>
    </w:p>
    <w:p w14:paraId="5F6D1D37">
      <w:pPr>
        <w:rPr>
          <w:color w:val="auto"/>
          <w:highlight w:val="none"/>
        </w:rPr>
      </w:pPr>
    </w:p>
    <w:p w14:paraId="5A899BCE">
      <w:pPr>
        <w:pStyle w:val="8"/>
        <w:spacing w:before="27"/>
        <w:rPr>
          <w:rFonts w:ascii="Times New Roman"/>
          <w:color w:val="auto"/>
          <w:sz w:val="19"/>
          <w:highlight w:val="none"/>
        </w:rPr>
      </w:pPr>
      <w:r>
        <w:rPr>
          <w:rFonts w:ascii="Times New Roman"/>
          <w:b/>
          <w:color w:val="auto"/>
          <w:highlight w:val="none"/>
          <w:u w:val="single"/>
        </w:rPr>
        <w:br w:type="page"/>
      </w:r>
    </w:p>
    <w:p w14:paraId="06E03617">
      <w:pPr>
        <w:spacing w:before="41"/>
        <w:ind w:left="2659"/>
        <w:outlineLvl w:val="1"/>
        <w:rPr>
          <w:rFonts w:hint="eastAsia"/>
          <w:b/>
          <w:color w:val="auto"/>
          <w:sz w:val="44"/>
          <w:szCs w:val="44"/>
          <w:highlight w:val="none"/>
        </w:rPr>
      </w:pPr>
      <w:bookmarkStart w:id="1273" w:name="_Toc25536"/>
      <w:bookmarkStart w:id="1274" w:name="_Toc256000034"/>
      <w:bookmarkStart w:id="1275" w:name="_Toc39866686"/>
    </w:p>
    <w:p w14:paraId="1AFC05DA">
      <w:pPr>
        <w:spacing w:before="41"/>
        <w:ind w:left="2659"/>
        <w:outlineLvl w:val="1"/>
        <w:rPr>
          <w:b/>
          <w:color w:val="auto"/>
          <w:sz w:val="44"/>
          <w:szCs w:val="44"/>
          <w:highlight w:val="none"/>
        </w:rPr>
      </w:pPr>
      <w:r>
        <w:rPr>
          <w:rFonts w:hint="eastAsia"/>
          <w:b/>
          <w:color w:val="auto"/>
          <w:sz w:val="44"/>
          <w:szCs w:val="44"/>
          <w:highlight w:val="none"/>
        </w:rPr>
        <w:t>第三节合同附件格式</w:t>
      </w:r>
      <w:bookmarkEnd w:id="1273"/>
      <w:bookmarkEnd w:id="1274"/>
      <w:bookmarkEnd w:id="1275"/>
    </w:p>
    <w:p w14:paraId="33215E9C">
      <w:pPr>
        <w:rPr>
          <w:color w:val="auto"/>
          <w:highlight w:val="none"/>
        </w:rPr>
      </w:pPr>
      <w:bookmarkStart w:id="1276" w:name="EB7ab065c8226b403aacbdb9e32a656d2d"/>
    </w:p>
    <w:p w14:paraId="53C53EB7">
      <w:pPr>
        <w:pStyle w:val="65"/>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发包人（全称）：</w:t>
      </w:r>
      <w:r>
        <w:rPr>
          <w:rFonts w:hint="eastAsia" w:ascii="宋体" w:hAnsi="宋体" w:eastAsia="宋体" w:cs="宋体"/>
          <w:color w:val="000000"/>
          <w:sz w:val="21"/>
          <w:szCs w:val="21"/>
          <w:u w:val="single"/>
        </w:rPr>
        <w:t xml:space="preserve">            </w:t>
      </w:r>
    </w:p>
    <w:p w14:paraId="56F13F51">
      <w:pPr>
        <w:pStyle w:val="65"/>
        <w:spacing w:line="360" w:lineRule="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承包人（全称）：</w:t>
      </w:r>
      <w:r>
        <w:rPr>
          <w:rFonts w:hint="eastAsia" w:ascii="宋体" w:hAnsi="宋体" w:eastAsia="宋体" w:cs="宋体"/>
          <w:color w:val="000000"/>
          <w:sz w:val="21"/>
          <w:szCs w:val="21"/>
          <w:u w:val="single"/>
        </w:rPr>
        <w:t xml:space="preserve">            </w:t>
      </w:r>
    </w:p>
    <w:p w14:paraId="07307735">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根据《中华人民共和国民法典》、《中华人民共和国建筑法》及有关法律规定，遵循平等、自愿、公平和诚实信用的原则，双方就</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工程施工及有关事项协商一致，共同达成如下协议：</w:t>
      </w:r>
      <w:bookmarkStart w:id="1277" w:name="_Toc351203481"/>
    </w:p>
    <w:p w14:paraId="0E8F5F55">
      <w:pPr>
        <w:pStyle w:val="65"/>
        <w:spacing w:line="360" w:lineRule="auto"/>
        <w:ind w:firstLine="422" w:firstLineChars="200"/>
        <w:outlineLvl w:val="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一、工程概况</w:t>
      </w:r>
      <w:bookmarkEnd w:id="1277"/>
    </w:p>
    <w:p w14:paraId="2DE5AFF9">
      <w:pPr>
        <w:pStyle w:val="65"/>
        <w:spacing w:line="360" w:lineRule="auto"/>
        <w:ind w:firstLine="411" w:firstLineChars="196"/>
        <w:rPr>
          <w:rFonts w:hint="eastAsia" w:ascii="宋体" w:hAnsi="宋体" w:eastAsia="宋体" w:cs="宋体"/>
          <w:color w:val="000000"/>
          <w:sz w:val="21"/>
          <w:szCs w:val="21"/>
          <w:u w:val="single"/>
        </w:rPr>
      </w:pPr>
      <w:r>
        <w:rPr>
          <w:rFonts w:hint="eastAsia" w:ascii="宋体" w:hAnsi="宋体" w:eastAsia="宋体" w:cs="宋体"/>
          <w:color w:val="000000"/>
          <w:sz w:val="21"/>
          <w:szCs w:val="21"/>
        </w:rPr>
        <w:t>1. 工程名称：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1ED593B3">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2. 工程地点：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31780FA6">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3. 工程立项批准文号：</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5547D124">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4. 资金来源：</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110401BC">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5. 工程内容：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0CC69488">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群体工程应附《承包人承揽工程项目一览表》（附件1）。</w:t>
      </w:r>
    </w:p>
    <w:p w14:paraId="25A41415">
      <w:pPr>
        <w:pStyle w:val="65"/>
        <w:spacing w:line="360" w:lineRule="auto"/>
        <w:ind w:firstLine="411" w:firstLineChars="196"/>
        <w:rPr>
          <w:rFonts w:hint="eastAsia" w:ascii="宋体" w:hAnsi="宋体" w:eastAsia="宋体" w:cs="宋体"/>
          <w:color w:val="000000"/>
          <w:sz w:val="21"/>
          <w:szCs w:val="21"/>
        </w:rPr>
      </w:pPr>
      <w:r>
        <w:rPr>
          <w:rFonts w:hint="eastAsia" w:ascii="宋体" w:hAnsi="宋体" w:eastAsia="宋体" w:cs="宋体"/>
          <w:color w:val="000000"/>
          <w:sz w:val="21"/>
          <w:szCs w:val="21"/>
        </w:rPr>
        <w:t>6. 工程承包范围：</w:t>
      </w:r>
      <w:r>
        <w:rPr>
          <w:rFonts w:hint="eastAsia" w:ascii="宋体" w:hAnsi="宋体" w:eastAsia="宋体" w:cs="宋体"/>
          <w:color w:val="000000"/>
          <w:sz w:val="21"/>
          <w:szCs w:val="21"/>
          <w:u w:val="single"/>
        </w:rPr>
        <w:t xml:space="preserve">          </w:t>
      </w:r>
      <w:r>
        <w:rPr>
          <w:rFonts w:hint="eastAsia" w:ascii="宋体" w:hAnsi="宋体" w:eastAsia="宋体" w:cs="宋体"/>
          <w:bCs/>
          <w:sz w:val="21"/>
          <w:szCs w:val="21"/>
        </w:rPr>
        <w:t>。</w:t>
      </w:r>
    </w:p>
    <w:p w14:paraId="55238BD3">
      <w:pPr>
        <w:pStyle w:val="65"/>
        <w:spacing w:line="360" w:lineRule="auto"/>
        <w:ind w:firstLine="407" w:firstLineChars="193"/>
        <w:outlineLvl w:val="0"/>
        <w:rPr>
          <w:rFonts w:hint="eastAsia" w:ascii="宋体" w:hAnsi="宋体" w:eastAsia="宋体" w:cs="宋体"/>
          <w:b/>
          <w:bCs/>
          <w:color w:val="000000"/>
          <w:sz w:val="21"/>
          <w:szCs w:val="21"/>
        </w:rPr>
      </w:pPr>
      <w:bookmarkStart w:id="1278" w:name="_Toc351203482"/>
      <w:r>
        <w:rPr>
          <w:rFonts w:hint="eastAsia" w:ascii="宋体" w:hAnsi="宋体" w:eastAsia="宋体" w:cs="宋体"/>
          <w:b/>
          <w:bCs/>
          <w:color w:val="000000"/>
          <w:sz w:val="21"/>
          <w:szCs w:val="21"/>
        </w:rPr>
        <w:t>二、合同工期</w:t>
      </w:r>
      <w:bookmarkEnd w:id="1278"/>
    </w:p>
    <w:p w14:paraId="12848B8D">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计划开工日期：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日。（具体以发包人书面通知为准）</w:t>
      </w:r>
    </w:p>
    <w:p w14:paraId="43D1D9F5">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计划竣工日期：</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14:paraId="5F75CEA5">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工期总日历天数：</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天。工期总日历天数与根据前述计划开竣工日期计算的工期天数不一致的，以工期总日历天数为准。</w:t>
      </w:r>
    </w:p>
    <w:p w14:paraId="1B74A799">
      <w:pPr>
        <w:pStyle w:val="65"/>
        <w:spacing w:line="360" w:lineRule="auto"/>
        <w:ind w:firstLine="459"/>
        <w:outlineLvl w:val="0"/>
        <w:rPr>
          <w:rFonts w:hint="eastAsia" w:ascii="宋体" w:hAnsi="宋体" w:eastAsia="宋体" w:cs="宋体"/>
          <w:b/>
          <w:bCs/>
          <w:color w:val="000000"/>
          <w:sz w:val="21"/>
          <w:szCs w:val="21"/>
        </w:rPr>
      </w:pPr>
      <w:bookmarkStart w:id="1279" w:name="_Toc351203483"/>
      <w:r>
        <w:rPr>
          <w:rFonts w:hint="eastAsia" w:ascii="宋体" w:hAnsi="宋体" w:eastAsia="宋体" w:cs="宋体"/>
          <w:b/>
          <w:bCs/>
          <w:color w:val="000000"/>
          <w:sz w:val="21"/>
          <w:szCs w:val="21"/>
        </w:rPr>
        <w:t>三、质量标准</w:t>
      </w:r>
      <w:bookmarkEnd w:id="1279"/>
    </w:p>
    <w:p w14:paraId="4AABC7BE">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工程质量符合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标准。</w:t>
      </w:r>
    </w:p>
    <w:p w14:paraId="6ECABDD1">
      <w:pPr>
        <w:pStyle w:val="65"/>
        <w:spacing w:line="360" w:lineRule="auto"/>
        <w:ind w:firstLine="459"/>
        <w:outlineLvl w:val="0"/>
        <w:rPr>
          <w:rFonts w:hint="eastAsia" w:ascii="宋体" w:hAnsi="宋体" w:eastAsia="宋体" w:cs="宋体"/>
          <w:b/>
          <w:bCs/>
          <w:color w:val="000000"/>
          <w:sz w:val="21"/>
          <w:szCs w:val="21"/>
        </w:rPr>
      </w:pPr>
      <w:bookmarkStart w:id="1280" w:name="_Toc351203484"/>
      <w:r>
        <w:rPr>
          <w:rFonts w:hint="eastAsia" w:ascii="宋体" w:hAnsi="宋体" w:eastAsia="宋体" w:cs="宋体"/>
          <w:b/>
          <w:bCs/>
          <w:color w:val="000000"/>
          <w:sz w:val="21"/>
          <w:szCs w:val="21"/>
        </w:rPr>
        <w:t>四、签约合同价与合同价格形式</w:t>
      </w:r>
      <w:bookmarkEnd w:id="1280"/>
    </w:p>
    <w:p w14:paraId="39DEA10C">
      <w:pPr>
        <w:pStyle w:val="65"/>
        <w:spacing w:line="360" w:lineRule="auto"/>
        <w:ind w:firstLine="459"/>
        <w:rPr>
          <w:rFonts w:hint="eastAsia" w:ascii="宋体" w:hAnsi="宋体" w:eastAsia="宋体" w:cs="宋体"/>
          <w:color w:val="000000"/>
          <w:sz w:val="21"/>
          <w:szCs w:val="21"/>
        </w:rPr>
      </w:pPr>
      <w:r>
        <w:rPr>
          <w:rFonts w:hint="eastAsia" w:ascii="宋体" w:hAnsi="宋体" w:eastAsia="宋体" w:cs="宋体"/>
          <w:color w:val="000000"/>
          <w:sz w:val="21"/>
          <w:szCs w:val="21"/>
        </w:rPr>
        <w:t>1. 签约合同价为：</w:t>
      </w:r>
    </w:p>
    <w:p w14:paraId="7DDF7EDB">
      <w:pPr>
        <w:pStyle w:val="65"/>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53AE96B1">
      <w:pPr>
        <w:pStyle w:val="65"/>
        <w:spacing w:line="360" w:lineRule="auto"/>
        <w:ind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其中：</w:t>
      </w:r>
    </w:p>
    <w:p w14:paraId="57D37D1E">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（1）安全文明施工费：</w:t>
      </w:r>
    </w:p>
    <w:p w14:paraId="3C33E22E">
      <w:pPr>
        <w:pStyle w:val="65"/>
        <w:spacing w:line="360" w:lineRule="auto"/>
        <w:ind w:left="420" w:leftChars="200" w:firstLine="525" w:firstLineChars="2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5B7A899E">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（2）材料和工程设备暂估价金额：</w:t>
      </w:r>
    </w:p>
    <w:p w14:paraId="3059D5A7">
      <w:pPr>
        <w:pStyle w:val="65"/>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680B621A">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（3）专业工程暂估价金额：</w:t>
      </w:r>
    </w:p>
    <w:p w14:paraId="630AD78D">
      <w:pPr>
        <w:pStyle w:val="65"/>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w:t>
      </w:r>
    </w:p>
    <w:p w14:paraId="1B0DAF95">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（4）暂列金额：</w:t>
      </w:r>
    </w:p>
    <w:p w14:paraId="6C6735F5">
      <w:pPr>
        <w:pStyle w:val="65"/>
        <w:spacing w:line="360" w:lineRule="auto"/>
        <w:ind w:firstLine="945" w:firstLineChars="450"/>
        <w:rPr>
          <w:rFonts w:hint="eastAsia" w:ascii="宋体" w:hAnsi="宋体" w:eastAsia="宋体" w:cs="宋体"/>
          <w:color w:val="000000"/>
          <w:sz w:val="21"/>
          <w:szCs w:val="21"/>
        </w:rPr>
      </w:pPr>
      <w:r>
        <w:rPr>
          <w:rFonts w:hint="eastAsia" w:ascii="宋体" w:hAnsi="宋体" w:eastAsia="宋体" w:cs="宋体"/>
          <w:color w:val="000000"/>
          <w:sz w:val="21"/>
          <w:szCs w:val="21"/>
        </w:rPr>
        <w:t>人民币（大写）</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 xml:space="preserve"> （¥</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元）。</w:t>
      </w:r>
    </w:p>
    <w:p w14:paraId="008A75B6">
      <w:pPr>
        <w:pStyle w:val="65"/>
        <w:numPr>
          <w:ilvl w:val="0"/>
          <w:numId w:val="8"/>
        </w:num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合同价格形式：</w:t>
      </w:r>
      <w:r>
        <w:rPr>
          <w:rFonts w:hint="eastAsia" w:ascii="宋体" w:hAnsi="宋体" w:eastAsia="宋体" w:cs="宋体"/>
          <w:color w:val="000000"/>
          <w:sz w:val="21"/>
          <w:szCs w:val="21"/>
          <w:u w:val="single"/>
        </w:rPr>
        <w:t xml:space="preserve"> 固定综合单价   </w:t>
      </w:r>
      <w:r>
        <w:rPr>
          <w:rFonts w:hint="eastAsia" w:ascii="宋体" w:hAnsi="宋体" w:eastAsia="宋体" w:cs="宋体"/>
          <w:color w:val="000000"/>
          <w:sz w:val="21"/>
          <w:szCs w:val="21"/>
        </w:rPr>
        <w:t>。</w:t>
      </w:r>
    </w:p>
    <w:p w14:paraId="2818B79E">
      <w:pPr>
        <w:pStyle w:val="65"/>
        <w:numPr>
          <w:ilvl w:val="0"/>
          <w:numId w:val="8"/>
        </w:num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本项目采用</w:t>
      </w:r>
      <w:r>
        <w:rPr>
          <w:rFonts w:hint="eastAsia" w:ascii="宋体" w:hAnsi="宋体" w:eastAsia="宋体" w:cs="宋体"/>
          <w:color w:val="auto"/>
          <w:sz w:val="21"/>
          <w:szCs w:val="21"/>
          <w:lang w:val="en-US" w:eastAsia="zh-CN"/>
        </w:rPr>
        <w:t>一般</w:t>
      </w:r>
      <w:r>
        <w:rPr>
          <w:rFonts w:hint="eastAsia" w:ascii="宋体" w:hAnsi="宋体" w:eastAsia="宋体" w:cs="宋体"/>
          <w:color w:val="auto"/>
          <w:sz w:val="21"/>
          <w:szCs w:val="21"/>
        </w:rPr>
        <w:t>计税法。</w:t>
      </w:r>
    </w:p>
    <w:p w14:paraId="717D7722">
      <w:pPr>
        <w:pStyle w:val="65"/>
        <w:spacing w:line="360" w:lineRule="auto"/>
        <w:ind w:firstLine="422" w:firstLineChars="200"/>
        <w:outlineLvl w:val="0"/>
        <w:rPr>
          <w:rFonts w:hint="eastAsia" w:ascii="宋体" w:hAnsi="宋体" w:eastAsia="宋体" w:cs="宋体"/>
          <w:b/>
          <w:bCs/>
          <w:color w:val="000000"/>
          <w:sz w:val="21"/>
          <w:szCs w:val="21"/>
        </w:rPr>
      </w:pPr>
      <w:bookmarkStart w:id="1281" w:name="_Toc351203485"/>
      <w:r>
        <w:rPr>
          <w:rFonts w:hint="eastAsia" w:ascii="宋体" w:hAnsi="宋体" w:eastAsia="宋体" w:cs="宋体"/>
          <w:b/>
          <w:bCs/>
          <w:sz w:val="21"/>
          <w:szCs w:val="21"/>
        </w:rPr>
        <w:t>五、</w:t>
      </w:r>
      <w:bookmarkEnd w:id="1281"/>
      <w:r>
        <w:rPr>
          <w:rFonts w:hint="eastAsia" w:ascii="宋体" w:hAnsi="宋体" w:eastAsia="宋体" w:cs="宋体"/>
          <w:b/>
          <w:bCs/>
          <w:sz w:val="21"/>
          <w:szCs w:val="21"/>
        </w:rPr>
        <w:t>项目经理</w:t>
      </w:r>
    </w:p>
    <w:p w14:paraId="3302D883">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承包人项目经理：</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w:t>
      </w:r>
    </w:p>
    <w:p w14:paraId="6FCF43F4">
      <w:pPr>
        <w:pStyle w:val="65"/>
        <w:spacing w:line="360" w:lineRule="auto"/>
        <w:ind w:firstLine="422" w:firstLineChars="200"/>
        <w:outlineLvl w:val="0"/>
        <w:rPr>
          <w:rFonts w:hint="eastAsia" w:ascii="宋体" w:hAnsi="宋体" w:eastAsia="宋体" w:cs="宋体"/>
          <w:b/>
          <w:bCs/>
          <w:color w:val="000000"/>
          <w:sz w:val="21"/>
          <w:szCs w:val="21"/>
        </w:rPr>
      </w:pPr>
      <w:bookmarkStart w:id="1282" w:name="_Toc351203486"/>
      <w:r>
        <w:rPr>
          <w:rFonts w:hint="eastAsia" w:ascii="宋体" w:hAnsi="宋体" w:eastAsia="宋体" w:cs="宋体"/>
          <w:b/>
          <w:bCs/>
          <w:color w:val="000000"/>
          <w:sz w:val="21"/>
          <w:szCs w:val="21"/>
        </w:rPr>
        <w:t>六、合同文件构成</w:t>
      </w:r>
      <w:bookmarkEnd w:id="1282"/>
    </w:p>
    <w:p w14:paraId="5FAFFAE4">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本协议书与下列文件一起构成合同文件：</w:t>
      </w:r>
    </w:p>
    <w:p w14:paraId="7A976C33">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成交</w:t>
      </w:r>
      <w:r>
        <w:rPr>
          <w:rFonts w:hint="eastAsia" w:ascii="宋体" w:hAnsi="宋体" w:eastAsia="宋体" w:cs="宋体"/>
          <w:color w:val="000000"/>
          <w:sz w:val="21"/>
          <w:szCs w:val="21"/>
        </w:rPr>
        <w:t>通知书（如有）；</w:t>
      </w:r>
    </w:p>
    <w:p w14:paraId="7D69531E">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（2）投标函及其附录（如有）； </w:t>
      </w:r>
    </w:p>
    <w:p w14:paraId="5DC066A3">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（3）专用合同条款及其附件；</w:t>
      </w:r>
    </w:p>
    <w:p w14:paraId="4674F288">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（4）通用合同条款；</w:t>
      </w:r>
    </w:p>
    <w:p w14:paraId="11C73CAF">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（5）技术标准和要求；</w:t>
      </w:r>
    </w:p>
    <w:p w14:paraId="105465FB">
      <w:pPr>
        <w:pStyle w:val="65"/>
        <w:autoSpaceDE w:val="0"/>
        <w:autoSpaceDN w:val="0"/>
        <w:adjustRightInd w:val="0"/>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（6）已标价工程量清单或预算书；</w:t>
      </w:r>
    </w:p>
    <w:p w14:paraId="17DA65C1">
      <w:pPr>
        <w:pStyle w:val="65"/>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（7）图纸；</w:t>
      </w:r>
    </w:p>
    <w:p w14:paraId="1081B5D6">
      <w:pPr>
        <w:pStyle w:val="65"/>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（8）其他合同文件：在合同订立及履行过程中形成的与合同有关的文件均构成合同文件组成部分。</w:t>
      </w:r>
    </w:p>
    <w:p w14:paraId="7CABCB5C">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上述各项合同文件包括合同当事人就该项合同文件所作出的补充和修改，属于同一类内容的文件，应以最新签署的为准</w:t>
      </w:r>
      <w:r>
        <w:rPr>
          <w:rFonts w:hint="eastAsia" w:ascii="宋体" w:hAnsi="宋体" w:eastAsia="宋体" w:cs="宋体"/>
          <w:sz w:val="21"/>
          <w:szCs w:val="21"/>
        </w:rPr>
        <w:t>（违反招标文件实质性内容的约定除外）</w:t>
      </w:r>
      <w:r>
        <w:rPr>
          <w:rFonts w:hint="eastAsia" w:ascii="宋体" w:hAnsi="宋体" w:eastAsia="宋体" w:cs="宋体"/>
          <w:color w:val="000000"/>
          <w:sz w:val="21"/>
          <w:szCs w:val="21"/>
        </w:rPr>
        <w:t>。专用合同条款及其附件须经合同当事人签字或盖章。未经承包人书面授权，承包人的分支机构及个人无权直接与发包人签订本工程有关的合同性文件。与本工程有关的合同性文件如构成对合同内容的变更或修改，均加盖承包人的法人印章或法人专用合同章确认，否则承包人不予认可，对承包人不发生法律效力，仍按本合同约定执行。</w:t>
      </w:r>
    </w:p>
    <w:p w14:paraId="1F87F570">
      <w:pPr>
        <w:pStyle w:val="65"/>
        <w:autoSpaceDE w:val="0"/>
        <w:autoSpaceDN w:val="0"/>
        <w:adjustRightInd w:val="0"/>
        <w:spacing w:line="360" w:lineRule="auto"/>
        <w:ind w:firstLine="422" w:firstLineChars="200"/>
        <w:jc w:val="left"/>
        <w:outlineLvl w:val="0"/>
        <w:rPr>
          <w:rFonts w:hint="eastAsia" w:ascii="宋体" w:hAnsi="宋体" w:eastAsia="宋体" w:cs="宋体"/>
          <w:b/>
          <w:bCs/>
          <w:color w:val="000000"/>
          <w:sz w:val="21"/>
          <w:szCs w:val="21"/>
        </w:rPr>
      </w:pPr>
      <w:bookmarkStart w:id="1283" w:name="_Toc351203487"/>
      <w:r>
        <w:rPr>
          <w:rFonts w:hint="eastAsia" w:ascii="宋体" w:hAnsi="宋体" w:eastAsia="宋体" w:cs="宋体"/>
          <w:b/>
          <w:bCs/>
          <w:color w:val="000000"/>
          <w:sz w:val="21"/>
          <w:szCs w:val="21"/>
        </w:rPr>
        <w:t>七、承诺</w:t>
      </w:r>
      <w:bookmarkEnd w:id="1283"/>
    </w:p>
    <w:p w14:paraId="3840B67D">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1. 发包人承诺按照法律规定履行项目审批手续、筹集工程建设资金并按照合同约定的期限和方式支付合同价款。</w:t>
      </w:r>
    </w:p>
    <w:p w14:paraId="6D132B46">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2. 承包人承诺按照法律规定及合同约定组织完成工程施工，确保工程质量和安全，不进行转包及违法分包，并在缺陷责任期及保修期内承担相应的工程维修责任。</w:t>
      </w:r>
    </w:p>
    <w:p w14:paraId="3468358A">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 发包人和承包人通过招投标形式签订合同的，双方理解并承诺不再就同一工程另行签订与合同实质性内容相背离的协议。</w:t>
      </w:r>
      <w:bookmarkStart w:id="1284" w:name="_Toc351203488"/>
    </w:p>
    <w:p w14:paraId="0102D1CF">
      <w:pPr>
        <w:pStyle w:val="65"/>
        <w:spacing w:line="360" w:lineRule="auto"/>
        <w:ind w:firstLine="422" w:firstLineChars="200"/>
        <w:outlineLvl w:val="0"/>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八、词语含义</w:t>
      </w:r>
      <w:bookmarkEnd w:id="1284"/>
    </w:p>
    <w:p w14:paraId="751011AB">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本协议书中词语含义与第二部分通用合同条款中赋予的含义相同。</w:t>
      </w:r>
    </w:p>
    <w:p w14:paraId="73AC17F6">
      <w:pPr>
        <w:pStyle w:val="65"/>
        <w:spacing w:line="360" w:lineRule="auto"/>
        <w:ind w:firstLine="422" w:firstLineChars="200"/>
        <w:outlineLvl w:val="0"/>
        <w:rPr>
          <w:rFonts w:hint="eastAsia" w:ascii="宋体" w:hAnsi="宋体" w:eastAsia="宋体" w:cs="宋体"/>
          <w:b/>
          <w:bCs/>
          <w:color w:val="000000"/>
          <w:sz w:val="21"/>
          <w:szCs w:val="21"/>
        </w:rPr>
      </w:pPr>
      <w:bookmarkStart w:id="1285" w:name="_Toc351203489"/>
      <w:r>
        <w:rPr>
          <w:rFonts w:hint="eastAsia" w:ascii="宋体" w:hAnsi="宋体" w:eastAsia="宋体" w:cs="宋体"/>
          <w:b/>
          <w:bCs/>
          <w:color w:val="000000"/>
          <w:sz w:val="21"/>
          <w:szCs w:val="21"/>
        </w:rPr>
        <w:t>九、签订时间</w:t>
      </w:r>
      <w:bookmarkEnd w:id="1285"/>
    </w:p>
    <w:p w14:paraId="1EE6EFB5">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日签订。</w:t>
      </w:r>
    </w:p>
    <w:p w14:paraId="3873763E">
      <w:pPr>
        <w:pStyle w:val="65"/>
        <w:spacing w:line="360" w:lineRule="auto"/>
        <w:ind w:firstLine="422" w:firstLineChars="200"/>
        <w:outlineLvl w:val="0"/>
        <w:rPr>
          <w:rFonts w:hint="eastAsia" w:ascii="宋体" w:hAnsi="宋体" w:eastAsia="宋体" w:cs="宋体"/>
          <w:b/>
          <w:bCs/>
          <w:color w:val="000000"/>
          <w:sz w:val="21"/>
          <w:szCs w:val="21"/>
        </w:rPr>
      </w:pPr>
      <w:bookmarkStart w:id="1286" w:name="_Toc351203490"/>
      <w:r>
        <w:rPr>
          <w:rFonts w:hint="eastAsia" w:ascii="宋体" w:hAnsi="宋体" w:eastAsia="宋体" w:cs="宋体"/>
          <w:b/>
          <w:bCs/>
          <w:color w:val="000000"/>
          <w:sz w:val="21"/>
          <w:szCs w:val="21"/>
        </w:rPr>
        <w:t>十、签订地点</w:t>
      </w:r>
      <w:bookmarkEnd w:id="1286"/>
    </w:p>
    <w:p w14:paraId="3A7FB957">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本合同在</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签订。</w:t>
      </w:r>
    </w:p>
    <w:p w14:paraId="1E3C9948">
      <w:pPr>
        <w:pStyle w:val="65"/>
        <w:spacing w:line="360" w:lineRule="auto"/>
        <w:ind w:firstLine="422" w:firstLineChars="200"/>
        <w:outlineLvl w:val="0"/>
        <w:rPr>
          <w:rFonts w:hint="eastAsia" w:ascii="宋体" w:hAnsi="宋体" w:eastAsia="宋体" w:cs="宋体"/>
          <w:b/>
          <w:bCs/>
          <w:color w:val="000000"/>
          <w:sz w:val="21"/>
          <w:szCs w:val="21"/>
        </w:rPr>
      </w:pPr>
      <w:bookmarkStart w:id="1287" w:name="_Toc351203491"/>
      <w:r>
        <w:rPr>
          <w:rFonts w:hint="eastAsia" w:ascii="宋体" w:hAnsi="宋体" w:eastAsia="宋体" w:cs="宋体"/>
          <w:b/>
          <w:bCs/>
          <w:color w:val="000000"/>
          <w:sz w:val="21"/>
          <w:szCs w:val="21"/>
        </w:rPr>
        <w:t>十一、补充协议</w:t>
      </w:r>
      <w:bookmarkEnd w:id="1287"/>
    </w:p>
    <w:p w14:paraId="7B959CC7">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合同未尽事宜，合同当事人另行签订补充协议，补充协议是合同的</w:t>
      </w:r>
    </w:p>
    <w:p w14:paraId="5C69318B">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组成部分。</w:t>
      </w:r>
    </w:p>
    <w:p w14:paraId="4DF72FCE">
      <w:pPr>
        <w:pStyle w:val="65"/>
        <w:spacing w:line="360" w:lineRule="auto"/>
        <w:ind w:firstLine="422" w:firstLineChars="200"/>
        <w:outlineLvl w:val="0"/>
        <w:rPr>
          <w:rFonts w:hint="eastAsia" w:ascii="宋体" w:hAnsi="宋体" w:eastAsia="宋体" w:cs="宋体"/>
          <w:b/>
          <w:bCs/>
          <w:color w:val="000000"/>
          <w:sz w:val="21"/>
          <w:szCs w:val="21"/>
        </w:rPr>
      </w:pPr>
      <w:bookmarkStart w:id="1288" w:name="_Toc351203492"/>
      <w:r>
        <w:rPr>
          <w:rFonts w:hint="eastAsia" w:ascii="宋体" w:hAnsi="宋体" w:eastAsia="宋体" w:cs="宋体"/>
          <w:b/>
          <w:bCs/>
          <w:color w:val="000000"/>
          <w:sz w:val="21"/>
          <w:szCs w:val="21"/>
        </w:rPr>
        <w:t>十二、合同生效</w:t>
      </w:r>
      <w:bookmarkEnd w:id="1288"/>
    </w:p>
    <w:p w14:paraId="56352171">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本合同自</w:t>
      </w:r>
      <w:r>
        <w:rPr>
          <w:rFonts w:hint="eastAsia" w:ascii="宋体" w:hAnsi="宋体" w:eastAsia="宋体" w:cs="宋体"/>
          <w:color w:val="000000"/>
          <w:sz w:val="21"/>
          <w:szCs w:val="21"/>
          <w:u w:val="single"/>
        </w:rPr>
        <w:t xml:space="preserve"> 双方加盖单位公章（或合同专用章）、法定代表人签字或盖章之日起 </w:t>
      </w:r>
      <w:r>
        <w:rPr>
          <w:rFonts w:hint="eastAsia" w:ascii="宋体" w:hAnsi="宋体" w:eastAsia="宋体" w:cs="宋体"/>
          <w:color w:val="000000"/>
          <w:sz w:val="21"/>
          <w:szCs w:val="21"/>
        </w:rPr>
        <w:t>生效。</w:t>
      </w:r>
    </w:p>
    <w:p w14:paraId="2AFDE7C2">
      <w:pPr>
        <w:pStyle w:val="65"/>
        <w:spacing w:line="360" w:lineRule="auto"/>
        <w:ind w:firstLine="422" w:firstLineChars="200"/>
        <w:outlineLvl w:val="0"/>
        <w:rPr>
          <w:rFonts w:hint="eastAsia" w:ascii="宋体" w:hAnsi="宋体" w:eastAsia="宋体" w:cs="宋体"/>
          <w:b/>
          <w:bCs/>
          <w:color w:val="000000"/>
          <w:sz w:val="21"/>
          <w:szCs w:val="21"/>
        </w:rPr>
      </w:pPr>
      <w:bookmarkStart w:id="1289" w:name="_Toc351203493"/>
      <w:r>
        <w:rPr>
          <w:rFonts w:hint="eastAsia" w:ascii="宋体" w:hAnsi="宋体" w:eastAsia="宋体" w:cs="宋体"/>
          <w:b/>
          <w:bCs/>
          <w:color w:val="000000"/>
          <w:sz w:val="21"/>
          <w:szCs w:val="21"/>
        </w:rPr>
        <w:t>十三、合同份数</w:t>
      </w:r>
      <w:bookmarkEnd w:id="1289"/>
    </w:p>
    <w:p w14:paraId="6E88DDFC">
      <w:pPr>
        <w:pStyle w:val="65"/>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份，均具有同等法律效力，发包人执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份，承包人执</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p>
    <w:tbl>
      <w:tblPr>
        <w:tblStyle w:val="19"/>
        <w:tblW w:w="0" w:type="auto"/>
        <w:tblInd w:w="0" w:type="dxa"/>
        <w:tblLayout w:type="autofit"/>
        <w:tblCellMar>
          <w:top w:w="0" w:type="dxa"/>
          <w:left w:w="108" w:type="dxa"/>
          <w:bottom w:w="0" w:type="dxa"/>
          <w:right w:w="108" w:type="dxa"/>
        </w:tblCellMar>
      </w:tblPr>
      <w:tblGrid>
        <w:gridCol w:w="4443"/>
        <w:gridCol w:w="4443"/>
      </w:tblGrid>
      <w:tr w14:paraId="56E1F2CA">
        <w:tblPrEx>
          <w:tblCellMar>
            <w:top w:w="0" w:type="dxa"/>
            <w:left w:w="108" w:type="dxa"/>
            <w:bottom w:w="0" w:type="dxa"/>
            <w:right w:w="108" w:type="dxa"/>
          </w:tblCellMar>
        </w:tblPrEx>
        <w:tc>
          <w:tcPr>
            <w:tcW w:w="4443" w:type="dxa"/>
            <w:noWrap w:val="0"/>
            <w:vAlign w:val="center"/>
          </w:tcPr>
          <w:p w14:paraId="795C3AEB">
            <w:pPr>
              <w:pStyle w:val="65"/>
              <w:spacing w:line="360" w:lineRule="auto"/>
              <w:rPr>
                <w:rFonts w:hint="eastAsia" w:ascii="宋体" w:hAnsi="宋体" w:eastAsia="宋体" w:cs="宋体"/>
                <w:color w:val="000000"/>
                <w:sz w:val="21"/>
                <w:szCs w:val="21"/>
              </w:rPr>
            </w:pPr>
          </w:p>
          <w:p w14:paraId="0A6AAE10">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发包人（公章）：</w:t>
            </w:r>
          </w:p>
          <w:p w14:paraId="198C9E7F">
            <w:pPr>
              <w:pStyle w:val="65"/>
              <w:spacing w:line="360" w:lineRule="auto"/>
              <w:rPr>
                <w:rFonts w:hint="eastAsia" w:ascii="宋体" w:hAnsi="宋体" w:eastAsia="宋体" w:cs="宋体"/>
                <w:color w:val="000000"/>
                <w:sz w:val="21"/>
                <w:szCs w:val="21"/>
              </w:rPr>
            </w:pPr>
          </w:p>
        </w:tc>
        <w:tc>
          <w:tcPr>
            <w:tcW w:w="4443" w:type="dxa"/>
            <w:noWrap w:val="0"/>
            <w:vAlign w:val="center"/>
          </w:tcPr>
          <w:p w14:paraId="11D1646D">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承包人（公章）：</w:t>
            </w:r>
          </w:p>
        </w:tc>
      </w:tr>
      <w:tr w14:paraId="44FED2C3">
        <w:tblPrEx>
          <w:tblCellMar>
            <w:top w:w="0" w:type="dxa"/>
            <w:left w:w="108" w:type="dxa"/>
            <w:bottom w:w="0" w:type="dxa"/>
            <w:right w:w="108" w:type="dxa"/>
          </w:tblCellMar>
        </w:tblPrEx>
        <w:tc>
          <w:tcPr>
            <w:tcW w:w="4443" w:type="dxa"/>
            <w:noWrap w:val="0"/>
            <w:vAlign w:val="center"/>
          </w:tcPr>
          <w:p w14:paraId="6B03EBDC">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w:t>
            </w:r>
          </w:p>
          <w:p w14:paraId="74B615C5">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其委托代理人（签章）：</w:t>
            </w:r>
          </w:p>
        </w:tc>
        <w:tc>
          <w:tcPr>
            <w:tcW w:w="4443" w:type="dxa"/>
            <w:noWrap w:val="0"/>
            <w:vAlign w:val="center"/>
          </w:tcPr>
          <w:p w14:paraId="152603CD">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w:t>
            </w:r>
          </w:p>
          <w:p w14:paraId="642F550B">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其委托代理人（签章）：</w:t>
            </w:r>
          </w:p>
        </w:tc>
      </w:tr>
      <w:tr w14:paraId="2FB81F58">
        <w:tblPrEx>
          <w:tblCellMar>
            <w:top w:w="0" w:type="dxa"/>
            <w:left w:w="108" w:type="dxa"/>
            <w:bottom w:w="0" w:type="dxa"/>
            <w:right w:w="108" w:type="dxa"/>
          </w:tblCellMar>
        </w:tblPrEx>
        <w:tc>
          <w:tcPr>
            <w:tcW w:w="4443" w:type="dxa"/>
            <w:noWrap w:val="0"/>
            <w:vAlign w:val="center"/>
          </w:tcPr>
          <w:p w14:paraId="680C5939">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联系人：</w:t>
            </w:r>
          </w:p>
        </w:tc>
        <w:tc>
          <w:tcPr>
            <w:tcW w:w="4443" w:type="dxa"/>
            <w:noWrap w:val="0"/>
            <w:vAlign w:val="center"/>
          </w:tcPr>
          <w:p w14:paraId="3BEC1DD8">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联系人：</w:t>
            </w:r>
          </w:p>
        </w:tc>
      </w:tr>
      <w:tr w14:paraId="48763A4C">
        <w:tblPrEx>
          <w:tblCellMar>
            <w:top w:w="0" w:type="dxa"/>
            <w:left w:w="108" w:type="dxa"/>
            <w:bottom w:w="0" w:type="dxa"/>
            <w:right w:w="108" w:type="dxa"/>
          </w:tblCellMar>
        </w:tblPrEx>
        <w:tc>
          <w:tcPr>
            <w:tcW w:w="4443" w:type="dxa"/>
            <w:noWrap w:val="0"/>
            <w:vAlign w:val="center"/>
          </w:tcPr>
          <w:p w14:paraId="4C6F8644">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p>
        </w:tc>
        <w:tc>
          <w:tcPr>
            <w:tcW w:w="4443" w:type="dxa"/>
            <w:noWrap w:val="0"/>
            <w:vAlign w:val="center"/>
          </w:tcPr>
          <w:p w14:paraId="139C7F6C">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联系电话：</w:t>
            </w:r>
            <w:r>
              <w:rPr>
                <w:rFonts w:hint="eastAsia" w:ascii="宋体" w:hAnsi="宋体" w:eastAsia="宋体" w:cs="宋体"/>
                <w:sz w:val="21"/>
                <w:szCs w:val="21"/>
              </w:rPr>
              <w:t xml:space="preserve"> </w:t>
            </w:r>
          </w:p>
        </w:tc>
      </w:tr>
      <w:tr w14:paraId="359D9F41">
        <w:tblPrEx>
          <w:tblCellMar>
            <w:top w:w="0" w:type="dxa"/>
            <w:left w:w="108" w:type="dxa"/>
            <w:bottom w:w="0" w:type="dxa"/>
            <w:right w:w="108" w:type="dxa"/>
          </w:tblCellMar>
        </w:tblPrEx>
        <w:tc>
          <w:tcPr>
            <w:tcW w:w="4443" w:type="dxa"/>
            <w:noWrap w:val="0"/>
            <w:vAlign w:val="center"/>
          </w:tcPr>
          <w:p w14:paraId="31F3518A">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统一社会信用代码：</w:t>
            </w:r>
          </w:p>
        </w:tc>
        <w:tc>
          <w:tcPr>
            <w:tcW w:w="4443" w:type="dxa"/>
            <w:noWrap w:val="0"/>
            <w:vAlign w:val="center"/>
          </w:tcPr>
          <w:p w14:paraId="3264CBA3">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统一社会信用代码：</w:t>
            </w:r>
          </w:p>
        </w:tc>
      </w:tr>
      <w:tr w14:paraId="4DB544D9">
        <w:tblPrEx>
          <w:tblCellMar>
            <w:top w:w="0" w:type="dxa"/>
            <w:left w:w="108" w:type="dxa"/>
            <w:bottom w:w="0" w:type="dxa"/>
            <w:right w:w="108" w:type="dxa"/>
          </w:tblCellMar>
        </w:tblPrEx>
        <w:tc>
          <w:tcPr>
            <w:tcW w:w="4443" w:type="dxa"/>
            <w:noWrap w:val="0"/>
            <w:vAlign w:val="center"/>
          </w:tcPr>
          <w:p w14:paraId="57483F1D">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c>
          <w:tcPr>
            <w:tcW w:w="4443" w:type="dxa"/>
            <w:noWrap w:val="0"/>
            <w:vAlign w:val="center"/>
          </w:tcPr>
          <w:p w14:paraId="258CE3E5">
            <w:pPr>
              <w:pStyle w:val="65"/>
              <w:spacing w:line="360" w:lineRule="auto"/>
              <w:ind w:right="-153" w:rightChars="-73"/>
              <w:rPr>
                <w:rFonts w:hint="eastAsia" w:ascii="宋体" w:hAnsi="宋体" w:eastAsia="宋体" w:cs="宋体"/>
                <w:color w:val="000000"/>
                <w:sz w:val="21"/>
                <w:szCs w:val="21"/>
              </w:rPr>
            </w:pPr>
            <w:r>
              <w:rPr>
                <w:rFonts w:hint="eastAsia" w:ascii="宋体" w:hAnsi="宋体" w:eastAsia="宋体" w:cs="宋体"/>
                <w:color w:val="000000"/>
                <w:sz w:val="21"/>
                <w:szCs w:val="21"/>
              </w:rPr>
              <w:t>地  址：</w:t>
            </w:r>
          </w:p>
        </w:tc>
      </w:tr>
      <w:tr w14:paraId="2C96F812">
        <w:tblPrEx>
          <w:tblCellMar>
            <w:top w:w="0" w:type="dxa"/>
            <w:left w:w="108" w:type="dxa"/>
            <w:bottom w:w="0" w:type="dxa"/>
            <w:right w:w="108" w:type="dxa"/>
          </w:tblCellMar>
        </w:tblPrEx>
        <w:tc>
          <w:tcPr>
            <w:tcW w:w="4443" w:type="dxa"/>
            <w:noWrap w:val="0"/>
            <w:vAlign w:val="center"/>
          </w:tcPr>
          <w:p w14:paraId="1612B04D">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443" w:type="dxa"/>
            <w:noWrap w:val="0"/>
            <w:vAlign w:val="center"/>
          </w:tcPr>
          <w:p w14:paraId="64BB471E">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r>
      <w:tr w14:paraId="79E6F347">
        <w:tblPrEx>
          <w:tblCellMar>
            <w:top w:w="0" w:type="dxa"/>
            <w:left w:w="108" w:type="dxa"/>
            <w:bottom w:w="0" w:type="dxa"/>
            <w:right w:w="108" w:type="dxa"/>
          </w:tblCellMar>
        </w:tblPrEx>
        <w:tc>
          <w:tcPr>
            <w:tcW w:w="4443" w:type="dxa"/>
            <w:noWrap w:val="0"/>
            <w:vAlign w:val="center"/>
          </w:tcPr>
          <w:p w14:paraId="67BE5F23">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443" w:type="dxa"/>
            <w:noWrap w:val="0"/>
            <w:vAlign w:val="center"/>
          </w:tcPr>
          <w:p w14:paraId="0EB79D0E">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r>
      <w:tr w14:paraId="1D320775">
        <w:tblPrEx>
          <w:tblCellMar>
            <w:top w:w="0" w:type="dxa"/>
            <w:left w:w="108" w:type="dxa"/>
            <w:bottom w:w="0" w:type="dxa"/>
            <w:right w:w="108" w:type="dxa"/>
          </w:tblCellMar>
        </w:tblPrEx>
        <w:tc>
          <w:tcPr>
            <w:tcW w:w="4443" w:type="dxa"/>
            <w:noWrap w:val="0"/>
            <w:vAlign w:val="center"/>
          </w:tcPr>
          <w:p w14:paraId="71A6C36A">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开户名：</w:t>
            </w:r>
          </w:p>
        </w:tc>
        <w:tc>
          <w:tcPr>
            <w:tcW w:w="4443" w:type="dxa"/>
            <w:noWrap w:val="0"/>
            <w:vAlign w:val="center"/>
          </w:tcPr>
          <w:p w14:paraId="7B48228A">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开户名：</w:t>
            </w:r>
          </w:p>
        </w:tc>
      </w:tr>
      <w:tr w14:paraId="70F75B07">
        <w:tblPrEx>
          <w:tblCellMar>
            <w:top w:w="0" w:type="dxa"/>
            <w:left w:w="108" w:type="dxa"/>
            <w:bottom w:w="0" w:type="dxa"/>
            <w:right w:w="108" w:type="dxa"/>
          </w:tblCellMar>
        </w:tblPrEx>
        <w:tc>
          <w:tcPr>
            <w:tcW w:w="4443" w:type="dxa"/>
            <w:noWrap w:val="0"/>
            <w:vAlign w:val="center"/>
          </w:tcPr>
          <w:p w14:paraId="1BB5D62E">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443" w:type="dxa"/>
            <w:noWrap w:val="0"/>
            <w:vAlign w:val="center"/>
          </w:tcPr>
          <w:p w14:paraId="09A3B655">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r>
      <w:tr w14:paraId="747C4545">
        <w:tblPrEx>
          <w:tblCellMar>
            <w:top w:w="0" w:type="dxa"/>
            <w:left w:w="108" w:type="dxa"/>
            <w:bottom w:w="0" w:type="dxa"/>
            <w:right w:w="108" w:type="dxa"/>
          </w:tblCellMar>
        </w:tblPrEx>
        <w:tc>
          <w:tcPr>
            <w:tcW w:w="4443" w:type="dxa"/>
            <w:noWrap w:val="0"/>
            <w:vAlign w:val="center"/>
          </w:tcPr>
          <w:p w14:paraId="49199098">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账  号：</w:t>
            </w:r>
          </w:p>
        </w:tc>
        <w:tc>
          <w:tcPr>
            <w:tcW w:w="4443" w:type="dxa"/>
            <w:noWrap w:val="0"/>
            <w:vAlign w:val="center"/>
          </w:tcPr>
          <w:p w14:paraId="4C5130DC">
            <w:pPr>
              <w:pStyle w:val="65"/>
              <w:spacing w:line="360" w:lineRule="auto"/>
              <w:rPr>
                <w:rFonts w:hint="eastAsia" w:ascii="宋体" w:hAnsi="宋体" w:eastAsia="宋体" w:cs="宋体"/>
                <w:color w:val="000000"/>
                <w:sz w:val="21"/>
                <w:szCs w:val="21"/>
              </w:rPr>
            </w:pPr>
            <w:r>
              <w:rPr>
                <w:rFonts w:hint="eastAsia" w:ascii="宋体" w:hAnsi="宋体" w:eastAsia="宋体" w:cs="宋体"/>
                <w:color w:val="000000"/>
                <w:sz w:val="21"/>
                <w:szCs w:val="21"/>
              </w:rPr>
              <w:t>账  号：</w:t>
            </w:r>
          </w:p>
        </w:tc>
      </w:tr>
    </w:tbl>
    <w:p w14:paraId="7934E9AB">
      <w:pPr>
        <w:pStyle w:val="57"/>
        <w:widowControl/>
        <w:jc w:val="left"/>
        <w:rPr>
          <w:rFonts w:hint="eastAsia" w:hAnsi="宋体" w:cs="宋体"/>
          <w:color w:val="auto"/>
          <w:szCs w:val="21"/>
          <w:highlight w:val="none"/>
        </w:rPr>
      </w:pPr>
      <w:r>
        <w:rPr>
          <w:rFonts w:ascii="宋体" w:hAnsi="宋体" w:cs="宋体"/>
          <w:color w:val="auto"/>
          <w:kern w:val="0"/>
          <w:sz w:val="8"/>
          <w:szCs w:val="24"/>
          <w:highlight w:val="none"/>
          <w:lang w:val="zh-CN" w:bidi="zh-CN"/>
        </w:rPr>
        <w:br w:type="page"/>
      </w:r>
      <w:bookmarkEnd w:id="1276"/>
    </w:p>
    <w:bookmarkEnd w:id="102"/>
    <w:p w14:paraId="12BCAAF3">
      <w:pPr>
        <w:pStyle w:val="35"/>
        <w:rPr>
          <w:rFonts w:hint="eastAsia" w:asciiTheme="minorEastAsia" w:hAnsiTheme="minorEastAsia" w:eastAsiaTheme="minorEastAsia" w:cstheme="minorEastAsia"/>
          <w:color w:val="auto"/>
          <w:highlight w:val="none"/>
        </w:rPr>
      </w:pPr>
      <w:bookmarkStart w:id="1290" w:name="_Toc430095344"/>
      <w:bookmarkStart w:id="1291" w:name="_Toc440877586"/>
    </w:p>
    <w:p w14:paraId="019F7334">
      <w:pPr>
        <w:pStyle w:val="2"/>
        <w:numPr>
          <w:ilvl w:val="0"/>
          <w:numId w:val="9"/>
        </w:numPr>
        <w:bidi w:val="0"/>
        <w:spacing w:line="240" w:lineRule="auto"/>
        <w:jc w:val="center"/>
        <w:rPr>
          <w:rFonts w:hint="eastAsia" w:asciiTheme="minorEastAsia" w:hAnsiTheme="minorEastAsia" w:eastAsiaTheme="minorEastAsia" w:cstheme="minorEastAsia"/>
          <w:color w:val="auto"/>
          <w:highlight w:val="none"/>
          <w:lang w:val="en-US" w:eastAsia="zh-CN"/>
        </w:rPr>
      </w:pPr>
      <w:bookmarkStart w:id="1292" w:name="_Toc462"/>
      <w:r>
        <w:rPr>
          <w:rFonts w:hint="eastAsia" w:asciiTheme="minorEastAsia" w:hAnsiTheme="minorEastAsia" w:eastAsiaTheme="minorEastAsia" w:cstheme="minorEastAsia"/>
          <w:color w:val="auto"/>
          <w:highlight w:val="none"/>
          <w:lang w:val="en-US" w:eastAsia="zh-CN"/>
        </w:rPr>
        <w:t>工程量清单</w:t>
      </w:r>
      <w:bookmarkEnd w:id="1292"/>
    </w:p>
    <w:p w14:paraId="5767261E">
      <w:pPr>
        <w:pStyle w:val="35"/>
        <w:numPr>
          <w:ilvl w:val="0"/>
          <w:numId w:val="10"/>
        </w:numP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编制依据</w:t>
      </w:r>
      <w:r>
        <w:rPr>
          <w:rFonts w:hint="eastAsia" w:asciiTheme="minorEastAsia" w:hAnsiTheme="minorEastAsia" w:eastAsiaTheme="minorEastAsia" w:cstheme="minorEastAsia"/>
          <w:color w:val="auto"/>
          <w:sz w:val="24"/>
          <w:szCs w:val="24"/>
          <w:highlight w:val="none"/>
          <w:lang w:eastAsia="zh-CN"/>
        </w:rPr>
        <w:t>：</w:t>
      </w:r>
    </w:p>
    <w:p w14:paraId="68FFEF5B">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1.《(GB50500-2013)建设工程工程量清单计价规范》广西壮族自治区实施细则;</w:t>
      </w:r>
    </w:p>
    <w:p w14:paraId="602239E4">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2.《(GB50584 50862-2013)建设工程工程量计算规范》广西壮族自治区实施细则(修订版);</w:t>
      </w:r>
    </w:p>
    <w:p w14:paraId="45E7164C">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3.2022年版《广西壮族自治区市政工程消耗量定额》;</w:t>
      </w:r>
    </w:p>
    <w:p w14:paraId="66A73C7F">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4.综合单价采取了全费用价格形式;</w:t>
      </w:r>
    </w:p>
    <w:p w14:paraId="2E102211">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5.建设单位提供的设计图纸及相关的标准、规范、技术资料;</w:t>
      </w:r>
    </w:p>
    <w:p w14:paraId="09CC7B3E">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6.广西现行的其他计价计量规定;</w:t>
      </w:r>
    </w:p>
    <w:p w14:paraId="563310E7">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7.工程设计施工图和相关编制要求;</w:t>
      </w:r>
    </w:p>
    <w:p w14:paraId="0F92A63F">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四、其他:</w:t>
      </w:r>
    </w:p>
    <w:p w14:paraId="5E87B27D">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1.本工程预算软件采用广龙计价23.0.2专业版</w:t>
      </w:r>
    </w:p>
    <w:p w14:paraId="4866A3DA">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2.本预算价格各项取费费率按相关规定计取，按一般税法计税。</w:t>
      </w:r>
    </w:p>
    <w:p w14:paraId="09065F58">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3.本工程材料价采用《贺州市建设工程造价信息》2025年第1期信息价含税价，信息价中没有的材料价参考广西其它城市造价信息或市场询价。</w:t>
      </w:r>
    </w:p>
    <w:p w14:paraId="739930B4">
      <w:pPr>
        <w:pStyle w:val="1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4.本预算用砂均按机制砂考虑、水泥用袋装、混凝土采用现场拌制。</w:t>
      </w:r>
    </w:p>
    <w:p w14:paraId="5F7AFACA">
      <w:pPr>
        <w:pStyle w:val="1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5.根据桂建价(2024)2 号《自治区住房城乡建设厅关于进一步明确广西壮族自治区房屋建筑和市政基础设施工程安全生产责仟保险费计价规定的通知》，本项目安全生产责任保险费暂估价为3200.06元;</w:t>
      </w:r>
    </w:p>
    <w:p w14:paraId="278FEC4D">
      <w:pPr>
        <w:pStyle w:val="13"/>
        <w:rPr>
          <w:rFonts w:hint="eastAsia" w:asciiTheme="minorEastAsia" w:hAnsiTheme="minorEastAsia" w:eastAsiaTheme="minorEastAsia" w:cstheme="minorEastAsia"/>
          <w:color w:val="auto"/>
          <w:sz w:val="32"/>
          <w:szCs w:val="32"/>
          <w:highlight w:val="none"/>
        </w:rPr>
      </w:pPr>
    </w:p>
    <w:bookmarkEnd w:id="1290"/>
    <w:bookmarkEnd w:id="1291"/>
    <w:p w14:paraId="75FB590F">
      <w:pPr>
        <w:rPr>
          <w:rFonts w:hint="eastAsia" w:asciiTheme="minorEastAsia" w:hAnsiTheme="minorEastAsia" w:eastAsiaTheme="minorEastAsia" w:cstheme="minorEastAsia"/>
          <w:b/>
          <w:color w:val="auto"/>
          <w:sz w:val="32"/>
          <w:szCs w:val="32"/>
          <w:highlight w:val="none"/>
          <w:lang w:val="en-US" w:eastAsia="zh-CN"/>
        </w:rPr>
      </w:pPr>
      <w:r>
        <w:rPr>
          <w:rFonts w:hint="eastAsia" w:asciiTheme="minorEastAsia" w:hAnsiTheme="minorEastAsia" w:eastAsiaTheme="minorEastAsia" w:cstheme="minorEastAsia"/>
          <w:b/>
          <w:color w:val="auto"/>
          <w:sz w:val="32"/>
          <w:szCs w:val="32"/>
          <w:highlight w:val="none"/>
          <w:lang w:val="en-US" w:eastAsia="zh-CN"/>
        </w:rPr>
        <w:br w:type="page"/>
      </w:r>
    </w:p>
    <w:p w14:paraId="0E851CEE">
      <w:pPr>
        <w:pStyle w:val="2"/>
        <w:bidi w:val="0"/>
        <w:jc w:val="center"/>
        <w:rPr>
          <w:rFonts w:hint="eastAsia" w:asciiTheme="minorEastAsia" w:hAnsiTheme="minorEastAsia" w:eastAsiaTheme="minorEastAsia" w:cstheme="minorEastAsia"/>
          <w:color w:val="auto"/>
          <w:highlight w:val="none"/>
          <w:lang w:val="en-US" w:eastAsia="zh-CN"/>
        </w:rPr>
      </w:pPr>
      <w:bookmarkStart w:id="1293" w:name="_Toc21503"/>
    </w:p>
    <w:p w14:paraId="426EB6C1">
      <w:pPr>
        <w:pStyle w:val="2"/>
        <w:bidi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val="en-US" w:eastAsia="zh-CN"/>
        </w:rPr>
        <w:t xml:space="preserve">第五章 </w:t>
      </w:r>
      <w:r>
        <w:rPr>
          <w:rFonts w:hint="eastAsia" w:asciiTheme="minorEastAsia" w:hAnsiTheme="minorEastAsia" w:eastAsiaTheme="minorEastAsia" w:cstheme="minorEastAsia"/>
          <w:color w:val="auto"/>
          <w:highlight w:val="none"/>
        </w:rPr>
        <w:t xml:space="preserve"> 图纸</w:t>
      </w:r>
      <w:bookmarkEnd w:id="1293"/>
    </w:p>
    <w:p w14:paraId="442D853C">
      <w:pPr>
        <w:numPr>
          <w:ilvl w:val="0"/>
          <w:numId w:val="0"/>
        </w:numPr>
        <w:spacing w:line="400" w:lineRule="exact"/>
        <w:ind w:leftChars="0"/>
        <w:jc w:val="both"/>
        <w:rPr>
          <w:rFonts w:hint="eastAsia" w:asciiTheme="minorEastAsia" w:hAnsiTheme="minorEastAsia" w:eastAsiaTheme="minorEastAsia" w:cstheme="minorEastAsia"/>
          <w:b/>
          <w:color w:val="auto"/>
          <w:sz w:val="32"/>
          <w:szCs w:val="32"/>
          <w:highlight w:val="none"/>
        </w:rPr>
      </w:pPr>
    </w:p>
    <w:p w14:paraId="14EF4F1C">
      <w:pPr>
        <w:numPr>
          <w:ilvl w:val="0"/>
          <w:numId w:val="0"/>
        </w:numPr>
        <w:spacing w:line="400" w:lineRule="exact"/>
        <w:ind w:leftChars="0"/>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w:t>
      </w:r>
      <w:r>
        <w:rPr>
          <w:rFonts w:ascii="宋体" w:hAnsi="宋体" w:eastAsia="宋体" w:cs="宋体"/>
          <w:b/>
          <w:bCs/>
          <w:spacing w:val="3"/>
          <w:sz w:val="35"/>
          <w:szCs w:val="35"/>
        </w:rPr>
        <w:t>另册发放</w:t>
      </w:r>
      <w:r>
        <w:rPr>
          <w:rFonts w:hint="eastAsia" w:asciiTheme="minorEastAsia" w:hAnsiTheme="minorEastAsia" w:eastAsiaTheme="minorEastAsia" w:cstheme="minorEastAsia"/>
          <w:b/>
          <w:color w:val="auto"/>
          <w:sz w:val="32"/>
          <w:szCs w:val="32"/>
          <w:highlight w:val="none"/>
        </w:rPr>
        <w:t>）</w:t>
      </w:r>
    </w:p>
    <w:p w14:paraId="177DBA92">
      <w:pPr>
        <w:spacing w:line="336" w:lineRule="auto"/>
        <w:ind w:right="-153" w:rightChars="-73"/>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bookmarkStart w:id="1294" w:name="_Toc24668"/>
      <w:bookmarkStart w:id="1295" w:name="_Toc430095345"/>
      <w:bookmarkStart w:id="1296" w:name="_Toc440877587"/>
    </w:p>
    <w:p w14:paraId="2B9E33D7">
      <w:pPr>
        <w:spacing w:line="336" w:lineRule="auto"/>
        <w:ind w:right="-153" w:rightChars="-73"/>
        <w:jc w:val="center"/>
        <w:rPr>
          <w:rFonts w:hint="eastAsia" w:asciiTheme="minorEastAsia" w:hAnsiTheme="minorEastAsia" w:eastAsiaTheme="minorEastAsia" w:cstheme="minorEastAsia"/>
          <w:color w:val="auto"/>
          <w:szCs w:val="21"/>
          <w:highlight w:val="none"/>
        </w:rPr>
      </w:pPr>
    </w:p>
    <w:p w14:paraId="7A6A4078">
      <w:pPr>
        <w:spacing w:line="336" w:lineRule="auto"/>
        <w:ind w:right="-153" w:rightChars="-73"/>
        <w:jc w:val="center"/>
        <w:rPr>
          <w:rStyle w:val="53"/>
          <w:rFonts w:hint="eastAsia" w:asciiTheme="minorEastAsia" w:hAnsiTheme="minorEastAsia" w:eastAsiaTheme="minorEastAsia" w:cstheme="minorEastAsia"/>
          <w:color w:val="auto"/>
          <w:highlight w:val="none"/>
        </w:rPr>
      </w:pPr>
    </w:p>
    <w:p w14:paraId="5DFCB863">
      <w:pPr>
        <w:spacing w:line="336" w:lineRule="auto"/>
        <w:ind w:right="-153" w:rightChars="-73"/>
        <w:jc w:val="center"/>
        <w:rPr>
          <w:rFonts w:hint="eastAsia" w:asciiTheme="minorEastAsia" w:hAnsiTheme="minorEastAsia" w:eastAsiaTheme="minorEastAsia" w:cstheme="minorEastAsia"/>
          <w:b/>
          <w:color w:val="auto"/>
          <w:sz w:val="32"/>
          <w:szCs w:val="32"/>
          <w:highlight w:val="none"/>
        </w:rPr>
      </w:pPr>
      <w:r>
        <w:rPr>
          <w:rStyle w:val="53"/>
          <w:rFonts w:hint="eastAsia" w:asciiTheme="minorEastAsia" w:hAnsiTheme="minorEastAsia" w:eastAsiaTheme="minorEastAsia" w:cstheme="minorEastAsia"/>
          <w:color w:val="auto"/>
          <w:highlight w:val="none"/>
        </w:rPr>
        <w:t>第六章  技术标准和要求</w:t>
      </w:r>
      <w:bookmarkEnd w:id="1294"/>
    </w:p>
    <w:p w14:paraId="323AA9FA">
      <w:pPr>
        <w:jc w:val="center"/>
        <w:outlineLvl w:val="0"/>
        <w:rPr>
          <w:rFonts w:hint="eastAsia" w:asciiTheme="minorEastAsia" w:hAnsiTheme="minorEastAsia" w:eastAsiaTheme="minorEastAsia" w:cstheme="minorEastAsia"/>
          <w:color w:val="auto"/>
          <w:sz w:val="24"/>
          <w:szCs w:val="24"/>
          <w:highlight w:val="none"/>
        </w:rPr>
      </w:pPr>
    </w:p>
    <w:p w14:paraId="5E876C0D">
      <w:pPr>
        <w:jc w:val="center"/>
        <w:outlineLvl w:val="0"/>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color w:val="auto"/>
          <w:sz w:val="24"/>
          <w:szCs w:val="24"/>
          <w:highlight w:val="none"/>
        </w:rPr>
        <w:t>本工程采用的技术规范采用现行施工规范、验评标准及强制性标准条文。</w:t>
      </w:r>
      <w:r>
        <w:rPr>
          <w:rFonts w:hint="eastAsia" w:asciiTheme="minorEastAsia" w:hAnsiTheme="minorEastAsia" w:eastAsiaTheme="minorEastAsia" w:cstheme="minorEastAsia"/>
          <w:b/>
          <w:color w:val="auto"/>
          <w:sz w:val="32"/>
          <w:szCs w:val="32"/>
          <w:highlight w:val="none"/>
        </w:rPr>
        <w:br w:type="page"/>
      </w:r>
      <w:bookmarkStart w:id="1297" w:name="_Toc13925"/>
    </w:p>
    <w:p w14:paraId="3607DF61">
      <w:pPr>
        <w:jc w:val="center"/>
        <w:outlineLvl w:val="0"/>
        <w:rPr>
          <w:rFonts w:hint="eastAsia" w:asciiTheme="minorEastAsia" w:hAnsiTheme="minorEastAsia" w:eastAsiaTheme="minorEastAsia" w:cstheme="minorEastAsia"/>
          <w:b/>
          <w:color w:val="auto"/>
          <w:sz w:val="32"/>
          <w:szCs w:val="32"/>
          <w:highlight w:val="none"/>
        </w:rPr>
      </w:pPr>
    </w:p>
    <w:p w14:paraId="7E9A1B7A">
      <w:pPr>
        <w:jc w:val="center"/>
        <w:outlineLvl w:val="0"/>
        <w:rPr>
          <w:rFonts w:hint="eastAsia" w:asciiTheme="minorEastAsia" w:hAnsiTheme="minorEastAsia" w:eastAsiaTheme="minorEastAsia" w:cstheme="minorEastAsia"/>
          <w:b/>
          <w:color w:val="auto"/>
          <w:kern w:val="44"/>
          <w:sz w:val="28"/>
          <w:szCs w:val="28"/>
          <w:highlight w:val="none"/>
        </w:rPr>
      </w:pPr>
      <w:r>
        <w:rPr>
          <w:rStyle w:val="53"/>
          <w:rFonts w:hint="eastAsia" w:asciiTheme="minorEastAsia" w:hAnsiTheme="minorEastAsia" w:eastAsiaTheme="minorEastAsia" w:cstheme="minorEastAsia"/>
          <w:color w:val="auto"/>
          <w:highlight w:val="none"/>
        </w:rPr>
        <w:t xml:space="preserve">第七章  </w:t>
      </w:r>
      <w:r>
        <w:rPr>
          <w:rStyle w:val="53"/>
          <w:rFonts w:hint="eastAsia" w:asciiTheme="minorEastAsia" w:hAnsiTheme="minorEastAsia" w:eastAsiaTheme="minorEastAsia" w:cstheme="minorEastAsia"/>
          <w:color w:val="auto"/>
          <w:highlight w:val="none"/>
          <w:lang w:eastAsia="zh-CN"/>
        </w:rPr>
        <w:t>《响应文件》</w:t>
      </w:r>
      <w:r>
        <w:rPr>
          <w:rStyle w:val="53"/>
          <w:rFonts w:hint="eastAsia" w:asciiTheme="minorEastAsia" w:hAnsiTheme="minorEastAsia" w:eastAsiaTheme="minorEastAsia" w:cstheme="minorEastAsia"/>
          <w:color w:val="auto"/>
          <w:highlight w:val="none"/>
        </w:rPr>
        <w:t>（格式）</w:t>
      </w:r>
      <w:bookmarkEnd w:id="1295"/>
      <w:bookmarkEnd w:id="1296"/>
      <w:bookmarkEnd w:id="1297"/>
    </w:p>
    <w:p w14:paraId="081A73DB">
      <w:pPr>
        <w:jc w:val="center"/>
        <w:rPr>
          <w:rFonts w:hint="eastAsia" w:asciiTheme="minorEastAsia" w:hAnsiTheme="minorEastAsia" w:eastAsiaTheme="minorEastAsia" w:cstheme="minorEastAsia"/>
          <w:b/>
          <w:color w:val="auto"/>
          <w:kern w:val="44"/>
          <w:sz w:val="28"/>
          <w:szCs w:val="28"/>
          <w:highlight w:val="none"/>
        </w:rPr>
      </w:pPr>
    </w:p>
    <w:p w14:paraId="7A42AF37">
      <w:pPr>
        <w:jc w:val="center"/>
        <w:rPr>
          <w:rFonts w:hint="eastAsia" w:asciiTheme="minorEastAsia" w:hAnsiTheme="minorEastAsia" w:eastAsiaTheme="minorEastAsia" w:cstheme="minorEastAsia"/>
          <w:b/>
          <w:color w:val="auto"/>
          <w:kern w:val="44"/>
          <w:sz w:val="28"/>
          <w:szCs w:val="28"/>
          <w:highlight w:val="none"/>
        </w:rPr>
      </w:pPr>
    </w:p>
    <w:p w14:paraId="1FAE1A17">
      <w:pPr>
        <w:jc w:val="center"/>
        <w:rPr>
          <w:rFonts w:hint="eastAsia" w:asciiTheme="minorEastAsia" w:hAnsiTheme="minorEastAsia" w:eastAsiaTheme="minorEastAsia" w:cstheme="minorEastAsia"/>
          <w:b/>
          <w:color w:val="auto"/>
          <w:kern w:val="44"/>
          <w:sz w:val="28"/>
          <w:szCs w:val="28"/>
          <w:highlight w:val="none"/>
        </w:rPr>
      </w:pPr>
    </w:p>
    <w:p w14:paraId="6B63132A">
      <w:pPr>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rPr>
        <w:t>第一节 封面格式</w:t>
      </w:r>
    </w:p>
    <w:p w14:paraId="16D2DE8F">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snapToGrid w:val="0"/>
          <w:color w:val="auto"/>
          <w:kern w:val="0"/>
          <w:sz w:val="24"/>
          <w:szCs w:val="24"/>
          <w:highlight w:val="none"/>
        </w:rPr>
      </w:pPr>
    </w:p>
    <w:p w14:paraId="60645685">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snapToGrid w:val="0"/>
          <w:color w:val="auto"/>
          <w:kern w:val="0"/>
          <w:sz w:val="24"/>
          <w:szCs w:val="24"/>
          <w:highlight w:val="none"/>
        </w:rPr>
      </w:pPr>
    </w:p>
    <w:p w14:paraId="39DB085A">
      <w:pPr>
        <w:widowControl/>
        <w:kinsoku w:val="0"/>
        <w:autoSpaceDE w:val="0"/>
        <w:autoSpaceDN w:val="0"/>
        <w:adjustRightInd w:val="0"/>
        <w:snapToGrid w:val="0"/>
        <w:spacing w:before="143" w:line="240" w:lineRule="auto"/>
        <w:ind w:firstLine="3812" w:firstLineChars="1664"/>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26"/>
          <w:kern w:val="0"/>
          <w:sz w:val="28"/>
          <w:szCs w:val="28"/>
          <w:highlight w:val="none"/>
        </w:rPr>
        <w:t>响</w:t>
      </w: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应</w:t>
      </w: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文</w:t>
      </w:r>
      <w:r>
        <w:rPr>
          <w:rFonts w:hint="eastAsia" w:asciiTheme="minorEastAsia" w:hAnsiTheme="minorEastAsia" w:eastAsiaTheme="minorEastAsia" w:cstheme="minorEastAsia"/>
          <w:b/>
          <w:bCs/>
          <w:snapToGrid w:val="0"/>
          <w:color w:val="auto"/>
          <w:spacing w:val="14"/>
          <w:kern w:val="0"/>
          <w:sz w:val="28"/>
          <w:szCs w:val="28"/>
          <w:highlight w:val="none"/>
        </w:rPr>
        <w:t xml:space="preserve">  </w:t>
      </w:r>
      <w:r>
        <w:rPr>
          <w:rFonts w:hint="eastAsia" w:asciiTheme="minorEastAsia" w:hAnsiTheme="minorEastAsia" w:eastAsiaTheme="minorEastAsia" w:cstheme="minorEastAsia"/>
          <w:b/>
          <w:bCs/>
          <w:snapToGrid w:val="0"/>
          <w:color w:val="auto"/>
          <w:spacing w:val="-26"/>
          <w:kern w:val="0"/>
          <w:sz w:val="28"/>
          <w:szCs w:val="28"/>
          <w:highlight w:val="none"/>
        </w:rPr>
        <w:t>件</w:t>
      </w:r>
    </w:p>
    <w:p w14:paraId="64FAD5F9">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23EEB4DE">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007C71E3">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68A48F03">
      <w:pPr>
        <w:widowControl/>
        <w:kinsoku w:val="0"/>
        <w:autoSpaceDE w:val="0"/>
        <w:autoSpaceDN w:val="0"/>
        <w:adjustRightInd w:val="0"/>
        <w:snapToGrid w:val="0"/>
        <w:spacing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737BB0B4">
      <w:pPr>
        <w:widowControl/>
        <w:kinsoku w:val="0"/>
        <w:autoSpaceDE w:val="0"/>
        <w:autoSpaceDN w:val="0"/>
        <w:adjustRightInd w:val="0"/>
        <w:snapToGrid w:val="0"/>
        <w:spacing w:before="104" w:line="240" w:lineRule="auto"/>
        <w:ind w:firstLine="655"/>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4"/>
          <w:kern w:val="0"/>
          <w:position w:val="42"/>
          <w:sz w:val="28"/>
          <w:szCs w:val="28"/>
          <w:highlight w:val="none"/>
        </w:rPr>
        <w:t>项目名称：</w:t>
      </w:r>
    </w:p>
    <w:p w14:paraId="5D8928E5">
      <w:pPr>
        <w:widowControl/>
        <w:kinsoku w:val="0"/>
        <w:autoSpaceDE w:val="0"/>
        <w:autoSpaceDN w:val="0"/>
        <w:adjustRightInd w:val="0"/>
        <w:snapToGrid w:val="0"/>
        <w:spacing w:before="1" w:line="240" w:lineRule="auto"/>
        <w:ind w:firstLine="655"/>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4"/>
          <w:kern w:val="0"/>
          <w:sz w:val="28"/>
          <w:szCs w:val="28"/>
          <w:highlight w:val="none"/>
        </w:rPr>
        <w:t>项目编号：</w:t>
      </w:r>
    </w:p>
    <w:p w14:paraId="02DF0A56">
      <w:pPr>
        <w:widowControl/>
        <w:kinsoku w:val="0"/>
        <w:autoSpaceDE w:val="0"/>
        <w:autoSpaceDN w:val="0"/>
        <w:adjustRightInd w:val="0"/>
        <w:snapToGrid w:val="0"/>
        <w:spacing w:before="104" w:line="240" w:lineRule="auto"/>
        <w:jc w:val="left"/>
        <w:textAlignment w:val="baseline"/>
        <w:rPr>
          <w:rFonts w:hint="eastAsia" w:asciiTheme="minorEastAsia" w:hAnsiTheme="minorEastAsia" w:eastAsiaTheme="minorEastAsia" w:cstheme="minorEastAsia"/>
          <w:b/>
          <w:bCs/>
          <w:snapToGrid w:val="0"/>
          <w:color w:val="auto"/>
          <w:kern w:val="0"/>
          <w:sz w:val="28"/>
          <w:szCs w:val="28"/>
          <w:highlight w:val="none"/>
        </w:rPr>
      </w:pPr>
    </w:p>
    <w:p w14:paraId="22EA1A9E">
      <w:pPr>
        <w:widowControl/>
        <w:kinsoku w:val="0"/>
        <w:autoSpaceDE w:val="0"/>
        <w:autoSpaceDN w:val="0"/>
        <w:adjustRightInd w:val="0"/>
        <w:snapToGrid w:val="0"/>
        <w:spacing w:before="104" w:line="240" w:lineRule="auto"/>
        <w:ind w:left="654"/>
        <w:jc w:val="left"/>
        <w:textAlignment w:val="baseline"/>
        <w:rPr>
          <w:rFonts w:hint="eastAsia" w:asciiTheme="minorEastAsia" w:hAnsiTheme="minorEastAsia" w:eastAsiaTheme="minorEastAsia" w:cstheme="minorEastAsia"/>
          <w:b/>
          <w:bCs/>
          <w:snapToGrid w:val="0"/>
          <w:color w:val="auto"/>
          <w:spacing w:val="-12"/>
          <w:kern w:val="0"/>
          <w:sz w:val="28"/>
          <w:szCs w:val="28"/>
          <w:highlight w:val="none"/>
          <w:lang w:val="en-US" w:eastAsia="zh-CN"/>
        </w:rPr>
      </w:pPr>
      <w:r>
        <w:rPr>
          <w:rFonts w:hint="eastAsia" w:asciiTheme="minorEastAsia" w:hAnsiTheme="minorEastAsia" w:eastAsiaTheme="minorEastAsia" w:cstheme="minorEastAsia"/>
          <w:b/>
          <w:bCs/>
          <w:snapToGrid w:val="0"/>
          <w:color w:val="auto"/>
          <w:spacing w:val="-12"/>
          <w:kern w:val="0"/>
          <w:sz w:val="28"/>
          <w:szCs w:val="28"/>
          <w:highlight w:val="none"/>
        </w:rPr>
        <w:t>供应商名称：</w:t>
      </w:r>
      <w:r>
        <w:rPr>
          <w:rFonts w:hint="eastAsia" w:asciiTheme="minorEastAsia" w:hAnsiTheme="minorEastAsia" w:eastAsiaTheme="minorEastAsia" w:cstheme="minorEastAsia"/>
          <w:b/>
          <w:bCs/>
          <w:snapToGrid w:val="0"/>
          <w:color w:val="auto"/>
          <w:spacing w:val="-12"/>
          <w:kern w:val="0"/>
          <w:sz w:val="28"/>
          <w:szCs w:val="28"/>
          <w:highlight w:val="none"/>
          <w:lang w:val="en-US" w:eastAsia="zh-CN"/>
        </w:rPr>
        <w:t xml:space="preserve">                  （公章或电子CA签章）</w:t>
      </w:r>
    </w:p>
    <w:p w14:paraId="36813F9B">
      <w:pPr>
        <w:widowControl/>
        <w:kinsoku w:val="0"/>
        <w:autoSpaceDE w:val="0"/>
        <w:autoSpaceDN w:val="0"/>
        <w:adjustRightInd w:val="0"/>
        <w:snapToGrid w:val="0"/>
        <w:spacing w:before="104" w:line="240" w:lineRule="auto"/>
        <w:ind w:left="654"/>
        <w:jc w:val="left"/>
        <w:textAlignment w:val="baseline"/>
        <w:rPr>
          <w:rFonts w:hint="eastAsia" w:asciiTheme="minorEastAsia" w:hAnsiTheme="minorEastAsia" w:eastAsiaTheme="minorEastAsia" w:cstheme="minorEastAsia"/>
          <w:b/>
          <w:bCs/>
          <w:snapToGrid w:val="0"/>
          <w:color w:val="auto"/>
          <w:spacing w:val="-12"/>
          <w:kern w:val="0"/>
          <w:sz w:val="28"/>
          <w:szCs w:val="28"/>
          <w:highlight w:val="none"/>
          <w:lang w:val="en-US" w:eastAsia="zh-CN"/>
        </w:rPr>
      </w:pPr>
    </w:p>
    <w:p w14:paraId="1AF3570E">
      <w:pPr>
        <w:keepNext/>
        <w:keepLines/>
        <w:kinsoku w:val="0"/>
        <w:autoSpaceDE w:val="0"/>
        <w:autoSpaceDN w:val="0"/>
        <w:adjustRightInd w:val="0"/>
        <w:snapToGrid w:val="0"/>
        <w:spacing w:before="280" w:after="290" w:line="376" w:lineRule="auto"/>
        <w:jc w:val="left"/>
        <w:textAlignment w:val="baseline"/>
        <w:outlineLvl w:val="9"/>
        <w:rPr>
          <w:rFonts w:hint="eastAsia" w:asciiTheme="minorEastAsia" w:hAnsiTheme="minorEastAsia" w:eastAsiaTheme="minorEastAsia" w:cstheme="minorEastAsia"/>
          <w:b/>
          <w:bCs/>
          <w:snapToGrid w:val="0"/>
          <w:color w:val="auto"/>
          <w:kern w:val="0"/>
          <w:sz w:val="28"/>
          <w:szCs w:val="28"/>
          <w:highlight w:val="none"/>
        </w:rPr>
      </w:pPr>
    </w:p>
    <w:p w14:paraId="26FC503B">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spacing w:val="-2"/>
          <w:kern w:val="0"/>
          <w:sz w:val="28"/>
          <w:szCs w:val="28"/>
          <w:highlight w:val="none"/>
        </w:rPr>
      </w:pPr>
      <w:r>
        <w:rPr>
          <w:rFonts w:hint="eastAsia" w:asciiTheme="minorEastAsia" w:hAnsiTheme="minorEastAsia" w:eastAsiaTheme="minorEastAsia" w:cstheme="minorEastAsia"/>
          <w:b/>
          <w:bCs/>
          <w:snapToGrid w:val="0"/>
          <w:color w:val="auto"/>
          <w:spacing w:val="-2"/>
          <w:kern w:val="0"/>
          <w:sz w:val="28"/>
          <w:szCs w:val="28"/>
          <w:highlight w:val="none"/>
        </w:rPr>
        <w:t>首次响应文件提交截止时间前不得解密</w:t>
      </w:r>
    </w:p>
    <w:p w14:paraId="74DA20EC">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spacing w:val="-2"/>
          <w:kern w:val="0"/>
          <w:sz w:val="28"/>
          <w:szCs w:val="28"/>
          <w:highlight w:val="none"/>
        </w:rPr>
      </w:pPr>
    </w:p>
    <w:p w14:paraId="51F4D8C5">
      <w:pPr>
        <w:widowControl/>
        <w:kinsoku w:val="0"/>
        <w:autoSpaceDE w:val="0"/>
        <w:autoSpaceDN w:val="0"/>
        <w:adjustRightInd w:val="0"/>
        <w:snapToGrid w:val="0"/>
        <w:spacing w:before="2" w:line="240" w:lineRule="auto"/>
        <w:ind w:left="3580" w:right="1562" w:hanging="1676"/>
        <w:jc w:val="left"/>
        <w:textAlignment w:val="baseline"/>
        <w:rPr>
          <w:rFonts w:hint="eastAsia" w:asciiTheme="minorEastAsia" w:hAnsiTheme="minorEastAsia" w:eastAsiaTheme="minorEastAsia" w:cstheme="minorEastAsia"/>
          <w:b/>
          <w:bCs/>
          <w:snapToGrid w:val="0"/>
          <w:color w:val="auto"/>
          <w:kern w:val="0"/>
          <w:sz w:val="28"/>
          <w:szCs w:val="28"/>
          <w:highlight w:val="none"/>
        </w:rPr>
      </w:pPr>
      <w:r>
        <w:rPr>
          <w:rFonts w:hint="eastAsia" w:asciiTheme="minorEastAsia" w:hAnsiTheme="minorEastAsia" w:eastAsiaTheme="minorEastAsia" w:cstheme="minorEastAsia"/>
          <w:b/>
          <w:bCs/>
          <w:snapToGrid w:val="0"/>
          <w:color w:val="auto"/>
          <w:spacing w:val="15"/>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年</w:t>
      </w:r>
      <w:r>
        <w:rPr>
          <w:rFonts w:hint="eastAsia" w:asciiTheme="minorEastAsia" w:hAnsiTheme="minorEastAsia" w:eastAsiaTheme="minorEastAsia" w:cstheme="minorEastAsia"/>
          <w:b/>
          <w:bCs/>
          <w:snapToGrid w:val="0"/>
          <w:color w:val="auto"/>
          <w:spacing w:val="7"/>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月</w:t>
      </w:r>
      <w:r>
        <w:rPr>
          <w:rFonts w:hint="eastAsia" w:asciiTheme="minorEastAsia" w:hAnsiTheme="minorEastAsia" w:eastAsiaTheme="minorEastAsia" w:cstheme="minorEastAsia"/>
          <w:b/>
          <w:bCs/>
          <w:snapToGrid w:val="0"/>
          <w:color w:val="auto"/>
          <w:spacing w:val="16"/>
          <w:kern w:val="0"/>
          <w:sz w:val="28"/>
          <w:szCs w:val="28"/>
          <w:highlight w:val="none"/>
        </w:rPr>
        <w:t xml:space="preserve">    </w:t>
      </w:r>
      <w:r>
        <w:rPr>
          <w:rFonts w:hint="eastAsia" w:asciiTheme="minorEastAsia" w:hAnsiTheme="minorEastAsia" w:eastAsiaTheme="minorEastAsia" w:cstheme="minorEastAsia"/>
          <w:b/>
          <w:bCs/>
          <w:snapToGrid w:val="0"/>
          <w:color w:val="auto"/>
          <w:spacing w:val="-14"/>
          <w:kern w:val="0"/>
          <w:sz w:val="28"/>
          <w:szCs w:val="28"/>
          <w:highlight w:val="none"/>
        </w:rPr>
        <w:t>日</w:t>
      </w:r>
    </w:p>
    <w:p w14:paraId="7346C76D">
      <w:pPr>
        <w:spacing w:line="240" w:lineRule="auto"/>
        <w:rPr>
          <w:rFonts w:hint="eastAsia" w:asciiTheme="minorEastAsia" w:hAnsiTheme="minorEastAsia" w:eastAsiaTheme="minorEastAsia" w:cstheme="minorEastAsia"/>
          <w:b/>
          <w:bCs/>
          <w:color w:val="auto"/>
          <w:sz w:val="28"/>
          <w:szCs w:val="28"/>
          <w:highlight w:val="none"/>
        </w:rPr>
        <w:sectPr>
          <w:headerReference r:id="rId8" w:type="default"/>
          <w:footerReference r:id="rId9" w:type="default"/>
          <w:pgSz w:w="11906" w:h="16838"/>
          <w:pgMar w:top="850" w:right="850" w:bottom="850" w:left="1134" w:header="704" w:footer="952" w:gutter="0"/>
          <w:pgNumType w:fmt="decimal" w:start="1"/>
          <w:cols w:space="720" w:num="1"/>
        </w:sectPr>
      </w:pPr>
    </w:p>
    <w:p w14:paraId="53E09A64">
      <w:pPr>
        <w:jc w:val="both"/>
        <w:rPr>
          <w:rFonts w:hint="eastAsia" w:asciiTheme="minorEastAsia" w:hAnsiTheme="minorEastAsia" w:eastAsiaTheme="minorEastAsia" w:cstheme="minorEastAsia"/>
          <w:color w:val="auto"/>
          <w:sz w:val="28"/>
          <w:szCs w:val="28"/>
          <w:highlight w:val="none"/>
          <w:u w:val="single"/>
        </w:rPr>
      </w:pPr>
    </w:p>
    <w:p w14:paraId="799DC3A6">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 xml:space="preserve">第二节  </w:t>
      </w:r>
      <w:r>
        <w:rPr>
          <w:rFonts w:hint="eastAsia" w:asciiTheme="minorEastAsia" w:hAnsiTheme="minorEastAsia" w:eastAsiaTheme="minorEastAsia" w:cstheme="minorEastAsia"/>
          <w:b/>
          <w:color w:val="auto"/>
          <w:kern w:val="44"/>
          <w:sz w:val="28"/>
          <w:szCs w:val="28"/>
          <w:highlight w:val="none"/>
        </w:rPr>
        <w:t>资格证明文件格式</w:t>
      </w:r>
    </w:p>
    <w:p w14:paraId="146B24A5">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2AD40300">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110D878A">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7D71C62C">
      <w:pPr>
        <w:pStyle w:val="35"/>
        <w:rPr>
          <w:rFonts w:hint="eastAsia" w:asciiTheme="minorEastAsia" w:hAnsiTheme="minorEastAsia" w:eastAsiaTheme="minorEastAsia" w:cstheme="minorEastAsia"/>
          <w:color w:val="auto"/>
          <w:highlight w:val="none"/>
        </w:rPr>
      </w:pPr>
    </w:p>
    <w:p w14:paraId="34EBE8E8">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w:t>
      </w:r>
      <w:r>
        <w:rPr>
          <w:rFonts w:hint="eastAsia" w:asciiTheme="minorEastAsia" w:hAnsiTheme="minorEastAsia" w:eastAsiaTheme="minorEastAsia" w:cstheme="minorEastAsia"/>
          <w:snapToGrid w:val="0"/>
          <w:color w:val="auto"/>
          <w:spacing w:val="-2"/>
          <w:kern w:val="0"/>
          <w:sz w:val="24"/>
          <w:szCs w:val="24"/>
          <w:highlight w:val="none"/>
          <w:lang w:val="en-US" w:eastAsia="zh-CN"/>
        </w:rPr>
        <w:t>响应</w:t>
      </w:r>
      <w:r>
        <w:rPr>
          <w:rFonts w:hint="eastAsia" w:asciiTheme="minorEastAsia" w:hAnsiTheme="minorEastAsia" w:eastAsiaTheme="minorEastAsia" w:cstheme="minorEastAsia"/>
          <w:snapToGrid w:val="0"/>
          <w:color w:val="auto"/>
          <w:spacing w:val="-2"/>
          <w:kern w:val="0"/>
          <w:sz w:val="24"/>
          <w:szCs w:val="24"/>
          <w:highlight w:val="none"/>
        </w:rPr>
        <w:t>文件</w:t>
      </w:r>
    </w:p>
    <w:p w14:paraId="2905B5E1">
      <w:pPr>
        <w:jc w:val="both"/>
        <w:rPr>
          <w:rFonts w:hint="eastAsia" w:asciiTheme="minorEastAsia" w:hAnsiTheme="minorEastAsia" w:eastAsiaTheme="minorEastAsia" w:cstheme="minorEastAsia"/>
          <w:color w:val="auto"/>
          <w:sz w:val="28"/>
          <w:szCs w:val="28"/>
          <w:highlight w:val="none"/>
          <w:u w:val="single"/>
        </w:rPr>
      </w:pPr>
    </w:p>
    <w:p w14:paraId="1B8C6197">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资  格  证  明  文  件（封面）</w:t>
      </w:r>
    </w:p>
    <w:p w14:paraId="1BD3AE89">
      <w:pPr>
        <w:jc w:val="center"/>
        <w:rPr>
          <w:rFonts w:hint="eastAsia" w:asciiTheme="minorEastAsia" w:hAnsiTheme="minorEastAsia" w:eastAsiaTheme="minorEastAsia" w:cstheme="minorEastAsia"/>
          <w:b/>
          <w:bCs/>
          <w:color w:val="auto"/>
          <w:sz w:val="28"/>
          <w:szCs w:val="28"/>
          <w:highlight w:val="none"/>
        </w:rPr>
      </w:pPr>
    </w:p>
    <w:p w14:paraId="30FBDBC4">
      <w:pPr>
        <w:jc w:val="center"/>
        <w:rPr>
          <w:rFonts w:hint="eastAsia" w:asciiTheme="minorEastAsia" w:hAnsiTheme="minorEastAsia" w:eastAsiaTheme="minorEastAsia" w:cstheme="minorEastAsia"/>
          <w:b/>
          <w:bCs/>
          <w:color w:val="auto"/>
          <w:sz w:val="28"/>
          <w:szCs w:val="28"/>
          <w:highlight w:val="none"/>
        </w:rPr>
      </w:pPr>
    </w:p>
    <w:p w14:paraId="7BBEAA58">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14:paraId="696090DC">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14:paraId="048BD98C">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6509FAE4">
      <w:pPr>
        <w:pStyle w:val="35"/>
        <w:rPr>
          <w:rFonts w:hint="eastAsia" w:asciiTheme="minorEastAsia" w:hAnsiTheme="minorEastAsia" w:eastAsiaTheme="minorEastAsia" w:cstheme="minorEastAsia"/>
          <w:color w:val="auto"/>
          <w:highlight w:val="none"/>
        </w:rPr>
      </w:pPr>
    </w:p>
    <w:p w14:paraId="3DE6B1E4">
      <w:pPr>
        <w:jc w:val="center"/>
        <w:rPr>
          <w:rFonts w:hint="eastAsia" w:asciiTheme="minorEastAsia" w:hAnsiTheme="minorEastAsia" w:eastAsiaTheme="minorEastAsia" w:cstheme="minorEastAsia"/>
          <w:b/>
          <w:bCs/>
          <w:color w:val="auto"/>
          <w:sz w:val="28"/>
          <w:szCs w:val="28"/>
          <w:highlight w:val="none"/>
        </w:rPr>
      </w:pPr>
    </w:p>
    <w:p w14:paraId="714EC5FF">
      <w:pPr>
        <w:rPr>
          <w:rFonts w:hint="eastAsia" w:asciiTheme="minorEastAsia" w:hAnsiTheme="minorEastAsia" w:eastAsiaTheme="minorEastAsia" w:cstheme="minorEastAsia"/>
          <w:b/>
          <w:bCs/>
          <w:color w:val="auto"/>
          <w:sz w:val="28"/>
          <w:szCs w:val="28"/>
          <w:highlight w:val="none"/>
        </w:rPr>
      </w:pPr>
    </w:p>
    <w:p w14:paraId="50E6BD34">
      <w:pPr>
        <w:rPr>
          <w:rFonts w:hint="eastAsia" w:asciiTheme="minorEastAsia" w:hAnsiTheme="minorEastAsia" w:eastAsiaTheme="minorEastAsia" w:cstheme="minorEastAsia"/>
          <w:b/>
          <w:bCs/>
          <w:color w:val="auto"/>
          <w:sz w:val="28"/>
          <w:szCs w:val="28"/>
          <w:highlight w:val="none"/>
        </w:rPr>
      </w:pPr>
    </w:p>
    <w:p w14:paraId="20D0CF13">
      <w:pPr>
        <w:jc w:val="center"/>
        <w:rPr>
          <w:rFonts w:hint="eastAsia" w:asciiTheme="minorEastAsia" w:hAnsiTheme="minorEastAsia" w:eastAsiaTheme="minorEastAsia" w:cstheme="minorEastAsia"/>
          <w:b/>
          <w:bCs/>
          <w:color w:val="auto"/>
          <w:sz w:val="28"/>
          <w:szCs w:val="28"/>
          <w:highlight w:val="none"/>
        </w:rPr>
      </w:pPr>
    </w:p>
    <w:p w14:paraId="65282EC4">
      <w:pPr>
        <w:jc w:val="center"/>
        <w:rPr>
          <w:rFonts w:hint="eastAsia" w:asciiTheme="minorEastAsia" w:hAnsiTheme="minorEastAsia" w:eastAsiaTheme="minorEastAsia" w:cstheme="minorEastAsia"/>
          <w:b/>
          <w:bCs/>
          <w:color w:val="auto"/>
          <w:sz w:val="28"/>
          <w:szCs w:val="28"/>
          <w:highlight w:val="none"/>
        </w:rPr>
      </w:pPr>
    </w:p>
    <w:p w14:paraId="77332646">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lang w:eastAsia="zh-CN"/>
        </w:rPr>
        <w:t>电子CA签章</w:t>
      </w:r>
      <w:r>
        <w:rPr>
          <w:rFonts w:hint="eastAsia" w:asciiTheme="minorEastAsia" w:hAnsiTheme="minorEastAsia" w:eastAsiaTheme="minorEastAsia" w:cstheme="minorEastAsia"/>
          <w:b/>
          <w:bCs/>
          <w:color w:val="auto"/>
          <w:sz w:val="28"/>
          <w:szCs w:val="28"/>
          <w:highlight w:val="none"/>
        </w:rPr>
        <w:t>）</w:t>
      </w:r>
    </w:p>
    <w:p w14:paraId="3B73C945">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14:paraId="0E406625">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14:paraId="367F2B4C">
      <w:pPr>
        <w:spacing w:line="336" w:lineRule="auto"/>
        <w:ind w:right="-153" w:rightChars="-7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p>
    <w:p w14:paraId="2FB6B414">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w:t>
      </w:r>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录</w:t>
      </w:r>
    </w:p>
    <w:p w14:paraId="2E36F88A">
      <w:pPr>
        <w:spacing w:line="336" w:lineRule="auto"/>
        <w:ind w:right="-153" w:rightChars="-73"/>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自行编</w:t>
      </w:r>
      <w:r>
        <w:rPr>
          <w:rFonts w:hint="eastAsia" w:asciiTheme="minorEastAsia" w:hAnsiTheme="minorEastAsia" w:eastAsiaTheme="minorEastAsia" w:cstheme="minorEastAsia"/>
          <w:b w:val="0"/>
          <w:bCs/>
          <w:color w:val="auto"/>
          <w:sz w:val="24"/>
          <w:szCs w:val="24"/>
          <w:highlight w:val="none"/>
        </w:rPr>
        <w:t>页码）</w:t>
      </w:r>
    </w:p>
    <w:p w14:paraId="11A67A8F">
      <w:pPr>
        <w:spacing w:line="336" w:lineRule="auto"/>
        <w:ind w:right="-153" w:rightChars="-73"/>
        <w:jc w:val="both"/>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Cs/>
          <w:color w:val="auto"/>
          <w:kern w:val="2"/>
          <w:sz w:val="24"/>
          <w:szCs w:val="24"/>
          <w:highlight w:val="none"/>
          <w:lang w:val="en-US" w:eastAsia="zh-CN" w:bidi="ar-SA"/>
        </w:rPr>
        <w:t>（1）有效的法人营业执照副本扫描件；</w:t>
      </w:r>
    </w:p>
    <w:p w14:paraId="082B0E93">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（2）政府采购供应商信用承诺函；</w:t>
      </w:r>
    </w:p>
    <w:p w14:paraId="07FD6881">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（3）有效的资质证书副本扫描件；</w:t>
      </w:r>
    </w:p>
    <w:p w14:paraId="78B988DA">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（4）有效的安全生产许可证副本扫描件；</w:t>
      </w:r>
    </w:p>
    <w:p w14:paraId="1DF7B258">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val="en-US" w:eastAsia="zh-CN"/>
        </w:rPr>
        <w:fldChar w:fldCharType="begin"/>
      </w:r>
      <w:r>
        <w:rPr>
          <w:rFonts w:hint="eastAsia" w:asciiTheme="minorEastAsia" w:hAnsiTheme="minorEastAsia" w:eastAsiaTheme="minorEastAsia" w:cstheme="minorEastAsia"/>
          <w:bCs/>
          <w:color w:val="auto"/>
          <w:sz w:val="24"/>
          <w:szCs w:val="24"/>
          <w:highlight w:val="none"/>
          <w:lang w:val="en-US" w:eastAsia="zh-CN"/>
        </w:rPr>
        <w:instrText xml:space="preserve"> HYPERLINK "http://www.gxcic.net/HTMLFile/2013-02/shownews_167314.html" \t "http://ggzyjy.gxhz.gov.cn/page__gp_portal/_blank" </w:instrText>
      </w:r>
      <w:r>
        <w:rPr>
          <w:rFonts w:hint="eastAsia" w:asciiTheme="minorEastAsia" w:hAnsiTheme="minorEastAsia" w:eastAsiaTheme="minorEastAsia" w:cstheme="minorEastAsia"/>
          <w:bCs/>
          <w:color w:val="auto"/>
          <w:sz w:val="24"/>
          <w:szCs w:val="24"/>
          <w:highlight w:val="none"/>
          <w:lang w:val="en-US" w:eastAsia="zh-CN"/>
        </w:rPr>
        <w:fldChar w:fldCharType="separate"/>
      </w:r>
      <w:r>
        <w:rPr>
          <w:rFonts w:hint="eastAsia" w:asciiTheme="minorEastAsia" w:hAnsiTheme="minorEastAsia" w:eastAsiaTheme="minorEastAsia" w:cstheme="minorEastAsia"/>
          <w:bCs/>
          <w:color w:val="auto"/>
          <w:sz w:val="24"/>
          <w:szCs w:val="24"/>
          <w:highlight w:val="none"/>
          <w:lang w:val="en-US" w:eastAsia="zh-CN"/>
        </w:rPr>
        <w:t>拟派往本项目项目经理</w:t>
      </w:r>
      <w:r>
        <w:rPr>
          <w:rFonts w:hint="eastAsia" w:asciiTheme="minorEastAsia" w:hAnsiTheme="minorEastAsia" w:eastAsiaTheme="minorEastAsia" w:cstheme="minorEastAsia"/>
          <w:bCs/>
          <w:color w:val="auto"/>
          <w:sz w:val="24"/>
          <w:szCs w:val="24"/>
          <w:highlight w:val="none"/>
          <w:lang w:val="en-US" w:eastAsia="zh-CN"/>
        </w:rPr>
        <w:fldChar w:fldCharType="end"/>
      </w:r>
      <w:r>
        <w:rPr>
          <w:rFonts w:hint="eastAsia" w:asciiTheme="minorEastAsia" w:hAnsiTheme="minorEastAsia" w:eastAsiaTheme="minorEastAsia" w:cstheme="minorEastAsia"/>
          <w:bCs/>
          <w:color w:val="auto"/>
          <w:sz w:val="24"/>
          <w:szCs w:val="24"/>
          <w:highlight w:val="none"/>
          <w:lang w:val="en-US" w:eastAsia="zh-CN"/>
        </w:rPr>
        <w:t>具备市政工程专业注册建造师二级以上（含二级）执业资格和具备有效的《安全生产考核合格证书（B类）》【提供项目经理注册建造师执业资格证书和安全生产考核合格证书（B类）的扫描件】。</w:t>
      </w:r>
    </w:p>
    <w:p w14:paraId="4005277C">
      <w:pPr>
        <w:pStyle w:val="36"/>
        <w:ind w:left="0" w:leftChars="0" w:firstLine="0" w:firstLineChars="0"/>
        <w:rPr>
          <w:rFonts w:hint="eastAsia"/>
          <w:b w:val="0"/>
          <w:bCs w:val="0"/>
          <w:sz w:val="24"/>
          <w:szCs w:val="24"/>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bidi="ar-SA"/>
        </w:rPr>
        <w:t>（6）法定代表人身份证明书及授权委托书（委托代理时必须提供，同时加盖单位电子公章）</w:t>
      </w:r>
    </w:p>
    <w:p w14:paraId="1CC808B4">
      <w:pPr>
        <w:pStyle w:val="35"/>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（7）本项目属于专门面向中小企业采购的项目，中小企业声明函（或监狱企业的证明文件或残疾人福利性单位声明函）必须提供；</w:t>
      </w:r>
    </w:p>
    <w:p w14:paraId="4CF7B1D9">
      <w:pPr>
        <w:pStyle w:val="35"/>
        <w:rPr>
          <w:rFonts w:hint="eastAsia" w:asciiTheme="minorEastAsia" w:hAnsiTheme="minorEastAsia" w:eastAsiaTheme="minorEastAsia" w:cstheme="minorEastAsia"/>
          <w:b/>
          <w:bCs/>
          <w:color w:val="auto"/>
          <w:sz w:val="24"/>
          <w:highlight w:val="none"/>
        </w:rPr>
      </w:pPr>
    </w:p>
    <w:p w14:paraId="7069011F">
      <w:pPr>
        <w:pStyle w:val="36"/>
        <w:rPr>
          <w:rFonts w:hint="eastAsia" w:asciiTheme="minorEastAsia" w:hAnsiTheme="minorEastAsia" w:eastAsiaTheme="minorEastAsia" w:cstheme="minorEastAsia"/>
          <w:b/>
          <w:bCs/>
          <w:color w:val="auto"/>
          <w:sz w:val="24"/>
          <w:highlight w:val="none"/>
        </w:rPr>
      </w:pPr>
    </w:p>
    <w:p w14:paraId="0E1B205F">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正文格式自拟</w:t>
      </w:r>
    </w:p>
    <w:p w14:paraId="67492E4E">
      <w:pPr>
        <w:spacing w:line="48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bCs/>
          <w:color w:val="auto"/>
          <w:sz w:val="24"/>
          <w:highlight w:val="none"/>
        </w:rPr>
        <w:t>注：</w:t>
      </w:r>
      <w:r>
        <w:rPr>
          <w:rFonts w:hint="eastAsia" w:asciiTheme="minorEastAsia" w:hAnsiTheme="minorEastAsia" w:eastAsiaTheme="minorEastAsia" w:cstheme="minorEastAsia"/>
          <w:b/>
          <w:bCs/>
          <w:color w:val="auto"/>
          <w:sz w:val="24"/>
          <w:highlight w:val="none"/>
          <w:lang w:val="en-US" w:eastAsia="zh-CN"/>
        </w:rPr>
        <w:t>1.</w:t>
      </w:r>
      <w:r>
        <w:rPr>
          <w:rFonts w:hint="eastAsia" w:asciiTheme="minorEastAsia" w:hAnsiTheme="minorEastAsia" w:eastAsiaTheme="minorEastAsia" w:cstheme="minorEastAsia"/>
          <w:b/>
          <w:color w:val="auto"/>
          <w:sz w:val="24"/>
          <w:highlight w:val="none"/>
          <w:u w:val="single"/>
        </w:rPr>
        <w:t>上述材料缺少任何一项或任何一项无效均会被视为资格审查不合格，作无效磋商处理</w:t>
      </w:r>
      <w:r>
        <w:rPr>
          <w:rFonts w:hint="eastAsia" w:asciiTheme="minorEastAsia" w:hAnsiTheme="minorEastAsia" w:eastAsiaTheme="minorEastAsia" w:cstheme="minorEastAsia"/>
          <w:b/>
          <w:color w:val="auto"/>
          <w:sz w:val="24"/>
          <w:highlight w:val="none"/>
        </w:rPr>
        <w:t>。</w:t>
      </w:r>
    </w:p>
    <w:p w14:paraId="012BB9AB">
      <w:pPr>
        <w:spacing w:before="78" w:line="219" w:lineRule="auto"/>
        <w:rPr>
          <w:rFonts w:hint="eastAsia" w:asciiTheme="minorEastAsia" w:hAnsiTheme="minorEastAsia" w:eastAsiaTheme="minorEastAsia" w:cstheme="minorEastAsia"/>
          <w:b/>
          <w:color w:val="auto"/>
          <w:sz w:val="24"/>
          <w:highlight w:val="none"/>
          <w:u w:val="single"/>
          <w:lang w:val="en-US" w:eastAsia="zh-CN"/>
        </w:rPr>
      </w:pPr>
      <w:r>
        <w:rPr>
          <w:rFonts w:hint="eastAsia" w:asciiTheme="minorEastAsia" w:hAnsiTheme="minorEastAsia" w:eastAsiaTheme="minorEastAsia" w:cstheme="minorEastAsia"/>
          <w:b/>
          <w:color w:val="auto"/>
          <w:sz w:val="24"/>
          <w:highlight w:val="none"/>
          <w:u w:val="single"/>
          <w:lang w:val="en-US" w:eastAsia="zh-CN"/>
        </w:rPr>
        <w:t>以上材料属于复印件的扫描件的，必须加盖供应商电子公章，否则响应文件按无效响应处理。</w:t>
      </w:r>
    </w:p>
    <w:p w14:paraId="3A3A97F4">
      <w:pPr>
        <w:spacing w:before="78" w:line="219" w:lineRule="auto"/>
        <w:rPr>
          <w:rFonts w:hint="eastAsia" w:asciiTheme="minorEastAsia" w:hAnsiTheme="minorEastAsia" w:eastAsiaTheme="minorEastAsia" w:cstheme="minorEastAsia"/>
          <w:b/>
          <w:color w:val="auto"/>
          <w:sz w:val="24"/>
          <w:highlight w:val="none"/>
          <w:u w:val="single"/>
          <w:lang w:val="en-US" w:eastAsia="zh-CN"/>
        </w:rPr>
      </w:pPr>
    </w:p>
    <w:p w14:paraId="629173BB">
      <w:pPr>
        <w:spacing w:before="78" w:line="219" w:lineRule="auto"/>
        <w:rPr>
          <w:rFonts w:ascii="宋体" w:hAnsi="宋体" w:eastAsia="宋体" w:cs="宋体"/>
          <w:spacing w:val="4"/>
          <w:sz w:val="24"/>
          <w:szCs w:val="24"/>
        </w:rPr>
      </w:pPr>
    </w:p>
    <w:p w14:paraId="3A75EE3E">
      <w:pPr>
        <w:spacing w:before="78" w:line="219" w:lineRule="auto"/>
        <w:rPr>
          <w:rFonts w:ascii="宋体" w:hAnsi="宋体" w:eastAsia="宋体" w:cs="宋体"/>
          <w:spacing w:val="4"/>
          <w:sz w:val="24"/>
          <w:szCs w:val="24"/>
        </w:rPr>
      </w:pPr>
    </w:p>
    <w:p w14:paraId="070837D7">
      <w:pPr>
        <w:spacing w:before="78" w:line="219" w:lineRule="auto"/>
        <w:rPr>
          <w:rFonts w:ascii="宋体" w:hAnsi="宋体" w:eastAsia="宋体" w:cs="宋体"/>
          <w:spacing w:val="4"/>
          <w:sz w:val="24"/>
          <w:szCs w:val="24"/>
        </w:rPr>
      </w:pPr>
    </w:p>
    <w:p w14:paraId="35E773E6">
      <w:pPr>
        <w:spacing w:before="78" w:line="219" w:lineRule="auto"/>
        <w:rPr>
          <w:rFonts w:ascii="宋体" w:hAnsi="宋体" w:eastAsia="宋体" w:cs="宋体"/>
          <w:spacing w:val="4"/>
          <w:sz w:val="24"/>
          <w:szCs w:val="24"/>
        </w:rPr>
      </w:pPr>
    </w:p>
    <w:p w14:paraId="057689E4">
      <w:pPr>
        <w:spacing w:before="78" w:line="219" w:lineRule="auto"/>
        <w:rPr>
          <w:rFonts w:ascii="宋体" w:hAnsi="宋体" w:eastAsia="宋体" w:cs="宋体"/>
          <w:spacing w:val="4"/>
          <w:sz w:val="24"/>
          <w:szCs w:val="24"/>
        </w:rPr>
      </w:pPr>
    </w:p>
    <w:p w14:paraId="345ECB37">
      <w:pPr>
        <w:spacing w:before="78" w:line="219" w:lineRule="auto"/>
        <w:rPr>
          <w:rFonts w:ascii="宋体" w:hAnsi="宋体" w:eastAsia="宋体" w:cs="宋体"/>
          <w:spacing w:val="4"/>
          <w:sz w:val="24"/>
          <w:szCs w:val="24"/>
        </w:rPr>
      </w:pPr>
    </w:p>
    <w:p w14:paraId="642746E2">
      <w:pPr>
        <w:spacing w:before="78" w:line="219" w:lineRule="auto"/>
        <w:rPr>
          <w:rFonts w:ascii="宋体" w:hAnsi="宋体" w:eastAsia="宋体" w:cs="宋体"/>
          <w:spacing w:val="4"/>
          <w:sz w:val="24"/>
          <w:szCs w:val="24"/>
        </w:rPr>
      </w:pPr>
    </w:p>
    <w:p w14:paraId="6E5A613A">
      <w:pPr>
        <w:spacing w:before="78" w:line="219" w:lineRule="auto"/>
        <w:rPr>
          <w:rFonts w:ascii="宋体" w:hAnsi="宋体" w:eastAsia="宋体" w:cs="宋体"/>
          <w:spacing w:val="4"/>
          <w:sz w:val="24"/>
          <w:szCs w:val="24"/>
        </w:rPr>
      </w:pPr>
    </w:p>
    <w:p w14:paraId="36CD5D74">
      <w:pPr>
        <w:spacing w:before="78" w:line="219" w:lineRule="auto"/>
        <w:rPr>
          <w:rFonts w:ascii="宋体" w:hAnsi="宋体" w:eastAsia="宋体" w:cs="宋体"/>
          <w:spacing w:val="4"/>
          <w:sz w:val="24"/>
          <w:szCs w:val="24"/>
        </w:rPr>
      </w:pPr>
    </w:p>
    <w:p w14:paraId="53AD2800">
      <w:pPr>
        <w:spacing w:before="78" w:line="219" w:lineRule="auto"/>
        <w:rPr>
          <w:rFonts w:ascii="宋体" w:hAnsi="宋体" w:eastAsia="宋体" w:cs="宋体"/>
          <w:spacing w:val="4"/>
          <w:sz w:val="24"/>
          <w:szCs w:val="24"/>
        </w:rPr>
      </w:pPr>
    </w:p>
    <w:p w14:paraId="4921A25E">
      <w:pPr>
        <w:spacing w:before="78" w:line="219" w:lineRule="auto"/>
        <w:rPr>
          <w:rFonts w:ascii="宋体" w:hAnsi="宋体" w:eastAsia="宋体" w:cs="宋体"/>
          <w:spacing w:val="4"/>
          <w:sz w:val="24"/>
          <w:szCs w:val="24"/>
        </w:rPr>
      </w:pPr>
    </w:p>
    <w:p w14:paraId="62FBAB81">
      <w:pPr>
        <w:spacing w:before="78" w:line="219" w:lineRule="auto"/>
        <w:rPr>
          <w:rFonts w:ascii="宋体" w:hAnsi="宋体" w:eastAsia="宋体" w:cs="宋体"/>
          <w:spacing w:val="4"/>
          <w:sz w:val="24"/>
          <w:szCs w:val="24"/>
        </w:rPr>
      </w:pPr>
    </w:p>
    <w:p w14:paraId="777788EC">
      <w:pPr>
        <w:spacing w:before="78" w:line="219" w:lineRule="auto"/>
        <w:rPr>
          <w:rFonts w:ascii="宋体" w:hAnsi="宋体" w:eastAsia="宋体" w:cs="宋体"/>
          <w:spacing w:val="4"/>
          <w:sz w:val="24"/>
          <w:szCs w:val="24"/>
        </w:rPr>
      </w:pPr>
    </w:p>
    <w:p w14:paraId="032AF1EA">
      <w:pPr>
        <w:spacing w:before="78" w:line="219" w:lineRule="auto"/>
        <w:rPr>
          <w:rFonts w:ascii="宋体" w:hAnsi="宋体" w:eastAsia="宋体" w:cs="宋体"/>
          <w:spacing w:val="4"/>
          <w:sz w:val="24"/>
          <w:szCs w:val="24"/>
        </w:rPr>
      </w:pPr>
    </w:p>
    <w:p w14:paraId="56963577">
      <w:pPr>
        <w:spacing w:before="78" w:line="219" w:lineRule="auto"/>
        <w:rPr>
          <w:rFonts w:ascii="宋体" w:hAnsi="宋体" w:eastAsia="宋体" w:cs="宋体"/>
          <w:spacing w:val="4"/>
          <w:sz w:val="24"/>
          <w:szCs w:val="24"/>
        </w:rPr>
      </w:pPr>
    </w:p>
    <w:p w14:paraId="1B6FF0F8">
      <w:pPr>
        <w:spacing w:before="78" w:line="219" w:lineRule="auto"/>
        <w:rPr>
          <w:rFonts w:ascii="宋体" w:hAnsi="宋体" w:eastAsia="宋体" w:cs="宋体"/>
          <w:spacing w:val="4"/>
          <w:sz w:val="24"/>
          <w:szCs w:val="24"/>
        </w:rPr>
      </w:pPr>
    </w:p>
    <w:p w14:paraId="30FC4640">
      <w:pPr>
        <w:spacing w:before="78" w:line="219" w:lineRule="auto"/>
        <w:rPr>
          <w:rFonts w:ascii="宋体" w:hAnsi="宋体" w:eastAsia="宋体" w:cs="宋体"/>
          <w:spacing w:val="4"/>
          <w:sz w:val="24"/>
          <w:szCs w:val="24"/>
        </w:rPr>
      </w:pPr>
    </w:p>
    <w:p w14:paraId="5638F6A8">
      <w:pPr>
        <w:spacing w:before="78" w:line="219" w:lineRule="auto"/>
        <w:rPr>
          <w:rFonts w:ascii="宋体" w:hAnsi="宋体" w:eastAsia="宋体" w:cs="宋体"/>
          <w:spacing w:val="4"/>
          <w:sz w:val="24"/>
          <w:szCs w:val="24"/>
        </w:rPr>
      </w:pPr>
    </w:p>
    <w:p w14:paraId="58ABF01A">
      <w:pPr>
        <w:spacing w:before="78" w:line="219" w:lineRule="auto"/>
        <w:rPr>
          <w:rFonts w:ascii="宋体" w:hAnsi="宋体" w:eastAsia="宋体" w:cs="宋体"/>
          <w:spacing w:val="4"/>
          <w:sz w:val="24"/>
          <w:szCs w:val="24"/>
        </w:rPr>
      </w:pPr>
    </w:p>
    <w:p w14:paraId="288D8459">
      <w:pPr>
        <w:spacing w:before="78" w:line="219" w:lineRule="auto"/>
        <w:rPr>
          <w:rFonts w:ascii="宋体" w:hAnsi="宋体" w:eastAsia="宋体" w:cs="宋体"/>
          <w:spacing w:val="4"/>
          <w:sz w:val="24"/>
          <w:szCs w:val="24"/>
        </w:rPr>
      </w:pPr>
    </w:p>
    <w:p w14:paraId="2E0B81BC">
      <w:pPr>
        <w:spacing w:before="78" w:line="219" w:lineRule="auto"/>
        <w:jc w:val="center"/>
        <w:rPr>
          <w:rFonts w:ascii="宋体" w:hAnsi="宋体" w:eastAsia="宋体" w:cs="宋体"/>
          <w:spacing w:val="4"/>
          <w:sz w:val="24"/>
          <w:szCs w:val="24"/>
        </w:rPr>
      </w:pPr>
      <w:r>
        <w:rPr>
          <w:rFonts w:ascii="宋体" w:hAnsi="宋体" w:eastAsia="宋体" w:cs="宋体"/>
          <w:b/>
          <w:bCs/>
          <w:spacing w:val="-3"/>
          <w:sz w:val="28"/>
          <w:szCs w:val="28"/>
        </w:rPr>
        <w:t>政府采购供应商信用承诺函</w:t>
      </w:r>
    </w:p>
    <w:p w14:paraId="5996FE05">
      <w:pPr>
        <w:spacing w:before="78" w:line="219" w:lineRule="auto"/>
        <w:rPr>
          <w:rFonts w:ascii="宋体" w:hAnsi="宋体" w:eastAsia="宋体" w:cs="宋体"/>
          <w:sz w:val="24"/>
          <w:szCs w:val="24"/>
        </w:rPr>
      </w:pPr>
      <w:r>
        <w:rPr>
          <w:rFonts w:ascii="宋体" w:hAnsi="宋体" w:eastAsia="宋体" w:cs="宋体"/>
          <w:spacing w:val="4"/>
          <w:sz w:val="24"/>
          <w:szCs w:val="24"/>
        </w:rPr>
        <w:t>致</w:t>
      </w:r>
      <w:r>
        <w:rPr>
          <w:rFonts w:ascii="宋体" w:hAnsi="宋体" w:eastAsia="宋体" w:cs="宋体"/>
          <w:spacing w:val="-30"/>
          <w:sz w:val="24"/>
          <w:szCs w:val="24"/>
        </w:rPr>
        <w:t>：</w:t>
      </w:r>
      <w:r>
        <w:rPr>
          <w:rFonts w:ascii="宋体" w:hAnsi="宋体" w:eastAsia="宋体" w:cs="宋体"/>
          <w:spacing w:val="-30"/>
          <w:sz w:val="24"/>
          <w:szCs w:val="24"/>
          <w:u w:val="single" w:color="auto"/>
        </w:rPr>
        <w:t>（</w:t>
      </w:r>
      <w:r>
        <w:rPr>
          <w:rFonts w:ascii="宋体" w:hAnsi="宋体" w:eastAsia="宋体" w:cs="宋体"/>
          <w:spacing w:val="4"/>
          <w:sz w:val="24"/>
          <w:szCs w:val="24"/>
          <w:u w:val="single" w:color="auto"/>
        </w:rPr>
        <w:t>采购人或采购代理机构）</w:t>
      </w:r>
    </w:p>
    <w:p w14:paraId="455DFC52">
      <w:pPr>
        <w:tabs>
          <w:tab w:val="left" w:pos="5750"/>
        </w:tabs>
        <w:spacing w:before="178" w:line="344" w:lineRule="auto"/>
        <w:ind w:left="600" w:right="3599"/>
        <w:jc w:val="both"/>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ab/>
      </w:r>
      <w:r>
        <w:rPr>
          <w:rFonts w:ascii="宋体" w:hAnsi="宋体" w:eastAsia="宋体" w:cs="宋体"/>
          <w:sz w:val="24"/>
          <w:szCs w:val="24"/>
        </w:rPr>
        <w:t xml:space="preserve"> </w:t>
      </w:r>
    </w:p>
    <w:p w14:paraId="3EDD09F1">
      <w:pPr>
        <w:tabs>
          <w:tab w:val="left" w:pos="5750"/>
        </w:tabs>
        <w:spacing w:before="178" w:line="344" w:lineRule="auto"/>
        <w:ind w:left="600" w:right="3599"/>
        <w:jc w:val="both"/>
        <w:rPr>
          <w:rFonts w:ascii="宋体" w:hAnsi="宋体" w:eastAsia="宋体" w:cs="宋体"/>
          <w:sz w:val="24"/>
          <w:szCs w:val="24"/>
        </w:rPr>
      </w:pPr>
      <w:r>
        <w:rPr>
          <w:rFonts w:ascii="宋体" w:hAnsi="宋体" w:eastAsia="宋体" w:cs="宋体"/>
          <w:spacing w:val="-2"/>
          <w:sz w:val="24"/>
          <w:szCs w:val="24"/>
        </w:rPr>
        <w:t>统一社会信用代码：</w:t>
      </w:r>
      <w:r>
        <w:rPr>
          <w:rFonts w:ascii="宋体" w:hAnsi="宋体" w:eastAsia="宋体" w:cs="宋体"/>
          <w:sz w:val="24"/>
          <w:szCs w:val="24"/>
          <w:u w:val="single" w:color="auto"/>
        </w:rPr>
        <w:tab/>
      </w:r>
      <w:r>
        <w:rPr>
          <w:rFonts w:ascii="宋体" w:hAnsi="宋体" w:eastAsia="宋体" w:cs="宋体"/>
          <w:sz w:val="24"/>
          <w:szCs w:val="24"/>
        </w:rPr>
        <w:t xml:space="preserve"> </w:t>
      </w:r>
    </w:p>
    <w:p w14:paraId="2D1C668B">
      <w:pPr>
        <w:tabs>
          <w:tab w:val="left" w:pos="5750"/>
        </w:tabs>
        <w:spacing w:before="178" w:line="344" w:lineRule="auto"/>
        <w:ind w:left="600" w:right="3599"/>
        <w:jc w:val="both"/>
        <w:rPr>
          <w:rFonts w:ascii="宋体" w:hAnsi="宋体" w:eastAsia="宋体" w:cs="宋体"/>
          <w:sz w:val="24"/>
          <w:szCs w:val="24"/>
        </w:rPr>
      </w:pPr>
      <w:r>
        <w:rPr>
          <w:rFonts w:ascii="宋体" w:hAnsi="宋体" w:eastAsia="宋体" w:cs="宋体"/>
          <w:spacing w:val="-2"/>
          <w:sz w:val="24"/>
          <w:szCs w:val="24"/>
        </w:rPr>
        <w:t>供应商地址：</w:t>
      </w:r>
      <w:r>
        <w:rPr>
          <w:rFonts w:ascii="宋体" w:hAnsi="宋体" w:eastAsia="宋体" w:cs="宋体"/>
          <w:sz w:val="24"/>
          <w:szCs w:val="24"/>
          <w:u w:val="single" w:color="auto"/>
        </w:rPr>
        <w:t xml:space="preserve">                               </w:t>
      </w:r>
    </w:p>
    <w:p w14:paraId="744463A3">
      <w:pPr>
        <w:spacing w:before="38" w:line="344" w:lineRule="auto"/>
        <w:ind w:firstLine="600"/>
        <w:jc w:val="both"/>
        <w:rPr>
          <w:rFonts w:ascii="宋体" w:hAnsi="宋体" w:eastAsia="宋体" w:cs="宋体"/>
          <w:sz w:val="24"/>
          <w:szCs w:val="24"/>
        </w:rPr>
      </w:pPr>
      <w:r>
        <w:rPr>
          <w:rFonts w:ascii="宋体" w:hAnsi="宋体" w:eastAsia="宋体" w:cs="宋体"/>
          <w:spacing w:val="1"/>
          <w:sz w:val="24"/>
          <w:szCs w:val="24"/>
        </w:rPr>
        <w:t>我单位自愿参加本次政府采购活动，严格遵守《中华人民共和国政府采购法》及相</w:t>
      </w:r>
      <w:r>
        <w:rPr>
          <w:rFonts w:ascii="宋体" w:hAnsi="宋体" w:eastAsia="宋体" w:cs="宋体"/>
          <w:spacing w:val="-6"/>
          <w:sz w:val="24"/>
          <w:szCs w:val="24"/>
        </w:rPr>
        <w:t>关法律法规，依法诚信经营，无条件遵守本次政府采购活动的</w:t>
      </w:r>
      <w:r>
        <w:rPr>
          <w:rFonts w:ascii="宋体" w:hAnsi="宋体" w:eastAsia="宋体" w:cs="宋体"/>
          <w:spacing w:val="-7"/>
          <w:sz w:val="24"/>
          <w:szCs w:val="24"/>
        </w:rPr>
        <w:t>各项规定。我单位郑重承诺，</w:t>
      </w:r>
      <w:r>
        <w:rPr>
          <w:rFonts w:ascii="宋体" w:hAnsi="宋体" w:eastAsia="宋体" w:cs="宋体"/>
          <w:spacing w:val="-1"/>
          <w:sz w:val="24"/>
          <w:szCs w:val="24"/>
        </w:rPr>
        <w:t>本单位符合《中华人民共和国政府采购法》第二十二条规定的条件：</w:t>
      </w:r>
    </w:p>
    <w:p w14:paraId="2CCBA7F3">
      <w:pPr>
        <w:spacing w:before="35" w:line="339" w:lineRule="auto"/>
        <w:ind w:left="602" w:right="2078" w:firstLine="14"/>
        <w:rPr>
          <w:rFonts w:ascii="宋体" w:hAnsi="宋体" w:eastAsia="宋体" w:cs="宋体"/>
          <w:sz w:val="24"/>
          <w:szCs w:val="24"/>
        </w:rPr>
      </w:pPr>
      <w:r>
        <w:rPr>
          <w:rFonts w:ascii="宋体" w:hAnsi="宋体" w:eastAsia="宋体" w:cs="宋体"/>
          <w:spacing w:val="-2"/>
          <w:sz w:val="24"/>
          <w:szCs w:val="24"/>
        </w:rPr>
        <w:t>1.我单位具有符合采购文件资格要求独立</w:t>
      </w:r>
      <w:r>
        <w:rPr>
          <w:rFonts w:ascii="宋体" w:hAnsi="宋体" w:eastAsia="宋体" w:cs="宋体"/>
          <w:spacing w:val="-3"/>
          <w:sz w:val="24"/>
          <w:szCs w:val="24"/>
        </w:rPr>
        <w:t>承担民事责任的能力。</w:t>
      </w:r>
      <w:r>
        <w:rPr>
          <w:rFonts w:ascii="宋体" w:hAnsi="宋体" w:eastAsia="宋体" w:cs="宋体"/>
          <w:sz w:val="24"/>
          <w:szCs w:val="24"/>
        </w:rPr>
        <w:t xml:space="preserve"> </w:t>
      </w:r>
    </w:p>
    <w:p w14:paraId="406FF580">
      <w:pPr>
        <w:spacing w:before="35" w:line="339" w:lineRule="auto"/>
        <w:ind w:left="602" w:right="2078" w:firstLine="14"/>
        <w:rPr>
          <w:rFonts w:ascii="宋体" w:hAnsi="宋体" w:eastAsia="宋体" w:cs="宋体"/>
          <w:sz w:val="24"/>
          <w:szCs w:val="24"/>
        </w:rPr>
      </w:pPr>
      <w:r>
        <w:rPr>
          <w:rFonts w:ascii="宋体" w:hAnsi="宋体" w:eastAsia="宋体" w:cs="宋体"/>
          <w:spacing w:val="-1"/>
          <w:sz w:val="24"/>
          <w:szCs w:val="24"/>
        </w:rPr>
        <w:t>2.我单位具有符合采购文件资格要求的财务状况报告。</w:t>
      </w:r>
    </w:p>
    <w:p w14:paraId="4832F8FB">
      <w:pPr>
        <w:spacing w:before="38" w:line="341" w:lineRule="auto"/>
        <w:ind w:left="599" w:right="158" w:firstLine="5"/>
        <w:rPr>
          <w:rFonts w:ascii="宋体" w:hAnsi="宋体" w:eastAsia="宋体" w:cs="宋体"/>
          <w:sz w:val="24"/>
          <w:szCs w:val="24"/>
        </w:rPr>
      </w:pPr>
      <w:r>
        <w:rPr>
          <w:rFonts w:ascii="宋体" w:hAnsi="宋体" w:eastAsia="宋体" w:cs="宋体"/>
          <w:spacing w:val="-1"/>
          <w:sz w:val="24"/>
          <w:szCs w:val="24"/>
        </w:rPr>
        <w:t>3.我单位具有符合采购文件资格要求的依</w:t>
      </w:r>
      <w:r>
        <w:rPr>
          <w:rFonts w:ascii="宋体" w:hAnsi="宋体" w:eastAsia="宋体" w:cs="宋体"/>
          <w:spacing w:val="-2"/>
          <w:sz w:val="24"/>
          <w:szCs w:val="24"/>
        </w:rPr>
        <w:t>法缴纳税收和社会保障记录的良好记录。</w:t>
      </w:r>
      <w:r>
        <w:rPr>
          <w:rFonts w:ascii="宋体" w:hAnsi="宋体" w:eastAsia="宋体" w:cs="宋体"/>
          <w:sz w:val="24"/>
          <w:szCs w:val="24"/>
        </w:rPr>
        <w:t xml:space="preserve"> </w:t>
      </w:r>
    </w:p>
    <w:p w14:paraId="07CEF8AB">
      <w:pPr>
        <w:spacing w:before="38" w:line="341" w:lineRule="auto"/>
        <w:ind w:left="599" w:right="158" w:firstLine="5"/>
        <w:rPr>
          <w:rFonts w:ascii="宋体" w:hAnsi="宋体" w:eastAsia="宋体" w:cs="宋体"/>
          <w:sz w:val="24"/>
          <w:szCs w:val="24"/>
        </w:rPr>
      </w:pPr>
      <w:r>
        <w:rPr>
          <w:rFonts w:ascii="宋体" w:hAnsi="宋体" w:eastAsia="宋体" w:cs="宋体"/>
          <w:sz w:val="24"/>
          <w:szCs w:val="24"/>
        </w:rPr>
        <w:t>4.我单位具有符合采购文件资格要求履行合同所必需的</w:t>
      </w:r>
      <w:r>
        <w:rPr>
          <w:rFonts w:ascii="宋体" w:hAnsi="宋体" w:eastAsia="宋体" w:cs="宋体"/>
          <w:spacing w:val="-1"/>
          <w:sz w:val="24"/>
          <w:szCs w:val="24"/>
        </w:rPr>
        <w:t>设备和专业技术能力。</w:t>
      </w:r>
    </w:p>
    <w:p w14:paraId="4F164F38">
      <w:pPr>
        <w:spacing w:before="33" w:line="219" w:lineRule="auto"/>
        <w:ind w:left="604"/>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14:paraId="1D2AB0A6">
      <w:pPr>
        <w:spacing w:before="176" w:line="219" w:lineRule="auto"/>
        <w:ind w:left="600"/>
        <w:rPr>
          <w:rFonts w:ascii="宋体" w:hAnsi="宋体" w:eastAsia="宋体" w:cs="宋体"/>
          <w:sz w:val="24"/>
          <w:szCs w:val="24"/>
        </w:rPr>
      </w:pPr>
      <w:r>
        <w:rPr>
          <w:rFonts w:ascii="宋体" w:hAnsi="宋体" w:eastAsia="宋体" w:cs="宋体"/>
          <w:spacing w:val="-2"/>
          <w:sz w:val="24"/>
          <w:szCs w:val="24"/>
        </w:rPr>
        <w:t>若我单位承诺不实，</w:t>
      </w:r>
      <w:r>
        <w:rPr>
          <w:rFonts w:ascii="宋体" w:hAnsi="宋体" w:eastAsia="宋体" w:cs="宋体"/>
          <w:spacing w:val="-68"/>
          <w:sz w:val="24"/>
          <w:szCs w:val="24"/>
        </w:rPr>
        <w:t xml:space="preserve"> </w:t>
      </w:r>
      <w:r>
        <w:rPr>
          <w:rFonts w:ascii="宋体" w:hAnsi="宋体" w:eastAsia="宋体" w:cs="宋体"/>
          <w:spacing w:val="-2"/>
          <w:sz w:val="24"/>
          <w:szCs w:val="24"/>
        </w:rPr>
        <w:t>自愿承担提供虚假材料谋取中标、成交的法律责任。</w:t>
      </w:r>
    </w:p>
    <w:p w14:paraId="3F95A782">
      <w:pPr>
        <w:pStyle w:val="8"/>
        <w:spacing w:line="276" w:lineRule="auto"/>
      </w:pPr>
    </w:p>
    <w:p w14:paraId="768AD151">
      <w:pPr>
        <w:pStyle w:val="8"/>
        <w:spacing w:line="277" w:lineRule="auto"/>
      </w:pPr>
    </w:p>
    <w:p w14:paraId="134BC1E0">
      <w:pPr>
        <w:spacing w:before="78" w:line="219" w:lineRule="auto"/>
        <w:ind w:left="2400"/>
        <w:rPr>
          <w:rFonts w:ascii="宋体" w:hAnsi="宋体" w:eastAsia="宋体" w:cs="宋体"/>
          <w:sz w:val="24"/>
          <w:szCs w:val="24"/>
        </w:rPr>
      </w:pPr>
      <w:r>
        <w:rPr>
          <w:rFonts w:ascii="宋体" w:hAnsi="宋体" w:eastAsia="宋体" w:cs="宋体"/>
          <w:spacing w:val="-2"/>
          <w:sz w:val="24"/>
          <w:szCs w:val="24"/>
        </w:rPr>
        <w:t>供应商（CA</w:t>
      </w:r>
      <w:r>
        <w:rPr>
          <w:rFonts w:ascii="宋体" w:hAnsi="宋体" w:eastAsia="宋体" w:cs="宋体"/>
          <w:spacing w:val="-51"/>
          <w:sz w:val="24"/>
          <w:szCs w:val="24"/>
        </w:rPr>
        <w:t xml:space="preserve"> </w:t>
      </w:r>
      <w:r>
        <w:rPr>
          <w:rFonts w:ascii="宋体" w:hAnsi="宋体" w:eastAsia="宋体" w:cs="宋体"/>
          <w:spacing w:val="-2"/>
          <w:sz w:val="24"/>
          <w:szCs w:val="24"/>
        </w:rPr>
        <w:t>证书签章</w:t>
      </w:r>
      <w:r>
        <w:rPr>
          <w:rFonts w:ascii="宋体" w:hAnsi="宋体" w:eastAsia="宋体" w:cs="宋体"/>
          <w:sz w:val="24"/>
          <w:szCs w:val="24"/>
        </w:rPr>
        <w:t>）：</w:t>
      </w:r>
      <w:r>
        <w:rPr>
          <w:rFonts w:ascii="宋体" w:hAnsi="宋体" w:eastAsia="宋体" w:cs="宋体"/>
          <w:sz w:val="24"/>
          <w:szCs w:val="24"/>
          <w:u w:val="single" w:color="auto"/>
        </w:rPr>
        <w:t xml:space="preserve">                           </w:t>
      </w:r>
    </w:p>
    <w:p w14:paraId="0CC36B24">
      <w:pPr>
        <w:spacing w:before="161" w:line="363" w:lineRule="auto"/>
        <w:ind w:left="2440" w:right="62" w:hanging="40"/>
        <w:rPr>
          <w:rFonts w:ascii="宋体" w:hAnsi="宋体" w:eastAsia="宋体" w:cs="宋体"/>
          <w:spacing w:val="1"/>
          <w:sz w:val="24"/>
          <w:szCs w:val="24"/>
        </w:rPr>
      </w:pPr>
      <w:r>
        <w:rPr>
          <w:rFonts w:ascii="宋体" w:hAnsi="宋体" w:eastAsia="宋体" w:cs="宋体"/>
          <w:spacing w:val="-2"/>
          <w:sz w:val="24"/>
          <w:szCs w:val="24"/>
        </w:rPr>
        <w:t>法定代表人或委托代理人（签字或个人</w:t>
      </w:r>
      <w:r>
        <w:rPr>
          <w:rFonts w:ascii="宋体" w:hAnsi="宋体" w:eastAsia="宋体" w:cs="宋体"/>
          <w:spacing w:val="-51"/>
          <w:sz w:val="24"/>
          <w:szCs w:val="24"/>
        </w:rPr>
        <w:t xml:space="preserve"> </w:t>
      </w:r>
      <w:r>
        <w:rPr>
          <w:rFonts w:ascii="宋体" w:hAnsi="宋体" w:eastAsia="宋体" w:cs="宋体"/>
          <w:spacing w:val="-2"/>
          <w:sz w:val="24"/>
          <w:szCs w:val="24"/>
        </w:rPr>
        <w:t>CA</w:t>
      </w:r>
      <w:r>
        <w:rPr>
          <w:rFonts w:ascii="宋体" w:hAnsi="宋体" w:eastAsia="宋体" w:cs="宋体"/>
          <w:spacing w:val="-51"/>
          <w:sz w:val="24"/>
          <w:szCs w:val="24"/>
        </w:rPr>
        <w:t xml:space="preserve"> </w:t>
      </w:r>
      <w:r>
        <w:rPr>
          <w:rFonts w:ascii="宋体" w:hAnsi="宋体" w:eastAsia="宋体" w:cs="宋体"/>
          <w:spacing w:val="-2"/>
          <w:sz w:val="24"/>
          <w:szCs w:val="24"/>
        </w:rPr>
        <w:t>证书签章</w:t>
      </w:r>
      <w:r>
        <w:rPr>
          <w:rFonts w:ascii="宋体" w:hAnsi="宋体" w:eastAsia="宋体" w:cs="宋体"/>
          <w:spacing w:val="8"/>
          <w:sz w:val="24"/>
          <w:szCs w:val="24"/>
        </w:rPr>
        <w:t>）：</w:t>
      </w:r>
      <w:r>
        <w:rPr>
          <w:rFonts w:ascii="宋体" w:hAnsi="宋体" w:eastAsia="宋体" w:cs="宋体"/>
          <w:spacing w:val="7"/>
          <w:sz w:val="24"/>
          <w:szCs w:val="24"/>
          <w:u w:val="single" w:color="auto"/>
        </w:rPr>
        <w:t xml:space="preserve">        </w:t>
      </w:r>
      <w:r>
        <w:rPr>
          <w:rFonts w:ascii="宋体" w:hAnsi="宋体" w:eastAsia="宋体" w:cs="宋体"/>
          <w:spacing w:val="1"/>
          <w:sz w:val="24"/>
          <w:szCs w:val="24"/>
        </w:rPr>
        <w:t xml:space="preserve"> </w:t>
      </w:r>
    </w:p>
    <w:p w14:paraId="094E671D">
      <w:pPr>
        <w:spacing w:before="161" w:line="363" w:lineRule="auto"/>
        <w:ind w:left="2440" w:right="62" w:hanging="40"/>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17"/>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3"/>
          <w:sz w:val="24"/>
          <w:szCs w:val="24"/>
        </w:rPr>
        <w:t>年</w:t>
      </w:r>
      <w:r>
        <w:rPr>
          <w:rFonts w:ascii="宋体" w:hAnsi="宋体" w:eastAsia="宋体" w:cs="宋体"/>
          <w:spacing w:val="30"/>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3"/>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3"/>
          <w:sz w:val="24"/>
          <w:szCs w:val="24"/>
        </w:rPr>
        <w:t>日</w:t>
      </w:r>
    </w:p>
    <w:p w14:paraId="59FE8BDD">
      <w:pPr>
        <w:pStyle w:val="8"/>
        <w:spacing w:line="291" w:lineRule="auto"/>
      </w:pPr>
    </w:p>
    <w:p w14:paraId="0B9A316C">
      <w:pPr>
        <w:spacing w:before="72" w:line="373" w:lineRule="auto"/>
        <w:ind w:left="5" w:right="58" w:firstLine="543"/>
        <w:rPr>
          <w:rFonts w:ascii="宋体" w:hAnsi="宋体" w:eastAsia="宋体" w:cs="宋体"/>
          <w:b/>
          <w:bCs/>
          <w:sz w:val="21"/>
          <w:szCs w:val="21"/>
        </w:rPr>
      </w:pPr>
      <w:r>
        <w:rPr>
          <w:rFonts w:ascii="宋体" w:hAnsi="宋体" w:eastAsia="宋体" w:cs="宋体"/>
          <w:b/>
          <w:bCs/>
          <w:spacing w:val="-1"/>
          <w:sz w:val="21"/>
          <w:szCs w:val="21"/>
        </w:rPr>
        <w:t>注：1.供应商须在投标（响应）文件中按此模板</w:t>
      </w:r>
      <w:r>
        <w:rPr>
          <w:rFonts w:ascii="宋体" w:hAnsi="宋体" w:eastAsia="宋体" w:cs="宋体"/>
          <w:b/>
          <w:bCs/>
          <w:spacing w:val="-2"/>
          <w:sz w:val="21"/>
          <w:szCs w:val="21"/>
        </w:rPr>
        <w:t>提供承诺函，未提供视为未实质性响应招标</w:t>
      </w:r>
      <w:r>
        <w:rPr>
          <w:rFonts w:ascii="宋体" w:hAnsi="宋体" w:eastAsia="宋体" w:cs="宋体"/>
          <w:b/>
          <w:bCs/>
          <w:sz w:val="21"/>
          <w:szCs w:val="21"/>
        </w:rPr>
        <w:t xml:space="preserve"> </w:t>
      </w:r>
      <w:r>
        <w:rPr>
          <w:rFonts w:ascii="宋体" w:hAnsi="宋体" w:eastAsia="宋体" w:cs="宋体"/>
          <w:b/>
          <w:bCs/>
          <w:spacing w:val="-1"/>
          <w:sz w:val="21"/>
          <w:szCs w:val="21"/>
        </w:rPr>
        <w:t>（采购）文件要求，按无效投标（响应）处理。</w:t>
      </w:r>
    </w:p>
    <w:p w14:paraId="0F216E05">
      <w:pPr>
        <w:numPr>
          <w:ilvl w:val="0"/>
          <w:numId w:val="0"/>
        </w:numPr>
        <w:spacing w:line="480" w:lineRule="auto"/>
        <w:ind w:firstLine="832" w:firstLineChars="400"/>
        <w:rPr>
          <w:rFonts w:hint="eastAsia" w:asciiTheme="minorEastAsia" w:hAnsiTheme="minorEastAsia" w:eastAsiaTheme="minorEastAsia" w:cstheme="minorEastAsia"/>
          <w:b/>
          <w:bCs/>
          <w:color w:val="auto"/>
          <w:sz w:val="21"/>
          <w:szCs w:val="21"/>
          <w:highlight w:val="none"/>
          <w:u w:val="single"/>
          <w:lang w:val="en-US" w:eastAsia="zh-CN"/>
        </w:rPr>
      </w:pPr>
      <w:r>
        <w:rPr>
          <w:rFonts w:ascii="宋体" w:hAnsi="宋体" w:eastAsia="宋体" w:cs="宋体"/>
          <w:b/>
          <w:bCs/>
          <w:spacing w:val="-1"/>
          <w:sz w:val="21"/>
          <w:szCs w:val="21"/>
        </w:rPr>
        <w:t>2.供应商的法定代表人（其他组织的为负责</w:t>
      </w:r>
      <w:r>
        <w:rPr>
          <w:rFonts w:ascii="宋体" w:hAnsi="宋体" w:eastAsia="宋体" w:cs="宋体"/>
          <w:b/>
          <w:bCs/>
          <w:spacing w:val="-2"/>
          <w:sz w:val="21"/>
          <w:szCs w:val="21"/>
        </w:rPr>
        <w:t>人）或者授权代表的签名或盖章应真实、有效，如由授权代表签名或盖章的，应提供“法定代表人授权书”</w:t>
      </w:r>
    </w:p>
    <w:p w14:paraId="384CE3C2">
      <w:pPr>
        <w:pStyle w:val="35"/>
        <w:widowControl w:val="0"/>
        <w:numPr>
          <w:ilvl w:val="0"/>
          <w:numId w:val="0"/>
        </w:numPr>
        <w:autoSpaceDE w:val="0"/>
        <w:autoSpaceDN w:val="0"/>
        <w:adjustRightInd w:val="0"/>
        <w:rPr>
          <w:rFonts w:hint="eastAsia" w:asciiTheme="minorEastAsia" w:hAnsiTheme="minorEastAsia" w:eastAsiaTheme="minorEastAsia" w:cstheme="minorEastAsia"/>
          <w:color w:val="auto"/>
          <w:highlight w:val="none"/>
          <w:lang w:val="en-US" w:eastAsia="zh-CN"/>
        </w:rPr>
      </w:pPr>
    </w:p>
    <w:p w14:paraId="4C4B81E6">
      <w:pPr>
        <w:pStyle w:val="36"/>
        <w:rPr>
          <w:rFonts w:hint="eastAsia" w:asciiTheme="minorEastAsia" w:hAnsiTheme="minorEastAsia" w:eastAsiaTheme="minorEastAsia" w:cstheme="minorEastAsia"/>
          <w:color w:val="auto"/>
          <w:highlight w:val="none"/>
          <w:lang w:val="en-US" w:eastAsia="zh-CN"/>
        </w:rPr>
      </w:pPr>
    </w:p>
    <w:p w14:paraId="5767B013">
      <w:pPr>
        <w:rPr>
          <w:rFonts w:hint="eastAsia" w:asciiTheme="minorEastAsia" w:hAnsiTheme="minorEastAsia" w:eastAsiaTheme="minorEastAsia" w:cstheme="minorEastAsia"/>
          <w:color w:val="auto"/>
          <w:highlight w:val="none"/>
          <w:lang w:val="en-US" w:eastAsia="zh-CN"/>
        </w:rPr>
      </w:pPr>
    </w:p>
    <w:p w14:paraId="03B99CB7">
      <w:pPr>
        <w:rPr>
          <w:rFonts w:hint="eastAsia"/>
          <w:lang w:val="en-US" w:eastAsia="zh-CN"/>
        </w:rPr>
      </w:pPr>
    </w:p>
    <w:p w14:paraId="3460353D">
      <w:pPr>
        <w:jc w:val="both"/>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 w:val="28"/>
          <w:szCs w:val="28"/>
          <w:highlight w:val="none"/>
          <w:lang w:val="en-US" w:eastAsia="zh-CN"/>
        </w:rPr>
        <w:t>附1、</w:t>
      </w:r>
      <w:r>
        <w:rPr>
          <w:rFonts w:hint="eastAsia" w:asciiTheme="minorEastAsia" w:hAnsiTheme="minorEastAsia" w:eastAsiaTheme="minorEastAsia" w:cstheme="minorEastAsia"/>
          <w:b/>
          <w:color w:val="auto"/>
          <w:kern w:val="0"/>
          <w:sz w:val="28"/>
          <w:szCs w:val="28"/>
          <w:highlight w:val="none"/>
        </w:rPr>
        <w:t>法定代表人身份证明书</w:t>
      </w:r>
      <w:r>
        <w:rPr>
          <w:rFonts w:hint="eastAsia" w:asciiTheme="minorEastAsia" w:hAnsiTheme="minorEastAsia" w:eastAsiaTheme="minorEastAsia" w:cstheme="minorEastAsia"/>
          <w:b/>
          <w:color w:val="auto"/>
          <w:sz w:val="28"/>
          <w:szCs w:val="28"/>
          <w:highlight w:val="none"/>
        </w:rPr>
        <w:t>（格式）</w:t>
      </w:r>
    </w:p>
    <w:p w14:paraId="5EDCE995">
      <w:pPr>
        <w:autoSpaceDE w:val="0"/>
        <w:autoSpaceDN w:val="0"/>
        <w:adjustRightInd w:val="0"/>
        <w:rPr>
          <w:rFonts w:hint="eastAsia" w:asciiTheme="minorEastAsia" w:hAnsiTheme="minorEastAsia" w:eastAsiaTheme="minorEastAsia" w:cstheme="minorEastAsia"/>
          <w:b/>
          <w:color w:val="auto"/>
          <w:kern w:val="0"/>
          <w:szCs w:val="21"/>
          <w:highlight w:val="none"/>
        </w:rPr>
      </w:pPr>
    </w:p>
    <w:p w14:paraId="071D95AC">
      <w:pPr>
        <w:autoSpaceDE w:val="0"/>
        <w:autoSpaceDN w:val="0"/>
        <w:adjustRightInd w:val="0"/>
        <w:spacing w:line="360" w:lineRule="auto"/>
        <w:ind w:firstLine="315" w:firstLineChars="150"/>
        <w:jc w:val="left"/>
        <w:rPr>
          <w:rFonts w:hint="eastAsia" w:asciiTheme="minorEastAsia" w:hAnsiTheme="minorEastAsia" w:eastAsiaTheme="minorEastAsia" w:cstheme="minorEastAsia"/>
          <w:color w:val="auto"/>
          <w:kern w:val="0"/>
          <w:szCs w:val="21"/>
          <w:highlight w:val="none"/>
        </w:rPr>
      </w:pPr>
    </w:p>
    <w:p w14:paraId="69A5A637">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eastAsia="zh-CN"/>
        </w:rPr>
        <w:t>磋商供应商</w:t>
      </w:r>
      <w:r>
        <w:rPr>
          <w:rFonts w:hint="eastAsia" w:asciiTheme="minorEastAsia" w:hAnsiTheme="minorEastAsia" w:eastAsiaTheme="minorEastAsia" w:cstheme="minorEastAsia"/>
          <w:color w:val="auto"/>
          <w:kern w:val="0"/>
          <w:sz w:val="24"/>
          <w:szCs w:val="24"/>
          <w:highlight w:val="none"/>
        </w:rPr>
        <w:t>名称：</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1895F1B8">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单位性质：</w:t>
      </w:r>
      <w:r>
        <w:rPr>
          <w:rFonts w:hint="eastAsia" w:asciiTheme="minorEastAsia" w:hAnsiTheme="minorEastAsia" w:eastAsiaTheme="minorEastAsia" w:cstheme="minorEastAsia"/>
          <w:color w:val="auto"/>
          <w:kern w:val="0"/>
          <w:sz w:val="24"/>
          <w:szCs w:val="24"/>
          <w:highlight w:val="none"/>
          <w:u w:val="single"/>
        </w:rPr>
        <w:t xml:space="preserve">                                                </w:t>
      </w:r>
    </w:p>
    <w:p w14:paraId="5E25E89D">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地址：</w:t>
      </w:r>
      <w:r>
        <w:rPr>
          <w:rFonts w:hint="eastAsia" w:asciiTheme="minorEastAsia" w:hAnsiTheme="minorEastAsia" w:eastAsiaTheme="minorEastAsia" w:cstheme="minorEastAsia"/>
          <w:color w:val="auto"/>
          <w:kern w:val="0"/>
          <w:sz w:val="24"/>
          <w:szCs w:val="24"/>
          <w:highlight w:val="none"/>
          <w:u w:val="single"/>
        </w:rPr>
        <w:t xml:space="preserve">                                                    </w:t>
      </w:r>
    </w:p>
    <w:p w14:paraId="33BD59D9">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成立时间：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p>
    <w:p w14:paraId="0CF06F34">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经营期限：</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1572771E">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姓名：</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性别：</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年龄：</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职务：</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5153B285">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身份证号：</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51947D3F">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系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磋商供应商</w:t>
      </w:r>
      <w:r>
        <w:rPr>
          <w:rFonts w:hint="eastAsia" w:asciiTheme="minorEastAsia" w:hAnsiTheme="minorEastAsia" w:eastAsiaTheme="minorEastAsia" w:cstheme="minorEastAsia"/>
          <w:color w:val="auto"/>
          <w:kern w:val="0"/>
          <w:sz w:val="24"/>
          <w:szCs w:val="24"/>
          <w:highlight w:val="none"/>
        </w:rPr>
        <w:t>名称）的法定代表人。</w:t>
      </w:r>
    </w:p>
    <w:p w14:paraId="6C2D63B8">
      <w:pPr>
        <w:autoSpaceDE w:val="0"/>
        <w:autoSpaceDN w:val="0"/>
        <w:adjustRightInd w:val="0"/>
        <w:spacing w:line="360" w:lineRule="auto"/>
        <w:ind w:firstLine="360" w:firstLineChars="1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特此证明。</w:t>
      </w:r>
    </w:p>
    <w:p w14:paraId="75DF0411">
      <w:pPr>
        <w:autoSpaceDE w:val="0"/>
        <w:autoSpaceDN w:val="0"/>
        <w:adjustRightInd w:val="0"/>
        <w:spacing w:line="360" w:lineRule="auto"/>
        <w:ind w:firstLine="3600" w:firstLineChars="1500"/>
        <w:jc w:val="left"/>
        <w:rPr>
          <w:rFonts w:hint="eastAsia" w:asciiTheme="minorEastAsia" w:hAnsiTheme="minorEastAsia" w:eastAsiaTheme="minorEastAsia" w:cstheme="minorEastAsia"/>
          <w:color w:val="auto"/>
          <w:kern w:val="0"/>
          <w:sz w:val="24"/>
          <w:szCs w:val="24"/>
          <w:highlight w:val="none"/>
        </w:rPr>
      </w:pPr>
    </w:p>
    <w:p w14:paraId="2A35A1F1">
      <w:pPr>
        <w:autoSpaceDE w:val="0"/>
        <w:autoSpaceDN w:val="0"/>
        <w:adjustRightInd w:val="0"/>
        <w:spacing w:line="360" w:lineRule="auto"/>
        <w:ind w:firstLine="3600" w:firstLineChars="1500"/>
        <w:jc w:val="left"/>
        <w:rPr>
          <w:rFonts w:hint="eastAsia" w:asciiTheme="minorEastAsia" w:hAnsiTheme="minorEastAsia" w:eastAsiaTheme="minorEastAsia" w:cstheme="minorEastAsia"/>
          <w:color w:val="auto"/>
          <w:kern w:val="0"/>
          <w:sz w:val="24"/>
          <w:szCs w:val="24"/>
          <w:highlight w:val="none"/>
        </w:rPr>
      </w:pPr>
    </w:p>
    <w:p w14:paraId="085AD564">
      <w:pPr>
        <w:autoSpaceDE w:val="0"/>
        <w:autoSpaceDN w:val="0"/>
        <w:adjustRightInd w:val="0"/>
        <w:spacing w:line="360" w:lineRule="auto"/>
        <w:ind w:firstLine="3600" w:firstLineChars="1500"/>
        <w:jc w:val="righ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eastAsia="zh-CN"/>
        </w:rPr>
        <w:t>磋商供应商</w:t>
      </w: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（公章</w:t>
      </w:r>
      <w:r>
        <w:rPr>
          <w:rFonts w:hint="eastAsia" w:asciiTheme="minorEastAsia" w:hAnsiTheme="minorEastAsia" w:eastAsiaTheme="minorEastAsia" w:cstheme="minorEastAsia"/>
          <w:color w:val="auto"/>
          <w:kern w:val="0"/>
          <w:sz w:val="24"/>
          <w:szCs w:val="24"/>
          <w:highlight w:val="none"/>
          <w:lang w:val="en-US" w:eastAsia="zh-CN"/>
        </w:rPr>
        <w:t>或</w:t>
      </w:r>
      <w:r>
        <w:rPr>
          <w:rFonts w:hint="eastAsia" w:asciiTheme="minorEastAsia" w:hAnsiTheme="minorEastAsia" w:eastAsiaTheme="minorEastAsia" w:cstheme="minorEastAsia"/>
          <w:color w:val="auto"/>
          <w:kern w:val="0"/>
          <w:sz w:val="24"/>
          <w:szCs w:val="24"/>
          <w:highlight w:val="none"/>
          <w:lang w:eastAsia="zh-CN"/>
        </w:rPr>
        <w:t>电子CA签章</w:t>
      </w:r>
      <w:r>
        <w:rPr>
          <w:rFonts w:hint="eastAsia" w:asciiTheme="minorEastAsia" w:hAnsiTheme="minorEastAsia" w:eastAsiaTheme="minorEastAsia" w:cstheme="minorEastAsia"/>
          <w:color w:val="auto"/>
          <w:kern w:val="0"/>
          <w:sz w:val="24"/>
          <w:szCs w:val="24"/>
          <w:highlight w:val="none"/>
        </w:rPr>
        <w:t>）</w:t>
      </w:r>
    </w:p>
    <w:p w14:paraId="13FB7AA5">
      <w:pPr>
        <w:autoSpaceDE w:val="0"/>
        <w:autoSpaceDN w:val="0"/>
        <w:adjustRightInd w:val="0"/>
        <w:spacing w:line="360" w:lineRule="auto"/>
        <w:ind w:firstLine="4320" w:firstLineChars="18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年</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月</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日</w:t>
      </w:r>
    </w:p>
    <w:p w14:paraId="001D79FA">
      <w:pPr>
        <w:autoSpaceDE w:val="0"/>
        <w:autoSpaceDN w:val="0"/>
        <w:adjustRightInd w:val="0"/>
        <w:spacing w:line="240" w:lineRule="exact"/>
        <w:ind w:firstLine="352" w:firstLineChars="147"/>
        <w:jc w:val="left"/>
        <w:rPr>
          <w:rFonts w:hint="eastAsia" w:asciiTheme="minorEastAsia" w:hAnsiTheme="minorEastAsia" w:eastAsiaTheme="minorEastAsia" w:cstheme="minorEastAsia"/>
          <w:b/>
          <w:color w:val="auto"/>
          <w:sz w:val="24"/>
          <w:szCs w:val="24"/>
          <w:highlight w:val="none"/>
        </w:rPr>
      </w:pPr>
    </w:p>
    <w:p w14:paraId="43369FA9">
      <w:pPr>
        <w:autoSpaceDE w:val="0"/>
        <w:autoSpaceDN w:val="0"/>
        <w:adjustRightInd w:val="0"/>
        <w:spacing w:line="360" w:lineRule="auto"/>
        <w:ind w:firstLine="352" w:firstLineChars="147"/>
        <w:jc w:val="left"/>
        <w:rPr>
          <w:rFonts w:hint="eastAsia" w:asciiTheme="minorEastAsia" w:hAnsiTheme="minorEastAsia" w:eastAsiaTheme="minorEastAsia" w:cstheme="minorEastAsia"/>
          <w:b/>
          <w:color w:val="auto"/>
          <w:sz w:val="24"/>
          <w:szCs w:val="24"/>
          <w:highlight w:val="none"/>
        </w:rPr>
      </w:pPr>
    </w:p>
    <w:p w14:paraId="231422D0">
      <w:pPr>
        <w:autoSpaceDE w:val="0"/>
        <w:autoSpaceDN w:val="0"/>
        <w:adjustRightInd w:val="0"/>
        <w:spacing w:line="360" w:lineRule="auto"/>
        <w:ind w:firstLine="352" w:firstLineChars="147"/>
        <w:jc w:val="left"/>
        <w:rPr>
          <w:rFonts w:hint="eastAsia" w:asciiTheme="minorEastAsia" w:hAnsiTheme="minorEastAsia" w:eastAsiaTheme="minorEastAsia" w:cstheme="minorEastAsia"/>
          <w:b/>
          <w:color w:val="auto"/>
          <w:sz w:val="24"/>
          <w:szCs w:val="24"/>
          <w:highlight w:val="none"/>
        </w:rPr>
      </w:pPr>
    </w:p>
    <w:p w14:paraId="3DB2A584">
      <w:pPr>
        <w:autoSpaceDE w:val="0"/>
        <w:autoSpaceDN w:val="0"/>
        <w:adjustRightInd w:val="0"/>
        <w:spacing w:line="360" w:lineRule="auto"/>
        <w:ind w:firstLine="352" w:firstLineChars="147"/>
        <w:jc w:val="left"/>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b/>
          <w:color w:val="auto"/>
          <w:sz w:val="24"/>
          <w:szCs w:val="24"/>
          <w:highlight w:val="none"/>
        </w:rPr>
        <w:t>附：法定代表人二代居民身份证</w:t>
      </w:r>
      <w:r>
        <w:rPr>
          <w:rFonts w:hint="eastAsia" w:asciiTheme="minorEastAsia" w:hAnsiTheme="minorEastAsia" w:eastAsiaTheme="minorEastAsia" w:cstheme="minorEastAsia"/>
          <w:b/>
          <w:color w:val="auto"/>
          <w:sz w:val="24"/>
          <w:szCs w:val="24"/>
          <w:highlight w:val="none"/>
          <w:lang w:val="en-US" w:eastAsia="zh-CN"/>
        </w:rPr>
        <w:t>正、反两面</w:t>
      </w:r>
      <w:r>
        <w:rPr>
          <w:rFonts w:hint="eastAsia" w:asciiTheme="minorEastAsia" w:hAnsiTheme="minorEastAsia" w:eastAsiaTheme="minorEastAsia" w:cstheme="minorEastAsia"/>
          <w:b/>
          <w:color w:val="auto"/>
          <w:sz w:val="24"/>
          <w:szCs w:val="24"/>
          <w:highlight w:val="none"/>
          <w:lang w:eastAsia="zh-CN"/>
        </w:rPr>
        <w:t>扫描件</w:t>
      </w:r>
    </w:p>
    <w:p w14:paraId="2C08DE2D">
      <w:pPr>
        <w:autoSpaceDE w:val="0"/>
        <w:autoSpaceDN w:val="0"/>
        <w:adjustRightInd w:val="0"/>
        <w:spacing w:line="240" w:lineRule="exact"/>
        <w:ind w:firstLine="4620" w:firstLineChars="2200"/>
        <w:jc w:val="left"/>
        <w:rPr>
          <w:rFonts w:hint="eastAsia" w:asciiTheme="minorEastAsia" w:hAnsiTheme="minorEastAsia" w:eastAsiaTheme="minorEastAsia" w:cstheme="minorEastAsia"/>
          <w:color w:val="auto"/>
          <w:kern w:val="0"/>
          <w:szCs w:val="21"/>
          <w:highlight w:val="none"/>
        </w:rPr>
      </w:pPr>
    </w:p>
    <w:p w14:paraId="538BA62C">
      <w:pPr>
        <w:autoSpaceDE w:val="0"/>
        <w:autoSpaceDN w:val="0"/>
        <w:adjustRightInd w:val="0"/>
        <w:jc w:val="center"/>
        <w:rPr>
          <w:rFonts w:hint="eastAsia" w:asciiTheme="minorEastAsia" w:hAnsiTheme="minorEastAsia" w:eastAsiaTheme="minorEastAsia" w:cstheme="minorEastAsia"/>
          <w:b/>
          <w:color w:val="auto"/>
          <w:szCs w:val="21"/>
          <w:highlight w:val="none"/>
        </w:rPr>
      </w:pPr>
    </w:p>
    <w:p w14:paraId="2E480820">
      <w:pPr>
        <w:autoSpaceDE w:val="0"/>
        <w:autoSpaceDN w:val="0"/>
        <w:adjustRightInd w:val="0"/>
        <w:jc w:val="both"/>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8"/>
          <w:szCs w:val="28"/>
          <w:highlight w:val="none"/>
          <w:lang w:val="en-US" w:eastAsia="zh-CN"/>
        </w:rPr>
        <w:t>附2</w:t>
      </w:r>
      <w:r>
        <w:rPr>
          <w:rFonts w:hint="eastAsia" w:asciiTheme="minorEastAsia" w:hAnsiTheme="minorEastAsia" w:eastAsiaTheme="minorEastAsia" w:cstheme="minorEastAsia"/>
          <w:b/>
          <w:color w:val="auto"/>
          <w:sz w:val="28"/>
          <w:szCs w:val="28"/>
          <w:highlight w:val="none"/>
        </w:rPr>
        <w:t>、</w:t>
      </w:r>
      <w:r>
        <w:rPr>
          <w:rFonts w:hint="eastAsia" w:asciiTheme="minorEastAsia" w:hAnsiTheme="minorEastAsia" w:eastAsiaTheme="minorEastAsia" w:cstheme="minorEastAsia"/>
          <w:b/>
          <w:color w:val="auto"/>
          <w:kern w:val="0"/>
          <w:sz w:val="28"/>
          <w:szCs w:val="28"/>
          <w:highlight w:val="none"/>
        </w:rPr>
        <w:t>授权委托书</w:t>
      </w:r>
      <w:r>
        <w:rPr>
          <w:rFonts w:hint="eastAsia" w:asciiTheme="minorEastAsia" w:hAnsiTheme="minorEastAsia" w:eastAsiaTheme="minorEastAsia" w:cstheme="minorEastAsia"/>
          <w:b/>
          <w:color w:val="auto"/>
          <w:sz w:val="28"/>
          <w:szCs w:val="28"/>
          <w:highlight w:val="none"/>
        </w:rPr>
        <w:t>（格式）</w:t>
      </w:r>
    </w:p>
    <w:p w14:paraId="28E2709D">
      <w:pPr>
        <w:autoSpaceDE w:val="0"/>
        <w:autoSpaceDN w:val="0"/>
        <w:adjustRightInd w:val="0"/>
        <w:ind w:firstLine="3045" w:firstLineChars="1450"/>
        <w:rPr>
          <w:rFonts w:hint="eastAsia" w:asciiTheme="minorEastAsia" w:hAnsiTheme="minorEastAsia" w:eastAsiaTheme="minorEastAsia" w:cstheme="minorEastAsia"/>
          <w:b/>
          <w:color w:val="auto"/>
          <w:kern w:val="0"/>
          <w:szCs w:val="21"/>
          <w:highlight w:val="none"/>
        </w:rPr>
      </w:pPr>
    </w:p>
    <w:p w14:paraId="31622FB3">
      <w:pPr>
        <w:autoSpaceDE w:val="0"/>
        <w:autoSpaceDN w:val="0"/>
        <w:adjustRightInd w:val="0"/>
        <w:spacing w:line="360" w:lineRule="auto"/>
        <w:ind w:firstLine="525" w:firstLineChars="250"/>
        <w:jc w:val="left"/>
        <w:rPr>
          <w:rFonts w:hint="eastAsia" w:asciiTheme="minorEastAsia" w:hAnsiTheme="minorEastAsia" w:eastAsiaTheme="minorEastAsia" w:cstheme="minorEastAsia"/>
          <w:color w:val="auto"/>
          <w:kern w:val="0"/>
          <w:szCs w:val="21"/>
          <w:highlight w:val="none"/>
        </w:rPr>
      </w:pPr>
    </w:p>
    <w:p w14:paraId="4670D7DF">
      <w:pPr>
        <w:spacing w:line="360" w:lineRule="auto"/>
        <w:ind w:firstLine="470" w:firstLineChars="196"/>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本授权委托书声明：我</w:t>
      </w:r>
      <w:r>
        <w:rPr>
          <w:rFonts w:hint="eastAsia" w:asciiTheme="minorEastAsia" w:hAnsiTheme="minorEastAsia" w:eastAsiaTheme="minorEastAsia" w:cstheme="minorEastAsia"/>
          <w:color w:val="auto"/>
          <w:sz w:val="24"/>
          <w:szCs w:val="24"/>
          <w:highlight w:val="none"/>
          <w:u w:val="single"/>
        </w:rPr>
        <w:t> （姓名）</w:t>
      </w:r>
      <w:r>
        <w:rPr>
          <w:rFonts w:hint="eastAsia" w:asciiTheme="minorEastAsia" w:hAnsiTheme="minorEastAsia" w:eastAsiaTheme="minorEastAsia" w:cstheme="minorEastAsia"/>
          <w:color w:val="auto"/>
          <w:sz w:val="24"/>
          <w:szCs w:val="24"/>
          <w:highlight w:val="none"/>
        </w:rPr>
        <w:t>系</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eastAsia="zh-CN"/>
        </w:rPr>
        <w:t>磋商供应商</w:t>
      </w:r>
      <w:r>
        <w:rPr>
          <w:rFonts w:hint="eastAsia" w:asciiTheme="minorEastAsia" w:hAnsiTheme="minorEastAsia" w:eastAsiaTheme="minorEastAsia" w:cstheme="minorEastAsia"/>
          <w:color w:val="auto"/>
          <w:sz w:val="24"/>
          <w:szCs w:val="24"/>
          <w:highlight w:val="none"/>
          <w:u w:val="single"/>
        </w:rPr>
        <w:t>名称）</w:t>
      </w:r>
      <w:r>
        <w:rPr>
          <w:rFonts w:hint="eastAsia" w:asciiTheme="minorEastAsia" w:hAnsiTheme="minorEastAsia" w:eastAsiaTheme="minorEastAsia" w:cstheme="minorEastAsia"/>
          <w:color w:val="auto"/>
          <w:sz w:val="24"/>
          <w:szCs w:val="24"/>
          <w:highlight w:val="none"/>
        </w:rPr>
        <w:t>的法定代表人，现授权委托</w:t>
      </w:r>
      <w:r>
        <w:rPr>
          <w:rFonts w:hint="eastAsia" w:asciiTheme="minorEastAsia" w:hAnsiTheme="minorEastAsia" w:eastAsiaTheme="minorEastAsia" w:cstheme="minorEastAsia"/>
          <w:color w:val="auto"/>
          <w:sz w:val="24"/>
          <w:szCs w:val="24"/>
          <w:highlight w:val="none"/>
          <w:u w:val="single"/>
        </w:rPr>
        <w:t xml:space="preserve">      （单位名称）     </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u w:val="single"/>
        </w:rPr>
        <w:t xml:space="preserve">    （姓名）</w:t>
      </w:r>
      <w:r>
        <w:rPr>
          <w:rFonts w:hint="eastAsia" w:asciiTheme="minorEastAsia" w:hAnsiTheme="minorEastAsia" w:eastAsiaTheme="minorEastAsia" w:cstheme="minorEastAsia"/>
          <w:color w:val="auto"/>
          <w:sz w:val="24"/>
          <w:szCs w:val="24"/>
          <w:highlight w:val="none"/>
        </w:rPr>
        <w:t>为我公司签署</w:t>
      </w:r>
      <w:r>
        <w:rPr>
          <w:rFonts w:hint="eastAsia" w:asciiTheme="minorEastAsia" w:hAnsiTheme="minorEastAsia" w:eastAsiaTheme="minorEastAsia" w:cstheme="minorEastAsia"/>
          <w:color w:val="auto"/>
          <w:sz w:val="24"/>
          <w:szCs w:val="24"/>
          <w:highlight w:val="none"/>
          <w:u w:val="single"/>
        </w:rPr>
        <w:t xml:space="preserve">                    （项目名称及项目编号）</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的法定代表人授权委托代理人，我承认代理人全权代表我所签署的本工程的</w:t>
      </w:r>
      <w:r>
        <w:rPr>
          <w:rFonts w:hint="eastAsia" w:asciiTheme="minorEastAsia" w:hAnsiTheme="minorEastAsia" w:eastAsiaTheme="minorEastAsia" w:cstheme="minorEastAsia"/>
          <w:color w:val="auto"/>
          <w:sz w:val="24"/>
          <w:szCs w:val="24"/>
          <w:highlight w:val="none"/>
          <w:lang w:eastAsia="zh-CN"/>
        </w:rPr>
        <w:t>《响应文件》</w:t>
      </w:r>
      <w:r>
        <w:rPr>
          <w:rFonts w:hint="eastAsia" w:asciiTheme="minorEastAsia" w:hAnsiTheme="minorEastAsia" w:eastAsiaTheme="minorEastAsia" w:cstheme="minorEastAsia"/>
          <w:color w:val="auto"/>
          <w:sz w:val="24"/>
          <w:szCs w:val="24"/>
          <w:highlight w:val="none"/>
        </w:rPr>
        <w:t>的内容。</w:t>
      </w:r>
    </w:p>
    <w:p w14:paraId="7C3E6747">
      <w:pPr>
        <w:spacing w:line="40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代理人无转委托权，特此委托。</w:t>
      </w:r>
    </w:p>
    <w:p w14:paraId="63413747">
      <w:pPr>
        <w:spacing w:line="400" w:lineRule="exact"/>
        <w:rPr>
          <w:rFonts w:hint="eastAsia" w:asciiTheme="minorEastAsia" w:hAnsiTheme="minorEastAsia" w:eastAsiaTheme="minorEastAsia" w:cstheme="minorEastAsia"/>
          <w:color w:val="auto"/>
          <w:sz w:val="24"/>
          <w:szCs w:val="24"/>
          <w:highlight w:val="none"/>
        </w:rPr>
      </w:pPr>
    </w:p>
    <w:p w14:paraId="3A612E7E">
      <w:pPr>
        <w:spacing w:line="400" w:lineRule="exact"/>
        <w:rPr>
          <w:rFonts w:hint="eastAsia" w:asciiTheme="minorEastAsia" w:hAnsiTheme="minorEastAsia" w:eastAsiaTheme="minorEastAsia" w:cstheme="minorEastAsia"/>
          <w:color w:val="auto"/>
          <w:sz w:val="24"/>
          <w:szCs w:val="24"/>
          <w:highlight w:val="none"/>
        </w:rPr>
      </w:pPr>
    </w:p>
    <w:p w14:paraId="50DCBFBC">
      <w:pPr>
        <w:spacing w:line="400" w:lineRule="exact"/>
        <w:rPr>
          <w:rFonts w:hint="eastAsia" w:asciiTheme="minorEastAsia" w:hAnsiTheme="minorEastAsia" w:eastAsiaTheme="minorEastAsia" w:cstheme="minorEastAsia"/>
          <w:color w:val="auto"/>
          <w:sz w:val="24"/>
          <w:szCs w:val="24"/>
          <w:highlight w:val="none"/>
        </w:rPr>
      </w:pPr>
    </w:p>
    <w:p w14:paraId="210D0BF6">
      <w:pPr>
        <w:spacing w:line="400" w:lineRule="exact"/>
        <w:rPr>
          <w:rFonts w:hint="eastAsia" w:asciiTheme="minorEastAsia" w:hAnsiTheme="minorEastAsia" w:eastAsiaTheme="minorEastAsia" w:cstheme="minorEastAsia"/>
          <w:color w:val="auto"/>
          <w:sz w:val="24"/>
          <w:szCs w:val="24"/>
          <w:highlight w:val="none"/>
        </w:rPr>
      </w:pPr>
    </w:p>
    <w:p w14:paraId="6A0450D9">
      <w:pPr>
        <w:wordWrap w:val="0"/>
        <w:spacing w:line="360" w:lineRule="auto"/>
        <w:ind w:left="2699"/>
        <w:jc w:val="center"/>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性别：</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年龄：</w:t>
      </w:r>
      <w:r>
        <w:rPr>
          <w:rFonts w:hint="eastAsia" w:asciiTheme="minorEastAsia" w:hAnsiTheme="minorEastAsia" w:eastAsiaTheme="minorEastAsia" w:cstheme="minorEastAsia"/>
          <w:color w:val="auto"/>
          <w:sz w:val="24"/>
          <w:szCs w:val="24"/>
          <w:highlight w:val="none"/>
          <w:u w:val="single"/>
        </w:rPr>
        <w:t xml:space="preserve">      </w:t>
      </w:r>
    </w:p>
    <w:p w14:paraId="79A93B60">
      <w:pPr>
        <w:spacing w:line="360" w:lineRule="auto"/>
        <w:ind w:right="124" w:firstLine="4560" w:firstLineChars="19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身份证号码：</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p>
    <w:p w14:paraId="6E861D57">
      <w:pPr>
        <w:spacing w:line="360" w:lineRule="auto"/>
        <w:ind w:left="2699"/>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lang w:eastAsia="zh-CN"/>
        </w:rPr>
        <w:t>磋商供应商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（公章</w:t>
      </w:r>
      <w:r>
        <w:rPr>
          <w:rFonts w:hint="eastAsia" w:asciiTheme="minorEastAsia" w:hAnsiTheme="minorEastAsia" w:eastAsiaTheme="minorEastAsia" w:cstheme="minorEastAsia"/>
          <w:color w:val="auto"/>
          <w:sz w:val="24"/>
          <w:szCs w:val="24"/>
          <w:highlight w:val="none"/>
          <w:u w:val="single"/>
          <w:lang w:val="en-US" w:eastAsia="zh-CN"/>
        </w:rPr>
        <w:t>或</w:t>
      </w:r>
      <w:r>
        <w:rPr>
          <w:rFonts w:hint="eastAsia" w:asciiTheme="minorEastAsia" w:hAnsiTheme="minorEastAsia" w:eastAsiaTheme="minorEastAsia" w:cstheme="minorEastAsia"/>
          <w:color w:val="auto"/>
          <w:sz w:val="24"/>
          <w:szCs w:val="24"/>
          <w:highlight w:val="none"/>
          <w:u w:val="single"/>
          <w:lang w:eastAsia="zh-CN"/>
        </w:rPr>
        <w:t>电子CA签章</w:t>
      </w:r>
      <w:r>
        <w:rPr>
          <w:rFonts w:hint="eastAsia" w:asciiTheme="minorEastAsia" w:hAnsiTheme="minorEastAsia" w:eastAsiaTheme="minorEastAsia" w:cstheme="minorEastAsia"/>
          <w:color w:val="auto"/>
          <w:sz w:val="24"/>
          <w:szCs w:val="24"/>
          <w:highlight w:val="none"/>
          <w:u w:val="single"/>
        </w:rPr>
        <w:t>）</w:t>
      </w:r>
    </w:p>
    <w:p w14:paraId="7EE1853F">
      <w:pPr>
        <w:spacing w:line="360" w:lineRule="auto"/>
        <w:ind w:left="2699"/>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（手写签名</w:t>
      </w:r>
      <w:r>
        <w:rPr>
          <w:rFonts w:hint="eastAsia" w:asciiTheme="minorEastAsia" w:hAnsiTheme="minorEastAsia" w:eastAsiaTheme="minorEastAsia" w:cstheme="minorEastAsia"/>
          <w:color w:val="auto"/>
          <w:sz w:val="24"/>
          <w:szCs w:val="24"/>
          <w:highlight w:val="none"/>
          <w:u w:val="single"/>
          <w:lang w:val="en-US" w:eastAsia="zh-CN"/>
        </w:rPr>
        <w:t>或</w:t>
      </w:r>
      <w:r>
        <w:rPr>
          <w:rFonts w:hint="eastAsia" w:asciiTheme="minorEastAsia" w:hAnsiTheme="minorEastAsia" w:eastAsiaTheme="minorEastAsia" w:cstheme="minorEastAsia"/>
          <w:color w:val="auto"/>
          <w:sz w:val="24"/>
          <w:szCs w:val="24"/>
          <w:highlight w:val="none"/>
          <w:u w:val="single"/>
        </w:rPr>
        <w:t>电子签名）</w:t>
      </w:r>
    </w:p>
    <w:p w14:paraId="0B17685C">
      <w:pPr>
        <w:spacing w:line="360" w:lineRule="auto"/>
        <w:ind w:left="2699" w:firstLine="1440" w:firstLineChars="6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授权委托日期：</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日 </w:t>
      </w:r>
    </w:p>
    <w:p w14:paraId="125374BF">
      <w:pPr>
        <w:spacing w:line="400" w:lineRule="exact"/>
        <w:rPr>
          <w:rFonts w:hint="eastAsia" w:asciiTheme="minorEastAsia" w:hAnsiTheme="minorEastAsia" w:eastAsiaTheme="minorEastAsia" w:cstheme="minorEastAsia"/>
          <w:color w:val="auto"/>
          <w:sz w:val="24"/>
          <w:szCs w:val="24"/>
          <w:highlight w:val="none"/>
        </w:rPr>
      </w:pPr>
    </w:p>
    <w:p w14:paraId="38DFE0F2">
      <w:pPr>
        <w:spacing w:line="400" w:lineRule="exact"/>
        <w:rPr>
          <w:rFonts w:hint="eastAsia" w:asciiTheme="minorEastAsia" w:hAnsiTheme="minorEastAsia" w:eastAsiaTheme="minorEastAsia" w:cstheme="minorEastAsia"/>
          <w:color w:val="auto"/>
          <w:highlight w:val="none"/>
        </w:rPr>
      </w:pPr>
    </w:p>
    <w:p w14:paraId="6D1A0F44">
      <w:pPr>
        <w:spacing w:line="400" w:lineRule="exact"/>
        <w:rPr>
          <w:rFonts w:hint="eastAsia" w:asciiTheme="minorEastAsia" w:hAnsiTheme="minorEastAsia" w:eastAsiaTheme="minorEastAsia" w:cstheme="minorEastAsia"/>
          <w:color w:val="auto"/>
          <w:highlight w:val="none"/>
        </w:rPr>
      </w:pPr>
    </w:p>
    <w:p w14:paraId="4CFBDFC8">
      <w:pPr>
        <w:spacing w:line="400" w:lineRule="exact"/>
        <w:rPr>
          <w:rFonts w:hint="eastAsia" w:asciiTheme="minorEastAsia" w:hAnsiTheme="minorEastAsia" w:eastAsiaTheme="minorEastAsia" w:cstheme="minorEastAsia"/>
          <w:color w:val="auto"/>
          <w:highlight w:val="none"/>
        </w:rPr>
      </w:pPr>
    </w:p>
    <w:p w14:paraId="4C60C831">
      <w:pPr>
        <w:spacing w:line="400" w:lineRule="exact"/>
        <w:rPr>
          <w:rFonts w:hint="eastAsia" w:asciiTheme="minorEastAsia" w:hAnsiTheme="minorEastAsia" w:eastAsiaTheme="minorEastAsia" w:cstheme="minorEastAsia"/>
          <w:color w:val="auto"/>
          <w:highlight w:val="none"/>
        </w:rPr>
      </w:pPr>
    </w:p>
    <w:p w14:paraId="5661BCB4">
      <w:pPr>
        <w:spacing w:line="400" w:lineRule="exact"/>
        <w:rPr>
          <w:rFonts w:hint="eastAsia" w:asciiTheme="minorEastAsia" w:hAnsiTheme="minorEastAsia" w:eastAsiaTheme="minorEastAsia" w:cstheme="minorEastAsia"/>
          <w:color w:val="auto"/>
          <w:highlight w:val="none"/>
        </w:rPr>
      </w:pPr>
    </w:p>
    <w:p w14:paraId="23992E3A">
      <w:pPr>
        <w:spacing w:line="400" w:lineRule="exac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附：委托代理人二代居民身份证</w:t>
      </w:r>
      <w:r>
        <w:rPr>
          <w:rFonts w:hint="eastAsia" w:asciiTheme="minorEastAsia" w:hAnsiTheme="minorEastAsia" w:eastAsiaTheme="minorEastAsia" w:cstheme="minorEastAsia"/>
          <w:b/>
          <w:color w:val="auto"/>
          <w:sz w:val="24"/>
          <w:szCs w:val="24"/>
          <w:highlight w:val="none"/>
          <w:lang w:val="en-US" w:eastAsia="zh-CN"/>
        </w:rPr>
        <w:t>正、反两面</w:t>
      </w:r>
      <w:r>
        <w:rPr>
          <w:rFonts w:hint="eastAsia" w:asciiTheme="minorEastAsia" w:hAnsiTheme="minorEastAsia" w:eastAsiaTheme="minorEastAsia" w:cstheme="minorEastAsia"/>
          <w:b/>
          <w:bCs/>
          <w:color w:val="auto"/>
          <w:sz w:val="24"/>
          <w:szCs w:val="24"/>
          <w:highlight w:val="none"/>
          <w:lang w:eastAsia="zh-CN"/>
        </w:rPr>
        <w:t>扫描件</w:t>
      </w:r>
      <w:r>
        <w:rPr>
          <w:rFonts w:hint="eastAsia" w:asciiTheme="minorEastAsia" w:hAnsiTheme="minorEastAsia" w:eastAsiaTheme="minorEastAsia" w:cstheme="minorEastAsia"/>
          <w:b/>
          <w:bCs/>
          <w:color w:val="auto"/>
          <w:sz w:val="24"/>
          <w:szCs w:val="24"/>
          <w:highlight w:val="none"/>
        </w:rPr>
        <w:t>。</w:t>
      </w:r>
    </w:p>
    <w:p w14:paraId="22A1B948">
      <w:pPr>
        <w:ind w:firstLine="420" w:firstLineChars="200"/>
        <w:rPr>
          <w:rFonts w:hint="eastAsia" w:asciiTheme="minorEastAsia" w:hAnsiTheme="minorEastAsia" w:eastAsiaTheme="minorEastAsia" w:cstheme="minorEastAsia"/>
          <w:color w:val="auto"/>
          <w:szCs w:val="21"/>
          <w:highlight w:val="none"/>
        </w:rPr>
      </w:pPr>
    </w:p>
    <w:p w14:paraId="7F9D55EF">
      <w:pPr>
        <w:rPr>
          <w:rFonts w:hint="eastAsia" w:asciiTheme="minorEastAsia" w:hAnsiTheme="minorEastAsia" w:eastAsiaTheme="minorEastAsia" w:cstheme="minorEastAsia"/>
          <w:b/>
          <w:color w:val="auto"/>
          <w:szCs w:val="21"/>
          <w:highlight w:val="none"/>
        </w:rPr>
      </w:pPr>
    </w:p>
    <w:p w14:paraId="18A1B2FF">
      <w:pPr>
        <w:rPr>
          <w:rFonts w:hint="eastAsia" w:asciiTheme="minorEastAsia" w:hAnsiTheme="minorEastAsia" w:eastAsiaTheme="minorEastAsia" w:cstheme="minorEastAsia"/>
          <w:b/>
          <w:bCs/>
          <w:color w:val="auto"/>
          <w:sz w:val="24"/>
          <w:highlight w:val="none"/>
        </w:rPr>
      </w:pPr>
    </w:p>
    <w:p w14:paraId="7F2B1726">
      <w:pPr>
        <w:pStyle w:val="35"/>
        <w:rPr>
          <w:rFonts w:hint="eastAsia" w:asciiTheme="minorEastAsia" w:hAnsiTheme="minorEastAsia" w:eastAsiaTheme="minorEastAsia" w:cstheme="minorEastAsia"/>
          <w:b/>
          <w:bCs/>
          <w:color w:val="auto"/>
          <w:sz w:val="24"/>
          <w:highlight w:val="none"/>
        </w:rPr>
      </w:pPr>
    </w:p>
    <w:p w14:paraId="0265A3E7">
      <w:pPr>
        <w:ind w:firstLine="315" w:firstLineChars="150"/>
        <w:rPr>
          <w:rFonts w:hint="eastAsia" w:asciiTheme="minorEastAsia" w:hAnsiTheme="minorEastAsia" w:eastAsiaTheme="minorEastAsia" w:cstheme="minorEastAsia"/>
          <w:bCs/>
          <w:color w:val="auto"/>
          <w:szCs w:val="21"/>
          <w:highlight w:val="none"/>
          <w:lang w:val="en-US" w:eastAsia="zh-CN"/>
        </w:rPr>
      </w:pPr>
    </w:p>
    <w:p w14:paraId="0A69C735">
      <w:pPr>
        <w:rPr>
          <w:rFonts w:hint="eastAsia" w:asciiTheme="minorEastAsia" w:hAnsiTheme="minorEastAsia" w:eastAsiaTheme="minorEastAsia" w:cstheme="minorEastAsia"/>
          <w:bCs/>
          <w:color w:val="auto"/>
          <w:szCs w:val="21"/>
          <w:highlight w:val="none"/>
        </w:rPr>
      </w:pPr>
    </w:p>
    <w:p w14:paraId="2EE4BB9A">
      <w:pP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br w:type="page"/>
      </w:r>
    </w:p>
    <w:p w14:paraId="741537DA">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14:paraId="0421031C">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Theme="minorEastAsia" w:hAnsiTheme="minorEastAsia" w:eastAsiaTheme="minorEastAsia" w:cstheme="minorEastAsia"/>
          <w:b/>
          <w:color w:val="auto"/>
          <w:kern w:val="2"/>
          <w:sz w:val="28"/>
          <w:szCs w:val="28"/>
          <w:highlight w:val="none"/>
          <w:lang w:val="en-US" w:eastAsia="zh-CN" w:bidi="ar-SA"/>
        </w:rPr>
        <w:t>附件3：中小企业声明函（格式）</w:t>
      </w:r>
    </w:p>
    <w:p w14:paraId="47C61088">
      <w:pPr>
        <w:spacing w:before="65" w:line="381" w:lineRule="auto"/>
        <w:ind w:right="13" w:firstLine="419"/>
        <w:jc w:val="both"/>
        <w:rPr>
          <w:rFonts w:hint="eastAsia" w:asciiTheme="minorEastAsia" w:hAnsiTheme="minorEastAsia" w:eastAsiaTheme="minorEastAsia" w:cstheme="minorEastAsia"/>
          <w:color w:val="auto"/>
          <w:kern w:val="2"/>
          <w:sz w:val="21"/>
          <w:szCs w:val="21"/>
          <w:highlight w:val="none"/>
          <w:lang w:val="en-US" w:eastAsia="zh-CN" w:bidi="ar-SA"/>
        </w:rPr>
      </w:pPr>
    </w:p>
    <w:p w14:paraId="538B596C">
      <w:pPr>
        <w:spacing w:before="65" w:line="381" w:lineRule="auto"/>
        <w:ind w:right="13" w:firstLine="419"/>
        <w:jc w:val="both"/>
        <w:rPr>
          <w:rFonts w:hint="eastAsia" w:ascii="宋体" w:hAnsi="宋体" w:eastAsia="宋体" w:cs="宋体"/>
          <w:sz w:val="24"/>
          <w:szCs w:val="24"/>
        </w:rPr>
      </w:pPr>
      <w:r>
        <w:rPr>
          <w:rFonts w:hint="eastAsia" w:ascii="宋体" w:hAnsi="宋体" w:eastAsia="宋体" w:cs="宋体"/>
          <w:color w:val="auto"/>
          <w:kern w:val="2"/>
          <w:sz w:val="24"/>
          <w:szCs w:val="24"/>
          <w:highlight w:val="none"/>
          <w:lang w:val="en-US" w:eastAsia="zh-CN" w:bidi="ar-SA"/>
        </w:rPr>
        <w:t>本</w:t>
      </w:r>
      <w:r>
        <w:rPr>
          <w:rFonts w:hint="eastAsia" w:ascii="宋体" w:hAnsi="宋体" w:eastAsia="宋体" w:cs="宋体"/>
          <w:spacing w:val="6"/>
          <w:sz w:val="24"/>
          <w:szCs w:val="24"/>
        </w:rPr>
        <w:t>公司（联合体）郑重声明，根据《政府采购</w:t>
      </w:r>
      <w:r>
        <w:rPr>
          <w:rFonts w:hint="eastAsia" w:ascii="宋体" w:hAnsi="宋体" w:eastAsia="宋体" w:cs="宋体"/>
          <w:spacing w:val="5"/>
          <w:sz w:val="24"/>
          <w:szCs w:val="24"/>
        </w:rPr>
        <w:t>促进中小企业发展管理办法》（财库﹝2020﹞46号</w:t>
      </w:r>
      <w:r>
        <w:rPr>
          <w:rFonts w:hint="eastAsia" w:ascii="宋体" w:hAnsi="宋体" w:eastAsia="宋体" w:cs="宋体"/>
          <w:spacing w:val="10"/>
          <w:sz w:val="24"/>
          <w:szCs w:val="24"/>
        </w:rPr>
        <w:t>的规定，本公司（联合体）参加</w:t>
      </w:r>
      <w:r>
        <w:rPr>
          <w:rFonts w:hint="eastAsia" w:ascii="宋体" w:hAnsi="宋体" w:eastAsia="宋体" w:cs="宋体"/>
          <w:spacing w:val="-96"/>
          <w:sz w:val="24"/>
          <w:szCs w:val="24"/>
        </w:rPr>
        <w:t xml:space="preserve"> </w:t>
      </w:r>
      <w:r>
        <w:rPr>
          <w:rFonts w:hint="eastAsia" w:ascii="宋体" w:hAnsi="宋体" w:eastAsia="宋体" w:cs="宋体"/>
          <w:spacing w:val="10"/>
          <w:sz w:val="24"/>
          <w:szCs w:val="24"/>
          <w:u w:val="single" w:color="auto"/>
        </w:rPr>
        <w:t xml:space="preserve"> （单位名称） </w:t>
      </w:r>
      <w:r>
        <w:rPr>
          <w:rFonts w:hint="eastAsia" w:ascii="宋体" w:hAnsi="宋体" w:eastAsia="宋体" w:cs="宋体"/>
          <w:spacing w:val="-74"/>
          <w:sz w:val="24"/>
          <w:szCs w:val="24"/>
        </w:rPr>
        <w:t xml:space="preserve"> </w:t>
      </w:r>
      <w:r>
        <w:rPr>
          <w:rFonts w:hint="eastAsia" w:ascii="宋体" w:hAnsi="宋体" w:eastAsia="宋体" w:cs="宋体"/>
          <w:spacing w:val="10"/>
          <w:sz w:val="24"/>
          <w:szCs w:val="24"/>
        </w:rPr>
        <w:t>的</w:t>
      </w:r>
      <w:r>
        <w:rPr>
          <w:rFonts w:hint="eastAsia" w:ascii="宋体" w:hAnsi="宋体" w:eastAsia="宋体" w:cs="宋体"/>
          <w:spacing w:val="10"/>
          <w:sz w:val="24"/>
          <w:szCs w:val="24"/>
          <w:u w:val="single" w:color="auto"/>
        </w:rPr>
        <w:t xml:space="preserve"> （项目名称） </w:t>
      </w:r>
      <w:r>
        <w:rPr>
          <w:rFonts w:hint="eastAsia" w:ascii="宋体" w:hAnsi="宋体" w:eastAsia="宋体" w:cs="宋体"/>
          <w:spacing w:val="-92"/>
          <w:sz w:val="24"/>
          <w:szCs w:val="24"/>
        </w:rPr>
        <w:t xml:space="preserve"> </w:t>
      </w:r>
      <w:r>
        <w:rPr>
          <w:rFonts w:hint="eastAsia" w:ascii="宋体" w:hAnsi="宋体" w:eastAsia="宋体" w:cs="宋体"/>
          <w:spacing w:val="10"/>
          <w:sz w:val="24"/>
          <w:szCs w:val="24"/>
        </w:rPr>
        <w:t>采购活</w:t>
      </w:r>
      <w:r>
        <w:rPr>
          <w:rFonts w:hint="eastAsia" w:ascii="宋体" w:hAnsi="宋体" w:eastAsia="宋体" w:cs="宋体"/>
          <w:spacing w:val="9"/>
          <w:sz w:val="24"/>
          <w:szCs w:val="24"/>
        </w:rPr>
        <w:t>动，工程的施工单位全部为</w:t>
      </w:r>
      <w:r>
        <w:rPr>
          <w:rFonts w:hint="eastAsia" w:ascii="宋体" w:hAnsi="宋体" w:eastAsia="宋体" w:cs="宋体"/>
          <w:spacing w:val="10"/>
          <w:sz w:val="24"/>
          <w:szCs w:val="24"/>
        </w:rPr>
        <w:t>符合政策要求的中小企业（或者：服务全部由符合政策要求的中小企业承接）</w:t>
      </w:r>
      <w:r>
        <w:rPr>
          <w:rFonts w:hint="eastAsia" w:ascii="宋体" w:hAnsi="宋体" w:eastAsia="宋体" w:cs="宋体"/>
          <w:spacing w:val="-54"/>
          <w:sz w:val="24"/>
          <w:szCs w:val="24"/>
        </w:rPr>
        <w:t xml:space="preserve"> </w:t>
      </w:r>
      <w:r>
        <w:rPr>
          <w:rFonts w:hint="eastAsia" w:ascii="宋体" w:hAnsi="宋体" w:eastAsia="宋体" w:cs="宋体"/>
          <w:spacing w:val="10"/>
          <w:sz w:val="24"/>
          <w:szCs w:val="24"/>
        </w:rPr>
        <w:t>。相关企业（含联合体</w:t>
      </w:r>
      <w:r>
        <w:rPr>
          <w:rFonts w:hint="eastAsia" w:ascii="宋体" w:hAnsi="宋体" w:eastAsia="宋体" w:cs="宋体"/>
          <w:spacing w:val="9"/>
          <w:sz w:val="24"/>
          <w:szCs w:val="24"/>
        </w:rPr>
        <w:t>中的中小企业、签订分包意向协议的中小企业）的具体情况如下：</w:t>
      </w:r>
    </w:p>
    <w:p w14:paraId="52D8FA2E">
      <w:pPr>
        <w:spacing w:before="30" w:line="338" w:lineRule="auto"/>
        <w:ind w:left="1" w:right="48" w:firstLine="432"/>
        <w:rPr>
          <w:rFonts w:hint="eastAsia" w:ascii="宋体" w:hAnsi="宋体" w:eastAsia="宋体" w:cs="宋体"/>
          <w:sz w:val="24"/>
          <w:szCs w:val="24"/>
        </w:rPr>
      </w:pPr>
      <w:r>
        <w:rPr>
          <w:rFonts w:hint="eastAsia" w:ascii="宋体" w:hAnsi="宋体" w:eastAsia="宋体" w:cs="宋体"/>
          <w:spacing w:val="5"/>
          <w:sz w:val="24"/>
          <w:szCs w:val="24"/>
        </w:rPr>
        <w:t>1.</w:t>
      </w:r>
      <w:r>
        <w:rPr>
          <w:rFonts w:hint="eastAsia" w:ascii="宋体" w:hAnsi="宋体" w:eastAsia="宋体" w:cs="宋体"/>
          <w:spacing w:val="5"/>
          <w:sz w:val="24"/>
          <w:szCs w:val="24"/>
          <w:u w:val="single" w:color="auto"/>
        </w:rPr>
        <w:t xml:space="preserve"> （标的名称</w:t>
      </w:r>
      <w:r>
        <w:rPr>
          <w:rFonts w:hint="eastAsia" w:ascii="宋体" w:hAnsi="宋体" w:eastAsia="宋体" w:cs="宋体"/>
          <w:spacing w:val="-15"/>
          <w:sz w:val="24"/>
          <w:szCs w:val="24"/>
          <w:u w:val="single" w:color="auto"/>
        </w:rPr>
        <w:t>）</w:t>
      </w:r>
      <w:r>
        <w:rPr>
          <w:rFonts w:hint="eastAsia" w:ascii="宋体" w:hAnsi="宋体" w:eastAsia="宋体" w:cs="宋体"/>
          <w:spacing w:val="-4"/>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5"/>
          <w:sz w:val="24"/>
          <w:szCs w:val="24"/>
        </w:rPr>
        <w:t>属于</w:t>
      </w:r>
      <w:r>
        <w:rPr>
          <w:rFonts w:hint="eastAsia" w:ascii="宋体" w:hAnsi="宋体" w:eastAsia="宋体" w:cs="宋体"/>
          <w:spacing w:val="5"/>
          <w:sz w:val="24"/>
          <w:szCs w:val="24"/>
          <w:u w:val="single" w:color="auto"/>
        </w:rPr>
        <w:t xml:space="preserve"> （采购文件中明确的所属行业</w:t>
      </w:r>
      <w:r>
        <w:rPr>
          <w:rFonts w:hint="eastAsia" w:ascii="宋体" w:hAnsi="宋体" w:eastAsia="宋体" w:cs="宋体"/>
          <w:spacing w:val="-15"/>
          <w:sz w:val="24"/>
          <w:szCs w:val="24"/>
          <w:u w:val="single" w:color="auto"/>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73"/>
          <w:sz w:val="24"/>
          <w:szCs w:val="24"/>
        </w:rPr>
        <w:t xml:space="preserve"> </w:t>
      </w:r>
      <w:r>
        <w:rPr>
          <w:rFonts w:hint="eastAsia" w:ascii="宋体" w:hAnsi="宋体" w:eastAsia="宋体" w:cs="宋体"/>
          <w:spacing w:val="-15"/>
          <w:sz w:val="24"/>
          <w:szCs w:val="24"/>
        </w:rPr>
        <w:t>；</w:t>
      </w:r>
      <w:r>
        <w:rPr>
          <w:rFonts w:hint="eastAsia" w:ascii="宋体" w:hAnsi="宋体" w:eastAsia="宋体" w:cs="宋体"/>
          <w:spacing w:val="5"/>
          <w:sz w:val="24"/>
          <w:szCs w:val="24"/>
        </w:rPr>
        <w:t>承建（承接）企业为</w:t>
      </w:r>
      <w:r>
        <w:rPr>
          <w:rFonts w:hint="eastAsia" w:ascii="宋体" w:hAnsi="宋体" w:eastAsia="宋体" w:cs="宋体"/>
          <w:spacing w:val="5"/>
          <w:sz w:val="24"/>
          <w:szCs w:val="24"/>
          <w:u w:val="single" w:color="auto"/>
        </w:rPr>
        <w:t xml:space="preserve"> （企业名称</w:t>
      </w:r>
      <w:r>
        <w:rPr>
          <w:rFonts w:hint="eastAsia" w:ascii="宋体" w:hAnsi="宋体" w:eastAsia="宋体" w:cs="宋体"/>
          <w:spacing w:val="-15"/>
          <w:sz w:val="24"/>
          <w:szCs w:val="24"/>
          <w:u w:val="single" w:color="auto"/>
        </w:rPr>
        <w:t>）</w:t>
      </w:r>
      <w:r>
        <w:rPr>
          <w:rFonts w:hint="eastAsia" w:ascii="宋体" w:hAnsi="宋体" w:eastAsia="宋体" w:cs="宋体"/>
          <w:spacing w:val="-42"/>
          <w:sz w:val="24"/>
          <w:szCs w:val="24"/>
          <w:u w:val="single" w:color="auto"/>
        </w:rPr>
        <w:t xml:space="preserve"> </w:t>
      </w:r>
      <w:r>
        <w:rPr>
          <w:rFonts w:hint="eastAsia" w:ascii="宋体" w:hAnsi="宋体" w:eastAsia="宋体" w:cs="宋体"/>
          <w:spacing w:val="-15"/>
          <w:sz w:val="24"/>
          <w:szCs w:val="24"/>
        </w:rPr>
        <w:t>，</w:t>
      </w:r>
      <w:r>
        <w:rPr>
          <w:rFonts w:hint="eastAsia" w:ascii="宋体" w:hAnsi="宋体" w:eastAsia="宋体" w:cs="宋体"/>
          <w:sz w:val="24"/>
          <w:szCs w:val="24"/>
        </w:rPr>
        <w:t xml:space="preserve"> </w:t>
      </w:r>
      <w:r>
        <w:rPr>
          <w:rFonts w:hint="eastAsia" w:ascii="宋体" w:hAnsi="宋体" w:eastAsia="宋体" w:cs="宋体"/>
          <w:spacing w:val="7"/>
          <w:sz w:val="24"/>
          <w:szCs w:val="24"/>
        </w:rPr>
        <w:t>从业人员</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人，营业收入为</w:t>
      </w:r>
      <w:r>
        <w:rPr>
          <w:rFonts w:hint="eastAsia" w:ascii="宋体" w:hAnsi="宋体" w:eastAsia="宋体" w:cs="宋体"/>
          <w:spacing w:val="7"/>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7"/>
          <w:sz w:val="24"/>
          <w:szCs w:val="24"/>
        </w:rPr>
        <w:t>万元，资产总额为</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7"/>
          <w:sz w:val="24"/>
          <w:szCs w:val="24"/>
        </w:rPr>
        <w:t>万元，属于</w:t>
      </w:r>
      <w:r>
        <w:rPr>
          <w:rFonts w:hint="eastAsia" w:ascii="宋体" w:hAnsi="宋体" w:eastAsia="宋体" w:cs="宋体"/>
          <w:spacing w:val="7"/>
          <w:sz w:val="24"/>
          <w:szCs w:val="24"/>
          <w:u w:val="single" w:color="auto"/>
        </w:rPr>
        <w:t xml:space="preserve"> （中型企业、小型企</w:t>
      </w:r>
      <w:r>
        <w:rPr>
          <w:rFonts w:hint="eastAsia" w:ascii="宋体" w:hAnsi="宋体" w:eastAsia="宋体" w:cs="宋体"/>
          <w:spacing w:val="6"/>
          <w:sz w:val="24"/>
          <w:szCs w:val="24"/>
          <w:u w:val="single" w:color="auto"/>
        </w:rPr>
        <w:t>业、微型</w:t>
      </w:r>
      <w:r>
        <w:rPr>
          <w:rFonts w:hint="eastAsia" w:ascii="宋体" w:hAnsi="宋体" w:eastAsia="宋体" w:cs="宋体"/>
          <w:spacing w:val="1"/>
          <w:sz w:val="24"/>
          <w:szCs w:val="24"/>
          <w:u w:val="single" w:color="auto"/>
        </w:rPr>
        <w:t>企业）</w:t>
      </w:r>
      <w:r>
        <w:rPr>
          <w:rFonts w:hint="eastAsia" w:ascii="宋体" w:hAnsi="宋体" w:eastAsia="宋体" w:cs="宋体"/>
          <w:spacing w:val="1"/>
          <w:sz w:val="24"/>
          <w:szCs w:val="24"/>
        </w:rPr>
        <w:t>。</w:t>
      </w:r>
    </w:p>
    <w:p w14:paraId="40C87BA3">
      <w:pPr>
        <w:spacing w:before="161" w:line="338" w:lineRule="auto"/>
        <w:ind w:left="1" w:right="48" w:firstLine="420"/>
        <w:rPr>
          <w:rFonts w:hint="eastAsia" w:ascii="宋体" w:hAnsi="宋体" w:eastAsia="宋体" w:cs="宋体"/>
          <w:sz w:val="24"/>
          <w:szCs w:val="24"/>
        </w:rPr>
      </w:pPr>
      <w:r>
        <w:rPr>
          <w:rFonts w:hint="eastAsia" w:ascii="宋体" w:hAnsi="宋体" w:eastAsia="宋体" w:cs="宋体"/>
          <w:spacing w:val="6"/>
          <w:sz w:val="24"/>
          <w:szCs w:val="24"/>
        </w:rPr>
        <w:t>2.</w:t>
      </w:r>
      <w:r>
        <w:rPr>
          <w:rFonts w:hint="eastAsia" w:ascii="宋体" w:hAnsi="宋体" w:eastAsia="宋体" w:cs="宋体"/>
          <w:spacing w:val="6"/>
          <w:sz w:val="24"/>
          <w:szCs w:val="24"/>
          <w:u w:val="single" w:color="auto"/>
        </w:rPr>
        <w:t xml:space="preserve"> （标的名称</w:t>
      </w:r>
      <w:r>
        <w:rPr>
          <w:rFonts w:hint="eastAsia" w:ascii="宋体" w:hAnsi="宋体" w:eastAsia="宋体" w:cs="宋体"/>
          <w:spacing w:val="-17"/>
          <w:sz w:val="24"/>
          <w:szCs w:val="24"/>
          <w:u w:val="single" w:color="auto"/>
        </w:rPr>
        <w:t>）</w:t>
      </w:r>
      <w:r>
        <w:rPr>
          <w:rFonts w:hint="eastAsia" w:ascii="宋体" w:hAnsi="宋体" w:eastAsia="宋体" w:cs="宋体"/>
          <w:spacing w:val="-2"/>
          <w:sz w:val="24"/>
          <w:szCs w:val="24"/>
          <w:u w:val="single" w:color="auto"/>
        </w:rPr>
        <w:t xml:space="preserve"> </w:t>
      </w:r>
      <w:r>
        <w:rPr>
          <w:rFonts w:hint="eastAsia" w:ascii="宋体" w:hAnsi="宋体" w:eastAsia="宋体" w:cs="宋体"/>
          <w:spacing w:val="-75"/>
          <w:sz w:val="24"/>
          <w:szCs w:val="24"/>
        </w:rPr>
        <w:t xml:space="preserve"> </w:t>
      </w:r>
      <w:r>
        <w:rPr>
          <w:rFonts w:hint="eastAsia" w:ascii="宋体" w:hAnsi="宋体" w:eastAsia="宋体" w:cs="宋体"/>
          <w:spacing w:val="-17"/>
          <w:sz w:val="24"/>
          <w:szCs w:val="24"/>
        </w:rPr>
        <w:t>，</w:t>
      </w:r>
      <w:r>
        <w:rPr>
          <w:rFonts w:hint="eastAsia" w:ascii="宋体" w:hAnsi="宋体" w:eastAsia="宋体" w:cs="宋体"/>
          <w:spacing w:val="6"/>
          <w:sz w:val="24"/>
          <w:szCs w:val="24"/>
        </w:rPr>
        <w:t>属于</w:t>
      </w:r>
      <w:r>
        <w:rPr>
          <w:rFonts w:hint="eastAsia" w:ascii="宋体" w:hAnsi="宋体" w:eastAsia="宋体" w:cs="宋体"/>
          <w:spacing w:val="6"/>
          <w:sz w:val="24"/>
          <w:szCs w:val="24"/>
          <w:u w:val="single" w:color="auto"/>
        </w:rPr>
        <w:t xml:space="preserve"> （采购文件中明确的所属行</w:t>
      </w:r>
      <w:r>
        <w:rPr>
          <w:rFonts w:hint="eastAsia" w:ascii="宋体" w:hAnsi="宋体" w:eastAsia="宋体" w:cs="宋体"/>
          <w:spacing w:val="5"/>
          <w:sz w:val="24"/>
          <w:szCs w:val="24"/>
          <w:u w:val="single" w:color="auto"/>
        </w:rPr>
        <w:t>业</w:t>
      </w:r>
      <w:r>
        <w:rPr>
          <w:rFonts w:hint="eastAsia" w:ascii="宋体" w:hAnsi="宋体" w:eastAsia="宋体" w:cs="宋体"/>
          <w:spacing w:val="-17"/>
          <w:sz w:val="24"/>
          <w:szCs w:val="24"/>
          <w:u w:val="single" w:color="auto"/>
        </w:rPr>
        <w:t>）</w:t>
      </w:r>
      <w:r>
        <w:rPr>
          <w:rFonts w:hint="eastAsia" w:ascii="宋体" w:hAnsi="宋体" w:eastAsia="宋体" w:cs="宋体"/>
          <w:spacing w:val="-6"/>
          <w:sz w:val="24"/>
          <w:szCs w:val="24"/>
          <w:u w:val="single" w:color="auto"/>
        </w:rPr>
        <w:t xml:space="preserve"> </w:t>
      </w:r>
      <w:r>
        <w:rPr>
          <w:rFonts w:hint="eastAsia" w:ascii="宋体" w:hAnsi="宋体" w:eastAsia="宋体" w:cs="宋体"/>
          <w:spacing w:val="-73"/>
          <w:sz w:val="24"/>
          <w:szCs w:val="24"/>
        </w:rPr>
        <w:t xml:space="preserve"> </w:t>
      </w:r>
      <w:r>
        <w:rPr>
          <w:rFonts w:hint="eastAsia" w:ascii="宋体" w:hAnsi="宋体" w:eastAsia="宋体" w:cs="宋体"/>
          <w:spacing w:val="-17"/>
          <w:sz w:val="24"/>
          <w:szCs w:val="24"/>
        </w:rPr>
        <w:t>；</w:t>
      </w:r>
      <w:r>
        <w:rPr>
          <w:rFonts w:hint="eastAsia" w:ascii="宋体" w:hAnsi="宋体" w:eastAsia="宋体" w:cs="宋体"/>
          <w:spacing w:val="5"/>
          <w:sz w:val="24"/>
          <w:szCs w:val="24"/>
        </w:rPr>
        <w:t>承建（承接）企业为</w:t>
      </w:r>
      <w:r>
        <w:rPr>
          <w:rFonts w:hint="eastAsia" w:ascii="宋体" w:hAnsi="宋体" w:eastAsia="宋体" w:cs="宋体"/>
          <w:spacing w:val="5"/>
          <w:sz w:val="24"/>
          <w:szCs w:val="24"/>
          <w:u w:val="single" w:color="auto"/>
        </w:rPr>
        <w:t xml:space="preserve"> （企业名称</w:t>
      </w:r>
      <w:r>
        <w:rPr>
          <w:rFonts w:hint="eastAsia" w:ascii="宋体" w:hAnsi="宋体" w:eastAsia="宋体" w:cs="宋体"/>
          <w:spacing w:val="-17"/>
          <w:sz w:val="24"/>
          <w:szCs w:val="24"/>
          <w:u w:val="single" w:color="auto"/>
        </w:rPr>
        <w:t>）</w:t>
      </w:r>
      <w:r>
        <w:rPr>
          <w:rFonts w:hint="eastAsia" w:ascii="宋体" w:hAnsi="宋体" w:eastAsia="宋体" w:cs="宋体"/>
          <w:spacing w:val="-42"/>
          <w:sz w:val="24"/>
          <w:szCs w:val="24"/>
          <w:u w:val="single" w:color="auto"/>
        </w:rPr>
        <w:t xml:space="preserve"> </w:t>
      </w:r>
      <w:r>
        <w:rPr>
          <w:rFonts w:hint="eastAsia" w:ascii="宋体" w:hAnsi="宋体" w:eastAsia="宋体" w:cs="宋体"/>
          <w:spacing w:val="-17"/>
          <w:sz w:val="24"/>
          <w:szCs w:val="24"/>
        </w:rPr>
        <w:t>，</w:t>
      </w:r>
      <w:r>
        <w:rPr>
          <w:rFonts w:hint="eastAsia" w:ascii="宋体" w:hAnsi="宋体" w:eastAsia="宋体" w:cs="宋体"/>
          <w:sz w:val="24"/>
          <w:szCs w:val="24"/>
        </w:rPr>
        <w:t xml:space="preserve"> </w:t>
      </w:r>
      <w:r>
        <w:rPr>
          <w:rFonts w:hint="eastAsia" w:ascii="宋体" w:hAnsi="宋体" w:eastAsia="宋体" w:cs="宋体"/>
          <w:spacing w:val="7"/>
          <w:sz w:val="24"/>
          <w:szCs w:val="24"/>
        </w:rPr>
        <w:t>从业人员</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90"/>
          <w:sz w:val="24"/>
          <w:szCs w:val="24"/>
        </w:rPr>
        <w:t xml:space="preserve"> </w:t>
      </w:r>
      <w:r>
        <w:rPr>
          <w:rFonts w:hint="eastAsia" w:ascii="宋体" w:hAnsi="宋体" w:eastAsia="宋体" w:cs="宋体"/>
          <w:spacing w:val="7"/>
          <w:sz w:val="24"/>
          <w:szCs w:val="24"/>
        </w:rPr>
        <w:t>人，营业收入为</w:t>
      </w:r>
      <w:r>
        <w:rPr>
          <w:rFonts w:hint="eastAsia" w:ascii="宋体" w:hAnsi="宋体" w:eastAsia="宋体" w:cs="宋体"/>
          <w:spacing w:val="7"/>
          <w:sz w:val="24"/>
          <w:szCs w:val="24"/>
          <w:u w:val="single" w:color="auto"/>
        </w:rPr>
        <w:t xml:space="preserve">     </w:t>
      </w:r>
      <w:r>
        <w:rPr>
          <w:rFonts w:hint="eastAsia" w:ascii="宋体" w:hAnsi="宋体" w:eastAsia="宋体" w:cs="宋体"/>
          <w:spacing w:val="-87"/>
          <w:sz w:val="24"/>
          <w:szCs w:val="24"/>
        </w:rPr>
        <w:t xml:space="preserve"> </w:t>
      </w:r>
      <w:r>
        <w:rPr>
          <w:rFonts w:hint="eastAsia" w:ascii="宋体" w:hAnsi="宋体" w:eastAsia="宋体" w:cs="宋体"/>
          <w:spacing w:val="7"/>
          <w:sz w:val="24"/>
          <w:szCs w:val="24"/>
        </w:rPr>
        <w:t>万元，资产总额为</w:t>
      </w:r>
      <w:r>
        <w:rPr>
          <w:rFonts w:hint="eastAsia" w:ascii="宋体" w:hAnsi="宋体" w:eastAsia="宋体" w:cs="宋体"/>
          <w:spacing w:val="-98"/>
          <w:sz w:val="24"/>
          <w:szCs w:val="24"/>
        </w:rPr>
        <w:t xml:space="preserve"> </w:t>
      </w:r>
      <w:r>
        <w:rPr>
          <w:rFonts w:hint="eastAsia" w:ascii="宋体" w:hAnsi="宋体" w:eastAsia="宋体" w:cs="宋体"/>
          <w:spacing w:val="5"/>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7"/>
          <w:sz w:val="24"/>
          <w:szCs w:val="24"/>
        </w:rPr>
        <w:t>万元，属于</w:t>
      </w:r>
      <w:r>
        <w:rPr>
          <w:rFonts w:hint="eastAsia" w:ascii="宋体" w:hAnsi="宋体" w:eastAsia="宋体" w:cs="宋体"/>
          <w:spacing w:val="7"/>
          <w:sz w:val="24"/>
          <w:szCs w:val="24"/>
          <w:u w:val="single" w:color="auto"/>
        </w:rPr>
        <w:t xml:space="preserve"> （中型企业、小型企</w:t>
      </w:r>
      <w:r>
        <w:rPr>
          <w:rFonts w:hint="eastAsia" w:ascii="宋体" w:hAnsi="宋体" w:eastAsia="宋体" w:cs="宋体"/>
          <w:spacing w:val="6"/>
          <w:sz w:val="24"/>
          <w:szCs w:val="24"/>
          <w:u w:val="single" w:color="auto"/>
        </w:rPr>
        <w:t>业、微型</w:t>
      </w:r>
      <w:r>
        <w:rPr>
          <w:rFonts w:hint="eastAsia" w:ascii="宋体" w:hAnsi="宋体" w:eastAsia="宋体" w:cs="宋体"/>
          <w:spacing w:val="1"/>
          <w:sz w:val="24"/>
          <w:szCs w:val="24"/>
          <w:u w:val="single" w:color="auto"/>
        </w:rPr>
        <w:t>企业）</w:t>
      </w:r>
      <w:r>
        <w:rPr>
          <w:rFonts w:hint="eastAsia" w:ascii="宋体" w:hAnsi="宋体" w:eastAsia="宋体" w:cs="宋体"/>
          <w:spacing w:val="1"/>
          <w:sz w:val="24"/>
          <w:szCs w:val="24"/>
        </w:rPr>
        <w:t>。</w:t>
      </w:r>
    </w:p>
    <w:p w14:paraId="5982D007">
      <w:pPr>
        <w:pStyle w:val="8"/>
        <w:spacing w:line="249" w:lineRule="auto"/>
        <w:rPr>
          <w:rFonts w:hint="eastAsia" w:ascii="宋体" w:hAnsi="宋体" w:eastAsia="宋体" w:cs="宋体"/>
          <w:sz w:val="24"/>
          <w:szCs w:val="24"/>
        </w:rPr>
      </w:pPr>
    </w:p>
    <w:p w14:paraId="10016C8A">
      <w:pPr>
        <w:spacing w:before="65" w:line="84" w:lineRule="exact"/>
        <w:ind w:left="424"/>
        <w:rPr>
          <w:rFonts w:hint="eastAsia" w:ascii="宋体" w:hAnsi="宋体" w:eastAsia="宋体" w:cs="宋体"/>
          <w:sz w:val="24"/>
          <w:szCs w:val="24"/>
        </w:rPr>
      </w:pPr>
      <w:r>
        <w:rPr>
          <w:rFonts w:hint="eastAsia" w:ascii="宋体" w:hAnsi="宋体" w:eastAsia="宋体" w:cs="宋体"/>
          <w:spacing w:val="3"/>
          <w:position w:val="1"/>
          <w:sz w:val="24"/>
          <w:szCs w:val="24"/>
        </w:rPr>
        <w:t>...</w:t>
      </w:r>
    </w:p>
    <w:p w14:paraId="04BA78D0">
      <w:pPr>
        <w:spacing w:before="183" w:line="373" w:lineRule="auto"/>
        <w:ind w:left="6" w:right="100" w:firstLine="436"/>
        <w:rPr>
          <w:rFonts w:hint="eastAsia" w:ascii="宋体" w:hAnsi="宋体" w:eastAsia="宋体" w:cs="宋体"/>
          <w:sz w:val="24"/>
          <w:szCs w:val="24"/>
        </w:rPr>
      </w:pPr>
      <w:r>
        <w:rPr>
          <w:rFonts w:hint="eastAsia" w:ascii="宋体" w:hAnsi="宋体" w:eastAsia="宋体" w:cs="宋体"/>
          <w:spacing w:val="11"/>
          <w:sz w:val="24"/>
          <w:szCs w:val="24"/>
        </w:rPr>
        <w:t>以上企业，不属于大企业的分支机构，不存在控股股东</w:t>
      </w:r>
      <w:r>
        <w:rPr>
          <w:rFonts w:hint="eastAsia" w:ascii="宋体" w:hAnsi="宋体" w:eastAsia="宋体" w:cs="宋体"/>
          <w:spacing w:val="10"/>
          <w:sz w:val="24"/>
          <w:szCs w:val="24"/>
        </w:rPr>
        <w:t>为大企业的情形，也不存在与大企业的负</w:t>
      </w:r>
      <w:r>
        <w:rPr>
          <w:rFonts w:hint="eastAsia" w:ascii="宋体" w:hAnsi="宋体" w:eastAsia="宋体" w:cs="宋体"/>
          <w:spacing w:val="7"/>
          <w:sz w:val="24"/>
          <w:szCs w:val="24"/>
        </w:rPr>
        <w:t>责人为同一人的情形。</w:t>
      </w:r>
    </w:p>
    <w:p w14:paraId="349F868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16" w:firstLineChars="200"/>
        <w:jc w:val="both"/>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宋体" w:hAnsi="宋体" w:eastAsia="宋体" w:cs="宋体"/>
          <w:spacing w:val="9"/>
          <w:sz w:val="24"/>
          <w:szCs w:val="24"/>
        </w:rPr>
        <w:t>本企业对上述声明内容的真实性负责。如有虚假，将依法承担相应责</w:t>
      </w:r>
      <w:r>
        <w:rPr>
          <w:rFonts w:hint="eastAsia" w:ascii="宋体" w:hAnsi="宋体" w:eastAsia="宋体" w:cs="宋体"/>
          <w:color w:val="auto"/>
          <w:kern w:val="2"/>
          <w:sz w:val="24"/>
          <w:szCs w:val="24"/>
          <w:highlight w:val="none"/>
          <w:lang w:val="en-US" w:eastAsia="zh-CN" w:bidi="ar-SA"/>
        </w:rPr>
        <w:t>任。</w:t>
      </w:r>
    </w:p>
    <w:p w14:paraId="2348BEBF">
      <w:pPr>
        <w:keepNext w:val="0"/>
        <w:keepLines w:val="0"/>
        <w:pageBreakBefore w:val="0"/>
        <w:widowControl w:val="0"/>
        <w:kinsoku/>
        <w:wordWrap/>
        <w:overflowPunct/>
        <w:topLinePunct w:val="0"/>
        <w:autoSpaceDE/>
        <w:autoSpaceDN/>
        <w:bidi w:val="0"/>
        <w:adjustRightInd/>
        <w:snapToGrid/>
        <w:spacing w:line="400" w:lineRule="exact"/>
        <w:ind w:left="1120" w:right="0" w:rightChars="0" w:firstLine="480" w:firstLineChars="200"/>
        <w:jc w:val="center"/>
        <w:textAlignment w:val="auto"/>
        <w:outlineLvl w:val="9"/>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w:t>
      </w:r>
    </w:p>
    <w:p w14:paraId="006A7E79">
      <w:pPr>
        <w:widowControl w:val="0"/>
        <w:spacing w:line="400" w:lineRule="exact"/>
        <w:ind w:left="1120" w:hanging="112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企业名称（公章或电子CA签章）：</w:t>
      </w:r>
    </w:p>
    <w:p w14:paraId="137C0B7B">
      <w:pPr>
        <w:widowControl w:val="0"/>
        <w:spacing w:line="400" w:lineRule="exact"/>
        <w:ind w:left="1120" w:hanging="1120"/>
        <w:jc w:val="center"/>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 xml:space="preserve">                 日 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年   月   日</w:t>
      </w:r>
    </w:p>
    <w:p w14:paraId="13C599F4">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25535B3F">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1775C525">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5029539C">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7103D950">
      <w:pPr>
        <w:widowControl w:val="0"/>
        <w:spacing w:line="32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5C5739C6">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说明：</w:t>
      </w:r>
    </w:p>
    <w:p w14:paraId="26A3E35F">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1.从业人员、营业收入、资产总额填报上一年度数据，无上一年度数据的新成立公司可不填报。</w:t>
      </w:r>
    </w:p>
    <w:p w14:paraId="5622E016">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 xml:space="preserve">2.参加政府采购活动的小型、微型企业应当提供《中小企业声明函》。成交供应商的《中小企业声明函》随成交结果一并公告。 </w:t>
      </w:r>
    </w:p>
    <w:p w14:paraId="0C022BC5">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41330E50">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r>
        <w:rPr>
          <w:rFonts w:hint="eastAsia" w:asciiTheme="minorEastAsia" w:hAnsiTheme="minorEastAsia" w:eastAsiaTheme="minorEastAsia" w:cstheme="minorEastAsia"/>
          <w:b/>
          <w:color w:val="auto"/>
          <w:kern w:val="2"/>
          <w:sz w:val="21"/>
          <w:szCs w:val="21"/>
          <w:highlight w:val="none"/>
          <w:lang w:val="en-US" w:eastAsia="zh-CN" w:bidi="ar-SA"/>
        </w:rPr>
        <w:br w:type="page"/>
      </w:r>
    </w:p>
    <w:p w14:paraId="6CF38380">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14:paraId="25769E9F">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14:paraId="47E7C29E">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Theme="minorEastAsia" w:hAnsiTheme="minorEastAsia" w:eastAsiaTheme="minorEastAsia" w:cstheme="minorEastAsia"/>
          <w:b/>
          <w:color w:val="auto"/>
          <w:kern w:val="2"/>
          <w:sz w:val="28"/>
          <w:szCs w:val="28"/>
          <w:highlight w:val="none"/>
          <w:lang w:val="en-US" w:eastAsia="zh-CN" w:bidi="ar-SA"/>
        </w:rPr>
        <w:t>附件4：监狱企业证明文件</w:t>
      </w:r>
    </w:p>
    <w:p w14:paraId="242D94EB">
      <w:pPr>
        <w:widowControl w:val="0"/>
        <w:spacing w:line="400" w:lineRule="exact"/>
        <w:ind w:firstLine="420" w:firstLineChars="200"/>
        <w:jc w:val="both"/>
        <w:rPr>
          <w:rFonts w:hint="eastAsia" w:asciiTheme="minorEastAsia" w:hAnsiTheme="minorEastAsia" w:eastAsiaTheme="minorEastAsia" w:cstheme="minorEastAsia"/>
          <w:b w:val="0"/>
          <w:bCs/>
          <w:color w:val="auto"/>
          <w:kern w:val="2"/>
          <w:sz w:val="21"/>
          <w:szCs w:val="21"/>
          <w:highlight w:val="none"/>
          <w:lang w:val="en-US" w:eastAsia="zh-CN" w:bidi="ar-SA"/>
        </w:rPr>
      </w:pPr>
    </w:p>
    <w:p w14:paraId="42CE36D2">
      <w:pPr>
        <w:widowControl w:val="0"/>
        <w:spacing w:line="400" w:lineRule="exact"/>
        <w:ind w:firstLine="480" w:firstLineChars="200"/>
        <w:jc w:val="both"/>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2679C95B">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22E8805F">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r>
        <w:rPr>
          <w:rFonts w:hint="eastAsia" w:asciiTheme="minorEastAsia" w:hAnsiTheme="minorEastAsia" w:eastAsiaTheme="minorEastAsia" w:cstheme="minorEastAsia"/>
          <w:b/>
          <w:color w:val="auto"/>
          <w:kern w:val="2"/>
          <w:sz w:val="24"/>
          <w:szCs w:val="24"/>
          <w:highlight w:val="none"/>
          <w:lang w:val="en-US" w:eastAsia="zh-CN" w:bidi="ar-SA"/>
        </w:rPr>
        <w:t>说明：中标供应商的监狱企业证明文件随中标结果一并公告。</w:t>
      </w:r>
    </w:p>
    <w:p w14:paraId="578955B3">
      <w:pPr>
        <w:widowControl w:val="0"/>
        <w:spacing w:line="400" w:lineRule="exact"/>
        <w:ind w:firstLine="480" w:firstLineChars="200"/>
        <w:jc w:val="both"/>
        <w:rPr>
          <w:rFonts w:hint="eastAsia" w:asciiTheme="minorEastAsia" w:hAnsiTheme="minorEastAsia" w:eastAsiaTheme="minorEastAsia" w:cstheme="minorEastAsia"/>
          <w:b/>
          <w:color w:val="auto"/>
          <w:kern w:val="2"/>
          <w:sz w:val="24"/>
          <w:szCs w:val="24"/>
          <w:highlight w:val="none"/>
          <w:lang w:val="en-US" w:eastAsia="zh-CN" w:bidi="ar-SA"/>
        </w:rPr>
      </w:pPr>
    </w:p>
    <w:p w14:paraId="7A36DB18">
      <w:pPr>
        <w:widowControl w:val="0"/>
        <w:spacing w:line="400" w:lineRule="exact"/>
        <w:jc w:val="both"/>
        <w:outlineLvl w:val="9"/>
        <w:rPr>
          <w:rFonts w:hint="eastAsia" w:asciiTheme="minorEastAsia" w:hAnsiTheme="minorEastAsia" w:eastAsiaTheme="minorEastAsia" w:cstheme="minorEastAsia"/>
          <w:b/>
          <w:color w:val="auto"/>
          <w:kern w:val="2"/>
          <w:sz w:val="21"/>
          <w:szCs w:val="20"/>
          <w:highlight w:val="none"/>
          <w:lang w:val="en-US" w:eastAsia="zh-CN" w:bidi="ar-SA"/>
        </w:rPr>
      </w:pPr>
      <w:r>
        <w:rPr>
          <w:rFonts w:hint="eastAsia" w:asciiTheme="minorEastAsia" w:hAnsiTheme="minorEastAsia" w:eastAsiaTheme="minorEastAsia" w:cstheme="minorEastAsia"/>
          <w:b/>
          <w:color w:val="auto"/>
          <w:kern w:val="2"/>
          <w:sz w:val="21"/>
          <w:szCs w:val="20"/>
          <w:highlight w:val="none"/>
          <w:lang w:val="en-US" w:eastAsia="zh-CN" w:bidi="ar-SA"/>
        </w:rPr>
        <w:br w:type="page"/>
      </w:r>
    </w:p>
    <w:p w14:paraId="5662DD6B">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p>
    <w:p w14:paraId="2345F072">
      <w:pPr>
        <w:widowControl w:val="0"/>
        <w:spacing w:line="400" w:lineRule="exact"/>
        <w:jc w:val="both"/>
        <w:outlineLvl w:val="4"/>
        <w:rPr>
          <w:rFonts w:hint="eastAsia" w:asciiTheme="minorEastAsia" w:hAnsiTheme="minorEastAsia" w:eastAsiaTheme="minorEastAsia" w:cstheme="minorEastAsia"/>
          <w:b/>
          <w:color w:val="auto"/>
          <w:kern w:val="2"/>
          <w:sz w:val="28"/>
          <w:szCs w:val="28"/>
          <w:highlight w:val="none"/>
          <w:lang w:val="en-US" w:eastAsia="zh-CN" w:bidi="ar-SA"/>
        </w:rPr>
      </w:pPr>
      <w:r>
        <w:rPr>
          <w:rFonts w:hint="eastAsia" w:asciiTheme="minorEastAsia" w:hAnsiTheme="minorEastAsia" w:eastAsiaTheme="minorEastAsia" w:cstheme="minorEastAsia"/>
          <w:b/>
          <w:color w:val="auto"/>
          <w:kern w:val="2"/>
          <w:sz w:val="28"/>
          <w:szCs w:val="28"/>
          <w:highlight w:val="none"/>
          <w:lang w:val="en-US" w:eastAsia="zh-CN" w:bidi="ar-SA"/>
        </w:rPr>
        <w:t>附件5：残疾人福利性单位声明函（格式）</w:t>
      </w:r>
    </w:p>
    <w:p w14:paraId="1996C5FB">
      <w:pPr>
        <w:widowControl w:val="0"/>
        <w:spacing w:line="400" w:lineRule="exact"/>
        <w:ind w:left="0" w:leftChars="0" w:firstLine="0" w:firstLineChars="0"/>
        <w:jc w:val="both"/>
        <w:rPr>
          <w:rFonts w:hint="eastAsia" w:asciiTheme="minorEastAsia" w:hAnsiTheme="minorEastAsia" w:eastAsiaTheme="minorEastAsia" w:cstheme="minorEastAsia"/>
          <w:b/>
          <w:color w:val="auto"/>
          <w:kern w:val="2"/>
          <w:sz w:val="32"/>
          <w:szCs w:val="20"/>
          <w:highlight w:val="none"/>
          <w:lang w:val="en-US" w:eastAsia="zh-CN" w:bidi="ar-SA"/>
        </w:rPr>
      </w:pPr>
    </w:p>
    <w:p w14:paraId="3ECD51D2">
      <w:pPr>
        <w:spacing w:line="400" w:lineRule="exact"/>
        <w:rPr>
          <w:rFonts w:hint="eastAsia" w:asciiTheme="minorEastAsia" w:hAnsiTheme="minorEastAsia" w:eastAsiaTheme="minorEastAsia" w:cstheme="minorEastAsia"/>
          <w:b/>
          <w:color w:val="auto"/>
          <w:spacing w:val="6"/>
          <w:sz w:val="30"/>
          <w:szCs w:val="30"/>
          <w:highlight w:val="none"/>
        </w:rPr>
      </w:pPr>
    </w:p>
    <w:p w14:paraId="46CA2B72">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4"/>
          <w:szCs w:val="24"/>
          <w:highlight w:val="none"/>
        </w:rPr>
        <w:t>〔2017〕 141</w:t>
      </w:r>
      <w:r>
        <w:rPr>
          <w:rFonts w:hint="eastAsia" w:asciiTheme="minorEastAsia" w:hAnsiTheme="minorEastAsia" w:eastAsiaTheme="minorEastAsia" w:cstheme="minorEastAsia"/>
          <w:color w:val="auto"/>
          <w:spacing w:val="6"/>
          <w:sz w:val="24"/>
          <w:szCs w:val="24"/>
          <w:highlight w:val="none"/>
        </w:rPr>
        <w:t>号）的规定，本单位为符合条件的残疾人福利性单位，且本单位参加</w:t>
      </w:r>
      <w:r>
        <w:rPr>
          <w:rFonts w:hint="eastAsia" w:asciiTheme="minorEastAsia" w:hAnsiTheme="minorEastAsia" w:eastAsiaTheme="minorEastAsia" w:cstheme="minorEastAsia"/>
          <w:color w:val="auto"/>
          <w:spacing w:val="6"/>
          <w:sz w:val="24"/>
          <w:szCs w:val="24"/>
          <w:highlight w:val="none"/>
          <w:u w:val="single"/>
        </w:rPr>
        <w:t xml:space="preserve">     （采购人名称）     </w:t>
      </w:r>
      <w:r>
        <w:rPr>
          <w:rFonts w:hint="eastAsia" w:asciiTheme="minorEastAsia" w:hAnsiTheme="minorEastAsia" w:eastAsiaTheme="minorEastAsia" w:cstheme="minorEastAsia"/>
          <w:color w:val="auto"/>
          <w:spacing w:val="6"/>
          <w:sz w:val="24"/>
          <w:szCs w:val="24"/>
          <w:highlight w:val="none"/>
        </w:rPr>
        <w:t>的</w:t>
      </w:r>
      <w:r>
        <w:rPr>
          <w:rFonts w:hint="eastAsia" w:asciiTheme="minorEastAsia" w:hAnsiTheme="minorEastAsia" w:eastAsiaTheme="minorEastAsia" w:cstheme="minorEastAsia"/>
          <w:color w:val="auto"/>
          <w:spacing w:val="6"/>
          <w:sz w:val="24"/>
          <w:szCs w:val="24"/>
          <w:highlight w:val="none"/>
          <w:u w:val="single"/>
        </w:rPr>
        <w:t xml:space="preserve">    （项目名称）     </w:t>
      </w:r>
      <w:r>
        <w:rPr>
          <w:rFonts w:hint="eastAsia" w:asciiTheme="minorEastAsia" w:hAnsiTheme="minorEastAsia" w:eastAsiaTheme="minorEastAsia" w:cstheme="minorEastAsia"/>
          <w:color w:val="auto"/>
          <w:spacing w:val="6"/>
          <w:sz w:val="24"/>
          <w:szCs w:val="24"/>
          <w:highlight w:val="none"/>
        </w:rPr>
        <w:t>采购活动提供本单位制造的货物，或者提供其他残疾人福利性单位制造的货物（不包括使用非残疾人福利性单位注册商标的货物）。</w:t>
      </w:r>
    </w:p>
    <w:p w14:paraId="1E6693A7">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r>
        <w:rPr>
          <w:rFonts w:hint="eastAsia" w:asciiTheme="minorEastAsia" w:hAnsiTheme="minorEastAsia" w:eastAsiaTheme="minorEastAsia" w:cstheme="minorEastAsia"/>
          <w:color w:val="auto"/>
          <w:spacing w:val="6"/>
          <w:sz w:val="24"/>
          <w:szCs w:val="24"/>
          <w:highlight w:val="none"/>
        </w:rPr>
        <w:t>本单位对上述声明的真实性负责。如有虚假，将依法承担相应责任。</w:t>
      </w:r>
    </w:p>
    <w:p w14:paraId="73747C9A">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4DC47427">
      <w:pPr>
        <w:spacing w:line="400" w:lineRule="exact"/>
        <w:ind w:firstLine="504" w:firstLineChars="200"/>
        <w:rPr>
          <w:rFonts w:hint="eastAsia" w:asciiTheme="minorEastAsia" w:hAnsiTheme="minorEastAsia" w:eastAsiaTheme="minorEastAsia" w:cstheme="minorEastAsia"/>
          <w:color w:val="auto"/>
          <w:spacing w:val="6"/>
          <w:sz w:val="24"/>
          <w:szCs w:val="24"/>
          <w:highlight w:val="none"/>
        </w:rPr>
      </w:pPr>
    </w:p>
    <w:p w14:paraId="310137B7">
      <w:pPr>
        <w:widowControl w:val="0"/>
        <w:spacing w:line="400" w:lineRule="exact"/>
        <w:ind w:firstLine="3360" w:firstLineChars="1400"/>
        <w:jc w:val="both"/>
        <w:rPr>
          <w:rFonts w:hint="eastAsia" w:asciiTheme="minorEastAsia" w:hAnsiTheme="minorEastAsia" w:eastAsiaTheme="minorEastAsia" w:cstheme="minorEastAsia"/>
          <w:color w:val="auto"/>
          <w:kern w:val="2"/>
          <w:sz w:val="24"/>
          <w:szCs w:val="24"/>
          <w:highlight w:val="none"/>
          <w:u w:val="singl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单位名称（公章或电子CA签章）：</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p>
    <w:p w14:paraId="39D8F052">
      <w:pPr>
        <w:widowControl w:val="0"/>
        <w:spacing w:line="400" w:lineRule="exact"/>
        <w:ind w:firstLine="3360" w:firstLineChars="1400"/>
        <w:jc w:val="both"/>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日  期：</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年   月   日</w:t>
      </w:r>
    </w:p>
    <w:p w14:paraId="72AAC9A6">
      <w:pPr>
        <w:widowControl w:val="0"/>
        <w:spacing w:line="400" w:lineRule="exact"/>
        <w:jc w:val="both"/>
        <w:rPr>
          <w:rFonts w:hint="eastAsia" w:asciiTheme="minorEastAsia" w:hAnsiTheme="minorEastAsia" w:eastAsiaTheme="minorEastAsia" w:cstheme="minorEastAsia"/>
          <w:color w:val="auto"/>
          <w:kern w:val="2"/>
          <w:sz w:val="24"/>
          <w:szCs w:val="24"/>
          <w:highlight w:val="none"/>
          <w:u w:val="single"/>
          <w:lang w:val="en-US" w:eastAsia="zh-CN" w:bidi="ar-SA"/>
        </w:rPr>
      </w:pPr>
    </w:p>
    <w:p w14:paraId="5DBE638E">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p>
    <w:p w14:paraId="3878298A">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p>
    <w:p w14:paraId="50258DC2">
      <w:pPr>
        <w:keepNext w:val="0"/>
        <w:keepLines w:val="0"/>
        <w:widowControl/>
        <w:suppressLineNumbers w:val="0"/>
        <w:ind w:firstLine="480" w:firstLineChars="200"/>
        <w:jc w:val="left"/>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说明：参加政府采购活动的</w:t>
      </w:r>
      <w:r>
        <w:rPr>
          <w:rFonts w:hint="eastAsia" w:asciiTheme="minorEastAsia" w:hAnsiTheme="minorEastAsia" w:eastAsiaTheme="minorEastAsia" w:cstheme="minorEastAsia"/>
          <w:b/>
          <w:color w:val="auto"/>
          <w:sz w:val="24"/>
          <w:szCs w:val="24"/>
          <w:highlight w:val="none"/>
        </w:rPr>
        <w:t>残疾人福利性单位</w:t>
      </w:r>
      <w:r>
        <w:rPr>
          <w:rFonts w:hint="eastAsia" w:asciiTheme="minorEastAsia" w:hAnsiTheme="minorEastAsia" w:eastAsiaTheme="minorEastAsia" w:cstheme="minorEastAsia"/>
          <w:b/>
          <w:bCs/>
          <w:color w:val="auto"/>
          <w:kern w:val="2"/>
          <w:sz w:val="24"/>
          <w:szCs w:val="24"/>
          <w:highlight w:val="none"/>
          <w:lang w:val="en-US" w:eastAsia="zh-CN" w:bidi="ar-SA"/>
        </w:rPr>
        <w:t>应当提供《</w:t>
      </w:r>
      <w:r>
        <w:rPr>
          <w:rFonts w:hint="eastAsia" w:asciiTheme="minorEastAsia" w:hAnsiTheme="minorEastAsia" w:eastAsiaTheme="minorEastAsia" w:cstheme="minorEastAsia"/>
          <w:b/>
          <w:color w:val="auto"/>
          <w:sz w:val="24"/>
          <w:szCs w:val="24"/>
          <w:highlight w:val="none"/>
        </w:rPr>
        <w:t>残疾人福利性单位声明函</w:t>
      </w:r>
      <w:r>
        <w:rPr>
          <w:rFonts w:hint="eastAsia" w:asciiTheme="minorEastAsia" w:hAnsiTheme="minorEastAsia" w:eastAsiaTheme="minorEastAsia" w:cstheme="minorEastAsia"/>
          <w:b/>
          <w:bCs/>
          <w:color w:val="auto"/>
          <w:kern w:val="2"/>
          <w:sz w:val="24"/>
          <w:szCs w:val="24"/>
          <w:highlight w:val="none"/>
          <w:lang w:val="en-US" w:eastAsia="zh-CN" w:bidi="ar-SA"/>
        </w:rPr>
        <w:t xml:space="preserve">》。中标供应商的《残疾人福利性单位声明函》随中标结果一并公告。 </w:t>
      </w:r>
    </w:p>
    <w:p w14:paraId="71815159">
      <w:pPr>
        <w:ind w:firstLine="480" w:firstLineChars="200"/>
        <w:jc w:val="both"/>
        <w:rPr>
          <w:rFonts w:hint="eastAsia" w:asciiTheme="minorEastAsia" w:hAnsiTheme="minorEastAsia" w:eastAsiaTheme="minorEastAsia" w:cstheme="minorEastAsia"/>
          <w:b/>
          <w:color w:val="auto"/>
          <w:kern w:val="44"/>
          <w:sz w:val="24"/>
          <w:szCs w:val="24"/>
          <w:highlight w:val="none"/>
          <w:lang w:val="en-US" w:eastAsia="zh-CN"/>
        </w:rPr>
      </w:pPr>
    </w:p>
    <w:p w14:paraId="6B8A5AED">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222CB3C1">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21F18BDD">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4415EA7A">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1DB83C78">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503860BF">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339E7074">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3200027F">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031FB795">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72BC07EE">
      <w:pPr>
        <w:ind w:firstLine="560" w:firstLineChars="200"/>
        <w:jc w:val="both"/>
        <w:rPr>
          <w:rFonts w:hint="eastAsia" w:asciiTheme="minorEastAsia" w:hAnsiTheme="minorEastAsia" w:eastAsiaTheme="minorEastAsia" w:cstheme="minorEastAsia"/>
          <w:b/>
          <w:color w:val="auto"/>
          <w:kern w:val="44"/>
          <w:sz w:val="28"/>
          <w:szCs w:val="28"/>
          <w:highlight w:val="none"/>
          <w:lang w:val="en-US" w:eastAsia="zh-CN"/>
        </w:rPr>
      </w:pPr>
    </w:p>
    <w:p w14:paraId="0009948A">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第三节  报价</w:t>
      </w:r>
      <w:r>
        <w:rPr>
          <w:rFonts w:hint="eastAsia" w:asciiTheme="minorEastAsia" w:hAnsiTheme="minorEastAsia" w:eastAsiaTheme="minorEastAsia" w:cstheme="minorEastAsia"/>
          <w:b/>
          <w:color w:val="auto"/>
          <w:kern w:val="44"/>
          <w:sz w:val="28"/>
          <w:szCs w:val="28"/>
          <w:highlight w:val="none"/>
        </w:rPr>
        <w:t>文件格式</w:t>
      </w:r>
    </w:p>
    <w:p w14:paraId="07327859">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20C7F8C7">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726F24AB">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43085190">
      <w:pPr>
        <w:pStyle w:val="35"/>
        <w:rPr>
          <w:rFonts w:hint="eastAsia" w:asciiTheme="minorEastAsia" w:hAnsiTheme="minorEastAsia" w:eastAsiaTheme="minorEastAsia" w:cstheme="minorEastAsia"/>
          <w:color w:val="auto"/>
          <w:highlight w:val="none"/>
        </w:rPr>
      </w:pPr>
    </w:p>
    <w:p w14:paraId="76DC3808">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w:t>
      </w:r>
      <w:r>
        <w:rPr>
          <w:rFonts w:hint="eastAsia" w:asciiTheme="minorEastAsia" w:hAnsiTheme="minorEastAsia" w:eastAsiaTheme="minorEastAsia" w:cstheme="minorEastAsia"/>
          <w:snapToGrid w:val="0"/>
          <w:color w:val="auto"/>
          <w:spacing w:val="-2"/>
          <w:kern w:val="0"/>
          <w:sz w:val="24"/>
          <w:szCs w:val="24"/>
          <w:highlight w:val="none"/>
          <w:lang w:val="en-US" w:eastAsia="zh-CN"/>
        </w:rPr>
        <w:t>响应</w:t>
      </w:r>
      <w:r>
        <w:rPr>
          <w:rFonts w:hint="eastAsia" w:asciiTheme="minorEastAsia" w:hAnsiTheme="minorEastAsia" w:eastAsiaTheme="minorEastAsia" w:cstheme="minorEastAsia"/>
          <w:snapToGrid w:val="0"/>
          <w:color w:val="auto"/>
          <w:spacing w:val="-2"/>
          <w:kern w:val="0"/>
          <w:sz w:val="24"/>
          <w:szCs w:val="24"/>
          <w:highlight w:val="none"/>
        </w:rPr>
        <w:t>文件</w:t>
      </w:r>
    </w:p>
    <w:p w14:paraId="67DAAE0E">
      <w:pPr>
        <w:jc w:val="both"/>
        <w:rPr>
          <w:rFonts w:hint="eastAsia" w:asciiTheme="minorEastAsia" w:hAnsiTheme="minorEastAsia" w:eastAsiaTheme="minorEastAsia" w:cstheme="minorEastAsia"/>
          <w:color w:val="auto"/>
          <w:sz w:val="28"/>
          <w:szCs w:val="28"/>
          <w:highlight w:val="none"/>
          <w:u w:val="single"/>
        </w:rPr>
      </w:pPr>
    </w:p>
    <w:p w14:paraId="3EDD9D9C">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报  价</w:t>
      </w:r>
      <w:r>
        <w:rPr>
          <w:rFonts w:hint="eastAsia" w:asciiTheme="minorEastAsia" w:hAnsiTheme="minorEastAsia" w:eastAsiaTheme="minorEastAsia" w:cstheme="minorEastAsia"/>
          <w:b/>
          <w:bCs/>
          <w:color w:val="auto"/>
          <w:sz w:val="28"/>
          <w:szCs w:val="28"/>
          <w:highlight w:val="none"/>
        </w:rPr>
        <w:t xml:space="preserve">  文  件（封面）</w:t>
      </w:r>
    </w:p>
    <w:p w14:paraId="4E4FF3AB">
      <w:pPr>
        <w:jc w:val="center"/>
        <w:rPr>
          <w:rFonts w:hint="eastAsia" w:asciiTheme="minorEastAsia" w:hAnsiTheme="minorEastAsia" w:eastAsiaTheme="minorEastAsia" w:cstheme="minorEastAsia"/>
          <w:b/>
          <w:bCs/>
          <w:color w:val="auto"/>
          <w:sz w:val="28"/>
          <w:szCs w:val="28"/>
          <w:highlight w:val="none"/>
        </w:rPr>
      </w:pPr>
    </w:p>
    <w:p w14:paraId="603D9E10">
      <w:pPr>
        <w:jc w:val="center"/>
        <w:rPr>
          <w:rFonts w:hint="eastAsia" w:asciiTheme="minorEastAsia" w:hAnsiTheme="minorEastAsia" w:eastAsiaTheme="minorEastAsia" w:cstheme="minorEastAsia"/>
          <w:b/>
          <w:bCs/>
          <w:color w:val="auto"/>
          <w:sz w:val="28"/>
          <w:szCs w:val="28"/>
          <w:highlight w:val="none"/>
        </w:rPr>
      </w:pPr>
    </w:p>
    <w:p w14:paraId="37814A47">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14:paraId="2EEB9D78">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14:paraId="54F62D19">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7B492AEA">
      <w:pPr>
        <w:pStyle w:val="35"/>
        <w:rPr>
          <w:rFonts w:hint="eastAsia" w:asciiTheme="minorEastAsia" w:hAnsiTheme="minorEastAsia" w:eastAsiaTheme="minorEastAsia" w:cstheme="minorEastAsia"/>
          <w:color w:val="auto"/>
          <w:highlight w:val="none"/>
        </w:rPr>
      </w:pPr>
    </w:p>
    <w:p w14:paraId="6DC077E4">
      <w:pPr>
        <w:jc w:val="center"/>
        <w:rPr>
          <w:rFonts w:hint="eastAsia" w:asciiTheme="minorEastAsia" w:hAnsiTheme="minorEastAsia" w:eastAsiaTheme="minorEastAsia" w:cstheme="minorEastAsia"/>
          <w:b/>
          <w:bCs/>
          <w:color w:val="auto"/>
          <w:sz w:val="28"/>
          <w:szCs w:val="28"/>
          <w:highlight w:val="none"/>
        </w:rPr>
      </w:pPr>
    </w:p>
    <w:p w14:paraId="5D37270B">
      <w:pPr>
        <w:rPr>
          <w:rFonts w:hint="eastAsia" w:asciiTheme="minorEastAsia" w:hAnsiTheme="minorEastAsia" w:eastAsiaTheme="minorEastAsia" w:cstheme="minorEastAsia"/>
          <w:b/>
          <w:bCs/>
          <w:color w:val="auto"/>
          <w:sz w:val="28"/>
          <w:szCs w:val="28"/>
          <w:highlight w:val="none"/>
        </w:rPr>
      </w:pPr>
    </w:p>
    <w:p w14:paraId="1CD0B66E">
      <w:pPr>
        <w:rPr>
          <w:rFonts w:hint="eastAsia" w:asciiTheme="minorEastAsia" w:hAnsiTheme="minorEastAsia" w:eastAsiaTheme="minorEastAsia" w:cstheme="minorEastAsia"/>
          <w:b/>
          <w:bCs/>
          <w:color w:val="auto"/>
          <w:sz w:val="28"/>
          <w:szCs w:val="28"/>
          <w:highlight w:val="none"/>
        </w:rPr>
      </w:pPr>
    </w:p>
    <w:p w14:paraId="5FC3675C">
      <w:pPr>
        <w:jc w:val="center"/>
        <w:rPr>
          <w:rFonts w:hint="eastAsia" w:asciiTheme="minorEastAsia" w:hAnsiTheme="minorEastAsia" w:eastAsiaTheme="minorEastAsia" w:cstheme="minorEastAsia"/>
          <w:b/>
          <w:bCs/>
          <w:color w:val="auto"/>
          <w:sz w:val="28"/>
          <w:szCs w:val="28"/>
          <w:highlight w:val="none"/>
        </w:rPr>
      </w:pPr>
    </w:p>
    <w:p w14:paraId="2D97A69B">
      <w:pPr>
        <w:jc w:val="center"/>
        <w:rPr>
          <w:rFonts w:hint="eastAsia" w:asciiTheme="minorEastAsia" w:hAnsiTheme="minorEastAsia" w:eastAsiaTheme="minorEastAsia" w:cstheme="minorEastAsia"/>
          <w:b/>
          <w:bCs/>
          <w:color w:val="auto"/>
          <w:sz w:val="28"/>
          <w:szCs w:val="28"/>
          <w:highlight w:val="none"/>
        </w:rPr>
      </w:pPr>
    </w:p>
    <w:p w14:paraId="564638EF">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lang w:eastAsia="zh-CN"/>
        </w:rPr>
        <w:t>电子CA签章</w:t>
      </w:r>
      <w:r>
        <w:rPr>
          <w:rFonts w:hint="eastAsia" w:asciiTheme="minorEastAsia" w:hAnsiTheme="minorEastAsia" w:eastAsiaTheme="minorEastAsia" w:cstheme="minorEastAsia"/>
          <w:b/>
          <w:bCs/>
          <w:color w:val="auto"/>
          <w:sz w:val="28"/>
          <w:szCs w:val="28"/>
          <w:highlight w:val="none"/>
        </w:rPr>
        <w:t>）</w:t>
      </w:r>
    </w:p>
    <w:p w14:paraId="1AC0DDC6">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14:paraId="52F27672">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14:paraId="1B02A1D6">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0C9057AE">
      <w:pPr>
        <w:pStyle w:val="6"/>
        <w:rPr>
          <w:rFonts w:hint="eastAsia" w:asciiTheme="minorEastAsia" w:hAnsiTheme="minorEastAsia" w:eastAsiaTheme="minorEastAsia" w:cstheme="minorEastAsia"/>
          <w:color w:val="auto"/>
        </w:rPr>
      </w:pPr>
    </w:p>
    <w:p w14:paraId="0D4A88A0">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p>
    <w:p w14:paraId="72E480BF">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w:t>
      </w:r>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录</w:t>
      </w:r>
    </w:p>
    <w:p w14:paraId="65B8254E">
      <w:pPr>
        <w:spacing w:line="336" w:lineRule="auto"/>
        <w:ind w:right="-153" w:rightChars="-73"/>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自行编</w:t>
      </w:r>
      <w:r>
        <w:rPr>
          <w:rFonts w:hint="eastAsia" w:asciiTheme="minorEastAsia" w:hAnsiTheme="minorEastAsia" w:eastAsiaTheme="minorEastAsia" w:cstheme="minorEastAsia"/>
          <w:b w:val="0"/>
          <w:bCs/>
          <w:color w:val="auto"/>
          <w:sz w:val="24"/>
          <w:szCs w:val="24"/>
          <w:highlight w:val="none"/>
        </w:rPr>
        <w:t>页码）</w:t>
      </w:r>
    </w:p>
    <w:p w14:paraId="3517282C">
      <w:pPr>
        <w:pStyle w:val="11"/>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1</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磋商函及磋商函附录</w:t>
      </w:r>
    </w:p>
    <w:p w14:paraId="11E1C3B0">
      <w:pPr>
        <w:pStyle w:val="11"/>
        <w:spacing w:line="390" w:lineRule="exact"/>
        <w:ind w:firstLine="0" w:firstLineChars="0"/>
        <w:rPr>
          <w:rFonts w:hint="eastAsia" w:asciiTheme="minorEastAsia" w:hAnsiTheme="minorEastAsia" w:eastAsiaTheme="minorEastAsia" w:cstheme="minorEastAsia"/>
          <w:bCs/>
          <w:color w:val="auto"/>
          <w:sz w:val="24"/>
          <w:szCs w:val="24"/>
          <w:highlight w:val="none"/>
          <w:lang w:eastAsia="zh-CN"/>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2</w:t>
      </w:r>
      <w:r>
        <w:rPr>
          <w:rFonts w:hint="eastAsia" w:asciiTheme="minorEastAsia" w:hAnsiTheme="minorEastAsia" w:eastAsiaTheme="minorEastAsia" w:cstheme="minorEastAsia"/>
          <w:bCs/>
          <w:color w:val="auto"/>
          <w:sz w:val="24"/>
          <w:szCs w:val="24"/>
          <w:highlight w:val="none"/>
          <w:lang w:eastAsia="zh-CN"/>
        </w:rPr>
        <w:t>）竞标人基本情况表</w:t>
      </w:r>
    </w:p>
    <w:p w14:paraId="7CF4D278">
      <w:pPr>
        <w:pStyle w:val="11"/>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已标价工程量清单</w:t>
      </w:r>
    </w:p>
    <w:p w14:paraId="12FD51A5">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738CB309">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5034C97E">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7E5F7CFB">
      <w:pP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br w:type="page"/>
      </w:r>
    </w:p>
    <w:p w14:paraId="69ED6FAD">
      <w:pPr>
        <w:spacing w:line="336" w:lineRule="auto"/>
        <w:ind w:right="-153" w:rightChars="-73"/>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8"/>
          <w:szCs w:val="28"/>
          <w:highlight w:val="none"/>
        </w:rPr>
        <w:t>一、磋商函及磋商函附录</w:t>
      </w:r>
    </w:p>
    <w:p w14:paraId="3D9DD2F9">
      <w:pPr>
        <w:ind w:firstLine="2040" w:firstLineChars="850"/>
        <w:jc w:val="center"/>
        <w:rPr>
          <w:rFonts w:hint="eastAsia" w:asciiTheme="minorEastAsia" w:hAnsiTheme="minorEastAsia" w:eastAsiaTheme="minorEastAsia" w:cstheme="minorEastAsia"/>
          <w:b/>
          <w:color w:val="auto"/>
          <w:sz w:val="24"/>
          <w:highlight w:val="none"/>
        </w:rPr>
      </w:pPr>
    </w:p>
    <w:p w14:paraId="755AFAF6">
      <w:p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（一）磋商函</w:t>
      </w:r>
    </w:p>
    <w:p w14:paraId="308B74F2">
      <w:pPr>
        <w:ind w:left="5250"/>
        <w:jc w:val="center"/>
        <w:rPr>
          <w:rFonts w:hint="eastAsia" w:asciiTheme="minorEastAsia" w:hAnsiTheme="minorEastAsia" w:eastAsiaTheme="minorEastAsia" w:cstheme="minorEastAsia"/>
          <w:b/>
          <w:bCs/>
          <w:color w:val="auto"/>
          <w:szCs w:val="21"/>
          <w:highlight w:val="none"/>
        </w:rPr>
      </w:pPr>
    </w:p>
    <w:p w14:paraId="4A8AF3AB">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w:t>
      </w:r>
      <w:r>
        <w:rPr>
          <w:rFonts w:hint="eastAsia" w:asciiTheme="minorEastAsia" w:hAnsiTheme="minorEastAsia" w:eastAsiaTheme="minorEastAsia" w:cstheme="minorEastAsia"/>
          <w:color w:val="auto"/>
          <w:szCs w:val="21"/>
          <w:highlight w:val="none"/>
          <w:lang w:eastAsia="zh-CN"/>
        </w:rPr>
        <w:t>人名称</w:t>
      </w:r>
      <w:r>
        <w:rPr>
          <w:rFonts w:hint="eastAsia" w:asciiTheme="minorEastAsia" w:hAnsiTheme="minorEastAsia" w:eastAsiaTheme="minorEastAsia" w:cstheme="minorEastAsia"/>
          <w:color w:val="auto"/>
          <w:szCs w:val="21"/>
          <w:highlight w:val="none"/>
        </w:rPr>
        <w:t>）：</w:t>
      </w:r>
    </w:p>
    <w:p w14:paraId="43522574">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1、我方已仔细研究了</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eastAsia="zh-CN"/>
        </w:rPr>
        <w:t>及项目编号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的全部内容，愿意以人民币（大写）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）的磋商总报价，工期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日历天，按合同约定实施和完成承包工程，修补工程中的任何缺陷，工程质量</w:t>
      </w:r>
      <w:r>
        <w:rPr>
          <w:rFonts w:hint="eastAsia" w:asciiTheme="minorEastAsia" w:hAnsiTheme="minorEastAsia" w:eastAsiaTheme="minorEastAsia" w:cstheme="minorEastAsia"/>
          <w:color w:val="auto"/>
          <w:szCs w:val="21"/>
          <w:highlight w:val="none"/>
          <w:lang w:eastAsia="zh-CN"/>
        </w:rPr>
        <w:t>等级</w:t>
      </w:r>
      <w:r>
        <w:rPr>
          <w:rFonts w:hint="eastAsia" w:asciiTheme="minorEastAsia" w:hAnsiTheme="minorEastAsia" w:eastAsiaTheme="minorEastAsia" w:cstheme="minorEastAsia"/>
          <w:color w:val="auto"/>
          <w:szCs w:val="21"/>
          <w:highlight w:val="none"/>
        </w:rPr>
        <w:t>达到</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w:t>
      </w:r>
    </w:p>
    <w:p w14:paraId="6C073569">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2、我方同意所递交的</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在“</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须知前附表”第</w:t>
      </w:r>
      <w:r>
        <w:rPr>
          <w:rFonts w:hint="eastAsia" w:asciiTheme="minorEastAsia" w:hAnsiTheme="minorEastAsia" w:eastAsiaTheme="minorEastAsia" w:cstheme="minorEastAsia"/>
          <w:color w:val="auto"/>
          <w:szCs w:val="21"/>
          <w:highlight w:val="none"/>
          <w:lang w:val="en-US" w:eastAsia="zh-CN"/>
        </w:rPr>
        <w:t>8</w:t>
      </w:r>
      <w:r>
        <w:rPr>
          <w:rFonts w:hint="eastAsia" w:asciiTheme="minorEastAsia" w:hAnsiTheme="minorEastAsia" w:eastAsiaTheme="minorEastAsia" w:cstheme="minorEastAsia"/>
          <w:color w:val="auto"/>
          <w:szCs w:val="21"/>
          <w:highlight w:val="none"/>
        </w:rPr>
        <w:t>条规定的磋商有效期内有效，在此期间内我方的磋商有可能成交，我方将受此约束。　</w:t>
      </w:r>
    </w:p>
    <w:p w14:paraId="3CBC969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3、我方承诺已经具备《中华人民共和国政府采购法》第二十二条中规定的参加政府采购活动的供应商应当具备的条件。</w:t>
      </w:r>
    </w:p>
    <w:p w14:paraId="2C6DDAB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4、我方根据</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的规定，承担完成合同的责任和义务。</w:t>
      </w:r>
    </w:p>
    <w:p w14:paraId="7E084E5E">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5、我方已详细审核</w:t>
      </w:r>
      <w:r>
        <w:rPr>
          <w:rFonts w:hint="eastAsia" w:asciiTheme="minorEastAsia" w:hAnsiTheme="minorEastAsia" w:eastAsiaTheme="minorEastAsia" w:cstheme="minorEastAsia"/>
          <w:color w:val="auto"/>
          <w:szCs w:val="21"/>
          <w:highlight w:val="none"/>
          <w:lang w:eastAsia="zh-CN"/>
        </w:rPr>
        <w:t>《竞争性磋商文件》</w:t>
      </w:r>
      <w:r>
        <w:rPr>
          <w:rFonts w:hint="eastAsia" w:asciiTheme="minorEastAsia" w:hAnsiTheme="minorEastAsia" w:eastAsiaTheme="minorEastAsia" w:cstheme="minorEastAsia"/>
          <w:color w:val="auto"/>
          <w:szCs w:val="21"/>
          <w:highlight w:val="none"/>
        </w:rPr>
        <w:t>，我方知道必须放弃提出含糊不清或误解问题的权利。</w:t>
      </w:r>
    </w:p>
    <w:p w14:paraId="514F96B3">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6、如果在磋商截止时间后的磋商有效期内撤回磋商或者有其他违约行为，贵方可不退还我方的磋商保证金。</w:t>
      </w:r>
    </w:p>
    <w:p w14:paraId="0934E5D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7、同意向贵方提供贵方可能要求的与本磋商有关的任何数据或资料。</w:t>
      </w:r>
    </w:p>
    <w:p w14:paraId="7F37822C">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8、我方完全理解贵方不一定要接受最低报价的</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为成交供应商。</w:t>
      </w:r>
    </w:p>
    <w:p w14:paraId="20031DD2">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9.若贵方需要，我方愿意提供我方作出的一切承诺的证明材料。</w:t>
      </w:r>
    </w:p>
    <w:p w14:paraId="09174CE2">
      <w:pPr>
        <w:pStyle w:val="11"/>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pacing w:val="-2"/>
          <w:szCs w:val="21"/>
          <w:highlight w:val="none"/>
        </w:rPr>
        <w:t>我方将严格遵守《中华人民共和国政府采购法》的规定，知悉作为政府采购供应商应负的法律责任。</w:t>
      </w:r>
    </w:p>
    <w:p w14:paraId="774EE74D">
      <w:pPr>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（其他）        </w:t>
      </w:r>
      <w:r>
        <w:rPr>
          <w:rFonts w:hint="eastAsia" w:asciiTheme="minorEastAsia" w:hAnsiTheme="minorEastAsia" w:eastAsiaTheme="minorEastAsia" w:cstheme="minorEastAsia"/>
          <w:color w:val="auto"/>
          <w:szCs w:val="21"/>
          <w:highlight w:val="none"/>
        </w:rPr>
        <w:t>。</w:t>
      </w:r>
    </w:p>
    <w:p w14:paraId="7B4ACFB9">
      <w:pPr>
        <w:spacing w:line="360" w:lineRule="auto"/>
        <w:rPr>
          <w:rFonts w:hint="eastAsia" w:asciiTheme="minorEastAsia" w:hAnsiTheme="minorEastAsia" w:eastAsiaTheme="minorEastAsia" w:cstheme="minorEastAsia"/>
          <w:color w:val="auto"/>
          <w:szCs w:val="21"/>
          <w:highlight w:val="none"/>
        </w:rPr>
      </w:pPr>
    </w:p>
    <w:p w14:paraId="01632334">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与本项目磋商有关的正式通讯地址为：</w:t>
      </w:r>
    </w:p>
    <w:p w14:paraId="5B48496A">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名称：</w:t>
      </w:r>
      <w:r>
        <w:rPr>
          <w:rFonts w:hint="eastAsia" w:asciiTheme="minorEastAsia" w:hAnsiTheme="minorEastAsia" w:eastAsiaTheme="minorEastAsia" w:cstheme="minorEastAsia"/>
          <w:color w:val="auto"/>
          <w:szCs w:val="21"/>
          <w:highlight w:val="none"/>
          <w:u w:val="single"/>
        </w:rPr>
        <w:t xml:space="preserve">                                  </w:t>
      </w:r>
    </w:p>
    <w:p w14:paraId="34D5FEAE">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地址：</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6F11E933">
      <w:pPr>
        <w:pStyle w:val="11"/>
        <w:spacing w:line="400" w:lineRule="exact"/>
        <w:ind w:firstLine="42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电话、电报、传真或电传：</w:t>
      </w:r>
      <w:r>
        <w:rPr>
          <w:rFonts w:hint="eastAsia" w:asciiTheme="minorEastAsia" w:hAnsiTheme="minorEastAsia" w:eastAsiaTheme="minorEastAsia" w:cstheme="minorEastAsia"/>
          <w:color w:val="auto"/>
          <w:szCs w:val="21"/>
          <w:highlight w:val="none"/>
          <w:u w:val="single"/>
        </w:rPr>
        <w:t xml:space="preserve">                     </w:t>
      </w:r>
    </w:p>
    <w:p w14:paraId="5BF540D1">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开户名称：</w:t>
      </w:r>
      <w:r>
        <w:rPr>
          <w:rFonts w:hint="eastAsia" w:asciiTheme="minorEastAsia" w:hAnsiTheme="minorEastAsia" w:eastAsiaTheme="minorEastAsia" w:cstheme="minorEastAsia"/>
          <w:color w:val="auto"/>
          <w:szCs w:val="21"/>
          <w:highlight w:val="none"/>
          <w:u w:val="single"/>
        </w:rPr>
        <w:t xml:space="preserve">                                   </w:t>
      </w:r>
    </w:p>
    <w:p w14:paraId="46E91E3F">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p>
    <w:p w14:paraId="4A83C343">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银行帐号：</w:t>
      </w:r>
      <w:r>
        <w:rPr>
          <w:rFonts w:hint="eastAsia" w:asciiTheme="minorEastAsia" w:hAnsiTheme="minorEastAsia" w:eastAsiaTheme="minorEastAsia" w:cstheme="minorEastAsia"/>
          <w:color w:val="auto"/>
          <w:szCs w:val="21"/>
          <w:highlight w:val="none"/>
          <w:u w:val="single"/>
        </w:rPr>
        <w:t xml:space="preserve">                                    </w:t>
      </w:r>
    </w:p>
    <w:p w14:paraId="1ADE8C41">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法定代表人或委托代理人</w:t>
      </w:r>
      <w:r>
        <w:rPr>
          <w:rFonts w:hint="eastAsia" w:asciiTheme="minorEastAsia" w:hAnsiTheme="minorEastAsia" w:eastAsiaTheme="minorEastAsia" w:cstheme="minorEastAsia"/>
          <w:color w:val="auto"/>
          <w:kern w:val="0"/>
          <w:szCs w:val="21"/>
          <w:highlight w:val="none"/>
        </w:rPr>
        <w:t>手写签名</w:t>
      </w:r>
      <w:r>
        <w:rPr>
          <w:rFonts w:hint="eastAsia" w:asciiTheme="minorEastAsia" w:hAnsiTheme="minorEastAsia" w:eastAsiaTheme="minorEastAsia" w:cstheme="minorEastAsia"/>
          <w:color w:val="auto"/>
          <w:kern w:val="0"/>
          <w:szCs w:val="21"/>
          <w:highlight w:val="none"/>
          <w:lang w:val="en-US" w:eastAsia="zh-CN"/>
        </w:rPr>
        <w:t>或</w:t>
      </w:r>
      <w:r>
        <w:rPr>
          <w:rFonts w:hint="eastAsia" w:asciiTheme="minorEastAsia" w:hAnsiTheme="minorEastAsia" w:eastAsiaTheme="minorEastAsia" w:cstheme="minorEastAsia"/>
          <w:color w:val="auto"/>
          <w:kern w:val="0"/>
          <w:szCs w:val="21"/>
          <w:highlight w:val="none"/>
        </w:rPr>
        <w:t>电子签名</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2E882260">
      <w:pPr>
        <w:pStyle w:val="11"/>
        <w:spacing w:line="400" w:lineRule="exact"/>
        <w:ind w:firstLine="42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盖公章</w:t>
      </w:r>
      <w:r>
        <w:rPr>
          <w:rFonts w:hint="eastAsia" w:asciiTheme="minorEastAsia" w:hAnsiTheme="minorEastAsia" w:eastAsiaTheme="minorEastAsia" w:cstheme="minorEastAsia"/>
          <w:color w:val="auto"/>
          <w:szCs w:val="21"/>
          <w:highlight w:val="none"/>
          <w:lang w:val="en-US" w:eastAsia="zh-CN"/>
        </w:rPr>
        <w:t>或电子CA签章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p>
    <w:p w14:paraId="05C31670">
      <w:pPr>
        <w:pStyle w:val="11"/>
        <w:spacing w:line="400" w:lineRule="exact"/>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磋商日期：</w:t>
      </w:r>
      <w:r>
        <w:rPr>
          <w:rFonts w:hint="eastAsia" w:asciiTheme="minorEastAsia" w:hAnsiTheme="minorEastAsia" w:eastAsiaTheme="minorEastAsia" w:cstheme="minorEastAsia"/>
          <w:color w:val="auto"/>
          <w:szCs w:val="21"/>
          <w:highlight w:val="none"/>
          <w:u w:val="single"/>
        </w:rPr>
        <w:t xml:space="preserve">                                   </w:t>
      </w:r>
    </w:p>
    <w:p w14:paraId="1CFFD60C">
      <w:pPr>
        <w:spacing w:line="480" w:lineRule="auto"/>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4"/>
          <w:highlight w:val="none"/>
        </w:rPr>
        <w:t>（二） 磋商函附录</w:t>
      </w:r>
    </w:p>
    <w:p w14:paraId="5B9284CA">
      <w:pPr>
        <w:spacing w:line="336" w:lineRule="auto"/>
        <w:ind w:left="-4" w:leftChars="-2" w:right="-153" w:rightChars="-73" w:firstLine="2627" w:firstLineChars="1251"/>
        <w:rPr>
          <w:rFonts w:hint="eastAsia" w:asciiTheme="minorEastAsia" w:hAnsiTheme="minorEastAsia" w:eastAsiaTheme="minorEastAsia" w:cstheme="minorEastAsia"/>
          <w:b/>
          <w:color w:val="auto"/>
          <w:szCs w:val="21"/>
          <w:highlight w:val="none"/>
        </w:rPr>
      </w:pPr>
    </w:p>
    <w:tbl>
      <w:tblPr>
        <w:tblStyle w:val="19"/>
        <w:tblW w:w="0" w:type="auto"/>
        <w:tblInd w:w="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66"/>
        <w:gridCol w:w="2655"/>
        <w:gridCol w:w="1985"/>
        <w:gridCol w:w="2026"/>
        <w:gridCol w:w="1207"/>
      </w:tblGrid>
      <w:tr w14:paraId="2024BC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0" w:hRule="atLeast"/>
        </w:trPr>
        <w:tc>
          <w:tcPr>
            <w:tcW w:w="866" w:type="dxa"/>
            <w:noWrap w:val="0"/>
            <w:vAlign w:val="top"/>
          </w:tcPr>
          <w:p w14:paraId="4643E398">
            <w:pPr>
              <w:pStyle w:val="43"/>
              <w:keepNext w:val="0"/>
              <w:keepLines w:val="0"/>
              <w:suppressLineNumbers w:val="0"/>
              <w:spacing w:before="155" w:beforeAutospacing="0" w:after="0" w:afterAutospacing="0"/>
              <w:ind w:left="174" w:right="157"/>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序号</w:t>
            </w:r>
          </w:p>
        </w:tc>
        <w:tc>
          <w:tcPr>
            <w:tcW w:w="2655" w:type="dxa"/>
            <w:tcBorders>
              <w:right w:val="single" w:color="000000" w:sz="4" w:space="0"/>
            </w:tcBorders>
            <w:noWrap w:val="0"/>
            <w:vAlign w:val="top"/>
          </w:tcPr>
          <w:p w14:paraId="6BE62891">
            <w:pPr>
              <w:pStyle w:val="43"/>
              <w:keepNext w:val="0"/>
              <w:keepLines w:val="0"/>
              <w:suppressLineNumbers w:val="0"/>
              <w:spacing w:before="15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条款名称</w:t>
            </w:r>
          </w:p>
        </w:tc>
        <w:tc>
          <w:tcPr>
            <w:tcW w:w="1985" w:type="dxa"/>
            <w:tcBorders>
              <w:left w:val="single" w:color="000000" w:sz="4" w:space="0"/>
              <w:right w:val="single" w:color="000000" w:sz="4" w:space="0"/>
            </w:tcBorders>
            <w:noWrap w:val="0"/>
            <w:vAlign w:val="top"/>
          </w:tcPr>
          <w:p w14:paraId="20F935CE">
            <w:pPr>
              <w:pStyle w:val="43"/>
              <w:keepNext w:val="0"/>
              <w:keepLines w:val="0"/>
              <w:suppressLineNumbers w:val="0"/>
              <w:spacing w:before="15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合同条款号</w:t>
            </w:r>
          </w:p>
        </w:tc>
        <w:tc>
          <w:tcPr>
            <w:tcW w:w="2026" w:type="dxa"/>
            <w:tcBorders>
              <w:left w:val="single" w:color="000000" w:sz="4" w:space="0"/>
              <w:right w:val="single" w:color="000000" w:sz="4" w:space="0"/>
            </w:tcBorders>
            <w:noWrap w:val="0"/>
            <w:vAlign w:val="top"/>
          </w:tcPr>
          <w:p w14:paraId="0D38B716">
            <w:pPr>
              <w:pStyle w:val="43"/>
              <w:keepNext w:val="0"/>
              <w:keepLines w:val="0"/>
              <w:suppressLineNumbers w:val="0"/>
              <w:spacing w:before="155" w:beforeAutospacing="0" w:after="0" w:afterAutospacing="0"/>
              <w:ind w:left="660"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约定内容</w:t>
            </w:r>
          </w:p>
        </w:tc>
        <w:tc>
          <w:tcPr>
            <w:tcW w:w="1207" w:type="dxa"/>
            <w:tcBorders>
              <w:left w:val="single" w:color="000000" w:sz="4" w:space="0"/>
            </w:tcBorders>
            <w:noWrap w:val="0"/>
            <w:vAlign w:val="top"/>
          </w:tcPr>
          <w:p w14:paraId="49DD428E">
            <w:pPr>
              <w:pStyle w:val="43"/>
              <w:keepNext w:val="0"/>
              <w:keepLines w:val="0"/>
              <w:suppressLineNumbers w:val="0"/>
              <w:spacing w:before="155" w:beforeAutospacing="0" w:after="0" w:afterAutospacing="0"/>
              <w:ind w:left="367"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备注</w:t>
            </w:r>
          </w:p>
        </w:tc>
      </w:tr>
      <w:tr w14:paraId="68C79A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68DA416A">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1</w:t>
            </w:r>
          </w:p>
        </w:tc>
        <w:tc>
          <w:tcPr>
            <w:tcW w:w="2655" w:type="dxa"/>
            <w:tcBorders>
              <w:right w:val="single" w:color="000000" w:sz="4" w:space="0"/>
            </w:tcBorders>
            <w:noWrap w:val="0"/>
            <w:vAlign w:val="top"/>
          </w:tcPr>
          <w:p w14:paraId="3D4DAE77">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项目经理</w:t>
            </w:r>
          </w:p>
        </w:tc>
        <w:tc>
          <w:tcPr>
            <w:tcW w:w="1985" w:type="dxa"/>
            <w:tcBorders>
              <w:left w:val="single" w:color="000000" w:sz="4" w:space="0"/>
              <w:right w:val="single" w:color="000000" w:sz="4" w:space="0"/>
            </w:tcBorders>
            <w:noWrap w:val="0"/>
            <w:vAlign w:val="top"/>
          </w:tcPr>
          <w:p w14:paraId="450C7E8B">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14:paraId="65A829E3">
            <w:pPr>
              <w:pStyle w:val="43"/>
              <w:keepNext w:val="0"/>
              <w:keepLines w:val="0"/>
              <w:suppressLineNumbers w:val="0"/>
              <w:tabs>
                <w:tab w:val="left" w:pos="2004"/>
              </w:tabs>
              <w:spacing w:before="213" w:beforeAutospacing="0" w:after="0" w:afterAutospacing="0"/>
              <w:ind w:left="269" w:right="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姓名：</w:t>
            </w:r>
            <w:r>
              <w:rPr>
                <w:rFonts w:hint="eastAsia" w:asciiTheme="minorEastAsia" w:hAnsiTheme="minorEastAsia" w:eastAsiaTheme="minorEastAsia" w:cstheme="minorEastAsia"/>
                <w:color w:val="auto"/>
                <w:spacing w:val="0"/>
                <w:sz w:val="21"/>
                <w:szCs w:val="21"/>
                <w:highlight w:val="none"/>
                <w:u w:val="single"/>
              </w:rPr>
              <w:t xml:space="preserve"> </w:t>
            </w:r>
            <w:r>
              <w:rPr>
                <w:rFonts w:hint="eastAsia" w:asciiTheme="minorEastAsia" w:hAnsiTheme="minorEastAsia" w:eastAsiaTheme="minorEastAsia" w:cstheme="minorEastAsia"/>
                <w:color w:val="auto"/>
                <w:spacing w:val="0"/>
                <w:sz w:val="21"/>
                <w:szCs w:val="21"/>
                <w:highlight w:val="none"/>
                <w:u w:val="single"/>
              </w:rPr>
              <w:tab/>
            </w:r>
          </w:p>
        </w:tc>
        <w:tc>
          <w:tcPr>
            <w:tcW w:w="1207" w:type="dxa"/>
            <w:tcBorders>
              <w:left w:val="single" w:color="000000" w:sz="4" w:space="0"/>
            </w:tcBorders>
            <w:noWrap w:val="0"/>
            <w:vAlign w:val="top"/>
          </w:tcPr>
          <w:p w14:paraId="1886A256">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478C9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6A03497E">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2</w:t>
            </w:r>
          </w:p>
        </w:tc>
        <w:tc>
          <w:tcPr>
            <w:tcW w:w="2655" w:type="dxa"/>
            <w:tcBorders>
              <w:right w:val="single" w:color="000000" w:sz="4" w:space="0"/>
            </w:tcBorders>
            <w:noWrap w:val="0"/>
            <w:vAlign w:val="top"/>
          </w:tcPr>
          <w:p w14:paraId="09650EE5">
            <w:pPr>
              <w:pStyle w:val="43"/>
              <w:keepNext w:val="0"/>
              <w:keepLines w:val="0"/>
              <w:suppressLineNumbers w:val="0"/>
              <w:spacing w:before="21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工期</w:t>
            </w:r>
          </w:p>
        </w:tc>
        <w:tc>
          <w:tcPr>
            <w:tcW w:w="1985" w:type="dxa"/>
            <w:tcBorders>
              <w:left w:val="single" w:color="000000" w:sz="4" w:space="0"/>
              <w:right w:val="single" w:color="000000" w:sz="4" w:space="0"/>
            </w:tcBorders>
            <w:noWrap w:val="0"/>
            <w:vAlign w:val="top"/>
          </w:tcPr>
          <w:p w14:paraId="2494FBEE">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14:paraId="21B8A5E3">
            <w:pPr>
              <w:pStyle w:val="43"/>
              <w:keepNext w:val="0"/>
              <w:keepLines w:val="0"/>
              <w:suppressLineNumbers w:val="0"/>
              <w:tabs>
                <w:tab w:val="left" w:pos="1229"/>
              </w:tabs>
              <w:spacing w:before="215" w:beforeAutospacing="0" w:after="0" w:afterAutospacing="0"/>
              <w:ind w:left="29" w:right="0"/>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天数：</w:t>
            </w:r>
            <w:r>
              <w:rPr>
                <w:rFonts w:hint="eastAsia" w:asciiTheme="minorEastAsia" w:hAnsiTheme="minorEastAsia" w:eastAsiaTheme="minorEastAsia" w:cstheme="minorEastAsia"/>
                <w:color w:val="auto"/>
                <w:spacing w:val="0"/>
                <w:sz w:val="21"/>
                <w:szCs w:val="21"/>
                <w:highlight w:val="none"/>
                <w:u w:val="single"/>
              </w:rPr>
              <w:t xml:space="preserve"> </w:t>
            </w:r>
            <w:r>
              <w:rPr>
                <w:rFonts w:hint="eastAsia" w:asciiTheme="minorEastAsia" w:hAnsiTheme="minorEastAsia" w:eastAsiaTheme="minorEastAsia" w:cstheme="minorEastAsia"/>
                <w:color w:val="auto"/>
                <w:spacing w:val="0"/>
                <w:sz w:val="21"/>
                <w:szCs w:val="21"/>
                <w:highlight w:val="none"/>
                <w:u w:val="single"/>
              </w:rPr>
              <w:tab/>
            </w:r>
            <w:r>
              <w:rPr>
                <w:rFonts w:hint="eastAsia" w:asciiTheme="minorEastAsia" w:hAnsiTheme="minorEastAsia" w:eastAsiaTheme="minorEastAsia" w:cstheme="minorEastAsia"/>
                <w:color w:val="auto"/>
                <w:spacing w:val="0"/>
                <w:sz w:val="21"/>
                <w:szCs w:val="21"/>
                <w:highlight w:val="none"/>
                <w:lang w:eastAsia="zh-CN"/>
              </w:rPr>
              <w:t>日历天</w:t>
            </w:r>
          </w:p>
        </w:tc>
        <w:tc>
          <w:tcPr>
            <w:tcW w:w="1207" w:type="dxa"/>
            <w:tcBorders>
              <w:left w:val="single" w:color="000000" w:sz="4" w:space="0"/>
            </w:tcBorders>
            <w:noWrap w:val="0"/>
            <w:vAlign w:val="top"/>
          </w:tcPr>
          <w:p w14:paraId="23CCC491">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42B03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866" w:type="dxa"/>
            <w:noWrap w:val="0"/>
            <w:vAlign w:val="top"/>
          </w:tcPr>
          <w:p w14:paraId="3EA26DDA">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3</w:t>
            </w:r>
          </w:p>
        </w:tc>
        <w:tc>
          <w:tcPr>
            <w:tcW w:w="2655" w:type="dxa"/>
            <w:tcBorders>
              <w:right w:val="single" w:color="000000" w:sz="4" w:space="0"/>
            </w:tcBorders>
            <w:noWrap w:val="0"/>
            <w:vAlign w:val="top"/>
          </w:tcPr>
          <w:p w14:paraId="4FF73834">
            <w:pPr>
              <w:pStyle w:val="43"/>
              <w:keepNext w:val="0"/>
              <w:keepLines w:val="0"/>
              <w:suppressLineNumbers w:val="0"/>
              <w:spacing w:before="59"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缺陷责任期</w:t>
            </w:r>
          </w:p>
          <w:p w14:paraId="36001921">
            <w:pPr>
              <w:pStyle w:val="43"/>
              <w:keepNext w:val="0"/>
              <w:keepLines w:val="0"/>
              <w:suppressLineNumbers w:val="0"/>
              <w:spacing w:before="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（工程质量保修期）</w:t>
            </w:r>
          </w:p>
        </w:tc>
        <w:tc>
          <w:tcPr>
            <w:tcW w:w="1985" w:type="dxa"/>
            <w:tcBorders>
              <w:left w:val="single" w:color="000000" w:sz="4" w:space="0"/>
              <w:right w:val="single" w:color="000000" w:sz="4" w:space="0"/>
            </w:tcBorders>
            <w:noWrap w:val="0"/>
            <w:vAlign w:val="top"/>
          </w:tcPr>
          <w:p w14:paraId="4F5A9AC3">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14:paraId="2E191319">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315C96D2">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714F6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2D2DC39B">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4</w:t>
            </w:r>
          </w:p>
        </w:tc>
        <w:tc>
          <w:tcPr>
            <w:tcW w:w="2655" w:type="dxa"/>
            <w:tcBorders>
              <w:right w:val="single" w:color="000000" w:sz="4" w:space="0"/>
            </w:tcBorders>
            <w:noWrap w:val="0"/>
            <w:vAlign w:val="top"/>
          </w:tcPr>
          <w:p w14:paraId="47A0DE7B">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分包</w:t>
            </w:r>
          </w:p>
        </w:tc>
        <w:tc>
          <w:tcPr>
            <w:tcW w:w="1985" w:type="dxa"/>
            <w:tcBorders>
              <w:left w:val="single" w:color="000000" w:sz="4" w:space="0"/>
              <w:right w:val="single" w:color="000000" w:sz="4" w:space="0"/>
            </w:tcBorders>
            <w:noWrap w:val="0"/>
            <w:vAlign w:val="top"/>
          </w:tcPr>
          <w:p w14:paraId="10489646">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14:paraId="6B25D9D0">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21CA8661">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77942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5AEA5C89">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5</w:t>
            </w:r>
          </w:p>
        </w:tc>
        <w:tc>
          <w:tcPr>
            <w:tcW w:w="2655" w:type="dxa"/>
            <w:tcBorders>
              <w:right w:val="single" w:color="000000" w:sz="4" w:space="0"/>
            </w:tcBorders>
            <w:noWrap w:val="0"/>
            <w:vAlign w:val="top"/>
          </w:tcPr>
          <w:p w14:paraId="154A2918">
            <w:pPr>
              <w:pStyle w:val="43"/>
              <w:keepNext w:val="0"/>
              <w:keepLines w:val="0"/>
              <w:suppressLineNumbers w:val="0"/>
              <w:spacing w:before="215" w:beforeAutospacing="0" w:after="0" w:afterAutospacing="0"/>
              <w:ind w:left="226" w:right="214"/>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质量</w:t>
            </w:r>
            <w:r>
              <w:rPr>
                <w:rFonts w:hint="eastAsia" w:asciiTheme="minorEastAsia" w:hAnsiTheme="minorEastAsia" w:eastAsiaTheme="minorEastAsia" w:cstheme="minorEastAsia"/>
                <w:color w:val="auto"/>
                <w:spacing w:val="0"/>
                <w:sz w:val="21"/>
                <w:szCs w:val="21"/>
                <w:highlight w:val="none"/>
                <w:lang w:eastAsia="zh-CN"/>
              </w:rPr>
              <w:t>要求</w:t>
            </w:r>
          </w:p>
        </w:tc>
        <w:tc>
          <w:tcPr>
            <w:tcW w:w="1985" w:type="dxa"/>
            <w:tcBorders>
              <w:left w:val="single" w:color="000000" w:sz="4" w:space="0"/>
              <w:right w:val="single" w:color="000000" w:sz="4" w:space="0"/>
            </w:tcBorders>
            <w:noWrap w:val="0"/>
            <w:vAlign w:val="top"/>
          </w:tcPr>
          <w:p w14:paraId="7277E303">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2026" w:type="dxa"/>
            <w:tcBorders>
              <w:left w:val="single" w:color="000000" w:sz="4" w:space="0"/>
              <w:right w:val="single" w:color="000000" w:sz="4" w:space="0"/>
            </w:tcBorders>
            <w:noWrap w:val="0"/>
            <w:vAlign w:val="top"/>
          </w:tcPr>
          <w:p w14:paraId="5D7804DC">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0AEA5085">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76B593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866" w:type="dxa"/>
            <w:noWrap w:val="0"/>
            <w:vAlign w:val="top"/>
          </w:tcPr>
          <w:p w14:paraId="3A8CDB24">
            <w:pPr>
              <w:pStyle w:val="43"/>
              <w:keepNext w:val="0"/>
              <w:keepLines w:val="0"/>
              <w:suppressLineNumbers w:val="0"/>
              <w:spacing w:before="215"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val="en-US" w:eastAsia="zh-CN"/>
              </w:rPr>
              <w:t>6</w:t>
            </w:r>
          </w:p>
        </w:tc>
        <w:tc>
          <w:tcPr>
            <w:tcW w:w="2655" w:type="dxa"/>
            <w:tcBorders>
              <w:right w:val="single" w:color="000000" w:sz="4" w:space="0"/>
            </w:tcBorders>
            <w:noWrap w:val="0"/>
            <w:vAlign w:val="top"/>
          </w:tcPr>
          <w:p w14:paraId="6CEDAA15">
            <w:pPr>
              <w:pStyle w:val="43"/>
              <w:keepNext w:val="0"/>
              <w:keepLines w:val="0"/>
              <w:suppressLineNumbers w:val="0"/>
              <w:spacing w:before="215"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lang w:eastAsia="zh-CN"/>
              </w:rPr>
              <w:t>投标有效期</w:t>
            </w:r>
          </w:p>
        </w:tc>
        <w:tc>
          <w:tcPr>
            <w:tcW w:w="1985" w:type="dxa"/>
            <w:tcBorders>
              <w:left w:val="single" w:color="000000" w:sz="4" w:space="0"/>
              <w:right w:val="single" w:color="000000" w:sz="4" w:space="0"/>
            </w:tcBorders>
            <w:noWrap w:val="0"/>
            <w:vAlign w:val="top"/>
          </w:tcPr>
          <w:p w14:paraId="7042B3E0">
            <w:pPr>
              <w:pStyle w:val="43"/>
              <w:keepNext w:val="0"/>
              <w:keepLines w:val="0"/>
              <w:suppressLineNumbers w:val="0"/>
              <w:spacing w:before="215"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lang w:val="en-US" w:eastAsia="zh-CN"/>
              </w:rPr>
            </w:pPr>
          </w:p>
        </w:tc>
        <w:tc>
          <w:tcPr>
            <w:tcW w:w="2026" w:type="dxa"/>
            <w:tcBorders>
              <w:left w:val="single" w:color="000000" w:sz="4" w:space="0"/>
              <w:right w:val="single" w:color="000000" w:sz="4" w:space="0"/>
            </w:tcBorders>
            <w:noWrap w:val="0"/>
            <w:vAlign w:val="top"/>
          </w:tcPr>
          <w:p w14:paraId="641B3B81">
            <w:pPr>
              <w:pStyle w:val="43"/>
              <w:keepNext w:val="0"/>
              <w:keepLines w:val="0"/>
              <w:suppressLineNumbers w:val="0"/>
              <w:spacing w:before="215" w:beforeAutospacing="0" w:after="0" w:afterAutospacing="0"/>
              <w:ind w:left="753" w:right="743"/>
              <w:jc w:val="center"/>
              <w:rPr>
                <w:rFonts w:hint="eastAsia" w:asciiTheme="minorEastAsia" w:hAnsiTheme="minorEastAsia" w:eastAsiaTheme="minorEastAsia" w:cstheme="minorEastAsia"/>
                <w:color w:val="auto"/>
                <w:spacing w:val="0"/>
                <w:sz w:val="21"/>
                <w:szCs w:val="21"/>
                <w:highlight w:val="none"/>
              </w:rPr>
            </w:pPr>
          </w:p>
        </w:tc>
        <w:tc>
          <w:tcPr>
            <w:tcW w:w="1207" w:type="dxa"/>
            <w:tcBorders>
              <w:left w:val="single" w:color="000000" w:sz="4" w:space="0"/>
            </w:tcBorders>
            <w:noWrap w:val="0"/>
            <w:vAlign w:val="top"/>
          </w:tcPr>
          <w:p w14:paraId="7BBA0D9F">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r w14:paraId="0DA1F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6" w:hRule="atLeast"/>
        </w:trPr>
        <w:tc>
          <w:tcPr>
            <w:tcW w:w="866" w:type="dxa"/>
            <w:noWrap w:val="0"/>
            <w:vAlign w:val="top"/>
          </w:tcPr>
          <w:p w14:paraId="50DA96C8">
            <w:pPr>
              <w:pStyle w:val="43"/>
              <w:keepNext w:val="0"/>
              <w:keepLines w:val="0"/>
              <w:suppressLineNumbers w:val="0"/>
              <w:spacing w:before="213" w:beforeAutospacing="0" w:after="0" w:afterAutospacing="0"/>
              <w:ind w:left="17" w:right="0"/>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2655" w:type="dxa"/>
            <w:tcBorders>
              <w:right w:val="single" w:color="000000" w:sz="4" w:space="0"/>
            </w:tcBorders>
            <w:noWrap w:val="0"/>
            <w:vAlign w:val="top"/>
          </w:tcPr>
          <w:p w14:paraId="2E39D44B">
            <w:pPr>
              <w:pStyle w:val="43"/>
              <w:keepNext w:val="0"/>
              <w:keepLines w:val="0"/>
              <w:suppressLineNumbers w:val="0"/>
              <w:spacing w:before="213" w:beforeAutospacing="0" w:after="0" w:afterAutospacing="0"/>
              <w:ind w:left="226" w:right="215"/>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1985" w:type="dxa"/>
            <w:tcBorders>
              <w:left w:val="single" w:color="000000" w:sz="4" w:space="0"/>
              <w:right w:val="single" w:color="000000" w:sz="4" w:space="0"/>
            </w:tcBorders>
            <w:noWrap w:val="0"/>
            <w:vAlign w:val="top"/>
          </w:tcPr>
          <w:p w14:paraId="6914C48F">
            <w:pPr>
              <w:pStyle w:val="43"/>
              <w:keepNext w:val="0"/>
              <w:keepLines w:val="0"/>
              <w:suppressLineNumbers w:val="0"/>
              <w:spacing w:before="213" w:beforeAutospacing="0" w:after="0" w:afterAutospacing="0"/>
              <w:ind w:left="373" w:right="361"/>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2026" w:type="dxa"/>
            <w:tcBorders>
              <w:left w:val="single" w:color="000000" w:sz="4" w:space="0"/>
              <w:right w:val="single" w:color="000000" w:sz="4" w:space="0"/>
            </w:tcBorders>
            <w:noWrap w:val="0"/>
            <w:vAlign w:val="top"/>
          </w:tcPr>
          <w:p w14:paraId="2132D9C6">
            <w:pPr>
              <w:pStyle w:val="43"/>
              <w:keepNext w:val="0"/>
              <w:keepLines w:val="0"/>
              <w:suppressLineNumbers w:val="0"/>
              <w:spacing w:before="213" w:beforeAutospacing="0" w:after="0" w:afterAutospacing="0"/>
              <w:ind w:left="753" w:right="743"/>
              <w:jc w:val="center"/>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w:t>
            </w:r>
          </w:p>
        </w:tc>
        <w:tc>
          <w:tcPr>
            <w:tcW w:w="1207" w:type="dxa"/>
            <w:tcBorders>
              <w:left w:val="single" w:color="000000" w:sz="4" w:space="0"/>
            </w:tcBorders>
            <w:noWrap w:val="0"/>
            <w:vAlign w:val="top"/>
          </w:tcPr>
          <w:p w14:paraId="6D570590">
            <w:pPr>
              <w:pStyle w:val="43"/>
              <w:keepNext w:val="0"/>
              <w:keepLines w:val="0"/>
              <w:suppressLineNumbers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p>
        </w:tc>
      </w:tr>
    </w:tbl>
    <w:p w14:paraId="25282A6A">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14:paraId="105C1A77">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14:paraId="08919B48">
      <w:pPr>
        <w:spacing w:line="336" w:lineRule="auto"/>
        <w:ind w:left="-4" w:leftChars="-2" w:right="-153" w:rightChars="-73" w:firstLine="363" w:firstLineChars="173"/>
        <w:jc w:val="center"/>
        <w:rPr>
          <w:rFonts w:hint="eastAsia" w:asciiTheme="minorEastAsia" w:hAnsiTheme="minorEastAsia" w:eastAsiaTheme="minorEastAsia" w:cstheme="minorEastAsia"/>
          <w:b/>
          <w:color w:val="auto"/>
          <w:szCs w:val="21"/>
          <w:highlight w:val="none"/>
        </w:rPr>
      </w:pPr>
    </w:p>
    <w:p w14:paraId="3E638EEE">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lang w:eastAsia="zh-CN"/>
        </w:rPr>
        <w:t>电子CA签章</w:t>
      </w:r>
      <w:r>
        <w:rPr>
          <w:rFonts w:hint="eastAsia" w:asciiTheme="minorEastAsia" w:hAnsiTheme="minorEastAsia" w:eastAsiaTheme="minorEastAsia" w:cstheme="minorEastAsia"/>
          <w:color w:val="auto"/>
          <w:szCs w:val="21"/>
          <w:highlight w:val="none"/>
        </w:rPr>
        <w:t>）</w:t>
      </w:r>
    </w:p>
    <w:p w14:paraId="051B6263">
      <w:pPr>
        <w:spacing w:line="48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法定代表人（或授权委托代理人）：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（手写签名</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rPr>
        <w:t xml:space="preserve">电子签名） </w:t>
      </w:r>
    </w:p>
    <w:p w14:paraId="66BFDB96">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none"/>
          <w:lang w:eastAsia="zh-CN"/>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0F5504F5">
      <w:pPr>
        <w:numPr>
          <w:ilvl w:val="0"/>
          <w:numId w:val="0"/>
        </w:numPr>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color w:val="auto"/>
          <w:szCs w:val="21"/>
          <w:highlight w:val="none"/>
        </w:rPr>
        <w:br w:type="page"/>
      </w:r>
      <w:r>
        <w:rPr>
          <w:rFonts w:hint="eastAsia" w:asciiTheme="minorEastAsia" w:hAnsiTheme="minorEastAsia" w:eastAsiaTheme="minorEastAsia" w:cstheme="minorEastAsia"/>
          <w:b/>
          <w:color w:val="auto"/>
          <w:kern w:val="0"/>
          <w:sz w:val="28"/>
          <w:szCs w:val="28"/>
          <w:highlight w:val="none"/>
          <w:lang w:val="en-US" w:eastAsia="zh-CN"/>
        </w:rPr>
        <w:t>二、</w:t>
      </w:r>
      <w:r>
        <w:rPr>
          <w:rFonts w:hint="eastAsia" w:asciiTheme="minorEastAsia" w:hAnsiTheme="minorEastAsia" w:eastAsiaTheme="minorEastAsia" w:cstheme="minorEastAsia"/>
          <w:b/>
          <w:color w:val="auto"/>
          <w:kern w:val="0"/>
          <w:sz w:val="28"/>
          <w:szCs w:val="28"/>
          <w:highlight w:val="none"/>
        </w:rPr>
        <w:t>竞标人基本情况表</w:t>
      </w:r>
    </w:p>
    <w:p w14:paraId="226D2377">
      <w:pPr>
        <w:pStyle w:val="38"/>
        <w:numPr>
          <w:ilvl w:val="0"/>
          <w:numId w:val="0"/>
        </w:numPr>
        <w:rPr>
          <w:rFonts w:hint="eastAsia" w:asciiTheme="minorEastAsia" w:hAnsiTheme="minorEastAsia" w:eastAsiaTheme="minorEastAsia" w:cstheme="minorEastAsia"/>
          <w:color w:val="auto"/>
          <w:highlight w:val="none"/>
        </w:rPr>
      </w:pPr>
    </w:p>
    <w:tbl>
      <w:tblPr>
        <w:tblStyle w:val="19"/>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197CD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1D3E212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竞标人名称</w:t>
            </w:r>
          </w:p>
        </w:tc>
        <w:tc>
          <w:tcPr>
            <w:tcW w:w="8757" w:type="dxa"/>
            <w:gridSpan w:val="6"/>
            <w:noWrap w:val="0"/>
            <w:vAlign w:val="center"/>
          </w:tcPr>
          <w:p w14:paraId="2A17CCAA">
            <w:pPr>
              <w:spacing w:line="300" w:lineRule="exact"/>
              <w:jc w:val="center"/>
              <w:rPr>
                <w:rFonts w:hint="eastAsia" w:asciiTheme="minorEastAsia" w:hAnsiTheme="minorEastAsia" w:eastAsiaTheme="minorEastAsia" w:cstheme="minorEastAsia"/>
                <w:color w:val="auto"/>
                <w:szCs w:val="21"/>
                <w:highlight w:val="none"/>
              </w:rPr>
            </w:pPr>
          </w:p>
        </w:tc>
      </w:tr>
      <w:tr w14:paraId="591C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732F2E2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注册地址</w:t>
            </w:r>
          </w:p>
        </w:tc>
        <w:tc>
          <w:tcPr>
            <w:tcW w:w="3466" w:type="dxa"/>
            <w:gridSpan w:val="3"/>
            <w:noWrap w:val="0"/>
            <w:vAlign w:val="center"/>
          </w:tcPr>
          <w:p w14:paraId="1C6E1981">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66FF9C2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p>
        </w:tc>
        <w:tc>
          <w:tcPr>
            <w:tcW w:w="3751" w:type="dxa"/>
            <w:gridSpan w:val="2"/>
            <w:noWrap w:val="0"/>
            <w:vAlign w:val="center"/>
          </w:tcPr>
          <w:p w14:paraId="3EFF2F7C">
            <w:pPr>
              <w:spacing w:line="300" w:lineRule="exact"/>
              <w:jc w:val="center"/>
              <w:rPr>
                <w:rFonts w:hint="eastAsia" w:asciiTheme="minorEastAsia" w:hAnsiTheme="minorEastAsia" w:eastAsiaTheme="minorEastAsia" w:cstheme="minorEastAsia"/>
                <w:color w:val="auto"/>
                <w:szCs w:val="21"/>
                <w:highlight w:val="none"/>
              </w:rPr>
            </w:pPr>
          </w:p>
        </w:tc>
      </w:tr>
      <w:tr w14:paraId="0B8A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0"/>
            <w:vAlign w:val="center"/>
          </w:tcPr>
          <w:p w14:paraId="208D5E1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联系方式</w:t>
            </w:r>
          </w:p>
        </w:tc>
        <w:tc>
          <w:tcPr>
            <w:tcW w:w="917" w:type="dxa"/>
            <w:noWrap w:val="0"/>
            <w:vAlign w:val="center"/>
          </w:tcPr>
          <w:p w14:paraId="69A2A82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p>
        </w:tc>
        <w:tc>
          <w:tcPr>
            <w:tcW w:w="2549" w:type="dxa"/>
            <w:gridSpan w:val="2"/>
            <w:noWrap w:val="0"/>
            <w:vAlign w:val="center"/>
          </w:tcPr>
          <w:p w14:paraId="659E4C7F">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62ABF94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3751" w:type="dxa"/>
            <w:gridSpan w:val="2"/>
            <w:noWrap w:val="0"/>
            <w:vAlign w:val="center"/>
          </w:tcPr>
          <w:p w14:paraId="5D5DA498">
            <w:pPr>
              <w:spacing w:line="300" w:lineRule="exact"/>
              <w:jc w:val="center"/>
              <w:rPr>
                <w:rFonts w:hint="eastAsia" w:asciiTheme="minorEastAsia" w:hAnsiTheme="minorEastAsia" w:eastAsiaTheme="minorEastAsia" w:cstheme="minorEastAsia"/>
                <w:color w:val="auto"/>
                <w:szCs w:val="21"/>
                <w:highlight w:val="none"/>
              </w:rPr>
            </w:pPr>
          </w:p>
        </w:tc>
      </w:tr>
      <w:tr w14:paraId="725F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0"/>
            <w:vAlign w:val="center"/>
          </w:tcPr>
          <w:p w14:paraId="584A404A">
            <w:pPr>
              <w:spacing w:line="300" w:lineRule="exact"/>
              <w:jc w:val="center"/>
              <w:rPr>
                <w:rFonts w:hint="eastAsia" w:asciiTheme="minorEastAsia" w:hAnsiTheme="minorEastAsia" w:eastAsiaTheme="minorEastAsia" w:cstheme="minorEastAsia"/>
                <w:color w:val="auto"/>
                <w:szCs w:val="21"/>
                <w:highlight w:val="none"/>
              </w:rPr>
            </w:pPr>
          </w:p>
        </w:tc>
        <w:tc>
          <w:tcPr>
            <w:tcW w:w="917" w:type="dxa"/>
            <w:noWrap w:val="0"/>
            <w:vAlign w:val="center"/>
          </w:tcPr>
          <w:p w14:paraId="7C5A5B2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传真</w:t>
            </w:r>
          </w:p>
        </w:tc>
        <w:tc>
          <w:tcPr>
            <w:tcW w:w="2549" w:type="dxa"/>
            <w:gridSpan w:val="2"/>
            <w:noWrap w:val="0"/>
            <w:vAlign w:val="center"/>
          </w:tcPr>
          <w:p w14:paraId="6F3DADE7">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6C5C4E3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网址</w:t>
            </w:r>
          </w:p>
        </w:tc>
        <w:tc>
          <w:tcPr>
            <w:tcW w:w="3751" w:type="dxa"/>
            <w:gridSpan w:val="2"/>
            <w:noWrap w:val="0"/>
            <w:vAlign w:val="center"/>
          </w:tcPr>
          <w:p w14:paraId="5AA69087">
            <w:pPr>
              <w:spacing w:line="300" w:lineRule="exact"/>
              <w:jc w:val="center"/>
              <w:rPr>
                <w:rFonts w:hint="eastAsia" w:asciiTheme="minorEastAsia" w:hAnsiTheme="minorEastAsia" w:eastAsiaTheme="minorEastAsia" w:cstheme="minorEastAsia"/>
                <w:color w:val="auto"/>
                <w:szCs w:val="21"/>
                <w:highlight w:val="none"/>
              </w:rPr>
            </w:pPr>
          </w:p>
        </w:tc>
      </w:tr>
      <w:tr w14:paraId="495D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538C71B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组织机构</w:t>
            </w:r>
          </w:p>
        </w:tc>
        <w:tc>
          <w:tcPr>
            <w:tcW w:w="8757" w:type="dxa"/>
            <w:gridSpan w:val="6"/>
            <w:noWrap w:val="0"/>
            <w:vAlign w:val="center"/>
          </w:tcPr>
          <w:p w14:paraId="33FCC3AE">
            <w:pPr>
              <w:spacing w:line="300" w:lineRule="exact"/>
              <w:jc w:val="center"/>
              <w:rPr>
                <w:rFonts w:hint="eastAsia" w:asciiTheme="minorEastAsia" w:hAnsiTheme="minorEastAsia" w:eastAsiaTheme="minorEastAsia" w:cstheme="minorEastAsia"/>
                <w:color w:val="auto"/>
                <w:szCs w:val="21"/>
                <w:highlight w:val="none"/>
              </w:rPr>
            </w:pPr>
          </w:p>
        </w:tc>
      </w:tr>
      <w:tr w14:paraId="1692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1864F74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p>
        </w:tc>
        <w:tc>
          <w:tcPr>
            <w:tcW w:w="917" w:type="dxa"/>
            <w:noWrap w:val="0"/>
            <w:vAlign w:val="center"/>
          </w:tcPr>
          <w:p w14:paraId="35BCBE6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377" w:type="dxa"/>
            <w:noWrap w:val="0"/>
            <w:vAlign w:val="center"/>
          </w:tcPr>
          <w:p w14:paraId="43EF4A84">
            <w:pPr>
              <w:spacing w:line="300" w:lineRule="exact"/>
              <w:jc w:val="center"/>
              <w:rPr>
                <w:rFonts w:hint="eastAsia" w:asciiTheme="minorEastAsia" w:hAnsiTheme="minorEastAsia" w:eastAsiaTheme="minorEastAsia" w:cstheme="minorEastAsia"/>
                <w:color w:val="auto"/>
                <w:szCs w:val="21"/>
                <w:highlight w:val="none"/>
              </w:rPr>
            </w:pPr>
          </w:p>
        </w:tc>
        <w:tc>
          <w:tcPr>
            <w:tcW w:w="1172" w:type="dxa"/>
            <w:noWrap w:val="0"/>
            <w:vAlign w:val="center"/>
          </w:tcPr>
          <w:p w14:paraId="1C5809A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540" w:type="dxa"/>
            <w:noWrap w:val="0"/>
            <w:vAlign w:val="center"/>
          </w:tcPr>
          <w:p w14:paraId="4BA98E73">
            <w:pPr>
              <w:spacing w:line="300" w:lineRule="exact"/>
              <w:jc w:val="center"/>
              <w:rPr>
                <w:rFonts w:hint="eastAsia" w:asciiTheme="minorEastAsia" w:hAnsiTheme="minorEastAsia" w:eastAsiaTheme="minorEastAsia" w:cstheme="minorEastAsia"/>
                <w:color w:val="auto"/>
                <w:szCs w:val="21"/>
                <w:highlight w:val="none"/>
              </w:rPr>
            </w:pPr>
          </w:p>
        </w:tc>
        <w:tc>
          <w:tcPr>
            <w:tcW w:w="1016" w:type="dxa"/>
            <w:noWrap w:val="0"/>
            <w:vAlign w:val="center"/>
          </w:tcPr>
          <w:p w14:paraId="58659CC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2735" w:type="dxa"/>
            <w:noWrap w:val="0"/>
            <w:vAlign w:val="center"/>
          </w:tcPr>
          <w:p w14:paraId="06783842">
            <w:pPr>
              <w:spacing w:line="300" w:lineRule="exact"/>
              <w:jc w:val="center"/>
              <w:rPr>
                <w:rFonts w:hint="eastAsia" w:asciiTheme="minorEastAsia" w:hAnsiTheme="minorEastAsia" w:eastAsiaTheme="minorEastAsia" w:cstheme="minorEastAsia"/>
                <w:color w:val="auto"/>
                <w:szCs w:val="21"/>
                <w:highlight w:val="none"/>
              </w:rPr>
            </w:pPr>
          </w:p>
        </w:tc>
      </w:tr>
      <w:tr w14:paraId="2EA2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23D98FD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技术负责人</w:t>
            </w:r>
          </w:p>
        </w:tc>
        <w:tc>
          <w:tcPr>
            <w:tcW w:w="917" w:type="dxa"/>
            <w:noWrap w:val="0"/>
            <w:vAlign w:val="center"/>
          </w:tcPr>
          <w:p w14:paraId="59D54FE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1377" w:type="dxa"/>
            <w:noWrap w:val="0"/>
            <w:vAlign w:val="center"/>
          </w:tcPr>
          <w:p w14:paraId="0F10733B">
            <w:pPr>
              <w:spacing w:line="300" w:lineRule="exact"/>
              <w:jc w:val="center"/>
              <w:rPr>
                <w:rFonts w:hint="eastAsia" w:asciiTheme="minorEastAsia" w:hAnsiTheme="minorEastAsia" w:eastAsiaTheme="minorEastAsia" w:cstheme="minorEastAsia"/>
                <w:color w:val="auto"/>
                <w:szCs w:val="21"/>
                <w:highlight w:val="none"/>
              </w:rPr>
            </w:pPr>
          </w:p>
        </w:tc>
        <w:tc>
          <w:tcPr>
            <w:tcW w:w="1172" w:type="dxa"/>
            <w:noWrap w:val="0"/>
            <w:vAlign w:val="center"/>
          </w:tcPr>
          <w:p w14:paraId="5DFD891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技术职称</w:t>
            </w:r>
          </w:p>
        </w:tc>
        <w:tc>
          <w:tcPr>
            <w:tcW w:w="1540" w:type="dxa"/>
            <w:noWrap w:val="0"/>
            <w:vAlign w:val="center"/>
          </w:tcPr>
          <w:p w14:paraId="0506364A">
            <w:pPr>
              <w:spacing w:line="300" w:lineRule="exact"/>
              <w:jc w:val="center"/>
              <w:rPr>
                <w:rFonts w:hint="eastAsia" w:asciiTheme="minorEastAsia" w:hAnsiTheme="minorEastAsia" w:eastAsiaTheme="minorEastAsia" w:cstheme="minorEastAsia"/>
                <w:color w:val="auto"/>
                <w:szCs w:val="21"/>
                <w:highlight w:val="none"/>
              </w:rPr>
            </w:pPr>
          </w:p>
        </w:tc>
        <w:tc>
          <w:tcPr>
            <w:tcW w:w="1016" w:type="dxa"/>
            <w:noWrap w:val="0"/>
            <w:vAlign w:val="center"/>
          </w:tcPr>
          <w:p w14:paraId="37468E67">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电话</w:t>
            </w:r>
          </w:p>
        </w:tc>
        <w:tc>
          <w:tcPr>
            <w:tcW w:w="2735" w:type="dxa"/>
            <w:noWrap w:val="0"/>
            <w:vAlign w:val="center"/>
          </w:tcPr>
          <w:p w14:paraId="16772C6D">
            <w:pPr>
              <w:spacing w:line="300" w:lineRule="exact"/>
              <w:jc w:val="center"/>
              <w:rPr>
                <w:rFonts w:hint="eastAsia" w:asciiTheme="minorEastAsia" w:hAnsiTheme="minorEastAsia" w:eastAsiaTheme="minorEastAsia" w:cstheme="minorEastAsia"/>
                <w:color w:val="auto"/>
                <w:szCs w:val="21"/>
                <w:highlight w:val="none"/>
              </w:rPr>
            </w:pPr>
          </w:p>
        </w:tc>
      </w:tr>
      <w:tr w14:paraId="25CA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27F4EAB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成立时间</w:t>
            </w:r>
          </w:p>
        </w:tc>
        <w:tc>
          <w:tcPr>
            <w:tcW w:w="2294" w:type="dxa"/>
            <w:gridSpan w:val="2"/>
            <w:noWrap w:val="0"/>
            <w:vAlign w:val="center"/>
          </w:tcPr>
          <w:p w14:paraId="22608115">
            <w:pPr>
              <w:spacing w:line="300" w:lineRule="exact"/>
              <w:jc w:val="center"/>
              <w:rPr>
                <w:rFonts w:hint="eastAsia" w:asciiTheme="minorEastAsia" w:hAnsiTheme="minorEastAsia" w:eastAsiaTheme="minorEastAsia" w:cstheme="minorEastAsia"/>
                <w:color w:val="auto"/>
                <w:szCs w:val="21"/>
                <w:highlight w:val="none"/>
              </w:rPr>
            </w:pPr>
          </w:p>
        </w:tc>
        <w:tc>
          <w:tcPr>
            <w:tcW w:w="6463" w:type="dxa"/>
            <w:gridSpan w:val="4"/>
            <w:noWrap w:val="0"/>
            <w:vAlign w:val="center"/>
          </w:tcPr>
          <w:p w14:paraId="19043CF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员工总人数：</w:t>
            </w:r>
          </w:p>
        </w:tc>
      </w:tr>
      <w:tr w14:paraId="3F0A2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41EEB74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企业资质等级</w:t>
            </w:r>
          </w:p>
        </w:tc>
        <w:tc>
          <w:tcPr>
            <w:tcW w:w="2294" w:type="dxa"/>
            <w:gridSpan w:val="2"/>
            <w:noWrap w:val="0"/>
            <w:vAlign w:val="center"/>
          </w:tcPr>
          <w:p w14:paraId="7CCE7438">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restart"/>
            <w:noWrap w:val="0"/>
            <w:vAlign w:val="center"/>
          </w:tcPr>
          <w:p w14:paraId="21A67BC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w:t>
            </w:r>
          </w:p>
        </w:tc>
        <w:tc>
          <w:tcPr>
            <w:tcW w:w="1540" w:type="dxa"/>
            <w:noWrap w:val="0"/>
            <w:vAlign w:val="center"/>
          </w:tcPr>
          <w:p w14:paraId="40BAE1D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w:t>
            </w:r>
          </w:p>
        </w:tc>
        <w:tc>
          <w:tcPr>
            <w:tcW w:w="3751" w:type="dxa"/>
            <w:gridSpan w:val="2"/>
            <w:noWrap w:val="0"/>
            <w:vAlign w:val="center"/>
          </w:tcPr>
          <w:p w14:paraId="4170B305">
            <w:pPr>
              <w:spacing w:line="300" w:lineRule="exact"/>
              <w:jc w:val="center"/>
              <w:rPr>
                <w:rFonts w:hint="eastAsia" w:asciiTheme="minorEastAsia" w:hAnsiTheme="minorEastAsia" w:eastAsiaTheme="minorEastAsia" w:cstheme="minorEastAsia"/>
                <w:color w:val="auto"/>
                <w:szCs w:val="21"/>
                <w:highlight w:val="none"/>
              </w:rPr>
            </w:pPr>
          </w:p>
        </w:tc>
      </w:tr>
      <w:tr w14:paraId="7E79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7CD994A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营业执照号</w:t>
            </w:r>
          </w:p>
        </w:tc>
        <w:tc>
          <w:tcPr>
            <w:tcW w:w="2294" w:type="dxa"/>
            <w:gridSpan w:val="2"/>
            <w:noWrap w:val="0"/>
            <w:vAlign w:val="center"/>
          </w:tcPr>
          <w:p w14:paraId="241FD9E6">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0E5456D8">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132E7B2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高级职称人员</w:t>
            </w:r>
          </w:p>
        </w:tc>
        <w:tc>
          <w:tcPr>
            <w:tcW w:w="3751" w:type="dxa"/>
            <w:gridSpan w:val="2"/>
            <w:noWrap w:val="0"/>
            <w:vAlign w:val="center"/>
          </w:tcPr>
          <w:p w14:paraId="1C88B099">
            <w:pPr>
              <w:spacing w:line="300" w:lineRule="exact"/>
              <w:jc w:val="center"/>
              <w:rPr>
                <w:rFonts w:hint="eastAsia" w:asciiTheme="minorEastAsia" w:hAnsiTheme="minorEastAsia" w:eastAsiaTheme="minorEastAsia" w:cstheme="minorEastAsia"/>
                <w:color w:val="auto"/>
                <w:szCs w:val="21"/>
                <w:highlight w:val="none"/>
              </w:rPr>
            </w:pPr>
          </w:p>
        </w:tc>
      </w:tr>
      <w:tr w14:paraId="7610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0273849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注册资金</w:t>
            </w:r>
          </w:p>
        </w:tc>
        <w:tc>
          <w:tcPr>
            <w:tcW w:w="2294" w:type="dxa"/>
            <w:gridSpan w:val="2"/>
            <w:noWrap w:val="0"/>
            <w:vAlign w:val="center"/>
          </w:tcPr>
          <w:p w14:paraId="3B565D38">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589222BC">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4021DA37">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中级职称人员</w:t>
            </w:r>
          </w:p>
        </w:tc>
        <w:tc>
          <w:tcPr>
            <w:tcW w:w="3751" w:type="dxa"/>
            <w:gridSpan w:val="2"/>
            <w:noWrap w:val="0"/>
            <w:vAlign w:val="center"/>
          </w:tcPr>
          <w:p w14:paraId="7C970D88">
            <w:pPr>
              <w:spacing w:line="300" w:lineRule="exact"/>
              <w:jc w:val="center"/>
              <w:rPr>
                <w:rFonts w:hint="eastAsia" w:asciiTheme="minorEastAsia" w:hAnsiTheme="minorEastAsia" w:eastAsiaTheme="minorEastAsia" w:cstheme="minorEastAsia"/>
                <w:color w:val="auto"/>
                <w:szCs w:val="21"/>
                <w:highlight w:val="none"/>
              </w:rPr>
            </w:pPr>
          </w:p>
        </w:tc>
      </w:tr>
      <w:tr w14:paraId="64C96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482108B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p>
        </w:tc>
        <w:tc>
          <w:tcPr>
            <w:tcW w:w="2294" w:type="dxa"/>
            <w:gridSpan w:val="2"/>
            <w:noWrap w:val="0"/>
            <w:vAlign w:val="center"/>
          </w:tcPr>
          <w:p w14:paraId="5D8EC7BD">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0E425791">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7B644EF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初级职称人员</w:t>
            </w:r>
          </w:p>
        </w:tc>
        <w:tc>
          <w:tcPr>
            <w:tcW w:w="3751" w:type="dxa"/>
            <w:gridSpan w:val="2"/>
            <w:noWrap w:val="0"/>
            <w:vAlign w:val="center"/>
          </w:tcPr>
          <w:p w14:paraId="67CD62CF">
            <w:pPr>
              <w:spacing w:line="300" w:lineRule="exact"/>
              <w:jc w:val="center"/>
              <w:rPr>
                <w:rFonts w:hint="eastAsia" w:asciiTheme="minorEastAsia" w:hAnsiTheme="minorEastAsia" w:eastAsiaTheme="minorEastAsia" w:cstheme="minorEastAsia"/>
                <w:color w:val="auto"/>
                <w:szCs w:val="21"/>
                <w:highlight w:val="none"/>
              </w:rPr>
            </w:pPr>
          </w:p>
        </w:tc>
      </w:tr>
      <w:tr w14:paraId="487C2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1D07CD2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账号</w:t>
            </w:r>
          </w:p>
        </w:tc>
        <w:tc>
          <w:tcPr>
            <w:tcW w:w="2294" w:type="dxa"/>
            <w:gridSpan w:val="2"/>
            <w:noWrap w:val="0"/>
            <w:vAlign w:val="center"/>
          </w:tcPr>
          <w:p w14:paraId="0BC3A5E5">
            <w:pPr>
              <w:spacing w:line="300" w:lineRule="exact"/>
              <w:jc w:val="center"/>
              <w:rPr>
                <w:rFonts w:hint="eastAsia" w:asciiTheme="minorEastAsia" w:hAnsiTheme="minorEastAsia" w:eastAsiaTheme="minorEastAsia" w:cstheme="minorEastAsia"/>
                <w:color w:val="auto"/>
                <w:szCs w:val="21"/>
                <w:highlight w:val="none"/>
              </w:rPr>
            </w:pPr>
          </w:p>
        </w:tc>
        <w:tc>
          <w:tcPr>
            <w:tcW w:w="1172" w:type="dxa"/>
            <w:vMerge w:val="continue"/>
            <w:noWrap w:val="0"/>
            <w:vAlign w:val="center"/>
          </w:tcPr>
          <w:p w14:paraId="3ADD1586">
            <w:pPr>
              <w:spacing w:line="300" w:lineRule="exact"/>
              <w:jc w:val="center"/>
              <w:rPr>
                <w:rFonts w:hint="eastAsia" w:asciiTheme="minorEastAsia" w:hAnsiTheme="minorEastAsia" w:eastAsiaTheme="minorEastAsia" w:cstheme="minorEastAsia"/>
                <w:color w:val="auto"/>
                <w:szCs w:val="21"/>
                <w:highlight w:val="none"/>
              </w:rPr>
            </w:pPr>
          </w:p>
        </w:tc>
        <w:tc>
          <w:tcPr>
            <w:tcW w:w="1540" w:type="dxa"/>
            <w:noWrap w:val="0"/>
            <w:vAlign w:val="center"/>
          </w:tcPr>
          <w:p w14:paraId="7EBCA67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技工</w:t>
            </w:r>
          </w:p>
        </w:tc>
        <w:tc>
          <w:tcPr>
            <w:tcW w:w="3751" w:type="dxa"/>
            <w:gridSpan w:val="2"/>
            <w:noWrap w:val="0"/>
            <w:vAlign w:val="center"/>
          </w:tcPr>
          <w:p w14:paraId="24F7CB6D">
            <w:pPr>
              <w:spacing w:line="300" w:lineRule="exact"/>
              <w:jc w:val="center"/>
              <w:rPr>
                <w:rFonts w:hint="eastAsia" w:asciiTheme="minorEastAsia" w:hAnsiTheme="minorEastAsia" w:eastAsiaTheme="minorEastAsia" w:cstheme="minorEastAsia"/>
                <w:color w:val="auto"/>
                <w:szCs w:val="21"/>
                <w:highlight w:val="none"/>
              </w:rPr>
            </w:pPr>
          </w:p>
        </w:tc>
      </w:tr>
      <w:tr w14:paraId="4E3E6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4C9E0F1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经营范围</w:t>
            </w:r>
          </w:p>
        </w:tc>
        <w:tc>
          <w:tcPr>
            <w:tcW w:w="8757" w:type="dxa"/>
            <w:gridSpan w:val="6"/>
            <w:noWrap w:val="0"/>
            <w:vAlign w:val="center"/>
          </w:tcPr>
          <w:p w14:paraId="3C543D34">
            <w:pPr>
              <w:spacing w:line="300" w:lineRule="exact"/>
              <w:jc w:val="center"/>
              <w:rPr>
                <w:rFonts w:hint="eastAsia" w:asciiTheme="minorEastAsia" w:hAnsiTheme="minorEastAsia" w:eastAsiaTheme="minorEastAsia" w:cstheme="minorEastAsia"/>
                <w:color w:val="auto"/>
                <w:szCs w:val="21"/>
                <w:highlight w:val="none"/>
              </w:rPr>
            </w:pPr>
          </w:p>
        </w:tc>
      </w:tr>
      <w:tr w14:paraId="40FD8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0"/>
            <w:vAlign w:val="center"/>
          </w:tcPr>
          <w:p w14:paraId="01D5B440">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c>
          <w:tcPr>
            <w:tcW w:w="8757" w:type="dxa"/>
            <w:gridSpan w:val="6"/>
            <w:noWrap w:val="0"/>
            <w:vAlign w:val="center"/>
          </w:tcPr>
          <w:p w14:paraId="0E98BC59">
            <w:pPr>
              <w:spacing w:line="300" w:lineRule="exact"/>
              <w:jc w:val="center"/>
              <w:rPr>
                <w:rFonts w:hint="eastAsia" w:asciiTheme="minorEastAsia" w:hAnsiTheme="minorEastAsia" w:eastAsiaTheme="minorEastAsia" w:cstheme="minorEastAsia"/>
                <w:color w:val="auto"/>
                <w:szCs w:val="21"/>
                <w:highlight w:val="none"/>
              </w:rPr>
            </w:pPr>
          </w:p>
        </w:tc>
      </w:tr>
    </w:tbl>
    <w:p w14:paraId="14DD22F4">
      <w:pPr>
        <w:jc w:val="left"/>
        <w:rPr>
          <w:rFonts w:hint="eastAsia" w:asciiTheme="minorEastAsia" w:hAnsiTheme="minorEastAsia" w:eastAsiaTheme="minorEastAsia" w:cstheme="minorEastAsia"/>
          <w:b w:val="0"/>
          <w:bCs/>
          <w:color w:val="auto"/>
          <w:sz w:val="21"/>
          <w:szCs w:val="21"/>
          <w:highlight w:val="none"/>
          <w:lang w:val="en-US" w:eastAsia="zh-CN"/>
        </w:rPr>
      </w:pPr>
    </w:p>
    <w:p w14:paraId="69A7B804">
      <w:pPr>
        <w:jc w:val="center"/>
        <w:rPr>
          <w:rFonts w:hint="eastAsia" w:asciiTheme="minorEastAsia" w:hAnsiTheme="minorEastAsia" w:eastAsiaTheme="minorEastAsia" w:cstheme="minorEastAsia"/>
          <w:b/>
          <w:color w:val="auto"/>
          <w:sz w:val="28"/>
          <w:szCs w:val="28"/>
          <w:highlight w:val="none"/>
          <w:lang w:val="en-US" w:eastAsia="zh-CN"/>
        </w:rPr>
      </w:pPr>
    </w:p>
    <w:p w14:paraId="25DA4615">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（公章</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lang w:eastAsia="zh-CN"/>
        </w:rPr>
        <w:t>电子CA签章</w:t>
      </w:r>
      <w:r>
        <w:rPr>
          <w:rFonts w:hint="eastAsia" w:asciiTheme="minorEastAsia" w:hAnsiTheme="minorEastAsia" w:eastAsiaTheme="minorEastAsia" w:cstheme="minorEastAsia"/>
          <w:color w:val="auto"/>
          <w:szCs w:val="21"/>
          <w:highlight w:val="none"/>
        </w:rPr>
        <w:t>）</w:t>
      </w:r>
    </w:p>
    <w:p w14:paraId="33B12336">
      <w:pPr>
        <w:spacing w:line="480" w:lineRule="auto"/>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法定代表人（或授权委托代理人）：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（手写签名</w:t>
      </w:r>
      <w:r>
        <w:rPr>
          <w:rFonts w:hint="eastAsia" w:asciiTheme="minorEastAsia" w:hAnsiTheme="minorEastAsia" w:eastAsiaTheme="minorEastAsia" w:cstheme="minorEastAsia"/>
          <w:color w:val="auto"/>
          <w:szCs w:val="21"/>
          <w:highlight w:val="none"/>
          <w:lang w:val="en-US" w:eastAsia="zh-CN"/>
        </w:rPr>
        <w:t>或</w:t>
      </w:r>
      <w:r>
        <w:rPr>
          <w:rFonts w:hint="eastAsia" w:asciiTheme="minorEastAsia" w:hAnsiTheme="minorEastAsia" w:eastAsiaTheme="minorEastAsia" w:cstheme="minorEastAsia"/>
          <w:color w:val="auto"/>
          <w:szCs w:val="21"/>
          <w:highlight w:val="none"/>
        </w:rPr>
        <w:t xml:space="preserve">电子签名） </w:t>
      </w:r>
    </w:p>
    <w:p w14:paraId="5ECAEC2C">
      <w:pPr>
        <w:spacing w:line="480" w:lineRule="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u w:val="none"/>
          <w:lang w:eastAsia="zh-CN"/>
        </w:rPr>
        <w:t>日期：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日</w:t>
      </w:r>
    </w:p>
    <w:p w14:paraId="41D16BF1">
      <w:pPr>
        <w:jc w:val="center"/>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rPr>
        <w:t>、已标价工程量清单</w:t>
      </w:r>
      <w:r>
        <w:rPr>
          <w:rFonts w:hint="eastAsia" w:asciiTheme="minorEastAsia" w:hAnsiTheme="minorEastAsia" w:eastAsiaTheme="minorEastAsia" w:cstheme="minorEastAsia"/>
          <w:b/>
          <w:color w:val="auto"/>
          <w:sz w:val="28"/>
          <w:szCs w:val="28"/>
          <w:highlight w:val="none"/>
          <w:lang w:eastAsia="zh-CN"/>
        </w:rPr>
        <w:t>（</w:t>
      </w:r>
      <w:r>
        <w:rPr>
          <w:rFonts w:hint="eastAsia" w:asciiTheme="minorEastAsia" w:hAnsiTheme="minorEastAsia" w:eastAsiaTheme="minorEastAsia" w:cstheme="minorEastAsia"/>
          <w:b/>
          <w:color w:val="auto"/>
          <w:sz w:val="28"/>
          <w:szCs w:val="28"/>
          <w:highlight w:val="none"/>
          <w:lang w:val="en-US" w:eastAsia="zh-CN"/>
        </w:rPr>
        <w:t>格式自拟</w:t>
      </w:r>
      <w:r>
        <w:rPr>
          <w:rFonts w:hint="eastAsia" w:asciiTheme="minorEastAsia" w:hAnsiTheme="minorEastAsia" w:eastAsiaTheme="minorEastAsia" w:cstheme="minorEastAsia"/>
          <w:b/>
          <w:color w:val="auto"/>
          <w:sz w:val="28"/>
          <w:szCs w:val="28"/>
          <w:highlight w:val="none"/>
          <w:lang w:eastAsia="zh-CN"/>
        </w:rPr>
        <w:t>）</w:t>
      </w:r>
    </w:p>
    <w:p w14:paraId="1A71148A">
      <w:pPr>
        <w:jc w:val="center"/>
        <w:rPr>
          <w:rFonts w:hint="eastAsia" w:asciiTheme="minorEastAsia" w:hAnsiTheme="minorEastAsia" w:eastAsiaTheme="minorEastAsia" w:cstheme="minorEastAsia"/>
          <w:color w:val="auto"/>
          <w:szCs w:val="21"/>
          <w:highlight w:val="none"/>
        </w:rPr>
      </w:pPr>
    </w:p>
    <w:p w14:paraId="2D7139B2">
      <w:pPr>
        <w:ind w:firstLine="1050" w:firstLineChars="500"/>
        <w:jc w:val="center"/>
        <w:rPr>
          <w:rFonts w:hint="eastAsia" w:asciiTheme="minorEastAsia" w:hAnsiTheme="minorEastAsia" w:eastAsiaTheme="minorEastAsia" w:cstheme="minorEastAsia"/>
          <w:color w:val="auto"/>
          <w:szCs w:val="21"/>
          <w:highlight w:val="none"/>
        </w:rPr>
      </w:pPr>
    </w:p>
    <w:p w14:paraId="2B83932F">
      <w:pPr>
        <w:ind w:left="2100"/>
        <w:rPr>
          <w:rFonts w:hint="eastAsia" w:asciiTheme="minorEastAsia" w:hAnsiTheme="minorEastAsia" w:eastAsiaTheme="minorEastAsia" w:cstheme="minorEastAsia"/>
          <w:color w:val="auto"/>
          <w:szCs w:val="21"/>
          <w:highlight w:val="none"/>
        </w:rPr>
      </w:pPr>
    </w:p>
    <w:p w14:paraId="76C3AC61">
      <w:pPr>
        <w:ind w:left="2100"/>
        <w:rPr>
          <w:rFonts w:hint="eastAsia" w:asciiTheme="minorEastAsia" w:hAnsiTheme="minorEastAsia" w:eastAsiaTheme="minorEastAsia" w:cstheme="minorEastAsia"/>
          <w:color w:val="auto"/>
          <w:szCs w:val="21"/>
          <w:highlight w:val="none"/>
        </w:rPr>
      </w:pPr>
    </w:p>
    <w:p w14:paraId="17CCDFF6">
      <w:pPr>
        <w:ind w:left="2100"/>
        <w:rPr>
          <w:rFonts w:hint="eastAsia" w:asciiTheme="minorEastAsia" w:hAnsiTheme="minorEastAsia" w:eastAsiaTheme="minorEastAsia" w:cstheme="minorEastAsia"/>
          <w:color w:val="auto"/>
          <w:szCs w:val="21"/>
          <w:highlight w:val="none"/>
        </w:rPr>
      </w:pPr>
    </w:p>
    <w:p w14:paraId="114D9017">
      <w:pPr>
        <w:ind w:left="2100"/>
        <w:rPr>
          <w:rFonts w:hint="eastAsia" w:asciiTheme="minorEastAsia" w:hAnsiTheme="minorEastAsia" w:eastAsiaTheme="minorEastAsia" w:cstheme="minorEastAsia"/>
          <w:color w:val="auto"/>
          <w:szCs w:val="21"/>
          <w:highlight w:val="none"/>
        </w:rPr>
      </w:pPr>
    </w:p>
    <w:p w14:paraId="5B184676">
      <w:pPr>
        <w:ind w:left="2100"/>
        <w:rPr>
          <w:rFonts w:hint="eastAsia" w:asciiTheme="minorEastAsia" w:hAnsiTheme="minorEastAsia" w:eastAsiaTheme="minorEastAsia" w:cstheme="minorEastAsia"/>
          <w:color w:val="auto"/>
          <w:szCs w:val="21"/>
          <w:highlight w:val="none"/>
        </w:rPr>
      </w:pPr>
    </w:p>
    <w:p w14:paraId="76FDA889">
      <w:pPr>
        <w:ind w:left="2100"/>
        <w:rPr>
          <w:rFonts w:hint="eastAsia" w:asciiTheme="minorEastAsia" w:hAnsiTheme="minorEastAsia" w:eastAsiaTheme="minorEastAsia" w:cstheme="minorEastAsia"/>
          <w:color w:val="auto"/>
          <w:szCs w:val="21"/>
          <w:highlight w:val="none"/>
        </w:rPr>
      </w:pPr>
    </w:p>
    <w:p w14:paraId="5E940508">
      <w:pPr>
        <w:ind w:left="2100"/>
        <w:rPr>
          <w:rFonts w:hint="eastAsia" w:asciiTheme="minorEastAsia" w:hAnsiTheme="minorEastAsia" w:eastAsiaTheme="minorEastAsia" w:cstheme="minorEastAsia"/>
          <w:color w:val="auto"/>
          <w:szCs w:val="21"/>
          <w:highlight w:val="none"/>
        </w:rPr>
      </w:pPr>
    </w:p>
    <w:p w14:paraId="63F9A9A8">
      <w:pPr>
        <w:ind w:left="2100"/>
        <w:rPr>
          <w:rFonts w:hint="eastAsia" w:asciiTheme="minorEastAsia" w:hAnsiTheme="minorEastAsia" w:eastAsiaTheme="minorEastAsia" w:cstheme="minorEastAsia"/>
          <w:color w:val="auto"/>
          <w:szCs w:val="21"/>
          <w:highlight w:val="none"/>
        </w:rPr>
      </w:pPr>
    </w:p>
    <w:p w14:paraId="32A51092">
      <w:pPr>
        <w:ind w:left="2100"/>
        <w:rPr>
          <w:rFonts w:hint="eastAsia" w:asciiTheme="minorEastAsia" w:hAnsiTheme="minorEastAsia" w:eastAsiaTheme="minorEastAsia" w:cstheme="minorEastAsia"/>
          <w:color w:val="auto"/>
          <w:szCs w:val="21"/>
          <w:highlight w:val="none"/>
        </w:rPr>
      </w:pPr>
    </w:p>
    <w:p w14:paraId="7F11A52D">
      <w:pPr>
        <w:ind w:left="2100"/>
        <w:rPr>
          <w:rFonts w:hint="eastAsia" w:asciiTheme="minorEastAsia" w:hAnsiTheme="minorEastAsia" w:eastAsiaTheme="minorEastAsia" w:cstheme="minorEastAsia"/>
          <w:color w:val="auto"/>
          <w:szCs w:val="21"/>
          <w:highlight w:val="none"/>
        </w:rPr>
      </w:pPr>
    </w:p>
    <w:p w14:paraId="00622C13">
      <w:pPr>
        <w:ind w:left="2100"/>
        <w:rPr>
          <w:rFonts w:hint="eastAsia" w:asciiTheme="minorEastAsia" w:hAnsiTheme="minorEastAsia" w:eastAsiaTheme="minorEastAsia" w:cstheme="minorEastAsia"/>
          <w:color w:val="auto"/>
          <w:szCs w:val="21"/>
          <w:highlight w:val="none"/>
        </w:rPr>
      </w:pPr>
    </w:p>
    <w:p w14:paraId="11FDF8E6">
      <w:pPr>
        <w:ind w:left="2100"/>
        <w:rPr>
          <w:rFonts w:hint="eastAsia" w:asciiTheme="minorEastAsia" w:hAnsiTheme="minorEastAsia" w:eastAsiaTheme="minorEastAsia" w:cstheme="minorEastAsia"/>
          <w:color w:val="auto"/>
          <w:szCs w:val="21"/>
          <w:highlight w:val="none"/>
        </w:rPr>
      </w:pPr>
    </w:p>
    <w:p w14:paraId="55B1E1B8">
      <w:pPr>
        <w:ind w:left="2100"/>
        <w:rPr>
          <w:rFonts w:hint="eastAsia" w:asciiTheme="minorEastAsia" w:hAnsiTheme="minorEastAsia" w:eastAsiaTheme="minorEastAsia" w:cstheme="minorEastAsia"/>
          <w:color w:val="auto"/>
          <w:szCs w:val="21"/>
          <w:highlight w:val="none"/>
        </w:rPr>
      </w:pPr>
    </w:p>
    <w:p w14:paraId="65B7A78F">
      <w:pPr>
        <w:ind w:left="2100"/>
        <w:rPr>
          <w:rFonts w:hint="eastAsia" w:asciiTheme="minorEastAsia" w:hAnsiTheme="minorEastAsia" w:eastAsiaTheme="minorEastAsia" w:cstheme="minorEastAsia"/>
          <w:color w:val="auto"/>
          <w:szCs w:val="21"/>
          <w:highlight w:val="none"/>
        </w:rPr>
      </w:pPr>
    </w:p>
    <w:p w14:paraId="28BBD920">
      <w:pPr>
        <w:ind w:left="2100"/>
        <w:rPr>
          <w:rFonts w:hint="eastAsia" w:asciiTheme="minorEastAsia" w:hAnsiTheme="minorEastAsia" w:eastAsiaTheme="minorEastAsia" w:cstheme="minorEastAsia"/>
          <w:color w:val="auto"/>
          <w:szCs w:val="21"/>
          <w:highlight w:val="none"/>
        </w:rPr>
      </w:pPr>
    </w:p>
    <w:p w14:paraId="143C1911">
      <w:pPr>
        <w:ind w:left="2100"/>
        <w:rPr>
          <w:rFonts w:hint="eastAsia" w:asciiTheme="minorEastAsia" w:hAnsiTheme="minorEastAsia" w:eastAsiaTheme="minorEastAsia" w:cstheme="minorEastAsia"/>
          <w:color w:val="auto"/>
          <w:szCs w:val="21"/>
          <w:highlight w:val="none"/>
        </w:rPr>
      </w:pPr>
    </w:p>
    <w:p w14:paraId="14452E1C">
      <w:pPr>
        <w:rPr>
          <w:rFonts w:hint="eastAsia" w:asciiTheme="minorEastAsia" w:hAnsiTheme="minorEastAsia" w:eastAsiaTheme="minorEastAsia" w:cstheme="minorEastAsia"/>
          <w:color w:val="auto"/>
          <w:szCs w:val="21"/>
          <w:highlight w:val="none"/>
        </w:rPr>
      </w:pPr>
    </w:p>
    <w:p w14:paraId="56F11AF1">
      <w:pPr>
        <w:rPr>
          <w:rFonts w:hint="eastAsia" w:asciiTheme="minorEastAsia" w:hAnsiTheme="minorEastAsia" w:eastAsiaTheme="minorEastAsia" w:cstheme="minorEastAsia"/>
          <w:color w:val="auto"/>
          <w:szCs w:val="21"/>
          <w:highlight w:val="none"/>
        </w:rPr>
      </w:pPr>
    </w:p>
    <w:p w14:paraId="7F17E847">
      <w:pPr>
        <w:rPr>
          <w:rFonts w:hint="eastAsia" w:asciiTheme="minorEastAsia" w:hAnsiTheme="minorEastAsia" w:eastAsiaTheme="minorEastAsia" w:cstheme="minorEastAsia"/>
          <w:color w:val="auto"/>
          <w:szCs w:val="21"/>
          <w:highlight w:val="none"/>
        </w:rPr>
      </w:pPr>
    </w:p>
    <w:p w14:paraId="4F56B5B4">
      <w:pPr>
        <w:spacing w:line="336" w:lineRule="auto"/>
        <w:ind w:right="-153" w:rightChars="-73"/>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br w:type="page"/>
      </w:r>
    </w:p>
    <w:p w14:paraId="2CE26F12">
      <w:pPr>
        <w:ind w:firstLine="560" w:firstLineChars="200"/>
        <w:jc w:val="center"/>
        <w:rPr>
          <w:rFonts w:hint="eastAsia" w:asciiTheme="minorEastAsia" w:hAnsiTheme="minorEastAsia" w:eastAsiaTheme="minorEastAsia" w:cstheme="minorEastAsia"/>
          <w:b/>
          <w:color w:val="auto"/>
          <w:kern w:val="44"/>
          <w:sz w:val="28"/>
          <w:szCs w:val="28"/>
          <w:highlight w:val="none"/>
        </w:rPr>
      </w:pPr>
      <w:r>
        <w:rPr>
          <w:rFonts w:hint="eastAsia" w:asciiTheme="minorEastAsia" w:hAnsiTheme="minorEastAsia" w:eastAsiaTheme="minorEastAsia" w:cstheme="minorEastAsia"/>
          <w:b/>
          <w:color w:val="auto"/>
          <w:kern w:val="44"/>
          <w:sz w:val="28"/>
          <w:szCs w:val="28"/>
          <w:highlight w:val="none"/>
          <w:lang w:val="en-US" w:eastAsia="zh-CN"/>
        </w:rPr>
        <w:t>第四节  商务技术</w:t>
      </w:r>
      <w:r>
        <w:rPr>
          <w:rFonts w:hint="eastAsia" w:asciiTheme="minorEastAsia" w:hAnsiTheme="minorEastAsia" w:eastAsiaTheme="minorEastAsia" w:cstheme="minorEastAsia"/>
          <w:b/>
          <w:color w:val="auto"/>
          <w:kern w:val="44"/>
          <w:sz w:val="28"/>
          <w:szCs w:val="28"/>
          <w:highlight w:val="none"/>
        </w:rPr>
        <w:t>文件格式</w:t>
      </w:r>
    </w:p>
    <w:p w14:paraId="5E8C6B48">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125CBCB5">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6C59FB5C">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spacing w:val="-2"/>
          <w:kern w:val="0"/>
          <w:sz w:val="24"/>
          <w:szCs w:val="24"/>
          <w:highlight w:val="none"/>
        </w:rPr>
      </w:pPr>
    </w:p>
    <w:p w14:paraId="5E0866D0">
      <w:pPr>
        <w:pStyle w:val="35"/>
        <w:rPr>
          <w:rFonts w:hint="eastAsia" w:asciiTheme="minorEastAsia" w:hAnsiTheme="minorEastAsia" w:eastAsiaTheme="minorEastAsia" w:cstheme="minorEastAsia"/>
          <w:color w:val="auto"/>
          <w:highlight w:val="none"/>
        </w:rPr>
      </w:pPr>
    </w:p>
    <w:p w14:paraId="4CD622CE">
      <w:pPr>
        <w:widowControl/>
        <w:kinsoku w:val="0"/>
        <w:autoSpaceDE w:val="0"/>
        <w:autoSpaceDN w:val="0"/>
        <w:adjustRightInd w:val="0"/>
        <w:snapToGrid w:val="0"/>
        <w:spacing w:before="69" w:line="240" w:lineRule="auto"/>
        <w:ind w:firstLine="6250"/>
        <w:jc w:val="left"/>
        <w:textAlignment w:val="baseline"/>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spacing w:val="-2"/>
          <w:kern w:val="0"/>
          <w:sz w:val="24"/>
          <w:szCs w:val="24"/>
          <w:highlight w:val="none"/>
        </w:rPr>
        <w:t>全流程电子</w:t>
      </w:r>
      <w:r>
        <w:rPr>
          <w:rFonts w:hint="eastAsia" w:asciiTheme="minorEastAsia" w:hAnsiTheme="minorEastAsia" w:eastAsiaTheme="minorEastAsia" w:cstheme="minorEastAsia"/>
          <w:snapToGrid w:val="0"/>
          <w:color w:val="auto"/>
          <w:spacing w:val="-2"/>
          <w:kern w:val="0"/>
          <w:sz w:val="24"/>
          <w:szCs w:val="24"/>
          <w:highlight w:val="none"/>
          <w:lang w:val="en-US" w:eastAsia="zh-CN"/>
        </w:rPr>
        <w:t>响应</w:t>
      </w:r>
      <w:r>
        <w:rPr>
          <w:rFonts w:hint="eastAsia" w:asciiTheme="minorEastAsia" w:hAnsiTheme="minorEastAsia" w:eastAsiaTheme="minorEastAsia" w:cstheme="minorEastAsia"/>
          <w:snapToGrid w:val="0"/>
          <w:color w:val="auto"/>
          <w:spacing w:val="-2"/>
          <w:kern w:val="0"/>
          <w:sz w:val="24"/>
          <w:szCs w:val="24"/>
          <w:highlight w:val="none"/>
        </w:rPr>
        <w:t>文件</w:t>
      </w:r>
    </w:p>
    <w:p w14:paraId="7C1D227E">
      <w:pPr>
        <w:jc w:val="both"/>
        <w:rPr>
          <w:rFonts w:hint="eastAsia" w:asciiTheme="minorEastAsia" w:hAnsiTheme="minorEastAsia" w:eastAsiaTheme="minorEastAsia" w:cstheme="minorEastAsia"/>
          <w:color w:val="auto"/>
          <w:sz w:val="28"/>
          <w:szCs w:val="28"/>
          <w:highlight w:val="none"/>
          <w:u w:val="single"/>
        </w:rPr>
      </w:pPr>
    </w:p>
    <w:p w14:paraId="1C984BEA">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商  务  技  术</w:t>
      </w:r>
      <w:r>
        <w:rPr>
          <w:rFonts w:hint="eastAsia" w:asciiTheme="minorEastAsia" w:hAnsiTheme="minorEastAsia" w:eastAsiaTheme="minorEastAsia" w:cstheme="minorEastAsia"/>
          <w:b/>
          <w:bCs/>
          <w:color w:val="auto"/>
          <w:sz w:val="28"/>
          <w:szCs w:val="28"/>
          <w:highlight w:val="none"/>
        </w:rPr>
        <w:t xml:space="preserve"> 文  件（封面）</w:t>
      </w:r>
    </w:p>
    <w:p w14:paraId="56678790">
      <w:pPr>
        <w:jc w:val="center"/>
        <w:rPr>
          <w:rFonts w:hint="eastAsia" w:asciiTheme="minorEastAsia" w:hAnsiTheme="minorEastAsia" w:eastAsiaTheme="minorEastAsia" w:cstheme="minorEastAsia"/>
          <w:b/>
          <w:bCs/>
          <w:color w:val="auto"/>
          <w:sz w:val="28"/>
          <w:szCs w:val="28"/>
          <w:highlight w:val="none"/>
        </w:rPr>
      </w:pPr>
    </w:p>
    <w:p w14:paraId="62435033">
      <w:pPr>
        <w:jc w:val="center"/>
        <w:rPr>
          <w:rFonts w:hint="eastAsia" w:asciiTheme="minorEastAsia" w:hAnsiTheme="minorEastAsia" w:eastAsiaTheme="minorEastAsia" w:cstheme="minorEastAsia"/>
          <w:b/>
          <w:bCs/>
          <w:color w:val="auto"/>
          <w:sz w:val="28"/>
          <w:szCs w:val="28"/>
          <w:highlight w:val="none"/>
        </w:rPr>
      </w:pPr>
    </w:p>
    <w:p w14:paraId="083CC023">
      <w:pPr>
        <w:spacing w:before="312" w:beforeLines="100"/>
        <w:jc w:val="center"/>
        <w:rPr>
          <w:rFonts w:hint="eastAsia" w:asciiTheme="minorEastAsia" w:hAnsiTheme="minorEastAsia" w:eastAsiaTheme="minorEastAsia" w:cstheme="minorEastAsia"/>
          <w:b/>
          <w:bCs/>
          <w:color w:val="auto"/>
          <w:sz w:val="52"/>
          <w:szCs w:val="52"/>
          <w:highlight w:val="none"/>
        </w:rPr>
      </w:pPr>
      <w:r>
        <w:rPr>
          <w:rFonts w:hint="eastAsia" w:asciiTheme="minorEastAsia" w:hAnsiTheme="minorEastAsia" w:eastAsiaTheme="minorEastAsia" w:cstheme="minorEastAsia"/>
          <w:b/>
          <w:bCs/>
          <w:color w:val="auto"/>
          <w:sz w:val="52"/>
          <w:szCs w:val="52"/>
          <w:highlight w:val="none"/>
        </w:rPr>
        <w:t>响 应 文 件</w:t>
      </w:r>
    </w:p>
    <w:p w14:paraId="678746BB">
      <w:pPr>
        <w:spacing w:line="360" w:lineRule="auto"/>
        <w:ind w:firstLine="2380" w:firstLineChars="850"/>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项目名称：</w:t>
      </w:r>
    </w:p>
    <w:p w14:paraId="092B8538">
      <w:pPr>
        <w:spacing w:line="360" w:lineRule="auto"/>
        <w:ind w:firstLine="2380" w:firstLineChars="85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项目编号：</w:t>
      </w:r>
    </w:p>
    <w:p w14:paraId="2C5FFA79">
      <w:pPr>
        <w:pStyle w:val="35"/>
        <w:rPr>
          <w:rFonts w:hint="eastAsia" w:asciiTheme="minorEastAsia" w:hAnsiTheme="minorEastAsia" w:eastAsiaTheme="minorEastAsia" w:cstheme="minorEastAsia"/>
          <w:color w:val="auto"/>
          <w:highlight w:val="none"/>
        </w:rPr>
      </w:pPr>
    </w:p>
    <w:p w14:paraId="5A34E64B">
      <w:pPr>
        <w:jc w:val="center"/>
        <w:rPr>
          <w:rFonts w:hint="eastAsia" w:asciiTheme="minorEastAsia" w:hAnsiTheme="minorEastAsia" w:eastAsiaTheme="minorEastAsia" w:cstheme="minorEastAsia"/>
          <w:b/>
          <w:bCs/>
          <w:color w:val="auto"/>
          <w:sz w:val="28"/>
          <w:szCs w:val="28"/>
          <w:highlight w:val="none"/>
        </w:rPr>
      </w:pPr>
    </w:p>
    <w:p w14:paraId="5F830934">
      <w:pPr>
        <w:rPr>
          <w:rFonts w:hint="eastAsia" w:asciiTheme="minorEastAsia" w:hAnsiTheme="minorEastAsia" w:eastAsiaTheme="minorEastAsia" w:cstheme="minorEastAsia"/>
          <w:b/>
          <w:bCs/>
          <w:color w:val="auto"/>
          <w:sz w:val="28"/>
          <w:szCs w:val="28"/>
          <w:highlight w:val="none"/>
        </w:rPr>
      </w:pPr>
    </w:p>
    <w:p w14:paraId="357948B1">
      <w:pPr>
        <w:rPr>
          <w:rFonts w:hint="eastAsia" w:asciiTheme="minorEastAsia" w:hAnsiTheme="minorEastAsia" w:eastAsiaTheme="minorEastAsia" w:cstheme="minorEastAsia"/>
          <w:b/>
          <w:bCs/>
          <w:color w:val="auto"/>
          <w:sz w:val="28"/>
          <w:szCs w:val="28"/>
          <w:highlight w:val="none"/>
        </w:rPr>
      </w:pPr>
    </w:p>
    <w:p w14:paraId="4570DD56">
      <w:pPr>
        <w:jc w:val="center"/>
        <w:rPr>
          <w:rFonts w:hint="eastAsia" w:asciiTheme="minorEastAsia" w:hAnsiTheme="minorEastAsia" w:eastAsiaTheme="minorEastAsia" w:cstheme="minorEastAsia"/>
          <w:b/>
          <w:bCs/>
          <w:color w:val="auto"/>
          <w:sz w:val="28"/>
          <w:szCs w:val="28"/>
          <w:highlight w:val="none"/>
        </w:rPr>
      </w:pPr>
    </w:p>
    <w:p w14:paraId="6CEC01BA">
      <w:pPr>
        <w:jc w:val="center"/>
        <w:rPr>
          <w:rFonts w:hint="eastAsia" w:asciiTheme="minorEastAsia" w:hAnsiTheme="minorEastAsia" w:eastAsiaTheme="minorEastAsia" w:cstheme="minorEastAsia"/>
          <w:b/>
          <w:bCs/>
          <w:color w:val="auto"/>
          <w:sz w:val="28"/>
          <w:szCs w:val="28"/>
          <w:highlight w:val="none"/>
        </w:rPr>
      </w:pPr>
    </w:p>
    <w:p w14:paraId="5513E991">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eastAsia="zh-CN"/>
        </w:rPr>
        <w:t>磋商供应商</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（公章</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lang w:eastAsia="zh-CN"/>
        </w:rPr>
        <w:t>电子CA签章</w:t>
      </w:r>
      <w:r>
        <w:rPr>
          <w:rFonts w:hint="eastAsia" w:asciiTheme="minorEastAsia" w:hAnsiTheme="minorEastAsia" w:eastAsiaTheme="minorEastAsia" w:cstheme="minorEastAsia"/>
          <w:b/>
          <w:bCs/>
          <w:color w:val="auto"/>
          <w:sz w:val="28"/>
          <w:szCs w:val="28"/>
          <w:highlight w:val="none"/>
        </w:rPr>
        <w:t>）</w:t>
      </w:r>
    </w:p>
    <w:p w14:paraId="1CCFFFDA">
      <w:pPr>
        <w:spacing w:line="360" w:lineRule="auto"/>
        <w:ind w:firstLine="1400" w:firstLineChars="50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法定代表人或其委托代理人：</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（手写签名</w:t>
      </w:r>
      <w:r>
        <w:rPr>
          <w:rFonts w:hint="eastAsia" w:asciiTheme="minorEastAsia" w:hAnsiTheme="minorEastAsia" w:eastAsiaTheme="minorEastAsia" w:cstheme="minorEastAsia"/>
          <w:b/>
          <w:bCs/>
          <w:color w:val="auto"/>
          <w:sz w:val="28"/>
          <w:szCs w:val="28"/>
          <w:highlight w:val="none"/>
          <w:lang w:val="en-US" w:eastAsia="zh-CN"/>
        </w:rPr>
        <w:t>或</w:t>
      </w:r>
      <w:r>
        <w:rPr>
          <w:rFonts w:hint="eastAsia" w:asciiTheme="minorEastAsia" w:hAnsiTheme="minorEastAsia" w:eastAsiaTheme="minorEastAsia" w:cstheme="minorEastAsia"/>
          <w:b/>
          <w:bCs/>
          <w:color w:val="auto"/>
          <w:sz w:val="28"/>
          <w:szCs w:val="28"/>
          <w:highlight w:val="none"/>
        </w:rPr>
        <w:t>电子签名）</w:t>
      </w:r>
    </w:p>
    <w:p w14:paraId="10DE01A7">
      <w:pPr>
        <w:jc w:val="center"/>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年</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月</w:t>
      </w:r>
      <w:r>
        <w:rPr>
          <w:rFonts w:hint="eastAsia" w:asciiTheme="minorEastAsia" w:hAnsiTheme="minorEastAsia" w:eastAsiaTheme="minorEastAsia" w:cstheme="minorEastAsia"/>
          <w:b/>
          <w:bCs/>
          <w:color w:val="auto"/>
          <w:sz w:val="28"/>
          <w:szCs w:val="28"/>
          <w:highlight w:val="none"/>
          <w:u w:val="single"/>
        </w:rPr>
        <w:t xml:space="preserve">         </w:t>
      </w:r>
      <w:r>
        <w:rPr>
          <w:rFonts w:hint="eastAsia" w:asciiTheme="minorEastAsia" w:hAnsiTheme="minorEastAsia" w:eastAsiaTheme="minorEastAsia" w:cstheme="minorEastAsia"/>
          <w:b/>
          <w:bCs/>
          <w:color w:val="auto"/>
          <w:sz w:val="28"/>
          <w:szCs w:val="28"/>
          <w:highlight w:val="none"/>
        </w:rPr>
        <w:t>日</w:t>
      </w:r>
    </w:p>
    <w:p w14:paraId="06ACEC75">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4FFB1BB9">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1702479E">
      <w:pPr>
        <w:spacing w:line="336" w:lineRule="auto"/>
        <w:ind w:right="-153" w:rightChars="-73"/>
        <w:jc w:val="both"/>
        <w:rPr>
          <w:rFonts w:hint="eastAsia" w:asciiTheme="minorEastAsia" w:hAnsiTheme="minorEastAsia" w:eastAsiaTheme="minorEastAsia" w:cstheme="minorEastAsia"/>
          <w:b/>
          <w:color w:val="auto"/>
          <w:szCs w:val="21"/>
          <w:highlight w:val="none"/>
        </w:rPr>
      </w:pPr>
    </w:p>
    <w:p w14:paraId="4D37368E">
      <w:pPr>
        <w:spacing w:line="336" w:lineRule="auto"/>
        <w:ind w:right="-153" w:rightChars="-73"/>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目</w:t>
      </w:r>
      <w:r>
        <w:rPr>
          <w:rFonts w:hint="eastAsia" w:asciiTheme="minorEastAsia" w:hAnsiTheme="minorEastAsia" w:eastAsiaTheme="minorEastAsia" w:cstheme="minorEastAsia"/>
          <w:b/>
          <w:color w:val="auto"/>
          <w:sz w:val="28"/>
          <w:szCs w:val="28"/>
          <w:highlight w:val="none"/>
          <w:lang w:val="en-US" w:eastAsia="zh-CN"/>
        </w:rPr>
        <w:t xml:space="preserve">    </w:t>
      </w:r>
      <w:r>
        <w:rPr>
          <w:rFonts w:hint="eastAsia" w:asciiTheme="minorEastAsia" w:hAnsiTheme="minorEastAsia" w:eastAsiaTheme="minorEastAsia" w:cstheme="minorEastAsia"/>
          <w:b/>
          <w:color w:val="auto"/>
          <w:sz w:val="28"/>
          <w:szCs w:val="28"/>
          <w:highlight w:val="none"/>
        </w:rPr>
        <w:t>录</w:t>
      </w:r>
    </w:p>
    <w:p w14:paraId="41A4B897">
      <w:pPr>
        <w:spacing w:line="336" w:lineRule="auto"/>
        <w:ind w:right="-153" w:rightChars="-73"/>
        <w:jc w:val="center"/>
        <w:rPr>
          <w:rFonts w:hint="eastAsia" w:asciiTheme="minorEastAsia" w:hAnsiTheme="minorEastAsia" w:eastAsiaTheme="minorEastAsia" w:cstheme="minorEastAsia"/>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rPr>
        <w:t>（</w:t>
      </w:r>
      <w:r>
        <w:rPr>
          <w:rFonts w:hint="eastAsia" w:asciiTheme="minorEastAsia" w:hAnsiTheme="minorEastAsia" w:eastAsiaTheme="minorEastAsia" w:cstheme="minorEastAsia"/>
          <w:b w:val="0"/>
          <w:bCs/>
          <w:color w:val="auto"/>
          <w:sz w:val="24"/>
          <w:szCs w:val="24"/>
          <w:highlight w:val="none"/>
          <w:lang w:val="en-US" w:eastAsia="zh-CN"/>
        </w:rPr>
        <w:t>自行编</w:t>
      </w:r>
      <w:r>
        <w:rPr>
          <w:rFonts w:hint="eastAsia" w:asciiTheme="minorEastAsia" w:hAnsiTheme="minorEastAsia" w:eastAsiaTheme="minorEastAsia" w:cstheme="minorEastAsia"/>
          <w:b w:val="0"/>
          <w:bCs/>
          <w:color w:val="auto"/>
          <w:sz w:val="24"/>
          <w:szCs w:val="24"/>
          <w:highlight w:val="none"/>
        </w:rPr>
        <w:t>页码）</w:t>
      </w:r>
    </w:p>
    <w:p w14:paraId="512E3F7B">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（1）主要管理人员表</w:t>
      </w:r>
    </w:p>
    <w:p w14:paraId="687E2878">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val="en-US" w:eastAsia="zh-CN"/>
        </w:rPr>
        <w:t>（2）建设工程项目管理承诺书</w:t>
      </w:r>
    </w:p>
    <w:p w14:paraId="3FF072BF">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3</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施工组织设计</w:t>
      </w:r>
    </w:p>
    <w:p w14:paraId="3F3FBD64">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lang w:val="en-US" w:eastAsia="zh-CN"/>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4</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业绩（</w:t>
      </w:r>
      <w:r>
        <w:rPr>
          <w:rFonts w:hint="eastAsia" w:asciiTheme="minorEastAsia" w:hAnsiTheme="minorEastAsia" w:eastAsiaTheme="minorEastAsia" w:cstheme="minorEastAsia"/>
          <w:bCs/>
          <w:color w:val="auto"/>
          <w:sz w:val="24"/>
          <w:szCs w:val="24"/>
          <w:highlight w:val="none"/>
        </w:rPr>
        <w:t>如有，请提供</w:t>
      </w:r>
      <w:r>
        <w:rPr>
          <w:rFonts w:hint="eastAsia" w:asciiTheme="minorEastAsia" w:hAnsiTheme="minorEastAsia" w:eastAsiaTheme="minorEastAsia" w:cstheme="minorEastAsia"/>
          <w:bCs/>
          <w:color w:val="auto"/>
          <w:sz w:val="24"/>
          <w:szCs w:val="24"/>
          <w:highlight w:val="none"/>
          <w:lang w:val="en-US" w:eastAsia="zh-CN"/>
        </w:rPr>
        <w:t>）</w:t>
      </w:r>
    </w:p>
    <w:p w14:paraId="078BD512">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lang w:val="en-US" w:eastAsia="zh-CN"/>
        </w:rPr>
        <w:t>5</w:t>
      </w:r>
      <w:r>
        <w:rPr>
          <w:rFonts w:hint="eastAsia" w:asciiTheme="minorEastAsia" w:hAnsiTheme="minorEastAsia" w:eastAsiaTheme="minorEastAsia" w:cstheme="minorEastAsia"/>
          <w:bCs/>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供应商可结合本项目的评标办法视自身情况自行提交相关证明材料。（如有，请提供）</w:t>
      </w:r>
    </w:p>
    <w:p w14:paraId="235CE862">
      <w:pPr>
        <w:pStyle w:val="11"/>
        <w:numPr>
          <w:ilvl w:val="0"/>
          <w:numId w:val="0"/>
        </w:numPr>
        <w:spacing w:line="390" w:lineRule="exact"/>
        <w:ind w:firstLine="0" w:firstLineChars="0"/>
        <w:rPr>
          <w:rFonts w:hint="eastAsia" w:asciiTheme="minorEastAsia" w:hAnsiTheme="minorEastAsia" w:eastAsiaTheme="minorEastAsia" w:cstheme="minorEastAsia"/>
          <w:bCs/>
          <w:color w:val="auto"/>
          <w:sz w:val="24"/>
          <w:szCs w:val="24"/>
          <w:highlight w:val="none"/>
        </w:rPr>
      </w:pPr>
    </w:p>
    <w:p w14:paraId="739970EE">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5448D083">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49603096">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3FE143FC">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03C3AEE7">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56094401">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26B175AB">
      <w:pPr>
        <w:spacing w:line="336" w:lineRule="auto"/>
        <w:ind w:right="-153" w:rightChars="-73"/>
        <w:jc w:val="center"/>
        <w:rPr>
          <w:rFonts w:hint="eastAsia" w:asciiTheme="minorEastAsia" w:hAnsiTheme="minorEastAsia" w:eastAsiaTheme="minorEastAsia" w:cstheme="minorEastAsia"/>
          <w:b/>
          <w:color w:val="auto"/>
          <w:szCs w:val="21"/>
          <w:highlight w:val="none"/>
        </w:rPr>
      </w:pPr>
    </w:p>
    <w:p w14:paraId="0C36E556">
      <w:pPr>
        <w:pStyle w:val="8"/>
        <w:rPr>
          <w:rFonts w:hint="eastAsia" w:asciiTheme="minorEastAsia" w:hAnsiTheme="minorEastAsia" w:eastAsiaTheme="minorEastAsia" w:cstheme="minorEastAsia"/>
          <w:color w:val="auto"/>
          <w:highlight w:val="none"/>
        </w:rPr>
      </w:pPr>
    </w:p>
    <w:p w14:paraId="634A9381">
      <w:pPr>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br w:type="page"/>
      </w:r>
    </w:p>
    <w:p w14:paraId="7EF0421C">
      <w:pPr>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8"/>
          <w:szCs w:val="28"/>
          <w:highlight w:val="none"/>
          <w:lang w:val="en-US" w:eastAsia="zh-CN"/>
        </w:rPr>
        <w:t>一、主要管理人员表</w:t>
      </w:r>
    </w:p>
    <w:p w14:paraId="79F81BC0">
      <w:pPr>
        <w:rPr>
          <w:rFonts w:hint="eastAsia" w:asciiTheme="minorEastAsia" w:hAnsiTheme="minorEastAsia" w:eastAsiaTheme="minorEastAsia" w:cstheme="minorEastAsia"/>
          <w:color w:val="auto"/>
          <w:szCs w:val="21"/>
          <w:highlight w:val="none"/>
        </w:rPr>
      </w:pPr>
    </w:p>
    <w:tbl>
      <w:tblPr>
        <w:tblStyle w:val="19"/>
        <w:tblW w:w="10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4"/>
        <w:gridCol w:w="1018"/>
        <w:gridCol w:w="5086"/>
        <w:gridCol w:w="1268"/>
        <w:gridCol w:w="1900"/>
      </w:tblGrid>
      <w:tr w14:paraId="38CC0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restart"/>
            <w:noWrap w:val="0"/>
            <w:vAlign w:val="center"/>
          </w:tcPr>
          <w:p w14:paraId="7850B10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岗位</w:t>
            </w:r>
          </w:p>
        </w:tc>
        <w:tc>
          <w:tcPr>
            <w:tcW w:w="1018" w:type="dxa"/>
            <w:vMerge w:val="restart"/>
            <w:noWrap w:val="0"/>
            <w:vAlign w:val="center"/>
          </w:tcPr>
          <w:p w14:paraId="2B322751">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姓名</w:t>
            </w:r>
          </w:p>
        </w:tc>
        <w:tc>
          <w:tcPr>
            <w:tcW w:w="5086" w:type="dxa"/>
            <w:vMerge w:val="restart"/>
            <w:noWrap w:val="0"/>
            <w:vAlign w:val="center"/>
          </w:tcPr>
          <w:p w14:paraId="66E04E4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《注册执业资格</w:t>
            </w:r>
          </w:p>
          <w:p w14:paraId="106CAB9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（或职业或职称或岗位或培训或学历（位）证书）》</w:t>
            </w:r>
          </w:p>
        </w:tc>
        <w:tc>
          <w:tcPr>
            <w:tcW w:w="3168" w:type="dxa"/>
            <w:gridSpan w:val="2"/>
            <w:noWrap w:val="0"/>
            <w:vAlign w:val="center"/>
          </w:tcPr>
          <w:p w14:paraId="1C5D1DD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承担完工工程情况</w:t>
            </w:r>
          </w:p>
        </w:tc>
      </w:tr>
      <w:tr w14:paraId="44FE8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vMerge w:val="continue"/>
            <w:noWrap w:val="0"/>
            <w:vAlign w:val="center"/>
          </w:tcPr>
          <w:p w14:paraId="67D5D12D">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018" w:type="dxa"/>
            <w:vMerge w:val="continue"/>
            <w:noWrap w:val="0"/>
            <w:vAlign w:val="center"/>
          </w:tcPr>
          <w:p w14:paraId="66BB664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62FADA5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788EC8A6">
            <w:pPr>
              <w:spacing w:line="360" w:lineRule="auto"/>
              <w:ind w:left="-2" w:right="-153" w:rightChars="-73"/>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rPr>
              <w:t>项目数</w:t>
            </w:r>
            <w:r>
              <w:rPr>
                <w:rFonts w:hint="eastAsia" w:asciiTheme="minorEastAsia" w:hAnsiTheme="minorEastAsia" w:eastAsiaTheme="minorEastAsia" w:cstheme="minorEastAsia"/>
                <w:b/>
                <w:bCs/>
                <w:color w:val="auto"/>
                <w:szCs w:val="21"/>
                <w:highlight w:val="none"/>
                <w:lang w:val="en-US" w:eastAsia="zh-CN"/>
              </w:rPr>
              <w:t>量</w:t>
            </w:r>
          </w:p>
        </w:tc>
        <w:tc>
          <w:tcPr>
            <w:tcW w:w="1900" w:type="dxa"/>
            <w:noWrap w:val="0"/>
            <w:vAlign w:val="center"/>
          </w:tcPr>
          <w:p w14:paraId="4A228D97">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主要项目名称</w:t>
            </w:r>
          </w:p>
        </w:tc>
      </w:tr>
      <w:tr w14:paraId="0435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38CC022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项目经理</w:t>
            </w:r>
          </w:p>
        </w:tc>
        <w:tc>
          <w:tcPr>
            <w:tcW w:w="1018" w:type="dxa"/>
            <w:noWrap w:val="0"/>
            <w:vAlign w:val="center"/>
          </w:tcPr>
          <w:p w14:paraId="4014E92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restart"/>
            <w:noWrap w:val="0"/>
            <w:vAlign w:val="center"/>
          </w:tcPr>
          <w:p w14:paraId="1E6A7C47">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◆证书名称：</w:t>
            </w:r>
          </w:p>
          <w:p w14:paraId="5EA7FC0B">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◆证书证号：</w:t>
            </w:r>
          </w:p>
          <w:p w14:paraId="3B3388E0">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◆专业（如有）：</w:t>
            </w:r>
          </w:p>
          <w:p w14:paraId="0D0DED8C">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◆专业所属类别（如有）：</w:t>
            </w:r>
          </w:p>
          <w:p w14:paraId="29196EB0">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◆授予（或签发或批准或发证）日期：</w:t>
            </w:r>
          </w:p>
        </w:tc>
        <w:tc>
          <w:tcPr>
            <w:tcW w:w="1268" w:type="dxa"/>
            <w:noWrap w:val="0"/>
            <w:vAlign w:val="center"/>
          </w:tcPr>
          <w:p w14:paraId="137E028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52662FB4">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306BB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3547B9F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技术负责人</w:t>
            </w:r>
          </w:p>
        </w:tc>
        <w:tc>
          <w:tcPr>
            <w:tcW w:w="1018" w:type="dxa"/>
            <w:noWrap w:val="0"/>
            <w:vAlign w:val="center"/>
          </w:tcPr>
          <w:p w14:paraId="52136F9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2B47A06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1B0C27B1">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731D0B0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399BA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7B9917FC">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施工员</w:t>
            </w:r>
          </w:p>
        </w:tc>
        <w:tc>
          <w:tcPr>
            <w:tcW w:w="1018" w:type="dxa"/>
            <w:noWrap w:val="0"/>
            <w:vAlign w:val="center"/>
          </w:tcPr>
          <w:p w14:paraId="6C77E51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6C8514D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4712432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79B0EB9D">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4165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6B229523">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质量员</w:t>
            </w:r>
          </w:p>
        </w:tc>
        <w:tc>
          <w:tcPr>
            <w:tcW w:w="1018" w:type="dxa"/>
            <w:noWrap w:val="0"/>
            <w:vAlign w:val="center"/>
          </w:tcPr>
          <w:p w14:paraId="0502C32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5793EF7E">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4873256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0326E074">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6639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3490AF58">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安全员</w:t>
            </w:r>
          </w:p>
        </w:tc>
        <w:tc>
          <w:tcPr>
            <w:tcW w:w="1018" w:type="dxa"/>
            <w:noWrap w:val="0"/>
            <w:vAlign w:val="center"/>
          </w:tcPr>
          <w:p w14:paraId="2F59E97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6B39B133">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5950863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6ACD5FB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2D3A1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7C9C2603">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材料员</w:t>
            </w:r>
          </w:p>
        </w:tc>
        <w:tc>
          <w:tcPr>
            <w:tcW w:w="1018" w:type="dxa"/>
            <w:noWrap w:val="0"/>
            <w:vAlign w:val="center"/>
          </w:tcPr>
          <w:p w14:paraId="0540C10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391D00DE">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091D63D9">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2A54D58A">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7FF8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4" w:type="dxa"/>
            <w:noWrap w:val="0"/>
            <w:vAlign w:val="center"/>
          </w:tcPr>
          <w:p w14:paraId="6BE391E7">
            <w:pPr>
              <w:spacing w:line="360" w:lineRule="auto"/>
              <w:ind w:left="-2" w:right="-153" w:rightChars="-73"/>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w:t>
            </w:r>
          </w:p>
        </w:tc>
        <w:tc>
          <w:tcPr>
            <w:tcW w:w="1018" w:type="dxa"/>
            <w:noWrap w:val="0"/>
            <w:vAlign w:val="center"/>
          </w:tcPr>
          <w:p w14:paraId="13D851C6">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5086" w:type="dxa"/>
            <w:vMerge w:val="continue"/>
            <w:noWrap w:val="0"/>
            <w:vAlign w:val="center"/>
          </w:tcPr>
          <w:p w14:paraId="420FF985">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268" w:type="dxa"/>
            <w:noWrap w:val="0"/>
            <w:vAlign w:val="center"/>
          </w:tcPr>
          <w:p w14:paraId="5BFA79FF">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c>
          <w:tcPr>
            <w:tcW w:w="1900" w:type="dxa"/>
            <w:noWrap w:val="0"/>
            <w:vAlign w:val="center"/>
          </w:tcPr>
          <w:p w14:paraId="3EA53372">
            <w:pPr>
              <w:spacing w:line="360" w:lineRule="auto"/>
              <w:ind w:left="-2" w:right="-153" w:rightChars="-73"/>
              <w:jc w:val="center"/>
              <w:rPr>
                <w:rFonts w:hint="eastAsia" w:asciiTheme="minorEastAsia" w:hAnsiTheme="minorEastAsia" w:eastAsiaTheme="minorEastAsia" w:cstheme="minorEastAsia"/>
                <w:b/>
                <w:bCs/>
                <w:color w:val="auto"/>
                <w:szCs w:val="21"/>
                <w:highlight w:val="none"/>
              </w:rPr>
            </w:pPr>
          </w:p>
        </w:tc>
      </w:tr>
      <w:tr w14:paraId="21C1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 w:hRule="atLeast"/>
          <w:jc w:val="center"/>
        </w:trPr>
        <w:tc>
          <w:tcPr>
            <w:tcW w:w="10496" w:type="dxa"/>
            <w:gridSpan w:val="5"/>
            <w:noWrap w:val="0"/>
            <w:vAlign w:val="center"/>
          </w:tcPr>
          <w:p w14:paraId="7340CC0D">
            <w:pPr>
              <w:spacing w:line="360" w:lineRule="auto"/>
              <w:ind w:left="-2" w:right="-153" w:rightChars="-73"/>
              <w:jc w:val="left"/>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一旦我单位</w:t>
            </w:r>
            <w:r>
              <w:rPr>
                <w:rFonts w:hint="eastAsia" w:asciiTheme="minorEastAsia" w:hAnsiTheme="minorEastAsia" w:eastAsiaTheme="minorEastAsia" w:cstheme="minorEastAsia"/>
                <w:b w:val="0"/>
                <w:bCs w:val="0"/>
                <w:color w:val="auto"/>
                <w:szCs w:val="21"/>
                <w:highlight w:val="none"/>
                <w:lang w:val="en-US" w:eastAsia="zh-CN"/>
              </w:rPr>
              <w:t>成交</w:t>
            </w:r>
            <w:r>
              <w:rPr>
                <w:rFonts w:hint="eastAsia" w:asciiTheme="minorEastAsia" w:hAnsiTheme="minorEastAsia" w:eastAsiaTheme="minorEastAsia" w:cstheme="minorEastAsia"/>
                <w:b w:val="0"/>
                <w:bCs w:val="0"/>
                <w:color w:val="auto"/>
                <w:szCs w:val="21"/>
                <w:highlight w:val="none"/>
              </w:rPr>
              <w:t>，将实行项目经理负责制，我方保证并配备上述项目管理机构。上述填报内容真实，若不真实，</w:t>
            </w:r>
          </w:p>
          <w:p w14:paraId="020410FC">
            <w:pPr>
              <w:spacing w:line="360" w:lineRule="auto"/>
              <w:ind w:left="-2" w:right="-153" w:rightChars="-73"/>
              <w:jc w:val="left"/>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val="0"/>
                <w:bCs w:val="0"/>
                <w:color w:val="auto"/>
                <w:szCs w:val="21"/>
                <w:highlight w:val="none"/>
              </w:rPr>
              <w:t>愿按有关规定接受处理。</w:t>
            </w:r>
          </w:p>
        </w:tc>
      </w:tr>
    </w:tbl>
    <w:p w14:paraId="6FB50E2A">
      <w:pPr>
        <w:spacing w:line="360" w:lineRule="auto"/>
        <w:ind w:left="-2" w:right="-153" w:rightChars="-73"/>
        <w:rPr>
          <w:rFonts w:hint="eastAsia" w:asciiTheme="minorEastAsia" w:hAnsiTheme="minorEastAsia" w:eastAsiaTheme="minorEastAsia" w:cstheme="minorEastAsia"/>
          <w:b w:val="0"/>
          <w:bCs w:val="0"/>
          <w:color w:val="auto"/>
          <w:highlight w:val="none"/>
          <w:lang w:eastAsia="zh-CN"/>
        </w:rPr>
      </w:pPr>
      <w:r>
        <w:rPr>
          <w:rFonts w:hint="eastAsia" w:asciiTheme="minorEastAsia" w:hAnsiTheme="minorEastAsia" w:eastAsiaTheme="minorEastAsia" w:cstheme="minorEastAsia"/>
          <w:b/>
          <w:bCs/>
          <w:color w:val="auto"/>
          <w:szCs w:val="21"/>
          <w:highlight w:val="none"/>
        </w:rPr>
        <w:t>附：</w:t>
      </w:r>
      <w:r>
        <w:rPr>
          <w:rFonts w:hint="eastAsia" w:asciiTheme="minorEastAsia" w:hAnsiTheme="minorEastAsia" w:eastAsiaTheme="minorEastAsia" w:cstheme="minorEastAsia"/>
          <w:b w:val="0"/>
          <w:bCs w:val="0"/>
          <w:color w:val="auto"/>
          <w:szCs w:val="21"/>
          <w:highlight w:val="none"/>
        </w:rPr>
        <w:t>①项目经理（注册建造师）简历表（格式）</w:t>
      </w:r>
      <w:r>
        <w:rPr>
          <w:rFonts w:hint="eastAsia" w:asciiTheme="minorEastAsia" w:hAnsiTheme="minorEastAsia" w:eastAsiaTheme="minorEastAsia" w:cstheme="minorEastAsia"/>
          <w:b w:val="0"/>
          <w:bCs w:val="0"/>
          <w:color w:val="auto"/>
          <w:szCs w:val="21"/>
          <w:highlight w:val="none"/>
          <w:lang w:eastAsia="zh-CN"/>
        </w:rPr>
        <w:t>；</w:t>
      </w:r>
    </w:p>
    <w:p w14:paraId="7D35F9DE">
      <w:pPr>
        <w:spacing w:line="360" w:lineRule="auto"/>
        <w:ind w:left="-2" w:right="-153" w:rightChars="-73" w:firstLine="420" w:firstLineChars="200"/>
        <w:rPr>
          <w:rFonts w:hint="eastAsia" w:asciiTheme="minorEastAsia" w:hAnsiTheme="minorEastAsia" w:eastAsiaTheme="minorEastAsia" w:cstheme="minorEastAsia"/>
          <w:b w:val="0"/>
          <w:bCs w:val="0"/>
          <w:color w:val="auto"/>
          <w:highlight w:val="none"/>
        </w:rPr>
      </w:pPr>
      <w:r>
        <w:rPr>
          <w:rFonts w:hint="eastAsia" w:asciiTheme="minorEastAsia" w:hAnsiTheme="minorEastAsia" w:eastAsiaTheme="minorEastAsia" w:cstheme="minorEastAsia"/>
          <w:b w:val="0"/>
          <w:bCs w:val="0"/>
          <w:color w:val="auto"/>
          <w:szCs w:val="21"/>
          <w:highlight w:val="none"/>
        </w:rPr>
        <w:t>②项目技术负责人简历表（格式）；</w:t>
      </w:r>
    </w:p>
    <w:p w14:paraId="36264995">
      <w:pPr>
        <w:spacing w:line="360" w:lineRule="auto"/>
        <w:ind w:left="-2" w:right="-153" w:rightChars="-73" w:firstLine="420" w:firstLineChars="200"/>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③其他主要人员应附</w:t>
      </w:r>
      <w:r>
        <w:rPr>
          <w:rFonts w:hint="eastAsia" w:asciiTheme="minorEastAsia" w:hAnsiTheme="minorEastAsia" w:eastAsiaTheme="minorEastAsia" w:cstheme="minorEastAsia"/>
          <w:color w:val="auto"/>
          <w:szCs w:val="21"/>
          <w:highlight w:val="none"/>
          <w:lang w:eastAsia="zh-CN"/>
        </w:rPr>
        <w:t>岗位证书</w:t>
      </w:r>
      <w:r>
        <w:rPr>
          <w:rFonts w:hint="eastAsia" w:asciiTheme="minorEastAsia" w:hAnsiTheme="minorEastAsia" w:eastAsiaTheme="minorEastAsia" w:cstheme="minorEastAsia"/>
          <w:color w:val="auto"/>
          <w:szCs w:val="21"/>
          <w:highlight w:val="none"/>
        </w:rPr>
        <w:t>、身份证</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职称证（若有）</w:t>
      </w:r>
      <w:r>
        <w:rPr>
          <w:rFonts w:hint="eastAsia" w:asciiTheme="minorEastAsia" w:hAnsiTheme="minorEastAsia" w:eastAsiaTheme="minorEastAsia" w:cstheme="minorEastAsia"/>
          <w:color w:val="auto"/>
          <w:szCs w:val="21"/>
          <w:highlight w:val="none"/>
        </w:rPr>
        <w:t>等</w:t>
      </w:r>
      <w:r>
        <w:rPr>
          <w:rFonts w:hint="eastAsia" w:asciiTheme="minorEastAsia" w:hAnsiTheme="minorEastAsia" w:eastAsiaTheme="minorEastAsia" w:cstheme="minorEastAsia"/>
          <w:color w:val="auto"/>
          <w:szCs w:val="21"/>
          <w:highlight w:val="none"/>
          <w:lang w:eastAsia="zh-CN"/>
        </w:rPr>
        <w:t>扫描件；</w:t>
      </w:r>
    </w:p>
    <w:p w14:paraId="66A84854">
      <w:pPr>
        <w:spacing w:line="360" w:lineRule="auto"/>
        <w:ind w:left="-2" w:right="-153" w:rightChars="-73" w:firstLine="420" w:firstLineChars="200"/>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eastAsia="zh-CN"/>
        </w:rPr>
        <w:t>④拟投入</w:t>
      </w:r>
      <w:r>
        <w:rPr>
          <w:rFonts w:hint="eastAsia" w:asciiTheme="minorEastAsia" w:hAnsiTheme="minorEastAsia" w:eastAsiaTheme="minorEastAsia" w:cstheme="minorEastAsia"/>
          <w:color w:val="auto"/>
          <w:szCs w:val="21"/>
          <w:highlight w:val="none"/>
          <w:lang w:val="en-US" w:eastAsia="zh-CN"/>
        </w:rPr>
        <w:t>所有</w:t>
      </w:r>
      <w:r>
        <w:rPr>
          <w:rFonts w:hint="eastAsia" w:asciiTheme="minorEastAsia" w:hAnsiTheme="minorEastAsia" w:eastAsiaTheme="minorEastAsia" w:cstheme="minorEastAsia"/>
          <w:color w:val="auto"/>
          <w:szCs w:val="21"/>
          <w:highlight w:val="none"/>
          <w:lang w:eastAsia="zh-CN"/>
        </w:rPr>
        <w:t>人员</w:t>
      </w:r>
      <w:r>
        <w:rPr>
          <w:rFonts w:hint="eastAsia" w:asciiTheme="minorEastAsia" w:hAnsiTheme="minorEastAsia" w:eastAsiaTheme="minorEastAsia" w:cstheme="minorEastAsia"/>
          <w:color w:val="auto"/>
          <w:szCs w:val="21"/>
          <w:highlight w:val="none"/>
        </w:rPr>
        <w:t>现任职单位为其缴纳的</w:t>
      </w:r>
      <w:r>
        <w:rPr>
          <w:rFonts w:hint="eastAsia" w:asciiTheme="minorEastAsia" w:hAnsiTheme="minorEastAsia" w:eastAsiaTheme="minorEastAsia" w:cstheme="minorEastAsia"/>
          <w:color w:val="auto"/>
          <w:szCs w:val="21"/>
          <w:highlight w:val="none"/>
          <w:lang w:val="en-US" w:eastAsia="zh-CN"/>
        </w:rPr>
        <w:t>截止之日</w:t>
      </w:r>
      <w:r>
        <w:rPr>
          <w:rFonts w:hint="eastAsia" w:asciiTheme="minorEastAsia" w:hAnsiTheme="minorEastAsia" w:eastAsiaTheme="minorEastAsia" w:cstheme="minorEastAsia"/>
          <w:bCs/>
          <w:color w:val="auto"/>
          <w:sz w:val="21"/>
          <w:szCs w:val="21"/>
          <w:highlight w:val="none"/>
          <w:lang w:eastAsia="zh-CN"/>
        </w:rPr>
        <w:t>前半年内连续三个月的依法缴纳社保费的缴费凭证（格式自拟，扫描件，</w:t>
      </w:r>
      <w:r>
        <w:rPr>
          <w:rFonts w:hint="eastAsia" w:asciiTheme="minorEastAsia" w:hAnsiTheme="minorEastAsia" w:eastAsiaTheme="minorEastAsia" w:cstheme="minorEastAsia"/>
          <w:b/>
          <w:bCs w:val="0"/>
          <w:color w:val="auto"/>
          <w:sz w:val="21"/>
          <w:szCs w:val="21"/>
          <w:highlight w:val="none"/>
          <w:lang w:eastAsia="zh-CN"/>
        </w:rPr>
        <w:t>必须提供</w:t>
      </w:r>
      <w:r>
        <w:rPr>
          <w:rFonts w:hint="eastAsia" w:asciiTheme="minorEastAsia" w:hAnsiTheme="minorEastAsia" w:eastAsiaTheme="minorEastAsia" w:cstheme="minorEastAsia"/>
          <w:bCs/>
          <w:color w:val="auto"/>
          <w:sz w:val="21"/>
          <w:szCs w:val="21"/>
          <w:highlight w:val="none"/>
          <w:lang w:eastAsia="zh-CN"/>
        </w:rPr>
        <w:t>）。</w:t>
      </w:r>
    </w:p>
    <w:p w14:paraId="05E2AF96">
      <w:pPr>
        <w:pStyle w:val="35"/>
        <w:rPr>
          <w:rFonts w:hint="eastAsia" w:asciiTheme="minorEastAsia" w:hAnsiTheme="minorEastAsia" w:eastAsiaTheme="minorEastAsia" w:cstheme="minorEastAsia"/>
          <w:b/>
          <w:color w:val="auto"/>
          <w:sz w:val="24"/>
          <w:highlight w:val="none"/>
          <w:u w:val="single"/>
          <w:lang w:val="en-US" w:eastAsia="zh-CN"/>
        </w:rPr>
      </w:pPr>
    </w:p>
    <w:p w14:paraId="46CF880E">
      <w:pPr>
        <w:pStyle w:val="35"/>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sz w:val="24"/>
          <w:highlight w:val="none"/>
          <w:u w:val="single"/>
          <w:lang w:val="en-US" w:eastAsia="zh-CN"/>
        </w:rPr>
        <w:t>注：文件 《一、主要管理人员表 》中所有提及的证件材料属于复印件的扫描件的，必须加盖供应商电子公章，否则响应文件按无效响应处理。</w:t>
      </w:r>
    </w:p>
    <w:p w14:paraId="5CE75E82">
      <w:pPr>
        <w:widowControl/>
        <w:spacing w:line="300" w:lineRule="exact"/>
        <w:ind w:right="-147" w:rightChars="-7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color w:val="auto"/>
          <w:szCs w:val="21"/>
          <w:highlight w:val="none"/>
          <w:lang w:val="en-US" w:eastAsia="zh-CN"/>
        </w:rPr>
        <w:br w:type="page"/>
      </w:r>
      <w:r>
        <w:rPr>
          <w:rFonts w:hint="eastAsia" w:asciiTheme="minorEastAsia" w:hAnsiTheme="minorEastAsia" w:eastAsiaTheme="minorEastAsia" w:cstheme="minorEastAsia"/>
          <w:color w:val="auto"/>
          <w:szCs w:val="21"/>
          <w:highlight w:val="none"/>
          <w:lang w:val="en-US" w:eastAsia="zh-CN"/>
        </w:rPr>
        <w:t>附表</w:t>
      </w:r>
      <w:r>
        <w:rPr>
          <w:rFonts w:hint="eastAsia" w:asciiTheme="minorEastAsia" w:hAnsiTheme="minorEastAsia" w:eastAsiaTheme="minorEastAsia" w:cstheme="minorEastAsia"/>
          <w:b w:val="0"/>
          <w:bCs w:val="0"/>
          <w:color w:val="auto"/>
          <w:szCs w:val="21"/>
          <w:highlight w:val="none"/>
        </w:rPr>
        <w:t>①项目经理（注册建造师）简历表（格式）</w:t>
      </w:r>
    </w:p>
    <w:p w14:paraId="1FE5A3E5">
      <w:pPr>
        <w:pStyle w:val="35"/>
        <w:rPr>
          <w:rFonts w:hint="eastAsia" w:asciiTheme="minorEastAsia" w:hAnsiTheme="minorEastAsia" w:eastAsiaTheme="minorEastAsia" w:cstheme="minorEastAsia"/>
          <w:color w:val="auto"/>
          <w:highlight w:val="none"/>
          <w:lang w:val="en-US" w:eastAsia="zh-CN"/>
        </w:rPr>
      </w:pPr>
    </w:p>
    <w:p w14:paraId="5AAD42BF">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项目经理（注册建造师）简历表</w:t>
      </w:r>
    </w:p>
    <w:p w14:paraId="5CC2CEDA">
      <w:pPr>
        <w:spacing w:line="400" w:lineRule="exact"/>
        <w:rPr>
          <w:rFonts w:hint="eastAsia" w:asciiTheme="minorEastAsia" w:hAnsiTheme="minorEastAsia" w:eastAsiaTheme="minorEastAsia" w:cstheme="minorEastAsia"/>
          <w:b/>
          <w:color w:val="auto"/>
          <w:sz w:val="28"/>
          <w:szCs w:val="28"/>
          <w:highlight w:val="none"/>
        </w:rPr>
      </w:pPr>
    </w:p>
    <w:p w14:paraId="72BAD184">
      <w:pPr>
        <w:spacing w:line="40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采购项目名称：</w:t>
      </w:r>
      <w:r>
        <w:rPr>
          <w:rFonts w:hint="eastAsia" w:asciiTheme="minorEastAsia" w:hAnsiTheme="minorEastAsia" w:eastAsiaTheme="minorEastAsia" w:cstheme="minorEastAsia"/>
          <w:color w:val="auto"/>
          <w:szCs w:val="21"/>
          <w:highlight w:val="none"/>
          <w:u w:val="single"/>
        </w:rPr>
        <w:t xml:space="preserve">                     </w:t>
      </w:r>
    </w:p>
    <w:p w14:paraId="28335E36">
      <w:pPr>
        <w:pStyle w:val="40"/>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项目采购编号：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164"/>
      </w:tblGrid>
      <w:tr w14:paraId="13BB4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74D9B10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2340" w:type="dxa"/>
            <w:gridSpan w:val="3"/>
            <w:noWrap w:val="0"/>
            <w:vAlign w:val="center"/>
          </w:tcPr>
          <w:p w14:paraId="6573628E">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047FE21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585" w:type="dxa"/>
            <w:gridSpan w:val="2"/>
            <w:noWrap w:val="0"/>
            <w:vAlign w:val="center"/>
          </w:tcPr>
          <w:p w14:paraId="111D346A">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33F26A1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2164" w:type="dxa"/>
            <w:noWrap w:val="0"/>
            <w:vAlign w:val="center"/>
          </w:tcPr>
          <w:p w14:paraId="6AF4341A">
            <w:pPr>
              <w:spacing w:line="300" w:lineRule="exact"/>
              <w:jc w:val="center"/>
              <w:rPr>
                <w:rFonts w:hint="eastAsia" w:asciiTheme="minorEastAsia" w:hAnsiTheme="minorEastAsia" w:eastAsiaTheme="minorEastAsia" w:cstheme="minorEastAsia"/>
                <w:color w:val="auto"/>
                <w:szCs w:val="21"/>
                <w:highlight w:val="none"/>
              </w:rPr>
            </w:pPr>
          </w:p>
        </w:tc>
      </w:tr>
      <w:tr w14:paraId="074B4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79DF215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2340" w:type="dxa"/>
            <w:gridSpan w:val="3"/>
            <w:noWrap w:val="0"/>
            <w:vAlign w:val="center"/>
          </w:tcPr>
          <w:p w14:paraId="4D2632EC">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2677E68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585" w:type="dxa"/>
            <w:gridSpan w:val="2"/>
            <w:noWrap w:val="0"/>
            <w:vAlign w:val="center"/>
          </w:tcPr>
          <w:p w14:paraId="5ED1D369">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0142270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2164" w:type="dxa"/>
            <w:noWrap w:val="0"/>
            <w:vAlign w:val="center"/>
          </w:tcPr>
          <w:p w14:paraId="6AC978E6">
            <w:pPr>
              <w:spacing w:line="300" w:lineRule="exact"/>
              <w:jc w:val="center"/>
              <w:rPr>
                <w:rFonts w:hint="eastAsia" w:asciiTheme="minorEastAsia" w:hAnsiTheme="minorEastAsia" w:eastAsiaTheme="minorEastAsia" w:cstheme="minorEastAsia"/>
                <w:color w:val="auto"/>
                <w:szCs w:val="21"/>
                <w:highlight w:val="none"/>
              </w:rPr>
            </w:pPr>
          </w:p>
        </w:tc>
      </w:tr>
      <w:tr w14:paraId="2E797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14:paraId="606B3E4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参加工作时间</w:t>
            </w:r>
          </w:p>
        </w:tc>
        <w:tc>
          <w:tcPr>
            <w:tcW w:w="1893" w:type="dxa"/>
            <w:gridSpan w:val="2"/>
            <w:noWrap w:val="0"/>
            <w:vAlign w:val="center"/>
          </w:tcPr>
          <w:p w14:paraId="7D9A28BF">
            <w:pPr>
              <w:spacing w:line="300" w:lineRule="exact"/>
              <w:jc w:val="center"/>
              <w:rPr>
                <w:rFonts w:hint="eastAsia" w:asciiTheme="minorEastAsia" w:hAnsiTheme="minorEastAsia" w:eastAsiaTheme="minorEastAsia" w:cstheme="minorEastAsia"/>
                <w:color w:val="auto"/>
                <w:szCs w:val="21"/>
                <w:highlight w:val="none"/>
              </w:rPr>
            </w:pPr>
          </w:p>
        </w:tc>
        <w:tc>
          <w:tcPr>
            <w:tcW w:w="2693" w:type="dxa"/>
            <w:gridSpan w:val="4"/>
            <w:noWrap w:val="0"/>
            <w:vAlign w:val="center"/>
          </w:tcPr>
          <w:p w14:paraId="331EE23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担任项目经理年限</w:t>
            </w:r>
          </w:p>
        </w:tc>
        <w:tc>
          <w:tcPr>
            <w:tcW w:w="2164" w:type="dxa"/>
            <w:noWrap w:val="0"/>
            <w:vAlign w:val="center"/>
          </w:tcPr>
          <w:p w14:paraId="4CF7B1EE">
            <w:pPr>
              <w:spacing w:line="300" w:lineRule="exact"/>
              <w:jc w:val="center"/>
              <w:rPr>
                <w:rFonts w:hint="eastAsia" w:asciiTheme="minorEastAsia" w:hAnsiTheme="minorEastAsia" w:eastAsiaTheme="minorEastAsia" w:cstheme="minorEastAsia"/>
                <w:color w:val="auto"/>
                <w:szCs w:val="21"/>
                <w:highlight w:val="none"/>
              </w:rPr>
            </w:pPr>
          </w:p>
        </w:tc>
      </w:tr>
      <w:tr w14:paraId="0D24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14:paraId="453F2EF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项目经理注册证书编号</w:t>
            </w:r>
          </w:p>
        </w:tc>
        <w:tc>
          <w:tcPr>
            <w:tcW w:w="6750" w:type="dxa"/>
            <w:gridSpan w:val="7"/>
            <w:noWrap w:val="0"/>
            <w:vAlign w:val="center"/>
          </w:tcPr>
          <w:p w14:paraId="4F32BDFB">
            <w:pPr>
              <w:spacing w:line="300" w:lineRule="exact"/>
              <w:jc w:val="center"/>
              <w:rPr>
                <w:rFonts w:hint="eastAsia" w:asciiTheme="minorEastAsia" w:hAnsiTheme="minorEastAsia" w:eastAsiaTheme="minorEastAsia" w:cstheme="minorEastAsia"/>
                <w:color w:val="auto"/>
                <w:szCs w:val="21"/>
                <w:highlight w:val="none"/>
              </w:rPr>
            </w:pPr>
          </w:p>
        </w:tc>
      </w:tr>
      <w:tr w14:paraId="5549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173" w:type="dxa"/>
            <w:gridSpan w:val="11"/>
            <w:noWrap w:val="0"/>
            <w:vAlign w:val="center"/>
          </w:tcPr>
          <w:p w14:paraId="6994A51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在建和已完工程项目情况</w:t>
            </w:r>
          </w:p>
        </w:tc>
      </w:tr>
      <w:tr w14:paraId="64EF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583257E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建设单位</w:t>
            </w:r>
          </w:p>
        </w:tc>
        <w:tc>
          <w:tcPr>
            <w:tcW w:w="1548" w:type="dxa"/>
            <w:noWrap w:val="0"/>
            <w:vAlign w:val="center"/>
          </w:tcPr>
          <w:p w14:paraId="1E1DA52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547" w:type="dxa"/>
            <w:gridSpan w:val="2"/>
            <w:noWrap w:val="0"/>
            <w:vAlign w:val="center"/>
          </w:tcPr>
          <w:p w14:paraId="4532C88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建设规模</w:t>
            </w:r>
          </w:p>
        </w:tc>
        <w:tc>
          <w:tcPr>
            <w:tcW w:w="1548" w:type="dxa"/>
            <w:gridSpan w:val="2"/>
            <w:noWrap w:val="0"/>
            <w:vAlign w:val="center"/>
          </w:tcPr>
          <w:p w14:paraId="182BF1A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开、竣工日期</w:t>
            </w:r>
          </w:p>
        </w:tc>
        <w:tc>
          <w:tcPr>
            <w:tcW w:w="1547" w:type="dxa"/>
            <w:gridSpan w:val="2"/>
            <w:noWrap w:val="0"/>
            <w:vAlign w:val="center"/>
          </w:tcPr>
          <w:p w14:paraId="4CE6571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在建或已完</w:t>
            </w:r>
          </w:p>
        </w:tc>
        <w:tc>
          <w:tcPr>
            <w:tcW w:w="2436" w:type="dxa"/>
            <w:gridSpan w:val="2"/>
            <w:noWrap w:val="0"/>
            <w:vAlign w:val="center"/>
          </w:tcPr>
          <w:p w14:paraId="6B4B23E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w:t>
            </w:r>
          </w:p>
        </w:tc>
      </w:tr>
      <w:tr w14:paraId="7ED6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42EE1617">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6F0F1B4B">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504D6A62">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3536101F">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F80C251">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6570D25F">
            <w:pPr>
              <w:spacing w:line="300" w:lineRule="exact"/>
              <w:jc w:val="center"/>
              <w:rPr>
                <w:rFonts w:hint="eastAsia" w:asciiTheme="minorEastAsia" w:hAnsiTheme="minorEastAsia" w:eastAsiaTheme="minorEastAsia" w:cstheme="minorEastAsia"/>
                <w:color w:val="auto"/>
                <w:szCs w:val="21"/>
                <w:highlight w:val="none"/>
              </w:rPr>
            </w:pPr>
          </w:p>
        </w:tc>
      </w:tr>
      <w:tr w14:paraId="3A2A6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0485719B">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39622F9C">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3D77B24E">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4BC9E785">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2232639C">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3194C23C">
            <w:pPr>
              <w:spacing w:line="300" w:lineRule="exact"/>
              <w:jc w:val="center"/>
              <w:rPr>
                <w:rFonts w:hint="eastAsia" w:asciiTheme="minorEastAsia" w:hAnsiTheme="minorEastAsia" w:eastAsiaTheme="minorEastAsia" w:cstheme="minorEastAsia"/>
                <w:color w:val="auto"/>
                <w:szCs w:val="21"/>
                <w:highlight w:val="none"/>
              </w:rPr>
            </w:pPr>
          </w:p>
        </w:tc>
      </w:tr>
      <w:tr w14:paraId="2B65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17DCCA67">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5B7D6AF2">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0B6B3FEF">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6EBA47C6">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5A22DAA9">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6AEADFF5">
            <w:pPr>
              <w:spacing w:line="300" w:lineRule="exact"/>
              <w:jc w:val="center"/>
              <w:rPr>
                <w:rFonts w:hint="eastAsia" w:asciiTheme="minorEastAsia" w:hAnsiTheme="minorEastAsia" w:eastAsiaTheme="minorEastAsia" w:cstheme="minorEastAsia"/>
                <w:color w:val="auto"/>
                <w:szCs w:val="21"/>
                <w:highlight w:val="none"/>
              </w:rPr>
            </w:pPr>
          </w:p>
        </w:tc>
      </w:tr>
      <w:tr w14:paraId="059C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0B854682">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0C501C0A">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658B36AF">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57A2CDEA">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730B7974">
            <w:pPr>
              <w:spacing w:line="300" w:lineRule="exact"/>
              <w:jc w:val="center"/>
              <w:rPr>
                <w:rFonts w:hint="eastAsia" w:asciiTheme="minorEastAsia" w:hAnsiTheme="minorEastAsia" w:eastAsiaTheme="minorEastAsia" w:cstheme="minorEastAsia"/>
                <w:color w:val="auto"/>
                <w:szCs w:val="21"/>
                <w:highlight w:val="none"/>
              </w:rPr>
            </w:pPr>
          </w:p>
        </w:tc>
        <w:tc>
          <w:tcPr>
            <w:tcW w:w="2436" w:type="dxa"/>
            <w:gridSpan w:val="2"/>
            <w:noWrap w:val="0"/>
            <w:vAlign w:val="center"/>
          </w:tcPr>
          <w:p w14:paraId="21B511E2">
            <w:pPr>
              <w:spacing w:line="300" w:lineRule="exact"/>
              <w:jc w:val="center"/>
              <w:rPr>
                <w:rFonts w:hint="eastAsia" w:asciiTheme="minorEastAsia" w:hAnsiTheme="minorEastAsia" w:eastAsiaTheme="minorEastAsia" w:cstheme="minorEastAsia"/>
                <w:color w:val="auto"/>
                <w:szCs w:val="21"/>
                <w:highlight w:val="none"/>
              </w:rPr>
            </w:pPr>
          </w:p>
        </w:tc>
      </w:tr>
    </w:tbl>
    <w:p w14:paraId="5464D5D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p w14:paraId="5E858735">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1.附项目经理</w:t>
      </w:r>
      <w:r>
        <w:rPr>
          <w:rFonts w:hint="eastAsia" w:asciiTheme="minorEastAsia" w:hAnsiTheme="minorEastAsia" w:eastAsiaTheme="minorEastAsia" w:cstheme="minorEastAsia"/>
          <w:bCs/>
          <w:color w:val="auto"/>
          <w:kern w:val="2"/>
          <w:sz w:val="21"/>
          <w:szCs w:val="21"/>
          <w:highlight w:val="none"/>
          <w:lang w:val="en-US" w:eastAsia="zh-CN" w:bidi="ar-SA"/>
        </w:rPr>
        <w:t>执业资格证书、</w:t>
      </w:r>
      <w:r>
        <w:rPr>
          <w:rFonts w:hint="eastAsia" w:asciiTheme="minorEastAsia" w:hAnsiTheme="minorEastAsia" w:eastAsiaTheme="minorEastAsia" w:cstheme="minorEastAsia"/>
          <w:color w:val="auto"/>
          <w:szCs w:val="21"/>
          <w:highlight w:val="none"/>
        </w:rPr>
        <w:t>《安全生产考核合格证书（</w:t>
      </w:r>
      <w:r>
        <w:rPr>
          <w:rFonts w:hint="eastAsia" w:asciiTheme="minorEastAsia" w:hAnsiTheme="minorEastAsia" w:eastAsiaTheme="minorEastAsia" w:cstheme="minorEastAsia"/>
          <w:color w:val="auto"/>
          <w:szCs w:val="21"/>
          <w:highlight w:val="none"/>
          <w:lang w:val="en-US" w:eastAsia="zh-CN"/>
        </w:rPr>
        <w:t>B证</w:t>
      </w:r>
      <w:r>
        <w:rPr>
          <w:rFonts w:hint="eastAsia" w:asciiTheme="minorEastAsia" w:hAnsiTheme="minorEastAsia" w:eastAsiaTheme="minorEastAsia" w:cstheme="minorEastAsia"/>
          <w:color w:val="auto"/>
          <w:szCs w:val="21"/>
          <w:highlight w:val="none"/>
        </w:rPr>
        <w:t>）》、职称证</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若有</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、学历证（若有）和已完工程（如有）《中标通知书》、工程合同协议书、工程竣工验收证明材料的扫描件，以及</w:t>
      </w:r>
      <w:r>
        <w:rPr>
          <w:rFonts w:hint="eastAsia" w:asciiTheme="minorEastAsia" w:hAnsiTheme="minorEastAsia" w:eastAsiaTheme="minorEastAsia" w:cstheme="minorEastAsia"/>
          <w:color w:val="auto"/>
          <w:szCs w:val="21"/>
          <w:highlight w:val="none"/>
          <w:lang w:eastAsia="zh-CN"/>
        </w:rPr>
        <w:t>竞标人</w:t>
      </w:r>
      <w:r>
        <w:rPr>
          <w:rFonts w:hint="eastAsia" w:asciiTheme="minorEastAsia" w:hAnsiTheme="minorEastAsia" w:eastAsiaTheme="minorEastAsia" w:cstheme="minorEastAsia"/>
          <w:color w:val="auto"/>
          <w:szCs w:val="21"/>
          <w:highlight w:val="none"/>
        </w:rPr>
        <w:t>认为需要增加的其他证明材料</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扫描件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
          <w:bCs/>
          <w:color w:val="auto"/>
          <w:szCs w:val="21"/>
          <w:highlight w:val="none"/>
        </w:rPr>
        <w:t>以上</w:t>
      </w:r>
      <w:r>
        <w:rPr>
          <w:rFonts w:hint="eastAsia" w:asciiTheme="minorEastAsia" w:hAnsiTheme="minorEastAsia" w:eastAsiaTheme="minorEastAsia" w:cstheme="minorEastAsia"/>
          <w:b/>
          <w:bCs/>
          <w:color w:val="auto"/>
          <w:szCs w:val="21"/>
          <w:highlight w:val="none"/>
          <w:lang w:val="en-US" w:eastAsia="zh-CN"/>
        </w:rPr>
        <w:t>材料是复印件的扫描件的，</w:t>
      </w:r>
      <w:r>
        <w:rPr>
          <w:rFonts w:hint="eastAsia" w:asciiTheme="minorEastAsia" w:hAnsiTheme="minorEastAsia" w:eastAsiaTheme="minorEastAsia" w:cstheme="minorEastAsia"/>
          <w:b/>
          <w:bCs/>
          <w:color w:val="auto"/>
          <w:szCs w:val="21"/>
          <w:highlight w:val="none"/>
        </w:rPr>
        <w:t>均须加盖</w:t>
      </w:r>
      <w:r>
        <w:rPr>
          <w:rFonts w:hint="eastAsia" w:asciiTheme="minorEastAsia" w:hAnsiTheme="minorEastAsia" w:eastAsiaTheme="minorEastAsia" w:cstheme="minorEastAsia"/>
          <w:b/>
          <w:bCs/>
          <w:color w:val="auto"/>
          <w:szCs w:val="21"/>
          <w:highlight w:val="none"/>
          <w:lang w:eastAsia="zh-CN"/>
        </w:rPr>
        <w:t>竞标人</w:t>
      </w:r>
      <w:r>
        <w:rPr>
          <w:rFonts w:hint="eastAsia" w:asciiTheme="minorEastAsia" w:hAnsiTheme="minorEastAsia" w:eastAsiaTheme="minorEastAsia" w:cstheme="minorEastAsia"/>
          <w:b/>
          <w:bCs/>
          <w:color w:val="auto"/>
          <w:szCs w:val="21"/>
          <w:highlight w:val="none"/>
        </w:rPr>
        <w:t>单位公章</w:t>
      </w:r>
      <w:r>
        <w:rPr>
          <w:rFonts w:hint="eastAsia" w:asciiTheme="minorEastAsia" w:hAnsiTheme="minorEastAsia" w:eastAsiaTheme="minorEastAsia" w:cstheme="minorEastAsia"/>
          <w:b/>
          <w:bCs/>
          <w:color w:val="auto"/>
          <w:szCs w:val="21"/>
          <w:highlight w:val="none"/>
          <w:lang w:val="en-US" w:eastAsia="zh-CN"/>
        </w:rPr>
        <w:t>或电子CA签章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p>
    <w:p w14:paraId="26FFD408">
      <w:pPr>
        <w:widowControl/>
        <w:spacing w:line="300" w:lineRule="exact"/>
        <w:ind w:right="-147" w:rightChars="-70"/>
        <w:rPr>
          <w:rFonts w:hint="eastAsia"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color w:val="auto"/>
          <w:szCs w:val="21"/>
          <w:highlight w:val="none"/>
          <w:lang w:val="en-US" w:eastAsia="zh-CN"/>
        </w:rPr>
        <w:br w:type="page"/>
      </w:r>
      <w:r>
        <w:rPr>
          <w:rFonts w:hint="eastAsia" w:asciiTheme="minorEastAsia" w:hAnsiTheme="minorEastAsia" w:eastAsiaTheme="minorEastAsia" w:cstheme="minorEastAsia"/>
          <w:color w:val="auto"/>
          <w:szCs w:val="21"/>
          <w:highlight w:val="none"/>
          <w:lang w:val="en-US" w:eastAsia="zh-CN"/>
        </w:rPr>
        <w:t>附表</w:t>
      </w:r>
      <w:r>
        <w:rPr>
          <w:rFonts w:hint="eastAsia" w:asciiTheme="minorEastAsia" w:hAnsiTheme="minorEastAsia" w:eastAsiaTheme="minorEastAsia" w:cstheme="minorEastAsia"/>
          <w:b w:val="0"/>
          <w:bCs w:val="0"/>
          <w:color w:val="auto"/>
          <w:szCs w:val="21"/>
          <w:highlight w:val="none"/>
        </w:rPr>
        <w:t>②项目技术负责人简历表（格式）</w:t>
      </w:r>
    </w:p>
    <w:p w14:paraId="794049E0">
      <w:pPr>
        <w:pStyle w:val="35"/>
        <w:rPr>
          <w:rFonts w:hint="eastAsia" w:asciiTheme="minorEastAsia" w:hAnsiTheme="minorEastAsia" w:eastAsiaTheme="minorEastAsia" w:cstheme="minorEastAsia"/>
          <w:color w:val="auto"/>
          <w:highlight w:val="none"/>
        </w:rPr>
      </w:pPr>
    </w:p>
    <w:p w14:paraId="35388028">
      <w:pPr>
        <w:spacing w:line="40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项目技术负责人简历表</w:t>
      </w:r>
    </w:p>
    <w:p w14:paraId="0A0B2C2D">
      <w:pPr>
        <w:spacing w:line="400" w:lineRule="exact"/>
        <w:rPr>
          <w:rFonts w:hint="eastAsia" w:asciiTheme="minorEastAsia" w:hAnsiTheme="minorEastAsia" w:eastAsiaTheme="minorEastAsia" w:cstheme="minorEastAsia"/>
          <w:b/>
          <w:color w:val="auto"/>
          <w:sz w:val="28"/>
          <w:szCs w:val="28"/>
          <w:highlight w:val="none"/>
        </w:rPr>
      </w:pPr>
    </w:p>
    <w:p w14:paraId="0874D14E">
      <w:pPr>
        <w:spacing w:line="400" w:lineRule="exact"/>
        <w:rPr>
          <w:rFonts w:hint="eastAsia" w:asciiTheme="minorEastAsia" w:hAnsiTheme="minorEastAsia" w:eastAsiaTheme="minorEastAsia" w:cstheme="minorEastAsia"/>
          <w:color w:val="auto"/>
          <w:szCs w:val="21"/>
          <w:highlight w:val="none"/>
          <w:u w:val="single"/>
        </w:rPr>
      </w:pPr>
      <w:bookmarkStart w:id="1298" w:name="_Toc251052220"/>
      <w:r>
        <w:rPr>
          <w:rFonts w:hint="eastAsia" w:asciiTheme="minorEastAsia" w:hAnsiTheme="minorEastAsia" w:eastAsiaTheme="minorEastAsia" w:cstheme="minorEastAsia"/>
          <w:color w:val="auto"/>
          <w:szCs w:val="21"/>
          <w:highlight w:val="none"/>
        </w:rPr>
        <w:t>采购项目名称：</w:t>
      </w:r>
      <w:r>
        <w:rPr>
          <w:rFonts w:hint="eastAsia" w:asciiTheme="minorEastAsia" w:hAnsiTheme="minorEastAsia" w:eastAsiaTheme="minorEastAsia" w:cstheme="minorEastAsia"/>
          <w:color w:val="auto"/>
          <w:szCs w:val="21"/>
          <w:highlight w:val="none"/>
          <w:u w:val="single"/>
        </w:rPr>
        <w:t xml:space="preserve">                     </w:t>
      </w:r>
    </w:p>
    <w:p w14:paraId="542CA14D">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项目采购编号：</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r>
        <w:rPr>
          <w:rFonts w:hint="eastAsia" w:asciiTheme="minorEastAsia" w:hAnsiTheme="minorEastAsia" w:eastAsiaTheme="minorEastAsia" w:cstheme="minorEastAsia"/>
          <w:color w:val="auto"/>
          <w:highlight w:val="none"/>
        </w:rPr>
        <w:tab/>
      </w:r>
      <w:bookmarkEnd w:id="1298"/>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2305"/>
      </w:tblGrid>
      <w:tr w14:paraId="25322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76DCDEB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姓名</w:t>
            </w:r>
          </w:p>
        </w:tc>
        <w:tc>
          <w:tcPr>
            <w:tcW w:w="2340" w:type="dxa"/>
            <w:gridSpan w:val="3"/>
            <w:noWrap w:val="0"/>
            <w:vAlign w:val="center"/>
          </w:tcPr>
          <w:p w14:paraId="5218EC7A">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6CED97B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性别</w:t>
            </w:r>
          </w:p>
        </w:tc>
        <w:tc>
          <w:tcPr>
            <w:tcW w:w="1585" w:type="dxa"/>
            <w:gridSpan w:val="2"/>
            <w:noWrap w:val="0"/>
            <w:vAlign w:val="center"/>
          </w:tcPr>
          <w:p w14:paraId="178D8C62">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0CB66E3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年龄</w:t>
            </w:r>
          </w:p>
        </w:tc>
        <w:tc>
          <w:tcPr>
            <w:tcW w:w="2305" w:type="dxa"/>
            <w:noWrap w:val="0"/>
            <w:vAlign w:val="center"/>
          </w:tcPr>
          <w:p w14:paraId="78DB9A26">
            <w:pPr>
              <w:spacing w:line="300" w:lineRule="exact"/>
              <w:jc w:val="center"/>
              <w:rPr>
                <w:rFonts w:hint="eastAsia" w:asciiTheme="minorEastAsia" w:hAnsiTheme="minorEastAsia" w:eastAsiaTheme="minorEastAsia" w:cstheme="minorEastAsia"/>
                <w:color w:val="auto"/>
                <w:szCs w:val="21"/>
                <w:highlight w:val="none"/>
              </w:rPr>
            </w:pPr>
          </w:p>
        </w:tc>
      </w:tr>
      <w:tr w14:paraId="3180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3" w:type="dxa"/>
            <w:noWrap w:val="0"/>
            <w:vAlign w:val="center"/>
          </w:tcPr>
          <w:p w14:paraId="23DB933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p>
        </w:tc>
        <w:tc>
          <w:tcPr>
            <w:tcW w:w="2340" w:type="dxa"/>
            <w:gridSpan w:val="3"/>
            <w:noWrap w:val="0"/>
            <w:vAlign w:val="center"/>
          </w:tcPr>
          <w:p w14:paraId="05694194">
            <w:pPr>
              <w:spacing w:line="300" w:lineRule="exact"/>
              <w:jc w:val="center"/>
              <w:rPr>
                <w:rFonts w:hint="eastAsia" w:asciiTheme="minorEastAsia" w:hAnsiTheme="minorEastAsia" w:eastAsiaTheme="minorEastAsia" w:cstheme="minorEastAsia"/>
                <w:color w:val="auto"/>
                <w:szCs w:val="21"/>
                <w:highlight w:val="none"/>
              </w:rPr>
            </w:pPr>
          </w:p>
        </w:tc>
        <w:tc>
          <w:tcPr>
            <w:tcW w:w="1893" w:type="dxa"/>
            <w:gridSpan w:val="2"/>
            <w:noWrap w:val="0"/>
            <w:vAlign w:val="center"/>
          </w:tcPr>
          <w:p w14:paraId="7804A76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职称</w:t>
            </w:r>
          </w:p>
        </w:tc>
        <w:tc>
          <w:tcPr>
            <w:tcW w:w="1585" w:type="dxa"/>
            <w:gridSpan w:val="2"/>
            <w:noWrap w:val="0"/>
            <w:vAlign w:val="center"/>
          </w:tcPr>
          <w:p w14:paraId="584D53C7">
            <w:pPr>
              <w:spacing w:line="300" w:lineRule="exact"/>
              <w:jc w:val="center"/>
              <w:rPr>
                <w:rFonts w:hint="eastAsia" w:asciiTheme="minorEastAsia" w:hAnsiTheme="minorEastAsia" w:eastAsiaTheme="minorEastAsia" w:cstheme="minorEastAsia"/>
                <w:color w:val="auto"/>
                <w:szCs w:val="21"/>
                <w:highlight w:val="none"/>
              </w:rPr>
            </w:pPr>
          </w:p>
        </w:tc>
        <w:tc>
          <w:tcPr>
            <w:tcW w:w="1108" w:type="dxa"/>
            <w:gridSpan w:val="2"/>
            <w:noWrap w:val="0"/>
            <w:vAlign w:val="center"/>
          </w:tcPr>
          <w:p w14:paraId="36361D3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学历</w:t>
            </w:r>
          </w:p>
        </w:tc>
        <w:tc>
          <w:tcPr>
            <w:tcW w:w="2305" w:type="dxa"/>
            <w:noWrap w:val="0"/>
            <w:vAlign w:val="center"/>
          </w:tcPr>
          <w:p w14:paraId="645F46F4">
            <w:pPr>
              <w:spacing w:line="300" w:lineRule="exact"/>
              <w:jc w:val="center"/>
              <w:rPr>
                <w:rFonts w:hint="eastAsia" w:asciiTheme="minorEastAsia" w:hAnsiTheme="minorEastAsia" w:eastAsiaTheme="minorEastAsia" w:cstheme="minorEastAsia"/>
                <w:color w:val="auto"/>
                <w:szCs w:val="21"/>
                <w:highlight w:val="none"/>
              </w:rPr>
            </w:pPr>
          </w:p>
        </w:tc>
      </w:tr>
      <w:tr w14:paraId="73C8E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423" w:type="dxa"/>
            <w:gridSpan w:val="4"/>
            <w:noWrap w:val="0"/>
            <w:vAlign w:val="center"/>
          </w:tcPr>
          <w:p w14:paraId="190C901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参加工作时间</w:t>
            </w:r>
          </w:p>
        </w:tc>
        <w:tc>
          <w:tcPr>
            <w:tcW w:w="1893" w:type="dxa"/>
            <w:gridSpan w:val="2"/>
            <w:noWrap w:val="0"/>
            <w:vAlign w:val="center"/>
          </w:tcPr>
          <w:p w14:paraId="2D85CFED">
            <w:pPr>
              <w:spacing w:line="300" w:lineRule="exact"/>
              <w:jc w:val="center"/>
              <w:rPr>
                <w:rFonts w:hint="eastAsia" w:asciiTheme="minorEastAsia" w:hAnsiTheme="minorEastAsia" w:eastAsiaTheme="minorEastAsia" w:cstheme="minorEastAsia"/>
                <w:color w:val="auto"/>
                <w:szCs w:val="21"/>
                <w:highlight w:val="none"/>
              </w:rPr>
            </w:pPr>
          </w:p>
        </w:tc>
        <w:tc>
          <w:tcPr>
            <w:tcW w:w="2693" w:type="dxa"/>
            <w:gridSpan w:val="4"/>
            <w:noWrap w:val="0"/>
            <w:vAlign w:val="center"/>
          </w:tcPr>
          <w:p w14:paraId="7191B02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担任技术负责人年限</w:t>
            </w:r>
          </w:p>
        </w:tc>
        <w:tc>
          <w:tcPr>
            <w:tcW w:w="2305" w:type="dxa"/>
            <w:noWrap w:val="0"/>
            <w:vAlign w:val="center"/>
          </w:tcPr>
          <w:p w14:paraId="096C7FA5">
            <w:pPr>
              <w:spacing w:line="300" w:lineRule="exact"/>
              <w:jc w:val="center"/>
              <w:rPr>
                <w:rFonts w:hint="eastAsia" w:asciiTheme="minorEastAsia" w:hAnsiTheme="minorEastAsia" w:eastAsiaTheme="minorEastAsia" w:cstheme="minorEastAsia"/>
                <w:color w:val="auto"/>
                <w:szCs w:val="21"/>
                <w:highlight w:val="none"/>
              </w:rPr>
            </w:pPr>
          </w:p>
        </w:tc>
      </w:tr>
      <w:tr w14:paraId="41921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314" w:type="dxa"/>
            <w:gridSpan w:val="11"/>
            <w:noWrap w:val="0"/>
            <w:vAlign w:val="center"/>
          </w:tcPr>
          <w:p w14:paraId="4D8EDA0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在建和已完工程项目情况</w:t>
            </w:r>
          </w:p>
        </w:tc>
      </w:tr>
      <w:tr w14:paraId="417B1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7753022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建设单位</w:t>
            </w:r>
          </w:p>
        </w:tc>
        <w:tc>
          <w:tcPr>
            <w:tcW w:w="1548" w:type="dxa"/>
            <w:noWrap w:val="0"/>
            <w:vAlign w:val="center"/>
          </w:tcPr>
          <w:p w14:paraId="0DE25A0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项目名称</w:t>
            </w:r>
          </w:p>
        </w:tc>
        <w:tc>
          <w:tcPr>
            <w:tcW w:w="1547" w:type="dxa"/>
            <w:gridSpan w:val="2"/>
            <w:noWrap w:val="0"/>
            <w:vAlign w:val="center"/>
          </w:tcPr>
          <w:p w14:paraId="7E3CAE6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建设规模</w:t>
            </w:r>
          </w:p>
        </w:tc>
        <w:tc>
          <w:tcPr>
            <w:tcW w:w="1548" w:type="dxa"/>
            <w:gridSpan w:val="2"/>
            <w:noWrap w:val="0"/>
            <w:vAlign w:val="center"/>
          </w:tcPr>
          <w:p w14:paraId="21D71AA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开、竣工日期</w:t>
            </w:r>
          </w:p>
        </w:tc>
        <w:tc>
          <w:tcPr>
            <w:tcW w:w="1547" w:type="dxa"/>
            <w:gridSpan w:val="2"/>
            <w:noWrap w:val="0"/>
            <w:vAlign w:val="center"/>
          </w:tcPr>
          <w:p w14:paraId="70D7235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在建或已完</w:t>
            </w:r>
          </w:p>
        </w:tc>
        <w:tc>
          <w:tcPr>
            <w:tcW w:w="2577" w:type="dxa"/>
            <w:gridSpan w:val="2"/>
            <w:noWrap w:val="0"/>
            <w:vAlign w:val="center"/>
          </w:tcPr>
          <w:p w14:paraId="2C49CB4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w:t>
            </w:r>
          </w:p>
        </w:tc>
      </w:tr>
      <w:tr w14:paraId="4F37E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6D87AAD3">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727D63D4">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51DADE98">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12093A59">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4CF506DA">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028704F1">
            <w:pPr>
              <w:spacing w:line="300" w:lineRule="exact"/>
              <w:jc w:val="center"/>
              <w:rPr>
                <w:rFonts w:hint="eastAsia" w:asciiTheme="minorEastAsia" w:hAnsiTheme="minorEastAsia" w:eastAsiaTheme="minorEastAsia" w:cstheme="minorEastAsia"/>
                <w:color w:val="auto"/>
                <w:szCs w:val="21"/>
                <w:highlight w:val="none"/>
              </w:rPr>
            </w:pPr>
          </w:p>
        </w:tc>
      </w:tr>
      <w:tr w14:paraId="5562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76575E0E">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4CD838B1">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25053F36">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0B1755DE">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00AA99EE">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3681D609">
            <w:pPr>
              <w:spacing w:line="300" w:lineRule="exact"/>
              <w:jc w:val="center"/>
              <w:rPr>
                <w:rFonts w:hint="eastAsia" w:asciiTheme="minorEastAsia" w:hAnsiTheme="minorEastAsia" w:eastAsiaTheme="minorEastAsia" w:cstheme="minorEastAsia"/>
                <w:color w:val="auto"/>
                <w:szCs w:val="21"/>
                <w:highlight w:val="none"/>
              </w:rPr>
            </w:pPr>
          </w:p>
        </w:tc>
      </w:tr>
      <w:tr w14:paraId="07AF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3008BD8A">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1A31C398">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D635996">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7F3433E1">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8CFE41C">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781B2C1B">
            <w:pPr>
              <w:spacing w:line="300" w:lineRule="exact"/>
              <w:jc w:val="center"/>
              <w:rPr>
                <w:rFonts w:hint="eastAsia" w:asciiTheme="minorEastAsia" w:hAnsiTheme="minorEastAsia" w:eastAsiaTheme="minorEastAsia" w:cstheme="minorEastAsia"/>
                <w:color w:val="auto"/>
                <w:szCs w:val="21"/>
                <w:highlight w:val="none"/>
              </w:rPr>
            </w:pPr>
          </w:p>
        </w:tc>
      </w:tr>
      <w:tr w14:paraId="22AE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7" w:type="dxa"/>
            <w:gridSpan w:val="2"/>
            <w:noWrap w:val="0"/>
            <w:vAlign w:val="center"/>
          </w:tcPr>
          <w:p w14:paraId="2A520D35">
            <w:pPr>
              <w:spacing w:line="300" w:lineRule="exact"/>
              <w:jc w:val="center"/>
              <w:rPr>
                <w:rFonts w:hint="eastAsia" w:asciiTheme="minorEastAsia" w:hAnsiTheme="minorEastAsia" w:eastAsiaTheme="minorEastAsia" w:cstheme="minorEastAsia"/>
                <w:color w:val="auto"/>
                <w:szCs w:val="21"/>
                <w:highlight w:val="none"/>
              </w:rPr>
            </w:pPr>
          </w:p>
        </w:tc>
        <w:tc>
          <w:tcPr>
            <w:tcW w:w="1548" w:type="dxa"/>
            <w:noWrap w:val="0"/>
            <w:vAlign w:val="center"/>
          </w:tcPr>
          <w:p w14:paraId="48F66E26">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13552EB3">
            <w:pPr>
              <w:spacing w:line="300" w:lineRule="exact"/>
              <w:jc w:val="center"/>
              <w:rPr>
                <w:rFonts w:hint="eastAsia" w:asciiTheme="minorEastAsia" w:hAnsiTheme="minorEastAsia" w:eastAsiaTheme="minorEastAsia" w:cstheme="minorEastAsia"/>
                <w:color w:val="auto"/>
                <w:szCs w:val="21"/>
                <w:highlight w:val="none"/>
              </w:rPr>
            </w:pPr>
          </w:p>
        </w:tc>
        <w:tc>
          <w:tcPr>
            <w:tcW w:w="1548" w:type="dxa"/>
            <w:gridSpan w:val="2"/>
            <w:noWrap w:val="0"/>
            <w:vAlign w:val="center"/>
          </w:tcPr>
          <w:p w14:paraId="1243F562">
            <w:pPr>
              <w:spacing w:line="300" w:lineRule="exact"/>
              <w:jc w:val="center"/>
              <w:rPr>
                <w:rFonts w:hint="eastAsia" w:asciiTheme="minorEastAsia" w:hAnsiTheme="minorEastAsia" w:eastAsiaTheme="minorEastAsia" w:cstheme="minorEastAsia"/>
                <w:color w:val="auto"/>
                <w:szCs w:val="21"/>
                <w:highlight w:val="none"/>
              </w:rPr>
            </w:pPr>
          </w:p>
        </w:tc>
        <w:tc>
          <w:tcPr>
            <w:tcW w:w="1547" w:type="dxa"/>
            <w:gridSpan w:val="2"/>
            <w:noWrap w:val="0"/>
            <w:vAlign w:val="center"/>
          </w:tcPr>
          <w:p w14:paraId="7009102A">
            <w:pPr>
              <w:spacing w:line="300" w:lineRule="exact"/>
              <w:jc w:val="center"/>
              <w:rPr>
                <w:rFonts w:hint="eastAsia" w:asciiTheme="minorEastAsia" w:hAnsiTheme="minorEastAsia" w:eastAsiaTheme="minorEastAsia" w:cstheme="minorEastAsia"/>
                <w:color w:val="auto"/>
                <w:szCs w:val="21"/>
                <w:highlight w:val="none"/>
              </w:rPr>
            </w:pPr>
          </w:p>
        </w:tc>
        <w:tc>
          <w:tcPr>
            <w:tcW w:w="2577" w:type="dxa"/>
            <w:gridSpan w:val="2"/>
            <w:noWrap w:val="0"/>
            <w:vAlign w:val="center"/>
          </w:tcPr>
          <w:p w14:paraId="66CA0359">
            <w:pPr>
              <w:spacing w:line="300" w:lineRule="exact"/>
              <w:jc w:val="center"/>
              <w:rPr>
                <w:rFonts w:hint="eastAsia" w:asciiTheme="minorEastAsia" w:hAnsiTheme="minorEastAsia" w:eastAsiaTheme="minorEastAsia" w:cstheme="minorEastAsia"/>
                <w:color w:val="auto"/>
                <w:szCs w:val="21"/>
                <w:highlight w:val="none"/>
              </w:rPr>
            </w:pPr>
          </w:p>
        </w:tc>
      </w:tr>
    </w:tbl>
    <w:p w14:paraId="4E20690F">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p w14:paraId="3456653B">
      <w:pPr>
        <w:spacing w:line="40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1.附技术负责人的职称证、学历证（若有）和已完工程（如有）《中标通知书》、工程合同协议书、工程竣工验收证明材料的扫描件，以及</w:t>
      </w:r>
      <w:r>
        <w:rPr>
          <w:rFonts w:hint="eastAsia" w:asciiTheme="minorEastAsia" w:hAnsiTheme="minorEastAsia" w:eastAsiaTheme="minorEastAsia" w:cstheme="minorEastAsia"/>
          <w:color w:val="auto"/>
          <w:szCs w:val="21"/>
          <w:highlight w:val="none"/>
          <w:lang w:eastAsia="zh-CN"/>
        </w:rPr>
        <w:t>竞标人</w:t>
      </w:r>
      <w:r>
        <w:rPr>
          <w:rFonts w:hint="eastAsia" w:asciiTheme="minorEastAsia" w:hAnsiTheme="minorEastAsia" w:eastAsiaTheme="minorEastAsia" w:cstheme="minorEastAsia"/>
          <w:color w:val="auto"/>
          <w:szCs w:val="21"/>
          <w:highlight w:val="none"/>
        </w:rPr>
        <w:t>认为需要增加的其他证明材料</w:t>
      </w:r>
      <w:r>
        <w:rPr>
          <w:rFonts w:hint="eastAsia" w:asciiTheme="minorEastAsia" w:hAnsiTheme="minorEastAsia" w:eastAsiaTheme="minorEastAsia" w:cstheme="minorEastAsia"/>
          <w:color w:val="auto"/>
          <w:szCs w:val="21"/>
          <w:highlight w:val="none"/>
          <w:lang w:val="en-US" w:eastAsia="zh-CN"/>
        </w:rPr>
        <w:t>的</w:t>
      </w:r>
      <w:r>
        <w:rPr>
          <w:rFonts w:hint="eastAsia" w:asciiTheme="minorEastAsia" w:hAnsiTheme="minorEastAsia" w:eastAsiaTheme="minorEastAsia" w:cstheme="minorEastAsia"/>
          <w:color w:val="auto"/>
          <w:szCs w:val="21"/>
          <w:highlight w:val="none"/>
        </w:rPr>
        <w:t>扫描件，</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b/>
          <w:bCs/>
          <w:color w:val="auto"/>
          <w:szCs w:val="21"/>
          <w:highlight w:val="none"/>
        </w:rPr>
        <w:t>以上</w:t>
      </w:r>
      <w:r>
        <w:rPr>
          <w:rFonts w:hint="eastAsia" w:asciiTheme="minorEastAsia" w:hAnsiTheme="minorEastAsia" w:eastAsiaTheme="minorEastAsia" w:cstheme="minorEastAsia"/>
          <w:b/>
          <w:bCs/>
          <w:color w:val="auto"/>
          <w:szCs w:val="21"/>
          <w:highlight w:val="none"/>
          <w:lang w:val="en-US" w:eastAsia="zh-CN"/>
        </w:rPr>
        <w:t>材料是复印件的扫描件的，</w:t>
      </w:r>
      <w:r>
        <w:rPr>
          <w:rFonts w:hint="eastAsia" w:asciiTheme="minorEastAsia" w:hAnsiTheme="minorEastAsia" w:eastAsiaTheme="minorEastAsia" w:cstheme="minorEastAsia"/>
          <w:b/>
          <w:bCs/>
          <w:color w:val="auto"/>
          <w:szCs w:val="21"/>
          <w:highlight w:val="none"/>
        </w:rPr>
        <w:t>均须加盖</w:t>
      </w:r>
      <w:r>
        <w:rPr>
          <w:rFonts w:hint="eastAsia" w:asciiTheme="minorEastAsia" w:hAnsiTheme="minorEastAsia" w:eastAsiaTheme="minorEastAsia" w:cstheme="minorEastAsia"/>
          <w:b/>
          <w:bCs/>
          <w:color w:val="auto"/>
          <w:szCs w:val="21"/>
          <w:highlight w:val="none"/>
          <w:lang w:eastAsia="zh-CN"/>
        </w:rPr>
        <w:t>竞标人</w:t>
      </w:r>
      <w:r>
        <w:rPr>
          <w:rFonts w:hint="eastAsia" w:asciiTheme="minorEastAsia" w:hAnsiTheme="minorEastAsia" w:eastAsiaTheme="minorEastAsia" w:cstheme="minorEastAsia"/>
          <w:b/>
          <w:bCs/>
          <w:color w:val="auto"/>
          <w:szCs w:val="21"/>
          <w:highlight w:val="none"/>
        </w:rPr>
        <w:t>单位公章</w:t>
      </w:r>
      <w:r>
        <w:rPr>
          <w:rFonts w:hint="eastAsia" w:asciiTheme="minorEastAsia" w:hAnsiTheme="minorEastAsia" w:eastAsiaTheme="minorEastAsia" w:cstheme="minorEastAsia"/>
          <w:b/>
          <w:bCs/>
          <w:color w:val="auto"/>
          <w:szCs w:val="21"/>
          <w:highlight w:val="none"/>
          <w:lang w:val="en-US" w:eastAsia="zh-CN"/>
        </w:rPr>
        <w:t>或电子CA签章</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w:t>
      </w:r>
    </w:p>
    <w:p w14:paraId="18502DFF">
      <w:pPr>
        <w:spacing w:line="400" w:lineRule="exact"/>
        <w:ind w:firstLine="420" w:firstLineChars="200"/>
        <w:rPr>
          <w:rFonts w:hint="eastAsia" w:asciiTheme="minorEastAsia" w:hAnsiTheme="minorEastAsia" w:eastAsiaTheme="minorEastAsia" w:cstheme="minorEastAsia"/>
          <w:color w:val="auto"/>
          <w:szCs w:val="21"/>
          <w:highlight w:val="none"/>
        </w:rPr>
      </w:pPr>
    </w:p>
    <w:p w14:paraId="6C30204D">
      <w:pPr>
        <w:spacing w:line="400" w:lineRule="exact"/>
        <w:rPr>
          <w:rFonts w:hint="eastAsia" w:asciiTheme="minorEastAsia" w:hAnsiTheme="minorEastAsia" w:eastAsiaTheme="minorEastAsia" w:cstheme="minorEastAsia"/>
          <w:color w:val="auto"/>
          <w:szCs w:val="21"/>
          <w:highlight w:val="none"/>
        </w:rPr>
      </w:pPr>
    </w:p>
    <w:p w14:paraId="307A69BF">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14:paraId="4BCC4639">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14:paraId="53EA45FD">
      <w:pPr>
        <w:widowControl/>
        <w:spacing w:line="300" w:lineRule="exact"/>
        <w:ind w:right="-147" w:rightChars="-70"/>
        <w:jc w:val="center"/>
        <w:rPr>
          <w:rFonts w:hint="eastAsia" w:asciiTheme="minorEastAsia" w:hAnsiTheme="minorEastAsia" w:eastAsiaTheme="minorEastAsia" w:cstheme="minorEastAsia"/>
          <w:color w:val="auto"/>
          <w:szCs w:val="21"/>
          <w:highlight w:val="none"/>
        </w:rPr>
      </w:pPr>
    </w:p>
    <w:p w14:paraId="5C6ECD17">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br w:type="page"/>
      </w:r>
    </w:p>
    <w:p w14:paraId="4DA6B4CB">
      <w:pPr>
        <w:widowControl/>
        <w:numPr>
          <w:ilvl w:val="0"/>
          <w:numId w:val="0"/>
        </w:numPr>
        <w:spacing w:line="300" w:lineRule="exact"/>
        <w:ind w:right="-147" w:rightChars="-70"/>
        <w:jc w:val="center"/>
        <w:rPr>
          <w:rFonts w:hint="eastAsia" w:asciiTheme="minorEastAsia" w:hAnsiTheme="minorEastAsia" w:eastAsiaTheme="minorEastAsia" w:cstheme="minorEastAsia"/>
          <w:b/>
          <w:color w:val="auto"/>
          <w:sz w:val="28"/>
          <w:szCs w:val="28"/>
          <w:highlight w:val="none"/>
          <w:lang w:val="en-US" w:eastAsia="zh-CN"/>
        </w:rPr>
      </w:pPr>
    </w:p>
    <w:p w14:paraId="68E293A3">
      <w:pPr>
        <w:widowControl/>
        <w:numPr>
          <w:ilvl w:val="0"/>
          <w:numId w:val="0"/>
        </w:numPr>
        <w:spacing w:line="300" w:lineRule="exact"/>
        <w:ind w:right="-147" w:rightChars="-70"/>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二、</w:t>
      </w:r>
      <w:r>
        <w:rPr>
          <w:rFonts w:hint="eastAsia" w:asciiTheme="minorEastAsia" w:hAnsiTheme="minorEastAsia" w:eastAsiaTheme="minorEastAsia" w:cstheme="minorEastAsia"/>
          <w:b/>
          <w:color w:val="auto"/>
          <w:sz w:val="28"/>
          <w:szCs w:val="28"/>
          <w:highlight w:val="none"/>
        </w:rPr>
        <w:t>建设工程项目管理承诺书</w:t>
      </w:r>
    </w:p>
    <w:p w14:paraId="381672F4">
      <w:pPr>
        <w:pStyle w:val="38"/>
        <w:rPr>
          <w:rFonts w:hint="eastAsia" w:asciiTheme="minorEastAsia" w:hAnsiTheme="minorEastAsia" w:eastAsiaTheme="minorEastAsia" w:cstheme="minorEastAsia"/>
          <w:color w:val="auto"/>
          <w:highlight w:val="none"/>
        </w:rPr>
      </w:pPr>
    </w:p>
    <w:p w14:paraId="7A5232A7">
      <w:pPr>
        <w:pStyle w:val="38"/>
        <w:jc w:val="center"/>
        <w:rPr>
          <w:rFonts w:hint="eastAsia" w:asciiTheme="minorEastAsia" w:hAnsiTheme="minorEastAsia" w:eastAsiaTheme="minorEastAsia" w:cstheme="minorEastAsia"/>
          <w:b w:val="0"/>
          <w:bCs w:val="0"/>
          <w:color w:val="auto"/>
          <w:kern w:val="2"/>
          <w:sz w:val="28"/>
          <w:szCs w:val="28"/>
          <w:highlight w:val="none"/>
          <w:lang w:val="en-US" w:eastAsia="zh-CN" w:bidi="ar-SA"/>
        </w:rPr>
      </w:pPr>
      <w:r>
        <w:rPr>
          <w:rFonts w:hint="eastAsia" w:asciiTheme="minorEastAsia" w:hAnsiTheme="minorEastAsia" w:eastAsiaTheme="minorEastAsia" w:cstheme="minorEastAsia"/>
          <w:b w:val="0"/>
          <w:bCs w:val="0"/>
          <w:color w:val="auto"/>
          <w:kern w:val="2"/>
          <w:sz w:val="28"/>
          <w:szCs w:val="28"/>
          <w:highlight w:val="none"/>
          <w:lang w:val="en-US" w:eastAsia="zh-CN" w:bidi="ar-SA"/>
        </w:rPr>
        <w:t>（格式自拟）</w:t>
      </w:r>
    </w:p>
    <w:p w14:paraId="5E2A1094">
      <w:pPr>
        <w:pStyle w:val="38"/>
        <w:jc w:val="right"/>
        <w:rPr>
          <w:rFonts w:hint="eastAsia" w:asciiTheme="minorEastAsia" w:hAnsiTheme="minorEastAsia" w:eastAsiaTheme="minorEastAsia" w:cstheme="minorEastAsia"/>
          <w:color w:val="auto"/>
          <w:szCs w:val="21"/>
          <w:highlight w:val="none"/>
        </w:rPr>
      </w:pPr>
    </w:p>
    <w:p w14:paraId="6D04F4F4">
      <w:pPr>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br w:type="page"/>
      </w:r>
    </w:p>
    <w:p w14:paraId="3C8F9BF8">
      <w:pPr>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lang w:val="en-US" w:eastAsia="zh-CN"/>
        </w:rPr>
        <w:t>三、</w:t>
      </w:r>
      <w:r>
        <w:rPr>
          <w:rFonts w:hint="eastAsia" w:asciiTheme="minorEastAsia" w:hAnsiTheme="minorEastAsia" w:eastAsiaTheme="minorEastAsia" w:cstheme="minorEastAsia"/>
          <w:b/>
          <w:color w:val="auto"/>
          <w:sz w:val="28"/>
          <w:szCs w:val="28"/>
          <w:highlight w:val="none"/>
        </w:rPr>
        <w:t>施工组织设计</w:t>
      </w:r>
    </w:p>
    <w:p w14:paraId="4DDAEA1D">
      <w:pPr>
        <w:pStyle w:val="35"/>
        <w:numPr>
          <w:ilvl w:val="0"/>
          <w:numId w:val="0"/>
        </w:numPr>
        <w:ind w:leftChars="200"/>
        <w:rPr>
          <w:rFonts w:hint="eastAsia" w:asciiTheme="minorEastAsia" w:hAnsiTheme="minorEastAsia" w:eastAsiaTheme="minorEastAsia" w:cstheme="minorEastAsia"/>
          <w:color w:val="auto"/>
          <w:highlight w:val="none"/>
        </w:rPr>
      </w:pPr>
    </w:p>
    <w:p w14:paraId="2C4D1DDC">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7B820DDD">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2.施工组织设计除采用文字表述外可附下列图表，图表及格式要求附后。</w:t>
      </w:r>
    </w:p>
    <w:p w14:paraId="79E02058">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  拟投入本工程的主要施工设备表</w:t>
      </w:r>
    </w:p>
    <w:p w14:paraId="4D217A9C">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  拟配备本工程的试验和检测仪器设备表</w:t>
      </w:r>
    </w:p>
    <w:p w14:paraId="4B136582">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附表三  劳动力计划表</w:t>
      </w:r>
    </w:p>
    <w:p w14:paraId="278100F1">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  计划开、竣工日期和施工进度网络图</w:t>
      </w:r>
    </w:p>
    <w:p w14:paraId="77C6E4F5">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  施工总平面图</w:t>
      </w:r>
    </w:p>
    <w:p w14:paraId="22CA384A">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  临时用地表</w:t>
      </w:r>
    </w:p>
    <w:p w14:paraId="30ED2632">
      <w:pPr>
        <w:spacing w:line="400" w:lineRule="exact"/>
        <w:rPr>
          <w:rFonts w:hint="eastAsia" w:asciiTheme="minorEastAsia" w:hAnsiTheme="minorEastAsia" w:eastAsiaTheme="minorEastAsia" w:cstheme="minorEastAsia"/>
          <w:color w:val="auto"/>
          <w:highlight w:val="none"/>
        </w:rPr>
      </w:pPr>
    </w:p>
    <w:p w14:paraId="62CC44AF">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附表一：拟投入本工程的主要施工设备表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061"/>
        <w:gridCol w:w="1061"/>
        <w:gridCol w:w="1062"/>
        <w:gridCol w:w="1061"/>
        <w:gridCol w:w="1061"/>
        <w:gridCol w:w="1062"/>
        <w:gridCol w:w="1061"/>
        <w:gridCol w:w="1061"/>
        <w:gridCol w:w="1062"/>
      </w:tblGrid>
      <w:tr w14:paraId="20661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14:paraId="0CDF86D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061" w:type="dxa"/>
            <w:noWrap w:val="0"/>
            <w:vAlign w:val="center"/>
          </w:tcPr>
          <w:p w14:paraId="413FEF0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设备名称</w:t>
            </w:r>
          </w:p>
        </w:tc>
        <w:tc>
          <w:tcPr>
            <w:tcW w:w="1061" w:type="dxa"/>
            <w:noWrap w:val="0"/>
            <w:vAlign w:val="center"/>
          </w:tcPr>
          <w:p w14:paraId="2870D73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型号规格</w:t>
            </w:r>
          </w:p>
        </w:tc>
        <w:tc>
          <w:tcPr>
            <w:tcW w:w="1062" w:type="dxa"/>
            <w:noWrap w:val="0"/>
            <w:vAlign w:val="center"/>
          </w:tcPr>
          <w:p w14:paraId="075E0F49">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061" w:type="dxa"/>
            <w:noWrap w:val="0"/>
            <w:vAlign w:val="center"/>
          </w:tcPr>
          <w:p w14:paraId="4D1EBF2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国别产地</w:t>
            </w:r>
          </w:p>
        </w:tc>
        <w:tc>
          <w:tcPr>
            <w:tcW w:w="1061" w:type="dxa"/>
            <w:noWrap w:val="0"/>
            <w:vAlign w:val="center"/>
          </w:tcPr>
          <w:p w14:paraId="4FBC066B">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制造年份</w:t>
            </w:r>
          </w:p>
        </w:tc>
        <w:tc>
          <w:tcPr>
            <w:tcW w:w="1062" w:type="dxa"/>
            <w:noWrap w:val="0"/>
            <w:vAlign w:val="center"/>
          </w:tcPr>
          <w:p w14:paraId="6C2BA5E4">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额定功率</w:t>
            </w:r>
          </w:p>
          <w:p w14:paraId="4B93952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KW ）</w:t>
            </w:r>
          </w:p>
        </w:tc>
        <w:tc>
          <w:tcPr>
            <w:tcW w:w="1061" w:type="dxa"/>
            <w:noWrap w:val="0"/>
            <w:vAlign w:val="center"/>
          </w:tcPr>
          <w:p w14:paraId="26ACB3BC">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生产能力</w:t>
            </w:r>
          </w:p>
        </w:tc>
        <w:tc>
          <w:tcPr>
            <w:tcW w:w="1061" w:type="dxa"/>
            <w:noWrap w:val="0"/>
            <w:vAlign w:val="center"/>
          </w:tcPr>
          <w:p w14:paraId="60546788">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用于施工部位</w:t>
            </w:r>
          </w:p>
        </w:tc>
        <w:tc>
          <w:tcPr>
            <w:tcW w:w="1062" w:type="dxa"/>
            <w:noWrap w:val="0"/>
            <w:vAlign w:val="center"/>
          </w:tcPr>
          <w:p w14:paraId="7F5BA1FF">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167E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14:paraId="2C522706">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061" w:type="dxa"/>
            <w:noWrap w:val="0"/>
            <w:vAlign w:val="center"/>
          </w:tcPr>
          <w:p w14:paraId="3CBCF918">
            <w:pPr>
              <w:spacing w:line="300" w:lineRule="exact"/>
              <w:ind w:firstLine="420" w:firstLineChars="200"/>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66CEA174">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44B375EE">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70EE2C2E">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1C7FA386">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43391E1F">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37CD1096">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5DA0DC74">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03715389">
            <w:pPr>
              <w:spacing w:line="300" w:lineRule="exact"/>
              <w:jc w:val="center"/>
              <w:rPr>
                <w:rFonts w:hint="eastAsia" w:asciiTheme="minorEastAsia" w:hAnsiTheme="minorEastAsia" w:eastAsiaTheme="minorEastAsia" w:cstheme="minorEastAsia"/>
                <w:color w:val="auto"/>
                <w:szCs w:val="21"/>
                <w:highlight w:val="none"/>
              </w:rPr>
            </w:pPr>
          </w:p>
        </w:tc>
      </w:tr>
      <w:tr w14:paraId="58F8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16" w:type="dxa"/>
            <w:noWrap w:val="0"/>
            <w:vAlign w:val="center"/>
          </w:tcPr>
          <w:p w14:paraId="63114E51">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1061" w:type="dxa"/>
            <w:noWrap w:val="0"/>
            <w:vAlign w:val="center"/>
          </w:tcPr>
          <w:p w14:paraId="04A6352F">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59BC799C">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69CCFD05">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07FBA952">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6F7F0609">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0AED62A6">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0D0D6861">
            <w:pPr>
              <w:spacing w:line="300" w:lineRule="exact"/>
              <w:jc w:val="center"/>
              <w:rPr>
                <w:rFonts w:hint="eastAsia" w:asciiTheme="minorEastAsia" w:hAnsiTheme="minorEastAsia" w:eastAsiaTheme="minorEastAsia" w:cstheme="minorEastAsia"/>
                <w:color w:val="auto"/>
                <w:szCs w:val="21"/>
                <w:highlight w:val="none"/>
              </w:rPr>
            </w:pPr>
          </w:p>
        </w:tc>
        <w:tc>
          <w:tcPr>
            <w:tcW w:w="1061" w:type="dxa"/>
            <w:noWrap w:val="0"/>
            <w:vAlign w:val="center"/>
          </w:tcPr>
          <w:p w14:paraId="17DE52F4">
            <w:pPr>
              <w:spacing w:line="300" w:lineRule="exact"/>
              <w:jc w:val="center"/>
              <w:rPr>
                <w:rFonts w:hint="eastAsia" w:asciiTheme="minorEastAsia" w:hAnsiTheme="minorEastAsia" w:eastAsiaTheme="minorEastAsia" w:cstheme="minorEastAsia"/>
                <w:color w:val="auto"/>
                <w:szCs w:val="21"/>
                <w:highlight w:val="none"/>
              </w:rPr>
            </w:pPr>
          </w:p>
        </w:tc>
        <w:tc>
          <w:tcPr>
            <w:tcW w:w="1062" w:type="dxa"/>
            <w:noWrap w:val="0"/>
            <w:vAlign w:val="center"/>
          </w:tcPr>
          <w:p w14:paraId="43438CA6">
            <w:pPr>
              <w:spacing w:line="300" w:lineRule="exact"/>
              <w:jc w:val="center"/>
              <w:rPr>
                <w:rFonts w:hint="eastAsia" w:asciiTheme="minorEastAsia" w:hAnsiTheme="minorEastAsia" w:eastAsiaTheme="minorEastAsia" w:cstheme="minorEastAsia"/>
                <w:color w:val="auto"/>
                <w:szCs w:val="21"/>
                <w:highlight w:val="none"/>
              </w:rPr>
            </w:pPr>
          </w:p>
        </w:tc>
      </w:tr>
    </w:tbl>
    <w:p w14:paraId="1A0DC176">
      <w:pPr>
        <w:spacing w:line="400" w:lineRule="exact"/>
        <w:rPr>
          <w:rFonts w:hint="eastAsia" w:asciiTheme="minorEastAsia" w:hAnsiTheme="minorEastAsia" w:eastAsiaTheme="minorEastAsia" w:cstheme="minorEastAsia"/>
          <w:color w:val="auto"/>
          <w:highlight w:val="none"/>
        </w:rPr>
      </w:pPr>
    </w:p>
    <w:p w14:paraId="131ED737">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附表二：拟配备本工程的试验和检测仪器设备表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16"/>
        <w:gridCol w:w="1216"/>
        <w:gridCol w:w="1216"/>
        <w:gridCol w:w="1216"/>
        <w:gridCol w:w="1216"/>
        <w:gridCol w:w="1216"/>
        <w:gridCol w:w="1216"/>
        <w:gridCol w:w="1216"/>
      </w:tblGrid>
      <w:tr w14:paraId="545A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14:paraId="0B91C063">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序号</w:t>
            </w:r>
          </w:p>
        </w:tc>
        <w:tc>
          <w:tcPr>
            <w:tcW w:w="1216" w:type="dxa"/>
            <w:noWrap w:val="0"/>
            <w:vAlign w:val="center"/>
          </w:tcPr>
          <w:p w14:paraId="2894ECE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仪器设备</w:t>
            </w:r>
          </w:p>
          <w:p w14:paraId="2A7B02D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w:t>
            </w:r>
          </w:p>
        </w:tc>
        <w:tc>
          <w:tcPr>
            <w:tcW w:w="1216" w:type="dxa"/>
            <w:noWrap w:val="0"/>
            <w:vAlign w:val="center"/>
          </w:tcPr>
          <w:p w14:paraId="4C494A7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型号</w:t>
            </w:r>
          </w:p>
          <w:p w14:paraId="2689AB6D">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规格</w:t>
            </w:r>
          </w:p>
        </w:tc>
        <w:tc>
          <w:tcPr>
            <w:tcW w:w="1216" w:type="dxa"/>
            <w:noWrap w:val="0"/>
            <w:vAlign w:val="center"/>
          </w:tcPr>
          <w:p w14:paraId="7186676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数量</w:t>
            </w:r>
          </w:p>
        </w:tc>
        <w:tc>
          <w:tcPr>
            <w:tcW w:w="1216" w:type="dxa"/>
            <w:noWrap w:val="0"/>
            <w:vAlign w:val="center"/>
          </w:tcPr>
          <w:p w14:paraId="6FA1FE3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国别</w:t>
            </w:r>
          </w:p>
          <w:p w14:paraId="7942C705">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产地</w:t>
            </w:r>
          </w:p>
        </w:tc>
        <w:tc>
          <w:tcPr>
            <w:tcW w:w="1216" w:type="dxa"/>
            <w:noWrap w:val="0"/>
            <w:vAlign w:val="center"/>
          </w:tcPr>
          <w:p w14:paraId="2DDECAC2">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制造年份</w:t>
            </w:r>
          </w:p>
        </w:tc>
        <w:tc>
          <w:tcPr>
            <w:tcW w:w="1216" w:type="dxa"/>
            <w:noWrap w:val="0"/>
            <w:vAlign w:val="center"/>
          </w:tcPr>
          <w:p w14:paraId="7EA899A1">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已使用</w:t>
            </w:r>
          </w:p>
          <w:p w14:paraId="20E243A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台时数</w:t>
            </w:r>
          </w:p>
        </w:tc>
        <w:tc>
          <w:tcPr>
            <w:tcW w:w="1216" w:type="dxa"/>
            <w:noWrap w:val="0"/>
            <w:vAlign w:val="center"/>
          </w:tcPr>
          <w:p w14:paraId="0E97387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用途</w:t>
            </w:r>
          </w:p>
        </w:tc>
        <w:tc>
          <w:tcPr>
            <w:tcW w:w="1216" w:type="dxa"/>
            <w:noWrap w:val="0"/>
            <w:vAlign w:val="center"/>
          </w:tcPr>
          <w:p w14:paraId="3BBC369E">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备注</w:t>
            </w:r>
          </w:p>
        </w:tc>
      </w:tr>
      <w:tr w14:paraId="267B0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14:paraId="5CFC8F87">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1216" w:type="dxa"/>
            <w:noWrap w:val="0"/>
            <w:vAlign w:val="center"/>
          </w:tcPr>
          <w:p w14:paraId="3EF36175">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2A2DE012">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62BDF96E">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5C697D3C">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14921AB3">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4E9D6AA3">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0052C48D">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top"/>
          </w:tcPr>
          <w:p w14:paraId="2CA9DF87">
            <w:pPr>
              <w:spacing w:line="300" w:lineRule="exact"/>
              <w:ind w:firstLine="420" w:firstLineChars="200"/>
              <w:rPr>
                <w:rFonts w:hint="eastAsia" w:asciiTheme="minorEastAsia" w:hAnsiTheme="minorEastAsia" w:eastAsiaTheme="minorEastAsia" w:cstheme="minorEastAsia"/>
                <w:color w:val="auto"/>
                <w:szCs w:val="21"/>
                <w:highlight w:val="none"/>
              </w:rPr>
            </w:pPr>
          </w:p>
        </w:tc>
      </w:tr>
      <w:tr w14:paraId="7CE24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0" w:type="dxa"/>
            <w:noWrap w:val="0"/>
            <w:vAlign w:val="center"/>
          </w:tcPr>
          <w:p w14:paraId="25F10DD4">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1216" w:type="dxa"/>
            <w:noWrap w:val="0"/>
            <w:vAlign w:val="center"/>
          </w:tcPr>
          <w:p w14:paraId="60CB39F9">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2F76F66E">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7A2F5F30">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23FCBFD3">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5DB85064">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38E821FA">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center"/>
          </w:tcPr>
          <w:p w14:paraId="4E09E63D">
            <w:pPr>
              <w:spacing w:line="300" w:lineRule="exact"/>
              <w:ind w:firstLine="420" w:firstLineChars="200"/>
              <w:rPr>
                <w:rFonts w:hint="eastAsia" w:asciiTheme="minorEastAsia" w:hAnsiTheme="minorEastAsia" w:eastAsiaTheme="minorEastAsia" w:cstheme="minorEastAsia"/>
                <w:color w:val="auto"/>
                <w:szCs w:val="21"/>
                <w:highlight w:val="none"/>
              </w:rPr>
            </w:pPr>
          </w:p>
        </w:tc>
        <w:tc>
          <w:tcPr>
            <w:tcW w:w="1216" w:type="dxa"/>
            <w:noWrap w:val="0"/>
            <w:vAlign w:val="top"/>
          </w:tcPr>
          <w:p w14:paraId="1A66F0C1">
            <w:pPr>
              <w:spacing w:line="300" w:lineRule="exact"/>
              <w:ind w:firstLine="420" w:firstLineChars="200"/>
              <w:rPr>
                <w:rFonts w:hint="eastAsia" w:asciiTheme="minorEastAsia" w:hAnsiTheme="minorEastAsia" w:eastAsiaTheme="minorEastAsia" w:cstheme="minorEastAsia"/>
                <w:color w:val="auto"/>
                <w:szCs w:val="21"/>
                <w:highlight w:val="none"/>
              </w:rPr>
            </w:pPr>
          </w:p>
        </w:tc>
      </w:tr>
    </w:tbl>
    <w:p w14:paraId="1CB33D1A">
      <w:pPr>
        <w:spacing w:line="400" w:lineRule="exact"/>
        <w:rPr>
          <w:rFonts w:hint="eastAsia" w:asciiTheme="minorEastAsia" w:hAnsiTheme="minorEastAsia" w:eastAsiaTheme="minorEastAsia" w:cstheme="minorEastAsia"/>
          <w:color w:val="auto"/>
          <w:highlight w:val="none"/>
        </w:rPr>
      </w:pPr>
    </w:p>
    <w:p w14:paraId="4FBC2563">
      <w:pPr>
        <w:spacing w:line="40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附表三：劳动力计划表</w:t>
      </w:r>
    </w:p>
    <w:p w14:paraId="2A3B3264">
      <w:pPr>
        <w:spacing w:line="400" w:lineRule="exact"/>
        <w:ind w:firstLine="7245" w:firstLineChars="34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单位：人</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2267"/>
      </w:tblGrid>
      <w:tr w14:paraId="207B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14:paraId="6694609A">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工种</w:t>
            </w:r>
          </w:p>
        </w:tc>
        <w:tc>
          <w:tcPr>
            <w:tcW w:w="9515" w:type="dxa"/>
            <w:gridSpan w:val="7"/>
            <w:noWrap w:val="0"/>
            <w:vAlign w:val="center"/>
          </w:tcPr>
          <w:p w14:paraId="187AD716">
            <w:pPr>
              <w:spacing w:line="30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按工程施工阶段投入劳动力情况</w:t>
            </w:r>
          </w:p>
        </w:tc>
      </w:tr>
      <w:tr w14:paraId="48CE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14:paraId="30CAC744">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961" w:type="dxa"/>
            <w:noWrap w:val="0"/>
            <w:vAlign w:val="center"/>
          </w:tcPr>
          <w:p w14:paraId="20C9209F">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1F5E69F0">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5974A2AD">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053488ED">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0FDF3639">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02614C6A">
            <w:pPr>
              <w:spacing w:line="300" w:lineRule="exact"/>
              <w:rPr>
                <w:rFonts w:hint="eastAsia" w:asciiTheme="minorEastAsia" w:hAnsiTheme="minorEastAsia" w:eastAsiaTheme="minorEastAsia" w:cstheme="minorEastAsia"/>
                <w:color w:val="auto"/>
                <w:szCs w:val="21"/>
                <w:highlight w:val="none"/>
              </w:rPr>
            </w:pPr>
          </w:p>
        </w:tc>
        <w:tc>
          <w:tcPr>
            <w:tcW w:w="2267" w:type="dxa"/>
            <w:noWrap w:val="0"/>
            <w:vAlign w:val="center"/>
          </w:tcPr>
          <w:p w14:paraId="7033725D">
            <w:pPr>
              <w:spacing w:line="300" w:lineRule="exact"/>
              <w:rPr>
                <w:rFonts w:hint="eastAsia" w:asciiTheme="minorEastAsia" w:hAnsiTheme="minorEastAsia" w:eastAsiaTheme="minorEastAsia" w:cstheme="minorEastAsia"/>
                <w:color w:val="auto"/>
                <w:szCs w:val="21"/>
                <w:highlight w:val="none"/>
              </w:rPr>
            </w:pPr>
          </w:p>
        </w:tc>
      </w:tr>
      <w:tr w14:paraId="0BDE2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53" w:type="dxa"/>
            <w:noWrap w:val="0"/>
            <w:vAlign w:val="center"/>
          </w:tcPr>
          <w:p w14:paraId="36614B40">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961" w:type="dxa"/>
            <w:noWrap w:val="0"/>
            <w:vAlign w:val="center"/>
          </w:tcPr>
          <w:p w14:paraId="09F6707C">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472D1961">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1FA4F106">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5BED2441">
            <w:pPr>
              <w:spacing w:line="300" w:lineRule="exact"/>
              <w:rPr>
                <w:rFonts w:hint="eastAsia" w:asciiTheme="minorEastAsia" w:hAnsiTheme="minorEastAsia" w:eastAsiaTheme="minorEastAsia" w:cstheme="minorEastAsia"/>
                <w:color w:val="auto"/>
                <w:szCs w:val="21"/>
                <w:highlight w:val="none"/>
              </w:rPr>
            </w:pPr>
          </w:p>
        </w:tc>
        <w:tc>
          <w:tcPr>
            <w:tcW w:w="1258" w:type="dxa"/>
            <w:noWrap w:val="0"/>
            <w:vAlign w:val="center"/>
          </w:tcPr>
          <w:p w14:paraId="32CB0557">
            <w:pPr>
              <w:spacing w:line="300" w:lineRule="exact"/>
              <w:rPr>
                <w:rFonts w:hint="eastAsia" w:asciiTheme="minorEastAsia" w:hAnsiTheme="minorEastAsia" w:eastAsiaTheme="minorEastAsia" w:cstheme="minorEastAsia"/>
                <w:color w:val="auto"/>
                <w:szCs w:val="21"/>
                <w:highlight w:val="none"/>
              </w:rPr>
            </w:pPr>
          </w:p>
        </w:tc>
        <w:tc>
          <w:tcPr>
            <w:tcW w:w="1257" w:type="dxa"/>
            <w:noWrap w:val="0"/>
            <w:vAlign w:val="center"/>
          </w:tcPr>
          <w:p w14:paraId="66CC2452">
            <w:pPr>
              <w:spacing w:line="300" w:lineRule="exact"/>
              <w:rPr>
                <w:rFonts w:hint="eastAsia" w:asciiTheme="minorEastAsia" w:hAnsiTheme="minorEastAsia" w:eastAsiaTheme="minorEastAsia" w:cstheme="minorEastAsia"/>
                <w:color w:val="auto"/>
                <w:szCs w:val="21"/>
                <w:highlight w:val="none"/>
              </w:rPr>
            </w:pPr>
          </w:p>
        </w:tc>
        <w:tc>
          <w:tcPr>
            <w:tcW w:w="2267" w:type="dxa"/>
            <w:noWrap w:val="0"/>
            <w:vAlign w:val="center"/>
          </w:tcPr>
          <w:p w14:paraId="31E9E210">
            <w:pPr>
              <w:spacing w:line="300" w:lineRule="exact"/>
              <w:rPr>
                <w:rFonts w:hint="eastAsia" w:asciiTheme="minorEastAsia" w:hAnsiTheme="minorEastAsia" w:eastAsiaTheme="minorEastAsia" w:cstheme="minorEastAsia"/>
                <w:color w:val="auto"/>
                <w:szCs w:val="21"/>
                <w:highlight w:val="none"/>
              </w:rPr>
            </w:pPr>
          </w:p>
        </w:tc>
      </w:tr>
    </w:tbl>
    <w:p w14:paraId="2BC1B9CE">
      <w:pPr>
        <w:spacing w:line="400" w:lineRule="exact"/>
        <w:rPr>
          <w:rFonts w:hint="eastAsia" w:asciiTheme="minorEastAsia" w:hAnsiTheme="minorEastAsia" w:eastAsiaTheme="minorEastAsia" w:cstheme="minorEastAsia"/>
          <w:color w:val="auto"/>
          <w:highlight w:val="none"/>
        </w:rPr>
      </w:pPr>
    </w:p>
    <w:p w14:paraId="7B1A4839">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附表四：计划开、竣工日期和施工进度网络图</w:t>
      </w:r>
    </w:p>
    <w:p w14:paraId="74159625">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应提交的施工进度网络图或施工进度表，说明按《</w:t>
      </w:r>
      <w:r>
        <w:rPr>
          <w:rFonts w:hint="eastAsia" w:asciiTheme="minorEastAsia" w:hAnsiTheme="minorEastAsia" w:eastAsiaTheme="minorEastAsia" w:cstheme="minorEastAsia"/>
          <w:color w:val="auto"/>
          <w:highlight w:val="none"/>
          <w:lang w:eastAsia="zh-CN"/>
        </w:rPr>
        <w:t>竞争性磋商文件</w:t>
      </w:r>
      <w:r>
        <w:rPr>
          <w:rFonts w:hint="eastAsia" w:asciiTheme="minorEastAsia" w:hAnsiTheme="minorEastAsia" w:eastAsiaTheme="minorEastAsia" w:cstheme="minorEastAsia"/>
          <w:color w:val="auto"/>
          <w:highlight w:val="none"/>
        </w:rPr>
        <w:t>》要求的工期进行施工的各个关键日期。</w:t>
      </w:r>
      <w:r>
        <w:rPr>
          <w:rFonts w:hint="eastAsia" w:asciiTheme="minorEastAsia" w:hAnsiTheme="minorEastAsia" w:eastAsiaTheme="minorEastAsia" w:cstheme="minorEastAsia"/>
          <w:color w:val="auto"/>
          <w:highlight w:val="none"/>
          <w:lang w:val="en-US" w:eastAsia="zh-CN"/>
        </w:rPr>
        <w:t>成交</w:t>
      </w:r>
      <w:r>
        <w:rPr>
          <w:rFonts w:hint="eastAsia" w:asciiTheme="minorEastAsia" w:hAnsiTheme="minorEastAsia" w:eastAsiaTheme="minorEastAsia" w:cstheme="minorEastAsia"/>
          <w:color w:val="auto"/>
          <w:highlight w:val="none"/>
        </w:rPr>
        <w:t>的</w:t>
      </w: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还应按合同条件有关条款的要求提交详细的施工进度计划。</w:t>
      </w:r>
    </w:p>
    <w:p w14:paraId="25A522E9">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2.施工进度表可采用网络图（或横道图）表示，说明计划开工日期和各分项工程各阶段的完工日期和分包合同签订的日期。</w:t>
      </w:r>
    </w:p>
    <w:p w14:paraId="09FA3A23">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3.施工进度计划应与施工组织设计相适应。</w:t>
      </w:r>
    </w:p>
    <w:p w14:paraId="236AA0BE">
      <w:pPr>
        <w:spacing w:line="400" w:lineRule="exact"/>
        <w:rPr>
          <w:rFonts w:hint="eastAsia" w:asciiTheme="minorEastAsia" w:hAnsiTheme="minorEastAsia" w:eastAsiaTheme="minorEastAsia" w:cstheme="minorEastAsia"/>
          <w:color w:val="auto"/>
          <w:highlight w:val="none"/>
        </w:rPr>
      </w:pPr>
    </w:p>
    <w:p w14:paraId="62A31534">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附表五：施工总平面图</w:t>
      </w:r>
    </w:p>
    <w:p w14:paraId="5A504B74">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lang w:eastAsia="zh-CN"/>
        </w:rPr>
        <w:t>竞标人</w:t>
      </w:r>
      <w:r>
        <w:rPr>
          <w:rFonts w:hint="eastAsia" w:asciiTheme="minorEastAsia" w:hAnsiTheme="minorEastAsia" w:eastAsiaTheme="minorEastAsia" w:cstheme="minorEastAsia"/>
          <w:color w:val="auto"/>
          <w:highlight w:val="none"/>
        </w:rPr>
        <w:t>应递交一份施工总平面图，绘出现场临时设施布置图表并附文字说明，说明临时设施、加工车间、现场办公、设备及仓储、供电、供水、卫生、生活、道路、消防等设施的情况和布置。</w:t>
      </w:r>
    </w:p>
    <w:p w14:paraId="67541565">
      <w:pPr>
        <w:spacing w:line="400" w:lineRule="exact"/>
        <w:rPr>
          <w:rFonts w:hint="eastAsia" w:asciiTheme="minorEastAsia" w:hAnsiTheme="minorEastAsia" w:eastAsiaTheme="minorEastAsia" w:cstheme="minorEastAsia"/>
          <w:color w:val="auto"/>
          <w:highlight w:val="none"/>
        </w:rPr>
      </w:pPr>
    </w:p>
    <w:p w14:paraId="2663E6F0">
      <w:pPr>
        <w:spacing w:line="400" w:lineRule="exac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附表六：临时用地表</w:t>
      </w:r>
    </w:p>
    <w:p w14:paraId="649BC375">
      <w:pPr>
        <w:rPr>
          <w:rFonts w:hint="eastAsia" w:asciiTheme="minorEastAsia" w:hAnsiTheme="minorEastAsia" w:eastAsiaTheme="minorEastAsia" w:cstheme="minorEastAsia"/>
          <w:color w:val="auto"/>
          <w:highlight w:val="none"/>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5"/>
        <w:gridCol w:w="2565"/>
        <w:gridCol w:w="2565"/>
        <w:gridCol w:w="2565"/>
      </w:tblGrid>
      <w:tr w14:paraId="4C39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14:paraId="23E80465">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用途</w:t>
            </w:r>
          </w:p>
        </w:tc>
        <w:tc>
          <w:tcPr>
            <w:tcW w:w="2565" w:type="dxa"/>
            <w:noWrap w:val="0"/>
            <w:vAlign w:val="center"/>
          </w:tcPr>
          <w:p w14:paraId="6B6A709C">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面积（平方米）</w:t>
            </w:r>
          </w:p>
        </w:tc>
        <w:tc>
          <w:tcPr>
            <w:tcW w:w="2565" w:type="dxa"/>
            <w:noWrap w:val="0"/>
            <w:vAlign w:val="center"/>
          </w:tcPr>
          <w:p w14:paraId="11F34CFF">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位置</w:t>
            </w:r>
          </w:p>
        </w:tc>
        <w:tc>
          <w:tcPr>
            <w:tcW w:w="2565" w:type="dxa"/>
            <w:noWrap w:val="0"/>
            <w:vAlign w:val="center"/>
          </w:tcPr>
          <w:p w14:paraId="1337974B">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Cs w:val="21"/>
                <w:highlight w:val="none"/>
              </w:rPr>
              <w:t>需用时间</w:t>
            </w:r>
          </w:p>
        </w:tc>
      </w:tr>
      <w:tr w14:paraId="6DBF9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14:paraId="029B83C8">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p>
        </w:tc>
        <w:tc>
          <w:tcPr>
            <w:tcW w:w="2565" w:type="dxa"/>
            <w:noWrap w:val="0"/>
            <w:vAlign w:val="top"/>
          </w:tcPr>
          <w:p w14:paraId="60FC0D5D">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01732B89">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780B751D">
            <w:pPr>
              <w:spacing w:line="300" w:lineRule="exact"/>
              <w:rPr>
                <w:rFonts w:hint="eastAsia" w:asciiTheme="minorEastAsia" w:hAnsiTheme="minorEastAsia" w:eastAsiaTheme="minorEastAsia" w:cstheme="minorEastAsia"/>
                <w:color w:val="auto"/>
                <w:highlight w:val="none"/>
              </w:rPr>
            </w:pPr>
          </w:p>
        </w:tc>
      </w:tr>
      <w:tr w14:paraId="21F7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65" w:type="dxa"/>
            <w:noWrap w:val="0"/>
            <w:vAlign w:val="center"/>
          </w:tcPr>
          <w:p w14:paraId="5B06757E">
            <w:pPr>
              <w:spacing w:line="300" w:lineRule="exact"/>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N</w:t>
            </w:r>
          </w:p>
        </w:tc>
        <w:tc>
          <w:tcPr>
            <w:tcW w:w="2565" w:type="dxa"/>
            <w:noWrap w:val="0"/>
            <w:vAlign w:val="top"/>
          </w:tcPr>
          <w:p w14:paraId="35C4939B">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0F580909">
            <w:pPr>
              <w:spacing w:line="300" w:lineRule="exact"/>
              <w:rPr>
                <w:rFonts w:hint="eastAsia" w:asciiTheme="minorEastAsia" w:hAnsiTheme="minorEastAsia" w:eastAsiaTheme="minorEastAsia" w:cstheme="minorEastAsia"/>
                <w:color w:val="auto"/>
                <w:highlight w:val="none"/>
              </w:rPr>
            </w:pPr>
          </w:p>
        </w:tc>
        <w:tc>
          <w:tcPr>
            <w:tcW w:w="2565" w:type="dxa"/>
            <w:noWrap w:val="0"/>
            <w:vAlign w:val="top"/>
          </w:tcPr>
          <w:p w14:paraId="27A7F83A">
            <w:pPr>
              <w:spacing w:line="300" w:lineRule="exact"/>
              <w:rPr>
                <w:rFonts w:hint="eastAsia" w:asciiTheme="minorEastAsia" w:hAnsiTheme="minorEastAsia" w:eastAsiaTheme="minorEastAsia" w:cstheme="minorEastAsia"/>
                <w:color w:val="auto"/>
                <w:highlight w:val="none"/>
              </w:rPr>
            </w:pPr>
          </w:p>
        </w:tc>
      </w:tr>
    </w:tbl>
    <w:p w14:paraId="21D07377">
      <w:pPr>
        <w:spacing w:line="400" w:lineRule="exact"/>
        <w:rPr>
          <w:rFonts w:hint="eastAsia" w:asciiTheme="minorEastAsia" w:hAnsiTheme="minorEastAsia" w:eastAsiaTheme="minorEastAsia" w:cstheme="minorEastAsia"/>
          <w:color w:val="auto"/>
          <w:highlight w:val="none"/>
        </w:rPr>
      </w:pPr>
    </w:p>
    <w:p w14:paraId="3D59BBE4">
      <w:pPr>
        <w:spacing w:line="480" w:lineRule="auto"/>
        <w:jc w:val="center"/>
        <w:rPr>
          <w:rFonts w:hint="eastAsia" w:asciiTheme="minorEastAsia" w:hAnsiTheme="minorEastAsia" w:eastAsiaTheme="minorEastAsia" w:cstheme="minorEastAsia"/>
          <w:color w:val="auto"/>
          <w:sz w:val="24"/>
          <w:highlight w:val="none"/>
        </w:rPr>
      </w:pPr>
    </w:p>
    <w:p w14:paraId="09D5360D">
      <w:pPr>
        <w:spacing w:line="480" w:lineRule="auto"/>
        <w:rPr>
          <w:rFonts w:hint="eastAsia" w:asciiTheme="minorEastAsia" w:hAnsiTheme="minorEastAsia" w:eastAsiaTheme="minorEastAsia" w:cstheme="minorEastAsia"/>
          <w:b/>
          <w:color w:val="auto"/>
          <w:sz w:val="24"/>
          <w:highlight w:val="none"/>
        </w:rPr>
      </w:pPr>
    </w:p>
    <w:p w14:paraId="57A5C660">
      <w:pPr>
        <w:spacing w:line="480" w:lineRule="auto"/>
        <w:rPr>
          <w:rFonts w:hint="eastAsia" w:asciiTheme="minorEastAsia" w:hAnsiTheme="minorEastAsia" w:eastAsiaTheme="minorEastAsia" w:cstheme="minorEastAsia"/>
          <w:b/>
          <w:color w:val="auto"/>
          <w:sz w:val="24"/>
          <w:highlight w:val="none"/>
        </w:rPr>
      </w:pPr>
    </w:p>
    <w:p w14:paraId="0A1A90A2">
      <w:pPr>
        <w:spacing w:line="480" w:lineRule="auto"/>
        <w:rPr>
          <w:rFonts w:hint="eastAsia" w:asciiTheme="minorEastAsia" w:hAnsiTheme="minorEastAsia" w:eastAsiaTheme="minorEastAsia" w:cstheme="minorEastAsia"/>
          <w:b/>
          <w:color w:val="auto"/>
          <w:sz w:val="24"/>
          <w:highlight w:val="none"/>
        </w:rPr>
      </w:pPr>
    </w:p>
    <w:p w14:paraId="1F3CCC1C">
      <w:pPr>
        <w:spacing w:line="480" w:lineRule="auto"/>
        <w:rPr>
          <w:rFonts w:hint="eastAsia" w:asciiTheme="minorEastAsia" w:hAnsiTheme="minorEastAsia" w:eastAsiaTheme="minorEastAsia" w:cstheme="minorEastAsia"/>
          <w:b/>
          <w:color w:val="auto"/>
          <w:sz w:val="24"/>
          <w:highlight w:val="none"/>
        </w:rPr>
      </w:pPr>
    </w:p>
    <w:p w14:paraId="06480098">
      <w:pPr>
        <w:spacing w:line="480" w:lineRule="auto"/>
        <w:rPr>
          <w:rFonts w:hint="eastAsia" w:asciiTheme="minorEastAsia" w:hAnsiTheme="minorEastAsia" w:eastAsiaTheme="minorEastAsia" w:cstheme="minorEastAsia"/>
          <w:b/>
          <w:color w:val="auto"/>
          <w:sz w:val="24"/>
          <w:highlight w:val="none"/>
        </w:rPr>
      </w:pPr>
    </w:p>
    <w:p w14:paraId="54FF62C3">
      <w:pPr>
        <w:spacing w:line="480" w:lineRule="auto"/>
        <w:rPr>
          <w:rFonts w:hint="eastAsia" w:asciiTheme="minorEastAsia" w:hAnsiTheme="minorEastAsia" w:eastAsiaTheme="minorEastAsia" w:cstheme="minorEastAsia"/>
          <w:b/>
          <w:color w:val="auto"/>
          <w:sz w:val="24"/>
          <w:highlight w:val="none"/>
        </w:rPr>
      </w:pPr>
    </w:p>
    <w:p w14:paraId="069E1F4B">
      <w:pPr>
        <w:spacing w:line="480" w:lineRule="auto"/>
        <w:rPr>
          <w:rFonts w:hint="eastAsia" w:asciiTheme="minorEastAsia" w:hAnsiTheme="minorEastAsia" w:eastAsiaTheme="minorEastAsia" w:cstheme="minorEastAsia"/>
          <w:b/>
          <w:color w:val="auto"/>
          <w:sz w:val="24"/>
          <w:highlight w:val="none"/>
        </w:rPr>
      </w:pPr>
    </w:p>
    <w:p w14:paraId="63BAD353">
      <w:pPr>
        <w:spacing w:line="480" w:lineRule="auto"/>
        <w:rPr>
          <w:rFonts w:hint="eastAsia" w:asciiTheme="minorEastAsia" w:hAnsiTheme="minorEastAsia" w:eastAsiaTheme="minorEastAsia" w:cstheme="minorEastAsia"/>
          <w:b/>
          <w:color w:val="auto"/>
          <w:sz w:val="24"/>
          <w:highlight w:val="none"/>
        </w:rPr>
      </w:pPr>
    </w:p>
    <w:p w14:paraId="4E60C560">
      <w:pPr>
        <w:spacing w:line="480" w:lineRule="auto"/>
        <w:rPr>
          <w:rFonts w:hint="eastAsia" w:asciiTheme="minorEastAsia" w:hAnsiTheme="minorEastAsia" w:eastAsiaTheme="minorEastAsia" w:cstheme="minorEastAsia"/>
          <w:b/>
          <w:color w:val="auto"/>
          <w:sz w:val="24"/>
          <w:highlight w:val="none"/>
        </w:rPr>
      </w:pPr>
    </w:p>
    <w:p w14:paraId="5C859103">
      <w:pPr>
        <w:spacing w:line="480" w:lineRule="auto"/>
        <w:rPr>
          <w:rFonts w:hint="eastAsia" w:asciiTheme="minorEastAsia" w:hAnsiTheme="minorEastAsia" w:eastAsiaTheme="minorEastAsia" w:cstheme="minorEastAsia"/>
          <w:b/>
          <w:color w:val="auto"/>
          <w:sz w:val="24"/>
          <w:highlight w:val="none"/>
        </w:rPr>
      </w:pPr>
    </w:p>
    <w:p w14:paraId="069D0AA8">
      <w:pPr>
        <w:spacing w:line="480" w:lineRule="auto"/>
        <w:rPr>
          <w:rFonts w:hint="eastAsia" w:asciiTheme="minorEastAsia" w:hAnsiTheme="minorEastAsia" w:eastAsiaTheme="minorEastAsia" w:cstheme="minorEastAsia"/>
          <w:b/>
          <w:color w:val="auto"/>
          <w:sz w:val="24"/>
          <w:highlight w:val="none"/>
        </w:rPr>
      </w:pPr>
    </w:p>
    <w:p w14:paraId="55F2E4FF">
      <w:pPr>
        <w:spacing w:line="480" w:lineRule="auto"/>
        <w:rPr>
          <w:rFonts w:hint="eastAsia" w:asciiTheme="minorEastAsia" w:hAnsiTheme="minorEastAsia" w:eastAsiaTheme="minorEastAsia" w:cstheme="minorEastAsia"/>
          <w:b/>
          <w:color w:val="auto"/>
          <w:sz w:val="24"/>
          <w:highlight w:val="none"/>
        </w:rPr>
      </w:pPr>
    </w:p>
    <w:p w14:paraId="0FFA1A4B">
      <w:pPr>
        <w:spacing w:line="480" w:lineRule="auto"/>
        <w:rPr>
          <w:rFonts w:hint="eastAsia" w:asciiTheme="minorEastAsia" w:hAnsiTheme="minorEastAsia" w:eastAsiaTheme="minorEastAsia" w:cstheme="minorEastAsia"/>
          <w:b/>
          <w:color w:val="auto"/>
          <w:sz w:val="24"/>
          <w:highlight w:val="none"/>
        </w:rPr>
      </w:pPr>
    </w:p>
    <w:p w14:paraId="2D0F59BC">
      <w:pPr>
        <w:spacing w:line="480" w:lineRule="auto"/>
        <w:rPr>
          <w:rFonts w:hint="eastAsia" w:asciiTheme="minorEastAsia" w:hAnsiTheme="minorEastAsia" w:eastAsiaTheme="minorEastAsia" w:cstheme="minorEastAsia"/>
          <w:b/>
          <w:color w:val="auto"/>
          <w:sz w:val="24"/>
          <w:highlight w:val="none"/>
        </w:rPr>
      </w:pPr>
    </w:p>
    <w:p w14:paraId="2DDA0984">
      <w:pPr>
        <w:pStyle w:val="2"/>
        <w:numPr>
          <w:ilvl w:val="0"/>
          <w:numId w:val="11"/>
        </w:numPr>
        <w:spacing w:before="0"/>
        <w:ind w:leftChars="0"/>
        <w:jc w:val="center"/>
        <w:rPr>
          <w:rFonts w:hint="eastAsia" w:asciiTheme="minorEastAsia" w:hAnsiTheme="minorEastAsia" w:eastAsiaTheme="minorEastAsia" w:cstheme="minorEastAsia"/>
          <w:bCs w:val="0"/>
          <w:color w:val="auto"/>
          <w:sz w:val="28"/>
          <w:szCs w:val="28"/>
          <w:highlight w:val="none"/>
          <w:lang w:val="en-US" w:eastAsia="zh-CN"/>
        </w:rPr>
      </w:pPr>
      <w:bookmarkStart w:id="1299" w:name="_Toc30492"/>
      <w:r>
        <w:rPr>
          <w:rFonts w:hint="eastAsia" w:asciiTheme="minorEastAsia" w:hAnsiTheme="minorEastAsia" w:eastAsiaTheme="minorEastAsia" w:cstheme="minorEastAsia"/>
          <w:bCs w:val="0"/>
          <w:color w:val="auto"/>
          <w:sz w:val="28"/>
          <w:szCs w:val="28"/>
          <w:highlight w:val="none"/>
          <w:lang w:val="en-US" w:eastAsia="zh-CN"/>
        </w:rPr>
        <w:t>业绩</w:t>
      </w:r>
      <w:bookmarkEnd w:id="1299"/>
      <w:r>
        <w:rPr>
          <w:rFonts w:hint="eastAsia" w:asciiTheme="minorEastAsia" w:hAnsiTheme="minorEastAsia" w:eastAsiaTheme="minorEastAsia" w:cstheme="minorEastAsia"/>
          <w:bCs w:val="0"/>
          <w:color w:val="auto"/>
          <w:sz w:val="28"/>
          <w:szCs w:val="28"/>
          <w:highlight w:val="none"/>
          <w:lang w:val="en-US" w:eastAsia="zh-CN"/>
        </w:rPr>
        <w:t>（如有，请提供）</w:t>
      </w:r>
    </w:p>
    <w:p w14:paraId="4FBADC23">
      <w:pPr>
        <w:numPr>
          <w:ilvl w:val="0"/>
          <w:numId w:val="0"/>
        </w:num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（格式自拟）</w:t>
      </w:r>
    </w:p>
    <w:p w14:paraId="7F8D1184">
      <w:pPr>
        <w:pStyle w:val="35"/>
        <w:rPr>
          <w:rFonts w:hint="eastAsia" w:asciiTheme="minorEastAsia" w:hAnsiTheme="minorEastAsia" w:eastAsiaTheme="minorEastAsia" w:cstheme="minorEastAsia"/>
          <w:color w:val="auto"/>
          <w:highlight w:val="none"/>
          <w:lang w:val="en-US" w:eastAsia="zh-CN"/>
        </w:rPr>
      </w:pPr>
    </w:p>
    <w:p w14:paraId="30A13494">
      <w:pPr>
        <w:pStyle w:val="36"/>
        <w:rPr>
          <w:rFonts w:hint="eastAsia" w:asciiTheme="minorEastAsia" w:hAnsiTheme="minorEastAsia" w:eastAsiaTheme="minorEastAsia" w:cstheme="minorEastAsia"/>
          <w:color w:val="auto"/>
          <w:highlight w:val="none"/>
          <w:lang w:val="en-US" w:eastAsia="zh-CN"/>
        </w:rPr>
      </w:pPr>
    </w:p>
    <w:p w14:paraId="798B3D06">
      <w:pPr>
        <w:rPr>
          <w:rFonts w:hint="eastAsia" w:asciiTheme="minorEastAsia" w:hAnsiTheme="minorEastAsia" w:eastAsiaTheme="minorEastAsia" w:cstheme="minorEastAsia"/>
          <w:bCs w:val="0"/>
          <w:color w:val="auto"/>
          <w:sz w:val="28"/>
          <w:szCs w:val="28"/>
          <w:highlight w:val="none"/>
          <w:lang w:val="en-US" w:eastAsia="zh-CN"/>
        </w:rPr>
      </w:pPr>
      <w:r>
        <w:rPr>
          <w:rFonts w:hint="eastAsia" w:asciiTheme="minorEastAsia" w:hAnsiTheme="minorEastAsia" w:eastAsiaTheme="minorEastAsia" w:cstheme="minorEastAsia"/>
          <w:bCs w:val="0"/>
          <w:color w:val="auto"/>
          <w:sz w:val="28"/>
          <w:szCs w:val="28"/>
          <w:highlight w:val="none"/>
          <w:lang w:val="en-US" w:eastAsia="zh-CN"/>
        </w:rPr>
        <w:br w:type="page"/>
      </w:r>
    </w:p>
    <w:p w14:paraId="2BE595AA">
      <w:pPr>
        <w:pStyle w:val="2"/>
        <w:numPr>
          <w:ilvl w:val="0"/>
          <w:numId w:val="11"/>
        </w:numPr>
        <w:spacing w:before="0"/>
        <w:ind w:left="0" w:leftChars="0" w:firstLine="0" w:firstLineChars="0"/>
        <w:jc w:val="center"/>
        <w:rPr>
          <w:rFonts w:hint="eastAsia" w:asciiTheme="minorEastAsia" w:hAnsiTheme="minorEastAsia" w:eastAsiaTheme="minorEastAsia" w:cstheme="minorEastAsia"/>
          <w:bCs w:val="0"/>
          <w:color w:val="auto"/>
          <w:sz w:val="28"/>
          <w:szCs w:val="28"/>
          <w:highlight w:val="none"/>
        </w:rPr>
      </w:pPr>
      <w:r>
        <w:rPr>
          <w:rFonts w:hint="eastAsia" w:asciiTheme="minorEastAsia" w:hAnsiTheme="minorEastAsia" w:eastAsiaTheme="minorEastAsia" w:cstheme="minorEastAsia"/>
          <w:bCs w:val="0"/>
          <w:color w:val="auto"/>
          <w:sz w:val="28"/>
          <w:szCs w:val="28"/>
          <w:highlight w:val="none"/>
        </w:rPr>
        <w:t>供应商可结合本项目的评标办法视自身情况自行提交相关证明材料。</w:t>
      </w:r>
    </w:p>
    <w:p w14:paraId="08982BE1">
      <w:pPr>
        <w:pStyle w:val="2"/>
        <w:numPr>
          <w:ilvl w:val="0"/>
          <w:numId w:val="0"/>
        </w:numPr>
        <w:spacing w:before="0"/>
        <w:ind w:leftChars="0"/>
        <w:jc w:val="center"/>
        <w:rPr>
          <w:rFonts w:hint="eastAsia" w:asciiTheme="minorEastAsia" w:hAnsiTheme="minorEastAsia" w:eastAsiaTheme="minorEastAsia" w:cstheme="minorEastAsia"/>
          <w:bCs w:val="0"/>
          <w:color w:val="auto"/>
          <w:sz w:val="28"/>
          <w:szCs w:val="28"/>
          <w:highlight w:val="none"/>
          <w:lang w:eastAsia="zh-CN"/>
        </w:rPr>
      </w:pPr>
      <w:r>
        <w:rPr>
          <w:rFonts w:hint="eastAsia" w:asciiTheme="minorEastAsia" w:hAnsiTheme="minorEastAsia" w:eastAsiaTheme="minorEastAsia" w:cstheme="minorEastAsia"/>
          <w:bCs w:val="0"/>
          <w:color w:val="auto"/>
          <w:sz w:val="28"/>
          <w:szCs w:val="28"/>
          <w:highlight w:val="none"/>
        </w:rPr>
        <w:t>（如有，请提供）</w:t>
      </w:r>
    </w:p>
    <w:p w14:paraId="163454E5">
      <w:pPr>
        <w:widowControl w:val="0"/>
        <w:spacing w:line="400" w:lineRule="exact"/>
        <w:ind w:firstLine="420" w:firstLineChars="200"/>
        <w:jc w:val="both"/>
        <w:rPr>
          <w:rFonts w:hint="eastAsia" w:asciiTheme="minorEastAsia" w:hAnsiTheme="minorEastAsia" w:eastAsiaTheme="minorEastAsia" w:cstheme="minorEastAsia"/>
          <w:b/>
          <w:color w:val="auto"/>
          <w:kern w:val="2"/>
          <w:sz w:val="21"/>
          <w:szCs w:val="21"/>
          <w:highlight w:val="none"/>
          <w:lang w:val="en-US" w:eastAsia="zh-CN" w:bidi="ar-SA"/>
        </w:rPr>
      </w:pPr>
    </w:p>
    <w:p w14:paraId="44E182C3">
      <w:pPr>
        <w:widowControl w:val="0"/>
        <w:spacing w:line="400" w:lineRule="exact"/>
        <w:ind w:left="1120" w:hanging="1120"/>
        <w:jc w:val="both"/>
        <w:rPr>
          <w:rFonts w:hint="eastAsia" w:asciiTheme="minorEastAsia" w:hAnsiTheme="minorEastAsia" w:eastAsiaTheme="minorEastAsia" w:cstheme="minorEastAsia"/>
          <w:b/>
          <w:bCs/>
          <w:color w:val="auto"/>
          <w:kern w:val="2"/>
          <w:sz w:val="21"/>
          <w:szCs w:val="20"/>
          <w:highlight w:val="none"/>
          <w:lang w:val="en-US" w:eastAsia="zh-CN" w:bidi="ar-SA"/>
        </w:rPr>
      </w:pPr>
    </w:p>
    <w:p w14:paraId="5B051E99">
      <w:pPr>
        <w:pStyle w:val="2"/>
        <w:spacing w:before="0"/>
        <w:jc w:val="center"/>
        <w:rPr>
          <w:rFonts w:hint="eastAsia" w:asciiTheme="minorEastAsia" w:hAnsiTheme="minorEastAsia" w:eastAsiaTheme="minorEastAsia" w:cstheme="minorEastAsia"/>
          <w:color w:val="auto"/>
          <w:sz w:val="28"/>
          <w:szCs w:val="28"/>
          <w:highlight w:val="none"/>
        </w:rPr>
      </w:pPr>
    </w:p>
    <w:p w14:paraId="25D41450">
      <w:pPr>
        <w:pStyle w:val="2"/>
        <w:spacing w:before="0"/>
        <w:jc w:val="center"/>
        <w:rPr>
          <w:rFonts w:hint="eastAsia" w:asciiTheme="minorEastAsia" w:hAnsiTheme="minorEastAsia" w:eastAsiaTheme="minorEastAsia" w:cstheme="minorEastAsia"/>
          <w:color w:val="auto"/>
          <w:sz w:val="28"/>
          <w:szCs w:val="28"/>
          <w:highlight w:val="none"/>
        </w:rPr>
      </w:pPr>
    </w:p>
    <w:p w14:paraId="43779E66">
      <w:pPr>
        <w:pStyle w:val="2"/>
        <w:spacing w:before="0"/>
        <w:jc w:val="center"/>
        <w:rPr>
          <w:rFonts w:hint="eastAsia" w:asciiTheme="minorEastAsia" w:hAnsiTheme="minorEastAsia" w:eastAsiaTheme="minorEastAsia" w:cstheme="minorEastAsia"/>
          <w:color w:val="auto"/>
          <w:sz w:val="28"/>
          <w:szCs w:val="28"/>
          <w:highlight w:val="none"/>
        </w:rPr>
      </w:pPr>
    </w:p>
    <w:p w14:paraId="37A3C53C">
      <w:pPr>
        <w:pStyle w:val="2"/>
        <w:spacing w:before="0"/>
        <w:jc w:val="center"/>
        <w:rPr>
          <w:rFonts w:hint="eastAsia" w:asciiTheme="minorEastAsia" w:hAnsiTheme="minorEastAsia" w:eastAsiaTheme="minorEastAsia" w:cstheme="minorEastAsia"/>
          <w:color w:val="auto"/>
          <w:sz w:val="28"/>
          <w:szCs w:val="28"/>
          <w:highlight w:val="none"/>
        </w:rPr>
      </w:pPr>
    </w:p>
    <w:p w14:paraId="04E02B47">
      <w:pPr>
        <w:pStyle w:val="2"/>
        <w:spacing w:before="0"/>
        <w:jc w:val="both"/>
        <w:rPr>
          <w:rFonts w:hint="eastAsia" w:asciiTheme="minorEastAsia" w:hAnsiTheme="minorEastAsia" w:eastAsiaTheme="minorEastAsia" w:cstheme="minorEastAsia"/>
          <w:color w:val="auto"/>
          <w:sz w:val="28"/>
          <w:szCs w:val="28"/>
          <w:highlight w:val="none"/>
        </w:rPr>
      </w:pPr>
    </w:p>
    <w:p w14:paraId="4E5A7546">
      <w:pPr>
        <w:rPr>
          <w:rFonts w:hint="eastAsia" w:asciiTheme="minorEastAsia" w:hAnsiTheme="minorEastAsia" w:eastAsiaTheme="minorEastAsia" w:cstheme="minorEastAsia"/>
          <w:color w:val="auto"/>
          <w:sz w:val="28"/>
          <w:szCs w:val="28"/>
          <w:highlight w:val="none"/>
        </w:rPr>
      </w:pPr>
    </w:p>
    <w:p w14:paraId="10B247E3">
      <w:pPr>
        <w:rPr>
          <w:rFonts w:hint="eastAsia" w:asciiTheme="minorEastAsia" w:hAnsiTheme="minorEastAsia" w:eastAsiaTheme="minorEastAsia" w:cstheme="minorEastAsia"/>
          <w:color w:val="auto"/>
          <w:sz w:val="28"/>
          <w:szCs w:val="28"/>
          <w:highlight w:val="none"/>
        </w:rPr>
      </w:pPr>
    </w:p>
    <w:p w14:paraId="01497EA5">
      <w:pPr>
        <w:rPr>
          <w:rFonts w:hint="eastAsia" w:asciiTheme="minorEastAsia" w:hAnsiTheme="minorEastAsia" w:eastAsiaTheme="minorEastAsia" w:cstheme="minorEastAsia"/>
          <w:color w:val="auto"/>
          <w:sz w:val="28"/>
          <w:szCs w:val="28"/>
          <w:highlight w:val="none"/>
        </w:rPr>
      </w:pPr>
    </w:p>
    <w:p w14:paraId="71BAD38E">
      <w:pPr>
        <w:rPr>
          <w:rFonts w:hint="eastAsia" w:asciiTheme="minorEastAsia" w:hAnsiTheme="minorEastAsia" w:eastAsiaTheme="minorEastAsia" w:cstheme="minorEastAsia"/>
          <w:color w:val="auto"/>
          <w:sz w:val="28"/>
          <w:szCs w:val="28"/>
          <w:highlight w:val="none"/>
        </w:rPr>
      </w:pPr>
    </w:p>
    <w:p w14:paraId="1392219D">
      <w:pPr>
        <w:rPr>
          <w:rFonts w:hint="eastAsia" w:asciiTheme="minorEastAsia" w:hAnsiTheme="minorEastAsia" w:eastAsiaTheme="minorEastAsia" w:cstheme="minorEastAsia"/>
          <w:color w:val="auto"/>
          <w:sz w:val="28"/>
          <w:szCs w:val="28"/>
          <w:highlight w:val="none"/>
        </w:rPr>
      </w:pPr>
    </w:p>
    <w:p w14:paraId="75CFB5CC">
      <w:pPr>
        <w:rPr>
          <w:rFonts w:hint="eastAsia" w:asciiTheme="minorEastAsia" w:hAnsiTheme="minorEastAsia" w:eastAsiaTheme="minorEastAsia" w:cstheme="minorEastAsia"/>
          <w:color w:val="auto"/>
          <w:sz w:val="28"/>
          <w:szCs w:val="28"/>
          <w:highlight w:val="none"/>
        </w:rPr>
      </w:pPr>
    </w:p>
    <w:p w14:paraId="47EFDC19">
      <w:pPr>
        <w:rPr>
          <w:rFonts w:hint="eastAsia" w:asciiTheme="minorEastAsia" w:hAnsiTheme="minorEastAsia" w:eastAsiaTheme="minorEastAsia" w:cstheme="minorEastAsia"/>
          <w:color w:val="auto"/>
          <w:sz w:val="28"/>
          <w:szCs w:val="28"/>
          <w:highlight w:val="none"/>
        </w:rPr>
      </w:pPr>
    </w:p>
    <w:p w14:paraId="7C541310">
      <w:pPr>
        <w:rPr>
          <w:rFonts w:hint="eastAsia" w:asciiTheme="minorEastAsia" w:hAnsiTheme="minorEastAsia" w:eastAsiaTheme="minorEastAsia" w:cstheme="minorEastAsia"/>
          <w:color w:val="auto"/>
          <w:sz w:val="28"/>
          <w:szCs w:val="28"/>
          <w:highlight w:val="none"/>
        </w:rPr>
      </w:pPr>
    </w:p>
    <w:p w14:paraId="3C65FC3C">
      <w:pPr>
        <w:rPr>
          <w:rFonts w:hint="eastAsia" w:asciiTheme="minorEastAsia" w:hAnsiTheme="minorEastAsia" w:eastAsiaTheme="minorEastAsia" w:cstheme="minorEastAsia"/>
          <w:color w:val="auto"/>
          <w:sz w:val="28"/>
          <w:szCs w:val="28"/>
          <w:highlight w:val="none"/>
        </w:rPr>
      </w:pPr>
    </w:p>
    <w:p w14:paraId="164B75D3">
      <w:pPr>
        <w:rPr>
          <w:rFonts w:hint="eastAsia" w:asciiTheme="minorEastAsia" w:hAnsiTheme="minorEastAsia" w:eastAsiaTheme="minorEastAsia" w:cstheme="minorEastAsia"/>
          <w:color w:val="auto"/>
          <w:highlight w:val="none"/>
        </w:rPr>
      </w:pPr>
    </w:p>
    <w:p w14:paraId="72D4C9FF">
      <w:pPr>
        <w:pStyle w:val="2"/>
        <w:spacing w:before="0"/>
        <w:jc w:val="center"/>
        <w:rPr>
          <w:rFonts w:hint="eastAsia" w:asciiTheme="minorEastAsia" w:hAnsiTheme="minorEastAsia" w:eastAsiaTheme="minorEastAsia" w:cstheme="minorEastAsia"/>
          <w:color w:val="auto"/>
          <w:sz w:val="28"/>
          <w:szCs w:val="28"/>
          <w:highlight w:val="none"/>
        </w:rPr>
      </w:pPr>
      <w:bookmarkStart w:id="1300" w:name="_Toc2615"/>
      <w:r>
        <w:rPr>
          <w:rFonts w:hint="eastAsia" w:asciiTheme="minorEastAsia" w:hAnsiTheme="minorEastAsia" w:eastAsiaTheme="minorEastAsia" w:cstheme="minorEastAsia"/>
          <w:color w:val="auto"/>
          <w:sz w:val="28"/>
          <w:szCs w:val="28"/>
          <w:highlight w:val="none"/>
        </w:rPr>
        <w:t>第八章  评标办法</w:t>
      </w:r>
      <w:bookmarkEnd w:id="1300"/>
    </w:p>
    <w:p w14:paraId="34A37CA5">
      <w:pPr>
        <w:widowControl w:val="0"/>
        <w:spacing w:after="120"/>
        <w:jc w:val="center"/>
        <w:rPr>
          <w:rFonts w:hint="eastAsia" w:asciiTheme="minorEastAsia" w:hAnsiTheme="minorEastAsia" w:eastAsiaTheme="minorEastAsia" w:cstheme="minorEastAsia"/>
          <w:color w:val="auto"/>
          <w:kern w:val="2"/>
          <w:sz w:val="21"/>
          <w:szCs w:val="24"/>
          <w:highlight w:val="none"/>
          <w:lang w:val="en-US" w:eastAsia="zh-CN" w:bidi="ar-SA"/>
        </w:rPr>
      </w:pPr>
      <w:bookmarkStart w:id="1301" w:name="_Toc440877588"/>
      <w:r>
        <w:rPr>
          <w:rFonts w:hint="eastAsia" w:asciiTheme="minorEastAsia" w:hAnsiTheme="minorEastAsia" w:eastAsiaTheme="minorEastAsia" w:cstheme="minorEastAsia"/>
          <w:b/>
          <w:color w:val="auto"/>
          <w:kern w:val="2"/>
          <w:sz w:val="24"/>
          <w:szCs w:val="24"/>
          <w:highlight w:val="none"/>
          <w:lang w:val="en-US" w:eastAsia="zh-CN" w:bidi="ar-SA"/>
        </w:rPr>
        <w:t>评分办法前附表</w:t>
      </w:r>
    </w:p>
    <w:tbl>
      <w:tblPr>
        <w:tblStyle w:val="19"/>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832"/>
        <w:gridCol w:w="2033"/>
        <w:gridCol w:w="413"/>
        <w:gridCol w:w="6397"/>
      </w:tblGrid>
      <w:tr w14:paraId="3E53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noWrap w:val="0"/>
            <w:vAlign w:val="center"/>
          </w:tcPr>
          <w:p w14:paraId="4711990A">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条款名称</w:t>
            </w:r>
          </w:p>
        </w:tc>
        <w:tc>
          <w:tcPr>
            <w:tcW w:w="2446" w:type="dxa"/>
            <w:gridSpan w:val="2"/>
            <w:noWrap w:val="0"/>
            <w:vAlign w:val="center"/>
          </w:tcPr>
          <w:p w14:paraId="3B088556">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评审因素</w:t>
            </w:r>
          </w:p>
        </w:tc>
        <w:tc>
          <w:tcPr>
            <w:tcW w:w="6397" w:type="dxa"/>
            <w:noWrap w:val="0"/>
            <w:vAlign w:val="center"/>
          </w:tcPr>
          <w:p w14:paraId="30BBCF76">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评审标准</w:t>
            </w:r>
          </w:p>
        </w:tc>
      </w:tr>
      <w:tr w14:paraId="0085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63" w:type="dxa"/>
            <w:vMerge w:val="restart"/>
            <w:noWrap w:val="0"/>
            <w:vAlign w:val="center"/>
          </w:tcPr>
          <w:p w14:paraId="225475CF">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初步评审</w:t>
            </w:r>
          </w:p>
        </w:tc>
        <w:tc>
          <w:tcPr>
            <w:tcW w:w="832" w:type="dxa"/>
            <w:vMerge w:val="restart"/>
            <w:noWrap w:val="0"/>
            <w:vAlign w:val="center"/>
          </w:tcPr>
          <w:p w14:paraId="60234E01">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资格性审查</w:t>
            </w:r>
          </w:p>
        </w:tc>
        <w:tc>
          <w:tcPr>
            <w:tcW w:w="2446" w:type="dxa"/>
            <w:gridSpan w:val="2"/>
            <w:noWrap w:val="0"/>
            <w:vAlign w:val="center"/>
          </w:tcPr>
          <w:p w14:paraId="05A0B3C1">
            <w:pPr>
              <w:spacing w:line="44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企业营业执照</w:t>
            </w:r>
          </w:p>
        </w:tc>
        <w:tc>
          <w:tcPr>
            <w:tcW w:w="6397" w:type="dxa"/>
            <w:noWrap w:val="0"/>
            <w:vAlign w:val="center"/>
          </w:tcPr>
          <w:p w14:paraId="0683B9E1">
            <w:pPr>
              <w:spacing w:line="44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有效的法人营业执照副本扫描件</w:t>
            </w:r>
            <w:r>
              <w:rPr>
                <w:rFonts w:hint="eastAsia" w:asciiTheme="minorEastAsia" w:hAnsiTheme="minorEastAsia" w:eastAsiaTheme="minorEastAsia" w:cstheme="minorEastAsia"/>
                <w:color w:val="auto"/>
                <w:szCs w:val="21"/>
                <w:highlight w:val="none"/>
                <w:lang w:eastAsia="zh-CN"/>
              </w:rPr>
              <w:t>。</w:t>
            </w:r>
          </w:p>
        </w:tc>
      </w:tr>
      <w:tr w14:paraId="63FA2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763" w:type="dxa"/>
            <w:vMerge w:val="continue"/>
            <w:noWrap w:val="0"/>
            <w:vAlign w:val="center"/>
          </w:tcPr>
          <w:p w14:paraId="71438754">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p>
        </w:tc>
        <w:tc>
          <w:tcPr>
            <w:tcW w:w="832" w:type="dxa"/>
            <w:vMerge w:val="continue"/>
            <w:noWrap w:val="0"/>
            <w:vAlign w:val="center"/>
          </w:tcPr>
          <w:p w14:paraId="4D111A0E">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p>
        </w:tc>
        <w:tc>
          <w:tcPr>
            <w:tcW w:w="2446" w:type="dxa"/>
            <w:gridSpan w:val="2"/>
            <w:noWrap w:val="0"/>
            <w:vAlign w:val="center"/>
          </w:tcPr>
          <w:p w14:paraId="6C56D8E6">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政府采购供应商信用承诺函</w:t>
            </w:r>
          </w:p>
        </w:tc>
        <w:tc>
          <w:tcPr>
            <w:tcW w:w="6397" w:type="dxa"/>
            <w:noWrap w:val="0"/>
            <w:vAlign w:val="center"/>
          </w:tcPr>
          <w:p w14:paraId="03B4C377">
            <w:pPr>
              <w:spacing w:line="44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政府采购供应商信用承诺函</w:t>
            </w:r>
            <w:r>
              <w:rPr>
                <w:rFonts w:hint="eastAsia" w:asciiTheme="minorEastAsia" w:hAnsiTheme="minorEastAsia" w:eastAsiaTheme="minorEastAsia" w:cstheme="minorEastAsia"/>
                <w:color w:val="auto"/>
                <w:szCs w:val="21"/>
                <w:highlight w:val="none"/>
                <w:lang w:eastAsia="zh-CN"/>
              </w:rPr>
              <w:t>。</w:t>
            </w:r>
          </w:p>
        </w:tc>
      </w:tr>
      <w:tr w14:paraId="6B764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63" w:type="dxa"/>
            <w:vMerge w:val="continue"/>
            <w:noWrap w:val="0"/>
            <w:vAlign w:val="center"/>
          </w:tcPr>
          <w:p w14:paraId="68AAAE84">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7279D36C">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1C163587">
            <w:pPr>
              <w:spacing w:line="440" w:lineRule="exact"/>
              <w:jc w:val="center"/>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资质</w:t>
            </w:r>
            <w:r>
              <w:rPr>
                <w:rFonts w:hint="eastAsia" w:asciiTheme="minorEastAsia" w:hAnsiTheme="minorEastAsia" w:eastAsiaTheme="minorEastAsia" w:cstheme="minorEastAsia"/>
                <w:color w:val="auto"/>
                <w:szCs w:val="21"/>
                <w:highlight w:val="none"/>
                <w:lang w:val="en-US" w:eastAsia="zh-CN"/>
              </w:rPr>
              <w:t>证书，</w:t>
            </w:r>
            <w:r>
              <w:rPr>
                <w:rFonts w:hint="eastAsia" w:asciiTheme="minorEastAsia" w:hAnsiTheme="minorEastAsia" w:eastAsiaTheme="minorEastAsia" w:cstheme="minorEastAsia"/>
                <w:color w:val="auto"/>
                <w:szCs w:val="21"/>
                <w:highlight w:val="none"/>
              </w:rPr>
              <w:t>项目经理</w:t>
            </w:r>
          </w:p>
        </w:tc>
        <w:tc>
          <w:tcPr>
            <w:tcW w:w="6397" w:type="dxa"/>
            <w:noWrap w:val="0"/>
            <w:vAlign w:val="center"/>
          </w:tcPr>
          <w:p w14:paraId="7039FF0D">
            <w:pPr>
              <w:spacing w:line="440" w:lineRule="exact"/>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具有</w:t>
            </w:r>
            <w:r>
              <w:rPr>
                <w:rFonts w:hint="eastAsia" w:asciiTheme="minorEastAsia" w:hAnsiTheme="minorEastAsia" w:eastAsiaTheme="minorEastAsia" w:cstheme="minorEastAsia"/>
                <w:color w:val="auto"/>
                <w:szCs w:val="21"/>
                <w:highlight w:val="none"/>
                <w:lang w:val="en-US" w:eastAsia="zh-CN"/>
              </w:rPr>
              <w:t>市政公用</w:t>
            </w:r>
            <w:r>
              <w:rPr>
                <w:rFonts w:hint="eastAsia" w:asciiTheme="minorEastAsia" w:hAnsiTheme="minorEastAsia" w:eastAsiaTheme="minorEastAsia" w:cstheme="minorEastAsia"/>
                <w:color w:val="auto"/>
                <w:szCs w:val="21"/>
                <w:highlight w:val="none"/>
              </w:rPr>
              <w:t>工程施工总承包叁级（含）及以上资质</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具备市政工程专业注册建造师二级以上（含二级）执业资格和具备有效的《安全生产考核合格证书（B类）》【提供项目经理注册建造师执业资格证书和安全生产考核合格证书（B类）的扫描件】。</w:t>
            </w:r>
          </w:p>
        </w:tc>
      </w:tr>
      <w:tr w14:paraId="77C05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763" w:type="dxa"/>
            <w:vMerge w:val="continue"/>
            <w:noWrap w:val="0"/>
            <w:vAlign w:val="center"/>
          </w:tcPr>
          <w:p w14:paraId="60D647BD">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1E2C9024">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4A864D62">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安全生产许可证</w:t>
            </w:r>
          </w:p>
        </w:tc>
        <w:tc>
          <w:tcPr>
            <w:tcW w:w="6397" w:type="dxa"/>
            <w:noWrap w:val="0"/>
            <w:vAlign w:val="center"/>
          </w:tcPr>
          <w:p w14:paraId="0BB73026">
            <w:pPr>
              <w:spacing w:line="44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szCs w:val="21"/>
                <w:highlight w:val="none"/>
              </w:rPr>
              <w:t>具备有效的安全生产许可证。</w:t>
            </w:r>
          </w:p>
        </w:tc>
      </w:tr>
      <w:tr w14:paraId="5F02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4F103E08">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3F61F187">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5FB13862">
            <w:pPr>
              <w:spacing w:line="44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法定代表人身份证明书及授权委托书</w:t>
            </w:r>
          </w:p>
        </w:tc>
        <w:tc>
          <w:tcPr>
            <w:tcW w:w="6397" w:type="dxa"/>
            <w:noWrap w:val="0"/>
            <w:vAlign w:val="center"/>
          </w:tcPr>
          <w:p w14:paraId="3B65AAEE">
            <w:pPr>
              <w:spacing w:line="440" w:lineRule="exact"/>
              <w:jc w:val="left"/>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法定代表人身份证明书及授权委托书（委托代理时必须提供，同时加盖单位电子公章）</w:t>
            </w:r>
          </w:p>
        </w:tc>
      </w:tr>
      <w:tr w14:paraId="162F9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420D8D9E">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2E601F1F">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6C42585B">
            <w:pPr>
              <w:spacing w:line="440" w:lineRule="exact"/>
              <w:jc w:val="center"/>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中小企业声明函</w:t>
            </w:r>
          </w:p>
        </w:tc>
        <w:tc>
          <w:tcPr>
            <w:tcW w:w="6397" w:type="dxa"/>
            <w:noWrap w:val="0"/>
            <w:vAlign w:val="center"/>
          </w:tcPr>
          <w:p w14:paraId="328AB6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eastAsia="zh-CN"/>
              </w:rPr>
              <w:t>本项目属于专门面向中小企业采购的项目，</w:t>
            </w:r>
            <w:r>
              <w:rPr>
                <w:rFonts w:hint="eastAsia" w:asciiTheme="minorEastAsia" w:hAnsiTheme="minorEastAsia" w:eastAsiaTheme="minorEastAsia" w:cstheme="minorEastAsia"/>
                <w:color w:val="auto"/>
                <w:kern w:val="0"/>
                <w:szCs w:val="21"/>
                <w:highlight w:val="none"/>
                <w:lang w:val="en-US" w:eastAsia="zh-CN"/>
              </w:rPr>
              <w:t>中小企业声明函（或监狱企业的证明文件或残疾人福利性单位声明函）必须提供。</w:t>
            </w:r>
          </w:p>
        </w:tc>
      </w:tr>
      <w:tr w14:paraId="05ED0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2F639621">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9675" w:type="dxa"/>
            <w:gridSpan w:val="4"/>
            <w:noWrap w:val="0"/>
            <w:vAlign w:val="center"/>
          </w:tcPr>
          <w:p w14:paraId="45C381A5">
            <w:pPr>
              <w:autoSpaceDE w:val="0"/>
              <w:autoSpaceDN w:val="0"/>
              <w:adjustRightInd w:val="0"/>
              <w:spacing w:line="420" w:lineRule="exact"/>
              <w:rPr>
                <w:rFonts w:hint="eastAsia" w:asciiTheme="minorEastAsia" w:hAnsiTheme="minorEastAsia" w:eastAsiaTheme="minorEastAsia" w:cstheme="minorEastAsia"/>
                <w:b/>
                <w:color w:val="auto"/>
                <w:szCs w:val="21"/>
                <w:highlight w:val="none"/>
                <w:lang w:eastAsia="zh-CN"/>
              </w:rPr>
            </w:pPr>
            <w:r>
              <w:rPr>
                <w:rFonts w:hint="eastAsia" w:asciiTheme="minorEastAsia" w:hAnsiTheme="minorEastAsia" w:eastAsiaTheme="minorEastAsia" w:cstheme="minorEastAsia"/>
                <w:b/>
                <w:color w:val="auto"/>
                <w:szCs w:val="21"/>
                <w:highlight w:val="none"/>
                <w:lang w:eastAsia="zh-CN"/>
              </w:rPr>
              <w:t>资格性审查</w:t>
            </w:r>
            <w:r>
              <w:rPr>
                <w:rFonts w:hint="eastAsia" w:asciiTheme="minorEastAsia" w:hAnsiTheme="minorEastAsia" w:eastAsiaTheme="minorEastAsia" w:cstheme="minorEastAsia"/>
                <w:b/>
                <w:color w:val="auto"/>
                <w:szCs w:val="21"/>
                <w:highlight w:val="none"/>
              </w:rPr>
              <w:t>项中缺少任何一项或有任何一项不合格者其</w:t>
            </w:r>
            <w:r>
              <w:rPr>
                <w:rFonts w:hint="eastAsia" w:asciiTheme="minorEastAsia" w:hAnsiTheme="minorEastAsia" w:eastAsiaTheme="minorEastAsia" w:cstheme="minorEastAsia"/>
                <w:b/>
                <w:color w:val="auto"/>
                <w:szCs w:val="21"/>
                <w:highlight w:val="none"/>
                <w:lang w:val="en-US" w:eastAsia="zh-CN"/>
              </w:rPr>
              <w:t>资格</w:t>
            </w:r>
            <w:r>
              <w:rPr>
                <w:rFonts w:hint="eastAsia" w:asciiTheme="minorEastAsia" w:hAnsiTheme="minorEastAsia" w:eastAsiaTheme="minorEastAsia" w:cstheme="minorEastAsia"/>
                <w:b/>
                <w:color w:val="auto"/>
                <w:szCs w:val="21"/>
                <w:highlight w:val="none"/>
              </w:rPr>
              <w:t>审查视为不合格，</w:t>
            </w:r>
            <w:r>
              <w:rPr>
                <w:rFonts w:hint="eastAsia" w:asciiTheme="minorEastAsia" w:hAnsiTheme="minorEastAsia" w:eastAsiaTheme="minorEastAsia" w:cstheme="minorEastAsia"/>
                <w:b/>
                <w:color w:val="auto"/>
                <w:szCs w:val="21"/>
                <w:highlight w:val="none"/>
                <w:lang w:val="en-US" w:eastAsia="zh-CN"/>
              </w:rPr>
              <w:t>资格</w:t>
            </w:r>
            <w:r>
              <w:rPr>
                <w:rFonts w:hint="eastAsia" w:asciiTheme="minorEastAsia" w:hAnsiTheme="minorEastAsia" w:eastAsiaTheme="minorEastAsia" w:cstheme="minorEastAsia"/>
                <w:b/>
                <w:color w:val="auto"/>
                <w:szCs w:val="21"/>
                <w:highlight w:val="none"/>
              </w:rPr>
              <w:t>评审不合格的磋商人不</w:t>
            </w:r>
            <w:r>
              <w:rPr>
                <w:rFonts w:hint="eastAsia" w:asciiTheme="minorEastAsia" w:hAnsiTheme="minorEastAsia" w:eastAsiaTheme="minorEastAsia" w:cstheme="minorEastAsia"/>
                <w:b/>
                <w:color w:val="auto"/>
                <w:szCs w:val="21"/>
                <w:highlight w:val="none"/>
                <w:lang w:val="en-US" w:eastAsia="zh-CN"/>
              </w:rPr>
              <w:t>得</w:t>
            </w:r>
            <w:r>
              <w:rPr>
                <w:rFonts w:hint="eastAsia" w:asciiTheme="minorEastAsia" w:hAnsiTheme="minorEastAsia" w:eastAsiaTheme="minorEastAsia" w:cstheme="minorEastAsia"/>
                <w:b/>
                <w:color w:val="auto"/>
                <w:szCs w:val="21"/>
                <w:highlight w:val="none"/>
              </w:rPr>
              <w:t>进入</w:t>
            </w:r>
            <w:r>
              <w:rPr>
                <w:rFonts w:hint="eastAsia" w:asciiTheme="minorEastAsia" w:hAnsiTheme="minorEastAsia" w:eastAsiaTheme="minorEastAsia" w:cstheme="minorEastAsia"/>
                <w:b/>
                <w:color w:val="auto"/>
                <w:szCs w:val="21"/>
                <w:highlight w:val="none"/>
                <w:lang w:val="en-US" w:eastAsia="zh-CN"/>
              </w:rPr>
              <w:t>符合性评审</w:t>
            </w:r>
            <w:r>
              <w:rPr>
                <w:rFonts w:hint="eastAsia" w:asciiTheme="minorEastAsia" w:hAnsiTheme="minorEastAsia" w:eastAsiaTheme="minorEastAsia" w:cstheme="minorEastAsia"/>
                <w:b/>
                <w:color w:val="auto"/>
                <w:szCs w:val="21"/>
                <w:highlight w:val="none"/>
              </w:rPr>
              <w:t>。</w:t>
            </w:r>
          </w:p>
        </w:tc>
      </w:tr>
      <w:tr w14:paraId="24A3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170CDE6B">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eastAsia="zh-CN"/>
              </w:rPr>
            </w:pPr>
          </w:p>
        </w:tc>
        <w:tc>
          <w:tcPr>
            <w:tcW w:w="832" w:type="dxa"/>
            <w:vMerge w:val="restart"/>
            <w:noWrap w:val="0"/>
            <w:vAlign w:val="center"/>
          </w:tcPr>
          <w:p w14:paraId="72F34B3E">
            <w:pPr>
              <w:autoSpaceDE w:val="0"/>
              <w:autoSpaceDN w:val="0"/>
              <w:adjustRightInd w:val="0"/>
              <w:spacing w:line="420" w:lineRule="exact"/>
              <w:jc w:val="center"/>
              <w:rPr>
                <w:rFonts w:hint="eastAsia" w:asciiTheme="minorEastAsia" w:hAnsiTheme="minorEastAsia" w:eastAsiaTheme="minorEastAsia" w:cstheme="minorEastAsia"/>
                <w:b/>
                <w:bCs/>
                <w:color w:val="auto"/>
                <w:kern w:val="0"/>
                <w:szCs w:val="21"/>
                <w:highlight w:val="none"/>
                <w:lang w:eastAsia="zh-CN"/>
              </w:rPr>
            </w:pPr>
            <w:r>
              <w:rPr>
                <w:rFonts w:hint="eastAsia" w:asciiTheme="minorEastAsia" w:hAnsiTheme="minorEastAsia" w:eastAsiaTheme="minorEastAsia" w:cstheme="minorEastAsia"/>
                <w:b/>
                <w:bCs/>
                <w:color w:val="auto"/>
                <w:kern w:val="0"/>
                <w:szCs w:val="21"/>
                <w:highlight w:val="none"/>
                <w:lang w:eastAsia="zh-CN"/>
              </w:rPr>
              <w:t>符合性审查</w:t>
            </w:r>
          </w:p>
        </w:tc>
        <w:tc>
          <w:tcPr>
            <w:tcW w:w="2446" w:type="dxa"/>
            <w:gridSpan w:val="2"/>
            <w:noWrap w:val="0"/>
            <w:vAlign w:val="center"/>
          </w:tcPr>
          <w:p w14:paraId="4CC7E78D">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磋商报价</w:t>
            </w:r>
          </w:p>
        </w:tc>
        <w:tc>
          <w:tcPr>
            <w:tcW w:w="6397" w:type="dxa"/>
            <w:noWrap w:val="0"/>
            <w:vAlign w:val="center"/>
          </w:tcPr>
          <w:p w14:paraId="4208EEF0">
            <w:pPr>
              <w:numPr>
                <w:ilvl w:val="0"/>
                <w:numId w:val="0"/>
              </w:num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符合第二章</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lang w:eastAsia="zh-CN"/>
              </w:rPr>
              <w:t>磋商供应商</w:t>
            </w:r>
            <w:r>
              <w:rPr>
                <w:rFonts w:hint="eastAsia" w:asciiTheme="minorEastAsia" w:hAnsiTheme="minorEastAsia" w:eastAsiaTheme="minorEastAsia" w:cstheme="minorEastAsia"/>
                <w:color w:val="auto"/>
                <w:kern w:val="0"/>
                <w:szCs w:val="21"/>
                <w:highlight w:val="none"/>
              </w:rPr>
              <w:t>须知</w:t>
            </w:r>
            <w:r>
              <w:rPr>
                <w:rFonts w:hint="eastAsia" w:asciiTheme="minorEastAsia" w:hAnsiTheme="minorEastAsia" w:eastAsiaTheme="minorEastAsia" w:cstheme="minorEastAsia"/>
                <w:color w:val="auto"/>
                <w:kern w:val="0"/>
                <w:szCs w:val="21"/>
                <w:highlight w:val="none"/>
                <w:lang w:val="en-US" w:eastAsia="zh-CN"/>
              </w:rPr>
              <w:t>正文”</w:t>
            </w:r>
            <w:r>
              <w:rPr>
                <w:rFonts w:hint="eastAsia" w:asciiTheme="minorEastAsia" w:hAnsiTheme="minorEastAsia" w:eastAsiaTheme="minorEastAsia" w:cstheme="minorEastAsia"/>
                <w:color w:val="auto"/>
                <w:szCs w:val="21"/>
                <w:highlight w:val="none"/>
                <w:lang w:val="en-US" w:eastAsia="zh-CN"/>
              </w:rPr>
              <w:t>第6项</w:t>
            </w:r>
            <w:r>
              <w:rPr>
                <w:rFonts w:hint="eastAsia" w:asciiTheme="minorEastAsia" w:hAnsiTheme="minorEastAsia" w:eastAsiaTheme="minorEastAsia" w:cstheme="minorEastAsia"/>
                <w:color w:val="auto"/>
                <w:szCs w:val="21"/>
                <w:highlight w:val="none"/>
              </w:rPr>
              <w:t>规定。</w:t>
            </w:r>
          </w:p>
        </w:tc>
      </w:tr>
      <w:tr w14:paraId="7B09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3B068DA4">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57E1EBF5">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0441B717">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响应文件签字盖章</w:t>
            </w:r>
          </w:p>
        </w:tc>
        <w:tc>
          <w:tcPr>
            <w:tcW w:w="6397" w:type="dxa"/>
            <w:noWrap w:val="0"/>
            <w:vAlign w:val="center"/>
          </w:tcPr>
          <w:p w14:paraId="43B04770">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color w:val="auto"/>
                <w:kern w:val="0"/>
                <w:szCs w:val="21"/>
                <w:highlight w:val="none"/>
              </w:rPr>
              <w:t>符合第二章</w:t>
            </w:r>
            <w:r>
              <w:rPr>
                <w:rFonts w:hint="eastAsia" w:asciiTheme="minorEastAsia" w:hAnsiTheme="minorEastAsia" w:eastAsiaTheme="minorEastAsia" w:cstheme="minorEastAsia"/>
                <w:color w:val="auto"/>
                <w:kern w:val="0"/>
                <w:szCs w:val="21"/>
                <w:highlight w:val="none"/>
                <w:lang w:val="en-US" w:eastAsia="zh-CN"/>
              </w:rPr>
              <w:t>“</w:t>
            </w:r>
            <w:r>
              <w:rPr>
                <w:rFonts w:hint="eastAsia" w:asciiTheme="minorEastAsia" w:hAnsiTheme="minorEastAsia" w:eastAsiaTheme="minorEastAsia" w:cstheme="minorEastAsia"/>
                <w:color w:val="auto"/>
                <w:kern w:val="0"/>
                <w:szCs w:val="21"/>
                <w:highlight w:val="none"/>
                <w:lang w:eastAsia="zh-CN"/>
              </w:rPr>
              <w:t>磋商供应商</w:t>
            </w:r>
            <w:r>
              <w:rPr>
                <w:rFonts w:hint="eastAsia" w:asciiTheme="minorEastAsia" w:hAnsiTheme="minorEastAsia" w:eastAsiaTheme="minorEastAsia" w:cstheme="minorEastAsia"/>
                <w:color w:val="auto"/>
                <w:kern w:val="0"/>
                <w:szCs w:val="21"/>
                <w:highlight w:val="none"/>
              </w:rPr>
              <w:t>须知</w:t>
            </w:r>
            <w:r>
              <w:rPr>
                <w:rFonts w:hint="eastAsia" w:asciiTheme="minorEastAsia" w:hAnsiTheme="minorEastAsia" w:eastAsiaTheme="minorEastAsia" w:cstheme="minorEastAsia"/>
                <w:color w:val="auto"/>
                <w:kern w:val="0"/>
                <w:szCs w:val="21"/>
                <w:highlight w:val="none"/>
                <w:lang w:val="en-US" w:eastAsia="zh-CN"/>
              </w:rPr>
              <w:t>正文”</w:t>
            </w:r>
            <w:r>
              <w:rPr>
                <w:rFonts w:hint="eastAsia" w:asciiTheme="minorEastAsia" w:hAnsiTheme="minorEastAsia" w:eastAsiaTheme="minorEastAsia" w:cstheme="minorEastAsia"/>
                <w:color w:val="auto"/>
                <w:szCs w:val="21"/>
                <w:highlight w:val="none"/>
                <w:lang w:val="en-US" w:eastAsia="zh-CN"/>
              </w:rPr>
              <w:t>第11项</w:t>
            </w:r>
            <w:r>
              <w:rPr>
                <w:rFonts w:hint="eastAsia" w:asciiTheme="minorEastAsia" w:hAnsiTheme="minorEastAsia" w:eastAsiaTheme="minorEastAsia" w:cstheme="minorEastAsia"/>
                <w:color w:val="auto"/>
                <w:szCs w:val="21"/>
                <w:highlight w:val="none"/>
              </w:rPr>
              <w:t>规定。</w:t>
            </w:r>
          </w:p>
        </w:tc>
      </w:tr>
      <w:tr w14:paraId="16B3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1842183C">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37F09905">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38FB1BEB">
            <w:pPr>
              <w:autoSpaceDE w:val="0"/>
              <w:autoSpaceDN w:val="0"/>
              <w:adjustRightInd w:val="0"/>
              <w:spacing w:line="42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响应文件格式</w:t>
            </w:r>
          </w:p>
        </w:tc>
        <w:tc>
          <w:tcPr>
            <w:tcW w:w="6397" w:type="dxa"/>
            <w:noWrap w:val="0"/>
            <w:vAlign w:val="center"/>
          </w:tcPr>
          <w:p w14:paraId="40CF9D21">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符合第</w:t>
            </w:r>
            <w:r>
              <w:rPr>
                <w:rFonts w:hint="eastAsia" w:asciiTheme="minorEastAsia" w:hAnsiTheme="minorEastAsia" w:eastAsiaTheme="minorEastAsia" w:cstheme="minorEastAsia"/>
                <w:color w:val="auto"/>
                <w:kern w:val="0"/>
                <w:szCs w:val="21"/>
                <w:highlight w:val="none"/>
                <w:lang w:val="en-US" w:eastAsia="zh-CN"/>
              </w:rPr>
              <w:t>七</w:t>
            </w:r>
            <w:r>
              <w:rPr>
                <w:rFonts w:hint="eastAsia" w:asciiTheme="minorEastAsia" w:hAnsiTheme="minorEastAsia" w:eastAsiaTheme="minorEastAsia" w:cstheme="minorEastAsia"/>
                <w:color w:val="auto"/>
                <w:kern w:val="0"/>
                <w:szCs w:val="21"/>
                <w:highlight w:val="none"/>
              </w:rPr>
              <w:t>章“响应文件格式”的要求</w:t>
            </w:r>
            <w:r>
              <w:rPr>
                <w:rFonts w:hint="eastAsia" w:asciiTheme="minorEastAsia" w:hAnsiTheme="minorEastAsia" w:eastAsiaTheme="minorEastAsia" w:cstheme="minorEastAsia"/>
                <w:color w:val="auto"/>
                <w:kern w:val="0"/>
                <w:szCs w:val="21"/>
                <w:highlight w:val="none"/>
                <w:lang w:eastAsia="zh-CN"/>
              </w:rPr>
              <w:t>。</w:t>
            </w:r>
          </w:p>
        </w:tc>
      </w:tr>
      <w:tr w14:paraId="0062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0"/>
            <w:vAlign w:val="center"/>
          </w:tcPr>
          <w:p w14:paraId="65BF073D">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0B5456AE">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09A0B96E">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质量</w:t>
            </w:r>
            <w:r>
              <w:rPr>
                <w:rFonts w:hint="eastAsia" w:asciiTheme="minorEastAsia" w:hAnsiTheme="minorEastAsia" w:eastAsiaTheme="minorEastAsia" w:cstheme="minorEastAsia"/>
                <w:color w:val="auto"/>
                <w:szCs w:val="21"/>
                <w:highlight w:val="none"/>
                <w:lang w:val="en-US" w:eastAsia="zh-CN"/>
              </w:rPr>
              <w:t>要求</w:t>
            </w:r>
          </w:p>
        </w:tc>
        <w:tc>
          <w:tcPr>
            <w:tcW w:w="6397" w:type="dxa"/>
            <w:noWrap w:val="0"/>
            <w:vAlign w:val="center"/>
          </w:tcPr>
          <w:p w14:paraId="022B237D">
            <w:pPr>
              <w:spacing w:line="4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符合“</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w:t>
            </w:r>
            <w:r>
              <w:rPr>
                <w:rFonts w:hint="eastAsia" w:asciiTheme="minorEastAsia" w:hAnsiTheme="minorEastAsia" w:eastAsiaTheme="minorEastAsia" w:cstheme="minorEastAsia"/>
                <w:color w:val="auto"/>
                <w:szCs w:val="21"/>
                <w:highlight w:val="none"/>
                <w:lang w:val="en-US" w:eastAsia="zh-CN"/>
              </w:rPr>
              <w:t>第5项</w:t>
            </w:r>
            <w:r>
              <w:rPr>
                <w:rFonts w:hint="eastAsia" w:asciiTheme="minorEastAsia" w:hAnsiTheme="minorEastAsia" w:eastAsiaTheme="minorEastAsia" w:cstheme="minorEastAsia"/>
                <w:color w:val="auto"/>
                <w:szCs w:val="21"/>
                <w:highlight w:val="none"/>
              </w:rPr>
              <w:t>规定。</w:t>
            </w:r>
          </w:p>
        </w:tc>
      </w:tr>
      <w:tr w14:paraId="4276D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0"/>
            <w:vAlign w:val="center"/>
          </w:tcPr>
          <w:p w14:paraId="54798D57">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832" w:type="dxa"/>
            <w:vMerge w:val="continue"/>
            <w:noWrap w:val="0"/>
            <w:vAlign w:val="center"/>
          </w:tcPr>
          <w:p w14:paraId="1E383452">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2446" w:type="dxa"/>
            <w:gridSpan w:val="2"/>
            <w:noWrap w:val="0"/>
            <w:vAlign w:val="center"/>
          </w:tcPr>
          <w:p w14:paraId="7A4D05DA">
            <w:pPr>
              <w:spacing w:line="440" w:lineRule="exact"/>
              <w:jc w:val="cente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工期</w:t>
            </w:r>
          </w:p>
        </w:tc>
        <w:tc>
          <w:tcPr>
            <w:tcW w:w="6397" w:type="dxa"/>
            <w:noWrap w:val="0"/>
            <w:vAlign w:val="center"/>
          </w:tcPr>
          <w:p w14:paraId="79E9449F">
            <w:pPr>
              <w:spacing w:line="4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符合“</w:t>
            </w:r>
            <w:r>
              <w:rPr>
                <w:rFonts w:hint="eastAsia" w:asciiTheme="minorEastAsia" w:hAnsiTheme="minorEastAsia" w:eastAsiaTheme="minorEastAsia" w:cstheme="minorEastAsia"/>
                <w:color w:val="auto"/>
                <w:szCs w:val="21"/>
                <w:highlight w:val="none"/>
                <w:lang w:eastAsia="zh-CN"/>
              </w:rPr>
              <w:t>磋商供应商</w:t>
            </w:r>
            <w:r>
              <w:rPr>
                <w:rFonts w:hint="eastAsia" w:asciiTheme="minorEastAsia" w:hAnsiTheme="minorEastAsia" w:eastAsiaTheme="minorEastAsia" w:cstheme="minorEastAsia"/>
                <w:color w:val="auto"/>
                <w:szCs w:val="21"/>
                <w:highlight w:val="none"/>
              </w:rPr>
              <w:t>须知前附表”</w:t>
            </w:r>
            <w:r>
              <w:rPr>
                <w:rFonts w:hint="eastAsia" w:asciiTheme="minorEastAsia" w:hAnsiTheme="minorEastAsia" w:eastAsiaTheme="minorEastAsia" w:cstheme="minorEastAsia"/>
                <w:color w:val="auto"/>
                <w:szCs w:val="21"/>
                <w:highlight w:val="none"/>
                <w:lang w:val="en-US" w:eastAsia="zh-CN"/>
              </w:rPr>
              <w:t>第4项</w:t>
            </w:r>
            <w:r>
              <w:rPr>
                <w:rFonts w:hint="eastAsia" w:asciiTheme="minorEastAsia" w:hAnsiTheme="minorEastAsia" w:eastAsiaTheme="minorEastAsia" w:cstheme="minorEastAsia"/>
                <w:color w:val="auto"/>
                <w:szCs w:val="21"/>
                <w:highlight w:val="none"/>
              </w:rPr>
              <w:t>规定。</w:t>
            </w:r>
          </w:p>
        </w:tc>
      </w:tr>
      <w:tr w14:paraId="7928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noWrap w:val="0"/>
            <w:vAlign w:val="top"/>
          </w:tcPr>
          <w:p w14:paraId="098B8BA0">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p>
        </w:tc>
        <w:tc>
          <w:tcPr>
            <w:tcW w:w="9675" w:type="dxa"/>
            <w:gridSpan w:val="4"/>
            <w:noWrap w:val="0"/>
            <w:vAlign w:val="top"/>
          </w:tcPr>
          <w:p w14:paraId="03AE0746">
            <w:pPr>
              <w:autoSpaceDE w:val="0"/>
              <w:autoSpaceDN w:val="0"/>
              <w:adjustRightInd w:val="0"/>
              <w:spacing w:line="42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lang w:eastAsia="zh-CN"/>
              </w:rPr>
              <w:t>符合性审查</w:t>
            </w:r>
            <w:r>
              <w:rPr>
                <w:rFonts w:hint="eastAsia" w:asciiTheme="minorEastAsia" w:hAnsiTheme="minorEastAsia" w:eastAsiaTheme="minorEastAsia" w:cstheme="minorEastAsia"/>
                <w:b/>
                <w:color w:val="auto"/>
                <w:szCs w:val="21"/>
                <w:highlight w:val="none"/>
              </w:rPr>
              <w:t>项中缺少任何一项或有任何一项不合格者其初步审查视为不合格，初步评审不合格的磋商人不再进入以下各项组成的详细评审。</w:t>
            </w:r>
          </w:p>
        </w:tc>
      </w:tr>
      <w:tr w14:paraId="38361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38" w:type="dxa"/>
            <w:gridSpan w:val="5"/>
            <w:noWrap w:val="0"/>
            <w:vAlign w:val="top"/>
          </w:tcPr>
          <w:p w14:paraId="6A1D1AB5">
            <w:pPr>
              <w:autoSpaceDE w:val="0"/>
              <w:autoSpaceDN w:val="0"/>
              <w:adjustRightInd w:val="0"/>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详细评审标准</w:t>
            </w:r>
          </w:p>
        </w:tc>
      </w:tr>
      <w:tr w14:paraId="23852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595" w:type="dxa"/>
            <w:gridSpan w:val="2"/>
            <w:tcBorders>
              <w:top w:val="single" w:color="auto" w:sz="4" w:space="0"/>
              <w:left w:val="single" w:color="auto" w:sz="4" w:space="0"/>
              <w:bottom w:val="single" w:color="auto" w:sz="4" w:space="0"/>
              <w:right w:val="single" w:color="auto" w:sz="4" w:space="0"/>
            </w:tcBorders>
            <w:noWrap w:val="0"/>
            <w:vAlign w:val="center"/>
          </w:tcPr>
          <w:p w14:paraId="0BE19999">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报价分</w:t>
            </w:r>
          </w:p>
          <w:p w14:paraId="74A4FA68">
            <w:pPr>
              <w:autoSpaceDE w:val="0"/>
              <w:autoSpaceDN w:val="0"/>
              <w:adjustRightInd w:val="0"/>
              <w:spacing w:line="420" w:lineRule="exact"/>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评审标准</w:t>
            </w:r>
          </w:p>
          <w:p w14:paraId="0BE19A14">
            <w:pPr>
              <w:spacing w:line="42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w:t>
            </w:r>
            <w:r>
              <w:rPr>
                <w:rFonts w:hint="eastAsia" w:asciiTheme="minorEastAsia" w:hAnsiTheme="minorEastAsia" w:eastAsiaTheme="minorEastAsia" w:cstheme="minorEastAsia"/>
                <w:b/>
                <w:color w:val="auto"/>
                <w:szCs w:val="21"/>
                <w:highlight w:val="none"/>
                <w:lang w:val="en-US" w:eastAsia="zh-CN"/>
              </w:rPr>
              <w:t>30</w:t>
            </w:r>
            <w:r>
              <w:rPr>
                <w:rFonts w:hint="eastAsia" w:asciiTheme="minorEastAsia" w:hAnsiTheme="minorEastAsia" w:eastAsiaTheme="minorEastAsia" w:cstheme="minorEastAsia"/>
                <w:b/>
                <w:color w:val="auto"/>
                <w:szCs w:val="21"/>
                <w:highlight w:val="none"/>
              </w:rPr>
              <w:t>分）</w:t>
            </w:r>
          </w:p>
        </w:tc>
        <w:tc>
          <w:tcPr>
            <w:tcW w:w="8843" w:type="dxa"/>
            <w:gridSpan w:val="3"/>
            <w:tcBorders>
              <w:top w:val="single" w:color="auto" w:sz="4" w:space="0"/>
              <w:left w:val="single" w:color="auto" w:sz="4" w:space="0"/>
              <w:bottom w:val="single" w:color="auto" w:sz="4" w:space="0"/>
            </w:tcBorders>
            <w:noWrap w:val="0"/>
            <w:vAlign w:val="center"/>
          </w:tcPr>
          <w:p w14:paraId="3BB16BD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bCs/>
                <w:color w:val="auto"/>
                <w:szCs w:val="21"/>
                <w:highlight w:val="none"/>
              </w:rPr>
              <w:t>评标基准价的计算方法：</w:t>
            </w:r>
          </w:p>
          <w:p w14:paraId="48657C6F">
            <w:pPr>
              <w:tabs>
                <w:tab w:val="left" w:pos="223"/>
              </w:tabs>
              <w:spacing w:before="77" w:line="273" w:lineRule="auto"/>
              <w:ind w:right="105" w:firstLine="444" w:firstLineChars="200"/>
              <w:rPr>
                <w:rFonts w:ascii="宋体" w:hAnsi="宋体" w:eastAsia="宋体" w:cs="宋体"/>
                <w:sz w:val="20"/>
                <w:szCs w:val="20"/>
              </w:rPr>
            </w:pPr>
            <w:r>
              <w:rPr>
                <w:rFonts w:ascii="宋体" w:hAnsi="宋体" w:eastAsia="宋体" w:cs="宋体"/>
                <w:spacing w:val="11"/>
                <w:sz w:val="20"/>
                <w:szCs w:val="20"/>
              </w:rPr>
              <w:t>(1) 有效报价范围：为通过资格</w:t>
            </w:r>
            <w:r>
              <w:rPr>
                <w:rFonts w:hint="eastAsia" w:ascii="宋体" w:hAnsi="宋体" w:cs="宋体"/>
                <w:spacing w:val="11"/>
                <w:sz w:val="20"/>
                <w:szCs w:val="20"/>
                <w:lang w:val="en-US" w:eastAsia="zh-CN"/>
              </w:rPr>
              <w:t>审查</w:t>
            </w:r>
            <w:r>
              <w:rPr>
                <w:rFonts w:ascii="宋体" w:hAnsi="宋体" w:eastAsia="宋体" w:cs="宋体"/>
                <w:spacing w:val="11"/>
                <w:sz w:val="20"/>
                <w:szCs w:val="20"/>
              </w:rPr>
              <w:t>、</w:t>
            </w:r>
            <w:r>
              <w:rPr>
                <w:rFonts w:hint="eastAsia" w:ascii="宋体" w:hAnsi="宋体" w:cs="宋体"/>
                <w:spacing w:val="11"/>
                <w:sz w:val="20"/>
                <w:szCs w:val="20"/>
                <w:lang w:val="en-US" w:eastAsia="zh-CN"/>
              </w:rPr>
              <w:t>符合性审查</w:t>
            </w:r>
            <w:r>
              <w:rPr>
                <w:rFonts w:ascii="宋体" w:hAnsi="宋体" w:eastAsia="宋体" w:cs="宋体"/>
                <w:spacing w:val="12"/>
                <w:sz w:val="20"/>
                <w:szCs w:val="20"/>
              </w:rPr>
              <w:t>、技术标评审合格、投标总价低于或等于最高投标限价(</w:t>
            </w:r>
            <w:r>
              <w:rPr>
                <w:rFonts w:ascii="宋体" w:hAnsi="宋体" w:eastAsia="宋体" w:cs="宋体"/>
                <w:spacing w:val="7"/>
                <w:sz w:val="20"/>
                <w:szCs w:val="20"/>
              </w:rPr>
              <w:t>采</w:t>
            </w:r>
            <w:r>
              <w:rPr>
                <w:rFonts w:ascii="宋体" w:hAnsi="宋体" w:eastAsia="宋体" w:cs="宋体"/>
                <w:spacing w:val="6"/>
                <w:sz w:val="20"/>
                <w:szCs w:val="20"/>
              </w:rPr>
              <w:t>购预算价) 的报价。</w:t>
            </w:r>
          </w:p>
          <w:p w14:paraId="394962BD">
            <w:pPr>
              <w:spacing w:before="72" w:line="263" w:lineRule="auto"/>
              <w:ind w:right="108" w:firstLine="444" w:firstLineChars="200"/>
              <w:rPr>
                <w:rFonts w:ascii="宋体" w:hAnsi="宋体" w:eastAsia="宋体" w:cs="宋体"/>
                <w:sz w:val="20"/>
                <w:szCs w:val="20"/>
              </w:rPr>
            </w:pPr>
            <w:r>
              <w:rPr>
                <w:rFonts w:ascii="宋体" w:hAnsi="宋体" w:eastAsia="宋体" w:cs="宋体"/>
                <w:spacing w:val="11"/>
                <w:sz w:val="20"/>
                <w:szCs w:val="20"/>
              </w:rPr>
              <w:t>(2) 将有效报价范围内的投标总价，按由低到高的顺序依</w:t>
            </w:r>
            <w:r>
              <w:rPr>
                <w:rFonts w:ascii="宋体" w:hAnsi="宋体" w:eastAsia="宋体" w:cs="宋体"/>
                <w:spacing w:val="7"/>
                <w:sz w:val="20"/>
                <w:szCs w:val="20"/>
              </w:rPr>
              <w:t>次</w:t>
            </w:r>
            <w:r>
              <w:rPr>
                <w:rFonts w:ascii="宋体" w:hAnsi="宋体" w:eastAsia="宋体" w:cs="宋体"/>
                <w:spacing w:val="6"/>
                <w:sz w:val="20"/>
                <w:szCs w:val="20"/>
              </w:rPr>
              <w:t>排出名次</w:t>
            </w:r>
            <w:r>
              <w:rPr>
                <w:rFonts w:ascii="宋体" w:hAnsi="宋体" w:eastAsia="宋体" w:cs="宋体"/>
                <w:spacing w:val="5"/>
                <w:sz w:val="20"/>
                <w:szCs w:val="20"/>
              </w:rPr>
              <w:t>。</w:t>
            </w:r>
          </w:p>
          <w:p w14:paraId="71A1235D">
            <w:pPr>
              <w:pStyle w:val="8"/>
              <w:ind w:firstLine="480" w:firstLineChars="200"/>
              <w:rPr>
                <w:rFonts w:hint="eastAsia"/>
              </w:rPr>
            </w:pPr>
            <w:r>
              <w:rPr>
                <w:rFonts w:ascii="宋体" w:hAnsi="宋体" w:eastAsia="宋体" w:cs="宋体"/>
                <w:spacing w:val="20"/>
                <w:sz w:val="20"/>
                <w:szCs w:val="20"/>
              </w:rPr>
              <w:t>(</w:t>
            </w:r>
            <w:r>
              <w:rPr>
                <w:rFonts w:ascii="宋体" w:hAnsi="宋体" w:eastAsia="宋体" w:cs="宋体"/>
                <w:spacing w:val="12"/>
                <w:sz w:val="20"/>
                <w:szCs w:val="20"/>
              </w:rPr>
              <w:t>3) 评标基准价为所有有效报价的算术平均值。</w:t>
            </w:r>
          </w:p>
          <w:p w14:paraId="27884B62">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报价分评分标准：</w:t>
            </w:r>
          </w:p>
          <w:p w14:paraId="2EC5DDBE">
            <w:pPr>
              <w:spacing w:line="420" w:lineRule="exact"/>
              <w:ind w:firstLine="416" w:firstLineChars="200"/>
              <w:rPr>
                <w:rFonts w:ascii="宋体" w:hAnsi="宋体" w:eastAsia="宋体" w:cs="宋体"/>
                <w:spacing w:val="-2"/>
                <w:sz w:val="20"/>
                <w:szCs w:val="20"/>
              </w:rPr>
            </w:pPr>
            <w:r>
              <w:rPr>
                <w:rFonts w:ascii="宋体" w:hAnsi="宋体" w:eastAsia="宋体" w:cs="宋体"/>
                <w:spacing w:val="4"/>
                <w:sz w:val="20"/>
                <w:szCs w:val="20"/>
              </w:rPr>
              <w:t xml:space="preserve">评标基准价得分为满分 </w:t>
            </w:r>
            <w:r>
              <w:rPr>
                <w:rFonts w:hint="eastAsia" w:ascii="宋体" w:hAnsi="宋体" w:eastAsia="宋体" w:cs="宋体"/>
                <w:spacing w:val="4"/>
                <w:sz w:val="20"/>
                <w:szCs w:val="20"/>
                <w:lang w:val="en-US" w:eastAsia="zh-CN"/>
              </w:rPr>
              <w:t>3</w:t>
            </w:r>
            <w:r>
              <w:rPr>
                <w:rFonts w:ascii="宋体" w:hAnsi="宋体" w:eastAsia="宋体" w:cs="宋体"/>
                <w:spacing w:val="4"/>
                <w:sz w:val="20"/>
                <w:szCs w:val="20"/>
              </w:rPr>
              <w:t>0 分，采用内插法计算各投标人的</w:t>
            </w:r>
            <w:r>
              <w:rPr>
                <w:rFonts w:ascii="宋体" w:hAnsi="宋体" w:eastAsia="宋体" w:cs="宋体"/>
                <w:spacing w:val="3"/>
                <w:sz w:val="20"/>
                <w:szCs w:val="20"/>
              </w:rPr>
              <w:t>商</w:t>
            </w:r>
            <w:r>
              <w:rPr>
                <w:rFonts w:ascii="宋体" w:hAnsi="宋体" w:eastAsia="宋体" w:cs="宋体"/>
                <w:spacing w:val="4"/>
                <w:sz w:val="20"/>
                <w:szCs w:val="20"/>
              </w:rPr>
              <w:t>务标得分，投标人评标价每高于评标基准价1%的扣</w:t>
            </w:r>
            <w:r>
              <w:rPr>
                <w:rFonts w:hint="eastAsia" w:ascii="宋体" w:hAnsi="宋体" w:cs="宋体"/>
                <w:spacing w:val="4"/>
                <w:sz w:val="20"/>
                <w:szCs w:val="20"/>
                <w:lang w:val="en-US" w:eastAsia="zh-CN"/>
              </w:rPr>
              <w:t>1</w:t>
            </w:r>
            <w:r>
              <w:rPr>
                <w:rFonts w:ascii="宋体" w:hAnsi="宋体" w:eastAsia="宋体" w:cs="宋体"/>
                <w:spacing w:val="4"/>
                <w:sz w:val="20"/>
                <w:szCs w:val="20"/>
              </w:rPr>
              <w:t>分</w:t>
            </w:r>
            <w:r>
              <w:rPr>
                <w:rFonts w:ascii="宋体" w:hAnsi="宋体" w:eastAsia="宋体" w:cs="宋体"/>
                <w:spacing w:val="3"/>
                <w:sz w:val="20"/>
                <w:szCs w:val="20"/>
              </w:rPr>
              <w:t>，</w:t>
            </w:r>
            <w:r>
              <w:rPr>
                <w:rFonts w:ascii="宋体" w:hAnsi="宋体" w:eastAsia="宋体" w:cs="宋体"/>
                <w:sz w:val="20"/>
                <w:szCs w:val="20"/>
              </w:rPr>
              <w:t>每</w:t>
            </w:r>
            <w:r>
              <w:rPr>
                <w:rFonts w:ascii="宋体" w:hAnsi="宋体" w:eastAsia="宋体" w:cs="宋体"/>
                <w:spacing w:val="-4"/>
                <w:sz w:val="20"/>
                <w:szCs w:val="20"/>
              </w:rPr>
              <w:t>低</w:t>
            </w:r>
            <w:r>
              <w:rPr>
                <w:rFonts w:ascii="宋体" w:hAnsi="宋体" w:eastAsia="宋体" w:cs="宋体"/>
                <w:spacing w:val="-3"/>
                <w:sz w:val="20"/>
                <w:szCs w:val="20"/>
              </w:rPr>
              <w:t>于</w:t>
            </w:r>
            <w:r>
              <w:rPr>
                <w:rFonts w:ascii="宋体" w:hAnsi="宋体" w:eastAsia="宋体" w:cs="宋体"/>
                <w:spacing w:val="-2"/>
                <w:sz w:val="20"/>
                <w:szCs w:val="20"/>
              </w:rPr>
              <w:t>评标基准价1%的扣</w:t>
            </w:r>
            <w:r>
              <w:rPr>
                <w:rFonts w:hint="eastAsia" w:ascii="宋体" w:hAnsi="宋体" w:eastAsia="宋体" w:cs="宋体"/>
                <w:spacing w:val="-2"/>
                <w:sz w:val="20"/>
                <w:szCs w:val="20"/>
                <w:lang w:val="en-US" w:eastAsia="zh-CN"/>
              </w:rPr>
              <w:t>0.</w:t>
            </w:r>
            <w:r>
              <w:rPr>
                <w:rFonts w:hint="eastAsia" w:ascii="宋体" w:hAnsi="宋体" w:cs="宋体"/>
                <w:spacing w:val="-2"/>
                <w:sz w:val="20"/>
                <w:szCs w:val="20"/>
                <w:lang w:val="en-US" w:eastAsia="zh-CN"/>
              </w:rPr>
              <w:t>5</w:t>
            </w:r>
            <w:r>
              <w:rPr>
                <w:rFonts w:ascii="宋体" w:hAnsi="宋体" w:eastAsia="宋体" w:cs="宋体"/>
                <w:spacing w:val="-2"/>
                <w:sz w:val="20"/>
                <w:szCs w:val="20"/>
              </w:rPr>
              <w:t>分。</w:t>
            </w:r>
          </w:p>
          <w:p w14:paraId="396F1093">
            <w:pPr>
              <w:spacing w:line="420" w:lineRule="exact"/>
              <w:rPr>
                <w:rFonts w:hint="eastAsia" w:ascii="宋体" w:hAnsi="宋体" w:eastAsia="宋体" w:cs="宋体"/>
                <w:spacing w:val="-2"/>
                <w:sz w:val="20"/>
                <w:szCs w:val="20"/>
                <w:lang w:val="en-US" w:eastAsia="zh-CN"/>
              </w:rPr>
            </w:pPr>
            <w:r>
              <w:rPr>
                <w:rFonts w:hint="eastAsia" w:ascii="宋体" w:hAnsi="宋体" w:cs="宋体"/>
                <w:b/>
                <w:bCs/>
                <w:color w:val="auto"/>
                <w:spacing w:val="-2"/>
                <w:sz w:val="20"/>
                <w:szCs w:val="20"/>
                <w:lang w:val="en-US" w:eastAsia="zh-CN"/>
              </w:rPr>
              <w:t>备注：本项目为专门面向“中小企业”的项目，不再执行价格评审优惠的扶持政策。</w:t>
            </w:r>
          </w:p>
        </w:tc>
      </w:tr>
      <w:tr w14:paraId="3CDD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95" w:type="dxa"/>
            <w:gridSpan w:val="2"/>
            <w:vMerge w:val="restart"/>
            <w:noWrap w:val="0"/>
            <w:vAlign w:val="center"/>
          </w:tcPr>
          <w:p w14:paraId="7B5EA97A">
            <w:pPr>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kern w:val="0"/>
                <w:szCs w:val="21"/>
                <w:highlight w:val="none"/>
              </w:rPr>
              <w:t>施工组织设计</w:t>
            </w:r>
          </w:p>
          <w:p w14:paraId="0DFF6497">
            <w:pPr>
              <w:spacing w:line="400" w:lineRule="exact"/>
              <w:jc w:val="left"/>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（满分</w:t>
            </w:r>
            <w:r>
              <w:rPr>
                <w:rFonts w:hint="eastAsia" w:asciiTheme="minorEastAsia" w:hAnsiTheme="minorEastAsia" w:eastAsiaTheme="minorEastAsia" w:cstheme="minorEastAsia"/>
                <w:b/>
                <w:color w:val="auto"/>
                <w:szCs w:val="21"/>
                <w:highlight w:val="none"/>
                <w:lang w:val="en-US" w:eastAsia="zh-CN"/>
              </w:rPr>
              <w:t>60</w:t>
            </w:r>
            <w:r>
              <w:rPr>
                <w:rFonts w:hint="eastAsia" w:asciiTheme="minorEastAsia" w:hAnsiTheme="minorEastAsia" w:eastAsiaTheme="minorEastAsia" w:cstheme="minorEastAsia"/>
                <w:b/>
                <w:color w:val="auto"/>
                <w:szCs w:val="21"/>
                <w:highlight w:val="none"/>
              </w:rPr>
              <w:t>分）</w:t>
            </w:r>
          </w:p>
          <w:p w14:paraId="56A7215C">
            <w:pPr>
              <w:spacing w:line="400" w:lineRule="exact"/>
              <w:jc w:val="lef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由磋商评审小组按下述评审标准对比各竞标人的施工组织设计后，每个评委独立打分，某</w:t>
            </w:r>
            <w:r>
              <w:rPr>
                <w:rFonts w:hint="eastAsia" w:asciiTheme="minorEastAsia" w:hAnsiTheme="minorEastAsia" w:eastAsiaTheme="minorEastAsia" w:cstheme="minorEastAsia"/>
                <w:color w:val="auto"/>
                <w:kern w:val="0"/>
                <w:szCs w:val="21"/>
                <w:highlight w:val="none"/>
                <w:lang w:val="en-US" w:eastAsia="zh-CN"/>
              </w:rPr>
              <w:t>竞</w:t>
            </w:r>
            <w:r>
              <w:rPr>
                <w:rFonts w:hint="eastAsia" w:asciiTheme="minorEastAsia" w:hAnsiTheme="minorEastAsia" w:eastAsiaTheme="minorEastAsia" w:cstheme="minorEastAsia"/>
                <w:color w:val="auto"/>
                <w:kern w:val="0"/>
                <w:szCs w:val="21"/>
                <w:highlight w:val="none"/>
              </w:rPr>
              <w:t>标人本评审项得分为各评委打分的算数平均值。</w:t>
            </w:r>
          </w:p>
          <w:p w14:paraId="280A5EB9">
            <w:pPr>
              <w:spacing w:line="400" w:lineRule="exact"/>
              <w:jc w:val="left"/>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kern w:val="0"/>
                <w:szCs w:val="21"/>
                <w:highlight w:val="none"/>
              </w:rPr>
              <w:t>评定标准：每评审项满分6分，分4个档（一档：1.5分；二档：3分；三档：4.5分；四档：6分）打分。</w:t>
            </w:r>
          </w:p>
          <w:p w14:paraId="12C5C6DC">
            <w:pPr>
              <w:spacing w:line="400" w:lineRule="exact"/>
              <w:jc w:val="left"/>
              <w:rPr>
                <w:rFonts w:hint="eastAsia" w:asciiTheme="minorEastAsia" w:hAnsiTheme="minorEastAsia" w:eastAsiaTheme="minorEastAsia" w:cstheme="minorEastAsia"/>
                <w:b/>
                <w:color w:val="auto"/>
                <w:kern w:val="0"/>
                <w:szCs w:val="21"/>
                <w:highlight w:val="none"/>
              </w:rPr>
            </w:pPr>
          </w:p>
          <w:p w14:paraId="0BE7E52A">
            <w:pPr>
              <w:spacing w:line="400" w:lineRule="exact"/>
              <w:jc w:val="left"/>
              <w:rPr>
                <w:rFonts w:hint="eastAsia" w:asciiTheme="minorEastAsia" w:hAnsiTheme="minorEastAsia" w:eastAsiaTheme="minorEastAsia" w:cstheme="minorEastAsia"/>
                <w:b/>
                <w:color w:val="auto"/>
                <w:kern w:val="0"/>
                <w:szCs w:val="21"/>
                <w:highlight w:val="none"/>
              </w:rPr>
            </w:pPr>
          </w:p>
          <w:p w14:paraId="677AE39B">
            <w:pPr>
              <w:spacing w:line="420" w:lineRule="exact"/>
              <w:jc w:val="center"/>
              <w:rPr>
                <w:rFonts w:hint="eastAsia" w:asciiTheme="minorEastAsia" w:hAnsiTheme="minorEastAsia" w:eastAsiaTheme="minorEastAsia" w:cstheme="minorEastAsia"/>
                <w:color w:val="auto"/>
                <w:kern w:val="0"/>
                <w:szCs w:val="21"/>
                <w:highlight w:val="none"/>
              </w:rPr>
            </w:pPr>
          </w:p>
        </w:tc>
        <w:tc>
          <w:tcPr>
            <w:tcW w:w="2033" w:type="dxa"/>
            <w:noWrap w:val="0"/>
            <w:vAlign w:val="center"/>
          </w:tcPr>
          <w:p w14:paraId="49BC114E">
            <w:pPr>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主要施工方法</w:t>
            </w:r>
          </w:p>
          <w:p w14:paraId="7CE90140">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69C583C7">
            <w:pPr>
              <w:spacing w:line="42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各主要分部施工方法符合项目实际，须有详尽的施工技术方案，工艺先进、方法科学合理、可行，能指导具体施工并确保安全。</w:t>
            </w:r>
          </w:p>
        </w:tc>
      </w:tr>
      <w:tr w14:paraId="1E85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4F5AC433">
            <w:pPr>
              <w:spacing w:line="420" w:lineRule="exact"/>
              <w:jc w:val="center"/>
              <w:rPr>
                <w:rFonts w:hint="eastAsia" w:asciiTheme="minorEastAsia" w:hAnsiTheme="minorEastAsia" w:eastAsiaTheme="minorEastAsia" w:cstheme="minorEastAsia"/>
                <w:b/>
                <w:color w:val="auto"/>
                <w:kern w:val="0"/>
                <w:szCs w:val="21"/>
                <w:highlight w:val="none"/>
              </w:rPr>
            </w:pPr>
          </w:p>
        </w:tc>
        <w:tc>
          <w:tcPr>
            <w:tcW w:w="2033" w:type="dxa"/>
            <w:noWrap w:val="0"/>
            <w:vAlign w:val="center"/>
          </w:tcPr>
          <w:p w14:paraId="4176A71C">
            <w:pPr>
              <w:spacing w:line="420" w:lineRule="exact"/>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highlight w:val="none"/>
              </w:rPr>
              <w:t>拟投入的主要物资计划（</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2040062F">
            <w:pPr>
              <w:widowControl/>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highlight w:val="none"/>
              </w:rPr>
              <w:t>投入的施工材料有详细的组织计划且计划周密，数量、选型配置、进场时间安排合理，满足施工需要。</w:t>
            </w:r>
          </w:p>
        </w:tc>
      </w:tr>
      <w:tr w14:paraId="2FEA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95" w:type="dxa"/>
            <w:gridSpan w:val="2"/>
            <w:vMerge w:val="continue"/>
            <w:noWrap w:val="0"/>
            <w:vAlign w:val="center"/>
          </w:tcPr>
          <w:p w14:paraId="6196D642">
            <w:pPr>
              <w:spacing w:line="420" w:lineRule="exact"/>
              <w:ind w:firstLine="420" w:firstLineChars="200"/>
              <w:rPr>
                <w:rFonts w:hint="eastAsia" w:asciiTheme="minorEastAsia" w:hAnsiTheme="minorEastAsia" w:eastAsiaTheme="minorEastAsia" w:cstheme="minorEastAsia"/>
                <w:color w:val="auto"/>
                <w:highlight w:val="none"/>
              </w:rPr>
            </w:pPr>
          </w:p>
        </w:tc>
        <w:tc>
          <w:tcPr>
            <w:tcW w:w="2033" w:type="dxa"/>
            <w:noWrap w:val="0"/>
            <w:vAlign w:val="center"/>
          </w:tcPr>
          <w:p w14:paraId="3E1CEF34">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拟投入的主要施工机械、设备计划</w:t>
            </w:r>
          </w:p>
          <w:p w14:paraId="2678103C">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47CBA3A8">
            <w:pPr>
              <w:widowControl/>
              <w:spacing w:line="360" w:lineRule="auto"/>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color w:val="auto"/>
                <w:highlight w:val="none"/>
              </w:rPr>
              <w:t>投入的施工机械、设备、机具有详细的组织计划且计划周密，设备数量、选型配置、进场时间安排合理，满足施工需要。</w:t>
            </w:r>
          </w:p>
        </w:tc>
      </w:tr>
      <w:tr w14:paraId="7C4C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trPr>
        <w:tc>
          <w:tcPr>
            <w:tcW w:w="1595" w:type="dxa"/>
            <w:gridSpan w:val="2"/>
            <w:vMerge w:val="continue"/>
            <w:noWrap w:val="0"/>
            <w:vAlign w:val="center"/>
          </w:tcPr>
          <w:p w14:paraId="56BE7BE7">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58267D4C">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劳动力安排计划</w:t>
            </w:r>
          </w:p>
          <w:p w14:paraId="3933F7DF">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69D4BDB3">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各主要施工工序应有详细周密的劳动力安排计划，有各工种劳动力安排计划，劳动力投入合理，满足施工需要。</w:t>
            </w:r>
          </w:p>
        </w:tc>
      </w:tr>
      <w:tr w14:paraId="0F999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1595" w:type="dxa"/>
            <w:gridSpan w:val="2"/>
            <w:vMerge w:val="continue"/>
            <w:noWrap w:val="0"/>
            <w:vAlign w:val="center"/>
          </w:tcPr>
          <w:p w14:paraId="7AC489A4">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2EBBFD6F">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确保工程质量的技术组织措施（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28618AA">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应有专门的质量技术管理班子和制度，且人员配备合理，制度健全。主要工序应有质量技术保证措施和手段，自控体系完整，能有效保证技术质量，达到承诺的质量标准。</w:t>
            </w:r>
          </w:p>
        </w:tc>
      </w:tr>
      <w:tr w14:paraId="5EF4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430A5918">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24908EB0">
            <w:pPr>
              <w:widowControl/>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确保安全生产的技术组织措施（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B2922D1">
            <w:pPr>
              <w:widowControl/>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highlight w:val="none"/>
              </w:rPr>
              <w:t>应有专门的安全管理人员和制度，且人员配备合理，制度健全，各道工序安全技术措施针对性强，符合实际且满足有关安全技术标准要求。现场防火、应急救援、社会治安安全措施得力。</w:t>
            </w:r>
          </w:p>
        </w:tc>
      </w:tr>
      <w:tr w14:paraId="0F91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595" w:type="dxa"/>
            <w:gridSpan w:val="2"/>
            <w:vMerge w:val="continue"/>
            <w:noWrap w:val="0"/>
            <w:vAlign w:val="center"/>
          </w:tcPr>
          <w:p w14:paraId="78254F7B">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3F0057E4">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确保工期的技术组织措施（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33688C5">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118C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1AE15061">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3BB3B3D2">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确保文明施工的技术组织措施（</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014A7BDD">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tc>
      </w:tr>
      <w:tr w14:paraId="1F2D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595" w:type="dxa"/>
            <w:gridSpan w:val="2"/>
            <w:vMerge w:val="continue"/>
            <w:noWrap w:val="0"/>
            <w:vAlign w:val="center"/>
          </w:tcPr>
          <w:p w14:paraId="3C998DC4">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75F35DEE">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工程施工的重点和难点及保证措</w:t>
            </w:r>
          </w:p>
          <w:p w14:paraId="736134F1">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1F86FA2">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针对本工程的特点，阐述本工程的重点和难点，解决重点和难点问题的方法是否合理。</w:t>
            </w:r>
          </w:p>
        </w:tc>
      </w:tr>
      <w:tr w14:paraId="630A5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595" w:type="dxa"/>
            <w:gridSpan w:val="2"/>
            <w:vMerge w:val="continue"/>
            <w:noWrap w:val="0"/>
            <w:vAlign w:val="center"/>
          </w:tcPr>
          <w:p w14:paraId="3B6E80B9">
            <w:pPr>
              <w:spacing w:line="420" w:lineRule="exact"/>
              <w:ind w:firstLine="420" w:firstLineChars="200"/>
              <w:rPr>
                <w:rFonts w:hint="eastAsia" w:asciiTheme="minorEastAsia" w:hAnsiTheme="minorEastAsia" w:eastAsiaTheme="minorEastAsia" w:cstheme="minorEastAsia"/>
                <w:bCs/>
                <w:color w:val="auto"/>
                <w:szCs w:val="21"/>
                <w:highlight w:val="none"/>
              </w:rPr>
            </w:pPr>
          </w:p>
        </w:tc>
        <w:tc>
          <w:tcPr>
            <w:tcW w:w="2033" w:type="dxa"/>
            <w:noWrap w:val="0"/>
            <w:vAlign w:val="center"/>
          </w:tcPr>
          <w:p w14:paraId="6F61A1E3">
            <w:pPr>
              <w:widowControl/>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施工总平面布置图（</w:t>
            </w:r>
            <w:r>
              <w:rPr>
                <w:rFonts w:hint="eastAsia" w:asciiTheme="minorEastAsia" w:hAnsiTheme="minorEastAsia" w:eastAsiaTheme="minorEastAsia" w:cstheme="minorEastAsia"/>
                <w:color w:val="auto"/>
                <w:highlight w:val="none"/>
                <w:lang w:val="en-US" w:eastAsia="zh-CN"/>
              </w:rPr>
              <w:t>6</w:t>
            </w:r>
            <w:r>
              <w:rPr>
                <w:rFonts w:hint="eastAsia" w:asciiTheme="minorEastAsia" w:hAnsiTheme="minorEastAsia" w:eastAsiaTheme="minorEastAsia" w:cstheme="minorEastAsia"/>
                <w:color w:val="auto"/>
                <w:highlight w:val="none"/>
              </w:rPr>
              <w:t>分）</w:t>
            </w:r>
          </w:p>
        </w:tc>
        <w:tc>
          <w:tcPr>
            <w:tcW w:w="6810" w:type="dxa"/>
            <w:gridSpan w:val="2"/>
            <w:noWrap w:val="0"/>
            <w:vAlign w:val="center"/>
          </w:tcPr>
          <w:p w14:paraId="5D52D999">
            <w:pPr>
              <w:widowControl/>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应有施工总平面布置图，安排科学合理，符合本项目施工实际要求。</w:t>
            </w:r>
          </w:p>
        </w:tc>
      </w:tr>
      <w:tr w14:paraId="3B06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1595" w:type="dxa"/>
            <w:gridSpan w:val="2"/>
            <w:noWrap w:val="0"/>
            <w:vAlign w:val="center"/>
          </w:tcPr>
          <w:p w14:paraId="344C8F36">
            <w:pPr>
              <w:spacing w:line="400" w:lineRule="exact"/>
              <w:jc w:val="center"/>
              <w:rPr>
                <w:rFonts w:hint="eastAsia" w:asciiTheme="minorEastAsia" w:hAnsiTheme="minorEastAsia" w:eastAsiaTheme="minorEastAsia" w:cstheme="minorEastAsia"/>
                <w:b/>
                <w:bCs w:val="0"/>
                <w:color w:val="auto"/>
                <w:szCs w:val="21"/>
                <w:highlight w:val="none"/>
              </w:rPr>
            </w:pPr>
            <w:r>
              <w:rPr>
                <w:rFonts w:hint="eastAsia" w:asciiTheme="minorEastAsia" w:hAnsiTheme="minorEastAsia" w:eastAsiaTheme="minorEastAsia" w:cstheme="minorEastAsia"/>
                <w:b/>
                <w:bCs w:val="0"/>
                <w:color w:val="auto"/>
                <w:szCs w:val="21"/>
                <w:highlight w:val="none"/>
              </w:rPr>
              <w:t>项目管理机构</w:t>
            </w:r>
          </w:p>
          <w:p w14:paraId="180D357A">
            <w:pPr>
              <w:autoSpaceDE w:val="0"/>
              <w:autoSpaceDN w:val="0"/>
              <w:adjustRightInd w:val="0"/>
              <w:spacing w:line="420" w:lineRule="exact"/>
              <w:jc w:val="center"/>
              <w:rPr>
                <w:rFonts w:hint="eastAsia" w:asciiTheme="minorEastAsia" w:hAnsiTheme="minorEastAsia" w:eastAsiaTheme="minorEastAsia" w:cstheme="minorEastAsia"/>
                <w:b w:val="0"/>
                <w:bCs/>
                <w:color w:val="auto"/>
                <w:kern w:val="0"/>
                <w:szCs w:val="21"/>
                <w:highlight w:val="none"/>
              </w:rPr>
            </w:pPr>
            <w:r>
              <w:rPr>
                <w:rFonts w:hint="eastAsia" w:asciiTheme="minorEastAsia" w:hAnsiTheme="minorEastAsia" w:eastAsiaTheme="minorEastAsia" w:cstheme="minorEastAsia"/>
                <w:b/>
                <w:bCs w:val="0"/>
                <w:color w:val="auto"/>
                <w:szCs w:val="21"/>
                <w:highlight w:val="none"/>
              </w:rPr>
              <w:t>（满分</w:t>
            </w:r>
            <w:r>
              <w:rPr>
                <w:rFonts w:hint="eastAsia" w:asciiTheme="minorEastAsia" w:hAnsiTheme="minorEastAsia" w:eastAsiaTheme="minorEastAsia" w:cstheme="minorEastAsia"/>
                <w:b/>
                <w:bCs w:val="0"/>
                <w:color w:val="auto"/>
                <w:szCs w:val="21"/>
                <w:highlight w:val="none"/>
                <w:lang w:val="en-US" w:eastAsia="zh-CN"/>
              </w:rPr>
              <w:t>10</w:t>
            </w:r>
            <w:r>
              <w:rPr>
                <w:rFonts w:hint="eastAsia" w:asciiTheme="minorEastAsia" w:hAnsiTheme="minorEastAsia" w:eastAsiaTheme="minorEastAsia" w:cstheme="minorEastAsia"/>
                <w:b/>
                <w:bCs w:val="0"/>
                <w:color w:val="auto"/>
                <w:szCs w:val="21"/>
                <w:highlight w:val="none"/>
              </w:rPr>
              <w:t>分）</w:t>
            </w:r>
          </w:p>
        </w:tc>
        <w:tc>
          <w:tcPr>
            <w:tcW w:w="8843" w:type="dxa"/>
            <w:gridSpan w:val="3"/>
            <w:noWrap w:val="0"/>
            <w:vAlign w:val="center"/>
          </w:tcPr>
          <w:p w14:paraId="7614FED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1、项目经理任职资格与业绩、工作经历等（满分6分）：</w:t>
            </w:r>
          </w:p>
          <w:p w14:paraId="5A01F16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拟派任项目经理（或注册建造师）必须与资格审查合格通过的项目经理（或注册建造师）在名称、专业、资格等级等方面一致。</w:t>
            </w:r>
          </w:p>
          <w:p w14:paraId="37C32A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1）.项目经理（6 分）</w:t>
            </w:r>
          </w:p>
          <w:p w14:paraId="76F741F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（1）拟派往本项目的项目经理</w:t>
            </w:r>
            <w:r>
              <w:rPr>
                <w:rFonts w:hint="eastAsia" w:asciiTheme="minorEastAsia" w:hAnsiTheme="minorEastAsia" w:eastAsiaTheme="minorEastAsia" w:cstheme="minorEastAsia"/>
                <w:color w:val="auto"/>
                <w:szCs w:val="21"/>
                <w:highlight w:val="none"/>
                <w:lang w:val="en-US" w:eastAsia="zh-CN"/>
              </w:rPr>
              <w:t>具备市政工程专业注册建造师二级以上（含二级）执业资格和具备有效的《安全生产考核合格证书（B类）》【提供项目经理注册建造师执业资格证书和安全生产考核合格证书（B类）的扫描件】</w:t>
            </w:r>
            <w:r>
              <w:rPr>
                <w:rFonts w:hint="eastAsia" w:asciiTheme="minorEastAsia" w:hAnsiTheme="minorEastAsia" w:eastAsiaTheme="minorEastAsia" w:cstheme="minorEastAsia"/>
                <w:color w:val="auto"/>
                <w:szCs w:val="21"/>
                <w:highlight w:val="none"/>
                <w:lang w:eastAsia="zh-CN"/>
              </w:rPr>
              <w:t>的得2分。</w:t>
            </w:r>
          </w:p>
          <w:p w14:paraId="1F5EAE9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b w:val="0"/>
                <w:bCs w:val="0"/>
                <w:color w:val="auto"/>
                <w:szCs w:val="21"/>
                <w:highlight w:val="none"/>
                <w:lang w:eastAsia="zh-CN"/>
              </w:rPr>
              <w:t>（2）拟派往本项目的项目经理具备</w:t>
            </w:r>
            <w:r>
              <w:rPr>
                <w:rFonts w:hint="eastAsia" w:asciiTheme="minorEastAsia" w:hAnsiTheme="minorEastAsia" w:eastAsiaTheme="minorEastAsia" w:cstheme="minorEastAsia"/>
                <w:b w:val="0"/>
                <w:bCs w:val="0"/>
                <w:color w:val="auto"/>
                <w:kern w:val="2"/>
                <w:sz w:val="21"/>
                <w:szCs w:val="24"/>
                <w:highlight w:val="none"/>
                <w:lang w:val="en-US" w:eastAsia="zh-CN" w:bidi="ar-SA"/>
              </w:rPr>
              <w:t>工程类专业(专业以技术职称证书所填写专业为准)</w:t>
            </w:r>
            <w:r>
              <w:rPr>
                <w:rFonts w:hint="eastAsia" w:asciiTheme="minorEastAsia" w:hAnsiTheme="minorEastAsia" w:eastAsiaTheme="minorEastAsia" w:cstheme="minorEastAsia"/>
                <w:b w:val="0"/>
                <w:bCs w:val="0"/>
                <w:color w:val="auto"/>
                <w:szCs w:val="21"/>
                <w:highlight w:val="none"/>
                <w:lang w:val="en-US" w:eastAsia="zh-CN"/>
              </w:rPr>
              <w:t>中</w:t>
            </w:r>
            <w:r>
              <w:rPr>
                <w:rFonts w:hint="eastAsia" w:asciiTheme="minorEastAsia" w:hAnsiTheme="minorEastAsia" w:eastAsiaTheme="minorEastAsia" w:cstheme="minorEastAsia"/>
                <w:b w:val="0"/>
                <w:bCs w:val="0"/>
                <w:color w:val="auto"/>
                <w:szCs w:val="21"/>
                <w:highlight w:val="none"/>
                <w:lang w:eastAsia="zh-CN"/>
              </w:rPr>
              <w:t>级或</w:t>
            </w:r>
            <w:r>
              <w:rPr>
                <w:rFonts w:hint="eastAsia" w:asciiTheme="minorEastAsia" w:hAnsiTheme="minorEastAsia" w:eastAsiaTheme="minorEastAsia" w:cstheme="minorEastAsia"/>
                <w:b w:val="0"/>
                <w:bCs w:val="0"/>
                <w:color w:val="auto"/>
                <w:szCs w:val="21"/>
                <w:highlight w:val="none"/>
                <w:lang w:val="en-US" w:eastAsia="zh-CN"/>
              </w:rPr>
              <w:t>中</w:t>
            </w:r>
            <w:r>
              <w:rPr>
                <w:rFonts w:hint="eastAsia" w:asciiTheme="minorEastAsia" w:hAnsiTheme="minorEastAsia" w:eastAsiaTheme="minorEastAsia" w:cstheme="minorEastAsia"/>
                <w:b w:val="0"/>
                <w:bCs w:val="0"/>
                <w:color w:val="auto"/>
                <w:szCs w:val="21"/>
                <w:highlight w:val="none"/>
                <w:lang w:eastAsia="zh-CN"/>
              </w:rPr>
              <w:t>级以上技术职称的得4分。</w:t>
            </w:r>
          </w:p>
          <w:p w14:paraId="146DB03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b w:val="0"/>
                <w:bCs w:val="0"/>
                <w:color w:val="auto"/>
                <w:szCs w:val="21"/>
                <w:highlight w:val="none"/>
                <w:lang w:eastAsia="zh-CN"/>
              </w:rPr>
              <w:t>2、其他主要人员（满分4分 ）</w:t>
            </w:r>
          </w:p>
          <w:p w14:paraId="42FF1AE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基本要求：人员齐备、专业配套应与资格审查提供的人员配备相一致，且具备相关岗位证书（拟派驻本项目的技术负责人应具有中级及以上职称证件，安全员、质量员应具有相应岗位资格证书，且拟投入的项目管理人员符合国家及广西壮族自治区的规定）。</w:t>
            </w:r>
          </w:p>
          <w:p w14:paraId="4CF5AFA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评分内容：</w:t>
            </w:r>
          </w:p>
          <w:p w14:paraId="57AE710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1）.技术负责人（2分）拟派往本项目的技术负责人具有工程类专业(专业以技术职称证书所填写专业为准)中级或中级以上技术职称；得2分。</w:t>
            </w:r>
          </w:p>
          <w:p w14:paraId="481EEED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auto"/>
                <w:kern w:val="2"/>
                <w:sz w:val="21"/>
                <w:szCs w:val="24"/>
                <w:highlight w:val="none"/>
                <w:lang w:val="en-US" w:eastAsia="zh-CN" w:bidi="ar-SA"/>
              </w:rPr>
            </w:pPr>
            <w:r>
              <w:rPr>
                <w:rFonts w:hint="eastAsia" w:asciiTheme="minorEastAsia" w:hAnsiTheme="minorEastAsia" w:eastAsiaTheme="minorEastAsia" w:cstheme="minorEastAsia"/>
                <w:b w:val="0"/>
                <w:bCs w:val="0"/>
                <w:color w:val="auto"/>
                <w:kern w:val="2"/>
                <w:sz w:val="21"/>
                <w:szCs w:val="24"/>
                <w:highlight w:val="none"/>
                <w:lang w:val="en-US" w:eastAsia="zh-CN" w:bidi="ar-SA"/>
              </w:rPr>
              <w:t>2）.其他管理人员（2分）拟指派本项目其他管理人员（安全员、质量员）中，持有省级或省级以上建设主管部门颁发的资格证书得2分。</w:t>
            </w:r>
          </w:p>
        </w:tc>
      </w:tr>
      <w:tr w14:paraId="7A95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val="0"/>
            <w:vAlign w:val="top"/>
          </w:tcPr>
          <w:p w14:paraId="30A528C9">
            <w:pPr>
              <w:spacing w:line="400" w:lineRule="exact"/>
              <w:jc w:val="both"/>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综合总得分</w:t>
            </w:r>
            <w:r>
              <w:rPr>
                <w:rFonts w:hint="eastAsia" w:asciiTheme="minorEastAsia" w:hAnsiTheme="minorEastAsia" w:eastAsiaTheme="minorEastAsia" w:cstheme="minorEastAsia"/>
                <w:b/>
                <w:bCs/>
                <w:color w:val="auto"/>
                <w:szCs w:val="21"/>
                <w:highlight w:val="none"/>
              </w:rPr>
              <w:t>＝报价分+</w:t>
            </w:r>
            <w:r>
              <w:rPr>
                <w:rFonts w:hint="eastAsia" w:asciiTheme="minorEastAsia" w:hAnsiTheme="minorEastAsia" w:eastAsiaTheme="minorEastAsia" w:cstheme="minorEastAsia"/>
                <w:b/>
                <w:color w:val="auto"/>
                <w:kern w:val="0"/>
                <w:szCs w:val="21"/>
                <w:highlight w:val="none"/>
              </w:rPr>
              <w:t>施工组织设计</w:t>
            </w:r>
            <w:r>
              <w:rPr>
                <w:rFonts w:hint="eastAsia" w:asciiTheme="minorEastAsia" w:hAnsiTheme="minorEastAsia" w:eastAsiaTheme="minorEastAsia" w:cstheme="minorEastAsia"/>
                <w:b/>
                <w:color w:val="auto"/>
                <w:kern w:val="0"/>
                <w:szCs w:val="21"/>
                <w:highlight w:val="none"/>
                <w:lang w:val="en-US" w:eastAsia="zh-CN"/>
              </w:rPr>
              <w:t>分+</w:t>
            </w:r>
            <w:r>
              <w:rPr>
                <w:rFonts w:hint="eastAsia" w:asciiTheme="minorEastAsia" w:hAnsiTheme="minorEastAsia" w:eastAsiaTheme="minorEastAsia" w:cstheme="minorEastAsia"/>
                <w:b/>
                <w:color w:val="auto"/>
                <w:szCs w:val="21"/>
                <w:highlight w:val="none"/>
              </w:rPr>
              <w:t>项目管理机构</w:t>
            </w:r>
            <w:r>
              <w:rPr>
                <w:rFonts w:hint="eastAsia" w:asciiTheme="minorEastAsia" w:hAnsiTheme="minorEastAsia" w:eastAsiaTheme="minorEastAsia" w:cstheme="minorEastAsia"/>
                <w:b/>
                <w:color w:val="auto"/>
                <w:szCs w:val="21"/>
                <w:highlight w:val="none"/>
                <w:lang w:val="en-US" w:eastAsia="zh-CN"/>
              </w:rPr>
              <w:t>分=100分</w:t>
            </w:r>
          </w:p>
        </w:tc>
      </w:tr>
    </w:tbl>
    <w:p w14:paraId="3188EF3B">
      <w:pPr>
        <w:snapToGrid w:val="0"/>
        <w:spacing w:line="400" w:lineRule="exact"/>
        <w:jc w:val="center"/>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Cs w:val="21"/>
          <w:highlight w:val="none"/>
        </w:rPr>
        <w:br w:type="page"/>
      </w:r>
      <w:r>
        <w:rPr>
          <w:rFonts w:hint="eastAsia" w:asciiTheme="minorEastAsia" w:hAnsiTheme="minorEastAsia" w:eastAsiaTheme="minorEastAsia" w:cstheme="minorEastAsia"/>
          <w:b/>
          <w:color w:val="auto"/>
          <w:sz w:val="24"/>
          <w:szCs w:val="24"/>
          <w:highlight w:val="none"/>
        </w:rPr>
        <w:t>评标办法正文</w:t>
      </w:r>
    </w:p>
    <w:p w14:paraId="71058D49">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一、</w:t>
      </w:r>
      <w:r>
        <w:rPr>
          <w:rFonts w:hint="eastAsia" w:asciiTheme="minorEastAsia" w:hAnsiTheme="minorEastAsia" w:eastAsiaTheme="minorEastAsia" w:cstheme="minorEastAsia"/>
          <w:b/>
          <w:color w:val="auto"/>
          <w:sz w:val="21"/>
          <w:szCs w:val="21"/>
          <w:highlight w:val="none"/>
        </w:rPr>
        <w:t>评标原则：</w:t>
      </w:r>
    </w:p>
    <w:p w14:paraId="54F710BA">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1、坚持公开、公平、公正、适用合理原则。</w:t>
      </w:r>
    </w:p>
    <w:p w14:paraId="78F3973F">
      <w:pPr>
        <w:keepNext w:val="0"/>
        <w:keepLines w:val="0"/>
        <w:pageBreakBefore w:val="0"/>
        <w:widowControl w:val="0"/>
        <w:tabs>
          <w:tab w:val="left" w:pos="1440"/>
        </w:tabs>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开标前</w:t>
      </w:r>
      <w:r>
        <w:rPr>
          <w:rFonts w:hint="eastAsia" w:asciiTheme="minorEastAsia" w:hAnsiTheme="minorEastAsia" w:eastAsiaTheme="minorEastAsia" w:cstheme="minorEastAsia"/>
          <w:color w:val="auto"/>
          <w:sz w:val="21"/>
          <w:szCs w:val="21"/>
          <w:highlight w:val="none"/>
        </w:rPr>
        <w:t>由</w:t>
      </w:r>
      <w:r>
        <w:rPr>
          <w:rFonts w:hint="eastAsia" w:asciiTheme="minorEastAsia" w:hAnsiTheme="minorEastAsia" w:eastAsiaTheme="minorEastAsia" w:cstheme="minorEastAsia"/>
          <w:color w:val="auto"/>
          <w:sz w:val="21"/>
          <w:szCs w:val="21"/>
          <w:highlight w:val="none"/>
          <w:lang w:val="en-US" w:eastAsia="zh-CN"/>
        </w:rPr>
        <w:t>采购代理机构在广西政采云平台广西评审专家库</w:t>
      </w:r>
      <w:r>
        <w:rPr>
          <w:rFonts w:hint="eastAsia" w:asciiTheme="minorEastAsia" w:hAnsiTheme="minorEastAsia" w:eastAsiaTheme="minorEastAsia" w:cstheme="minorEastAsia"/>
          <w:color w:val="auto"/>
          <w:sz w:val="21"/>
          <w:szCs w:val="21"/>
          <w:highlight w:val="none"/>
        </w:rPr>
        <w:t>中随机抽取的评标专家组成。评标小组为3人，其中，采购</w:t>
      </w:r>
      <w:r>
        <w:rPr>
          <w:rFonts w:hint="eastAsia" w:asciiTheme="minorEastAsia" w:hAnsiTheme="minorEastAsia" w:eastAsiaTheme="minorEastAsia" w:cstheme="minorEastAsia"/>
          <w:color w:val="auto"/>
          <w:sz w:val="21"/>
          <w:szCs w:val="21"/>
          <w:highlight w:val="none"/>
          <w:lang w:eastAsia="zh-CN"/>
        </w:rPr>
        <w:t>人</w:t>
      </w:r>
      <w:r>
        <w:rPr>
          <w:rFonts w:hint="eastAsia" w:asciiTheme="minorEastAsia" w:hAnsiTheme="minorEastAsia" w:eastAsiaTheme="minorEastAsia" w:cstheme="minorEastAsia"/>
          <w:color w:val="auto"/>
          <w:sz w:val="21"/>
          <w:szCs w:val="21"/>
          <w:highlight w:val="none"/>
        </w:rPr>
        <w:t>评标代表1人，评标专家库中随机抽取2人。</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小组以</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为评标依据，本项目采用</w:t>
      </w:r>
      <w:r>
        <w:rPr>
          <w:rFonts w:hint="eastAsia" w:asciiTheme="minorEastAsia" w:hAnsiTheme="minorEastAsia" w:eastAsiaTheme="minorEastAsia" w:cstheme="minorEastAsia"/>
          <w:b/>
          <w:bCs/>
          <w:color w:val="auto"/>
          <w:sz w:val="21"/>
          <w:szCs w:val="21"/>
          <w:highlight w:val="none"/>
          <w:u w:val="single"/>
        </w:rPr>
        <w:t>综合评分法</w:t>
      </w:r>
      <w:r>
        <w:rPr>
          <w:rFonts w:hint="eastAsia" w:asciiTheme="minorEastAsia" w:hAnsiTheme="minorEastAsia" w:eastAsiaTheme="minorEastAsia" w:cstheme="minorEastAsia"/>
          <w:bCs/>
          <w:color w:val="auto"/>
          <w:sz w:val="21"/>
          <w:szCs w:val="21"/>
          <w:highlight w:val="none"/>
        </w:rPr>
        <w:t>进行</w:t>
      </w:r>
      <w:r>
        <w:rPr>
          <w:rFonts w:hint="eastAsia" w:asciiTheme="minorEastAsia" w:hAnsiTheme="minorEastAsia" w:eastAsiaTheme="minorEastAsia" w:cstheme="minorEastAsia"/>
          <w:color w:val="auto"/>
          <w:sz w:val="21"/>
          <w:szCs w:val="21"/>
          <w:highlight w:val="none"/>
        </w:rPr>
        <w:t>评标。</w:t>
      </w:r>
    </w:p>
    <w:p w14:paraId="1852CB22">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二、</w:t>
      </w:r>
      <w:r>
        <w:rPr>
          <w:rFonts w:hint="eastAsia" w:asciiTheme="minorEastAsia" w:hAnsiTheme="minorEastAsia" w:eastAsiaTheme="minorEastAsia" w:cstheme="minorEastAsia"/>
          <w:b/>
          <w:color w:val="auto"/>
          <w:sz w:val="21"/>
          <w:szCs w:val="21"/>
          <w:highlight w:val="none"/>
        </w:rPr>
        <w:t>评标次序：</w:t>
      </w:r>
    </w:p>
    <w:p w14:paraId="3139CF39">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1、资格审查：</w:t>
      </w:r>
      <w:r>
        <w:rPr>
          <w:rFonts w:hint="eastAsia" w:asciiTheme="minorEastAsia" w:hAnsiTheme="minorEastAsia" w:eastAsiaTheme="minorEastAsia" w:cstheme="minorEastAsia"/>
          <w:color w:val="auto"/>
          <w:sz w:val="21"/>
          <w:szCs w:val="21"/>
          <w:highlight w:val="none"/>
        </w:rPr>
        <w:t>本项目采用资格后审方式进行资格审查，参加本次</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的单位均要通过资格后审才能获得</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资格。资格审查内容为：见评标办法前附表。</w:t>
      </w:r>
    </w:p>
    <w:p w14:paraId="599F1B0A">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b/>
          <w:bCs/>
          <w:color w:val="auto"/>
          <w:sz w:val="21"/>
          <w:szCs w:val="21"/>
          <w:highlight w:val="none"/>
        </w:rPr>
        <w:t>详细评审（即综合评审）</w:t>
      </w:r>
    </w:p>
    <w:p w14:paraId="44465AB7">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各评委根据评标办法中相应的要求进行科学评分。在进行</w:t>
      </w:r>
      <w:r>
        <w:rPr>
          <w:rFonts w:hint="eastAsia" w:asciiTheme="minorEastAsia" w:hAnsiTheme="minorEastAsia" w:eastAsiaTheme="minorEastAsia" w:cstheme="minorEastAsia"/>
          <w:color w:val="auto"/>
          <w:sz w:val="21"/>
          <w:szCs w:val="21"/>
          <w:highlight w:val="none"/>
          <w:lang w:val="en-US" w:eastAsia="zh-CN"/>
        </w:rPr>
        <w:t>施工组织设计</w:t>
      </w:r>
      <w:r>
        <w:rPr>
          <w:rFonts w:hint="eastAsia" w:asciiTheme="minorEastAsia" w:hAnsiTheme="minorEastAsia" w:eastAsiaTheme="minorEastAsia" w:cstheme="minorEastAsia"/>
          <w:color w:val="auto"/>
          <w:sz w:val="21"/>
          <w:szCs w:val="21"/>
          <w:highlight w:val="none"/>
        </w:rPr>
        <w:t>方案文件的评审时，各评委评分的算术平均值为该</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的最终得分。</w:t>
      </w:r>
    </w:p>
    <w:p w14:paraId="7677263B">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3、</w:t>
      </w:r>
      <w:r>
        <w:rPr>
          <w:rFonts w:hint="eastAsia" w:asciiTheme="minorEastAsia" w:hAnsiTheme="minorEastAsia" w:eastAsiaTheme="minorEastAsia" w:cstheme="minorEastAsia"/>
          <w:b/>
          <w:bCs/>
          <w:color w:val="auto"/>
          <w:sz w:val="21"/>
          <w:szCs w:val="21"/>
          <w:highlight w:val="none"/>
          <w:lang w:eastAsia="zh-CN"/>
        </w:rPr>
        <w:t>《响应文件》</w:t>
      </w:r>
      <w:r>
        <w:rPr>
          <w:rFonts w:hint="eastAsia" w:asciiTheme="minorEastAsia" w:hAnsiTheme="minorEastAsia" w:eastAsiaTheme="minorEastAsia" w:cstheme="minorEastAsia"/>
          <w:b/>
          <w:bCs/>
          <w:color w:val="auto"/>
          <w:sz w:val="21"/>
          <w:szCs w:val="21"/>
          <w:highlight w:val="none"/>
        </w:rPr>
        <w:t>的澄清与修正</w:t>
      </w:r>
    </w:p>
    <w:p w14:paraId="098A27B4">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3.1为了有助于</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的审查、评价和比较，</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可以要求</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澄清其</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。有关澄清的要求与答复，应以书面形式进行。</w:t>
      </w:r>
      <w:r>
        <w:rPr>
          <w:rFonts w:hint="eastAsia" w:asciiTheme="minorEastAsia" w:hAnsiTheme="minorEastAsia" w:eastAsiaTheme="minorEastAsia" w:cstheme="minorEastAsia"/>
          <w:bCs/>
          <w:color w:val="auto"/>
          <w:sz w:val="21"/>
          <w:szCs w:val="21"/>
          <w:highlight w:val="none"/>
        </w:rPr>
        <w:t>不按</w:t>
      </w:r>
      <w:r>
        <w:rPr>
          <w:rFonts w:hint="eastAsia" w:asciiTheme="minorEastAsia" w:hAnsiTheme="minorEastAsia" w:eastAsiaTheme="minorEastAsia" w:cstheme="minorEastAsia"/>
          <w:bCs/>
          <w:color w:val="auto"/>
          <w:sz w:val="21"/>
          <w:szCs w:val="21"/>
          <w:highlight w:val="none"/>
          <w:lang w:eastAsia="zh-CN"/>
        </w:rPr>
        <w:t>磋商小组</w:t>
      </w:r>
      <w:r>
        <w:rPr>
          <w:rFonts w:hint="eastAsia" w:asciiTheme="minorEastAsia" w:hAnsiTheme="minorEastAsia" w:eastAsiaTheme="minorEastAsia" w:cstheme="minorEastAsia"/>
          <w:bCs/>
          <w:color w:val="auto"/>
          <w:sz w:val="21"/>
          <w:szCs w:val="21"/>
          <w:highlight w:val="none"/>
        </w:rPr>
        <w:t>要求澄清、说明或补正的，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作废标处理。</w:t>
      </w:r>
    </w:p>
    <w:p w14:paraId="0128441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3.2 </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计算错误的修正</w:t>
      </w:r>
    </w:p>
    <w:p w14:paraId="24124AA6">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3.2.1 </w:t>
      </w:r>
      <w:r>
        <w:rPr>
          <w:rFonts w:hint="eastAsia" w:asciiTheme="minorEastAsia" w:hAnsiTheme="minorEastAsia" w:eastAsiaTheme="minorEastAsia" w:cstheme="minorEastAsia"/>
          <w:bCs/>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将对确定为实质上响应</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要求的</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进行校核，看其是否有计算或表达上的错误，修正错误的原则如下：</w:t>
      </w:r>
    </w:p>
    <w:p w14:paraId="3E2BF04C">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如果数字表示的金额和用文字表示的金额不一致时，应以文字表示的金额为准；</w:t>
      </w:r>
    </w:p>
    <w:p w14:paraId="18F3BD83">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3.2.2 按上述修正错误的原则及方法调整或修正</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的投标报价，在</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确认后，调整或修正后的磋商报价对</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起约束作用。如果</w:t>
      </w:r>
      <w:r>
        <w:rPr>
          <w:rFonts w:hint="eastAsia" w:asciiTheme="minorEastAsia" w:hAnsiTheme="minorEastAsia" w:eastAsiaTheme="minorEastAsia" w:cstheme="minorEastAsia"/>
          <w:color w:val="auto"/>
          <w:sz w:val="21"/>
          <w:szCs w:val="21"/>
          <w:highlight w:val="none"/>
          <w:lang w:eastAsia="zh-CN"/>
        </w:rPr>
        <w:t>磋商供应商</w:t>
      </w:r>
      <w:r>
        <w:rPr>
          <w:rFonts w:hint="eastAsia" w:asciiTheme="minorEastAsia" w:hAnsiTheme="minorEastAsia" w:eastAsiaTheme="minorEastAsia" w:cstheme="minorEastAsia"/>
          <w:color w:val="auto"/>
          <w:sz w:val="21"/>
          <w:szCs w:val="21"/>
          <w:highlight w:val="none"/>
        </w:rPr>
        <w:t>不接受调整或修正后的报价，则其</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将被拒绝并且其磋商保证金也将被没收，并不影响评标工作。</w:t>
      </w:r>
    </w:p>
    <w:p w14:paraId="0667AC99">
      <w:pPr>
        <w:keepNext w:val="0"/>
        <w:keepLines w:val="0"/>
        <w:pageBreakBefore w:val="0"/>
        <w:widowControl w:val="0"/>
        <w:tabs>
          <w:tab w:val="left" w:pos="180"/>
        </w:tabs>
        <w:kinsoku/>
        <w:wordWrap/>
        <w:overflowPunct/>
        <w:topLinePunct w:val="0"/>
        <w:autoSpaceDE/>
        <w:autoSpaceDN/>
        <w:bidi w:val="0"/>
        <w:adjustRightInd/>
        <w:snapToGrid w:val="0"/>
        <w:spacing w:line="400" w:lineRule="exact"/>
        <w:ind w:firstLine="420"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三、</w:t>
      </w:r>
      <w:r>
        <w:rPr>
          <w:rFonts w:hint="eastAsia" w:asciiTheme="minorEastAsia" w:hAnsiTheme="minorEastAsia" w:eastAsiaTheme="minorEastAsia" w:cstheme="minorEastAsia"/>
          <w:b/>
          <w:bCs/>
          <w:color w:val="auto"/>
          <w:sz w:val="21"/>
          <w:szCs w:val="21"/>
          <w:highlight w:val="none"/>
          <w:lang w:val="en-US" w:eastAsia="zh-CN"/>
        </w:rPr>
        <w:t>推荐成交候选供应商原则</w:t>
      </w:r>
    </w:p>
    <w:bookmarkEnd w:id="1301"/>
    <w:p w14:paraId="68AA3850">
      <w:pPr>
        <w:widowControl w:val="0"/>
        <w:tabs>
          <w:tab w:val="left" w:pos="4214"/>
        </w:tabs>
        <w:spacing w:line="500" w:lineRule="exact"/>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25B9250C">
      <w:pPr>
        <w:widowControl w:val="0"/>
        <w:tabs>
          <w:tab w:val="left" w:pos="4214"/>
        </w:tabs>
        <w:spacing w:line="500" w:lineRule="exact"/>
        <w:ind w:firstLine="420" w:firstLineChars="200"/>
        <w:jc w:val="both"/>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2、磋商小组确定排名第一的成交候选供应商为成交供应商。</w:t>
      </w:r>
    </w:p>
    <w:p w14:paraId="614D0467">
      <w:pPr>
        <w:widowControl w:val="0"/>
        <w:spacing w:line="500" w:lineRule="exact"/>
        <w:ind w:firstLine="420" w:firstLineChars="200"/>
        <w:jc w:val="both"/>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2"/>
          <w:sz w:val="21"/>
          <w:szCs w:val="21"/>
          <w:highlight w:val="none"/>
          <w:lang w:val="en-US" w:eastAsia="zh-CN" w:bidi="ar-SA"/>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sectPr>
      <w:headerReference r:id="rId10" w:type="default"/>
      <w:footerReference r:id="rId11" w:type="default"/>
      <w:pgSz w:w="11850" w:h="16783"/>
      <w:pgMar w:top="1247" w:right="964" w:bottom="1247" w:left="964" w:header="851" w:footer="890" w:gutter="0"/>
      <w:pgNumType w:fmt="decimal"/>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
    <w:altName w:val="Verdana"/>
    <w:panose1 w:val="00000000000000000000"/>
    <w:charset w:val="CC"/>
    <w:family w:val="auto"/>
    <w:pitch w:val="default"/>
    <w:sig w:usb0="00000000" w:usb1="00000000" w:usb2="00000000" w:usb3="00000000" w:csb0="00000005"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A2BF">
    <w:pPr>
      <w:pStyle w:val="13"/>
      <w:ind w:right="90"/>
      <w:jc w:val="right"/>
      <w:rPr>
        <w:rFonts w:hint="eastAsia" w:ascii="宋体" w:hAnsi="宋体" w:eastAsia="宋体" w:cs="Times New Roman"/>
        <w:sz w:val="21"/>
        <w:szCs w:val="21"/>
        <w:u w:val="single"/>
      </w:rPr>
    </w:pPr>
    <w:r>
      <w:rPr>
        <w:rFonts w:hint="eastAsia" w:ascii="宋体" w:hAnsi="宋体" w:cs="Times New Roman"/>
        <w:lang w:eastAsia="zh-CN"/>
      </w:rPr>
      <w:t>广西桂林华禹水利水电工程咨询有限公司</w:t>
    </w:r>
    <w:r>
      <w:rPr>
        <w:rFonts w:hint="eastAsia" w:ascii="宋体" w:hAnsi="宋体" w:eastAsia="宋体" w:cs="Times New Roman"/>
      </w:rPr>
      <w:t>编制</w:t>
    </w:r>
    <w:r>
      <w:rPr>
        <w:rFonts w:hint="eastAsia" w:ascii="宋体" w:hAnsi="宋体" w:eastAsia="宋体" w:cs="Times New Roman"/>
        <w:sz w:val="21"/>
        <w:szCs w:val="21"/>
        <w:u w:val="singl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EB72F">
    <w:pPr>
      <w:pStyle w:val="13"/>
      <w:framePr w:wrap="around" w:vAnchor="text" w:hAnchor="margin" w:xAlign="right" w:y="1"/>
      <w:rPr>
        <w:rStyle w:val="23"/>
        <w:rFonts w:ascii="Times New Roman" w:hAnsi="Times New Roman" w:eastAsia="宋体" w:cs="Times New Roman"/>
      </w:rPr>
    </w:pPr>
    <w:r>
      <w:rPr>
        <w:rFonts w:ascii="Times New Roman" w:hAnsi="Times New Roman" w:eastAsia="宋体" w:cs="Times New Roman"/>
      </w:rPr>
      <w:fldChar w:fldCharType="begin"/>
    </w:r>
    <w:r>
      <w:rPr>
        <w:rStyle w:val="23"/>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0B3320B0">
    <w:pPr>
      <w:pStyle w:val="13"/>
      <w:ind w:right="360"/>
      <w:rPr>
        <w:rFonts w:ascii="Times New Roman" w:hAnsi="Times New Roman" w:eastAsia="宋体"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4D59F">
    <w:pPr>
      <w:widowControl/>
      <w:kinsoku w:val="0"/>
      <w:autoSpaceDE w:val="0"/>
      <w:autoSpaceDN w:val="0"/>
      <w:adjustRightInd w:val="0"/>
      <w:snapToGrid w:val="0"/>
      <w:spacing w:line="120" w:lineRule="exact"/>
      <w:jc w:val="left"/>
      <w:textAlignment w:val="baseline"/>
      <w:rPr>
        <w:rFonts w:ascii="宋体" w:hAnsi="宋体" w:eastAsia="宋体" w:cs="宋体"/>
        <w:snapToGrid w:val="0"/>
        <w:color w:val="000000"/>
        <w:kern w:val="0"/>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8DBCC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8DBCC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11F8E">
    <w:pPr>
      <w:pStyle w:val="13"/>
      <w:ind w:right="90"/>
      <w:jc w:val="right"/>
      <w:rPr>
        <w:rFonts w:hint="eastAsia" w:ascii="宋体" w:hAnsi="宋体" w:eastAsia="宋体" w:cs="Times New Roman"/>
        <w:sz w:val="21"/>
        <w:szCs w:val="21"/>
        <w:u w:val="single"/>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379FD9">
                          <w:pPr>
                            <w:pStyle w:val="13"/>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B379FD9">
                    <w:pPr>
                      <w:pStyle w:val="13"/>
                    </w:pPr>
                    <w:r>
                      <w:fldChar w:fldCharType="begin"/>
                    </w:r>
                    <w:r>
                      <w:instrText xml:space="preserve"> PAGE  \* MERGEFORMAT </w:instrText>
                    </w:r>
                    <w:r>
                      <w:fldChar w:fldCharType="separate"/>
                    </w:r>
                    <w:r>
                      <w:t>68</w:t>
                    </w:r>
                    <w:r>
                      <w:fldChar w:fldCharType="end"/>
                    </w:r>
                  </w:p>
                </w:txbxContent>
              </v:textbox>
            </v:shape>
          </w:pict>
        </mc:Fallback>
      </mc:AlternateContent>
    </w:r>
    <w:r>
      <w:rPr>
        <w:rFonts w:hint="eastAsia" w:ascii="宋体" w:hAnsi="宋体" w:cs="Times New Roman"/>
        <w:sz w:val="21"/>
        <w:szCs w:val="21"/>
        <w:lang w:eastAsia="zh-CN"/>
      </w:rPr>
      <w:t>广西桂林华禹水利水电工程咨询有限公司</w:t>
    </w:r>
    <w:r>
      <w:rPr>
        <w:rFonts w:hint="eastAsia" w:ascii="宋体" w:hAnsi="宋体" w:eastAsia="宋体" w:cs="Times New Roman"/>
        <w:sz w:val="21"/>
        <w:szCs w:val="21"/>
      </w:rPr>
      <w:t>编制</w:t>
    </w:r>
    <w:r>
      <w:rPr>
        <w:rFonts w:hint="eastAsia" w:ascii="宋体" w:hAnsi="宋体" w:eastAsia="宋体" w:cs="Times New Roman"/>
        <w:sz w:val="21"/>
        <w:szCs w:val="21"/>
        <w:u w:val="single"/>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5B1C9">
    <w:pPr>
      <w:pStyle w:val="14"/>
      <w:jc w:val="left"/>
      <w:rPr>
        <w:rFonts w:hint="eastAsia" w:cs="Times New Roman"/>
        <w:sz w:val="21"/>
        <w:szCs w:val="21"/>
        <w:lang w:val="en-US" w:eastAsia="zh-CN"/>
      </w:rPr>
    </w:pPr>
    <w:r>
      <w:rPr>
        <w:rFonts w:hint="eastAsia" w:ascii="Times New Roman" w:hAnsi="Times New Roman" w:eastAsia="宋体" w:cs="Times New Roman"/>
        <w:sz w:val="21"/>
        <w:szCs w:val="21"/>
      </w:rPr>
      <w:t>项目名称：</w:t>
    </w:r>
    <w:r>
      <w:rPr>
        <w:rFonts w:hint="eastAsia" w:cs="Times New Roman"/>
        <w:sz w:val="21"/>
        <w:szCs w:val="21"/>
        <w:lang w:eastAsia="zh-CN"/>
      </w:rPr>
      <w:t>昭平县走马镇污水处理厂配套管网工程(二期)工程项目</w:t>
    </w:r>
    <w:r>
      <w:rPr>
        <w:rFonts w:hint="eastAsia" w:ascii="Times New Roman" w:hAnsi="Times New Roman" w:eastAsia="宋体" w:cs="Times New Roman"/>
        <w:sz w:val="21"/>
        <w:szCs w:val="21"/>
        <w:lang w:val="en-US" w:eastAsia="zh-CN"/>
      </w:rPr>
      <w:t xml:space="preserve"> </w:t>
    </w:r>
    <w:r>
      <w:rPr>
        <w:rFonts w:hint="eastAsia" w:cs="Times New Roman"/>
        <w:sz w:val="21"/>
        <w:szCs w:val="21"/>
        <w:lang w:val="en-US" w:eastAsia="zh-CN"/>
      </w:rPr>
      <w:t xml:space="preserve">   </w:t>
    </w:r>
  </w:p>
  <w:p w14:paraId="6B355D6B">
    <w:pPr>
      <w:pStyle w:val="14"/>
      <w:jc w:val="left"/>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HZZC2025-C2-210019-GLHY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2B7D6">
    <w:pPr>
      <w:pStyle w:val="14"/>
      <w:rPr>
        <w:rFonts w:ascii="Times New Roman" w:hAnsi="Times New Roman" w:eastAsia="宋体"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E8D78">
    <w:pPr>
      <w:pStyle w:val="14"/>
      <w:pBdr>
        <w:bottom w:val="none" w:color="auto" w:sz="0" w:space="1"/>
      </w:pBdr>
      <w:rPr>
        <w:rFonts w:ascii="Times New Roman" w:hAnsi="Times New Roman" w:eastAsia="宋体"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F1217C">
    <w:pPr>
      <w:pStyle w:val="14"/>
      <w:jc w:val="left"/>
      <w:rPr>
        <w:rFonts w:ascii="宋体" w:hAnsi="宋体" w:eastAsia="宋体" w:cs="宋体"/>
        <w:snapToGrid w:val="0"/>
        <w:color w:val="000000"/>
        <w:kern w:val="0"/>
        <w:sz w:val="18"/>
        <w:szCs w:val="18"/>
      </w:rPr>
    </w:pPr>
    <w:r>
      <w:rPr>
        <w:rFonts w:hint="eastAsia" w:ascii="Times New Roman" w:hAnsi="Times New Roman" w:eastAsia="宋体" w:cs="Times New Roman"/>
        <w:sz w:val="21"/>
        <w:szCs w:val="21"/>
      </w:rPr>
      <w:t>项目名称：</w:t>
    </w:r>
    <w:r>
      <w:rPr>
        <w:rFonts w:hint="eastAsia" w:ascii="Times New Roman" w:hAnsi="Times New Roman" w:eastAsia="宋体" w:cs="Times New Roman"/>
        <w:sz w:val="21"/>
        <w:szCs w:val="21"/>
        <w:lang w:val="en-US" w:eastAsia="zh-CN"/>
      </w:rPr>
      <w:t xml:space="preserve">昭平县五将镇产业灌溉渠基础设施建设项目 </w:t>
    </w:r>
    <w:r>
      <w:rPr>
        <w:rFonts w:hint="eastAsia" w:cs="Times New Roman"/>
        <w:sz w:val="21"/>
        <w:szCs w:val="21"/>
        <w:lang w:val="en-US" w:eastAsia="zh-CN"/>
      </w:rPr>
      <w:t xml:space="preserve">         </w:t>
    </w: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HZZC2025-C2-210019-GLHY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DCACE">
    <w:pPr>
      <w:pStyle w:val="14"/>
      <w:jc w:val="left"/>
      <w:rPr>
        <w:rFonts w:ascii="宋体" w:hAnsi="宋体" w:eastAsia="宋体" w:cs="宋体"/>
        <w:snapToGrid w:val="0"/>
        <w:color w:val="000000"/>
        <w:kern w:val="0"/>
        <w:sz w:val="18"/>
        <w:szCs w:val="18"/>
      </w:rPr>
    </w:pPr>
    <w:r>
      <w:rPr>
        <w:rFonts w:hint="eastAsia" w:ascii="Times New Roman" w:hAnsi="Times New Roman" w:eastAsia="宋体" w:cs="Times New Roman"/>
        <w:sz w:val="21"/>
        <w:szCs w:val="21"/>
      </w:rPr>
      <w:t>项目名称：</w:t>
    </w:r>
    <w:r>
      <w:rPr>
        <w:rFonts w:hint="eastAsia" w:ascii="Times New Roman" w:hAnsi="Times New Roman" w:eastAsia="宋体" w:cs="Times New Roman"/>
        <w:sz w:val="21"/>
        <w:szCs w:val="21"/>
        <w:lang w:val="en-US" w:eastAsia="zh-CN"/>
      </w:rPr>
      <w:t>昭平县五将镇产业灌溉渠基础设施建设项目</w:t>
    </w:r>
    <w:r>
      <w:rPr>
        <w:rFonts w:hint="eastAsia" w:cs="Times New Roman"/>
        <w:sz w:val="21"/>
        <w:szCs w:val="21"/>
        <w:lang w:val="en-US" w:eastAsia="zh-CN"/>
      </w:rPr>
      <w:t xml:space="preserve">        </w:t>
    </w:r>
    <w:r>
      <w:rPr>
        <w:rFonts w:hint="eastAsia" w:ascii="Times New Roman" w:hAnsi="Times New Roman" w:eastAsia="宋体" w:cs="Times New Roman"/>
        <w:sz w:val="21"/>
        <w:szCs w:val="21"/>
        <w:highlight w:val="none"/>
      </w:rPr>
      <w:t>项目编号：</w:t>
    </w:r>
    <w:r>
      <w:rPr>
        <w:rFonts w:hint="eastAsia" w:cs="Times New Roman"/>
        <w:sz w:val="21"/>
        <w:szCs w:val="21"/>
        <w:highlight w:val="none"/>
        <w:lang w:eastAsia="zh-CN"/>
      </w:rPr>
      <w:t>HZZC2025-C2-210019-GLHY</w:t>
    </w:r>
  </w:p>
  <w:p w14:paraId="5D6C74C8">
    <w:pPr>
      <w:tabs>
        <w:tab w:val="left" w:pos="973"/>
      </w:tabs>
      <w:spacing w:line="237" w:lineRule="auto"/>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abstractNum w:abstractNumId="1">
    <w:nsid w:val="93077562"/>
    <w:multiLevelType w:val="singleLevel"/>
    <w:tmpl w:val="93077562"/>
    <w:lvl w:ilvl="0" w:tentative="0">
      <w:start w:val="4"/>
      <w:numFmt w:val="chineseCounting"/>
      <w:suff w:val="space"/>
      <w:lvlText w:val="第%1章"/>
      <w:lvlJc w:val="left"/>
      <w:rPr>
        <w:rFonts w:hint="eastAsia"/>
      </w:rPr>
    </w:lvl>
  </w:abstractNum>
  <w:abstractNum w:abstractNumId="2">
    <w:nsid w:val="B2FD2B48"/>
    <w:multiLevelType w:val="singleLevel"/>
    <w:tmpl w:val="B2FD2B48"/>
    <w:lvl w:ilvl="0" w:tentative="0">
      <w:start w:val="1"/>
      <w:numFmt w:val="decimal"/>
      <w:suff w:val="nothing"/>
      <w:lvlText w:val="（%1）"/>
      <w:lvlJc w:val="left"/>
    </w:lvl>
  </w:abstractNum>
  <w:abstractNum w:abstractNumId="3">
    <w:nsid w:val="C882E700"/>
    <w:multiLevelType w:val="singleLevel"/>
    <w:tmpl w:val="C882E700"/>
    <w:lvl w:ilvl="0" w:tentative="0">
      <w:start w:val="1"/>
      <w:numFmt w:val="chineseCounting"/>
      <w:suff w:val="nothing"/>
      <w:lvlText w:val="%1、"/>
      <w:lvlJc w:val="left"/>
      <w:rPr>
        <w:rFonts w:hint="eastAsia"/>
      </w:rPr>
    </w:lvl>
  </w:abstractNum>
  <w:abstractNum w:abstractNumId="4">
    <w:nsid w:val="C932187E"/>
    <w:multiLevelType w:val="singleLevel"/>
    <w:tmpl w:val="C932187E"/>
    <w:lvl w:ilvl="0" w:tentative="0">
      <w:start w:val="1"/>
      <w:numFmt w:val="chineseCounting"/>
      <w:suff w:val="space"/>
      <w:lvlText w:val="第%1章"/>
      <w:lvlJc w:val="left"/>
      <w:rPr>
        <w:rFonts w:hint="eastAsia"/>
      </w:rPr>
    </w:lvl>
  </w:abstractNum>
  <w:abstractNum w:abstractNumId="5">
    <w:nsid w:val="CF5733CA"/>
    <w:multiLevelType w:val="singleLevel"/>
    <w:tmpl w:val="CF5733CA"/>
    <w:lvl w:ilvl="0" w:tentative="0">
      <w:start w:val="4"/>
      <w:numFmt w:val="chineseCounting"/>
      <w:suff w:val="nothing"/>
      <w:lvlText w:val="%1、"/>
      <w:lvlJc w:val="left"/>
      <w:rPr>
        <w:rFonts w:hint="eastAsia"/>
      </w:rPr>
    </w:lvl>
  </w:abstractNum>
  <w:abstractNum w:abstractNumId="6">
    <w:nsid w:val="2C031271"/>
    <w:multiLevelType w:val="singleLevel"/>
    <w:tmpl w:val="2C031271"/>
    <w:lvl w:ilvl="0" w:tentative="0">
      <w:start w:val="1"/>
      <w:numFmt w:val="decimal"/>
      <w:lvlText w:val="%1."/>
      <w:lvlJc w:val="left"/>
      <w:pPr>
        <w:tabs>
          <w:tab w:val="left" w:pos="312"/>
        </w:tabs>
      </w:pPr>
    </w:lvl>
  </w:abstractNum>
  <w:abstractNum w:abstractNumId="7">
    <w:nsid w:val="45692DC8"/>
    <w:multiLevelType w:val="singleLevel"/>
    <w:tmpl w:val="45692DC8"/>
    <w:lvl w:ilvl="0" w:tentative="0">
      <w:start w:val="1"/>
      <w:numFmt w:val="decimal"/>
      <w:suff w:val="nothing"/>
      <w:lvlText w:val="%1、"/>
      <w:lvlJc w:val="left"/>
    </w:lvl>
  </w:abstractNum>
  <w:abstractNum w:abstractNumId="8">
    <w:nsid w:val="4E1E67FD"/>
    <w:multiLevelType w:val="singleLevel"/>
    <w:tmpl w:val="4E1E67FD"/>
    <w:lvl w:ilvl="0" w:tentative="0">
      <w:start w:val="1"/>
      <w:numFmt w:val="decimal"/>
      <w:lvlText w:val="(%1)"/>
      <w:lvlJc w:val="left"/>
      <w:pPr>
        <w:tabs>
          <w:tab w:val="left" w:pos="312"/>
        </w:tabs>
      </w:pPr>
    </w:lvl>
  </w:abstractNum>
  <w:abstractNum w:abstractNumId="9">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6EDD6597"/>
    <w:multiLevelType w:val="singleLevel"/>
    <w:tmpl w:val="6EDD6597"/>
    <w:lvl w:ilvl="0" w:tentative="0">
      <w:start w:val="2"/>
      <w:numFmt w:val="decimal"/>
      <w:suff w:val="space"/>
      <w:lvlText w:val="%1."/>
      <w:lvlJc w:val="left"/>
    </w:lvl>
  </w:abstractNum>
  <w:num w:numId="1">
    <w:abstractNumId w:val="4"/>
  </w:num>
  <w:num w:numId="2">
    <w:abstractNumId w:val="0"/>
  </w:num>
  <w:num w:numId="3">
    <w:abstractNumId w:val="7"/>
  </w:num>
  <w:num w:numId="4">
    <w:abstractNumId w:val="6"/>
  </w:num>
  <w:num w:numId="5">
    <w:abstractNumId w:val="2"/>
  </w:num>
  <w:num w:numId="6">
    <w:abstractNumId w:val="9"/>
  </w:num>
  <w:num w:numId="7">
    <w:abstractNumId w:val="8"/>
  </w:num>
  <w:num w:numId="8">
    <w:abstractNumId w:val="10"/>
  </w:num>
  <w:num w:numId="9">
    <w:abstractNumId w:val="1"/>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431B3150"/>
    <w:rsid w:val="00147173"/>
    <w:rsid w:val="00916D2E"/>
    <w:rsid w:val="0094732E"/>
    <w:rsid w:val="009F276B"/>
    <w:rsid w:val="00AD6E3B"/>
    <w:rsid w:val="00B32339"/>
    <w:rsid w:val="00B66CA6"/>
    <w:rsid w:val="01025669"/>
    <w:rsid w:val="010F43CF"/>
    <w:rsid w:val="010F5FE2"/>
    <w:rsid w:val="013E6345"/>
    <w:rsid w:val="01510D91"/>
    <w:rsid w:val="015E1378"/>
    <w:rsid w:val="01712B58"/>
    <w:rsid w:val="01732FB3"/>
    <w:rsid w:val="018E7F8D"/>
    <w:rsid w:val="01A74145"/>
    <w:rsid w:val="020C3C09"/>
    <w:rsid w:val="021B4271"/>
    <w:rsid w:val="021E110F"/>
    <w:rsid w:val="021F0ED1"/>
    <w:rsid w:val="0228604D"/>
    <w:rsid w:val="02511B73"/>
    <w:rsid w:val="025B30F8"/>
    <w:rsid w:val="02732751"/>
    <w:rsid w:val="02901E05"/>
    <w:rsid w:val="02910441"/>
    <w:rsid w:val="02A75804"/>
    <w:rsid w:val="02AA2995"/>
    <w:rsid w:val="02B37ED6"/>
    <w:rsid w:val="02CB6880"/>
    <w:rsid w:val="02CF2660"/>
    <w:rsid w:val="02D752BA"/>
    <w:rsid w:val="02DB1135"/>
    <w:rsid w:val="02F60B92"/>
    <w:rsid w:val="030229A5"/>
    <w:rsid w:val="03073BD8"/>
    <w:rsid w:val="034E0278"/>
    <w:rsid w:val="038A0F5C"/>
    <w:rsid w:val="038F0666"/>
    <w:rsid w:val="03994F4E"/>
    <w:rsid w:val="03A52EF2"/>
    <w:rsid w:val="03B52281"/>
    <w:rsid w:val="03BD679A"/>
    <w:rsid w:val="03E513A6"/>
    <w:rsid w:val="04025A79"/>
    <w:rsid w:val="04453E55"/>
    <w:rsid w:val="047948EC"/>
    <w:rsid w:val="047E311D"/>
    <w:rsid w:val="0488552C"/>
    <w:rsid w:val="04C23D52"/>
    <w:rsid w:val="050B1812"/>
    <w:rsid w:val="051518EF"/>
    <w:rsid w:val="0521531D"/>
    <w:rsid w:val="05577D8B"/>
    <w:rsid w:val="05875732"/>
    <w:rsid w:val="05BD29CF"/>
    <w:rsid w:val="060C2EBB"/>
    <w:rsid w:val="06415C54"/>
    <w:rsid w:val="06595497"/>
    <w:rsid w:val="06C95EDE"/>
    <w:rsid w:val="06FD746A"/>
    <w:rsid w:val="072C591E"/>
    <w:rsid w:val="075E5314"/>
    <w:rsid w:val="076D0ECF"/>
    <w:rsid w:val="077568E0"/>
    <w:rsid w:val="07963C8B"/>
    <w:rsid w:val="07A94B5D"/>
    <w:rsid w:val="07B74FC8"/>
    <w:rsid w:val="07BC46FF"/>
    <w:rsid w:val="07BC49C1"/>
    <w:rsid w:val="07C27992"/>
    <w:rsid w:val="07CB5F01"/>
    <w:rsid w:val="07D93375"/>
    <w:rsid w:val="07F8505E"/>
    <w:rsid w:val="080374BA"/>
    <w:rsid w:val="08415506"/>
    <w:rsid w:val="08553CEE"/>
    <w:rsid w:val="0860559E"/>
    <w:rsid w:val="087728B5"/>
    <w:rsid w:val="08804629"/>
    <w:rsid w:val="08A54CD2"/>
    <w:rsid w:val="08E144CF"/>
    <w:rsid w:val="09150178"/>
    <w:rsid w:val="093056E2"/>
    <w:rsid w:val="09656872"/>
    <w:rsid w:val="098C3ADE"/>
    <w:rsid w:val="098C576A"/>
    <w:rsid w:val="09981DD6"/>
    <w:rsid w:val="09EB2195"/>
    <w:rsid w:val="0A203224"/>
    <w:rsid w:val="0A323A7B"/>
    <w:rsid w:val="0A421BF4"/>
    <w:rsid w:val="0A4B25DC"/>
    <w:rsid w:val="0AA70ADC"/>
    <w:rsid w:val="0AD57C4B"/>
    <w:rsid w:val="0ADE7A8F"/>
    <w:rsid w:val="0B0333A3"/>
    <w:rsid w:val="0B0A635A"/>
    <w:rsid w:val="0B144F2B"/>
    <w:rsid w:val="0B1536C0"/>
    <w:rsid w:val="0B296D13"/>
    <w:rsid w:val="0B4E39F7"/>
    <w:rsid w:val="0B643590"/>
    <w:rsid w:val="0B66416A"/>
    <w:rsid w:val="0B7314D5"/>
    <w:rsid w:val="0BB07C71"/>
    <w:rsid w:val="0BEE5A66"/>
    <w:rsid w:val="0BF9008B"/>
    <w:rsid w:val="0BFA6FD1"/>
    <w:rsid w:val="0C373216"/>
    <w:rsid w:val="0C3E7E08"/>
    <w:rsid w:val="0C406B21"/>
    <w:rsid w:val="0C6915E0"/>
    <w:rsid w:val="0CD4338D"/>
    <w:rsid w:val="0CE41149"/>
    <w:rsid w:val="0CEE7400"/>
    <w:rsid w:val="0D1462F4"/>
    <w:rsid w:val="0D1C2527"/>
    <w:rsid w:val="0D324D94"/>
    <w:rsid w:val="0D553128"/>
    <w:rsid w:val="0D6B65F8"/>
    <w:rsid w:val="0DB40D43"/>
    <w:rsid w:val="0DB71BE3"/>
    <w:rsid w:val="0DB86AB6"/>
    <w:rsid w:val="0DBC70F1"/>
    <w:rsid w:val="0DFF3918"/>
    <w:rsid w:val="0E0722AE"/>
    <w:rsid w:val="0E0D2B89"/>
    <w:rsid w:val="0E44027A"/>
    <w:rsid w:val="0E53028D"/>
    <w:rsid w:val="0E5D3349"/>
    <w:rsid w:val="0E7D2A40"/>
    <w:rsid w:val="0E857647"/>
    <w:rsid w:val="0E905815"/>
    <w:rsid w:val="0EA271EC"/>
    <w:rsid w:val="0ECD528C"/>
    <w:rsid w:val="0EE61D33"/>
    <w:rsid w:val="0EE70E8E"/>
    <w:rsid w:val="0EE81876"/>
    <w:rsid w:val="0F0A282B"/>
    <w:rsid w:val="0F470702"/>
    <w:rsid w:val="0F515C5A"/>
    <w:rsid w:val="0F6D3AD1"/>
    <w:rsid w:val="0F824033"/>
    <w:rsid w:val="0FA42666"/>
    <w:rsid w:val="0FD2057A"/>
    <w:rsid w:val="0FD571EC"/>
    <w:rsid w:val="0FF4142D"/>
    <w:rsid w:val="108522C5"/>
    <w:rsid w:val="109C55C2"/>
    <w:rsid w:val="10A36CEB"/>
    <w:rsid w:val="10FF5343"/>
    <w:rsid w:val="11240204"/>
    <w:rsid w:val="1134195C"/>
    <w:rsid w:val="11A23E24"/>
    <w:rsid w:val="11AF3192"/>
    <w:rsid w:val="11D44407"/>
    <w:rsid w:val="11F4325E"/>
    <w:rsid w:val="12042129"/>
    <w:rsid w:val="122B23DB"/>
    <w:rsid w:val="12432BED"/>
    <w:rsid w:val="128A57C3"/>
    <w:rsid w:val="12921F42"/>
    <w:rsid w:val="12B2792E"/>
    <w:rsid w:val="12C33517"/>
    <w:rsid w:val="12D45BC9"/>
    <w:rsid w:val="12E5148C"/>
    <w:rsid w:val="13375F7C"/>
    <w:rsid w:val="133B072C"/>
    <w:rsid w:val="138B448A"/>
    <w:rsid w:val="139A144D"/>
    <w:rsid w:val="13CD6B47"/>
    <w:rsid w:val="13D80628"/>
    <w:rsid w:val="13E62DBC"/>
    <w:rsid w:val="141C07D5"/>
    <w:rsid w:val="14237CCA"/>
    <w:rsid w:val="14505136"/>
    <w:rsid w:val="146F1A40"/>
    <w:rsid w:val="14776EFE"/>
    <w:rsid w:val="147B5855"/>
    <w:rsid w:val="14904A9F"/>
    <w:rsid w:val="14AD2FB9"/>
    <w:rsid w:val="14B4689D"/>
    <w:rsid w:val="14DA11D6"/>
    <w:rsid w:val="14E375A4"/>
    <w:rsid w:val="14FA43F4"/>
    <w:rsid w:val="15312467"/>
    <w:rsid w:val="153E5864"/>
    <w:rsid w:val="15442DDA"/>
    <w:rsid w:val="157A4E72"/>
    <w:rsid w:val="15801337"/>
    <w:rsid w:val="159C20F2"/>
    <w:rsid w:val="15A14DEA"/>
    <w:rsid w:val="15A52288"/>
    <w:rsid w:val="15B37428"/>
    <w:rsid w:val="15C16A04"/>
    <w:rsid w:val="15D17694"/>
    <w:rsid w:val="15F455B0"/>
    <w:rsid w:val="15FC2035"/>
    <w:rsid w:val="16065428"/>
    <w:rsid w:val="16094D85"/>
    <w:rsid w:val="162006D2"/>
    <w:rsid w:val="162114BD"/>
    <w:rsid w:val="163B35AF"/>
    <w:rsid w:val="16497123"/>
    <w:rsid w:val="16593E44"/>
    <w:rsid w:val="16676900"/>
    <w:rsid w:val="166A27F4"/>
    <w:rsid w:val="169541A1"/>
    <w:rsid w:val="16DF0663"/>
    <w:rsid w:val="170279F1"/>
    <w:rsid w:val="170711DD"/>
    <w:rsid w:val="170B0EBC"/>
    <w:rsid w:val="174357EB"/>
    <w:rsid w:val="177D1E82"/>
    <w:rsid w:val="17830C7D"/>
    <w:rsid w:val="179B2596"/>
    <w:rsid w:val="17A16409"/>
    <w:rsid w:val="17EB2521"/>
    <w:rsid w:val="17FC09DB"/>
    <w:rsid w:val="18410550"/>
    <w:rsid w:val="184A630F"/>
    <w:rsid w:val="18902AC0"/>
    <w:rsid w:val="189B5D8E"/>
    <w:rsid w:val="18A36F04"/>
    <w:rsid w:val="18C633D3"/>
    <w:rsid w:val="18F92709"/>
    <w:rsid w:val="190711B8"/>
    <w:rsid w:val="1929549B"/>
    <w:rsid w:val="193713E3"/>
    <w:rsid w:val="19446B85"/>
    <w:rsid w:val="195C7B85"/>
    <w:rsid w:val="19CC7E03"/>
    <w:rsid w:val="19D86A17"/>
    <w:rsid w:val="19DA3387"/>
    <w:rsid w:val="19F4305A"/>
    <w:rsid w:val="19FD64D2"/>
    <w:rsid w:val="1A1C02B0"/>
    <w:rsid w:val="1A4354AD"/>
    <w:rsid w:val="1A53371E"/>
    <w:rsid w:val="1A580897"/>
    <w:rsid w:val="1A59708B"/>
    <w:rsid w:val="1A5C344B"/>
    <w:rsid w:val="1A761580"/>
    <w:rsid w:val="1A886D43"/>
    <w:rsid w:val="1AC54D70"/>
    <w:rsid w:val="1AFB42ED"/>
    <w:rsid w:val="1B1656CF"/>
    <w:rsid w:val="1B1A4796"/>
    <w:rsid w:val="1B1A5B25"/>
    <w:rsid w:val="1B677C92"/>
    <w:rsid w:val="1B803B6F"/>
    <w:rsid w:val="1B837D67"/>
    <w:rsid w:val="1BA5625C"/>
    <w:rsid w:val="1BCD65A0"/>
    <w:rsid w:val="1BD04F59"/>
    <w:rsid w:val="1C127C1D"/>
    <w:rsid w:val="1C2E4F86"/>
    <w:rsid w:val="1C393EA0"/>
    <w:rsid w:val="1C3B6CE8"/>
    <w:rsid w:val="1C526437"/>
    <w:rsid w:val="1C751ABE"/>
    <w:rsid w:val="1C7840B1"/>
    <w:rsid w:val="1C8745E6"/>
    <w:rsid w:val="1C8E3E2E"/>
    <w:rsid w:val="1C8F7072"/>
    <w:rsid w:val="1C92728F"/>
    <w:rsid w:val="1CB74342"/>
    <w:rsid w:val="1CBC5B9E"/>
    <w:rsid w:val="1CC70E5A"/>
    <w:rsid w:val="1CC826ED"/>
    <w:rsid w:val="1CC858AA"/>
    <w:rsid w:val="1CE4446C"/>
    <w:rsid w:val="1CFB6772"/>
    <w:rsid w:val="1D012DC8"/>
    <w:rsid w:val="1D473FC4"/>
    <w:rsid w:val="1D4808AE"/>
    <w:rsid w:val="1D7F206E"/>
    <w:rsid w:val="1DA55ED4"/>
    <w:rsid w:val="1DC87107"/>
    <w:rsid w:val="1DCB31D3"/>
    <w:rsid w:val="1DCD16C2"/>
    <w:rsid w:val="1DD1681C"/>
    <w:rsid w:val="1DEA1AED"/>
    <w:rsid w:val="1DEC7B59"/>
    <w:rsid w:val="1E044C13"/>
    <w:rsid w:val="1E132584"/>
    <w:rsid w:val="1E1D1B02"/>
    <w:rsid w:val="1E211AF4"/>
    <w:rsid w:val="1E2D414F"/>
    <w:rsid w:val="1E7C3880"/>
    <w:rsid w:val="1E9E542D"/>
    <w:rsid w:val="1EA3020C"/>
    <w:rsid w:val="1EC428AC"/>
    <w:rsid w:val="1EEB6780"/>
    <w:rsid w:val="1F0F1A50"/>
    <w:rsid w:val="1F3E237B"/>
    <w:rsid w:val="1F3F4D79"/>
    <w:rsid w:val="1F9312FF"/>
    <w:rsid w:val="1FA928B8"/>
    <w:rsid w:val="1FAF33D0"/>
    <w:rsid w:val="1FE97514"/>
    <w:rsid w:val="200A5C3C"/>
    <w:rsid w:val="203370CC"/>
    <w:rsid w:val="2042635B"/>
    <w:rsid w:val="204949D4"/>
    <w:rsid w:val="20567420"/>
    <w:rsid w:val="205E116D"/>
    <w:rsid w:val="2069588E"/>
    <w:rsid w:val="20786BE9"/>
    <w:rsid w:val="208257CE"/>
    <w:rsid w:val="208A1D0B"/>
    <w:rsid w:val="208C4B5A"/>
    <w:rsid w:val="20A03B82"/>
    <w:rsid w:val="20B3324D"/>
    <w:rsid w:val="20B74704"/>
    <w:rsid w:val="2122049F"/>
    <w:rsid w:val="21251B33"/>
    <w:rsid w:val="21437AE8"/>
    <w:rsid w:val="214D0AB3"/>
    <w:rsid w:val="2167743F"/>
    <w:rsid w:val="217A0435"/>
    <w:rsid w:val="218775AB"/>
    <w:rsid w:val="2188729D"/>
    <w:rsid w:val="21B77545"/>
    <w:rsid w:val="21BA022A"/>
    <w:rsid w:val="21BD48B9"/>
    <w:rsid w:val="21C42C5D"/>
    <w:rsid w:val="21CE69EC"/>
    <w:rsid w:val="21D431C3"/>
    <w:rsid w:val="21D75B28"/>
    <w:rsid w:val="21E1157B"/>
    <w:rsid w:val="21E9116E"/>
    <w:rsid w:val="21F33F8B"/>
    <w:rsid w:val="22047B62"/>
    <w:rsid w:val="220C503A"/>
    <w:rsid w:val="22637F74"/>
    <w:rsid w:val="22673393"/>
    <w:rsid w:val="227350E1"/>
    <w:rsid w:val="227A2DCD"/>
    <w:rsid w:val="227D3355"/>
    <w:rsid w:val="22811AD1"/>
    <w:rsid w:val="228150C7"/>
    <w:rsid w:val="22851D24"/>
    <w:rsid w:val="22996C92"/>
    <w:rsid w:val="22CD66D0"/>
    <w:rsid w:val="22DF6B31"/>
    <w:rsid w:val="230A1F70"/>
    <w:rsid w:val="23111068"/>
    <w:rsid w:val="231153E3"/>
    <w:rsid w:val="23242C16"/>
    <w:rsid w:val="233B32F2"/>
    <w:rsid w:val="23417E1B"/>
    <w:rsid w:val="23427B85"/>
    <w:rsid w:val="23503C84"/>
    <w:rsid w:val="238846BF"/>
    <w:rsid w:val="23A3588C"/>
    <w:rsid w:val="23AA7239"/>
    <w:rsid w:val="23BB3004"/>
    <w:rsid w:val="23C7681E"/>
    <w:rsid w:val="24082174"/>
    <w:rsid w:val="24145594"/>
    <w:rsid w:val="24381C76"/>
    <w:rsid w:val="24513B95"/>
    <w:rsid w:val="24531BE4"/>
    <w:rsid w:val="245E60EA"/>
    <w:rsid w:val="24945841"/>
    <w:rsid w:val="249F3629"/>
    <w:rsid w:val="24CF6BB0"/>
    <w:rsid w:val="24EC0746"/>
    <w:rsid w:val="25060596"/>
    <w:rsid w:val="250879C8"/>
    <w:rsid w:val="25097325"/>
    <w:rsid w:val="25292606"/>
    <w:rsid w:val="25580E26"/>
    <w:rsid w:val="255A75F4"/>
    <w:rsid w:val="25A062B3"/>
    <w:rsid w:val="25F95738"/>
    <w:rsid w:val="261D222D"/>
    <w:rsid w:val="263C430E"/>
    <w:rsid w:val="26562782"/>
    <w:rsid w:val="26584507"/>
    <w:rsid w:val="26A61651"/>
    <w:rsid w:val="26B13B60"/>
    <w:rsid w:val="26CA20A0"/>
    <w:rsid w:val="26CC4D9A"/>
    <w:rsid w:val="26CF5C04"/>
    <w:rsid w:val="26DC7985"/>
    <w:rsid w:val="26E8451F"/>
    <w:rsid w:val="26FE033B"/>
    <w:rsid w:val="271B54EF"/>
    <w:rsid w:val="2723127F"/>
    <w:rsid w:val="27330B47"/>
    <w:rsid w:val="2735298E"/>
    <w:rsid w:val="27654176"/>
    <w:rsid w:val="27796A8A"/>
    <w:rsid w:val="278860CF"/>
    <w:rsid w:val="27B524BB"/>
    <w:rsid w:val="27C873ED"/>
    <w:rsid w:val="27DB0EE6"/>
    <w:rsid w:val="27F33DF7"/>
    <w:rsid w:val="27F65AFB"/>
    <w:rsid w:val="27F83A99"/>
    <w:rsid w:val="283A5429"/>
    <w:rsid w:val="28450962"/>
    <w:rsid w:val="284A1F5D"/>
    <w:rsid w:val="284B7EE7"/>
    <w:rsid w:val="28605BD0"/>
    <w:rsid w:val="28664D86"/>
    <w:rsid w:val="286E51BD"/>
    <w:rsid w:val="287A1C4C"/>
    <w:rsid w:val="28E1506C"/>
    <w:rsid w:val="292C4BDC"/>
    <w:rsid w:val="293B15CF"/>
    <w:rsid w:val="293D6CCD"/>
    <w:rsid w:val="295807BB"/>
    <w:rsid w:val="296D189C"/>
    <w:rsid w:val="2990340C"/>
    <w:rsid w:val="299443E4"/>
    <w:rsid w:val="299D7047"/>
    <w:rsid w:val="29A06D51"/>
    <w:rsid w:val="29B20CE7"/>
    <w:rsid w:val="29CF7CBC"/>
    <w:rsid w:val="2A040E61"/>
    <w:rsid w:val="2A0B7E6D"/>
    <w:rsid w:val="2A13200D"/>
    <w:rsid w:val="2A221ED3"/>
    <w:rsid w:val="2A3B381A"/>
    <w:rsid w:val="2A8736BE"/>
    <w:rsid w:val="2A882016"/>
    <w:rsid w:val="2A93499D"/>
    <w:rsid w:val="2AC603DE"/>
    <w:rsid w:val="2AE6082F"/>
    <w:rsid w:val="2AF20769"/>
    <w:rsid w:val="2B010556"/>
    <w:rsid w:val="2B026E96"/>
    <w:rsid w:val="2B1321DC"/>
    <w:rsid w:val="2B30560E"/>
    <w:rsid w:val="2B400334"/>
    <w:rsid w:val="2B445780"/>
    <w:rsid w:val="2B4C758A"/>
    <w:rsid w:val="2B633D6E"/>
    <w:rsid w:val="2B6C4A0B"/>
    <w:rsid w:val="2BDB4391"/>
    <w:rsid w:val="2BE92768"/>
    <w:rsid w:val="2BED16F8"/>
    <w:rsid w:val="2C1C5587"/>
    <w:rsid w:val="2C1D027F"/>
    <w:rsid w:val="2C405F01"/>
    <w:rsid w:val="2C4767E2"/>
    <w:rsid w:val="2C6D4CDD"/>
    <w:rsid w:val="2C6F5E1F"/>
    <w:rsid w:val="2C755243"/>
    <w:rsid w:val="2C7C4EE5"/>
    <w:rsid w:val="2C876C23"/>
    <w:rsid w:val="2CDC497D"/>
    <w:rsid w:val="2CE72985"/>
    <w:rsid w:val="2CFB5B68"/>
    <w:rsid w:val="2D1C4591"/>
    <w:rsid w:val="2D286ADB"/>
    <w:rsid w:val="2D8B0FF1"/>
    <w:rsid w:val="2DE971E2"/>
    <w:rsid w:val="2E116E66"/>
    <w:rsid w:val="2E1D6EDE"/>
    <w:rsid w:val="2E2A3561"/>
    <w:rsid w:val="2E2D5F9E"/>
    <w:rsid w:val="2E3B6C3B"/>
    <w:rsid w:val="2E50759F"/>
    <w:rsid w:val="2EC66A23"/>
    <w:rsid w:val="2ECE06FE"/>
    <w:rsid w:val="2F1B08F5"/>
    <w:rsid w:val="2F334578"/>
    <w:rsid w:val="2F5109A4"/>
    <w:rsid w:val="2F5E6B8C"/>
    <w:rsid w:val="2F631BC5"/>
    <w:rsid w:val="2F6B042A"/>
    <w:rsid w:val="2F700DF1"/>
    <w:rsid w:val="2F916997"/>
    <w:rsid w:val="2FB601D0"/>
    <w:rsid w:val="2FBF4699"/>
    <w:rsid w:val="2FE573AB"/>
    <w:rsid w:val="301471FC"/>
    <w:rsid w:val="30245D01"/>
    <w:rsid w:val="30265D71"/>
    <w:rsid w:val="304D7130"/>
    <w:rsid w:val="30682984"/>
    <w:rsid w:val="306D2235"/>
    <w:rsid w:val="30780656"/>
    <w:rsid w:val="30896BCA"/>
    <w:rsid w:val="309F2E19"/>
    <w:rsid w:val="30EF2A10"/>
    <w:rsid w:val="30F019A9"/>
    <w:rsid w:val="31132550"/>
    <w:rsid w:val="313F4D9A"/>
    <w:rsid w:val="314A36B4"/>
    <w:rsid w:val="3161595D"/>
    <w:rsid w:val="3184602D"/>
    <w:rsid w:val="319C6943"/>
    <w:rsid w:val="31AD66FD"/>
    <w:rsid w:val="31B21D95"/>
    <w:rsid w:val="31B96AA6"/>
    <w:rsid w:val="31DF34F0"/>
    <w:rsid w:val="31EE0D17"/>
    <w:rsid w:val="31FC7ADB"/>
    <w:rsid w:val="3221596B"/>
    <w:rsid w:val="32222E7F"/>
    <w:rsid w:val="322272D6"/>
    <w:rsid w:val="322F17B7"/>
    <w:rsid w:val="325A6FC8"/>
    <w:rsid w:val="32976A23"/>
    <w:rsid w:val="3300502A"/>
    <w:rsid w:val="3306169A"/>
    <w:rsid w:val="33255513"/>
    <w:rsid w:val="33283607"/>
    <w:rsid w:val="336A17DF"/>
    <w:rsid w:val="33762B88"/>
    <w:rsid w:val="338565A5"/>
    <w:rsid w:val="33AD0AAD"/>
    <w:rsid w:val="33FC056B"/>
    <w:rsid w:val="34133F4C"/>
    <w:rsid w:val="34176FDD"/>
    <w:rsid w:val="34186F72"/>
    <w:rsid w:val="34195674"/>
    <w:rsid w:val="34246EDC"/>
    <w:rsid w:val="346C5CA1"/>
    <w:rsid w:val="34A04E07"/>
    <w:rsid w:val="34B04582"/>
    <w:rsid w:val="34DB1E65"/>
    <w:rsid w:val="34E24C33"/>
    <w:rsid w:val="34F3029F"/>
    <w:rsid w:val="34F74832"/>
    <w:rsid w:val="351013A8"/>
    <w:rsid w:val="351940B0"/>
    <w:rsid w:val="3531020B"/>
    <w:rsid w:val="35364074"/>
    <w:rsid w:val="355E4683"/>
    <w:rsid w:val="35A07E22"/>
    <w:rsid w:val="35E53C1A"/>
    <w:rsid w:val="360302A9"/>
    <w:rsid w:val="36170E17"/>
    <w:rsid w:val="361976C3"/>
    <w:rsid w:val="362463DF"/>
    <w:rsid w:val="3638711E"/>
    <w:rsid w:val="36572F64"/>
    <w:rsid w:val="36BF73D0"/>
    <w:rsid w:val="36C6691A"/>
    <w:rsid w:val="36DA22D7"/>
    <w:rsid w:val="36EB5BF2"/>
    <w:rsid w:val="36ED79DE"/>
    <w:rsid w:val="371A1ED1"/>
    <w:rsid w:val="3729787B"/>
    <w:rsid w:val="372D4055"/>
    <w:rsid w:val="374A73ED"/>
    <w:rsid w:val="374C74AC"/>
    <w:rsid w:val="37596EB2"/>
    <w:rsid w:val="37641FEB"/>
    <w:rsid w:val="376E1EFB"/>
    <w:rsid w:val="37CF0FD9"/>
    <w:rsid w:val="37E015A8"/>
    <w:rsid w:val="37E971B1"/>
    <w:rsid w:val="37F073C9"/>
    <w:rsid w:val="381559D1"/>
    <w:rsid w:val="381C1B69"/>
    <w:rsid w:val="381C6932"/>
    <w:rsid w:val="386023AC"/>
    <w:rsid w:val="38B8462D"/>
    <w:rsid w:val="38C33D5C"/>
    <w:rsid w:val="38C43921"/>
    <w:rsid w:val="38CB2C57"/>
    <w:rsid w:val="38D00D0D"/>
    <w:rsid w:val="38DA4D96"/>
    <w:rsid w:val="38DD1BC1"/>
    <w:rsid w:val="38F511B0"/>
    <w:rsid w:val="38F864C1"/>
    <w:rsid w:val="390E7336"/>
    <w:rsid w:val="391336F3"/>
    <w:rsid w:val="396D4CB7"/>
    <w:rsid w:val="39CA407F"/>
    <w:rsid w:val="39DD67E6"/>
    <w:rsid w:val="3A126618"/>
    <w:rsid w:val="3A4D15EB"/>
    <w:rsid w:val="3A876423"/>
    <w:rsid w:val="3AB421E7"/>
    <w:rsid w:val="3AC43A1F"/>
    <w:rsid w:val="3AC64035"/>
    <w:rsid w:val="3AD47F64"/>
    <w:rsid w:val="3B060213"/>
    <w:rsid w:val="3B0931F8"/>
    <w:rsid w:val="3B097A32"/>
    <w:rsid w:val="3B30693B"/>
    <w:rsid w:val="3B4C32CD"/>
    <w:rsid w:val="3B5E1D06"/>
    <w:rsid w:val="3BAA25AB"/>
    <w:rsid w:val="3BCC48C7"/>
    <w:rsid w:val="3BCD08D5"/>
    <w:rsid w:val="3BD97860"/>
    <w:rsid w:val="3BF97445"/>
    <w:rsid w:val="3C0D6F5C"/>
    <w:rsid w:val="3C28777B"/>
    <w:rsid w:val="3C2C5F84"/>
    <w:rsid w:val="3C463DED"/>
    <w:rsid w:val="3C775FC8"/>
    <w:rsid w:val="3CC022CE"/>
    <w:rsid w:val="3CE225EA"/>
    <w:rsid w:val="3CE24EAA"/>
    <w:rsid w:val="3CF03D27"/>
    <w:rsid w:val="3CF4761C"/>
    <w:rsid w:val="3D004621"/>
    <w:rsid w:val="3D122352"/>
    <w:rsid w:val="3D192AA5"/>
    <w:rsid w:val="3D484466"/>
    <w:rsid w:val="3D4E79E6"/>
    <w:rsid w:val="3D5F10D2"/>
    <w:rsid w:val="3D695218"/>
    <w:rsid w:val="3D7E1270"/>
    <w:rsid w:val="3D957D7E"/>
    <w:rsid w:val="3DAB5207"/>
    <w:rsid w:val="3DC212DD"/>
    <w:rsid w:val="3DCE1AC2"/>
    <w:rsid w:val="3DD03B65"/>
    <w:rsid w:val="3DD37FEC"/>
    <w:rsid w:val="3DF5283C"/>
    <w:rsid w:val="3DFF292D"/>
    <w:rsid w:val="3E236E55"/>
    <w:rsid w:val="3E34322F"/>
    <w:rsid w:val="3E4A0A14"/>
    <w:rsid w:val="3E5324BC"/>
    <w:rsid w:val="3E734463"/>
    <w:rsid w:val="3E991E30"/>
    <w:rsid w:val="3EC74FD8"/>
    <w:rsid w:val="3F440D32"/>
    <w:rsid w:val="3F4C2599"/>
    <w:rsid w:val="3F7A30D9"/>
    <w:rsid w:val="3FCB386C"/>
    <w:rsid w:val="3FE10A2A"/>
    <w:rsid w:val="3FEB3166"/>
    <w:rsid w:val="4005779A"/>
    <w:rsid w:val="40363A3A"/>
    <w:rsid w:val="403657E9"/>
    <w:rsid w:val="40410D61"/>
    <w:rsid w:val="407006C4"/>
    <w:rsid w:val="40880BFA"/>
    <w:rsid w:val="40AA542D"/>
    <w:rsid w:val="40D46C24"/>
    <w:rsid w:val="40D5031E"/>
    <w:rsid w:val="40DD11B1"/>
    <w:rsid w:val="40EA0F95"/>
    <w:rsid w:val="40EC23F8"/>
    <w:rsid w:val="41070804"/>
    <w:rsid w:val="411E1BAD"/>
    <w:rsid w:val="41246C1D"/>
    <w:rsid w:val="41417D67"/>
    <w:rsid w:val="41556D77"/>
    <w:rsid w:val="415F78F5"/>
    <w:rsid w:val="418A48B7"/>
    <w:rsid w:val="419304EB"/>
    <w:rsid w:val="41A47355"/>
    <w:rsid w:val="41AB0C0C"/>
    <w:rsid w:val="41AC3D91"/>
    <w:rsid w:val="41C51421"/>
    <w:rsid w:val="41E23D2A"/>
    <w:rsid w:val="422C0F9B"/>
    <w:rsid w:val="422E3F0C"/>
    <w:rsid w:val="424E187E"/>
    <w:rsid w:val="42653193"/>
    <w:rsid w:val="4296640B"/>
    <w:rsid w:val="42BC71DD"/>
    <w:rsid w:val="42EB5D13"/>
    <w:rsid w:val="431B161F"/>
    <w:rsid w:val="431B3150"/>
    <w:rsid w:val="432D0F3D"/>
    <w:rsid w:val="43716B39"/>
    <w:rsid w:val="43A62258"/>
    <w:rsid w:val="43C52CE9"/>
    <w:rsid w:val="43C542E7"/>
    <w:rsid w:val="43CC36D3"/>
    <w:rsid w:val="44053A18"/>
    <w:rsid w:val="440C2621"/>
    <w:rsid w:val="44286EF0"/>
    <w:rsid w:val="444A60D6"/>
    <w:rsid w:val="444A6201"/>
    <w:rsid w:val="446E3444"/>
    <w:rsid w:val="44722AC8"/>
    <w:rsid w:val="447F2700"/>
    <w:rsid w:val="44902D8A"/>
    <w:rsid w:val="44F34738"/>
    <w:rsid w:val="450C30C1"/>
    <w:rsid w:val="450F36BC"/>
    <w:rsid w:val="453440B9"/>
    <w:rsid w:val="45380EEC"/>
    <w:rsid w:val="458E1756"/>
    <w:rsid w:val="45BA1C5F"/>
    <w:rsid w:val="45DB00D9"/>
    <w:rsid w:val="45DF1A0C"/>
    <w:rsid w:val="45E2649C"/>
    <w:rsid w:val="45EC2CDD"/>
    <w:rsid w:val="45F624B2"/>
    <w:rsid w:val="46026227"/>
    <w:rsid w:val="46044B25"/>
    <w:rsid w:val="460E6BC6"/>
    <w:rsid w:val="462D0958"/>
    <w:rsid w:val="463C4B2E"/>
    <w:rsid w:val="464D1332"/>
    <w:rsid w:val="466220A0"/>
    <w:rsid w:val="46B571C0"/>
    <w:rsid w:val="46D7781C"/>
    <w:rsid w:val="46E70B37"/>
    <w:rsid w:val="46E90904"/>
    <w:rsid w:val="46FD31FB"/>
    <w:rsid w:val="470B2D93"/>
    <w:rsid w:val="470F3619"/>
    <w:rsid w:val="472D2B16"/>
    <w:rsid w:val="472F5E58"/>
    <w:rsid w:val="473B5852"/>
    <w:rsid w:val="4754407A"/>
    <w:rsid w:val="47755093"/>
    <w:rsid w:val="479A7B66"/>
    <w:rsid w:val="479A7EA7"/>
    <w:rsid w:val="47B41CA6"/>
    <w:rsid w:val="47B91D87"/>
    <w:rsid w:val="47C00C39"/>
    <w:rsid w:val="47C47222"/>
    <w:rsid w:val="47CE6195"/>
    <w:rsid w:val="47D22736"/>
    <w:rsid w:val="47E81C34"/>
    <w:rsid w:val="4812452D"/>
    <w:rsid w:val="4839166B"/>
    <w:rsid w:val="4841673B"/>
    <w:rsid w:val="48894FF4"/>
    <w:rsid w:val="48FE1C8E"/>
    <w:rsid w:val="490E61A1"/>
    <w:rsid w:val="491D50F4"/>
    <w:rsid w:val="494A0352"/>
    <w:rsid w:val="49C06738"/>
    <w:rsid w:val="49CF0180"/>
    <w:rsid w:val="49D70D45"/>
    <w:rsid w:val="49F9518C"/>
    <w:rsid w:val="4A3661D0"/>
    <w:rsid w:val="4A4857B3"/>
    <w:rsid w:val="4A506F08"/>
    <w:rsid w:val="4A54254B"/>
    <w:rsid w:val="4A5B122B"/>
    <w:rsid w:val="4AAF0D17"/>
    <w:rsid w:val="4AC7490F"/>
    <w:rsid w:val="4AEC19C9"/>
    <w:rsid w:val="4B0C7BF8"/>
    <w:rsid w:val="4B3913B6"/>
    <w:rsid w:val="4B6F00E6"/>
    <w:rsid w:val="4B6F6273"/>
    <w:rsid w:val="4B7033C1"/>
    <w:rsid w:val="4B7A2E73"/>
    <w:rsid w:val="4BA318E2"/>
    <w:rsid w:val="4BB113E9"/>
    <w:rsid w:val="4BB71830"/>
    <w:rsid w:val="4BFC452E"/>
    <w:rsid w:val="4C421637"/>
    <w:rsid w:val="4C450062"/>
    <w:rsid w:val="4C7344BE"/>
    <w:rsid w:val="4C7A5A5B"/>
    <w:rsid w:val="4C810159"/>
    <w:rsid w:val="4C8F6EBF"/>
    <w:rsid w:val="4C990605"/>
    <w:rsid w:val="4CB46ABA"/>
    <w:rsid w:val="4CB86758"/>
    <w:rsid w:val="4CC97F4D"/>
    <w:rsid w:val="4CF318E9"/>
    <w:rsid w:val="4D0E60AF"/>
    <w:rsid w:val="4D197F32"/>
    <w:rsid w:val="4D2D7466"/>
    <w:rsid w:val="4D561DD3"/>
    <w:rsid w:val="4D5D426D"/>
    <w:rsid w:val="4D5E468E"/>
    <w:rsid w:val="4D801A08"/>
    <w:rsid w:val="4D890873"/>
    <w:rsid w:val="4D9E2669"/>
    <w:rsid w:val="4DAE7DBE"/>
    <w:rsid w:val="4DBA440F"/>
    <w:rsid w:val="4DC82B8E"/>
    <w:rsid w:val="4DFC001D"/>
    <w:rsid w:val="4E390CA3"/>
    <w:rsid w:val="4E432638"/>
    <w:rsid w:val="4E4522EF"/>
    <w:rsid w:val="4E6C58CE"/>
    <w:rsid w:val="4E6E18E4"/>
    <w:rsid w:val="4E736BEF"/>
    <w:rsid w:val="4E8407C0"/>
    <w:rsid w:val="4EB90B45"/>
    <w:rsid w:val="4EBF730A"/>
    <w:rsid w:val="4EDC1728"/>
    <w:rsid w:val="4EE567C8"/>
    <w:rsid w:val="4EF15467"/>
    <w:rsid w:val="4EF23FB1"/>
    <w:rsid w:val="4F3C67C6"/>
    <w:rsid w:val="4F5B1333"/>
    <w:rsid w:val="4F93582B"/>
    <w:rsid w:val="4F9B578A"/>
    <w:rsid w:val="4FA841F2"/>
    <w:rsid w:val="4FB25A88"/>
    <w:rsid w:val="4FD20AA0"/>
    <w:rsid w:val="4FE42133"/>
    <w:rsid w:val="5007249F"/>
    <w:rsid w:val="500E2412"/>
    <w:rsid w:val="501200D5"/>
    <w:rsid w:val="50156172"/>
    <w:rsid w:val="503304DD"/>
    <w:rsid w:val="50541E93"/>
    <w:rsid w:val="50717643"/>
    <w:rsid w:val="509B494D"/>
    <w:rsid w:val="50B9474C"/>
    <w:rsid w:val="50DE7355"/>
    <w:rsid w:val="50E96E23"/>
    <w:rsid w:val="512978FE"/>
    <w:rsid w:val="51502F0F"/>
    <w:rsid w:val="51752176"/>
    <w:rsid w:val="517B6174"/>
    <w:rsid w:val="519E0C6D"/>
    <w:rsid w:val="51B5269E"/>
    <w:rsid w:val="51B85C65"/>
    <w:rsid w:val="51BA22D2"/>
    <w:rsid w:val="51BB1571"/>
    <w:rsid w:val="51CF7F71"/>
    <w:rsid w:val="51DC0CC0"/>
    <w:rsid w:val="51F24178"/>
    <w:rsid w:val="51F81AE0"/>
    <w:rsid w:val="521006CF"/>
    <w:rsid w:val="521273EF"/>
    <w:rsid w:val="522154D7"/>
    <w:rsid w:val="525400C3"/>
    <w:rsid w:val="52546215"/>
    <w:rsid w:val="525E72CD"/>
    <w:rsid w:val="52AE43C7"/>
    <w:rsid w:val="52B8235F"/>
    <w:rsid w:val="52C63793"/>
    <w:rsid w:val="52D96C12"/>
    <w:rsid w:val="52EC56F1"/>
    <w:rsid w:val="52FE69C4"/>
    <w:rsid w:val="53055FDE"/>
    <w:rsid w:val="534B3E00"/>
    <w:rsid w:val="53526694"/>
    <w:rsid w:val="53620E89"/>
    <w:rsid w:val="536B5C0C"/>
    <w:rsid w:val="539219AD"/>
    <w:rsid w:val="53FC3441"/>
    <w:rsid w:val="54095716"/>
    <w:rsid w:val="5425170C"/>
    <w:rsid w:val="54333A58"/>
    <w:rsid w:val="54473660"/>
    <w:rsid w:val="54475507"/>
    <w:rsid w:val="5453362B"/>
    <w:rsid w:val="545B53B5"/>
    <w:rsid w:val="54617825"/>
    <w:rsid w:val="546C70C7"/>
    <w:rsid w:val="547A03C3"/>
    <w:rsid w:val="54BE7CEF"/>
    <w:rsid w:val="54F90306"/>
    <w:rsid w:val="55027786"/>
    <w:rsid w:val="55165BD1"/>
    <w:rsid w:val="557800F9"/>
    <w:rsid w:val="5590336F"/>
    <w:rsid w:val="55A80492"/>
    <w:rsid w:val="55B20C5C"/>
    <w:rsid w:val="55C34A96"/>
    <w:rsid w:val="55EC58B0"/>
    <w:rsid w:val="55F45560"/>
    <w:rsid w:val="564C4930"/>
    <w:rsid w:val="56552601"/>
    <w:rsid w:val="565F7902"/>
    <w:rsid w:val="566762DA"/>
    <w:rsid w:val="56705F15"/>
    <w:rsid w:val="56951840"/>
    <w:rsid w:val="569A0457"/>
    <w:rsid w:val="56AD149F"/>
    <w:rsid w:val="56AD3DDC"/>
    <w:rsid w:val="56DF222E"/>
    <w:rsid w:val="56E228AD"/>
    <w:rsid w:val="57210593"/>
    <w:rsid w:val="5724302A"/>
    <w:rsid w:val="57635A67"/>
    <w:rsid w:val="576F7780"/>
    <w:rsid w:val="57760786"/>
    <w:rsid w:val="577C5E86"/>
    <w:rsid w:val="57950D74"/>
    <w:rsid w:val="579E01EB"/>
    <w:rsid w:val="57A97082"/>
    <w:rsid w:val="57DC0ABA"/>
    <w:rsid w:val="57F14DE1"/>
    <w:rsid w:val="582B308E"/>
    <w:rsid w:val="583078E1"/>
    <w:rsid w:val="583D4A6D"/>
    <w:rsid w:val="58482CED"/>
    <w:rsid w:val="585F108A"/>
    <w:rsid w:val="589208FF"/>
    <w:rsid w:val="58EC2414"/>
    <w:rsid w:val="590654F0"/>
    <w:rsid w:val="59814FD1"/>
    <w:rsid w:val="598F6338"/>
    <w:rsid w:val="599C0C57"/>
    <w:rsid w:val="59B00DE5"/>
    <w:rsid w:val="59F17B06"/>
    <w:rsid w:val="5A022307"/>
    <w:rsid w:val="5A0F1BE8"/>
    <w:rsid w:val="5A25561B"/>
    <w:rsid w:val="5A2A6B6D"/>
    <w:rsid w:val="5A336AC1"/>
    <w:rsid w:val="5A516919"/>
    <w:rsid w:val="5A543883"/>
    <w:rsid w:val="5AAA53CF"/>
    <w:rsid w:val="5AB3442C"/>
    <w:rsid w:val="5AD51D83"/>
    <w:rsid w:val="5AF06F6D"/>
    <w:rsid w:val="5AF4287F"/>
    <w:rsid w:val="5B0E53A3"/>
    <w:rsid w:val="5B255C05"/>
    <w:rsid w:val="5B457607"/>
    <w:rsid w:val="5B733364"/>
    <w:rsid w:val="5BB11FDB"/>
    <w:rsid w:val="5BC3190F"/>
    <w:rsid w:val="5BCE70F4"/>
    <w:rsid w:val="5BF00DEA"/>
    <w:rsid w:val="5C13534D"/>
    <w:rsid w:val="5C1860DA"/>
    <w:rsid w:val="5C2A5C11"/>
    <w:rsid w:val="5C6863F1"/>
    <w:rsid w:val="5C8303EE"/>
    <w:rsid w:val="5C855502"/>
    <w:rsid w:val="5CC30ADE"/>
    <w:rsid w:val="5CF60E57"/>
    <w:rsid w:val="5D0F4FED"/>
    <w:rsid w:val="5D2050CC"/>
    <w:rsid w:val="5D952C65"/>
    <w:rsid w:val="5DB4234F"/>
    <w:rsid w:val="5E3E2ABA"/>
    <w:rsid w:val="5E493832"/>
    <w:rsid w:val="5E724EDA"/>
    <w:rsid w:val="5E8F4115"/>
    <w:rsid w:val="5E935F5E"/>
    <w:rsid w:val="5E9B2C46"/>
    <w:rsid w:val="5EC25FFA"/>
    <w:rsid w:val="5ED35614"/>
    <w:rsid w:val="5EF746FA"/>
    <w:rsid w:val="5F1F713C"/>
    <w:rsid w:val="5F680CFA"/>
    <w:rsid w:val="5F6C7267"/>
    <w:rsid w:val="5F8A3587"/>
    <w:rsid w:val="5FAA393B"/>
    <w:rsid w:val="5FBA1A15"/>
    <w:rsid w:val="5FD25BA0"/>
    <w:rsid w:val="5FE0127C"/>
    <w:rsid w:val="5FED17BB"/>
    <w:rsid w:val="5FFE3770"/>
    <w:rsid w:val="601F5C42"/>
    <w:rsid w:val="60256599"/>
    <w:rsid w:val="602E614B"/>
    <w:rsid w:val="60922C1B"/>
    <w:rsid w:val="60952B14"/>
    <w:rsid w:val="609B0963"/>
    <w:rsid w:val="609B64E7"/>
    <w:rsid w:val="60AA2973"/>
    <w:rsid w:val="60B31FF5"/>
    <w:rsid w:val="60C22BBA"/>
    <w:rsid w:val="60D619A0"/>
    <w:rsid w:val="60E01C98"/>
    <w:rsid w:val="611676B3"/>
    <w:rsid w:val="61303A07"/>
    <w:rsid w:val="613B51F2"/>
    <w:rsid w:val="616422DF"/>
    <w:rsid w:val="61A33053"/>
    <w:rsid w:val="61A70E98"/>
    <w:rsid w:val="61C95FF5"/>
    <w:rsid w:val="61D90263"/>
    <w:rsid w:val="622A5C26"/>
    <w:rsid w:val="624A3B38"/>
    <w:rsid w:val="624C1159"/>
    <w:rsid w:val="625306BE"/>
    <w:rsid w:val="625F6307"/>
    <w:rsid w:val="62671915"/>
    <w:rsid w:val="627955F6"/>
    <w:rsid w:val="62796FF0"/>
    <w:rsid w:val="62B960CF"/>
    <w:rsid w:val="62D54C81"/>
    <w:rsid w:val="62E17600"/>
    <w:rsid w:val="62EA2BFF"/>
    <w:rsid w:val="63084A49"/>
    <w:rsid w:val="6337664F"/>
    <w:rsid w:val="63383ED6"/>
    <w:rsid w:val="6338494C"/>
    <w:rsid w:val="633C7337"/>
    <w:rsid w:val="63775C96"/>
    <w:rsid w:val="638929FF"/>
    <w:rsid w:val="63A11ED6"/>
    <w:rsid w:val="63A60F1D"/>
    <w:rsid w:val="63D320AC"/>
    <w:rsid w:val="64011BAD"/>
    <w:rsid w:val="64061DE2"/>
    <w:rsid w:val="642E732A"/>
    <w:rsid w:val="64471DF2"/>
    <w:rsid w:val="645A7DDA"/>
    <w:rsid w:val="646F3B94"/>
    <w:rsid w:val="6490034D"/>
    <w:rsid w:val="649C5180"/>
    <w:rsid w:val="64CC7CAA"/>
    <w:rsid w:val="64D43A01"/>
    <w:rsid w:val="64D67A48"/>
    <w:rsid w:val="64F06AB3"/>
    <w:rsid w:val="65137EA5"/>
    <w:rsid w:val="65276BAC"/>
    <w:rsid w:val="656578F0"/>
    <w:rsid w:val="65845966"/>
    <w:rsid w:val="65A438ED"/>
    <w:rsid w:val="65DF7E31"/>
    <w:rsid w:val="65FE0525"/>
    <w:rsid w:val="660F6F92"/>
    <w:rsid w:val="661C2807"/>
    <w:rsid w:val="661C540A"/>
    <w:rsid w:val="66494E5D"/>
    <w:rsid w:val="664D393D"/>
    <w:rsid w:val="665C09B1"/>
    <w:rsid w:val="666B0F2C"/>
    <w:rsid w:val="668A6A2F"/>
    <w:rsid w:val="66CB5C45"/>
    <w:rsid w:val="66E665C4"/>
    <w:rsid w:val="66E7279B"/>
    <w:rsid w:val="66F1525C"/>
    <w:rsid w:val="66F238E5"/>
    <w:rsid w:val="6729363F"/>
    <w:rsid w:val="677C44FA"/>
    <w:rsid w:val="67941E94"/>
    <w:rsid w:val="67B607E5"/>
    <w:rsid w:val="67DC6C2E"/>
    <w:rsid w:val="67EA67B6"/>
    <w:rsid w:val="67EE44B5"/>
    <w:rsid w:val="67FC16DF"/>
    <w:rsid w:val="68120C2B"/>
    <w:rsid w:val="684F79E5"/>
    <w:rsid w:val="68545E49"/>
    <w:rsid w:val="688C1198"/>
    <w:rsid w:val="68AA7102"/>
    <w:rsid w:val="68B857EF"/>
    <w:rsid w:val="69256781"/>
    <w:rsid w:val="694718A7"/>
    <w:rsid w:val="69775CB8"/>
    <w:rsid w:val="69A57FAE"/>
    <w:rsid w:val="6A0D0646"/>
    <w:rsid w:val="6A21047C"/>
    <w:rsid w:val="6A2E1E58"/>
    <w:rsid w:val="6A5A799B"/>
    <w:rsid w:val="6A643167"/>
    <w:rsid w:val="6A687450"/>
    <w:rsid w:val="6A6D3B27"/>
    <w:rsid w:val="6A7560B4"/>
    <w:rsid w:val="6A7E1064"/>
    <w:rsid w:val="6A81571E"/>
    <w:rsid w:val="6A815C41"/>
    <w:rsid w:val="6A922CD0"/>
    <w:rsid w:val="6AA643DB"/>
    <w:rsid w:val="6AAE32C5"/>
    <w:rsid w:val="6ABF313F"/>
    <w:rsid w:val="6AD71D71"/>
    <w:rsid w:val="6ADE3ED8"/>
    <w:rsid w:val="6AEB2741"/>
    <w:rsid w:val="6B052A8D"/>
    <w:rsid w:val="6B0B0382"/>
    <w:rsid w:val="6B240C57"/>
    <w:rsid w:val="6B256EDB"/>
    <w:rsid w:val="6B4B4300"/>
    <w:rsid w:val="6B4D2B9D"/>
    <w:rsid w:val="6B5D7821"/>
    <w:rsid w:val="6B9668DB"/>
    <w:rsid w:val="6BA07A01"/>
    <w:rsid w:val="6BC1736F"/>
    <w:rsid w:val="6BC32D7C"/>
    <w:rsid w:val="6BEA3A98"/>
    <w:rsid w:val="6BFC153C"/>
    <w:rsid w:val="6C035B55"/>
    <w:rsid w:val="6C041BF9"/>
    <w:rsid w:val="6C133380"/>
    <w:rsid w:val="6C472EBA"/>
    <w:rsid w:val="6C4C7015"/>
    <w:rsid w:val="6C5775A1"/>
    <w:rsid w:val="6C6E2EBB"/>
    <w:rsid w:val="6C923F25"/>
    <w:rsid w:val="6C954167"/>
    <w:rsid w:val="6CA47FE8"/>
    <w:rsid w:val="6CA50FD0"/>
    <w:rsid w:val="6CA755E2"/>
    <w:rsid w:val="6CC044DE"/>
    <w:rsid w:val="6CC16398"/>
    <w:rsid w:val="6CE02419"/>
    <w:rsid w:val="6D277E96"/>
    <w:rsid w:val="6D436A1C"/>
    <w:rsid w:val="6D520B87"/>
    <w:rsid w:val="6D916F74"/>
    <w:rsid w:val="6DAD13C7"/>
    <w:rsid w:val="6DBF6021"/>
    <w:rsid w:val="6DCE3FFB"/>
    <w:rsid w:val="6DD04340"/>
    <w:rsid w:val="6E036133"/>
    <w:rsid w:val="6E0E695B"/>
    <w:rsid w:val="6E2378A8"/>
    <w:rsid w:val="6E2C49CC"/>
    <w:rsid w:val="6E440EBF"/>
    <w:rsid w:val="6E4826E9"/>
    <w:rsid w:val="6E676263"/>
    <w:rsid w:val="6E6F1E80"/>
    <w:rsid w:val="6E96065E"/>
    <w:rsid w:val="6E961113"/>
    <w:rsid w:val="6E9F16FC"/>
    <w:rsid w:val="6EA90888"/>
    <w:rsid w:val="6EBE77EF"/>
    <w:rsid w:val="6ECD68F9"/>
    <w:rsid w:val="6F273508"/>
    <w:rsid w:val="6F323823"/>
    <w:rsid w:val="6F3F30A0"/>
    <w:rsid w:val="6F621109"/>
    <w:rsid w:val="6F756E95"/>
    <w:rsid w:val="6F8A056E"/>
    <w:rsid w:val="6F8E0354"/>
    <w:rsid w:val="6F992D47"/>
    <w:rsid w:val="70024364"/>
    <w:rsid w:val="70147F6A"/>
    <w:rsid w:val="70755073"/>
    <w:rsid w:val="70A0793D"/>
    <w:rsid w:val="70BC38E2"/>
    <w:rsid w:val="70E81B75"/>
    <w:rsid w:val="70F040E3"/>
    <w:rsid w:val="70F93A3F"/>
    <w:rsid w:val="71105D50"/>
    <w:rsid w:val="71167CDC"/>
    <w:rsid w:val="71286862"/>
    <w:rsid w:val="712F6F39"/>
    <w:rsid w:val="713E2FDB"/>
    <w:rsid w:val="71475E96"/>
    <w:rsid w:val="71841A31"/>
    <w:rsid w:val="71D441C2"/>
    <w:rsid w:val="71E45372"/>
    <w:rsid w:val="71E60E06"/>
    <w:rsid w:val="7208644C"/>
    <w:rsid w:val="721A5D7C"/>
    <w:rsid w:val="723E74DE"/>
    <w:rsid w:val="72490994"/>
    <w:rsid w:val="7262525F"/>
    <w:rsid w:val="7280060B"/>
    <w:rsid w:val="72E40A66"/>
    <w:rsid w:val="72F82D65"/>
    <w:rsid w:val="731C5316"/>
    <w:rsid w:val="732153F5"/>
    <w:rsid w:val="73247F8A"/>
    <w:rsid w:val="736E5061"/>
    <w:rsid w:val="73937ABF"/>
    <w:rsid w:val="73940EC5"/>
    <w:rsid w:val="73CE337C"/>
    <w:rsid w:val="73F75328"/>
    <w:rsid w:val="74071884"/>
    <w:rsid w:val="742931A7"/>
    <w:rsid w:val="74580668"/>
    <w:rsid w:val="74727EA0"/>
    <w:rsid w:val="74932E66"/>
    <w:rsid w:val="74946305"/>
    <w:rsid w:val="74A108F6"/>
    <w:rsid w:val="74C42E49"/>
    <w:rsid w:val="74DB38A2"/>
    <w:rsid w:val="74DE788B"/>
    <w:rsid w:val="74EA0AA2"/>
    <w:rsid w:val="74EB5CFC"/>
    <w:rsid w:val="74F7099B"/>
    <w:rsid w:val="750B1EBE"/>
    <w:rsid w:val="751B3609"/>
    <w:rsid w:val="75225626"/>
    <w:rsid w:val="75476EDC"/>
    <w:rsid w:val="754C4F37"/>
    <w:rsid w:val="7562261A"/>
    <w:rsid w:val="756B4AEC"/>
    <w:rsid w:val="75822DE6"/>
    <w:rsid w:val="759C70AE"/>
    <w:rsid w:val="75A12DD8"/>
    <w:rsid w:val="75E3729E"/>
    <w:rsid w:val="75EC2BEE"/>
    <w:rsid w:val="75F65D3C"/>
    <w:rsid w:val="75F96328"/>
    <w:rsid w:val="76007311"/>
    <w:rsid w:val="7615617D"/>
    <w:rsid w:val="76200A04"/>
    <w:rsid w:val="762C165D"/>
    <w:rsid w:val="76C76D5F"/>
    <w:rsid w:val="76F048AC"/>
    <w:rsid w:val="77064A55"/>
    <w:rsid w:val="772C0D98"/>
    <w:rsid w:val="774C45E8"/>
    <w:rsid w:val="77817AE3"/>
    <w:rsid w:val="77876814"/>
    <w:rsid w:val="77E45FFB"/>
    <w:rsid w:val="77F32441"/>
    <w:rsid w:val="780C2D25"/>
    <w:rsid w:val="78103ADF"/>
    <w:rsid w:val="783570B9"/>
    <w:rsid w:val="78357142"/>
    <w:rsid w:val="783B4535"/>
    <w:rsid w:val="783D2440"/>
    <w:rsid w:val="785307C2"/>
    <w:rsid w:val="787E1BD1"/>
    <w:rsid w:val="78A22999"/>
    <w:rsid w:val="78B478CC"/>
    <w:rsid w:val="78B7255D"/>
    <w:rsid w:val="78D41419"/>
    <w:rsid w:val="79230630"/>
    <w:rsid w:val="793047C6"/>
    <w:rsid w:val="794848CA"/>
    <w:rsid w:val="796F2C63"/>
    <w:rsid w:val="797101BF"/>
    <w:rsid w:val="798A2292"/>
    <w:rsid w:val="79995BEF"/>
    <w:rsid w:val="799C385C"/>
    <w:rsid w:val="79A11744"/>
    <w:rsid w:val="79D13260"/>
    <w:rsid w:val="79ED66DD"/>
    <w:rsid w:val="79F62358"/>
    <w:rsid w:val="79FF0349"/>
    <w:rsid w:val="7A1D796C"/>
    <w:rsid w:val="7A2D2E71"/>
    <w:rsid w:val="7ABB5F10"/>
    <w:rsid w:val="7ACB24DC"/>
    <w:rsid w:val="7B213550"/>
    <w:rsid w:val="7B343BA1"/>
    <w:rsid w:val="7B3B7ACA"/>
    <w:rsid w:val="7B43477D"/>
    <w:rsid w:val="7B4B7E21"/>
    <w:rsid w:val="7B52062B"/>
    <w:rsid w:val="7B646217"/>
    <w:rsid w:val="7B677A53"/>
    <w:rsid w:val="7B7349BF"/>
    <w:rsid w:val="7BA62B82"/>
    <w:rsid w:val="7BA7113F"/>
    <w:rsid w:val="7BB16327"/>
    <w:rsid w:val="7BB44BEA"/>
    <w:rsid w:val="7BCA0CD8"/>
    <w:rsid w:val="7C187734"/>
    <w:rsid w:val="7C2A1162"/>
    <w:rsid w:val="7C401F8B"/>
    <w:rsid w:val="7C5067D3"/>
    <w:rsid w:val="7C64659D"/>
    <w:rsid w:val="7C743ED1"/>
    <w:rsid w:val="7C8A46D7"/>
    <w:rsid w:val="7C8B3DE6"/>
    <w:rsid w:val="7C9D2FD9"/>
    <w:rsid w:val="7CA07B9A"/>
    <w:rsid w:val="7CA3358D"/>
    <w:rsid w:val="7CAC3111"/>
    <w:rsid w:val="7CE135E6"/>
    <w:rsid w:val="7D0C2EEC"/>
    <w:rsid w:val="7D116942"/>
    <w:rsid w:val="7D1538EC"/>
    <w:rsid w:val="7D2037EF"/>
    <w:rsid w:val="7D3C3E1F"/>
    <w:rsid w:val="7D6E3C91"/>
    <w:rsid w:val="7D926B23"/>
    <w:rsid w:val="7DD13227"/>
    <w:rsid w:val="7DFA5352"/>
    <w:rsid w:val="7E0A4C45"/>
    <w:rsid w:val="7E2F6A34"/>
    <w:rsid w:val="7E3D5BCF"/>
    <w:rsid w:val="7E416E12"/>
    <w:rsid w:val="7E495F64"/>
    <w:rsid w:val="7E4E03E1"/>
    <w:rsid w:val="7E51148B"/>
    <w:rsid w:val="7E5B62D2"/>
    <w:rsid w:val="7E6009C6"/>
    <w:rsid w:val="7E734E0F"/>
    <w:rsid w:val="7EC07962"/>
    <w:rsid w:val="7F196B89"/>
    <w:rsid w:val="7F405101"/>
    <w:rsid w:val="7F4D3E60"/>
    <w:rsid w:val="7F555DCE"/>
    <w:rsid w:val="7F6F5B80"/>
    <w:rsid w:val="7F8B0C20"/>
    <w:rsid w:val="7FC83C0D"/>
    <w:rsid w:val="7FF15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paragraph" w:styleId="3">
    <w:name w:val="heading 2"/>
    <w:basedOn w:val="1"/>
    <w:next w:val="1"/>
    <w:qFormat/>
    <w:uiPriority w:val="0"/>
    <w:pPr>
      <w:keepNext/>
      <w:keepLines/>
      <w:widowControl w:val="0"/>
      <w:spacing w:before="260" w:after="260" w:line="413" w:lineRule="auto"/>
      <w:jc w:val="center"/>
      <w:outlineLvl w:val="1"/>
    </w:pPr>
    <w:rPr>
      <w:rFonts w:ascii="Arial" w:hAnsi="Arial" w:eastAsia="黑体" w:cs="Times New Roman"/>
      <w:b/>
      <w:kern w:val="2"/>
      <w:sz w:val="44"/>
      <w:szCs w:val="20"/>
      <w:lang w:val="en-US" w:eastAsia="zh-CN" w:bidi="ar-SA"/>
    </w:rPr>
  </w:style>
  <w:style w:type="paragraph" w:styleId="4">
    <w:name w:val="heading 4"/>
    <w:basedOn w:val="1"/>
    <w:next w:val="1"/>
    <w:qFormat/>
    <w:uiPriority w:val="0"/>
    <w:pPr>
      <w:keepNext/>
      <w:keepLines/>
      <w:widowControl/>
      <w:spacing w:before="120" w:beforeLines="0" w:after="120" w:afterLines="0" w:line="360" w:lineRule="auto"/>
      <w:jc w:val="center"/>
      <w:outlineLvl w:val="3"/>
    </w:pPr>
    <w:rPr>
      <w:rFonts w:ascii="Arial" w:hAnsi="Arial" w:eastAsia="黑体"/>
      <w:kern w:val="0"/>
      <w:sz w:val="28"/>
      <w:szCs w:val="20"/>
    </w:rPr>
  </w:style>
  <w:style w:type="paragraph" w:styleId="5">
    <w:name w:val="heading 5"/>
    <w:basedOn w:val="1"/>
    <w:next w:val="1"/>
    <w:qFormat/>
    <w:uiPriority w:val="0"/>
    <w:pPr>
      <w:keepNext/>
      <w:keepLines/>
      <w:spacing w:before="280" w:beforeLines="0" w:after="290" w:afterLines="0" w:line="372" w:lineRule="auto"/>
      <w:outlineLvl w:val="4"/>
    </w:pPr>
    <w:rPr>
      <w:b/>
      <w:bCs/>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widowControl/>
      <w:ind w:firstLine="420"/>
      <w:jc w:val="left"/>
    </w:pPr>
    <w:rPr>
      <w:sz w:val="20"/>
    </w:rPr>
  </w:style>
  <w:style w:type="paragraph" w:styleId="7">
    <w:name w:val="annotation text"/>
    <w:basedOn w:val="1"/>
    <w:qFormat/>
    <w:uiPriority w:val="0"/>
    <w:pPr>
      <w:jc w:val="left"/>
    </w:pPr>
  </w:style>
  <w:style w:type="paragraph" w:styleId="8">
    <w:name w:val="Body Text"/>
    <w:basedOn w:val="1"/>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9">
    <w:name w:val="Body Text Indent"/>
    <w:basedOn w:val="1"/>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0">
    <w:name w:val="toc 3"/>
    <w:basedOn w:val="1"/>
    <w:next w:val="1"/>
    <w:qFormat/>
    <w:uiPriority w:val="0"/>
    <w:pPr>
      <w:ind w:left="840" w:leftChars="400"/>
    </w:pPr>
  </w:style>
  <w:style w:type="paragraph" w:styleId="11">
    <w:name w:val="Plain Text"/>
    <w:basedOn w:val="1"/>
    <w:next w:val="12"/>
    <w:qFormat/>
    <w:uiPriority w:val="0"/>
    <w:pPr>
      <w:widowControl w:val="0"/>
      <w:jc w:val="both"/>
    </w:pPr>
    <w:rPr>
      <w:rFonts w:ascii="宋体" w:hAnsi="Courier New" w:eastAsia="宋体" w:cs="Times New Roman"/>
      <w:kern w:val="2"/>
      <w:sz w:val="21"/>
      <w:szCs w:val="20"/>
      <w:lang w:val="en-US" w:eastAsia="zh-CN" w:bidi="ar-SA"/>
    </w:rPr>
  </w:style>
  <w:style w:type="paragraph" w:styleId="12">
    <w:name w:val="Date"/>
    <w:basedOn w:val="1"/>
    <w:next w:val="1"/>
    <w:qFormat/>
    <w:uiPriority w:val="0"/>
    <w:pPr>
      <w:ind w:left="100" w:leftChars="2500"/>
    </w:pPr>
  </w:style>
  <w:style w:type="paragraph" w:styleId="13">
    <w:name w:val="footer"/>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4">
    <w:name w:val="header"/>
    <w:basedOn w:val="1"/>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5">
    <w:name w:val="toc 1"/>
    <w:basedOn w:val="1"/>
    <w:next w:val="1"/>
    <w:unhideWhenUsed/>
    <w:qFormat/>
    <w:uiPriority w:val="39"/>
    <w:pPr>
      <w:widowControl/>
      <w:tabs>
        <w:tab w:val="left" w:pos="0"/>
        <w:tab w:val="right" w:leader="dot" w:pos="9435"/>
      </w:tabs>
      <w:spacing w:line="440" w:lineRule="exact"/>
      <w:jc w:val="left"/>
    </w:pPr>
    <w:rPr>
      <w:rFonts w:ascii="Calibri" w:hAnsi="Calibri" w:eastAsia="宋体" w:cs="Times New Roman"/>
      <w:kern w:val="0"/>
      <w:sz w:val="22"/>
      <w:szCs w:val="22"/>
      <w:lang w:val="en-US" w:eastAsia="zh-CN" w:bidi="ar-SA"/>
    </w:rPr>
  </w:style>
  <w:style w:type="paragraph" w:styleId="16">
    <w:name w:val="toc 2"/>
    <w:next w:val="1"/>
    <w:unhideWhenUsed/>
    <w:qFormat/>
    <w:uiPriority w:val="39"/>
    <w:pPr>
      <w:widowControl/>
      <w:spacing w:after="100" w:line="276" w:lineRule="auto"/>
      <w:ind w:left="220"/>
      <w:jc w:val="left"/>
    </w:pPr>
    <w:rPr>
      <w:rFonts w:ascii="Calibri" w:hAnsi="Calibri" w:eastAsia="宋体" w:cs="Times New Roman"/>
      <w:kern w:val="0"/>
      <w:sz w:val="22"/>
      <w:szCs w:val="22"/>
      <w:lang w:val="en-US" w:eastAsia="zh-CN" w:bidi="ar-SA"/>
    </w:rPr>
  </w:style>
  <w:style w:type="paragraph" w:styleId="1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8">
    <w:name w:val="Body Text First Indent"/>
    <w:basedOn w:val="8"/>
    <w:next w:val="1"/>
    <w:qFormat/>
    <w:uiPriority w:val="0"/>
    <w:pPr>
      <w:spacing w:after="120" w:afterLines="0"/>
      <w:ind w:firstLine="420" w:firstLineChars="1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rPr>
  </w:style>
  <w:style w:type="character" w:styleId="23">
    <w:name w:val="page number"/>
    <w:qFormat/>
    <w:uiPriority w:val="0"/>
  </w:style>
  <w:style w:type="character" w:styleId="24">
    <w:name w:val="FollowedHyperlink"/>
    <w:basedOn w:val="21"/>
    <w:qFormat/>
    <w:uiPriority w:val="0"/>
    <w:rPr>
      <w:color w:val="800080"/>
      <w:u w:val="none"/>
    </w:rPr>
  </w:style>
  <w:style w:type="character" w:styleId="25">
    <w:name w:val="HTML Definition"/>
    <w:basedOn w:val="21"/>
    <w:qFormat/>
    <w:uiPriority w:val="0"/>
  </w:style>
  <w:style w:type="character" w:styleId="26">
    <w:name w:val="HTML Typewriter"/>
    <w:basedOn w:val="21"/>
    <w:qFormat/>
    <w:uiPriority w:val="0"/>
    <w:rPr>
      <w:rFonts w:hint="default" w:ascii="monospace" w:hAnsi="monospace" w:eastAsia="monospace" w:cs="monospace"/>
      <w:sz w:val="20"/>
    </w:rPr>
  </w:style>
  <w:style w:type="character" w:styleId="27">
    <w:name w:val="HTML Acronym"/>
    <w:basedOn w:val="21"/>
    <w:qFormat/>
    <w:uiPriority w:val="0"/>
  </w:style>
  <w:style w:type="character" w:styleId="28">
    <w:name w:val="HTML Variable"/>
    <w:basedOn w:val="21"/>
    <w:qFormat/>
    <w:uiPriority w:val="0"/>
  </w:style>
  <w:style w:type="character" w:styleId="29">
    <w:name w:val="Hyperlink"/>
    <w:unhideWhenUsed/>
    <w:qFormat/>
    <w:uiPriority w:val="99"/>
    <w:rPr>
      <w:color w:val="3B5998"/>
      <w:u w:val="none"/>
    </w:rPr>
  </w:style>
  <w:style w:type="character" w:styleId="30">
    <w:name w:val="HTML Code"/>
    <w:basedOn w:val="21"/>
    <w:qFormat/>
    <w:uiPriority w:val="0"/>
    <w:rPr>
      <w:rFonts w:hint="default" w:ascii="monospace" w:hAnsi="monospace" w:eastAsia="monospace" w:cs="monospace"/>
      <w:sz w:val="20"/>
    </w:rPr>
  </w:style>
  <w:style w:type="character" w:styleId="31">
    <w:name w:val="annotation reference"/>
    <w:qFormat/>
    <w:uiPriority w:val="0"/>
    <w:rPr>
      <w:sz w:val="21"/>
      <w:szCs w:val="21"/>
    </w:rPr>
  </w:style>
  <w:style w:type="character" w:styleId="32">
    <w:name w:val="HTML Cite"/>
    <w:basedOn w:val="21"/>
    <w:qFormat/>
    <w:uiPriority w:val="0"/>
  </w:style>
  <w:style w:type="character" w:styleId="33">
    <w:name w:val="HTML Keyboard"/>
    <w:basedOn w:val="21"/>
    <w:qFormat/>
    <w:uiPriority w:val="0"/>
    <w:rPr>
      <w:rFonts w:ascii="monospace" w:hAnsi="monospace" w:eastAsia="monospace" w:cs="monospace"/>
      <w:sz w:val="20"/>
    </w:rPr>
  </w:style>
  <w:style w:type="character" w:styleId="34">
    <w:name w:val="HTML Sample"/>
    <w:basedOn w:val="21"/>
    <w:qFormat/>
    <w:uiPriority w:val="0"/>
    <w:rPr>
      <w:rFonts w:hint="default" w:ascii="monospace" w:hAnsi="monospace" w:eastAsia="monospace" w:cs="monospace"/>
    </w:rPr>
  </w:style>
  <w:style w:type="paragraph" w:customStyle="1" w:styleId="35">
    <w:name w:val="Default"/>
    <w:next w:val="36"/>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customStyle="1" w:styleId="37">
    <w:name w:val="1"/>
    <w:next w:val="11"/>
    <w:qFormat/>
    <w:uiPriority w:val="0"/>
    <w:pPr>
      <w:widowControl w:val="0"/>
      <w:jc w:val="both"/>
    </w:pPr>
    <w:rPr>
      <w:rFonts w:ascii="宋体" w:hAnsi="Courier New" w:eastAsia="宋体" w:cs="Times New Roman"/>
      <w:kern w:val="2"/>
      <w:sz w:val="21"/>
      <w:szCs w:val="20"/>
      <w:lang w:val="en-US" w:eastAsia="zh-CN" w:bidi="ar-SA"/>
    </w:rPr>
  </w:style>
  <w:style w:type="paragraph" w:customStyle="1" w:styleId="38">
    <w:name w:val="Body Text First Indent 21"/>
    <w:basedOn w:val="39"/>
    <w:qFormat/>
    <w:uiPriority w:val="0"/>
    <w:pPr>
      <w:widowControl w:val="0"/>
      <w:ind w:firstLine="420"/>
      <w:jc w:val="both"/>
    </w:pPr>
    <w:rPr>
      <w:rFonts w:ascii="Times New Roman" w:hAnsi="Times New Roman" w:eastAsia="宋体" w:cs="Times New Roman"/>
      <w:kern w:val="2"/>
      <w:sz w:val="28"/>
      <w:szCs w:val="24"/>
      <w:lang w:val="en-US" w:eastAsia="zh-CN" w:bidi="ar-SA"/>
    </w:rPr>
  </w:style>
  <w:style w:type="paragraph" w:customStyle="1" w:styleId="39">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4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Normal_0"/>
    <w:qFormat/>
    <w:uiPriority w:val="0"/>
    <w:rPr>
      <w:rFonts w:ascii="Times New Roman" w:hAnsi="Times New Roman" w:eastAsia="Times New Roman" w:cs="Times New Roman"/>
      <w:sz w:val="24"/>
      <w:szCs w:val="24"/>
    </w:rPr>
  </w:style>
  <w:style w:type="paragraph" w:customStyle="1" w:styleId="42">
    <w:name w:val="段落1"/>
    <w:basedOn w:val="1"/>
    <w:qFormat/>
    <w:uiPriority w:val="0"/>
    <w:pPr>
      <w:spacing w:line="360" w:lineRule="auto"/>
      <w:ind w:firstLine="480" w:firstLineChars="200"/>
    </w:pPr>
    <w:rPr>
      <w:sz w:val="24"/>
      <w:szCs w:val="20"/>
    </w:rPr>
  </w:style>
  <w:style w:type="paragraph" w:customStyle="1" w:styleId="43">
    <w:name w:val="Table Paragraph"/>
    <w:basedOn w:val="1"/>
    <w:qFormat/>
    <w:uiPriority w:val="0"/>
    <w:pPr>
      <w:autoSpaceDE w:val="0"/>
      <w:autoSpaceDN w:val="0"/>
      <w:adjustRightInd w:val="0"/>
      <w:jc w:val="left"/>
    </w:pPr>
    <w:rPr>
      <w:kern w:val="0"/>
      <w:sz w:val="24"/>
    </w:rPr>
  </w:style>
  <w:style w:type="paragraph" w:customStyle="1" w:styleId="44">
    <w:name w:val="List Paragraph"/>
    <w:basedOn w:val="1"/>
    <w:qFormat/>
    <w:uiPriority w:val="0"/>
    <w:pPr>
      <w:ind w:firstLine="420" w:firstLineChars="200"/>
    </w:pPr>
  </w:style>
  <w:style w:type="paragraph" w:customStyle="1" w:styleId="45">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6">
    <w:name w:val="layui-layer-tabnow"/>
    <w:basedOn w:val="21"/>
    <w:qFormat/>
    <w:uiPriority w:val="0"/>
    <w:rPr>
      <w:bdr w:val="single" w:color="CCCCCC" w:sz="6" w:space="0"/>
      <w:shd w:val="clear" w:fill="FFFFFF"/>
    </w:rPr>
  </w:style>
  <w:style w:type="character" w:customStyle="1" w:styleId="47">
    <w:name w:val="first-child"/>
    <w:basedOn w:val="21"/>
    <w:qFormat/>
    <w:uiPriority w:val="0"/>
  </w:style>
  <w:style w:type="paragraph" w:customStyle="1" w:styleId="48">
    <w:name w:val="Body text|1"/>
    <w:basedOn w:val="1"/>
    <w:qFormat/>
    <w:uiPriority w:val="0"/>
    <w:pPr>
      <w:widowControl w:val="0"/>
      <w:shd w:val="clear" w:color="auto" w:fill="auto"/>
      <w:spacing w:line="360" w:lineRule="auto"/>
      <w:ind w:firstLine="400"/>
    </w:pPr>
    <w:rPr>
      <w:rFonts w:ascii="宋体" w:hAnsi="宋体" w:eastAsia="宋体" w:cs="宋体"/>
      <w:sz w:val="20"/>
      <w:szCs w:val="20"/>
      <w:u w:val="none"/>
      <w:shd w:val="clear" w:color="auto" w:fill="auto"/>
      <w:lang w:val="zh-CN" w:eastAsia="zh-CN" w:bidi="zh-CN"/>
    </w:rPr>
  </w:style>
  <w:style w:type="paragraph" w:customStyle="1" w:styleId="49">
    <w:name w:val="Other|1"/>
    <w:basedOn w:val="1"/>
    <w:qFormat/>
    <w:uiPriority w:val="0"/>
    <w:pPr>
      <w:spacing w:line="360" w:lineRule="auto"/>
      <w:ind w:firstLine="400"/>
    </w:pPr>
    <w:rPr>
      <w:rFonts w:ascii="宋体" w:hAnsi="宋体" w:eastAsia="宋体" w:cs="宋体"/>
      <w:sz w:val="20"/>
      <w:szCs w:val="20"/>
      <w:lang w:val="zh-CN" w:eastAsia="zh-CN" w:bidi="zh-CN"/>
    </w:rPr>
  </w:style>
  <w:style w:type="paragraph" w:customStyle="1" w:styleId="50">
    <w:name w:val="Body text|2"/>
    <w:basedOn w:val="1"/>
    <w:qFormat/>
    <w:uiPriority w:val="0"/>
    <w:pPr>
      <w:spacing w:after="30"/>
      <w:ind w:firstLine="420"/>
    </w:pPr>
    <w:rPr>
      <w:sz w:val="20"/>
      <w:szCs w:val="20"/>
    </w:rPr>
  </w:style>
  <w:style w:type="character" w:customStyle="1" w:styleId="51">
    <w:name w:val="正文_3 Char"/>
    <w:link w:val="52"/>
    <w:qFormat/>
    <w:uiPriority w:val="0"/>
    <w:rPr>
      <w:rFonts w:ascii="Calibri" w:hAnsi="Calibri" w:eastAsia="宋体" w:cs="Times New Roman"/>
      <w:kern w:val="2"/>
      <w:sz w:val="21"/>
      <w:szCs w:val="22"/>
      <w:lang w:val="en-US" w:eastAsia="zh-CN" w:bidi="ar-SA"/>
    </w:rPr>
  </w:style>
  <w:style w:type="paragraph" w:customStyle="1" w:styleId="52">
    <w:name w:val="正文_3"/>
    <w:link w:val="5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3">
    <w:name w:val="标题 1 Char"/>
    <w:link w:val="2"/>
    <w:qFormat/>
    <w:uiPriority w:val="0"/>
    <w:rPr>
      <w:rFonts w:ascii="Times New Roman" w:hAnsi="Times New Roman" w:eastAsia="宋体" w:cs="Times New Roman"/>
      <w:b/>
      <w:bCs/>
      <w:kern w:val="44"/>
      <w:sz w:val="44"/>
      <w:szCs w:val="44"/>
      <w:lang w:val="en-US" w:eastAsia="zh-CN" w:bidi="ar-SA"/>
    </w:rPr>
  </w:style>
  <w:style w:type="paragraph" w:customStyle="1" w:styleId="54">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_3_0"/>
    <w:basedOn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
    <w:name w:val="正文_4"/>
    <w:qFormat/>
    <w:uiPriority w:val="0"/>
    <w:pPr>
      <w:widowControl w:val="0"/>
      <w:jc w:val="both"/>
    </w:pPr>
    <w:rPr>
      <w:rFonts w:ascii="Calibri" w:hAnsi="Calibri" w:eastAsia="宋体" w:cs="Times New Roman"/>
      <w:kern w:val="2"/>
      <w:sz w:val="21"/>
      <w:szCs w:val="22"/>
      <w:lang w:val="en-US" w:eastAsia="zh-CN" w:bidi="ar-SA"/>
    </w:rPr>
  </w:style>
  <w:style w:type="table" w:customStyle="1" w:styleId="58">
    <w:name w:val="Table Normal"/>
    <w:semiHidden/>
    <w:unhideWhenUsed/>
    <w:qFormat/>
    <w:uiPriority w:val="0"/>
    <w:tblPr>
      <w:tblCellMar>
        <w:top w:w="0" w:type="dxa"/>
        <w:left w:w="0" w:type="dxa"/>
        <w:bottom w:w="0" w:type="dxa"/>
        <w:right w:w="0" w:type="dxa"/>
      </w:tblCellMar>
    </w:tblPr>
  </w:style>
  <w:style w:type="paragraph" w:customStyle="1" w:styleId="59">
    <w:name w:val="目录 1_1"/>
    <w:basedOn w:val="52"/>
    <w:next w:val="52"/>
    <w:autoRedefine/>
    <w:qFormat/>
    <w:uiPriority w:val="0"/>
    <w:pPr>
      <w:tabs>
        <w:tab w:val="right" w:leader="dot" w:pos="8296"/>
      </w:tabs>
    </w:pPr>
    <w:rPr>
      <w:rFonts w:ascii="宋体" w:hAnsi="Times New Roman" w:eastAsia="楷体_GB2312" w:cs="TimesNewRomanPSMT"/>
      <w:b/>
      <w:kern w:val="0"/>
      <w:sz w:val="28"/>
      <w:szCs w:val="20"/>
    </w:rPr>
  </w:style>
  <w:style w:type="paragraph" w:customStyle="1" w:styleId="60">
    <w:name w:val="正文_5"/>
    <w:next w:val="6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文本_2"/>
    <w:basedOn w:val="60"/>
    <w:next w:val="60"/>
    <w:autoRedefine/>
    <w:qFormat/>
    <w:uiPriority w:val="99"/>
    <w:pPr>
      <w:adjustRightInd w:val="0"/>
      <w:spacing w:after="60" w:line="360" w:lineRule="atLeast"/>
      <w:ind w:left="72" w:leftChars="30" w:right="30" w:rightChars="30"/>
      <w:jc w:val="center"/>
      <w:textAlignment w:val="baseline"/>
    </w:pPr>
    <w:rPr>
      <w:kern w:val="0"/>
      <w:sz w:val="20"/>
      <w:szCs w:val="20"/>
    </w:rPr>
  </w:style>
  <w:style w:type="paragraph" w:customStyle="1" w:styleId="62">
    <w:name w:val="正文_0_1"/>
    <w:basedOn w:val="63"/>
    <w:autoRedefine/>
    <w:qFormat/>
    <w:uiPriority w:val="0"/>
    <w:pPr>
      <w:widowControl w:val="0"/>
      <w:jc w:val="both"/>
    </w:pPr>
    <w:rPr>
      <w:rFonts w:ascii="Calibri" w:hAnsi="Calibri"/>
      <w:kern w:val="2"/>
      <w:sz w:val="21"/>
      <w:szCs w:val="22"/>
      <w:lang w:val="en-US" w:eastAsia="zh-CN" w:bidi="ar-SA"/>
    </w:rPr>
  </w:style>
  <w:style w:type="paragraph" w:customStyle="1" w:styleId="63">
    <w:name w:val="正文_2_0"/>
    <w:basedOn w:val="55"/>
    <w:next w:val="64"/>
    <w:autoRedefine/>
    <w:qFormat/>
    <w:uiPriority w:val="99"/>
  </w:style>
  <w:style w:type="paragraph" w:customStyle="1" w:styleId="64">
    <w:name w:val="正文文本_1_0"/>
    <w:basedOn w:val="63"/>
    <w:autoRedefine/>
    <w:qFormat/>
    <w:uiPriority w:val="99"/>
    <w:pPr>
      <w:adjustRightInd w:val="0"/>
      <w:spacing w:after="60" w:line="360" w:lineRule="atLeast"/>
      <w:ind w:left="72" w:leftChars="30" w:right="30" w:rightChars="30"/>
      <w:jc w:val="center"/>
      <w:textAlignment w:val="baseline"/>
    </w:pPr>
    <w:rPr>
      <w:rFonts w:ascii="Times New Roman" w:hAnsi="Times New Roman"/>
    </w:rPr>
  </w:style>
  <w:style w:type="paragraph" w:customStyle="1" w:styleId="65">
    <w:name w:val="正文_0"/>
    <w:basedOn w:val="54"/>
    <w:autoRedefine/>
    <w:qFormat/>
    <w:uiPriority w:val="99"/>
    <w:rPr>
      <w:rFonts w:ascii="??" w:hAnsi="Times New Roman" w:eastAsia="Times New Roman" w: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121</Pages>
  <Words>4204</Words>
  <Characters>4636</Characters>
  <Lines>0</Lines>
  <Paragraphs>0</Paragraphs>
  <TotalTime>12</TotalTime>
  <ScaleCrop>false</ScaleCrop>
  <LinksUpToDate>false</LinksUpToDate>
  <CharactersWithSpaces>4789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2021-02-01T03:14:00Z</dcterms:created>
  <dc:creator>Mrs.</dc:creator>
  <cp:lastModifiedBy>桂林华禹招标</cp:lastModifiedBy>
  <cp:lastPrinted>2024-12-09T07:57:00Z</cp:lastPrinted>
  <dcterms:modified xsi:type="dcterms:W3CDTF">2025-04-02T07:35:03Z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F77EC3CA9C7E4B6A929D308D080777CF_13</vt:lpwstr>
  </property>
  <property fmtid="{D5CDD505-2E9C-101B-9397-08002B2CF9AE}" pid="4" name="KSOTemplateDocerSaveRecord">
    <vt:lpwstr>eyJoZGlkIjoiZTA4NzIyN2MxYTlmMzQ1NGE2MjU5NWRkMjhlOGMxYTAiLCJ1c2VySWQiOiIzNjgzNDEzMzAifQ==</vt:lpwstr>
  </property>
</Properties>
</file>